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AC" w:rsidRPr="00087212" w:rsidRDefault="005F059D" w:rsidP="00BC5B2F">
      <w:pPr>
        <w:pStyle w:val="Subtitle"/>
        <w:spacing w:before="360"/>
        <w:rPr>
          <w:lang w:val="es-ES_tradnl"/>
        </w:rPr>
      </w:pPr>
      <w:r>
        <w:rPr>
          <w:bCs/>
          <w:lang w:val="es"/>
        </w:rPr>
        <w:t>Reunión de expertos para establecer un código de ética modelo para el patrimonio cultural inmaterial.</w:t>
      </w:r>
    </w:p>
    <w:p w:rsidR="005F059D" w:rsidRPr="00087212" w:rsidRDefault="00D739FC">
      <w:pPr>
        <w:pStyle w:val="Subtitle"/>
        <w:rPr>
          <w:b w:val="0"/>
          <w:bCs/>
          <w:lang w:val="es-ES_tradnl"/>
        </w:rPr>
      </w:pPr>
      <w:r>
        <w:rPr>
          <w:b w:val="0"/>
          <w:lang w:val="es"/>
        </w:rPr>
        <w:t>Valencia, España, del 30 de marzo al 1 de abril de 2015</w:t>
      </w:r>
    </w:p>
    <w:p w:rsidR="005F059D" w:rsidRPr="00087212" w:rsidRDefault="005F059D" w:rsidP="00BC5B2F">
      <w:pPr>
        <w:jc w:val="center"/>
        <w:rPr>
          <w:rFonts w:ascii="Arial" w:hAnsi="Arial" w:cs="Arial"/>
          <w:lang w:val="es-ES_tradnl"/>
        </w:rPr>
      </w:pPr>
      <w:r>
        <w:rPr>
          <w:rFonts w:ascii="Arial" w:hAnsi="Arial" w:cs="Arial"/>
          <w:b/>
          <w:bCs/>
          <w:sz w:val="24"/>
          <w:szCs w:val="26"/>
          <w:lang w:val="es"/>
        </w:rPr>
        <w:t xml:space="preserve"> Preliminares y agenda</w:t>
      </w:r>
    </w:p>
    <w:p w:rsidR="00DE47F1" w:rsidRPr="00207FEC" w:rsidRDefault="00DE47F1" w:rsidP="00BC5B2F">
      <w:pPr>
        <w:pStyle w:val="Introparagraph"/>
        <w:rPr>
          <w:rStyle w:val="SubtleEmphasis"/>
          <w:lang w:val="es"/>
        </w:rPr>
      </w:pPr>
      <w:r>
        <w:rPr>
          <w:rStyle w:val="SubtleEmphasis"/>
          <w:iCs/>
          <w:lang w:val="es"/>
        </w:rPr>
        <w:t xml:space="preserve">Como petición del </w:t>
      </w:r>
      <w:r w:rsidR="008C180A">
        <w:rPr>
          <w:rStyle w:val="SubtleEmphasis"/>
          <w:iCs/>
          <w:lang w:val="es"/>
        </w:rPr>
        <w:t>C</w:t>
      </w:r>
      <w:r>
        <w:rPr>
          <w:rStyle w:val="SubtleEmphasis"/>
          <w:iCs/>
          <w:lang w:val="es"/>
        </w:rPr>
        <w:t xml:space="preserve">omité </w:t>
      </w:r>
      <w:r w:rsidR="008C180A">
        <w:rPr>
          <w:rStyle w:val="SubtleEmphasis"/>
          <w:iCs/>
          <w:lang w:val="es"/>
        </w:rPr>
        <w:t>I</w:t>
      </w:r>
      <w:r>
        <w:rPr>
          <w:rStyle w:val="SubtleEmphasis"/>
          <w:iCs/>
          <w:lang w:val="es"/>
        </w:rPr>
        <w:t xml:space="preserve">ntergubernamental para la </w:t>
      </w:r>
      <w:r w:rsidR="008C180A">
        <w:rPr>
          <w:rStyle w:val="SubtleEmphasis"/>
          <w:iCs/>
          <w:lang w:val="es"/>
        </w:rPr>
        <w:t>S</w:t>
      </w:r>
      <w:r>
        <w:rPr>
          <w:rStyle w:val="SubtleEmphasis"/>
          <w:iCs/>
          <w:lang w:val="es"/>
        </w:rPr>
        <w:t xml:space="preserve">alvaguardia del </w:t>
      </w:r>
      <w:r w:rsidR="008C180A">
        <w:rPr>
          <w:rStyle w:val="SubtleEmphasis"/>
          <w:iCs/>
          <w:lang w:val="es"/>
        </w:rPr>
        <w:t>P</w:t>
      </w:r>
      <w:r>
        <w:rPr>
          <w:rStyle w:val="SubtleEmphasis"/>
          <w:iCs/>
          <w:lang w:val="es"/>
        </w:rPr>
        <w:t xml:space="preserve">atrimonio </w:t>
      </w:r>
      <w:r w:rsidR="008C180A">
        <w:rPr>
          <w:rStyle w:val="SubtleEmphasis"/>
          <w:iCs/>
          <w:lang w:val="es"/>
        </w:rPr>
        <w:t>C</w:t>
      </w:r>
      <w:r>
        <w:rPr>
          <w:rStyle w:val="SubtleEmphasis"/>
          <w:iCs/>
          <w:lang w:val="es"/>
        </w:rPr>
        <w:t xml:space="preserve">ultural </w:t>
      </w:r>
      <w:r w:rsidR="008C180A">
        <w:rPr>
          <w:rStyle w:val="SubtleEmphasis"/>
          <w:iCs/>
          <w:lang w:val="es"/>
        </w:rPr>
        <w:t>I</w:t>
      </w:r>
      <w:r>
        <w:rPr>
          <w:rStyle w:val="SubtleEmphasis"/>
          <w:iCs/>
          <w:lang w:val="es"/>
        </w:rPr>
        <w:t>nmaterial, UNESCO organiza una reunión de expertos en Valencia, España, del 30 de marzo al 1 de abri</w:t>
      </w:r>
      <w:r w:rsidR="00320412">
        <w:rPr>
          <w:rStyle w:val="SubtleEmphasis"/>
          <w:iCs/>
          <w:lang w:val="es"/>
        </w:rPr>
        <w:t xml:space="preserve">l de 2015, siendo </w:t>
      </w:r>
      <w:proofErr w:type="gramStart"/>
      <w:r w:rsidR="00320412">
        <w:rPr>
          <w:rStyle w:val="SubtleEmphasis"/>
          <w:iCs/>
          <w:lang w:val="es"/>
        </w:rPr>
        <w:t>anfitrión</w:t>
      </w:r>
      <w:proofErr w:type="gramEnd"/>
      <w:r w:rsidR="00320412">
        <w:rPr>
          <w:rStyle w:val="SubtleEmphasis"/>
          <w:iCs/>
          <w:lang w:val="es"/>
        </w:rPr>
        <w:t xml:space="preserve"> el R</w:t>
      </w:r>
      <w:r>
        <w:rPr>
          <w:rStyle w:val="SubtleEmphasis"/>
          <w:iCs/>
          <w:lang w:val="es"/>
        </w:rPr>
        <w:t>eino de España.</w:t>
      </w:r>
      <w:r>
        <w:rPr>
          <w:rStyle w:val="SubtleEmphasis"/>
          <w:i w:val="0"/>
          <w:lang w:val="es"/>
        </w:rPr>
        <w:t xml:space="preserve"> </w:t>
      </w:r>
      <w:r>
        <w:rPr>
          <w:rStyle w:val="SubtleEmphasis"/>
          <w:iCs/>
          <w:lang w:val="es"/>
        </w:rPr>
        <w:t xml:space="preserve">La finalidad de esta reunión es debatir las líneas principales que deben incluir un código de ética para el </w:t>
      </w:r>
      <w:r w:rsidR="00320412">
        <w:rPr>
          <w:rStyle w:val="SubtleEmphasis"/>
          <w:iCs/>
          <w:lang w:val="es"/>
        </w:rPr>
        <w:t>P</w:t>
      </w:r>
      <w:r>
        <w:rPr>
          <w:rStyle w:val="SubtleEmphasis"/>
          <w:iCs/>
          <w:lang w:val="es"/>
        </w:rPr>
        <w:t xml:space="preserve">atrimonio </w:t>
      </w:r>
      <w:r w:rsidR="00320412">
        <w:rPr>
          <w:rStyle w:val="SubtleEmphasis"/>
          <w:iCs/>
          <w:lang w:val="es"/>
        </w:rPr>
        <w:t>C</w:t>
      </w:r>
      <w:r>
        <w:rPr>
          <w:rStyle w:val="SubtleEmphasis"/>
          <w:iCs/>
          <w:lang w:val="es"/>
        </w:rPr>
        <w:t xml:space="preserve">ultural </w:t>
      </w:r>
      <w:r w:rsidR="00320412">
        <w:rPr>
          <w:rStyle w:val="SubtleEmphasis"/>
          <w:iCs/>
          <w:lang w:val="es"/>
        </w:rPr>
        <w:t>I</w:t>
      </w:r>
      <w:r>
        <w:rPr>
          <w:rStyle w:val="SubtleEmphasis"/>
          <w:iCs/>
          <w:lang w:val="es"/>
        </w:rPr>
        <w:t>nmaterial.</w:t>
      </w:r>
    </w:p>
    <w:p w:rsidR="00A270EB" w:rsidRPr="00087212" w:rsidRDefault="00A270EB" w:rsidP="00BC5B2F">
      <w:pPr>
        <w:pStyle w:val="Head1"/>
        <w:rPr>
          <w:rStyle w:val="Emphasis"/>
          <w:color w:val="auto"/>
          <w:szCs w:val="24"/>
          <w:lang w:val="es-ES_tradnl"/>
        </w:rPr>
      </w:pPr>
      <w:r>
        <w:rPr>
          <w:rStyle w:val="Emphasis"/>
          <w:b/>
          <w:bCs/>
          <w:color w:val="auto"/>
          <w:szCs w:val="24"/>
          <w:lang w:val="es"/>
        </w:rPr>
        <w:t>Preliminares y contexto para la reunión</w:t>
      </w:r>
    </w:p>
    <w:p w:rsidR="00AC077C" w:rsidRPr="00207FEC" w:rsidRDefault="00DF1CA9" w:rsidP="005C60AB">
      <w:pPr>
        <w:spacing w:before="240" w:after="240" w:line="240" w:lineRule="auto"/>
        <w:jc w:val="both"/>
        <w:rPr>
          <w:rFonts w:ascii="Arial" w:hAnsi="Arial" w:cs="Arial"/>
          <w:lang w:val="es"/>
        </w:rPr>
      </w:pPr>
      <w:r>
        <w:rPr>
          <w:rFonts w:ascii="Arial" w:eastAsia="Times New Roman" w:hAnsi="Arial" w:cs="Arial"/>
          <w:lang w:val="es"/>
        </w:rPr>
        <w:t xml:space="preserve">En 2012, en su séptima sesión, el </w:t>
      </w:r>
      <w:r w:rsidR="008C180A">
        <w:rPr>
          <w:rFonts w:ascii="Arial" w:eastAsia="Times New Roman" w:hAnsi="Arial" w:cs="Arial"/>
          <w:lang w:val="es"/>
        </w:rPr>
        <w:t>C</w:t>
      </w:r>
      <w:r>
        <w:rPr>
          <w:rFonts w:ascii="Arial" w:eastAsia="Times New Roman" w:hAnsi="Arial" w:cs="Arial"/>
          <w:lang w:val="es"/>
        </w:rPr>
        <w:t xml:space="preserve">omité </w:t>
      </w:r>
      <w:r w:rsidR="008C180A">
        <w:rPr>
          <w:rFonts w:ascii="Arial" w:eastAsia="Times New Roman" w:hAnsi="Arial" w:cs="Arial"/>
          <w:lang w:val="es"/>
        </w:rPr>
        <w:t>I</w:t>
      </w:r>
      <w:r>
        <w:rPr>
          <w:rFonts w:ascii="Arial" w:eastAsia="Times New Roman" w:hAnsi="Arial" w:cs="Arial"/>
          <w:lang w:val="es"/>
        </w:rPr>
        <w:t xml:space="preserve">ntergubernamental para la </w:t>
      </w:r>
      <w:r w:rsidR="008C180A">
        <w:rPr>
          <w:rFonts w:ascii="Arial" w:eastAsia="Times New Roman" w:hAnsi="Arial" w:cs="Arial"/>
          <w:lang w:val="es"/>
        </w:rPr>
        <w:t>S</w:t>
      </w:r>
      <w:r>
        <w:rPr>
          <w:rFonts w:ascii="Arial" w:eastAsia="Times New Roman" w:hAnsi="Arial" w:cs="Arial"/>
          <w:lang w:val="es"/>
        </w:rPr>
        <w:t xml:space="preserve">alvaguardia del </w:t>
      </w:r>
      <w:r w:rsidR="008C180A">
        <w:rPr>
          <w:rFonts w:ascii="Arial" w:eastAsia="Times New Roman" w:hAnsi="Arial" w:cs="Arial"/>
          <w:lang w:val="es"/>
        </w:rPr>
        <w:t>P</w:t>
      </w:r>
      <w:r>
        <w:rPr>
          <w:rFonts w:ascii="Arial" w:eastAsia="Times New Roman" w:hAnsi="Arial" w:cs="Arial"/>
          <w:lang w:val="es"/>
        </w:rPr>
        <w:t xml:space="preserve">atrimonio </w:t>
      </w:r>
      <w:r w:rsidR="008C180A">
        <w:rPr>
          <w:rFonts w:ascii="Arial" w:eastAsia="Times New Roman" w:hAnsi="Arial" w:cs="Arial"/>
          <w:lang w:val="es"/>
        </w:rPr>
        <w:t>C</w:t>
      </w:r>
      <w:r>
        <w:rPr>
          <w:rFonts w:ascii="Arial" w:eastAsia="Times New Roman" w:hAnsi="Arial" w:cs="Arial"/>
          <w:lang w:val="es"/>
        </w:rPr>
        <w:t xml:space="preserve">ultural </w:t>
      </w:r>
      <w:r w:rsidR="008C180A">
        <w:rPr>
          <w:rFonts w:ascii="Arial" w:eastAsia="Times New Roman" w:hAnsi="Arial" w:cs="Arial"/>
          <w:lang w:val="es"/>
        </w:rPr>
        <w:t>I</w:t>
      </w:r>
      <w:r>
        <w:rPr>
          <w:rFonts w:ascii="Arial" w:eastAsia="Times New Roman" w:hAnsi="Arial" w:cs="Arial"/>
          <w:lang w:val="es"/>
        </w:rPr>
        <w:t xml:space="preserve">nmaterial invitó a la Secretaría de la UNESCO a “comenzar a trabajar en un código ético e informar sobre ello en la siguiente sesión del </w:t>
      </w:r>
      <w:r w:rsidR="00682B51">
        <w:rPr>
          <w:rFonts w:ascii="Arial" w:eastAsia="Times New Roman" w:hAnsi="Arial" w:cs="Arial"/>
          <w:lang w:val="es"/>
        </w:rPr>
        <w:t>C</w:t>
      </w:r>
      <w:r>
        <w:rPr>
          <w:rFonts w:ascii="Arial" w:eastAsia="Times New Roman" w:hAnsi="Arial" w:cs="Arial"/>
          <w:lang w:val="es"/>
        </w:rPr>
        <w:t>omité” (</w:t>
      </w:r>
      <w:proofErr w:type="spellStart"/>
      <w:r w:rsidR="00087212">
        <w:fldChar w:fldCharType="begin"/>
      </w:r>
      <w:r w:rsidR="00087212" w:rsidRPr="00087212">
        <w:rPr>
          <w:lang w:val="es-ES_tradnl"/>
        </w:rPr>
        <w:instrText xml:space="preserve"> HYPERLINK "http://www.unesco.org/culture/ich/doc/src/ITH-12-7.COM-Decisions_-EN.doc" </w:instrText>
      </w:r>
      <w:r w:rsidR="00087212">
        <w:fldChar w:fldCharType="separate"/>
      </w:r>
      <w:r>
        <w:rPr>
          <w:rStyle w:val="Hyperlink"/>
          <w:rFonts w:ascii="Arial" w:eastAsia="Times New Roman" w:hAnsi="Arial" w:cs="Arial"/>
          <w:lang w:val="es"/>
        </w:rPr>
        <w:t>Decision</w:t>
      </w:r>
      <w:proofErr w:type="spellEnd"/>
      <w:r>
        <w:rPr>
          <w:rStyle w:val="Hyperlink"/>
          <w:rFonts w:ascii="Arial" w:eastAsia="Times New Roman" w:hAnsi="Arial" w:cs="Arial"/>
          <w:lang w:val="es"/>
        </w:rPr>
        <w:t xml:space="preserve"> 7.COM 6</w:t>
      </w:r>
      <w:r w:rsidR="00087212">
        <w:rPr>
          <w:rStyle w:val="Hyperlink"/>
          <w:rFonts w:ascii="Arial" w:eastAsia="Times New Roman" w:hAnsi="Arial" w:cs="Arial"/>
          <w:lang w:val="es"/>
        </w:rPr>
        <w:fldChar w:fldCharType="end"/>
      </w:r>
      <w:r>
        <w:rPr>
          <w:rFonts w:ascii="Arial" w:eastAsia="Times New Roman" w:hAnsi="Arial" w:cs="Arial"/>
          <w:lang w:val="es"/>
        </w:rPr>
        <w:t>)</w:t>
      </w:r>
      <w:r>
        <w:rPr>
          <w:rFonts w:ascii="Arial" w:eastAsia="Times New Roman" w:hAnsi="Arial" w:cs="Arial"/>
          <w:color w:val="1F497D"/>
          <w:lang w:val="es"/>
        </w:rPr>
        <w:t xml:space="preserve">. </w:t>
      </w:r>
      <w:r>
        <w:rPr>
          <w:rFonts w:ascii="Arial" w:eastAsia="Times New Roman" w:hAnsi="Arial" w:cs="Arial"/>
          <w:snapToGrid w:val="0"/>
          <w:szCs w:val="24"/>
          <w:lang w:val="es"/>
        </w:rPr>
        <w:t xml:space="preserve">Esta petición refleja la creciente constancia entre los </w:t>
      </w:r>
      <w:r w:rsidR="00320412">
        <w:rPr>
          <w:rFonts w:ascii="Arial" w:eastAsia="Times New Roman" w:hAnsi="Arial" w:cs="Arial"/>
          <w:snapToGrid w:val="0"/>
          <w:szCs w:val="24"/>
          <w:lang w:val="es"/>
        </w:rPr>
        <w:t>E</w:t>
      </w:r>
      <w:r>
        <w:rPr>
          <w:rFonts w:ascii="Arial" w:eastAsia="Times New Roman" w:hAnsi="Arial" w:cs="Arial"/>
          <w:snapToGrid w:val="0"/>
          <w:szCs w:val="24"/>
          <w:lang w:val="es"/>
        </w:rPr>
        <w:t xml:space="preserve">stados </w:t>
      </w:r>
      <w:r w:rsidR="00320412">
        <w:rPr>
          <w:rFonts w:ascii="Arial" w:eastAsia="Times New Roman" w:hAnsi="Arial" w:cs="Arial"/>
          <w:snapToGrid w:val="0"/>
          <w:szCs w:val="24"/>
          <w:lang w:val="es"/>
        </w:rPr>
        <w:t>P</w:t>
      </w:r>
      <w:r>
        <w:rPr>
          <w:rFonts w:ascii="Arial" w:eastAsia="Times New Roman" w:hAnsi="Arial" w:cs="Arial"/>
          <w:snapToGrid w:val="0"/>
          <w:szCs w:val="24"/>
          <w:lang w:val="es"/>
        </w:rPr>
        <w:t>arte de la necesidad de proporcionar guías éticas para salvaguardar el patrimonio cultural in</w:t>
      </w:r>
      <w:r w:rsidR="00320412">
        <w:rPr>
          <w:rFonts w:ascii="Arial" w:eastAsia="Times New Roman" w:hAnsi="Arial" w:cs="Arial"/>
          <w:snapToGrid w:val="0"/>
          <w:szCs w:val="24"/>
          <w:lang w:val="es"/>
        </w:rPr>
        <w:t>material y respaldar la implementa</w:t>
      </w:r>
      <w:r>
        <w:rPr>
          <w:rFonts w:ascii="Arial" w:eastAsia="Times New Roman" w:hAnsi="Arial" w:cs="Arial"/>
          <w:snapToGrid w:val="0"/>
          <w:szCs w:val="24"/>
          <w:lang w:val="es"/>
        </w:rPr>
        <w:t>ción de la Convención para la Salvaguardia del Patrimonio Cultural Inmaterial de 2003.</w:t>
      </w:r>
    </w:p>
    <w:p w:rsidR="0005429F" w:rsidRPr="00207FEC" w:rsidRDefault="0005429F" w:rsidP="00D45B0C">
      <w:pPr>
        <w:pStyle w:val="Introparagraph"/>
        <w:rPr>
          <w:rFonts w:cs="Arial"/>
          <w:lang w:val="es"/>
        </w:rPr>
      </w:pPr>
      <w:r>
        <w:rPr>
          <w:rFonts w:cs="Arial"/>
          <w:lang w:val="es"/>
        </w:rPr>
        <w:t xml:space="preserve">El artículo 2.3 de la Convención estipula que “Se entiende por “salvaguardia” las medidas encaminadas a garantizar la viabilidad del patrimonio cultural inmaterial”, pero ni el </w:t>
      </w:r>
      <w:hyperlink r:id="rId9" w:history="1">
        <w:r>
          <w:rPr>
            <w:rStyle w:val="Hyperlink"/>
            <w:rFonts w:cs="Arial"/>
            <w:lang w:val="es"/>
          </w:rPr>
          <w:t>texto de la Convención</w:t>
        </w:r>
      </w:hyperlink>
      <w:r>
        <w:rPr>
          <w:rFonts w:cs="Arial"/>
          <w:lang w:val="es"/>
        </w:rPr>
        <w:t xml:space="preserve"> ni las </w:t>
      </w:r>
      <w:hyperlink r:id="rId10" w:history="1">
        <w:r w:rsidR="00682B51">
          <w:rPr>
            <w:rStyle w:val="Hyperlink"/>
            <w:rFonts w:cs="Arial"/>
            <w:lang w:val="es"/>
          </w:rPr>
          <w:t>Directrices Operativas</w:t>
        </w:r>
      </w:hyperlink>
      <w:r>
        <w:rPr>
          <w:rFonts w:cs="Arial"/>
          <w:lang w:val="es"/>
        </w:rPr>
        <w:t xml:space="preserve"> proporcionan guías éticas específicas ni normas de conducta para dirigir la labor de los muchos actores involucrados en esta salvaguardia. Estos actores varían desde las agencias estatales e instituciones públicas a entidades privadas y organizaciones de la sociedad civil, así como comunidades, grupos o individuos afectados.</w:t>
      </w:r>
    </w:p>
    <w:p w:rsidR="00504C29" w:rsidRPr="00207FEC" w:rsidRDefault="00BF32B3" w:rsidP="00DE70D4">
      <w:pPr>
        <w:pStyle w:val="Introparagraph"/>
        <w:rPr>
          <w:rFonts w:cs="Arial"/>
          <w:lang w:val="es"/>
        </w:rPr>
      </w:pPr>
      <w:r>
        <w:rPr>
          <w:rFonts w:cs="Arial"/>
          <w:lang w:val="es"/>
        </w:rPr>
        <w:t xml:space="preserve">Las guías éticas para la salvaguardia del patrimonio cultural inmaterial necesitan basarse en los principios fundamentales incluidos en la Convención: respeto del derecho de las personas involucradas a participar completa y justamente en cualquier proceso, proyectos y actividades que les afecten y reconocimiento de su papel fundamental en mantener y gestionar su cultura y patrimonio. El desarrollo, promoción e </w:t>
      </w:r>
      <w:r w:rsidR="00320412">
        <w:rPr>
          <w:rFonts w:cs="Arial"/>
          <w:lang w:val="es"/>
        </w:rPr>
        <w:t xml:space="preserve">implementación </w:t>
      </w:r>
      <w:r>
        <w:rPr>
          <w:rFonts w:cs="Arial"/>
          <w:lang w:val="es"/>
        </w:rPr>
        <w:t xml:space="preserve">de principios éticos para la salvaguardia del patrimonio cultural inmaterial puede contribuir a alcanzar una mayor sensibilidad a las normas culturales, honestidad, transparencia y comportamiento adecuado. Podrá evitar cualquier forma de falta de respeto y apropiación indebida moral, legal o comercialmente del PCI y así, reforzar considerablemente las acciones de salvaguarda de las comunidades, grupos o individuos afectados. Estos principios también guiarían las acciones de salvaguardia y sensibilización y respeto del PCI en otros campos, como herencia cultural, museos, antropología, folclores, turismo, la prensa y propiedad intelectual. Además, existen algunas actividades que no se realizan con la intención de salvaguardar el patrimonio cultural inmaterial pero que </w:t>
      </w:r>
      <w:proofErr w:type="spellStart"/>
      <w:r>
        <w:rPr>
          <w:rFonts w:cs="Arial"/>
          <w:lang w:val="es"/>
        </w:rPr>
        <w:t>aún</w:t>
      </w:r>
      <w:proofErr w:type="spellEnd"/>
      <w:r>
        <w:rPr>
          <w:rFonts w:cs="Arial"/>
          <w:lang w:val="es"/>
        </w:rPr>
        <w:t xml:space="preserve"> así tienen impacto en la viabilidad del mismo y tienen por ello que ser dirigidas en un código de ética.</w:t>
      </w:r>
    </w:p>
    <w:p w:rsidR="00A270EB" w:rsidRPr="00087212" w:rsidRDefault="00D739FC" w:rsidP="001B3EA7">
      <w:pPr>
        <w:pStyle w:val="NormalText"/>
        <w:keepNext/>
        <w:rPr>
          <w:rStyle w:val="IntenseEmphasis"/>
          <w:i w:val="0"/>
          <w:snapToGrid w:val="0"/>
          <w:szCs w:val="24"/>
          <w:lang w:val="es-ES_tradnl"/>
        </w:rPr>
      </w:pPr>
      <w:r>
        <w:rPr>
          <w:rStyle w:val="IntenseEmphasis"/>
          <w:i w:val="0"/>
          <w:lang w:val="es"/>
        </w:rPr>
        <w:lastRenderedPageBreak/>
        <w:t xml:space="preserve">Ética dentro de las </w:t>
      </w:r>
      <w:r w:rsidR="00682B51" w:rsidRPr="00320412">
        <w:rPr>
          <w:rStyle w:val="IntenseEmphasis"/>
          <w:i w:val="0"/>
          <w:lang w:val="es"/>
        </w:rPr>
        <w:t>Directrices Operativas</w:t>
      </w:r>
      <w:r w:rsidR="00682B51" w:rsidDel="00682B51">
        <w:rPr>
          <w:rStyle w:val="IntenseEmphasis"/>
          <w:i w:val="0"/>
          <w:lang w:val="es"/>
        </w:rPr>
        <w:t xml:space="preserve"> </w:t>
      </w:r>
      <w:r>
        <w:rPr>
          <w:rStyle w:val="IntenseEmphasis"/>
          <w:i w:val="0"/>
          <w:lang w:val="es"/>
        </w:rPr>
        <w:t xml:space="preserve">de la </w:t>
      </w:r>
      <w:r w:rsidR="00682B51">
        <w:rPr>
          <w:rStyle w:val="IntenseEmphasis"/>
          <w:i w:val="0"/>
          <w:lang w:val="es"/>
        </w:rPr>
        <w:t>C</w:t>
      </w:r>
      <w:r>
        <w:rPr>
          <w:rStyle w:val="IntenseEmphasis"/>
          <w:i w:val="0"/>
          <w:lang w:val="es"/>
        </w:rPr>
        <w:t>onvención de 2003</w:t>
      </w:r>
    </w:p>
    <w:p w:rsidR="00DE47F1" w:rsidRPr="00087212" w:rsidRDefault="00C64540" w:rsidP="00C64540">
      <w:pPr>
        <w:pStyle w:val="NormalText"/>
        <w:rPr>
          <w:rStyle w:val="Strong"/>
          <w:lang w:val="es-ES_tradnl"/>
        </w:rPr>
      </w:pPr>
      <w:r>
        <w:rPr>
          <w:rFonts w:cs="Arial"/>
          <w:lang w:val="es"/>
        </w:rPr>
        <w:t xml:space="preserve">Las consideraciones éticas ya están presentes en las Directrices Operativas para la aplicación </w:t>
      </w:r>
      <w:r>
        <w:rPr>
          <w:rStyle w:val="Strong"/>
          <w:lang w:val="es"/>
        </w:rPr>
        <w:t xml:space="preserve">de la Convención </w:t>
      </w:r>
      <w:r>
        <w:rPr>
          <w:rFonts w:cs="Arial"/>
          <w:lang w:val="es"/>
        </w:rPr>
        <w:t xml:space="preserve">para la Salvaguardia del Patrimonio Cultural Inmaterial cuando fue por primera vez adoptada </w:t>
      </w:r>
      <w:r>
        <w:rPr>
          <w:rStyle w:val="Strong"/>
          <w:lang w:val="es"/>
        </w:rPr>
        <w:t xml:space="preserve">por la Asamblea General de los Estados Parte en 2008. En el capítulo III relativo </w:t>
      </w:r>
      <w:r>
        <w:rPr>
          <w:rFonts w:cs="Arial"/>
          <w:lang w:val="es"/>
        </w:rPr>
        <w:t xml:space="preserve">a la participación en la </w:t>
      </w:r>
      <w:r w:rsidR="00320412">
        <w:rPr>
          <w:rFonts w:eastAsia="Times New Roman" w:cs="Arial"/>
          <w:snapToGrid w:val="0"/>
          <w:szCs w:val="24"/>
          <w:lang w:val="es"/>
        </w:rPr>
        <w:t>implementación</w:t>
      </w:r>
      <w:r w:rsidR="00320412">
        <w:rPr>
          <w:rFonts w:cs="Arial"/>
          <w:lang w:val="es"/>
        </w:rPr>
        <w:t xml:space="preserve"> </w:t>
      </w:r>
      <w:r>
        <w:rPr>
          <w:rFonts w:cs="Arial"/>
          <w:lang w:val="es"/>
        </w:rPr>
        <w:t>de la Convención, el p</w:t>
      </w:r>
      <w:r>
        <w:rPr>
          <w:rStyle w:val="Strong"/>
          <w:lang w:val="es"/>
        </w:rPr>
        <w:t xml:space="preserve">árrafo </w:t>
      </w:r>
      <w:r>
        <w:rPr>
          <w:rFonts w:cs="Arial"/>
          <w:lang w:val="es"/>
        </w:rPr>
        <w:t>93 estipula que “Las organizaciones no gubernamentales acreditadas acatarán las normas jurídicas y éticas nacionales e internacionales aplicables”.</w:t>
      </w:r>
    </w:p>
    <w:p w:rsidR="00304069" w:rsidRPr="00087212" w:rsidRDefault="00097B39" w:rsidP="00E341BD">
      <w:pPr>
        <w:pStyle w:val="NormalText"/>
        <w:rPr>
          <w:rFonts w:cs="Arial"/>
          <w:lang w:val="es-ES_tradnl"/>
        </w:rPr>
      </w:pPr>
      <w:r>
        <w:rPr>
          <w:rStyle w:val="Strong"/>
          <w:lang w:val="es"/>
        </w:rPr>
        <w:t xml:space="preserve">La noción ética se integró </w:t>
      </w:r>
      <w:proofErr w:type="spellStart"/>
      <w:r>
        <w:rPr>
          <w:rStyle w:val="Strong"/>
          <w:lang w:val="es"/>
        </w:rPr>
        <w:t>aun</w:t>
      </w:r>
      <w:proofErr w:type="spellEnd"/>
      <w:r>
        <w:rPr>
          <w:rStyle w:val="Strong"/>
          <w:lang w:val="es"/>
        </w:rPr>
        <w:t xml:space="preserve"> más en las Directrices Operativas con la adopción en 2010 del capítulo IV relativo a la sensibilización al PCI, incluyendo el uso del emblema de la Convención. El párrafo 103 estipula que “</w:t>
      </w:r>
      <w:r>
        <w:rPr>
          <w:rFonts w:cs="Arial"/>
          <w:lang w:val="es"/>
        </w:rPr>
        <w:t>Se alienta a los Estados Partes a elaborar y adoptar códigos de ética fundados en las disposiciones de la Convención y las presentes Directrices Operativas, a fin de garantizar el carácter apropiado de las actividades de sensibilización al PCI presente en sus respectivos territorios”.</w:t>
      </w:r>
    </w:p>
    <w:p w:rsidR="00DD054F" w:rsidRPr="00207FEC" w:rsidRDefault="00DD054F" w:rsidP="0017794F">
      <w:pPr>
        <w:spacing w:before="240" w:after="240" w:line="240" w:lineRule="auto"/>
        <w:jc w:val="both"/>
        <w:rPr>
          <w:rFonts w:ascii="Arial" w:hAnsi="Arial" w:cs="Arial"/>
          <w:lang w:val="es"/>
        </w:rPr>
      </w:pPr>
      <w:r>
        <w:rPr>
          <w:rStyle w:val="Strong"/>
          <w:lang w:val="es"/>
        </w:rPr>
        <w:t>También se refieren a la ética algunas disposiciones adicionales propuestas para un nuevo capítulo de las Directrices Operativas</w:t>
      </w:r>
      <w:r>
        <w:rPr>
          <w:rFonts w:ascii="Arial" w:hAnsi="Arial" w:cs="Arial"/>
          <w:color w:val="0070C0"/>
          <w:lang w:val="es"/>
        </w:rPr>
        <w:t xml:space="preserve"> </w:t>
      </w:r>
      <w:r>
        <w:rPr>
          <w:rStyle w:val="Strong"/>
          <w:lang w:val="es"/>
        </w:rPr>
        <w:t xml:space="preserve">para la salvaguarda del patrimonio cultural inmaterial y desarrollo sostenible a nivel nacional </w:t>
      </w:r>
      <w:r>
        <w:rPr>
          <w:rFonts w:ascii="Arial" w:hAnsi="Arial" w:cs="Arial"/>
          <w:lang w:val="es"/>
        </w:rPr>
        <w:t>(</w:t>
      </w:r>
      <w:hyperlink r:id="rId11" w:history="1">
        <w:r>
          <w:rPr>
            <w:rStyle w:val="Hyperlink"/>
            <w:rFonts w:ascii="Arial" w:hAnsi="Arial" w:cs="Arial"/>
            <w:lang w:val="es"/>
          </w:rPr>
          <w:t>Documento ITH/14/9.COM/13.b</w:t>
        </w:r>
      </w:hyperlink>
      <w:r>
        <w:rPr>
          <w:rFonts w:ascii="Arial" w:hAnsi="Arial" w:cs="Arial"/>
          <w:lang w:val="es"/>
        </w:rPr>
        <w:t>). El párrafo 9 sobre seguridad alimentaria alienta a los Estados Parte a “adoptar medidas apropiadas legales, técnicas, administrativas y financieras, incluyendo códigos de ética, para promocionar y/o regular el acceso a la ganadería, pesca, caza y pastoreo tradicional y las reuniones en torno a alimentos y métodos y prácticas de preservación. El párrafo 20 sobre el desarrollo económico estipula que “Los Estados Parte deben intentar aprovechar el PCI como una poderosa fuerza para un desarrollo económico global” y les alienta a “respetar la naturaleza de dicho patrimonio y las circunstancias específicas de estas comunidades, grupos o individuos relacionados [...] al mismo tiempo que a promover el comercio justo y las relaciones comerciales éticas”.</w:t>
      </w:r>
    </w:p>
    <w:p w:rsidR="00C77366" w:rsidRPr="00207FEC" w:rsidRDefault="00C77366" w:rsidP="0017794F">
      <w:pPr>
        <w:spacing w:before="240" w:after="240" w:line="240" w:lineRule="auto"/>
        <w:jc w:val="both"/>
        <w:rPr>
          <w:rFonts w:ascii="Arial" w:hAnsi="Arial" w:cs="Arial"/>
          <w:lang w:val="es"/>
        </w:rPr>
      </w:pPr>
      <w:r>
        <w:rPr>
          <w:rFonts w:ascii="Arial" w:hAnsi="Arial" w:cs="Arial"/>
          <w:lang w:val="es"/>
        </w:rPr>
        <w:t xml:space="preserve">La creciente presencia e integración gradual de la noción de ética en las Directrices Operativas reflejan la mayor sensibilización de la importancia del desarrollo, promoción e </w:t>
      </w:r>
      <w:r w:rsidR="00320412">
        <w:rPr>
          <w:rFonts w:ascii="Arial" w:eastAsia="Times New Roman" w:hAnsi="Arial" w:cs="Arial"/>
          <w:snapToGrid w:val="0"/>
          <w:szCs w:val="24"/>
          <w:lang w:val="es"/>
        </w:rPr>
        <w:t>implementación</w:t>
      </w:r>
      <w:r w:rsidR="00320412">
        <w:rPr>
          <w:rFonts w:ascii="Arial" w:hAnsi="Arial" w:cs="Arial"/>
          <w:lang w:val="es"/>
        </w:rPr>
        <w:t xml:space="preserve"> </w:t>
      </w:r>
      <w:r>
        <w:rPr>
          <w:rFonts w:ascii="Arial" w:hAnsi="Arial" w:cs="Arial"/>
          <w:lang w:val="es"/>
        </w:rPr>
        <w:t>de principios éticos para el PCI. Sin embargo, y con la excepción de algunos países y organizaciones no gubernamentales, hay pocos ejemplos de políticas gubernamentales y otros enfoques legislativos, administrativos, etc. referente a la preservación del PCI a través de los códigos de ética. Los Estados miembro y actores involucrados incluyendo las mismas comunidades y grupos, necesitan ser guiados con procedimientos éticos concretos y principios aplicables a todas las actividades relacionadas con el patrimonio cultural inmaterial y que podría potencialmente afectar a su viabilidad.</w:t>
      </w:r>
    </w:p>
    <w:p w:rsidR="001610AE" w:rsidRPr="00087212" w:rsidRDefault="009A6D93" w:rsidP="001610AE">
      <w:pPr>
        <w:pStyle w:val="Style2"/>
        <w:rPr>
          <w:rStyle w:val="IntenseEmphasis"/>
          <w:b/>
          <w:i w:val="0"/>
          <w:lang w:val="es-ES_tradnl"/>
        </w:rPr>
      </w:pPr>
      <w:r>
        <w:rPr>
          <w:rStyle w:val="IntenseEmphasis"/>
          <w:b/>
          <w:i w:val="0"/>
          <w:lang w:val="es"/>
        </w:rPr>
        <w:t>Hacia un código de ética para la salvaguardia del patrimonio cultural inmaterial</w:t>
      </w:r>
    </w:p>
    <w:p w:rsidR="003D684F" w:rsidRPr="00207FEC" w:rsidRDefault="009A6D93" w:rsidP="0017794F">
      <w:pPr>
        <w:pStyle w:val="Introparagraph"/>
        <w:rPr>
          <w:rFonts w:cs="Arial"/>
          <w:lang w:val="es"/>
        </w:rPr>
      </w:pPr>
      <w:r>
        <w:rPr>
          <w:rFonts w:cs="Arial"/>
          <w:lang w:val="es"/>
        </w:rPr>
        <w:t>Los códigos de ética para el PCI deben redactarse para dar cabida a un número de sectores específicos, campos y contextos de implantación. Los temas a los que debe dar respuesta varían significativamente de un país a otro y dependen del sector involucrado (por ejemplo industria, turismo, educación, economía o medio ambiente). Como tal, cabe la posibilidad que no sea posible proporcionar un único código de ética para el PCI que englobe todo. Por ello, pueden ser necesarios varios códigos de ética para distintas circunscripciones, incluso si todos comparten los mismos valores fundamentales. Además, para que sean eficientes y efectivos en un contexto específico, los códigos de ética deben diseñarse de forma inclusiva, con la participación de todos los actores de desarrollo afectados, incluyendo a las mismas comunidades.</w:t>
      </w:r>
    </w:p>
    <w:p w:rsidR="006477CE" w:rsidRPr="00207FEC" w:rsidRDefault="006477CE" w:rsidP="006477CE">
      <w:pPr>
        <w:pStyle w:val="NormalText"/>
        <w:rPr>
          <w:rFonts w:cs="Arial"/>
          <w:lang w:val="es"/>
        </w:rPr>
      </w:pPr>
      <w:r>
        <w:rPr>
          <w:rFonts w:cs="Arial"/>
          <w:lang w:val="es"/>
        </w:rPr>
        <w:t xml:space="preserve">¿Cuáles son entonces los valores fundamentales y principios éticos -redactados en la Convención de 2003- que deben guiar todas las acciones de salvaguardia, ya sea ejecutada por los Estados, comunidades, sociedad civil o sector privado? ¿Cómo se pueden integrar estos valores fundamentales en un modelo o varios de código de ética que podría orientar el </w:t>
      </w:r>
      <w:r>
        <w:rPr>
          <w:rFonts w:cs="Arial"/>
          <w:lang w:val="es"/>
        </w:rPr>
        <w:lastRenderedPageBreak/>
        <w:t>trabajo de los distintos actores, en distintos contextos? Y ¿cómo podría este código modelo traducirse efectivamente en herramientas prácticas y concretas que podrían usarse en el trabajo diario de salvaguardia?</w:t>
      </w:r>
    </w:p>
    <w:p w:rsidR="001610AE" w:rsidRPr="00087212" w:rsidRDefault="001610AE" w:rsidP="00823244">
      <w:pPr>
        <w:pStyle w:val="NormalText"/>
        <w:rPr>
          <w:rFonts w:cs="Arial"/>
          <w:lang w:val="es-ES_tradnl"/>
        </w:rPr>
      </w:pPr>
      <w:r>
        <w:rPr>
          <w:rFonts w:cs="Arial"/>
          <w:lang w:val="es"/>
        </w:rPr>
        <w:t xml:space="preserve">Para comenzar este importante trabajo, la Secretaría de la UNESCO organiza esta reunión, generosamente acogida por el </w:t>
      </w:r>
      <w:r w:rsidR="00320412">
        <w:rPr>
          <w:rFonts w:cs="Arial"/>
          <w:lang w:val="es"/>
        </w:rPr>
        <w:t>R</w:t>
      </w:r>
      <w:r>
        <w:rPr>
          <w:rFonts w:cs="Arial"/>
          <w:lang w:val="es"/>
        </w:rPr>
        <w:t>eino de España y cofinanciada por España y el Fondo del Patrimonio Cultural Inmaterial.</w:t>
      </w:r>
    </w:p>
    <w:p w:rsidR="00512AB9" w:rsidRPr="00087212" w:rsidRDefault="00570806" w:rsidP="001D247A">
      <w:pPr>
        <w:pStyle w:val="Head1"/>
        <w:tabs>
          <w:tab w:val="left" w:pos="1701"/>
        </w:tabs>
        <w:rPr>
          <w:rStyle w:val="Emphasis"/>
          <w:color w:val="auto"/>
          <w:szCs w:val="24"/>
          <w:lang w:val="es-ES_tradnl"/>
        </w:rPr>
      </w:pPr>
      <w:r>
        <w:rPr>
          <w:rStyle w:val="Emphasis"/>
          <w:b/>
          <w:bCs/>
          <w:color w:val="auto"/>
          <w:szCs w:val="24"/>
          <w:lang w:val="es"/>
        </w:rPr>
        <w:t>Objetivo y participantes</w:t>
      </w:r>
    </w:p>
    <w:p w:rsidR="00DF1CA9" w:rsidRPr="00087212" w:rsidRDefault="00DF1CA9" w:rsidP="00D45B0C">
      <w:pPr>
        <w:pStyle w:val="NormalText"/>
        <w:rPr>
          <w:rFonts w:cs="Arial"/>
          <w:lang w:val="es-ES_tradnl"/>
        </w:rPr>
      </w:pPr>
      <w:r>
        <w:rPr>
          <w:rFonts w:cs="Arial"/>
          <w:lang w:val="es"/>
        </w:rPr>
        <w:t>Este evento de tres días reunirá a doce expertos de distintos Estados Miembros de la UNESCO así como a cuatro miembros de la Secretaría. Esta reunión se organiza como reunión de expertos categoría VI, en la terminología UNESCO, que significa que los expertos participan en carácter privado sin representar a un gobierno u organización. Las reuniones de un comité de expertos de estas características son privadas y sus recomendaciones no se adscriben por nombre a ningún participante.</w:t>
      </w:r>
    </w:p>
    <w:p w:rsidR="00DF1CA9" w:rsidRPr="00207FEC" w:rsidRDefault="00DF1CA9" w:rsidP="00DE70D4">
      <w:pPr>
        <w:pStyle w:val="NormalText"/>
        <w:rPr>
          <w:rFonts w:cs="Arial"/>
          <w:lang w:val="es"/>
        </w:rPr>
      </w:pPr>
      <w:r>
        <w:rPr>
          <w:rFonts w:cs="Arial"/>
          <w:lang w:val="es"/>
        </w:rPr>
        <w:t>Durante esta reunión, los participantes no harán presentaciones formales, sino que se abrirá un debate sobre las líneas principales que deben incluir un código de ética para el PCI. Los expertos también plantearán distintos enfoques posibles para los códigos de ética o de conducta, y si el objetivo debe ser un único código modelo o varios dirigidos a distintos sectores. El marco del debate será un documento de referencia redactado por la UNESCO y distribuido entre los expertos con antelación. Este documento se utilizará durante las distintas sesiones de trabajo, introduciendo los principales temas que deben ser tratados y subrayando ejemplos concretos en campos relacionados con el PCI (herencia cultural, museos, antropología, folclore, turismo, medios y propiedad intelectual).</w:t>
      </w:r>
    </w:p>
    <w:p w:rsidR="008F1BBB" w:rsidRPr="00207FEC" w:rsidRDefault="008F1BBB" w:rsidP="00823244">
      <w:pPr>
        <w:pStyle w:val="NormalText"/>
        <w:rPr>
          <w:rFonts w:cs="Arial"/>
          <w:iCs/>
          <w:lang w:val="es"/>
        </w:rPr>
      </w:pPr>
      <w:r>
        <w:rPr>
          <w:rFonts w:cs="Arial"/>
          <w:lang w:val="es"/>
        </w:rPr>
        <w:t>Los resultados de esta reunión se presentarán al Director General de la UNESCO y posteriormente lo examinará el Comité cuando se reúna para su décima sesión en Namibia, del 30 de noviembre al 4 de diciembre de 2015.</w:t>
      </w:r>
    </w:p>
    <w:p w:rsidR="00A07610" w:rsidRPr="00087212" w:rsidRDefault="00A07610" w:rsidP="00BC5B2F">
      <w:pPr>
        <w:pStyle w:val="Head1"/>
        <w:rPr>
          <w:rStyle w:val="Emphasis"/>
          <w:color w:val="auto"/>
          <w:szCs w:val="24"/>
          <w:lang w:val="es-ES_tradnl"/>
        </w:rPr>
      </w:pPr>
      <w:r>
        <w:rPr>
          <w:rStyle w:val="Emphasis"/>
          <w:b/>
          <w:bCs/>
          <w:color w:val="auto"/>
          <w:szCs w:val="24"/>
          <w:lang w:val="es"/>
        </w:rPr>
        <w:t>Programa y formato</w:t>
      </w:r>
    </w:p>
    <w:p w:rsidR="0024472E" w:rsidRPr="00087212" w:rsidRDefault="00A07610" w:rsidP="00BC5B2F">
      <w:pPr>
        <w:pStyle w:val="NormalText"/>
        <w:rPr>
          <w:rStyle w:val="Strong"/>
          <w:lang w:val="es-ES_tradnl"/>
        </w:rPr>
      </w:pPr>
      <w:r>
        <w:rPr>
          <w:rStyle w:val="Strong"/>
          <w:lang w:val="es"/>
        </w:rPr>
        <w:t xml:space="preserve">La reunión de expertos se compondrá de seis sesiones plenarias durante los tres días. Las sesiones de apertura y clausura se dedicarán respectivamente a la introducción de la reunión y a sus conclusiones. El debate en las otras cuatro se encuadrará en el documento </w:t>
      </w:r>
      <w:r w:rsidR="00320412">
        <w:rPr>
          <w:rStyle w:val="Strong"/>
          <w:lang w:val="es"/>
        </w:rPr>
        <w:t xml:space="preserve">de </w:t>
      </w:r>
      <w:r>
        <w:rPr>
          <w:rStyle w:val="Strong"/>
          <w:lang w:val="es"/>
        </w:rPr>
        <w:t>referencia mencionado anteriormente elaborado por la Secretaria. Estas cuatro sesiones se centrarán respectivamente en:</w:t>
      </w:r>
    </w:p>
    <w:p w:rsidR="0024472E" w:rsidRPr="00087212" w:rsidRDefault="0024472E" w:rsidP="00FC33B9">
      <w:pPr>
        <w:spacing w:before="240" w:after="240" w:line="240" w:lineRule="auto"/>
        <w:ind w:left="567" w:hanging="567"/>
        <w:jc w:val="both"/>
        <w:rPr>
          <w:rStyle w:val="Strong"/>
          <w:lang w:val="es-ES_tradnl"/>
        </w:rPr>
      </w:pPr>
      <w:r>
        <w:rPr>
          <w:rStyle w:val="Strong"/>
          <w:lang w:val="es"/>
        </w:rPr>
        <w:t>1.</w:t>
      </w:r>
      <w:r>
        <w:rPr>
          <w:rStyle w:val="Strong"/>
          <w:lang w:val="es"/>
        </w:rPr>
        <w:tab/>
        <w:t xml:space="preserve">Los valores </w:t>
      </w:r>
      <w:proofErr w:type="spellStart"/>
      <w:r>
        <w:rPr>
          <w:rStyle w:val="Strong"/>
          <w:lang w:val="es"/>
        </w:rPr>
        <w:t>fundamentalese</w:t>
      </w:r>
      <w:proofErr w:type="spellEnd"/>
      <w:r>
        <w:rPr>
          <w:rStyle w:val="Strong"/>
          <w:lang w:val="es"/>
        </w:rPr>
        <w:t xml:space="preserve"> de la Convención que deben integrarse en los códigos de ética para patrimonio cultural inmaterial </w:t>
      </w:r>
      <w:r>
        <w:rPr>
          <w:rFonts w:ascii="Arial" w:hAnsi="Arial" w:cs="Arial"/>
          <w:lang w:val="es"/>
        </w:rPr>
        <w:t>(por ejemplo, valores como la primacía de las comunidades, respeto por los derechos humanos y diversidad cultural, límites a los accesos a la herencia y posesión de la misma)</w:t>
      </w:r>
      <w:r>
        <w:rPr>
          <w:rStyle w:val="Strong"/>
          <w:lang w:val="es"/>
        </w:rPr>
        <w:t>;</w:t>
      </w:r>
    </w:p>
    <w:p w:rsidR="0024472E" w:rsidRPr="00087212" w:rsidRDefault="0024472E" w:rsidP="00C400BD">
      <w:pPr>
        <w:pStyle w:val="NormalText"/>
        <w:spacing w:before="120" w:after="120"/>
        <w:ind w:left="567" w:hanging="567"/>
        <w:rPr>
          <w:rStyle w:val="Strong"/>
          <w:lang w:val="es-ES_tradnl"/>
        </w:rPr>
      </w:pPr>
      <w:r>
        <w:rPr>
          <w:rStyle w:val="Strong"/>
          <w:lang w:val="es"/>
        </w:rPr>
        <w:t>2.</w:t>
      </w:r>
      <w:r>
        <w:rPr>
          <w:rStyle w:val="Strong"/>
          <w:lang w:val="es"/>
        </w:rPr>
        <w:tab/>
        <w:t>Ámbito general del código de ética para el PCI</w:t>
      </w:r>
      <w:r>
        <w:rPr>
          <w:rFonts w:cs="Arial"/>
          <w:lang w:val="es"/>
        </w:rPr>
        <w:t>. Ventajas comparativas de ser más general o más focalizado en sectores específicos. Los múltiples destinatarios posibles (por ejemplo agentes, sociedad civil, sector privado, medios de comunicación, operadores turísticos, turistas, etc.)</w:t>
      </w:r>
      <w:r>
        <w:rPr>
          <w:rStyle w:val="Strong"/>
          <w:lang w:val="es"/>
        </w:rPr>
        <w:t>;</w:t>
      </w:r>
    </w:p>
    <w:p w:rsidR="0024472E" w:rsidRPr="00087212" w:rsidRDefault="0024472E" w:rsidP="00FC33B9">
      <w:pPr>
        <w:pStyle w:val="NormalText"/>
        <w:spacing w:before="120" w:after="120"/>
        <w:ind w:left="567" w:hanging="567"/>
        <w:rPr>
          <w:rStyle w:val="Strong"/>
          <w:lang w:val="es-ES_tradnl"/>
        </w:rPr>
      </w:pPr>
      <w:r>
        <w:rPr>
          <w:rStyle w:val="Strong"/>
          <w:lang w:val="es"/>
        </w:rPr>
        <w:t>3.</w:t>
      </w:r>
      <w:r>
        <w:rPr>
          <w:rStyle w:val="Strong"/>
          <w:lang w:val="es"/>
        </w:rPr>
        <w:tab/>
        <w:t>L</w:t>
      </w:r>
      <w:r>
        <w:rPr>
          <w:rFonts w:cs="Arial"/>
          <w:lang w:val="es"/>
        </w:rPr>
        <w:t>os principios éticos específicos que deben incluirse en los códigos de ética para PCI (por ejemplo, principios relativos al sector y a la audiencia, resultado de la referencia cruzada de los valores base de la Convención y los sectores o destinatarios específicos);</w:t>
      </w:r>
    </w:p>
    <w:p w:rsidR="00A07610" w:rsidRPr="00087212" w:rsidRDefault="0024472E" w:rsidP="005E3626">
      <w:pPr>
        <w:pStyle w:val="NormalText"/>
        <w:spacing w:before="120" w:after="120"/>
        <w:ind w:left="567" w:hanging="567"/>
        <w:rPr>
          <w:rStyle w:val="Strong"/>
          <w:b/>
          <w:snapToGrid w:val="0"/>
          <w:szCs w:val="24"/>
          <w:lang w:val="es-ES_tradnl"/>
        </w:rPr>
      </w:pPr>
      <w:r>
        <w:rPr>
          <w:rStyle w:val="Strong"/>
          <w:lang w:val="es"/>
        </w:rPr>
        <w:t>4.</w:t>
      </w:r>
      <w:r>
        <w:rPr>
          <w:rStyle w:val="Strong"/>
          <w:lang w:val="es"/>
        </w:rPr>
        <w:tab/>
        <w:t xml:space="preserve">Los </w:t>
      </w:r>
      <w:r>
        <w:rPr>
          <w:rFonts w:cs="Arial"/>
          <w:lang w:val="es"/>
        </w:rPr>
        <w:t xml:space="preserve">posibles procesos que podrían usarse para elaborar uno o más códigos modelos de ética para el PCI y </w:t>
      </w:r>
      <w:r w:rsidR="00320412">
        <w:rPr>
          <w:rFonts w:cs="Arial"/>
          <w:lang w:val="es"/>
        </w:rPr>
        <w:t>pasar</w:t>
      </w:r>
      <w:r>
        <w:rPr>
          <w:rFonts w:cs="Arial"/>
          <w:lang w:val="es"/>
        </w:rPr>
        <w:t xml:space="preserve"> de un modelo a códigos específicos adaptados a los </w:t>
      </w:r>
      <w:r>
        <w:rPr>
          <w:rFonts w:cs="Arial"/>
          <w:lang w:val="es"/>
        </w:rPr>
        <w:lastRenderedPageBreak/>
        <w:t xml:space="preserve">distintos contextos a nivel regional, nacional y </w:t>
      </w:r>
      <w:proofErr w:type="spellStart"/>
      <w:r>
        <w:rPr>
          <w:rFonts w:cs="Arial"/>
          <w:lang w:val="es"/>
        </w:rPr>
        <w:t>subnacional</w:t>
      </w:r>
      <w:proofErr w:type="spellEnd"/>
      <w:r>
        <w:rPr>
          <w:rFonts w:cs="Arial"/>
          <w:lang w:val="es"/>
        </w:rPr>
        <w:t xml:space="preserve"> (por ejempl</w:t>
      </w:r>
      <w:r w:rsidR="00320412">
        <w:rPr>
          <w:rFonts w:cs="Arial"/>
          <w:lang w:val="es"/>
        </w:rPr>
        <w:t>o, otros códigos modelo y cómo s</w:t>
      </w:r>
      <w:r>
        <w:rPr>
          <w:rFonts w:cs="Arial"/>
          <w:lang w:val="es"/>
        </w:rPr>
        <w:t>e desarrollaron, cómo se aplicaros y /o se transformaron en códigos específicos)</w:t>
      </w:r>
      <w:r>
        <w:rPr>
          <w:rStyle w:val="Strong"/>
          <w:lang w:val="es"/>
        </w:rPr>
        <w:t>.</w:t>
      </w:r>
    </w:p>
    <w:p w:rsidR="002D79CC" w:rsidRPr="001B3EA7" w:rsidRDefault="002D79CC" w:rsidP="00BC5B2F">
      <w:pPr>
        <w:keepNext/>
        <w:pageBreakBefore/>
        <w:spacing w:after="60" w:line="480" w:lineRule="auto"/>
        <w:jc w:val="center"/>
        <w:rPr>
          <w:rStyle w:val="Emphasis"/>
        </w:rPr>
      </w:pPr>
      <w:r>
        <w:rPr>
          <w:rStyle w:val="Emphasis"/>
          <w:bCs/>
          <w:lang w:val="es"/>
        </w:rPr>
        <w:lastRenderedPageBreak/>
        <w:t>Programa preliminar</w:t>
      </w:r>
      <w:r>
        <w:rPr>
          <w:rStyle w:val="Emphasis"/>
          <w:b w:val="0"/>
          <w:lang w:val="e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1632"/>
        <w:gridCol w:w="3827"/>
        <w:gridCol w:w="3933"/>
      </w:tblGrid>
      <w:tr w:rsidR="002D79CC" w:rsidRPr="001B3EA7" w:rsidTr="005E3626">
        <w:trPr>
          <w:cantSplit/>
        </w:trPr>
        <w:tc>
          <w:tcPr>
            <w:tcW w:w="9392" w:type="dxa"/>
            <w:gridSpan w:val="3"/>
            <w:shd w:val="clear" w:color="auto" w:fill="F2F2F2" w:themeFill="background1" w:themeFillShade="F2"/>
          </w:tcPr>
          <w:p w:rsidR="002D79CC" w:rsidRPr="001B3EA7" w:rsidRDefault="00246558" w:rsidP="00207FEC">
            <w:pPr>
              <w:keepNext/>
              <w:autoSpaceDE w:val="0"/>
              <w:autoSpaceDN w:val="0"/>
              <w:adjustRightInd w:val="0"/>
              <w:spacing w:beforeLines="15" w:before="36" w:afterLines="15" w:after="36" w:line="240" w:lineRule="auto"/>
              <w:jc w:val="center"/>
              <w:rPr>
                <w:rFonts w:ascii="Arial" w:hAnsi="Arial" w:cs="Arial"/>
                <w:sz w:val="20"/>
                <w:szCs w:val="20"/>
              </w:rPr>
            </w:pPr>
            <w:r>
              <w:rPr>
                <w:rFonts w:ascii="Arial" w:hAnsi="Arial" w:cs="Arial"/>
                <w:b/>
                <w:bCs/>
                <w:sz w:val="20"/>
                <w:szCs w:val="20"/>
                <w:lang w:val="es"/>
              </w:rPr>
              <w:t>Lunes, 30 de marzo de 2015</w:t>
            </w:r>
          </w:p>
        </w:tc>
      </w:tr>
      <w:tr w:rsidR="002D79CC" w:rsidRPr="00790B53" w:rsidTr="005E3626">
        <w:trPr>
          <w:cantSplit/>
        </w:trPr>
        <w:tc>
          <w:tcPr>
            <w:tcW w:w="1632" w:type="dxa"/>
            <w:tcBorders>
              <w:bottom w:val="single" w:sz="4" w:space="0" w:color="auto"/>
            </w:tcBorders>
          </w:tcPr>
          <w:p w:rsidR="002D79CC" w:rsidRPr="00DE70D4" w:rsidRDefault="006D089E" w:rsidP="006D089E">
            <w:pPr>
              <w:autoSpaceDE w:val="0"/>
              <w:autoSpaceDN w:val="0"/>
              <w:adjustRightInd w:val="0"/>
              <w:spacing w:beforeLines="20" w:before="48" w:afterLines="20" w:after="48" w:line="240" w:lineRule="auto"/>
              <w:rPr>
                <w:rFonts w:ascii="Arial" w:hAnsi="Arial" w:cs="Arial"/>
                <w:b/>
                <w:bCs/>
                <w:sz w:val="20"/>
                <w:szCs w:val="20"/>
              </w:rPr>
            </w:pPr>
            <w:r>
              <w:rPr>
                <w:rFonts w:ascii="Arial" w:hAnsi="Arial" w:cs="Arial"/>
                <w:b/>
                <w:bCs/>
                <w:sz w:val="20"/>
                <w:szCs w:val="20"/>
                <w:lang w:val="es"/>
              </w:rPr>
              <w:t>10</w:t>
            </w:r>
            <w:r w:rsidR="002D79CC">
              <w:rPr>
                <w:rFonts w:ascii="Arial" w:hAnsi="Arial" w:cs="Arial"/>
                <w:b/>
                <w:bCs/>
                <w:sz w:val="20"/>
                <w:szCs w:val="20"/>
                <w:lang w:val="es"/>
              </w:rPr>
              <w:t>:</w:t>
            </w:r>
            <w:r>
              <w:rPr>
                <w:rFonts w:ascii="Arial" w:hAnsi="Arial" w:cs="Arial"/>
                <w:b/>
                <w:bCs/>
                <w:sz w:val="20"/>
                <w:szCs w:val="20"/>
                <w:lang w:val="es"/>
              </w:rPr>
              <w:t>0</w:t>
            </w:r>
            <w:r w:rsidR="002D79CC">
              <w:rPr>
                <w:rFonts w:ascii="Arial" w:hAnsi="Arial" w:cs="Arial"/>
                <w:b/>
                <w:bCs/>
                <w:sz w:val="20"/>
                <w:szCs w:val="20"/>
                <w:lang w:val="es"/>
              </w:rPr>
              <w:t>0 – 11:00</w:t>
            </w:r>
          </w:p>
        </w:tc>
        <w:tc>
          <w:tcPr>
            <w:tcW w:w="3827" w:type="dxa"/>
            <w:tcBorders>
              <w:bottom w:val="single" w:sz="4" w:space="0" w:color="auto"/>
            </w:tcBorders>
          </w:tcPr>
          <w:p w:rsidR="002D79CC" w:rsidRDefault="002D79CC" w:rsidP="00207FEC">
            <w:pPr>
              <w:autoSpaceDE w:val="0"/>
              <w:autoSpaceDN w:val="0"/>
              <w:adjustRightInd w:val="0"/>
              <w:spacing w:beforeLines="20" w:before="48" w:afterLines="20" w:after="48" w:line="240" w:lineRule="auto"/>
              <w:rPr>
                <w:rFonts w:ascii="Arial" w:hAnsi="Arial" w:cs="Arial"/>
                <w:b/>
                <w:bCs/>
                <w:sz w:val="20"/>
                <w:szCs w:val="20"/>
                <w:lang w:val="es"/>
              </w:rPr>
            </w:pPr>
            <w:r>
              <w:rPr>
                <w:rFonts w:ascii="Arial" w:hAnsi="Arial" w:cs="Arial"/>
                <w:b/>
                <w:bCs/>
                <w:sz w:val="20"/>
                <w:szCs w:val="20"/>
                <w:lang w:val="es"/>
              </w:rPr>
              <w:t>Programa de inauguración</w:t>
            </w:r>
            <w:r>
              <w:rPr>
                <w:rFonts w:ascii="Arial" w:hAnsi="Arial" w:cs="Arial"/>
                <w:sz w:val="20"/>
                <w:szCs w:val="20"/>
                <w:lang w:val="es"/>
              </w:rPr>
              <w:t xml:space="preserve"> </w:t>
            </w:r>
            <w:r>
              <w:rPr>
                <w:rFonts w:ascii="Arial" w:hAnsi="Arial" w:cs="Arial"/>
                <w:b/>
                <w:bCs/>
                <w:sz w:val="20"/>
                <w:szCs w:val="20"/>
                <w:lang w:val="es"/>
              </w:rPr>
              <w:t>Hacia un código modelo de patrimonio cultural inmaterial</w:t>
            </w:r>
          </w:p>
          <w:p w:rsidR="00790B53" w:rsidRPr="00087212" w:rsidRDefault="00790B53" w:rsidP="00207FEC">
            <w:pPr>
              <w:autoSpaceDE w:val="0"/>
              <w:autoSpaceDN w:val="0"/>
              <w:adjustRightInd w:val="0"/>
              <w:spacing w:beforeLines="20" w:before="48" w:afterLines="20" w:after="48" w:line="240" w:lineRule="auto"/>
              <w:rPr>
                <w:rFonts w:ascii="Arial" w:hAnsi="Arial" w:cs="Arial"/>
                <w:b/>
                <w:bCs/>
                <w:sz w:val="20"/>
                <w:szCs w:val="20"/>
                <w:lang w:val="es-ES_tradnl"/>
              </w:rPr>
            </w:pPr>
            <w:r w:rsidRPr="00BA00DF">
              <w:rPr>
                <w:rFonts w:ascii="Arial" w:hAnsi="Arial" w:cs="Arial"/>
                <w:bCs/>
                <w:sz w:val="20"/>
                <w:szCs w:val="20"/>
                <w:lang w:val="es-ES_tradnl"/>
              </w:rPr>
              <w:t>Salón de Cortes du Palau de la Generalitat (c/ Caballeros, 2, 46001 Valencia)</w:t>
            </w:r>
          </w:p>
        </w:tc>
        <w:tc>
          <w:tcPr>
            <w:tcW w:w="3933" w:type="dxa"/>
            <w:tcBorders>
              <w:bottom w:val="single" w:sz="4" w:space="0" w:color="auto"/>
            </w:tcBorders>
          </w:tcPr>
          <w:p w:rsidR="00790B53" w:rsidRPr="00790B53" w:rsidRDefault="00790B53" w:rsidP="00790B53">
            <w:pPr>
              <w:pStyle w:val="ListParagraph"/>
              <w:numPr>
                <w:ilvl w:val="0"/>
                <w:numId w:val="5"/>
              </w:numPr>
              <w:spacing w:beforeLines="20" w:before="48" w:afterLines="20" w:after="48" w:line="240" w:lineRule="auto"/>
              <w:ind w:left="317" w:hanging="283"/>
              <w:rPr>
                <w:rFonts w:ascii="Arial" w:hAnsi="Arial" w:cs="Arial"/>
                <w:sz w:val="20"/>
                <w:szCs w:val="20"/>
                <w:lang w:val="es-ES"/>
              </w:rPr>
            </w:pPr>
            <w:r>
              <w:rPr>
                <w:rFonts w:ascii="Arial" w:hAnsi="Arial" w:cs="Arial"/>
                <w:sz w:val="20"/>
                <w:szCs w:val="20"/>
                <w:lang w:val="es-ES"/>
              </w:rPr>
              <w:t>Sra. </w:t>
            </w:r>
            <w:r w:rsidRPr="00790B53">
              <w:rPr>
                <w:rFonts w:ascii="Arial" w:hAnsi="Arial" w:cs="Arial"/>
                <w:sz w:val="20"/>
                <w:szCs w:val="20"/>
                <w:lang w:val="es-ES"/>
              </w:rPr>
              <w:t xml:space="preserve">Rita </w:t>
            </w:r>
            <w:proofErr w:type="spellStart"/>
            <w:r w:rsidRPr="00790B53">
              <w:rPr>
                <w:rFonts w:ascii="Arial" w:hAnsi="Arial" w:cs="Arial"/>
                <w:sz w:val="20"/>
                <w:szCs w:val="20"/>
                <w:lang w:val="es-ES"/>
              </w:rPr>
              <w:t>Barberá</w:t>
            </w:r>
            <w:proofErr w:type="spellEnd"/>
            <w:r w:rsidRPr="00790B53">
              <w:rPr>
                <w:rFonts w:ascii="Arial" w:hAnsi="Arial" w:cs="Arial"/>
                <w:sz w:val="20"/>
                <w:szCs w:val="20"/>
                <w:lang w:val="es-ES"/>
              </w:rPr>
              <w:t>, Alcaldesa de Valencia</w:t>
            </w:r>
          </w:p>
          <w:p w:rsidR="00790B53" w:rsidRPr="00790B53" w:rsidRDefault="00790B53" w:rsidP="00790B53">
            <w:pPr>
              <w:pStyle w:val="ListParagraph"/>
              <w:numPr>
                <w:ilvl w:val="0"/>
                <w:numId w:val="5"/>
              </w:numPr>
              <w:spacing w:beforeLines="20" w:before="48" w:afterLines="20" w:after="48" w:line="240" w:lineRule="auto"/>
              <w:ind w:left="317" w:hanging="283"/>
              <w:rPr>
                <w:rFonts w:ascii="Arial" w:hAnsi="Arial" w:cs="Arial"/>
                <w:sz w:val="20"/>
                <w:szCs w:val="20"/>
                <w:lang w:val="es-ES"/>
              </w:rPr>
            </w:pPr>
            <w:r>
              <w:rPr>
                <w:rFonts w:ascii="Arial" w:hAnsi="Arial" w:cs="Arial"/>
                <w:sz w:val="20"/>
                <w:szCs w:val="20"/>
                <w:lang w:val="es-ES"/>
              </w:rPr>
              <w:t>Sr. </w:t>
            </w:r>
            <w:r w:rsidRPr="00790B53">
              <w:rPr>
                <w:rFonts w:ascii="Arial" w:hAnsi="Arial" w:cs="Arial"/>
                <w:sz w:val="20"/>
                <w:szCs w:val="20"/>
                <w:lang w:val="es-ES"/>
              </w:rPr>
              <w:t xml:space="preserve">José M.ª </w:t>
            </w:r>
            <w:proofErr w:type="spellStart"/>
            <w:r w:rsidRPr="00790B53">
              <w:rPr>
                <w:rFonts w:ascii="Arial" w:hAnsi="Arial" w:cs="Arial"/>
                <w:sz w:val="20"/>
                <w:szCs w:val="20"/>
                <w:lang w:val="es-ES"/>
              </w:rPr>
              <w:t>Lassalle</w:t>
            </w:r>
            <w:proofErr w:type="spellEnd"/>
            <w:r w:rsidRPr="00790B53">
              <w:rPr>
                <w:rFonts w:ascii="Arial" w:hAnsi="Arial" w:cs="Arial"/>
                <w:sz w:val="20"/>
                <w:szCs w:val="20"/>
                <w:lang w:val="es-ES"/>
              </w:rPr>
              <w:t xml:space="preserve"> Ruiz, Secretario de Estado de Cultura</w:t>
            </w:r>
          </w:p>
          <w:p w:rsidR="00790B53" w:rsidRPr="00790B53" w:rsidRDefault="00790B53" w:rsidP="00790B53">
            <w:pPr>
              <w:pStyle w:val="ListParagraph"/>
              <w:numPr>
                <w:ilvl w:val="0"/>
                <w:numId w:val="5"/>
              </w:numPr>
              <w:spacing w:beforeLines="20" w:before="48" w:afterLines="20" w:after="48" w:line="240" w:lineRule="auto"/>
              <w:ind w:left="317" w:hanging="283"/>
              <w:rPr>
                <w:rFonts w:ascii="Arial" w:hAnsi="Arial" w:cs="Arial"/>
                <w:sz w:val="20"/>
                <w:szCs w:val="20"/>
                <w:lang w:val="es-ES"/>
              </w:rPr>
            </w:pPr>
            <w:r>
              <w:rPr>
                <w:rFonts w:ascii="Arial" w:hAnsi="Arial" w:cs="Arial"/>
                <w:sz w:val="20"/>
                <w:szCs w:val="20"/>
                <w:lang w:val="es-ES"/>
              </w:rPr>
              <w:t>Sr. </w:t>
            </w:r>
            <w:r w:rsidRPr="00790B53">
              <w:rPr>
                <w:rFonts w:ascii="Arial" w:hAnsi="Arial" w:cs="Arial"/>
                <w:sz w:val="20"/>
                <w:szCs w:val="20"/>
                <w:lang w:val="es-ES"/>
              </w:rPr>
              <w:t>José Manuel García-</w:t>
            </w:r>
            <w:proofErr w:type="spellStart"/>
            <w:r w:rsidRPr="00790B53">
              <w:rPr>
                <w:rFonts w:ascii="Arial" w:hAnsi="Arial" w:cs="Arial"/>
                <w:sz w:val="20"/>
                <w:szCs w:val="20"/>
                <w:lang w:val="es-ES"/>
              </w:rPr>
              <w:t>Margallo</w:t>
            </w:r>
            <w:proofErr w:type="spellEnd"/>
            <w:r w:rsidRPr="00790B53">
              <w:rPr>
                <w:rFonts w:ascii="Arial" w:hAnsi="Arial" w:cs="Arial"/>
                <w:sz w:val="20"/>
                <w:szCs w:val="20"/>
                <w:lang w:val="es-ES"/>
              </w:rPr>
              <w:t xml:space="preserve"> y Marfil, Ministro de Asuntos Exteriores y de Cooperación</w:t>
            </w:r>
          </w:p>
          <w:p w:rsidR="00790B53" w:rsidRPr="00790B53" w:rsidRDefault="00790B53" w:rsidP="00790B53">
            <w:pPr>
              <w:pStyle w:val="ListParagraph"/>
              <w:numPr>
                <w:ilvl w:val="0"/>
                <w:numId w:val="5"/>
              </w:numPr>
              <w:spacing w:beforeLines="20" w:before="48" w:afterLines="20" w:after="48" w:line="240" w:lineRule="auto"/>
              <w:ind w:left="317" w:hanging="283"/>
              <w:rPr>
                <w:rFonts w:ascii="Arial" w:hAnsi="Arial" w:cs="Arial"/>
                <w:sz w:val="20"/>
                <w:szCs w:val="20"/>
                <w:lang w:val="es-ES_tradnl"/>
              </w:rPr>
            </w:pPr>
            <w:r>
              <w:rPr>
                <w:rFonts w:ascii="Arial" w:hAnsi="Arial" w:cs="Arial"/>
                <w:sz w:val="20"/>
                <w:szCs w:val="20"/>
                <w:lang w:val="es-ES"/>
              </w:rPr>
              <w:t>Sra. </w:t>
            </w:r>
            <w:r w:rsidRPr="00790B53">
              <w:rPr>
                <w:rFonts w:ascii="Arial" w:hAnsi="Arial" w:cs="Arial"/>
                <w:sz w:val="20"/>
                <w:szCs w:val="20"/>
                <w:lang w:val="es-ES"/>
              </w:rPr>
              <w:t xml:space="preserve">Irina </w:t>
            </w:r>
            <w:proofErr w:type="spellStart"/>
            <w:r w:rsidRPr="00790B53">
              <w:rPr>
                <w:rFonts w:ascii="Arial" w:hAnsi="Arial" w:cs="Arial"/>
                <w:sz w:val="20"/>
                <w:szCs w:val="20"/>
                <w:lang w:val="es-ES"/>
              </w:rPr>
              <w:t>Bokova</w:t>
            </w:r>
            <w:proofErr w:type="spellEnd"/>
            <w:r w:rsidRPr="00790B53">
              <w:rPr>
                <w:rFonts w:ascii="Arial" w:hAnsi="Arial" w:cs="Arial"/>
                <w:sz w:val="20"/>
                <w:szCs w:val="20"/>
                <w:lang w:val="es-ES"/>
              </w:rPr>
              <w:t>, Directora General de</w:t>
            </w:r>
            <w:r>
              <w:rPr>
                <w:rFonts w:ascii="Arial" w:hAnsi="Arial" w:cs="Arial"/>
                <w:sz w:val="20"/>
                <w:szCs w:val="20"/>
                <w:lang w:val="es-ES"/>
              </w:rPr>
              <w:t xml:space="preserve"> la</w:t>
            </w:r>
            <w:r w:rsidRPr="00790B53">
              <w:rPr>
                <w:rFonts w:ascii="Arial" w:hAnsi="Arial" w:cs="Arial"/>
                <w:sz w:val="20"/>
                <w:szCs w:val="20"/>
                <w:lang w:val="es-ES"/>
              </w:rPr>
              <w:t xml:space="preserve"> UNESCO</w:t>
            </w:r>
          </w:p>
          <w:p w:rsidR="002D79CC" w:rsidRPr="00087212" w:rsidRDefault="00790B53" w:rsidP="00790B53">
            <w:pPr>
              <w:pStyle w:val="ListParagraph"/>
              <w:numPr>
                <w:ilvl w:val="0"/>
                <w:numId w:val="5"/>
              </w:numPr>
              <w:spacing w:beforeLines="20" w:before="48" w:afterLines="20" w:after="48" w:line="240" w:lineRule="auto"/>
              <w:ind w:left="317" w:hanging="283"/>
              <w:rPr>
                <w:rFonts w:ascii="Arial" w:hAnsi="Arial" w:cs="Arial"/>
                <w:sz w:val="20"/>
                <w:szCs w:val="20"/>
                <w:lang w:val="es-ES_tradnl"/>
              </w:rPr>
            </w:pPr>
            <w:r>
              <w:rPr>
                <w:rFonts w:ascii="Arial" w:hAnsi="Arial" w:cs="Arial"/>
                <w:sz w:val="20"/>
                <w:szCs w:val="20"/>
                <w:lang w:val="es-ES"/>
              </w:rPr>
              <w:t>Sr. </w:t>
            </w:r>
            <w:r w:rsidRPr="00790B53">
              <w:rPr>
                <w:rFonts w:ascii="Arial" w:hAnsi="Arial" w:cs="Arial"/>
                <w:sz w:val="20"/>
                <w:szCs w:val="20"/>
                <w:lang w:val="es-ES"/>
              </w:rPr>
              <w:t xml:space="preserve">Alberto </w:t>
            </w:r>
            <w:proofErr w:type="spellStart"/>
            <w:r w:rsidRPr="00790B53">
              <w:rPr>
                <w:rFonts w:ascii="Arial" w:hAnsi="Arial" w:cs="Arial"/>
                <w:sz w:val="20"/>
                <w:szCs w:val="20"/>
                <w:lang w:val="es-ES"/>
              </w:rPr>
              <w:t>Fabra</w:t>
            </w:r>
            <w:proofErr w:type="spellEnd"/>
            <w:r w:rsidRPr="00790B53">
              <w:rPr>
                <w:rFonts w:ascii="Arial" w:hAnsi="Arial" w:cs="Arial"/>
                <w:sz w:val="20"/>
                <w:szCs w:val="20"/>
                <w:lang w:val="es-ES"/>
              </w:rPr>
              <w:t>, Presidente de la Generalitat Valenciana</w:t>
            </w:r>
          </w:p>
        </w:tc>
      </w:tr>
      <w:tr w:rsidR="005E3626" w:rsidRPr="00790B53" w:rsidTr="00221740">
        <w:trPr>
          <w:cantSplit/>
        </w:trPr>
        <w:tc>
          <w:tcPr>
            <w:tcW w:w="9392" w:type="dxa"/>
            <w:gridSpan w:val="3"/>
            <w:tcBorders>
              <w:left w:val="nil"/>
              <w:right w:val="nil"/>
            </w:tcBorders>
          </w:tcPr>
          <w:p w:rsidR="005E3626" w:rsidRPr="00087212" w:rsidRDefault="005E3626" w:rsidP="00790B53">
            <w:pPr>
              <w:spacing w:beforeLines="20" w:before="48" w:afterLines="20" w:after="48" w:line="240" w:lineRule="auto"/>
              <w:jc w:val="center"/>
              <w:rPr>
                <w:rFonts w:ascii="Arial" w:hAnsi="Arial" w:cs="Arial"/>
                <w:i/>
                <w:iCs/>
                <w:sz w:val="20"/>
                <w:szCs w:val="20"/>
                <w:lang w:val="es-ES_tradnl"/>
              </w:rPr>
            </w:pPr>
            <w:r>
              <w:rPr>
                <w:rFonts w:ascii="Arial" w:hAnsi="Arial" w:cs="Arial"/>
                <w:i/>
                <w:iCs/>
                <w:sz w:val="20"/>
                <w:szCs w:val="20"/>
                <w:lang w:val="es"/>
              </w:rPr>
              <w:t>Las reuniones de trabajo se reanud</w:t>
            </w:r>
            <w:r w:rsidR="00790B53">
              <w:rPr>
                <w:rFonts w:ascii="Arial" w:hAnsi="Arial" w:cs="Arial"/>
                <w:i/>
                <w:iCs/>
                <w:sz w:val="20"/>
                <w:szCs w:val="20"/>
                <w:lang w:val="es"/>
              </w:rPr>
              <w:t xml:space="preserve">arán después </w:t>
            </w:r>
            <w:r w:rsidR="00790B53" w:rsidRPr="00790B53">
              <w:rPr>
                <w:rFonts w:ascii="Arial" w:hAnsi="Arial" w:cs="Arial"/>
                <w:i/>
                <w:iCs/>
                <w:sz w:val="20"/>
                <w:szCs w:val="20"/>
                <w:lang w:val="es-ES"/>
              </w:rPr>
              <w:t>del traslado de los participantes a la sede de la reunión</w:t>
            </w:r>
          </w:p>
        </w:tc>
      </w:tr>
      <w:tr w:rsidR="002D79CC" w:rsidRPr="00790B53" w:rsidTr="005E3626">
        <w:trPr>
          <w:cantSplit/>
        </w:trPr>
        <w:tc>
          <w:tcPr>
            <w:tcW w:w="1632" w:type="dxa"/>
          </w:tcPr>
          <w:p w:rsidR="002D79CC" w:rsidRPr="001B3EA7" w:rsidRDefault="00790B53" w:rsidP="00790B53">
            <w:pPr>
              <w:spacing w:beforeLines="20" w:before="48" w:afterLines="20" w:after="48" w:line="240" w:lineRule="auto"/>
              <w:rPr>
                <w:rFonts w:ascii="Arial" w:hAnsi="Arial" w:cs="Arial"/>
                <w:b/>
                <w:bCs/>
                <w:sz w:val="20"/>
                <w:szCs w:val="20"/>
                <w:highlight w:val="lightGray"/>
              </w:rPr>
            </w:pPr>
            <w:r>
              <w:rPr>
                <w:rFonts w:ascii="Arial" w:hAnsi="Arial" w:cs="Arial"/>
                <w:b/>
                <w:bCs/>
                <w:sz w:val="20"/>
                <w:szCs w:val="20"/>
                <w:u w:color="FFFFFF" w:themeColor="background1"/>
                <w:lang w:val="es"/>
              </w:rPr>
              <w:t>11:30</w:t>
            </w:r>
            <w:r w:rsidR="002D79CC">
              <w:rPr>
                <w:rFonts w:ascii="Arial" w:hAnsi="Arial" w:cs="Arial"/>
                <w:b/>
                <w:bCs/>
                <w:sz w:val="20"/>
                <w:szCs w:val="20"/>
                <w:u w:color="FFFFFF" w:themeColor="background1"/>
                <w:lang w:val="es"/>
              </w:rPr>
              <w:t> – 1</w:t>
            </w:r>
            <w:r>
              <w:rPr>
                <w:rFonts w:ascii="Arial" w:hAnsi="Arial" w:cs="Arial"/>
                <w:b/>
                <w:bCs/>
                <w:sz w:val="20"/>
                <w:szCs w:val="20"/>
                <w:u w:color="FFFFFF" w:themeColor="background1"/>
                <w:lang w:val="es"/>
              </w:rPr>
              <w:t>2</w:t>
            </w:r>
            <w:r w:rsidR="002D79CC">
              <w:rPr>
                <w:rFonts w:ascii="Arial" w:hAnsi="Arial" w:cs="Arial"/>
                <w:b/>
                <w:bCs/>
                <w:sz w:val="20"/>
                <w:szCs w:val="20"/>
                <w:u w:color="FFFFFF" w:themeColor="background1"/>
                <w:lang w:val="es"/>
              </w:rPr>
              <w:t>:</w:t>
            </w:r>
            <w:r>
              <w:rPr>
                <w:rFonts w:ascii="Arial" w:hAnsi="Arial" w:cs="Arial"/>
                <w:b/>
                <w:bCs/>
                <w:sz w:val="20"/>
                <w:szCs w:val="20"/>
                <w:u w:color="FFFFFF" w:themeColor="background1"/>
                <w:lang w:val="es"/>
              </w:rPr>
              <w:t>1</w:t>
            </w:r>
            <w:r w:rsidR="002D79CC">
              <w:rPr>
                <w:rFonts w:ascii="Arial" w:hAnsi="Arial" w:cs="Arial"/>
                <w:b/>
                <w:bCs/>
                <w:sz w:val="20"/>
                <w:szCs w:val="20"/>
                <w:u w:color="FFFFFF" w:themeColor="background1"/>
                <w:lang w:val="es"/>
              </w:rPr>
              <w:t>5</w:t>
            </w:r>
          </w:p>
        </w:tc>
        <w:tc>
          <w:tcPr>
            <w:tcW w:w="3827" w:type="dxa"/>
          </w:tcPr>
          <w:p w:rsidR="002D79CC" w:rsidRDefault="002D79CC" w:rsidP="00207FEC">
            <w:pPr>
              <w:spacing w:beforeLines="20" w:before="48" w:afterLines="20" w:after="48" w:line="240" w:lineRule="auto"/>
              <w:rPr>
                <w:rFonts w:ascii="Arial" w:hAnsi="Arial" w:cs="Arial"/>
                <w:b/>
                <w:bCs/>
                <w:sz w:val="20"/>
                <w:szCs w:val="20"/>
                <w:u w:color="FFFFFF" w:themeColor="background1"/>
                <w:lang w:val="es"/>
              </w:rPr>
            </w:pPr>
            <w:r>
              <w:rPr>
                <w:rFonts w:ascii="Arial" w:hAnsi="Arial" w:cs="Arial"/>
                <w:b/>
                <w:bCs/>
                <w:sz w:val="20"/>
                <w:szCs w:val="20"/>
                <w:u w:color="FFFFFF" w:themeColor="background1"/>
                <w:lang w:val="es"/>
              </w:rPr>
              <w:t>Presentación de los objetivos, métodos de trabajo y agenda</w:t>
            </w:r>
          </w:p>
          <w:p w:rsidR="00790B53" w:rsidRPr="00087212" w:rsidRDefault="00790B53" w:rsidP="00207FEC">
            <w:pPr>
              <w:spacing w:beforeLines="20" w:before="48" w:afterLines="20" w:after="48" w:line="240" w:lineRule="auto"/>
              <w:rPr>
                <w:rFonts w:ascii="Arial" w:hAnsi="Arial" w:cs="Arial"/>
                <w:b/>
                <w:bCs/>
                <w:sz w:val="20"/>
                <w:szCs w:val="20"/>
                <w:u w:color="FFFFFF" w:themeColor="background1"/>
                <w:lang w:val="es-ES_tradnl"/>
              </w:rPr>
            </w:pPr>
            <w:r w:rsidRPr="00BA00DF">
              <w:rPr>
                <w:rFonts w:ascii="Arial" w:hAnsi="Arial" w:cs="Arial"/>
                <w:bCs/>
                <w:sz w:val="20"/>
                <w:szCs w:val="20"/>
                <w:u w:color="FFFFFF" w:themeColor="background1"/>
                <w:lang w:val="es-ES_tradnl" w:eastAsia="zh-CN"/>
              </w:rPr>
              <w:t xml:space="preserve">Palau de les </w:t>
            </w:r>
            <w:proofErr w:type="spellStart"/>
            <w:r w:rsidRPr="00BA00DF">
              <w:rPr>
                <w:rFonts w:ascii="Arial" w:hAnsi="Arial" w:cs="Arial"/>
                <w:bCs/>
                <w:sz w:val="20"/>
                <w:szCs w:val="20"/>
                <w:u w:color="FFFFFF" w:themeColor="background1"/>
                <w:lang w:val="es-ES_tradnl" w:eastAsia="zh-CN"/>
              </w:rPr>
              <w:t>Arts</w:t>
            </w:r>
            <w:proofErr w:type="spellEnd"/>
            <w:r w:rsidRPr="00BA00DF">
              <w:rPr>
                <w:rFonts w:ascii="Arial" w:hAnsi="Arial" w:cs="Arial"/>
                <w:bCs/>
                <w:sz w:val="20"/>
                <w:szCs w:val="20"/>
                <w:u w:color="FFFFFF" w:themeColor="background1"/>
                <w:lang w:val="es-ES_tradnl" w:eastAsia="zh-CN"/>
              </w:rPr>
              <w:t xml:space="preserve"> Reina </w:t>
            </w:r>
            <w:proofErr w:type="spellStart"/>
            <w:r w:rsidRPr="00BA00DF">
              <w:rPr>
                <w:rFonts w:ascii="Arial" w:hAnsi="Arial" w:cs="Arial"/>
                <w:bCs/>
                <w:sz w:val="20"/>
                <w:szCs w:val="20"/>
                <w:u w:color="FFFFFF" w:themeColor="background1"/>
                <w:lang w:val="es-ES_tradnl" w:eastAsia="zh-CN"/>
              </w:rPr>
              <w:t>Sofia</w:t>
            </w:r>
            <w:proofErr w:type="spellEnd"/>
            <w:r w:rsidRPr="00BA00DF">
              <w:rPr>
                <w:rFonts w:ascii="Arial" w:hAnsi="Arial" w:cs="Arial"/>
                <w:bCs/>
                <w:sz w:val="20"/>
                <w:szCs w:val="20"/>
                <w:u w:color="FFFFFF" w:themeColor="background1"/>
                <w:lang w:val="es-ES_tradnl" w:eastAsia="zh-CN"/>
              </w:rPr>
              <w:t xml:space="preserve"> (Avenida del </w:t>
            </w:r>
            <w:proofErr w:type="spellStart"/>
            <w:r w:rsidRPr="00BA00DF">
              <w:rPr>
                <w:rFonts w:ascii="Arial" w:hAnsi="Arial" w:cs="Arial"/>
                <w:bCs/>
                <w:sz w:val="20"/>
                <w:szCs w:val="20"/>
                <w:u w:color="FFFFFF" w:themeColor="background1"/>
                <w:lang w:val="es-ES_tradnl" w:eastAsia="zh-CN"/>
              </w:rPr>
              <w:t>Professor</w:t>
            </w:r>
            <w:proofErr w:type="spellEnd"/>
            <w:r w:rsidRPr="00BA00DF">
              <w:rPr>
                <w:rFonts w:ascii="Arial" w:hAnsi="Arial" w:cs="Arial"/>
                <w:bCs/>
                <w:sz w:val="20"/>
                <w:szCs w:val="20"/>
                <w:u w:color="FFFFFF" w:themeColor="background1"/>
                <w:lang w:val="es-ES_tradnl" w:eastAsia="zh-CN"/>
              </w:rPr>
              <w:t xml:space="preserve"> López Piñero, 1, 46006 </w:t>
            </w:r>
            <w:r w:rsidR="00D5541E" w:rsidRPr="00BA00DF">
              <w:rPr>
                <w:rFonts w:ascii="Arial" w:hAnsi="Arial" w:cs="Arial"/>
                <w:bCs/>
                <w:sz w:val="20"/>
                <w:szCs w:val="20"/>
                <w:u w:color="FFFFFF" w:themeColor="background1"/>
                <w:lang w:val="es-ES_tradnl" w:eastAsia="zh-CN"/>
              </w:rPr>
              <w:t>Valencia</w:t>
            </w:r>
            <w:r w:rsidRPr="00BA00DF">
              <w:rPr>
                <w:rFonts w:ascii="Arial" w:hAnsi="Arial" w:cs="Arial"/>
                <w:bCs/>
                <w:sz w:val="20"/>
                <w:szCs w:val="20"/>
                <w:u w:color="FFFFFF" w:themeColor="background1"/>
                <w:lang w:val="es-ES_tradnl" w:eastAsia="zh-CN"/>
              </w:rPr>
              <w:t>)</w:t>
            </w:r>
          </w:p>
        </w:tc>
        <w:tc>
          <w:tcPr>
            <w:tcW w:w="3933" w:type="dxa"/>
          </w:tcPr>
          <w:p w:rsidR="002D79CC" w:rsidRPr="00087212" w:rsidRDefault="005E3626" w:rsidP="00207FEC">
            <w:pPr>
              <w:spacing w:beforeLines="20" w:before="48" w:afterLines="20" w:after="48" w:line="240" w:lineRule="auto"/>
              <w:rPr>
                <w:rFonts w:ascii="Arial" w:hAnsi="Arial" w:cs="Arial"/>
                <w:sz w:val="20"/>
                <w:szCs w:val="20"/>
                <w:lang w:val="es-ES_tradnl"/>
              </w:rPr>
            </w:pPr>
            <w:r>
              <w:rPr>
                <w:rFonts w:ascii="Arial" w:hAnsi="Arial" w:cs="Arial"/>
                <w:sz w:val="20"/>
                <w:szCs w:val="20"/>
                <w:lang w:val="es"/>
              </w:rPr>
              <w:t>Sra. Cécile Duvelle, Secretaria de la Convención de Salvaguarda del patrimonio cultural inmaterial, Directora de la sección de PCI, UNESCO</w:t>
            </w:r>
          </w:p>
        </w:tc>
      </w:tr>
      <w:tr w:rsidR="005E3626" w:rsidRPr="001B3EA7" w:rsidTr="005E3626">
        <w:trPr>
          <w:cantSplit/>
        </w:trPr>
        <w:tc>
          <w:tcPr>
            <w:tcW w:w="1632" w:type="dxa"/>
          </w:tcPr>
          <w:p w:rsidR="005E3626" w:rsidRPr="001B3EA7" w:rsidRDefault="00790B53" w:rsidP="00207FEC">
            <w:pPr>
              <w:tabs>
                <w:tab w:val="center" w:pos="4536"/>
                <w:tab w:val="right" w:pos="9072"/>
              </w:tabs>
              <w:spacing w:beforeLines="20" w:before="48" w:afterLines="20" w:after="48" w:line="240" w:lineRule="auto"/>
              <w:rPr>
                <w:rFonts w:ascii="Arial" w:hAnsi="Arial" w:cs="Arial"/>
                <w:b/>
                <w:bCs/>
                <w:sz w:val="20"/>
                <w:szCs w:val="20"/>
              </w:rPr>
            </w:pPr>
            <w:r>
              <w:rPr>
                <w:rFonts w:ascii="Arial" w:hAnsi="Arial" w:cs="Arial"/>
                <w:b/>
                <w:bCs/>
                <w:sz w:val="20"/>
                <w:szCs w:val="20"/>
                <w:u w:color="FFFFFF" w:themeColor="background1"/>
                <w:lang w:val="es"/>
              </w:rPr>
              <w:t>12:1</w:t>
            </w:r>
            <w:r w:rsidR="005E3626">
              <w:rPr>
                <w:rFonts w:ascii="Arial" w:hAnsi="Arial" w:cs="Arial"/>
                <w:b/>
                <w:bCs/>
                <w:sz w:val="20"/>
                <w:szCs w:val="20"/>
                <w:u w:color="FFFFFF" w:themeColor="background1"/>
                <w:lang w:val="es"/>
              </w:rPr>
              <w:t>5 – 13:00</w:t>
            </w:r>
          </w:p>
        </w:tc>
        <w:tc>
          <w:tcPr>
            <w:tcW w:w="3827" w:type="dxa"/>
          </w:tcPr>
          <w:p w:rsidR="005E3626" w:rsidRPr="001B3EA7" w:rsidRDefault="005E3626" w:rsidP="00207FEC">
            <w:pPr>
              <w:spacing w:beforeLines="20" w:before="48" w:afterLines="20" w:after="48" w:line="240" w:lineRule="auto"/>
              <w:rPr>
                <w:rFonts w:ascii="Arial" w:hAnsi="Arial" w:cs="Arial"/>
                <w:b/>
                <w:bCs/>
                <w:sz w:val="20"/>
                <w:szCs w:val="20"/>
              </w:rPr>
            </w:pPr>
            <w:r>
              <w:rPr>
                <w:rFonts w:ascii="Arial" w:hAnsi="Arial" w:cs="Arial"/>
                <w:b/>
                <w:bCs/>
                <w:sz w:val="20"/>
                <w:szCs w:val="20"/>
                <w:lang w:val="es"/>
              </w:rPr>
              <w:t>Presentación de los participantes</w:t>
            </w:r>
          </w:p>
        </w:tc>
        <w:tc>
          <w:tcPr>
            <w:tcW w:w="3933" w:type="dxa"/>
          </w:tcPr>
          <w:p w:rsidR="005E3626" w:rsidRPr="001B3EA7" w:rsidRDefault="005E3626" w:rsidP="00207FEC">
            <w:pPr>
              <w:spacing w:beforeLines="20" w:before="48" w:afterLines="20" w:after="48" w:line="240" w:lineRule="auto"/>
              <w:rPr>
                <w:rFonts w:ascii="Arial" w:hAnsi="Arial" w:cs="Arial"/>
                <w:sz w:val="20"/>
                <w:szCs w:val="20"/>
              </w:rPr>
            </w:pPr>
          </w:p>
        </w:tc>
      </w:tr>
      <w:tr w:rsidR="002D79CC" w:rsidRPr="001B3EA7" w:rsidTr="005E3626">
        <w:trPr>
          <w:cantSplit/>
        </w:trPr>
        <w:tc>
          <w:tcPr>
            <w:tcW w:w="1632" w:type="dxa"/>
          </w:tcPr>
          <w:p w:rsidR="002D79CC" w:rsidRPr="00DE70D4" w:rsidRDefault="002D79CC" w:rsidP="00207FEC">
            <w:pPr>
              <w:spacing w:beforeLines="20" w:before="48" w:afterLines="20" w:after="48" w:line="240" w:lineRule="auto"/>
              <w:rPr>
                <w:rFonts w:ascii="Arial" w:hAnsi="Arial" w:cs="Arial"/>
                <w:b/>
                <w:bCs/>
                <w:sz w:val="20"/>
                <w:szCs w:val="20"/>
              </w:rPr>
            </w:pPr>
            <w:r>
              <w:rPr>
                <w:rFonts w:ascii="Arial" w:hAnsi="Arial" w:cs="Arial"/>
                <w:b/>
                <w:bCs/>
                <w:sz w:val="20"/>
                <w:szCs w:val="20"/>
                <w:u w:color="FFFFFF" w:themeColor="background1"/>
                <w:lang w:val="es"/>
              </w:rPr>
              <w:t>13:00 – 15:00</w:t>
            </w:r>
            <w:r>
              <w:rPr>
                <w:rFonts w:ascii="Arial" w:hAnsi="Arial" w:cs="Arial"/>
                <w:sz w:val="20"/>
                <w:szCs w:val="20"/>
                <w:u w:color="FFFFFF" w:themeColor="background1"/>
                <w:lang w:val="es"/>
              </w:rPr>
              <w:t> </w:t>
            </w:r>
          </w:p>
        </w:tc>
        <w:tc>
          <w:tcPr>
            <w:tcW w:w="7760" w:type="dxa"/>
            <w:gridSpan w:val="2"/>
          </w:tcPr>
          <w:p w:rsidR="002D79CC" w:rsidRPr="001B3EA7" w:rsidRDefault="002D79CC" w:rsidP="00207FEC">
            <w:pPr>
              <w:spacing w:beforeLines="20" w:before="48" w:afterLines="20" w:after="48" w:line="240" w:lineRule="auto"/>
              <w:rPr>
                <w:rFonts w:ascii="Arial" w:hAnsi="Arial" w:cs="Arial"/>
                <w:sz w:val="20"/>
                <w:szCs w:val="20"/>
              </w:rPr>
            </w:pPr>
            <w:r>
              <w:rPr>
                <w:rFonts w:ascii="Arial" w:hAnsi="Arial" w:cs="Arial"/>
                <w:b/>
                <w:bCs/>
                <w:sz w:val="20"/>
                <w:szCs w:val="20"/>
                <w:lang w:val="es"/>
              </w:rPr>
              <w:t>Comida</w:t>
            </w:r>
          </w:p>
        </w:tc>
      </w:tr>
      <w:tr w:rsidR="002D79CC" w:rsidRPr="001B3EA7" w:rsidTr="005E3626">
        <w:trPr>
          <w:cantSplit/>
        </w:trPr>
        <w:tc>
          <w:tcPr>
            <w:tcW w:w="1632" w:type="dxa"/>
          </w:tcPr>
          <w:p w:rsidR="002D79CC" w:rsidRPr="00087212" w:rsidRDefault="002D79CC" w:rsidP="00207FEC">
            <w:pPr>
              <w:spacing w:beforeLines="20" w:before="48" w:afterLines="20" w:after="48" w:line="240" w:lineRule="auto"/>
              <w:rPr>
                <w:rFonts w:ascii="Arial" w:hAnsi="Arial" w:cs="Arial"/>
                <w:b/>
                <w:bCs/>
                <w:sz w:val="20"/>
                <w:szCs w:val="20"/>
                <w:lang w:val="es-ES_tradnl"/>
              </w:rPr>
            </w:pPr>
            <w:r>
              <w:rPr>
                <w:rFonts w:ascii="Arial" w:hAnsi="Arial" w:cs="Arial"/>
                <w:b/>
                <w:bCs/>
                <w:sz w:val="20"/>
                <w:szCs w:val="20"/>
                <w:lang w:val="es"/>
              </w:rPr>
              <w:t>15:00 – 18:00 (pausa para café a las 16:00)</w:t>
            </w:r>
          </w:p>
        </w:tc>
        <w:tc>
          <w:tcPr>
            <w:tcW w:w="3827" w:type="dxa"/>
          </w:tcPr>
          <w:p w:rsidR="002D79CC" w:rsidRPr="00087212" w:rsidRDefault="002D79CC" w:rsidP="00320412">
            <w:pPr>
              <w:spacing w:beforeLines="20" w:before="48" w:afterLines="20" w:after="48" w:line="240" w:lineRule="auto"/>
              <w:rPr>
                <w:rFonts w:ascii="Arial" w:hAnsi="Arial" w:cs="Arial"/>
                <w:b/>
                <w:bCs/>
                <w:sz w:val="20"/>
                <w:szCs w:val="20"/>
                <w:lang w:val="es-ES_tradnl"/>
              </w:rPr>
            </w:pPr>
            <w:r>
              <w:rPr>
                <w:rFonts w:ascii="Arial" w:hAnsi="Arial" w:cs="Arial"/>
                <w:b/>
                <w:bCs/>
                <w:sz w:val="20"/>
                <w:szCs w:val="20"/>
                <w:lang w:val="es"/>
              </w:rPr>
              <w:t>Sesión 1:</w:t>
            </w:r>
            <w:r>
              <w:rPr>
                <w:rFonts w:ascii="Arial" w:hAnsi="Arial" w:cs="Arial"/>
                <w:sz w:val="20"/>
                <w:szCs w:val="20"/>
                <w:lang w:val="es"/>
              </w:rPr>
              <w:t xml:space="preserve"> </w:t>
            </w:r>
            <w:r>
              <w:rPr>
                <w:rFonts w:ascii="Arial" w:hAnsi="Arial" w:cs="Arial"/>
                <w:b/>
                <w:bCs/>
                <w:sz w:val="20"/>
                <w:szCs w:val="20"/>
                <w:lang w:val="es"/>
              </w:rPr>
              <w:t xml:space="preserve">Valores principales de la </w:t>
            </w:r>
            <w:r w:rsidR="00682B51">
              <w:rPr>
                <w:rFonts w:ascii="Arial" w:hAnsi="Arial" w:cs="Arial"/>
                <w:b/>
                <w:bCs/>
                <w:sz w:val="20"/>
                <w:szCs w:val="20"/>
                <w:lang w:val="es"/>
              </w:rPr>
              <w:t>C</w:t>
            </w:r>
            <w:r>
              <w:rPr>
                <w:rFonts w:ascii="Arial" w:hAnsi="Arial" w:cs="Arial"/>
                <w:b/>
                <w:bCs/>
                <w:sz w:val="20"/>
                <w:szCs w:val="20"/>
                <w:lang w:val="es"/>
              </w:rPr>
              <w:t xml:space="preserve">onvención que deben reflejarse en las normas éticas para el </w:t>
            </w:r>
            <w:r w:rsidR="00320412">
              <w:rPr>
                <w:rFonts w:ascii="Arial" w:hAnsi="Arial" w:cs="Arial"/>
                <w:b/>
                <w:bCs/>
                <w:sz w:val="20"/>
                <w:szCs w:val="20"/>
                <w:lang w:val="es"/>
              </w:rPr>
              <w:t>P</w:t>
            </w:r>
            <w:r>
              <w:rPr>
                <w:rFonts w:ascii="Arial" w:hAnsi="Arial" w:cs="Arial"/>
                <w:b/>
                <w:bCs/>
                <w:sz w:val="20"/>
                <w:szCs w:val="20"/>
                <w:lang w:val="es"/>
              </w:rPr>
              <w:t xml:space="preserve">atrimonio </w:t>
            </w:r>
            <w:r w:rsidR="00320412">
              <w:rPr>
                <w:rFonts w:ascii="Arial" w:hAnsi="Arial" w:cs="Arial"/>
                <w:b/>
                <w:bCs/>
                <w:sz w:val="20"/>
                <w:szCs w:val="20"/>
                <w:lang w:val="es"/>
              </w:rPr>
              <w:t>C</w:t>
            </w:r>
            <w:r>
              <w:rPr>
                <w:rFonts w:ascii="Arial" w:hAnsi="Arial" w:cs="Arial"/>
                <w:b/>
                <w:bCs/>
                <w:sz w:val="20"/>
                <w:szCs w:val="20"/>
                <w:lang w:val="es"/>
              </w:rPr>
              <w:t xml:space="preserve">ultural </w:t>
            </w:r>
            <w:r w:rsidR="00320412">
              <w:rPr>
                <w:rFonts w:ascii="Arial" w:hAnsi="Arial" w:cs="Arial"/>
                <w:b/>
                <w:bCs/>
                <w:sz w:val="20"/>
                <w:szCs w:val="20"/>
                <w:lang w:val="es"/>
              </w:rPr>
              <w:t>I</w:t>
            </w:r>
            <w:r>
              <w:rPr>
                <w:rFonts w:ascii="Arial" w:hAnsi="Arial" w:cs="Arial"/>
                <w:b/>
                <w:bCs/>
                <w:sz w:val="20"/>
                <w:szCs w:val="20"/>
                <w:lang w:val="es"/>
              </w:rPr>
              <w:t>nmaterial.</w:t>
            </w:r>
          </w:p>
        </w:tc>
        <w:tc>
          <w:tcPr>
            <w:tcW w:w="3933" w:type="dxa"/>
          </w:tcPr>
          <w:p w:rsidR="002D79CC" w:rsidRPr="001B3EA7" w:rsidRDefault="002D79CC" w:rsidP="00207FEC">
            <w:pPr>
              <w:spacing w:beforeLines="20" w:before="48" w:afterLines="20" w:after="48" w:line="240" w:lineRule="auto"/>
              <w:rPr>
                <w:rFonts w:ascii="Arial" w:hAnsi="Arial" w:cs="Arial"/>
                <w:sz w:val="20"/>
                <w:szCs w:val="20"/>
              </w:rPr>
            </w:pPr>
            <w:r>
              <w:rPr>
                <w:rFonts w:ascii="Arial" w:hAnsi="Arial" w:cs="Arial"/>
                <w:sz w:val="20"/>
                <w:szCs w:val="20"/>
                <w:lang w:val="es"/>
              </w:rPr>
              <w:t>Moderador: Sra. Cécile Duvelle</w:t>
            </w:r>
          </w:p>
        </w:tc>
      </w:tr>
      <w:tr w:rsidR="002D79CC" w:rsidRPr="001B3EA7" w:rsidTr="005E3626">
        <w:trPr>
          <w:cantSplit/>
        </w:trPr>
        <w:tc>
          <w:tcPr>
            <w:tcW w:w="9392" w:type="dxa"/>
            <w:gridSpan w:val="3"/>
            <w:shd w:val="clear" w:color="auto" w:fill="F2F2F2" w:themeFill="background1" w:themeFillShade="F2"/>
          </w:tcPr>
          <w:p w:rsidR="002D79CC" w:rsidRPr="00DE70D4" w:rsidRDefault="00801973" w:rsidP="00207FEC">
            <w:pPr>
              <w:keepNext/>
              <w:spacing w:beforeLines="15" w:before="36" w:afterLines="15" w:after="36" w:line="240" w:lineRule="auto"/>
              <w:jc w:val="center"/>
              <w:rPr>
                <w:rFonts w:ascii="Arial" w:hAnsi="Arial" w:cs="Arial"/>
                <w:sz w:val="20"/>
                <w:szCs w:val="20"/>
              </w:rPr>
            </w:pPr>
            <w:r>
              <w:rPr>
                <w:rFonts w:ascii="Arial" w:hAnsi="Arial" w:cs="Arial"/>
                <w:b/>
                <w:bCs/>
                <w:sz w:val="20"/>
                <w:szCs w:val="20"/>
                <w:lang w:val="es"/>
              </w:rPr>
              <w:t>Martes, 31 de marzo de 2015</w:t>
            </w:r>
          </w:p>
        </w:tc>
      </w:tr>
      <w:tr w:rsidR="002D79CC" w:rsidRPr="00790B53" w:rsidTr="005E3626">
        <w:trPr>
          <w:cantSplit/>
        </w:trPr>
        <w:tc>
          <w:tcPr>
            <w:tcW w:w="1632" w:type="dxa"/>
          </w:tcPr>
          <w:p w:rsidR="002D79CC" w:rsidRPr="00DE70D4" w:rsidRDefault="002D79CC" w:rsidP="00207FEC">
            <w:pPr>
              <w:spacing w:beforeLines="20" w:before="48" w:afterLines="20" w:after="48" w:line="240" w:lineRule="auto"/>
              <w:rPr>
                <w:rFonts w:ascii="Arial" w:hAnsi="Arial" w:cs="Arial"/>
                <w:b/>
                <w:bCs/>
                <w:sz w:val="20"/>
                <w:szCs w:val="20"/>
              </w:rPr>
            </w:pPr>
            <w:r>
              <w:rPr>
                <w:rFonts w:ascii="Arial" w:hAnsi="Arial" w:cs="Arial"/>
                <w:b/>
                <w:bCs/>
                <w:sz w:val="20"/>
                <w:szCs w:val="20"/>
                <w:lang w:val="es"/>
              </w:rPr>
              <w:t>09:30 – 13:00</w:t>
            </w:r>
          </w:p>
        </w:tc>
        <w:tc>
          <w:tcPr>
            <w:tcW w:w="3827" w:type="dxa"/>
          </w:tcPr>
          <w:p w:rsidR="002D79CC" w:rsidRPr="00087212" w:rsidRDefault="002D79CC" w:rsidP="00320412">
            <w:pPr>
              <w:spacing w:beforeLines="20" w:before="48" w:afterLines="20" w:after="48" w:line="240" w:lineRule="auto"/>
              <w:rPr>
                <w:rFonts w:ascii="Arial" w:hAnsi="Arial" w:cs="Arial"/>
                <w:b/>
                <w:bCs/>
                <w:sz w:val="20"/>
                <w:szCs w:val="20"/>
                <w:lang w:val="es-ES_tradnl"/>
              </w:rPr>
            </w:pPr>
            <w:r>
              <w:rPr>
                <w:rFonts w:ascii="Arial" w:hAnsi="Arial" w:cs="Arial"/>
                <w:b/>
                <w:bCs/>
                <w:sz w:val="20"/>
                <w:szCs w:val="20"/>
                <w:lang w:val="es"/>
              </w:rPr>
              <w:t>Sesión 2:</w:t>
            </w:r>
            <w:r>
              <w:rPr>
                <w:rFonts w:ascii="Arial" w:hAnsi="Arial" w:cs="Arial"/>
                <w:sz w:val="20"/>
                <w:szCs w:val="20"/>
                <w:lang w:val="es"/>
              </w:rPr>
              <w:t xml:space="preserve"> </w:t>
            </w:r>
            <w:r>
              <w:rPr>
                <w:rFonts w:ascii="Arial" w:hAnsi="Arial" w:cs="Arial"/>
                <w:b/>
                <w:bCs/>
                <w:sz w:val="20"/>
                <w:szCs w:val="20"/>
                <w:lang w:val="es"/>
              </w:rPr>
              <w:t>Ámbito gener</w:t>
            </w:r>
            <w:r w:rsidR="00320412">
              <w:rPr>
                <w:rFonts w:ascii="Arial" w:hAnsi="Arial" w:cs="Arial"/>
                <w:b/>
                <w:bCs/>
                <w:sz w:val="20"/>
                <w:szCs w:val="20"/>
                <w:lang w:val="es"/>
              </w:rPr>
              <w:t>al del código de ética para el P</w:t>
            </w:r>
            <w:r>
              <w:rPr>
                <w:rFonts w:ascii="Arial" w:hAnsi="Arial" w:cs="Arial"/>
                <w:b/>
                <w:bCs/>
                <w:sz w:val="20"/>
                <w:szCs w:val="20"/>
                <w:lang w:val="es"/>
              </w:rPr>
              <w:t xml:space="preserve">atrimonio </w:t>
            </w:r>
            <w:r w:rsidR="00320412">
              <w:rPr>
                <w:rFonts w:ascii="Arial" w:hAnsi="Arial" w:cs="Arial"/>
                <w:b/>
                <w:bCs/>
                <w:sz w:val="20"/>
                <w:szCs w:val="20"/>
                <w:lang w:val="es"/>
              </w:rPr>
              <w:t>C</w:t>
            </w:r>
            <w:r>
              <w:rPr>
                <w:rFonts w:ascii="Arial" w:hAnsi="Arial" w:cs="Arial"/>
                <w:b/>
                <w:bCs/>
                <w:sz w:val="20"/>
                <w:szCs w:val="20"/>
                <w:lang w:val="es"/>
              </w:rPr>
              <w:t xml:space="preserve">ultural </w:t>
            </w:r>
            <w:r w:rsidR="00320412">
              <w:rPr>
                <w:rFonts w:ascii="Arial" w:hAnsi="Arial" w:cs="Arial"/>
                <w:b/>
                <w:bCs/>
                <w:sz w:val="20"/>
                <w:szCs w:val="20"/>
                <w:lang w:val="es"/>
              </w:rPr>
              <w:t>I</w:t>
            </w:r>
            <w:r>
              <w:rPr>
                <w:rFonts w:ascii="Arial" w:hAnsi="Arial" w:cs="Arial"/>
                <w:b/>
                <w:bCs/>
                <w:sz w:val="20"/>
                <w:szCs w:val="20"/>
                <w:lang w:val="es"/>
              </w:rPr>
              <w:t>nmaterial.</w:t>
            </w:r>
          </w:p>
        </w:tc>
        <w:tc>
          <w:tcPr>
            <w:tcW w:w="3933" w:type="dxa"/>
          </w:tcPr>
          <w:p w:rsidR="002D79CC" w:rsidRPr="00087212" w:rsidRDefault="002D79CC" w:rsidP="00207FEC">
            <w:pPr>
              <w:spacing w:beforeLines="20" w:before="48" w:afterLines="20" w:after="48" w:line="240" w:lineRule="auto"/>
              <w:rPr>
                <w:rFonts w:ascii="Arial" w:hAnsi="Arial" w:cs="Arial"/>
                <w:sz w:val="20"/>
                <w:szCs w:val="20"/>
                <w:lang w:val="es-ES_tradnl"/>
              </w:rPr>
            </w:pPr>
            <w:r>
              <w:rPr>
                <w:rFonts w:ascii="Arial" w:hAnsi="Arial" w:cs="Arial"/>
                <w:sz w:val="20"/>
                <w:szCs w:val="20"/>
                <w:lang w:val="es"/>
              </w:rPr>
              <w:t xml:space="preserve">Moderador: Sr. Frank Proschan, Jefe de la unidad de </w:t>
            </w:r>
            <w:r w:rsidR="00320412" w:rsidRPr="00320412">
              <w:rPr>
                <w:rFonts w:ascii="Arial" w:hAnsi="Arial" w:cs="Arial"/>
                <w:sz w:val="20"/>
                <w:szCs w:val="20"/>
                <w:lang w:val="es"/>
              </w:rPr>
              <w:t xml:space="preserve">implementación </w:t>
            </w:r>
            <w:r>
              <w:rPr>
                <w:rFonts w:ascii="Arial" w:hAnsi="Arial" w:cs="Arial"/>
                <w:sz w:val="20"/>
                <w:szCs w:val="20"/>
                <w:lang w:val="es"/>
              </w:rPr>
              <w:t>del programa, sección de Patrimonio Cultural Inmaterial, UNESCO</w:t>
            </w:r>
          </w:p>
        </w:tc>
      </w:tr>
      <w:tr w:rsidR="00CC6C7B" w:rsidRPr="001B3EA7" w:rsidTr="005E3626">
        <w:trPr>
          <w:cantSplit/>
        </w:trPr>
        <w:tc>
          <w:tcPr>
            <w:tcW w:w="1632" w:type="dxa"/>
          </w:tcPr>
          <w:p w:rsidR="00CC6C7B" w:rsidRPr="00DE70D4" w:rsidRDefault="00CC6C7B" w:rsidP="00207FEC">
            <w:pPr>
              <w:spacing w:beforeLines="20" w:before="48" w:afterLines="20" w:after="48" w:line="240" w:lineRule="auto"/>
              <w:rPr>
                <w:rFonts w:ascii="Arial" w:hAnsi="Arial" w:cs="Arial"/>
                <w:b/>
                <w:bCs/>
                <w:sz w:val="20"/>
                <w:szCs w:val="20"/>
              </w:rPr>
            </w:pPr>
            <w:r>
              <w:rPr>
                <w:rFonts w:ascii="Arial" w:hAnsi="Arial" w:cs="Arial"/>
                <w:b/>
                <w:bCs/>
                <w:sz w:val="20"/>
                <w:szCs w:val="20"/>
                <w:u w:color="FFFFFF" w:themeColor="background1"/>
                <w:lang w:val="es"/>
              </w:rPr>
              <w:t>13:00 – 15:00</w:t>
            </w:r>
            <w:r>
              <w:rPr>
                <w:rFonts w:ascii="Arial" w:hAnsi="Arial" w:cs="Arial"/>
                <w:sz w:val="20"/>
                <w:szCs w:val="20"/>
                <w:u w:color="FFFFFF" w:themeColor="background1"/>
                <w:lang w:val="es"/>
              </w:rPr>
              <w:t> </w:t>
            </w:r>
          </w:p>
        </w:tc>
        <w:tc>
          <w:tcPr>
            <w:tcW w:w="7760" w:type="dxa"/>
            <w:gridSpan w:val="2"/>
          </w:tcPr>
          <w:p w:rsidR="00CC6C7B" w:rsidRPr="001B3EA7" w:rsidRDefault="00CC6C7B" w:rsidP="00207FEC">
            <w:pPr>
              <w:spacing w:beforeLines="20" w:before="48" w:afterLines="20" w:after="48" w:line="240" w:lineRule="auto"/>
              <w:rPr>
                <w:rFonts w:ascii="Arial" w:hAnsi="Arial" w:cs="Arial"/>
                <w:sz w:val="20"/>
                <w:szCs w:val="20"/>
              </w:rPr>
            </w:pPr>
            <w:r>
              <w:rPr>
                <w:rFonts w:ascii="Arial" w:hAnsi="Arial" w:cs="Arial"/>
                <w:b/>
                <w:bCs/>
                <w:sz w:val="20"/>
                <w:szCs w:val="20"/>
                <w:lang w:val="es"/>
              </w:rPr>
              <w:t>Comida</w:t>
            </w:r>
          </w:p>
        </w:tc>
      </w:tr>
      <w:tr w:rsidR="002D79CC" w:rsidRPr="001B3EA7" w:rsidTr="005E3626">
        <w:trPr>
          <w:cantSplit/>
        </w:trPr>
        <w:tc>
          <w:tcPr>
            <w:tcW w:w="1632" w:type="dxa"/>
          </w:tcPr>
          <w:p w:rsidR="002D79CC" w:rsidRPr="00087212" w:rsidRDefault="00CC6C7B" w:rsidP="00207FEC">
            <w:pPr>
              <w:spacing w:beforeLines="20" w:before="48" w:afterLines="20" w:after="48" w:line="240" w:lineRule="auto"/>
              <w:rPr>
                <w:rFonts w:ascii="Arial" w:hAnsi="Arial" w:cs="Arial"/>
                <w:b/>
                <w:bCs/>
                <w:sz w:val="20"/>
                <w:szCs w:val="20"/>
                <w:lang w:val="es-ES_tradnl"/>
              </w:rPr>
            </w:pPr>
            <w:r>
              <w:rPr>
                <w:rFonts w:ascii="Arial" w:hAnsi="Arial" w:cs="Arial"/>
                <w:b/>
                <w:bCs/>
                <w:sz w:val="20"/>
                <w:szCs w:val="20"/>
                <w:lang w:val="es"/>
              </w:rPr>
              <w:t>15:00 – 18:00 (pausa para café a las 16:00)</w:t>
            </w:r>
          </w:p>
        </w:tc>
        <w:tc>
          <w:tcPr>
            <w:tcW w:w="3827" w:type="dxa"/>
          </w:tcPr>
          <w:p w:rsidR="002D79CC" w:rsidRPr="00087212" w:rsidRDefault="002D79CC" w:rsidP="00320412">
            <w:pPr>
              <w:spacing w:beforeLines="20" w:before="48" w:afterLines="20" w:after="48" w:line="240" w:lineRule="auto"/>
              <w:rPr>
                <w:rFonts w:ascii="Arial" w:hAnsi="Arial" w:cs="Arial"/>
                <w:b/>
                <w:bCs/>
                <w:sz w:val="20"/>
                <w:szCs w:val="20"/>
                <w:lang w:val="es-ES_tradnl"/>
              </w:rPr>
            </w:pPr>
            <w:r>
              <w:rPr>
                <w:rFonts w:ascii="Arial" w:hAnsi="Arial" w:cs="Arial"/>
                <w:b/>
                <w:bCs/>
                <w:sz w:val="20"/>
                <w:szCs w:val="20"/>
                <w:lang w:val="es"/>
              </w:rPr>
              <w:t>Sesión 3:</w:t>
            </w:r>
            <w:r>
              <w:rPr>
                <w:rFonts w:ascii="Arial" w:hAnsi="Arial" w:cs="Arial"/>
                <w:sz w:val="20"/>
                <w:szCs w:val="20"/>
                <w:lang w:val="es"/>
              </w:rPr>
              <w:t xml:space="preserve"> </w:t>
            </w:r>
            <w:r>
              <w:rPr>
                <w:rFonts w:ascii="Arial" w:hAnsi="Arial" w:cs="Arial"/>
                <w:b/>
                <w:bCs/>
                <w:sz w:val="20"/>
                <w:szCs w:val="20"/>
                <w:lang w:val="es"/>
              </w:rPr>
              <w:t xml:space="preserve">Principios éticos específicos </w:t>
            </w:r>
            <w:r w:rsidR="00320412">
              <w:rPr>
                <w:rFonts w:ascii="Arial" w:hAnsi="Arial" w:cs="Arial"/>
                <w:b/>
                <w:bCs/>
                <w:sz w:val="20"/>
                <w:szCs w:val="20"/>
                <w:lang w:val="es"/>
              </w:rPr>
              <w:t>que</w:t>
            </w:r>
            <w:r>
              <w:rPr>
                <w:rFonts w:ascii="Arial" w:hAnsi="Arial" w:cs="Arial"/>
                <w:b/>
                <w:bCs/>
                <w:sz w:val="20"/>
                <w:szCs w:val="20"/>
                <w:lang w:val="es"/>
              </w:rPr>
              <w:t xml:space="preserve"> deben incluirse en el código de ética para el PCI.</w:t>
            </w:r>
            <w:r>
              <w:rPr>
                <w:rStyle w:val="Hyperlink"/>
                <w:rFonts w:ascii="Arial" w:hAnsi="Arial" w:cs="Arial"/>
                <w:color w:val="auto"/>
                <w:sz w:val="20"/>
                <w:szCs w:val="20"/>
                <w:u w:val="none"/>
                <w:lang w:val="es"/>
              </w:rPr>
              <w:t xml:space="preserve"> </w:t>
            </w:r>
          </w:p>
        </w:tc>
        <w:tc>
          <w:tcPr>
            <w:tcW w:w="3933" w:type="dxa"/>
          </w:tcPr>
          <w:p w:rsidR="002D79CC" w:rsidRPr="001B3EA7" w:rsidRDefault="002D79CC" w:rsidP="00207FEC">
            <w:pPr>
              <w:spacing w:beforeLines="20" w:before="48" w:afterLines="20" w:after="48" w:line="240" w:lineRule="auto"/>
              <w:rPr>
                <w:rFonts w:ascii="Arial" w:hAnsi="Arial" w:cs="Arial"/>
                <w:sz w:val="20"/>
                <w:szCs w:val="20"/>
              </w:rPr>
            </w:pPr>
            <w:r>
              <w:rPr>
                <w:rFonts w:ascii="Arial" w:hAnsi="Arial" w:cs="Arial"/>
                <w:sz w:val="20"/>
                <w:szCs w:val="20"/>
                <w:lang w:val="es"/>
              </w:rPr>
              <w:t>Moderador: Sra. Cécile Duvelle</w:t>
            </w:r>
          </w:p>
        </w:tc>
      </w:tr>
      <w:tr w:rsidR="002D79CC" w:rsidRPr="001B3EA7" w:rsidTr="005E3626">
        <w:trPr>
          <w:cantSplit/>
        </w:trPr>
        <w:tc>
          <w:tcPr>
            <w:tcW w:w="9392" w:type="dxa"/>
            <w:gridSpan w:val="3"/>
            <w:shd w:val="clear" w:color="auto" w:fill="F2F2F2" w:themeFill="background1" w:themeFillShade="F2"/>
          </w:tcPr>
          <w:p w:rsidR="002D79CC" w:rsidRPr="00DE70D4" w:rsidRDefault="00246558" w:rsidP="00207FEC">
            <w:pPr>
              <w:keepNext/>
              <w:spacing w:beforeLines="15" w:before="36" w:afterLines="10" w:after="24" w:line="240" w:lineRule="auto"/>
              <w:jc w:val="center"/>
              <w:rPr>
                <w:rFonts w:ascii="Arial" w:hAnsi="Arial" w:cs="Arial"/>
                <w:sz w:val="20"/>
                <w:szCs w:val="20"/>
              </w:rPr>
            </w:pPr>
            <w:r>
              <w:rPr>
                <w:rFonts w:ascii="Arial" w:hAnsi="Arial" w:cs="Arial"/>
                <w:b/>
                <w:bCs/>
                <w:sz w:val="20"/>
                <w:szCs w:val="20"/>
                <w:lang w:val="es"/>
              </w:rPr>
              <w:lastRenderedPageBreak/>
              <w:t>Miércoles, 1 de abril de 2015</w:t>
            </w:r>
          </w:p>
        </w:tc>
      </w:tr>
      <w:tr w:rsidR="00CC6C7B" w:rsidRPr="001B3EA7" w:rsidTr="005E3626">
        <w:trPr>
          <w:cantSplit/>
        </w:trPr>
        <w:tc>
          <w:tcPr>
            <w:tcW w:w="1632" w:type="dxa"/>
          </w:tcPr>
          <w:p w:rsidR="00CC6C7B" w:rsidRPr="00DE70D4" w:rsidDel="00A17A2C" w:rsidRDefault="00CC6C7B" w:rsidP="00207FEC">
            <w:pPr>
              <w:spacing w:beforeLines="20" w:before="48" w:afterLines="20" w:after="48" w:line="240" w:lineRule="auto"/>
              <w:rPr>
                <w:rFonts w:ascii="Arial" w:hAnsi="Arial" w:cs="Arial"/>
                <w:b/>
                <w:bCs/>
                <w:sz w:val="20"/>
                <w:szCs w:val="20"/>
              </w:rPr>
            </w:pPr>
            <w:r>
              <w:rPr>
                <w:rFonts w:ascii="Arial" w:hAnsi="Arial" w:cs="Arial"/>
                <w:b/>
                <w:bCs/>
                <w:sz w:val="20"/>
                <w:szCs w:val="20"/>
                <w:lang w:val="es"/>
              </w:rPr>
              <w:t>09:30 – 13:00</w:t>
            </w:r>
          </w:p>
        </w:tc>
        <w:tc>
          <w:tcPr>
            <w:tcW w:w="3827" w:type="dxa"/>
          </w:tcPr>
          <w:p w:rsidR="00CC6C7B" w:rsidRPr="00087212" w:rsidRDefault="00CC6C7B" w:rsidP="00320412">
            <w:pPr>
              <w:spacing w:beforeLines="20" w:before="48" w:afterLines="20" w:after="48" w:line="240" w:lineRule="auto"/>
              <w:rPr>
                <w:rFonts w:ascii="Arial" w:hAnsi="Arial" w:cs="Arial"/>
                <w:b/>
                <w:bCs/>
                <w:sz w:val="20"/>
                <w:szCs w:val="20"/>
                <w:lang w:val="es-ES_tradnl"/>
              </w:rPr>
            </w:pPr>
            <w:r>
              <w:rPr>
                <w:rFonts w:ascii="Arial" w:hAnsi="Arial" w:cs="Arial"/>
                <w:b/>
                <w:bCs/>
                <w:sz w:val="20"/>
                <w:szCs w:val="20"/>
                <w:lang w:val="es"/>
              </w:rPr>
              <w:t>Sesión 4:</w:t>
            </w:r>
            <w:r>
              <w:rPr>
                <w:rFonts w:ascii="Arial" w:hAnsi="Arial" w:cs="Arial"/>
                <w:sz w:val="20"/>
                <w:szCs w:val="20"/>
                <w:lang w:val="es"/>
              </w:rPr>
              <w:t xml:space="preserve"> </w:t>
            </w:r>
            <w:r>
              <w:rPr>
                <w:rStyle w:val="Hyperlink"/>
                <w:rFonts w:ascii="Arial" w:hAnsi="Arial" w:cs="Arial"/>
                <w:b/>
                <w:bCs/>
                <w:color w:val="auto"/>
                <w:sz w:val="20"/>
                <w:szCs w:val="20"/>
                <w:u w:val="none"/>
                <w:lang w:val="es"/>
              </w:rPr>
              <w:t xml:space="preserve">Posibles procesos para alcanzar un código de ética o código modelo </w:t>
            </w:r>
            <w:r>
              <w:rPr>
                <w:rFonts w:ascii="Arial" w:hAnsi="Arial" w:cs="Arial"/>
                <w:b/>
                <w:bCs/>
                <w:sz w:val="20"/>
                <w:szCs w:val="20"/>
                <w:lang w:val="es"/>
              </w:rPr>
              <w:t xml:space="preserve">para </w:t>
            </w:r>
            <w:r w:rsidR="00320412">
              <w:rPr>
                <w:rFonts w:ascii="Arial" w:hAnsi="Arial" w:cs="Arial"/>
                <w:b/>
                <w:bCs/>
                <w:sz w:val="20"/>
                <w:szCs w:val="20"/>
                <w:lang w:val="es"/>
              </w:rPr>
              <w:t>P</w:t>
            </w:r>
            <w:r>
              <w:rPr>
                <w:rFonts w:ascii="Arial" w:hAnsi="Arial" w:cs="Arial"/>
                <w:b/>
                <w:bCs/>
                <w:sz w:val="20"/>
                <w:szCs w:val="20"/>
                <w:lang w:val="es"/>
              </w:rPr>
              <w:t xml:space="preserve">atrimonio </w:t>
            </w:r>
            <w:r w:rsidR="00320412">
              <w:rPr>
                <w:rFonts w:ascii="Arial" w:hAnsi="Arial" w:cs="Arial"/>
                <w:b/>
                <w:bCs/>
                <w:sz w:val="20"/>
                <w:szCs w:val="20"/>
                <w:lang w:val="es"/>
              </w:rPr>
              <w:t>C</w:t>
            </w:r>
            <w:r>
              <w:rPr>
                <w:rFonts w:ascii="Arial" w:hAnsi="Arial" w:cs="Arial"/>
                <w:b/>
                <w:bCs/>
                <w:sz w:val="20"/>
                <w:szCs w:val="20"/>
                <w:lang w:val="es"/>
              </w:rPr>
              <w:t xml:space="preserve">ultural </w:t>
            </w:r>
            <w:r w:rsidR="00320412">
              <w:rPr>
                <w:rFonts w:ascii="Arial" w:hAnsi="Arial" w:cs="Arial"/>
                <w:b/>
                <w:bCs/>
                <w:sz w:val="20"/>
                <w:szCs w:val="20"/>
                <w:lang w:val="es"/>
              </w:rPr>
              <w:t>I</w:t>
            </w:r>
            <w:r>
              <w:rPr>
                <w:rFonts w:ascii="Arial" w:hAnsi="Arial" w:cs="Arial"/>
                <w:b/>
                <w:bCs/>
                <w:sz w:val="20"/>
                <w:szCs w:val="20"/>
                <w:lang w:val="es"/>
              </w:rPr>
              <w:t>nmaterial</w:t>
            </w:r>
            <w:r>
              <w:rPr>
                <w:rStyle w:val="Hyperlink"/>
                <w:rFonts w:ascii="Arial" w:hAnsi="Arial" w:cs="Arial"/>
                <w:b/>
                <w:bCs/>
                <w:color w:val="auto"/>
                <w:sz w:val="20"/>
                <w:szCs w:val="20"/>
                <w:u w:val="none"/>
                <w:lang w:val="es"/>
              </w:rPr>
              <w:t xml:space="preserve"> y para alcanzar desde un código modelo </w:t>
            </w:r>
            <w:r>
              <w:rPr>
                <w:rFonts w:ascii="Arial" w:hAnsi="Arial" w:cs="Arial"/>
                <w:b/>
                <w:bCs/>
                <w:sz w:val="20"/>
                <w:szCs w:val="20"/>
                <w:lang w:val="es"/>
              </w:rPr>
              <w:t>códigos específicos</w:t>
            </w:r>
          </w:p>
        </w:tc>
        <w:tc>
          <w:tcPr>
            <w:tcW w:w="3933" w:type="dxa"/>
          </w:tcPr>
          <w:p w:rsidR="00CC6C7B" w:rsidRPr="001B3EA7" w:rsidDel="00A17A2C" w:rsidRDefault="00CC6C7B" w:rsidP="00207FEC">
            <w:pPr>
              <w:spacing w:beforeLines="20" w:before="48" w:afterLines="20" w:after="48" w:line="240" w:lineRule="auto"/>
              <w:rPr>
                <w:rFonts w:ascii="Arial" w:hAnsi="Arial" w:cs="Arial"/>
                <w:sz w:val="20"/>
                <w:szCs w:val="20"/>
              </w:rPr>
            </w:pPr>
            <w:r>
              <w:rPr>
                <w:rFonts w:ascii="Arial" w:hAnsi="Arial" w:cs="Arial"/>
                <w:sz w:val="20"/>
                <w:szCs w:val="20"/>
                <w:lang w:val="es"/>
              </w:rPr>
              <w:t>Moderador: Sr. Frank Proschan</w:t>
            </w:r>
          </w:p>
        </w:tc>
      </w:tr>
      <w:tr w:rsidR="00CC6C7B" w:rsidRPr="001B3EA7" w:rsidTr="005E3626">
        <w:trPr>
          <w:cantSplit/>
        </w:trPr>
        <w:tc>
          <w:tcPr>
            <w:tcW w:w="1632" w:type="dxa"/>
          </w:tcPr>
          <w:p w:rsidR="00CC6C7B" w:rsidRPr="00DE70D4" w:rsidRDefault="00CC6C7B" w:rsidP="00207FEC">
            <w:pPr>
              <w:tabs>
                <w:tab w:val="center" w:pos="4536"/>
                <w:tab w:val="right" w:pos="9072"/>
              </w:tabs>
              <w:spacing w:beforeLines="20" w:before="48" w:afterLines="20" w:after="48" w:line="240" w:lineRule="auto"/>
              <w:outlineLvl w:val="2"/>
              <w:rPr>
                <w:rFonts w:ascii="Arial" w:hAnsi="Arial" w:cs="Arial"/>
                <w:b/>
                <w:bCs/>
                <w:sz w:val="20"/>
                <w:szCs w:val="20"/>
              </w:rPr>
            </w:pPr>
            <w:r>
              <w:rPr>
                <w:rFonts w:ascii="Arial" w:hAnsi="Arial" w:cs="Arial"/>
                <w:b/>
                <w:bCs/>
                <w:sz w:val="20"/>
                <w:szCs w:val="20"/>
                <w:u w:color="FFFFFF" w:themeColor="background1"/>
                <w:lang w:val="es"/>
              </w:rPr>
              <w:t>13:00 – 15:00</w:t>
            </w:r>
            <w:r>
              <w:rPr>
                <w:rFonts w:ascii="Arial" w:hAnsi="Arial" w:cs="Arial"/>
                <w:sz w:val="20"/>
                <w:szCs w:val="20"/>
                <w:u w:color="FFFFFF" w:themeColor="background1"/>
                <w:lang w:val="es"/>
              </w:rPr>
              <w:t> </w:t>
            </w:r>
          </w:p>
        </w:tc>
        <w:tc>
          <w:tcPr>
            <w:tcW w:w="3827" w:type="dxa"/>
          </w:tcPr>
          <w:p w:rsidR="00CC6C7B" w:rsidRPr="001B3EA7" w:rsidRDefault="00CC6C7B" w:rsidP="00207FEC">
            <w:pPr>
              <w:spacing w:beforeLines="20" w:before="48" w:afterLines="20" w:after="48" w:line="240" w:lineRule="auto"/>
              <w:rPr>
                <w:rFonts w:ascii="Arial" w:hAnsi="Arial" w:cs="Arial"/>
                <w:b/>
                <w:bCs/>
                <w:sz w:val="20"/>
                <w:szCs w:val="20"/>
              </w:rPr>
            </w:pPr>
            <w:r>
              <w:rPr>
                <w:rFonts w:ascii="Arial" w:hAnsi="Arial" w:cs="Arial"/>
                <w:b/>
                <w:bCs/>
                <w:sz w:val="20"/>
                <w:szCs w:val="20"/>
                <w:lang w:val="es"/>
              </w:rPr>
              <w:t>Comida</w:t>
            </w:r>
          </w:p>
        </w:tc>
        <w:tc>
          <w:tcPr>
            <w:tcW w:w="3933" w:type="dxa"/>
          </w:tcPr>
          <w:p w:rsidR="00CC6C7B" w:rsidRPr="001B3EA7" w:rsidRDefault="00CC6C7B" w:rsidP="00207FEC">
            <w:pPr>
              <w:spacing w:beforeLines="20" w:before="48" w:afterLines="20" w:after="48" w:line="240" w:lineRule="auto"/>
              <w:rPr>
                <w:rFonts w:ascii="Arial" w:hAnsi="Arial" w:cs="Arial"/>
                <w:sz w:val="20"/>
                <w:szCs w:val="20"/>
              </w:rPr>
            </w:pPr>
          </w:p>
        </w:tc>
      </w:tr>
      <w:tr w:rsidR="002D79CC" w:rsidRPr="00790B53" w:rsidTr="005E3626">
        <w:trPr>
          <w:cantSplit/>
        </w:trPr>
        <w:tc>
          <w:tcPr>
            <w:tcW w:w="1632" w:type="dxa"/>
          </w:tcPr>
          <w:p w:rsidR="002D79CC" w:rsidRPr="00087212" w:rsidRDefault="00CC6C7B" w:rsidP="00207FEC">
            <w:pPr>
              <w:tabs>
                <w:tab w:val="center" w:pos="4536"/>
                <w:tab w:val="right" w:pos="9072"/>
              </w:tabs>
              <w:spacing w:beforeLines="20" w:before="48" w:afterLines="20" w:after="48" w:line="240" w:lineRule="auto"/>
              <w:outlineLvl w:val="2"/>
              <w:rPr>
                <w:rFonts w:ascii="Arial" w:hAnsi="Arial" w:cs="Arial"/>
                <w:b/>
                <w:bCs/>
                <w:sz w:val="20"/>
                <w:szCs w:val="20"/>
                <w:u w:color="FFFFFF" w:themeColor="background1"/>
                <w:lang w:val="es-ES_tradnl"/>
              </w:rPr>
            </w:pPr>
            <w:r>
              <w:rPr>
                <w:rFonts w:ascii="Arial" w:hAnsi="Arial" w:cs="Arial"/>
                <w:b/>
                <w:bCs/>
                <w:sz w:val="20"/>
                <w:szCs w:val="20"/>
                <w:u w:color="FFFFFF" w:themeColor="background1"/>
                <w:lang w:val="es"/>
              </w:rPr>
              <w:t>15:00 – 18:00 (pausa para café a las 16:00)</w:t>
            </w:r>
          </w:p>
        </w:tc>
        <w:tc>
          <w:tcPr>
            <w:tcW w:w="3827" w:type="dxa"/>
          </w:tcPr>
          <w:p w:rsidR="002D79CC" w:rsidRPr="00087212" w:rsidRDefault="002D79CC" w:rsidP="00207FEC">
            <w:pPr>
              <w:spacing w:beforeLines="20" w:before="48" w:afterLines="15" w:after="36" w:line="240" w:lineRule="auto"/>
              <w:rPr>
                <w:rFonts w:ascii="Arial" w:hAnsi="Arial" w:cs="Arial"/>
                <w:b/>
                <w:bCs/>
                <w:sz w:val="20"/>
                <w:szCs w:val="20"/>
                <w:lang w:val="es-ES_tradnl"/>
              </w:rPr>
            </w:pPr>
            <w:r>
              <w:rPr>
                <w:rFonts w:ascii="Arial" w:hAnsi="Arial" w:cs="Arial"/>
                <w:b/>
                <w:bCs/>
                <w:sz w:val="20"/>
                <w:szCs w:val="20"/>
                <w:lang w:val="es"/>
              </w:rPr>
              <w:t>Conclusiones, siguientes pasos y clausura.</w:t>
            </w:r>
          </w:p>
        </w:tc>
        <w:tc>
          <w:tcPr>
            <w:tcW w:w="3933" w:type="dxa"/>
          </w:tcPr>
          <w:p w:rsidR="002D79CC" w:rsidRPr="00087212" w:rsidRDefault="002D79CC" w:rsidP="00207FEC">
            <w:pPr>
              <w:spacing w:beforeLines="20" w:before="48" w:afterLines="20" w:after="48" w:line="240" w:lineRule="auto"/>
              <w:rPr>
                <w:rFonts w:ascii="Arial" w:hAnsi="Arial" w:cs="Arial"/>
                <w:sz w:val="20"/>
                <w:szCs w:val="20"/>
                <w:lang w:val="es-ES_tradnl"/>
              </w:rPr>
            </w:pPr>
          </w:p>
        </w:tc>
      </w:tr>
    </w:tbl>
    <w:p w:rsidR="00682B51" w:rsidRPr="00087212" w:rsidRDefault="00682B51" w:rsidP="00682B51">
      <w:pPr>
        <w:autoSpaceDE w:val="0"/>
        <w:autoSpaceDN w:val="0"/>
        <w:adjustRightInd w:val="0"/>
        <w:spacing w:after="0" w:line="480" w:lineRule="auto"/>
        <w:jc w:val="both"/>
        <w:rPr>
          <w:rFonts w:ascii="Arial" w:hAnsi="Arial" w:cs="Arial"/>
          <w:lang w:val="es-ES_tradnl"/>
        </w:rPr>
      </w:pPr>
    </w:p>
    <w:sectPr w:rsidR="00682B51" w:rsidRPr="00087212" w:rsidSect="002B678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276"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DE" w:rsidRDefault="005A0BDE" w:rsidP="004520CB">
      <w:pPr>
        <w:spacing w:after="0" w:line="240" w:lineRule="auto"/>
      </w:pPr>
      <w:r>
        <w:separator/>
      </w:r>
    </w:p>
    <w:p w:rsidR="005A0BDE" w:rsidRDefault="005A0BDE"/>
    <w:p w:rsidR="005A0BDE" w:rsidRDefault="005A0BDE" w:rsidP="00117196"/>
  </w:endnote>
  <w:endnote w:type="continuationSeparator" w:id="0">
    <w:p w:rsidR="005A0BDE" w:rsidRDefault="005A0BDE" w:rsidP="004520CB">
      <w:pPr>
        <w:spacing w:after="0" w:line="240" w:lineRule="auto"/>
      </w:pPr>
      <w:r>
        <w:continuationSeparator/>
      </w:r>
    </w:p>
    <w:p w:rsidR="005A0BDE" w:rsidRDefault="005A0BDE"/>
    <w:p w:rsidR="005A0BDE" w:rsidRDefault="005A0BDE" w:rsidP="0011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9D" w:rsidRPr="00087212" w:rsidRDefault="00DD34C5" w:rsidP="00E16B2A">
    <w:pPr>
      <w:tabs>
        <w:tab w:val="center" w:pos="4536"/>
        <w:tab w:val="right" w:pos="9072"/>
      </w:tabs>
      <w:spacing w:before="360" w:after="0" w:line="100" w:lineRule="atLeast"/>
      <w:rPr>
        <w:rFonts w:ascii="Arial" w:hAnsi="Arial" w:cs="Arial"/>
        <w:i/>
        <w:kern w:val="1"/>
        <w:sz w:val="18"/>
        <w:szCs w:val="20"/>
        <w:lang w:val="es-ES_tradnl"/>
      </w:rPr>
    </w:pPr>
    <w:r>
      <w:rPr>
        <w:rFonts w:ascii="Arial" w:hAnsi="Arial" w:cs="Arial"/>
        <w:i/>
        <w:iCs/>
        <w:kern w:val="1"/>
        <w:sz w:val="18"/>
        <w:szCs w:val="20"/>
        <w:lang w:val="es"/>
      </w:rPr>
      <w:t>Documento preparado por la Secretaría de la UNESCO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E9" w:rsidRPr="00087212" w:rsidRDefault="00687CE9" w:rsidP="00087212">
    <w:pPr>
      <w:tabs>
        <w:tab w:val="center" w:pos="4536"/>
        <w:tab w:val="right" w:pos="9072"/>
      </w:tabs>
      <w:spacing w:before="360" w:after="0" w:line="100" w:lineRule="atLeast"/>
      <w:rPr>
        <w:rFonts w:ascii="Arial" w:hAnsi="Arial" w:cs="Arial"/>
        <w:i/>
        <w:kern w:val="1"/>
        <w:sz w:val="18"/>
        <w:szCs w:val="20"/>
        <w:lang w:val="es-ES_tradnl"/>
      </w:rPr>
    </w:pPr>
    <w:r>
      <w:rPr>
        <w:rFonts w:ascii="Arial" w:hAnsi="Arial" w:cs="Arial"/>
        <w:i/>
        <w:iCs/>
        <w:kern w:val="1"/>
        <w:sz w:val="18"/>
        <w:szCs w:val="20"/>
        <w:lang w:val="es"/>
      </w:rPr>
      <w:t>Documento preparado por la Secretaría de la UNESCO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E9" w:rsidRPr="00087212" w:rsidRDefault="00687CE9" w:rsidP="00087212">
    <w:pPr>
      <w:tabs>
        <w:tab w:val="center" w:pos="4536"/>
        <w:tab w:val="right" w:pos="9072"/>
      </w:tabs>
      <w:spacing w:before="360" w:after="0" w:line="100" w:lineRule="atLeast"/>
      <w:rPr>
        <w:rFonts w:ascii="Arial" w:hAnsi="Arial" w:cs="Arial"/>
        <w:i/>
        <w:kern w:val="1"/>
        <w:sz w:val="18"/>
        <w:szCs w:val="20"/>
        <w:lang w:val="es-ES_tradnl"/>
      </w:rPr>
    </w:pPr>
    <w:r>
      <w:rPr>
        <w:rFonts w:ascii="Arial" w:hAnsi="Arial" w:cs="Arial"/>
        <w:i/>
        <w:iCs/>
        <w:kern w:val="1"/>
        <w:sz w:val="18"/>
        <w:szCs w:val="20"/>
        <w:lang w:val="es"/>
      </w:rPr>
      <w:t>Documento preparado por la Secretaría de la UNESCO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DE" w:rsidRDefault="005A0BDE" w:rsidP="004520CB">
      <w:pPr>
        <w:spacing w:after="0" w:line="240" w:lineRule="auto"/>
      </w:pPr>
      <w:r>
        <w:separator/>
      </w:r>
    </w:p>
    <w:p w:rsidR="005A0BDE" w:rsidRDefault="005A0BDE"/>
    <w:p w:rsidR="005A0BDE" w:rsidRDefault="005A0BDE" w:rsidP="00117196"/>
  </w:footnote>
  <w:footnote w:type="continuationSeparator" w:id="0">
    <w:p w:rsidR="005A0BDE" w:rsidRDefault="005A0BDE" w:rsidP="004520CB">
      <w:pPr>
        <w:spacing w:after="0" w:line="240" w:lineRule="auto"/>
      </w:pPr>
      <w:r>
        <w:continuationSeparator/>
      </w:r>
    </w:p>
    <w:p w:rsidR="005A0BDE" w:rsidRDefault="005A0BDE"/>
    <w:p w:rsidR="005A0BDE" w:rsidRDefault="005A0BDE" w:rsidP="00117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23" w:rsidRPr="00087212" w:rsidRDefault="00177723" w:rsidP="00177723">
    <w:pPr>
      <w:pStyle w:val="Header"/>
      <w:rPr>
        <w:rFonts w:ascii="Arial" w:hAnsi="Arial" w:cs="Arial"/>
      </w:rPr>
    </w:pPr>
    <w:r w:rsidRPr="00087212">
      <w:rPr>
        <w:rFonts w:ascii="Arial" w:hAnsi="Arial" w:cs="Arial"/>
        <w:lang w:val="es"/>
      </w:rPr>
      <w:t>ITH/15/EXP/</w:t>
    </w:r>
    <w:r w:rsidR="006D089E">
      <w:rPr>
        <w:rFonts w:asciiTheme="minorBidi" w:hAnsiTheme="minorBidi"/>
      </w:rPr>
      <w:t>1 </w:t>
    </w:r>
    <w:proofErr w:type="spellStart"/>
    <w:r w:rsidR="006D089E">
      <w:rPr>
        <w:rFonts w:asciiTheme="minorBidi" w:hAnsiTheme="minorBidi"/>
      </w:rPr>
      <w:t>Rev</w:t>
    </w:r>
    <w:proofErr w:type="spellEnd"/>
    <w:r w:rsidR="006D089E">
      <w:rPr>
        <w:rFonts w:asciiTheme="minorBidi" w:hAnsiTheme="minorBidi"/>
      </w:rPr>
      <w:t>.</w:t>
    </w:r>
    <w:r w:rsidRPr="00087212">
      <w:rPr>
        <w:rFonts w:ascii="Arial" w:hAnsi="Arial" w:cs="Arial"/>
        <w:lang w:val="es"/>
      </w:rPr>
      <w:t xml:space="preserve"> – página </w:t>
    </w:r>
    <w:r w:rsidRPr="00087212">
      <w:rPr>
        <w:rFonts w:ascii="Arial" w:hAnsi="Arial" w:cs="Arial"/>
        <w:lang w:val="es"/>
      </w:rPr>
      <w:fldChar w:fldCharType="begin"/>
    </w:r>
    <w:r w:rsidRPr="00087212">
      <w:rPr>
        <w:rFonts w:ascii="Arial" w:hAnsi="Arial" w:cs="Arial"/>
        <w:lang w:val="es"/>
      </w:rPr>
      <w:instrText xml:space="preserve"> PAGE   \* MERGEFORMAT </w:instrText>
    </w:r>
    <w:r w:rsidRPr="00087212">
      <w:rPr>
        <w:rFonts w:ascii="Arial" w:hAnsi="Arial" w:cs="Arial"/>
        <w:lang w:val="es"/>
      </w:rPr>
      <w:fldChar w:fldCharType="separate"/>
    </w:r>
    <w:r w:rsidR="00BF0769">
      <w:rPr>
        <w:rFonts w:ascii="Arial" w:hAnsi="Arial" w:cs="Arial"/>
        <w:noProof/>
        <w:lang w:val="es"/>
      </w:rPr>
      <w:t>6</w:t>
    </w:r>
    <w:r w:rsidRPr="00087212">
      <w:rPr>
        <w:rFonts w:ascii="Arial" w:hAnsi="Arial" w:cs="Arial"/>
        <w:noProof/>
        <w:lang w:val="e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23" w:rsidRPr="00087212" w:rsidRDefault="00177723" w:rsidP="00177723">
    <w:pPr>
      <w:pStyle w:val="Header"/>
      <w:jc w:val="right"/>
      <w:rPr>
        <w:rFonts w:ascii="Arial" w:hAnsi="Arial" w:cs="Arial"/>
      </w:rPr>
    </w:pPr>
    <w:r w:rsidRPr="00087212">
      <w:rPr>
        <w:rFonts w:ascii="Arial" w:hAnsi="Arial" w:cs="Arial"/>
        <w:lang w:val="es"/>
      </w:rPr>
      <w:t>ITH/15/EXP/</w:t>
    </w:r>
    <w:r w:rsidR="006D089E">
      <w:rPr>
        <w:rFonts w:asciiTheme="minorBidi" w:hAnsiTheme="minorBidi"/>
      </w:rPr>
      <w:t>1 </w:t>
    </w:r>
    <w:proofErr w:type="spellStart"/>
    <w:r w:rsidR="006D089E">
      <w:rPr>
        <w:rFonts w:asciiTheme="minorBidi" w:hAnsiTheme="minorBidi"/>
      </w:rPr>
      <w:t>Rev</w:t>
    </w:r>
    <w:proofErr w:type="spellEnd"/>
    <w:r w:rsidR="006D089E">
      <w:rPr>
        <w:rFonts w:asciiTheme="minorBidi" w:hAnsiTheme="minorBidi"/>
      </w:rPr>
      <w:t>.</w:t>
    </w:r>
    <w:r w:rsidRPr="00087212">
      <w:rPr>
        <w:rFonts w:ascii="Arial" w:hAnsi="Arial" w:cs="Arial"/>
        <w:lang w:val="es"/>
      </w:rPr>
      <w:t xml:space="preserve"> – página </w:t>
    </w:r>
    <w:r w:rsidRPr="00087212">
      <w:rPr>
        <w:rFonts w:ascii="Arial" w:hAnsi="Arial" w:cs="Arial"/>
        <w:lang w:val="es"/>
      </w:rPr>
      <w:fldChar w:fldCharType="begin"/>
    </w:r>
    <w:r w:rsidRPr="00087212">
      <w:rPr>
        <w:rFonts w:ascii="Arial" w:hAnsi="Arial" w:cs="Arial"/>
        <w:lang w:val="es"/>
      </w:rPr>
      <w:instrText xml:space="preserve"> PAGE   \* MERGEFORMAT </w:instrText>
    </w:r>
    <w:r w:rsidRPr="00087212">
      <w:rPr>
        <w:rFonts w:ascii="Arial" w:hAnsi="Arial" w:cs="Arial"/>
        <w:lang w:val="es"/>
      </w:rPr>
      <w:fldChar w:fldCharType="separate"/>
    </w:r>
    <w:r w:rsidR="00BF0769">
      <w:rPr>
        <w:rFonts w:ascii="Arial" w:hAnsi="Arial" w:cs="Arial"/>
        <w:noProof/>
        <w:lang w:val="es"/>
      </w:rPr>
      <w:t>5</w:t>
    </w:r>
    <w:r w:rsidRPr="00087212">
      <w:rPr>
        <w:rFonts w:ascii="Arial" w:hAnsi="Arial" w:cs="Arial"/>
        <w:noProof/>
        <w:lang w:val="es"/>
      </w:rPr>
      <w:fldChar w:fldCharType="end"/>
    </w:r>
  </w:p>
  <w:p w:rsidR="00177723" w:rsidRDefault="001777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22" w:rsidRPr="00087212" w:rsidRDefault="00207FEC" w:rsidP="006C3D22">
    <w:pPr>
      <w:tabs>
        <w:tab w:val="center" w:pos="4536"/>
        <w:tab w:val="right" w:pos="9072"/>
      </w:tabs>
      <w:spacing w:after="520"/>
      <w:jc w:val="right"/>
      <w:rPr>
        <w:rFonts w:ascii="Arial" w:hAnsi="Arial" w:cs="Arial"/>
        <w:b/>
        <w:sz w:val="44"/>
        <w:szCs w:val="44"/>
        <w:lang w:val="es-ES_tradnl"/>
      </w:rPr>
    </w:pPr>
    <w:r>
      <w:rPr>
        <w:noProof/>
        <w:lang w:eastAsia="fr-FR"/>
      </w:rPr>
      <w:drawing>
        <wp:anchor distT="0" distB="0" distL="114300" distR="114300" simplePos="0" relativeHeight="251658240" behindDoc="1" locked="0" layoutInCell="1" allowOverlap="1" wp14:anchorId="6DD20385" wp14:editId="2CDDFEDA">
          <wp:simplePos x="0" y="0"/>
          <wp:positionH relativeFrom="column">
            <wp:posOffset>-266707</wp:posOffset>
          </wp:positionH>
          <wp:positionV relativeFrom="paragraph">
            <wp:posOffset>-80405</wp:posOffset>
          </wp:positionV>
          <wp:extent cx="2134870" cy="1435735"/>
          <wp:effectExtent l="0" t="0" r="0" b="0"/>
          <wp:wrapNone/>
          <wp:docPr id="5" name="Picture 5"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34870" cy="143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D22">
      <w:rPr>
        <w:rFonts w:ascii="Arial" w:hAnsi="Arial" w:cs="Arial"/>
        <w:b/>
        <w:bCs/>
        <w:sz w:val="44"/>
        <w:szCs w:val="44"/>
        <w:lang w:val="es"/>
      </w:rPr>
      <w:t>EXP</w:t>
    </w:r>
  </w:p>
  <w:p w:rsidR="006C3D22" w:rsidRPr="00087212" w:rsidRDefault="006C3D22" w:rsidP="006C3D22">
    <w:pPr>
      <w:spacing w:after="0" w:line="240" w:lineRule="auto"/>
      <w:jc w:val="right"/>
      <w:rPr>
        <w:rFonts w:ascii="Arial" w:eastAsia="Times New Roman" w:hAnsi="Arial" w:cs="Arial"/>
        <w:b/>
        <w:lang w:val="es-ES_tradnl"/>
      </w:rPr>
    </w:pPr>
    <w:r>
      <w:rPr>
        <w:rFonts w:ascii="Arial" w:eastAsia="Times New Roman" w:hAnsi="Arial" w:cs="Arial"/>
        <w:b/>
        <w:bCs/>
        <w:lang w:val="es"/>
      </w:rPr>
      <w:t>ITH/15/EXP/1</w:t>
    </w:r>
    <w:r w:rsidR="006D089E">
      <w:rPr>
        <w:rFonts w:ascii="Arial" w:eastAsia="Times New Roman" w:hAnsi="Arial" w:cs="Arial"/>
        <w:b/>
        <w:bCs/>
        <w:lang w:val="es"/>
      </w:rPr>
      <w:t> Rev.</w:t>
    </w:r>
  </w:p>
  <w:p w:rsidR="006C3D22" w:rsidRPr="00087212" w:rsidRDefault="00BF0769" w:rsidP="00AA1D84">
    <w:pPr>
      <w:spacing w:after="0" w:line="240" w:lineRule="auto"/>
      <w:jc w:val="right"/>
      <w:rPr>
        <w:rFonts w:ascii="Arial" w:eastAsia="Times New Roman" w:hAnsi="Arial" w:cs="Arial"/>
        <w:b/>
        <w:lang w:val="es-ES_tradnl"/>
      </w:rPr>
    </w:pPr>
    <w:r>
      <w:rPr>
        <w:rFonts w:ascii="Arial" w:eastAsia="Times New Roman" w:hAnsi="Arial" w:cs="Arial"/>
        <w:b/>
        <w:bCs/>
        <w:lang w:val="es"/>
      </w:rPr>
      <w:t xml:space="preserve">París, </w:t>
    </w:r>
    <w:r>
      <w:rPr>
        <w:rFonts w:ascii="Arial" w:eastAsia="Times New Roman" w:hAnsi="Arial" w:cs="Arial"/>
        <w:b/>
        <w:bCs/>
        <w:lang w:val="es"/>
      </w:rPr>
      <w:t>26</w:t>
    </w:r>
    <w:bookmarkStart w:id="0" w:name="_GoBack"/>
    <w:bookmarkEnd w:id="0"/>
    <w:r w:rsidR="006C3D22">
      <w:rPr>
        <w:rFonts w:ascii="Arial" w:eastAsia="Times New Roman" w:hAnsi="Arial" w:cs="Arial"/>
        <w:b/>
        <w:bCs/>
        <w:lang w:val="es"/>
      </w:rPr>
      <w:t xml:space="preserve"> de </w:t>
    </w:r>
    <w:r>
      <w:rPr>
        <w:rFonts w:ascii="Arial" w:eastAsia="Times New Roman" w:hAnsi="Arial" w:cs="Arial"/>
        <w:b/>
        <w:bCs/>
        <w:lang w:val="es"/>
      </w:rPr>
      <w:t>marzo</w:t>
    </w:r>
    <w:r w:rsidR="006C3D22">
      <w:rPr>
        <w:rFonts w:ascii="Arial" w:eastAsia="Times New Roman" w:hAnsi="Arial" w:cs="Arial"/>
        <w:b/>
        <w:bCs/>
        <w:lang w:val="es"/>
      </w:rPr>
      <w:t xml:space="preserve"> de 201</w:t>
    </w:r>
    <w:r w:rsidR="008C180A">
      <w:rPr>
        <w:rFonts w:ascii="Arial" w:eastAsia="Times New Roman" w:hAnsi="Arial" w:cs="Arial"/>
        <w:b/>
        <w:bCs/>
        <w:lang w:val="es"/>
      </w:rPr>
      <w:t>5</w:t>
    </w:r>
  </w:p>
  <w:p w:rsidR="006C3D22" w:rsidRPr="006D089E" w:rsidRDefault="006C3D22" w:rsidP="006C3D22">
    <w:pPr>
      <w:spacing w:after="0" w:line="240" w:lineRule="auto"/>
      <w:jc w:val="right"/>
      <w:rPr>
        <w:rFonts w:ascii="Arial" w:eastAsia="Times New Roman" w:hAnsi="Arial" w:cs="Arial"/>
        <w:b/>
        <w:lang w:val="es-ES_tradnl"/>
      </w:rPr>
    </w:pPr>
    <w:r>
      <w:rPr>
        <w:rFonts w:ascii="Arial" w:eastAsia="Times New Roman" w:hAnsi="Arial" w:cs="Arial"/>
        <w:b/>
        <w:bCs/>
        <w:lang w:val="es"/>
      </w:rPr>
      <w:t>Original:</w:t>
    </w:r>
    <w:r>
      <w:rPr>
        <w:rFonts w:ascii="Arial" w:eastAsia="Times New Roman" w:hAnsi="Arial" w:cs="Arial"/>
        <w:lang w:val="es"/>
      </w:rPr>
      <w:t xml:space="preserve"> </w:t>
    </w:r>
    <w:r>
      <w:rPr>
        <w:rFonts w:ascii="Arial" w:eastAsia="Times New Roman" w:hAnsi="Arial" w:cs="Arial"/>
        <w:b/>
        <w:bCs/>
        <w:lang w:val="es"/>
      </w:rPr>
      <w:t>Inglés</w:t>
    </w:r>
  </w:p>
  <w:p w:rsidR="006C3D22" w:rsidRPr="006D089E" w:rsidRDefault="006C3D22">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6669"/>
    <w:multiLevelType w:val="hybridMultilevel"/>
    <w:tmpl w:val="4BAC59DA"/>
    <w:lvl w:ilvl="0" w:tplc="8F66A9F8">
      <w:start w:val="1"/>
      <w:numFmt w:val="bullet"/>
      <w:lvlText w:val=""/>
      <w:lvlJc w:val="left"/>
      <w:pPr>
        <w:tabs>
          <w:tab w:val="num" w:pos="720"/>
        </w:tabs>
        <w:ind w:left="720" w:hanging="360"/>
      </w:pPr>
      <w:rPr>
        <w:rFonts w:ascii="Wingdings" w:hAnsi="Wingdings" w:hint="default"/>
      </w:rPr>
    </w:lvl>
    <w:lvl w:ilvl="1" w:tplc="1BF024A4" w:tentative="1">
      <w:start w:val="1"/>
      <w:numFmt w:val="bullet"/>
      <w:lvlText w:val=""/>
      <w:lvlJc w:val="left"/>
      <w:pPr>
        <w:tabs>
          <w:tab w:val="num" w:pos="1440"/>
        </w:tabs>
        <w:ind w:left="1440" w:hanging="360"/>
      </w:pPr>
      <w:rPr>
        <w:rFonts w:ascii="Wingdings" w:hAnsi="Wingdings" w:hint="default"/>
      </w:rPr>
    </w:lvl>
    <w:lvl w:ilvl="2" w:tplc="0270C3EC" w:tentative="1">
      <w:start w:val="1"/>
      <w:numFmt w:val="bullet"/>
      <w:lvlText w:val=""/>
      <w:lvlJc w:val="left"/>
      <w:pPr>
        <w:tabs>
          <w:tab w:val="num" w:pos="2160"/>
        </w:tabs>
        <w:ind w:left="2160" w:hanging="360"/>
      </w:pPr>
      <w:rPr>
        <w:rFonts w:ascii="Wingdings" w:hAnsi="Wingdings" w:hint="default"/>
      </w:rPr>
    </w:lvl>
    <w:lvl w:ilvl="3" w:tplc="A88A63A2" w:tentative="1">
      <w:start w:val="1"/>
      <w:numFmt w:val="bullet"/>
      <w:lvlText w:val=""/>
      <w:lvlJc w:val="left"/>
      <w:pPr>
        <w:tabs>
          <w:tab w:val="num" w:pos="2880"/>
        </w:tabs>
        <w:ind w:left="2880" w:hanging="360"/>
      </w:pPr>
      <w:rPr>
        <w:rFonts w:ascii="Wingdings" w:hAnsi="Wingdings" w:hint="default"/>
      </w:rPr>
    </w:lvl>
    <w:lvl w:ilvl="4" w:tplc="C55255A0" w:tentative="1">
      <w:start w:val="1"/>
      <w:numFmt w:val="bullet"/>
      <w:lvlText w:val=""/>
      <w:lvlJc w:val="left"/>
      <w:pPr>
        <w:tabs>
          <w:tab w:val="num" w:pos="3600"/>
        </w:tabs>
        <w:ind w:left="3600" w:hanging="360"/>
      </w:pPr>
      <w:rPr>
        <w:rFonts w:ascii="Wingdings" w:hAnsi="Wingdings" w:hint="default"/>
      </w:rPr>
    </w:lvl>
    <w:lvl w:ilvl="5" w:tplc="5A2246B8" w:tentative="1">
      <w:start w:val="1"/>
      <w:numFmt w:val="bullet"/>
      <w:lvlText w:val=""/>
      <w:lvlJc w:val="left"/>
      <w:pPr>
        <w:tabs>
          <w:tab w:val="num" w:pos="4320"/>
        </w:tabs>
        <w:ind w:left="4320" w:hanging="360"/>
      </w:pPr>
      <w:rPr>
        <w:rFonts w:ascii="Wingdings" w:hAnsi="Wingdings" w:hint="default"/>
      </w:rPr>
    </w:lvl>
    <w:lvl w:ilvl="6" w:tplc="7D6E8868" w:tentative="1">
      <w:start w:val="1"/>
      <w:numFmt w:val="bullet"/>
      <w:lvlText w:val=""/>
      <w:lvlJc w:val="left"/>
      <w:pPr>
        <w:tabs>
          <w:tab w:val="num" w:pos="5040"/>
        </w:tabs>
        <w:ind w:left="5040" w:hanging="360"/>
      </w:pPr>
      <w:rPr>
        <w:rFonts w:ascii="Wingdings" w:hAnsi="Wingdings" w:hint="default"/>
      </w:rPr>
    </w:lvl>
    <w:lvl w:ilvl="7" w:tplc="74F67A16" w:tentative="1">
      <w:start w:val="1"/>
      <w:numFmt w:val="bullet"/>
      <w:lvlText w:val=""/>
      <w:lvlJc w:val="left"/>
      <w:pPr>
        <w:tabs>
          <w:tab w:val="num" w:pos="5760"/>
        </w:tabs>
        <w:ind w:left="5760" w:hanging="360"/>
      </w:pPr>
      <w:rPr>
        <w:rFonts w:ascii="Wingdings" w:hAnsi="Wingdings" w:hint="default"/>
      </w:rPr>
    </w:lvl>
    <w:lvl w:ilvl="8" w:tplc="1CD6B9FC" w:tentative="1">
      <w:start w:val="1"/>
      <w:numFmt w:val="bullet"/>
      <w:lvlText w:val=""/>
      <w:lvlJc w:val="left"/>
      <w:pPr>
        <w:tabs>
          <w:tab w:val="num" w:pos="6480"/>
        </w:tabs>
        <w:ind w:left="6480" w:hanging="360"/>
      </w:pPr>
      <w:rPr>
        <w:rFonts w:ascii="Wingdings" w:hAnsi="Wingdings" w:hint="default"/>
      </w:rPr>
    </w:lvl>
  </w:abstractNum>
  <w:abstractNum w:abstractNumId="1">
    <w:nsid w:val="1DAE4730"/>
    <w:multiLevelType w:val="hybridMultilevel"/>
    <w:tmpl w:val="EEB8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B71665"/>
    <w:multiLevelType w:val="hybridMultilevel"/>
    <w:tmpl w:val="1974E9BA"/>
    <w:lvl w:ilvl="0" w:tplc="45729300">
      <w:start w:val="1"/>
      <w:numFmt w:val="decimal"/>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BE5A2F"/>
    <w:multiLevelType w:val="hybridMultilevel"/>
    <w:tmpl w:val="2AFA1F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03C34A4"/>
    <w:multiLevelType w:val="hybridMultilevel"/>
    <w:tmpl w:val="49F466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T/CRE/ITH-F.Proschan">
    <w15:presenceInfo w15:providerId="None" w15:userId="CLT/CRE/ITH-F.Pros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2"/>
  </w:compat>
  <w:rsids>
    <w:rsidRoot w:val="005A7E19"/>
    <w:rsid w:val="000156AC"/>
    <w:rsid w:val="00020EC4"/>
    <w:rsid w:val="00024CD8"/>
    <w:rsid w:val="00046B51"/>
    <w:rsid w:val="0005119E"/>
    <w:rsid w:val="0005429F"/>
    <w:rsid w:val="00086852"/>
    <w:rsid w:val="00087212"/>
    <w:rsid w:val="00097B39"/>
    <w:rsid w:val="000A3042"/>
    <w:rsid w:val="000C0121"/>
    <w:rsid w:val="000E5728"/>
    <w:rsid w:val="000F14BC"/>
    <w:rsid w:val="001064A3"/>
    <w:rsid w:val="001075FD"/>
    <w:rsid w:val="00117196"/>
    <w:rsid w:val="001237F0"/>
    <w:rsid w:val="00124447"/>
    <w:rsid w:val="0012567B"/>
    <w:rsid w:val="00133DDC"/>
    <w:rsid w:val="00146B63"/>
    <w:rsid w:val="001475A4"/>
    <w:rsid w:val="001524B2"/>
    <w:rsid w:val="00160461"/>
    <w:rsid w:val="001610AE"/>
    <w:rsid w:val="001679BE"/>
    <w:rsid w:val="00170513"/>
    <w:rsid w:val="001735B5"/>
    <w:rsid w:val="00177723"/>
    <w:rsid w:val="0017794F"/>
    <w:rsid w:val="00181E49"/>
    <w:rsid w:val="00187E02"/>
    <w:rsid w:val="001B3EA7"/>
    <w:rsid w:val="001C1C5C"/>
    <w:rsid w:val="001D247A"/>
    <w:rsid w:val="001D289E"/>
    <w:rsid w:val="001E5A11"/>
    <w:rsid w:val="001E7FB4"/>
    <w:rsid w:val="00207FEC"/>
    <w:rsid w:val="00215621"/>
    <w:rsid w:val="002227B6"/>
    <w:rsid w:val="0024472E"/>
    <w:rsid w:val="00246558"/>
    <w:rsid w:val="00262450"/>
    <w:rsid w:val="002A2745"/>
    <w:rsid w:val="002A485F"/>
    <w:rsid w:val="002B6786"/>
    <w:rsid w:val="002C3EDE"/>
    <w:rsid w:val="002D2CB5"/>
    <w:rsid w:val="002D79CC"/>
    <w:rsid w:val="00304069"/>
    <w:rsid w:val="00304712"/>
    <w:rsid w:val="00314FD6"/>
    <w:rsid w:val="00320412"/>
    <w:rsid w:val="0033177D"/>
    <w:rsid w:val="00340B5E"/>
    <w:rsid w:val="00342E09"/>
    <w:rsid w:val="00356DE1"/>
    <w:rsid w:val="0038233F"/>
    <w:rsid w:val="00385F7B"/>
    <w:rsid w:val="003A4F0D"/>
    <w:rsid w:val="003C7DE3"/>
    <w:rsid w:val="003D684F"/>
    <w:rsid w:val="003F532D"/>
    <w:rsid w:val="004055AF"/>
    <w:rsid w:val="00421B52"/>
    <w:rsid w:val="00434C4A"/>
    <w:rsid w:val="00434EF0"/>
    <w:rsid w:val="004520CB"/>
    <w:rsid w:val="004524EE"/>
    <w:rsid w:val="00453C0A"/>
    <w:rsid w:val="004615CF"/>
    <w:rsid w:val="004625C3"/>
    <w:rsid w:val="004641CD"/>
    <w:rsid w:val="0047761A"/>
    <w:rsid w:val="004800EC"/>
    <w:rsid w:val="00482E23"/>
    <w:rsid w:val="00485086"/>
    <w:rsid w:val="004936E3"/>
    <w:rsid w:val="004A33AC"/>
    <w:rsid w:val="004A3B36"/>
    <w:rsid w:val="004B7A9A"/>
    <w:rsid w:val="004B7E7B"/>
    <w:rsid w:val="004D02F8"/>
    <w:rsid w:val="004D0F69"/>
    <w:rsid w:val="004D700A"/>
    <w:rsid w:val="004E4741"/>
    <w:rsid w:val="004F1ECB"/>
    <w:rsid w:val="004F64C6"/>
    <w:rsid w:val="00504C29"/>
    <w:rsid w:val="00512075"/>
    <w:rsid w:val="00512AB9"/>
    <w:rsid w:val="0051782C"/>
    <w:rsid w:val="00530F63"/>
    <w:rsid w:val="005348F6"/>
    <w:rsid w:val="00542114"/>
    <w:rsid w:val="005423E8"/>
    <w:rsid w:val="00551CFC"/>
    <w:rsid w:val="00556275"/>
    <w:rsid w:val="00566044"/>
    <w:rsid w:val="00570806"/>
    <w:rsid w:val="00572C1C"/>
    <w:rsid w:val="00575475"/>
    <w:rsid w:val="00582953"/>
    <w:rsid w:val="005839B2"/>
    <w:rsid w:val="005842D7"/>
    <w:rsid w:val="00585196"/>
    <w:rsid w:val="005A0BDE"/>
    <w:rsid w:val="005A7E19"/>
    <w:rsid w:val="005B1C50"/>
    <w:rsid w:val="005B39CC"/>
    <w:rsid w:val="005B674B"/>
    <w:rsid w:val="005C60AB"/>
    <w:rsid w:val="005D0635"/>
    <w:rsid w:val="005E3626"/>
    <w:rsid w:val="005F059D"/>
    <w:rsid w:val="00605050"/>
    <w:rsid w:val="00611F31"/>
    <w:rsid w:val="00616498"/>
    <w:rsid w:val="00616CE2"/>
    <w:rsid w:val="00621CA2"/>
    <w:rsid w:val="00624AF1"/>
    <w:rsid w:val="006477CE"/>
    <w:rsid w:val="00651B88"/>
    <w:rsid w:val="006558F5"/>
    <w:rsid w:val="00664F54"/>
    <w:rsid w:val="00682B51"/>
    <w:rsid w:val="00687CE9"/>
    <w:rsid w:val="00696BF8"/>
    <w:rsid w:val="006A109A"/>
    <w:rsid w:val="006B0635"/>
    <w:rsid w:val="006B169A"/>
    <w:rsid w:val="006B70A1"/>
    <w:rsid w:val="006C3D22"/>
    <w:rsid w:val="006D089E"/>
    <w:rsid w:val="006E0DC0"/>
    <w:rsid w:val="006E39F5"/>
    <w:rsid w:val="006F1950"/>
    <w:rsid w:val="00704D34"/>
    <w:rsid w:val="007053D7"/>
    <w:rsid w:val="00707399"/>
    <w:rsid w:val="00711A73"/>
    <w:rsid w:val="00713481"/>
    <w:rsid w:val="00717FA2"/>
    <w:rsid w:val="00723350"/>
    <w:rsid w:val="00723E29"/>
    <w:rsid w:val="007459DC"/>
    <w:rsid w:val="0074778F"/>
    <w:rsid w:val="007518D0"/>
    <w:rsid w:val="00753CE8"/>
    <w:rsid w:val="00764864"/>
    <w:rsid w:val="007715EE"/>
    <w:rsid w:val="007721C1"/>
    <w:rsid w:val="00782813"/>
    <w:rsid w:val="00790B53"/>
    <w:rsid w:val="00793E45"/>
    <w:rsid w:val="00794BAC"/>
    <w:rsid w:val="00796AD8"/>
    <w:rsid w:val="007A02D4"/>
    <w:rsid w:val="007A567E"/>
    <w:rsid w:val="007B5743"/>
    <w:rsid w:val="007C4C86"/>
    <w:rsid w:val="007D7718"/>
    <w:rsid w:val="007F1FF4"/>
    <w:rsid w:val="007F2A6B"/>
    <w:rsid w:val="00801973"/>
    <w:rsid w:val="008073E5"/>
    <w:rsid w:val="00817AA8"/>
    <w:rsid w:val="00822ED3"/>
    <w:rsid w:val="00823244"/>
    <w:rsid w:val="00831E44"/>
    <w:rsid w:val="00835908"/>
    <w:rsid w:val="00840689"/>
    <w:rsid w:val="00845DF0"/>
    <w:rsid w:val="00850E75"/>
    <w:rsid w:val="0086671B"/>
    <w:rsid w:val="008731D3"/>
    <w:rsid w:val="00884DC7"/>
    <w:rsid w:val="00893951"/>
    <w:rsid w:val="008A3AA7"/>
    <w:rsid w:val="008C180A"/>
    <w:rsid w:val="008C3418"/>
    <w:rsid w:val="008E3AF3"/>
    <w:rsid w:val="008F1BBB"/>
    <w:rsid w:val="008F2A72"/>
    <w:rsid w:val="009076FF"/>
    <w:rsid w:val="00916173"/>
    <w:rsid w:val="0092325A"/>
    <w:rsid w:val="0093648E"/>
    <w:rsid w:val="00957E01"/>
    <w:rsid w:val="00962D45"/>
    <w:rsid w:val="00964E9E"/>
    <w:rsid w:val="00982BA2"/>
    <w:rsid w:val="009A6D93"/>
    <w:rsid w:val="009B1C8B"/>
    <w:rsid w:val="009D5CD7"/>
    <w:rsid w:val="009F5BDD"/>
    <w:rsid w:val="00A07610"/>
    <w:rsid w:val="00A17F1F"/>
    <w:rsid w:val="00A22F2E"/>
    <w:rsid w:val="00A270EB"/>
    <w:rsid w:val="00A34AC3"/>
    <w:rsid w:val="00A4654D"/>
    <w:rsid w:val="00A51F08"/>
    <w:rsid w:val="00A53877"/>
    <w:rsid w:val="00A543F8"/>
    <w:rsid w:val="00A62176"/>
    <w:rsid w:val="00A6528A"/>
    <w:rsid w:val="00A85107"/>
    <w:rsid w:val="00A92267"/>
    <w:rsid w:val="00AA0BC2"/>
    <w:rsid w:val="00AA1D84"/>
    <w:rsid w:val="00AA5756"/>
    <w:rsid w:val="00AC077C"/>
    <w:rsid w:val="00AC6A15"/>
    <w:rsid w:val="00AE0600"/>
    <w:rsid w:val="00AE73CF"/>
    <w:rsid w:val="00AF7C23"/>
    <w:rsid w:val="00B04705"/>
    <w:rsid w:val="00B11522"/>
    <w:rsid w:val="00B46E10"/>
    <w:rsid w:val="00B63FA2"/>
    <w:rsid w:val="00B665DA"/>
    <w:rsid w:val="00B82443"/>
    <w:rsid w:val="00B867B3"/>
    <w:rsid w:val="00B92C49"/>
    <w:rsid w:val="00BA00F8"/>
    <w:rsid w:val="00BA7D7C"/>
    <w:rsid w:val="00BC1E6D"/>
    <w:rsid w:val="00BC4F8C"/>
    <w:rsid w:val="00BC5B2F"/>
    <w:rsid w:val="00BE1BCB"/>
    <w:rsid w:val="00BF0769"/>
    <w:rsid w:val="00BF321A"/>
    <w:rsid w:val="00BF32B3"/>
    <w:rsid w:val="00C102DD"/>
    <w:rsid w:val="00C15EB1"/>
    <w:rsid w:val="00C35355"/>
    <w:rsid w:val="00C400BD"/>
    <w:rsid w:val="00C53E04"/>
    <w:rsid w:val="00C630F2"/>
    <w:rsid w:val="00C64540"/>
    <w:rsid w:val="00C77172"/>
    <w:rsid w:val="00C77366"/>
    <w:rsid w:val="00C93D7A"/>
    <w:rsid w:val="00C952B1"/>
    <w:rsid w:val="00C956ED"/>
    <w:rsid w:val="00CA5793"/>
    <w:rsid w:val="00CB2BA0"/>
    <w:rsid w:val="00CB4EBE"/>
    <w:rsid w:val="00CC1A2A"/>
    <w:rsid w:val="00CC3B0E"/>
    <w:rsid w:val="00CC6C7B"/>
    <w:rsid w:val="00CD137D"/>
    <w:rsid w:val="00CD6A11"/>
    <w:rsid w:val="00CF6249"/>
    <w:rsid w:val="00D037CE"/>
    <w:rsid w:val="00D04E93"/>
    <w:rsid w:val="00D05F2F"/>
    <w:rsid w:val="00D05F6E"/>
    <w:rsid w:val="00D2154F"/>
    <w:rsid w:val="00D26878"/>
    <w:rsid w:val="00D45B0C"/>
    <w:rsid w:val="00D51552"/>
    <w:rsid w:val="00D5541E"/>
    <w:rsid w:val="00D739FC"/>
    <w:rsid w:val="00D75CB2"/>
    <w:rsid w:val="00D85438"/>
    <w:rsid w:val="00DA423A"/>
    <w:rsid w:val="00DA46F4"/>
    <w:rsid w:val="00DA6A22"/>
    <w:rsid w:val="00DA7A45"/>
    <w:rsid w:val="00DB3C4E"/>
    <w:rsid w:val="00DC388E"/>
    <w:rsid w:val="00DD054F"/>
    <w:rsid w:val="00DD2442"/>
    <w:rsid w:val="00DD34C5"/>
    <w:rsid w:val="00DE47F1"/>
    <w:rsid w:val="00DE70D4"/>
    <w:rsid w:val="00DF1CA9"/>
    <w:rsid w:val="00DF283C"/>
    <w:rsid w:val="00DF3857"/>
    <w:rsid w:val="00E16B2A"/>
    <w:rsid w:val="00E26986"/>
    <w:rsid w:val="00E341BD"/>
    <w:rsid w:val="00E85992"/>
    <w:rsid w:val="00E92B08"/>
    <w:rsid w:val="00EA4A0A"/>
    <w:rsid w:val="00EA5581"/>
    <w:rsid w:val="00EA5AB1"/>
    <w:rsid w:val="00EC43E1"/>
    <w:rsid w:val="00EC453C"/>
    <w:rsid w:val="00EE11D2"/>
    <w:rsid w:val="00EF44D9"/>
    <w:rsid w:val="00EF511E"/>
    <w:rsid w:val="00EF72D6"/>
    <w:rsid w:val="00F07157"/>
    <w:rsid w:val="00F11A1D"/>
    <w:rsid w:val="00F11F67"/>
    <w:rsid w:val="00F12256"/>
    <w:rsid w:val="00F27653"/>
    <w:rsid w:val="00F30EFD"/>
    <w:rsid w:val="00F32B08"/>
    <w:rsid w:val="00F37735"/>
    <w:rsid w:val="00F45988"/>
    <w:rsid w:val="00F46759"/>
    <w:rsid w:val="00F5567C"/>
    <w:rsid w:val="00F560B4"/>
    <w:rsid w:val="00F75150"/>
    <w:rsid w:val="00F827AA"/>
    <w:rsid w:val="00FA6779"/>
    <w:rsid w:val="00FC33B9"/>
    <w:rsid w:val="00FE0D73"/>
    <w:rsid w:val="00FF287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F1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5A7E1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5A7E19"/>
    <w:rPr>
      <w:rFonts w:ascii="Arial" w:eastAsia="Times New Roman" w:hAnsi="Arial" w:cs="Times New Roman"/>
      <w:snapToGrid w:val="0"/>
      <w:szCs w:val="24"/>
    </w:rPr>
  </w:style>
  <w:style w:type="character" w:styleId="Emphasis">
    <w:name w:val="Emphasis"/>
    <w:aliases w:val="Hdings 1"/>
    <w:uiPriority w:val="20"/>
    <w:qFormat/>
    <w:rsid w:val="00117196"/>
    <w:rPr>
      <w:rFonts w:ascii="Arial" w:hAnsi="Arial" w:cs="Arial"/>
      <w:b/>
      <w:color w:val="000000"/>
      <w:sz w:val="22"/>
      <w:szCs w:val="22"/>
      <w:lang w:val="en-GB"/>
    </w:rPr>
  </w:style>
  <w:style w:type="character" w:styleId="Hyperlink">
    <w:name w:val="Hyperlink"/>
    <w:uiPriority w:val="99"/>
    <w:rsid w:val="00434C4A"/>
    <w:rPr>
      <w:color w:val="0000FF"/>
      <w:u w:val="single"/>
    </w:rPr>
  </w:style>
  <w:style w:type="character" w:styleId="FollowedHyperlink">
    <w:name w:val="FollowedHyperlink"/>
    <w:basedOn w:val="DefaultParagraphFont"/>
    <w:uiPriority w:val="99"/>
    <w:semiHidden/>
    <w:unhideWhenUsed/>
    <w:rsid w:val="00434C4A"/>
    <w:rPr>
      <w:color w:val="800080" w:themeColor="followedHyperlink"/>
      <w:u w:val="single"/>
    </w:rPr>
  </w:style>
  <w:style w:type="paragraph" w:customStyle="1" w:styleId="Sansinterligne1">
    <w:name w:val="Sans interligne1"/>
    <w:uiPriority w:val="1"/>
    <w:rsid w:val="00D26878"/>
    <w:pPr>
      <w:spacing w:after="0" w:line="240" w:lineRule="auto"/>
    </w:pPr>
    <w:rPr>
      <w:rFonts w:ascii="Times New Roman" w:eastAsia="Times New Roman" w:hAnsi="Times New Roman" w:cs="Times New Roman"/>
      <w:sz w:val="24"/>
      <w:szCs w:val="24"/>
      <w:lang w:eastAsia="fr-FR"/>
    </w:rPr>
  </w:style>
  <w:style w:type="character" w:customStyle="1" w:styleId="st1">
    <w:name w:val="st1"/>
    <w:basedOn w:val="DefaultParagraphFont"/>
    <w:rsid w:val="00F11A1D"/>
  </w:style>
  <w:style w:type="paragraph" w:styleId="ListParagraph">
    <w:name w:val="List Paragraph"/>
    <w:basedOn w:val="Normal"/>
    <w:uiPriority w:val="34"/>
    <w:qFormat/>
    <w:rsid w:val="00CD6A11"/>
    <w:pPr>
      <w:ind w:left="720"/>
      <w:contextualSpacing/>
    </w:pPr>
  </w:style>
  <w:style w:type="paragraph" w:styleId="BalloonText">
    <w:name w:val="Balloon Text"/>
    <w:basedOn w:val="Normal"/>
    <w:link w:val="BalloonTextChar"/>
    <w:uiPriority w:val="99"/>
    <w:semiHidden/>
    <w:unhideWhenUsed/>
    <w:rsid w:val="006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F1"/>
    <w:rPr>
      <w:rFonts w:ascii="Tahoma" w:hAnsi="Tahoma" w:cs="Tahoma"/>
      <w:sz w:val="16"/>
      <w:szCs w:val="16"/>
    </w:rPr>
  </w:style>
  <w:style w:type="paragraph" w:styleId="Header">
    <w:name w:val="header"/>
    <w:basedOn w:val="Normal"/>
    <w:link w:val="HeaderChar"/>
    <w:uiPriority w:val="99"/>
    <w:unhideWhenUsed/>
    <w:rsid w:val="0045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0CB"/>
  </w:style>
  <w:style w:type="paragraph" w:styleId="Footer">
    <w:name w:val="footer"/>
    <w:basedOn w:val="Normal"/>
    <w:link w:val="FooterChar"/>
    <w:uiPriority w:val="99"/>
    <w:unhideWhenUsed/>
    <w:rsid w:val="0045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0CB"/>
  </w:style>
  <w:style w:type="paragraph" w:styleId="Revision">
    <w:name w:val="Revision"/>
    <w:hidden/>
    <w:uiPriority w:val="99"/>
    <w:semiHidden/>
    <w:rsid w:val="00CB2BA0"/>
    <w:pPr>
      <w:spacing w:after="0" w:line="240" w:lineRule="auto"/>
    </w:pPr>
  </w:style>
  <w:style w:type="character" w:styleId="CommentReference">
    <w:name w:val="annotation reference"/>
    <w:basedOn w:val="DefaultParagraphFont"/>
    <w:uiPriority w:val="99"/>
    <w:semiHidden/>
    <w:unhideWhenUsed/>
    <w:rsid w:val="00215621"/>
    <w:rPr>
      <w:sz w:val="16"/>
      <w:szCs w:val="16"/>
    </w:rPr>
  </w:style>
  <w:style w:type="paragraph" w:styleId="CommentText">
    <w:name w:val="annotation text"/>
    <w:basedOn w:val="Normal"/>
    <w:link w:val="CommentTextChar"/>
    <w:uiPriority w:val="99"/>
    <w:semiHidden/>
    <w:unhideWhenUsed/>
    <w:rsid w:val="00215621"/>
    <w:pPr>
      <w:spacing w:line="240" w:lineRule="auto"/>
    </w:pPr>
    <w:rPr>
      <w:sz w:val="20"/>
      <w:szCs w:val="20"/>
    </w:rPr>
  </w:style>
  <w:style w:type="character" w:customStyle="1" w:styleId="CommentTextChar">
    <w:name w:val="Comment Text Char"/>
    <w:basedOn w:val="DefaultParagraphFont"/>
    <w:link w:val="CommentText"/>
    <w:uiPriority w:val="99"/>
    <w:semiHidden/>
    <w:rsid w:val="00215621"/>
    <w:rPr>
      <w:sz w:val="20"/>
      <w:szCs w:val="20"/>
    </w:rPr>
  </w:style>
  <w:style w:type="paragraph" w:styleId="CommentSubject">
    <w:name w:val="annotation subject"/>
    <w:basedOn w:val="CommentText"/>
    <w:next w:val="CommentText"/>
    <w:link w:val="CommentSubjectChar"/>
    <w:uiPriority w:val="99"/>
    <w:semiHidden/>
    <w:unhideWhenUsed/>
    <w:rsid w:val="00215621"/>
    <w:rPr>
      <w:b/>
      <w:bCs/>
    </w:rPr>
  </w:style>
  <w:style w:type="character" w:customStyle="1" w:styleId="CommentSubjectChar">
    <w:name w:val="Comment Subject Char"/>
    <w:basedOn w:val="CommentTextChar"/>
    <w:link w:val="CommentSubject"/>
    <w:uiPriority w:val="99"/>
    <w:semiHidden/>
    <w:rsid w:val="00215621"/>
    <w:rPr>
      <w:b/>
      <w:bCs/>
      <w:sz w:val="20"/>
      <w:szCs w:val="20"/>
    </w:rPr>
  </w:style>
  <w:style w:type="paragraph" w:styleId="Subtitle">
    <w:name w:val="Subtitle"/>
    <w:aliases w:val="Title of the meeting"/>
    <w:basedOn w:val="Normal"/>
    <w:next w:val="Normal"/>
    <w:link w:val="SubtitleChar"/>
    <w:uiPriority w:val="11"/>
    <w:qFormat/>
    <w:rsid w:val="004F64C6"/>
    <w:pPr>
      <w:spacing w:before="120" w:after="360" w:line="240" w:lineRule="auto"/>
      <w:jc w:val="center"/>
    </w:pPr>
    <w:rPr>
      <w:rFonts w:ascii="Arial" w:hAnsi="Arial" w:cs="Arial"/>
      <w:b/>
      <w:sz w:val="24"/>
      <w:szCs w:val="26"/>
      <w:lang w:val="en-GB"/>
    </w:rPr>
  </w:style>
  <w:style w:type="character" w:customStyle="1" w:styleId="SubtitleChar">
    <w:name w:val="Subtitle Char"/>
    <w:aliases w:val="Title of the meeting Char"/>
    <w:basedOn w:val="DefaultParagraphFont"/>
    <w:link w:val="Subtitle"/>
    <w:uiPriority w:val="11"/>
    <w:rsid w:val="004F64C6"/>
    <w:rPr>
      <w:rFonts w:ascii="Arial" w:hAnsi="Arial" w:cs="Arial"/>
      <w:b/>
      <w:sz w:val="24"/>
      <w:szCs w:val="26"/>
      <w:lang w:val="en-GB"/>
    </w:rPr>
  </w:style>
  <w:style w:type="character" w:styleId="SubtleEmphasis">
    <w:name w:val="Subtle Emphasis"/>
    <w:aliases w:val="Intro Paragraph"/>
    <w:uiPriority w:val="19"/>
    <w:rsid w:val="00117196"/>
    <w:rPr>
      <w:rFonts w:cs="Arial"/>
      <w:i/>
      <w:szCs w:val="22"/>
      <w:lang w:val="en-GB"/>
    </w:rPr>
  </w:style>
  <w:style w:type="character" w:styleId="IntenseEmphasis">
    <w:name w:val="Intense Emphasis"/>
    <w:aliases w:val="Hdings 2"/>
    <w:uiPriority w:val="21"/>
    <w:qFormat/>
    <w:rsid w:val="00A270EB"/>
    <w:rPr>
      <w:rFonts w:ascii="Arial" w:hAnsi="Arial" w:cs="Arial"/>
      <w:b/>
      <w:bCs/>
      <w:i/>
      <w:sz w:val="22"/>
      <w:lang w:val="en-GB"/>
    </w:rPr>
  </w:style>
  <w:style w:type="character" w:styleId="Strong">
    <w:name w:val="Strong"/>
    <w:aliases w:val="Text"/>
    <w:uiPriority w:val="22"/>
    <w:rsid w:val="00117196"/>
    <w:rPr>
      <w:rFonts w:ascii="Arial" w:hAnsi="Arial" w:cs="Arial"/>
      <w:lang w:val="en-GB"/>
    </w:rPr>
  </w:style>
  <w:style w:type="paragraph" w:customStyle="1" w:styleId="Introparagraph">
    <w:name w:val="Intro paragraph"/>
    <w:basedOn w:val="Marge"/>
    <w:link w:val="IntroparagraphChar"/>
    <w:qFormat/>
    <w:rsid w:val="007F1FF4"/>
    <w:pPr>
      <w:tabs>
        <w:tab w:val="left" w:pos="709"/>
      </w:tabs>
      <w:autoSpaceDE w:val="0"/>
      <w:autoSpaceDN w:val="0"/>
      <w:adjustRightInd w:val="0"/>
      <w:spacing w:before="240"/>
    </w:pPr>
  </w:style>
  <w:style w:type="paragraph" w:customStyle="1" w:styleId="Style1">
    <w:name w:val="Style1"/>
    <w:basedOn w:val="Normal"/>
    <w:link w:val="Style1Char"/>
    <w:rsid w:val="00A270EB"/>
    <w:pPr>
      <w:keepNext/>
      <w:spacing w:before="240" w:after="240" w:line="240" w:lineRule="auto"/>
    </w:pPr>
    <w:rPr>
      <w:rFonts w:ascii="Arial" w:hAnsi="Arial"/>
      <w:b/>
    </w:rPr>
  </w:style>
  <w:style w:type="character" w:customStyle="1" w:styleId="IntroparagraphChar">
    <w:name w:val="Intro paragraph Char"/>
    <w:basedOn w:val="MargeChar"/>
    <w:link w:val="Introparagraph"/>
    <w:rsid w:val="007F1FF4"/>
    <w:rPr>
      <w:rFonts w:ascii="Arial" w:eastAsia="Times New Roman" w:hAnsi="Arial" w:cs="Times New Roman"/>
      <w:snapToGrid w:val="0"/>
      <w:szCs w:val="24"/>
    </w:rPr>
  </w:style>
  <w:style w:type="paragraph" w:customStyle="1" w:styleId="NormalText">
    <w:name w:val="Normal Text"/>
    <w:basedOn w:val="Normal"/>
    <w:link w:val="NormalTextChar"/>
    <w:qFormat/>
    <w:rsid w:val="00A270EB"/>
    <w:pPr>
      <w:spacing w:before="240" w:after="240" w:line="240" w:lineRule="auto"/>
      <w:jc w:val="both"/>
    </w:pPr>
    <w:rPr>
      <w:rFonts w:ascii="Arial" w:hAnsi="Arial"/>
    </w:rPr>
  </w:style>
  <w:style w:type="character" w:customStyle="1" w:styleId="Style1Char">
    <w:name w:val="Style1 Char"/>
    <w:basedOn w:val="DefaultParagraphFont"/>
    <w:link w:val="Style1"/>
    <w:rsid w:val="00A270EB"/>
    <w:rPr>
      <w:rFonts w:ascii="Arial" w:hAnsi="Arial"/>
      <w:b/>
    </w:rPr>
  </w:style>
  <w:style w:type="paragraph" w:customStyle="1" w:styleId="Head1">
    <w:name w:val="Head1"/>
    <w:basedOn w:val="Marge"/>
    <w:link w:val="Head1Char"/>
    <w:qFormat/>
    <w:rsid w:val="004F64C6"/>
    <w:pPr>
      <w:keepNext/>
      <w:tabs>
        <w:tab w:val="left" w:pos="709"/>
      </w:tabs>
      <w:autoSpaceDE w:val="0"/>
      <w:autoSpaceDN w:val="0"/>
      <w:adjustRightInd w:val="0"/>
      <w:spacing w:before="360"/>
    </w:pPr>
    <w:rPr>
      <w:b/>
    </w:rPr>
  </w:style>
  <w:style w:type="character" w:customStyle="1" w:styleId="NormalTextChar">
    <w:name w:val="Normal Text Char"/>
    <w:basedOn w:val="DefaultParagraphFont"/>
    <w:link w:val="NormalText"/>
    <w:rsid w:val="00A270EB"/>
    <w:rPr>
      <w:rFonts w:ascii="Arial" w:hAnsi="Arial"/>
    </w:rPr>
  </w:style>
  <w:style w:type="paragraph" w:customStyle="1" w:styleId="Style2">
    <w:name w:val="Style2"/>
    <w:basedOn w:val="Style1"/>
    <w:link w:val="Style2Char"/>
    <w:rsid w:val="00A270EB"/>
  </w:style>
  <w:style w:type="character" w:customStyle="1" w:styleId="Head1Char">
    <w:name w:val="Head1 Char"/>
    <w:basedOn w:val="MargeChar"/>
    <w:link w:val="Head1"/>
    <w:rsid w:val="004F64C6"/>
    <w:rPr>
      <w:rFonts w:ascii="Arial" w:eastAsia="Times New Roman" w:hAnsi="Arial" w:cs="Times New Roman"/>
      <w:b/>
      <w:snapToGrid w:val="0"/>
      <w:szCs w:val="24"/>
    </w:rPr>
  </w:style>
  <w:style w:type="character" w:customStyle="1" w:styleId="Style2Char">
    <w:name w:val="Style2 Char"/>
    <w:basedOn w:val="Style1Char"/>
    <w:link w:val="Style2"/>
    <w:rsid w:val="00A270EB"/>
    <w:rPr>
      <w:rFonts w:ascii="Arial" w:hAnsi="Arial"/>
      <w:b/>
    </w:rPr>
  </w:style>
  <w:style w:type="paragraph" w:customStyle="1" w:styleId="wiki-text">
    <w:name w:val="wiki-text"/>
    <w:basedOn w:val="Normal"/>
    <w:rsid w:val="00711A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text">
    <w:name w:val="formtext"/>
    <w:basedOn w:val="Normal"/>
    <w:rsid w:val="00C53E04"/>
    <w:pPr>
      <w:spacing w:before="80" w:after="80" w:line="240" w:lineRule="exact"/>
    </w:pPr>
    <w:rPr>
      <w:rFonts w:ascii="Arial" w:eastAsia="SimSun" w:hAnsi="Arial" w:cs="Times New Roman"/>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1547">
      <w:bodyDiv w:val="1"/>
      <w:marLeft w:val="0"/>
      <w:marRight w:val="0"/>
      <w:marTop w:val="0"/>
      <w:marBottom w:val="0"/>
      <w:divBdr>
        <w:top w:val="none" w:sz="0" w:space="0" w:color="auto"/>
        <w:left w:val="none" w:sz="0" w:space="0" w:color="auto"/>
        <w:bottom w:val="none" w:sz="0" w:space="0" w:color="auto"/>
        <w:right w:val="none" w:sz="0" w:space="0" w:color="auto"/>
      </w:divBdr>
    </w:div>
    <w:div w:id="553393386">
      <w:bodyDiv w:val="1"/>
      <w:marLeft w:val="0"/>
      <w:marRight w:val="0"/>
      <w:marTop w:val="0"/>
      <w:marBottom w:val="0"/>
      <w:divBdr>
        <w:top w:val="none" w:sz="0" w:space="0" w:color="auto"/>
        <w:left w:val="none" w:sz="0" w:space="0" w:color="auto"/>
        <w:bottom w:val="none" w:sz="0" w:space="0" w:color="auto"/>
        <w:right w:val="none" w:sz="0" w:space="0" w:color="auto"/>
      </w:divBdr>
      <w:divsChild>
        <w:div w:id="772897821">
          <w:marLeft w:val="346"/>
          <w:marRight w:val="0"/>
          <w:marTop w:val="240"/>
          <w:marBottom w:val="0"/>
          <w:divBdr>
            <w:top w:val="none" w:sz="0" w:space="0" w:color="auto"/>
            <w:left w:val="none" w:sz="0" w:space="0" w:color="auto"/>
            <w:bottom w:val="none" w:sz="0" w:space="0" w:color="auto"/>
            <w:right w:val="none" w:sz="0" w:space="0" w:color="auto"/>
          </w:divBdr>
        </w:div>
      </w:divsChild>
    </w:div>
    <w:div w:id="743571739">
      <w:bodyDiv w:val="1"/>
      <w:marLeft w:val="0"/>
      <w:marRight w:val="0"/>
      <w:marTop w:val="0"/>
      <w:marBottom w:val="0"/>
      <w:divBdr>
        <w:top w:val="none" w:sz="0" w:space="0" w:color="auto"/>
        <w:left w:val="none" w:sz="0" w:space="0" w:color="auto"/>
        <w:bottom w:val="none" w:sz="0" w:space="0" w:color="auto"/>
        <w:right w:val="none" w:sz="0" w:space="0" w:color="auto"/>
      </w:divBdr>
    </w:div>
    <w:div w:id="1201479707">
      <w:bodyDiv w:val="1"/>
      <w:marLeft w:val="0"/>
      <w:marRight w:val="0"/>
      <w:marTop w:val="0"/>
      <w:marBottom w:val="0"/>
      <w:divBdr>
        <w:top w:val="none" w:sz="0" w:space="0" w:color="auto"/>
        <w:left w:val="none" w:sz="0" w:space="0" w:color="auto"/>
        <w:bottom w:val="none" w:sz="0" w:space="0" w:color="auto"/>
        <w:right w:val="none" w:sz="0" w:space="0" w:color="auto"/>
      </w:divBdr>
    </w:div>
    <w:div w:id="1969043898">
      <w:bodyDiv w:val="1"/>
      <w:marLeft w:val="0"/>
      <w:marRight w:val="0"/>
      <w:marTop w:val="0"/>
      <w:marBottom w:val="0"/>
      <w:divBdr>
        <w:top w:val="none" w:sz="0" w:space="0" w:color="auto"/>
        <w:left w:val="none" w:sz="0" w:space="0" w:color="auto"/>
        <w:bottom w:val="none" w:sz="0" w:space="0" w:color="auto"/>
        <w:right w:val="none" w:sz="0" w:space="0" w:color="auto"/>
      </w:divBdr>
      <w:divsChild>
        <w:div w:id="1994554967">
          <w:marLeft w:val="0"/>
          <w:marRight w:val="0"/>
          <w:marTop w:val="0"/>
          <w:marBottom w:val="0"/>
          <w:divBdr>
            <w:top w:val="none" w:sz="0" w:space="0" w:color="auto"/>
            <w:left w:val="none" w:sz="0" w:space="0" w:color="auto"/>
            <w:bottom w:val="none" w:sz="0" w:space="0" w:color="auto"/>
            <w:right w:val="none" w:sz="0" w:space="0" w:color="auto"/>
          </w:divBdr>
          <w:divsChild>
            <w:div w:id="1731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4-9.COM-13.b-EN.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esco.org/culture/ich/doc/src/ICH-Operational_Directives-5.GA-EN.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esco.org/culture/ich/en/conventio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3D27-3ED4-4BC0-BEE8-36D2B08B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2010</Words>
  <Characters>11056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CLT/CEH/ITH-G.Scepi</cp:lastModifiedBy>
  <cp:revision>14</cp:revision>
  <cp:lastPrinted>2014-12-11T10:46:00Z</cp:lastPrinted>
  <dcterms:created xsi:type="dcterms:W3CDTF">2015-02-25T15:20:00Z</dcterms:created>
  <dcterms:modified xsi:type="dcterms:W3CDTF">2015-03-26T17:52:00Z</dcterms:modified>
</cp:coreProperties>
</file>