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775CC" w14:textId="75D30A1C" w:rsidR="00EC6F8D" w:rsidRPr="008F403C" w:rsidRDefault="0083568B" w:rsidP="00EC6F8D">
      <w:pPr>
        <w:spacing w:before="1440"/>
        <w:jc w:val="center"/>
        <w:rPr>
          <w:rFonts w:ascii="Arial" w:hAnsi="Arial" w:cs="Arial"/>
          <w:b/>
          <w:sz w:val="22"/>
          <w:szCs w:val="22"/>
        </w:rPr>
      </w:pPr>
      <w:r w:rsidRPr="008F403C">
        <w:rPr>
          <w:rFonts w:ascii="Arial" w:hAnsi="Arial"/>
          <w:b/>
          <w:sz w:val="22"/>
        </w:rPr>
        <w:t xml:space="preserve"> </w:t>
      </w:r>
      <w:r w:rsidR="00EC6F8D" w:rsidRPr="008F403C">
        <w:rPr>
          <w:rFonts w:ascii="Arial" w:hAnsi="Arial"/>
          <w:b/>
          <w:sz w:val="22"/>
        </w:rPr>
        <w:t>CONVENTION POUR LA SAUVEGARDE DU</w:t>
      </w:r>
      <w:r w:rsidR="00EC6F8D" w:rsidRPr="008F403C">
        <w:rPr>
          <w:rFonts w:ascii="Arial" w:hAnsi="Arial" w:cs="Arial"/>
          <w:b/>
          <w:sz w:val="22"/>
          <w:szCs w:val="22"/>
        </w:rPr>
        <w:br/>
      </w:r>
      <w:r w:rsidR="00EC6F8D" w:rsidRPr="008F403C">
        <w:rPr>
          <w:rFonts w:ascii="Arial" w:hAnsi="Arial"/>
          <w:b/>
          <w:sz w:val="22"/>
        </w:rPr>
        <w:t>PATRIMOINE CULTUREL IMMATÉRIEL</w:t>
      </w:r>
    </w:p>
    <w:p w14:paraId="7B2EEF45" w14:textId="77777777" w:rsidR="00EC6F8D" w:rsidRPr="008F403C" w:rsidRDefault="00EC6F8D" w:rsidP="00EC6F8D">
      <w:pPr>
        <w:spacing w:before="1200"/>
        <w:jc w:val="center"/>
        <w:rPr>
          <w:rFonts w:ascii="Arial" w:hAnsi="Arial" w:cs="Arial"/>
          <w:b/>
          <w:sz w:val="22"/>
          <w:szCs w:val="22"/>
        </w:rPr>
      </w:pPr>
      <w:r w:rsidRPr="008F403C">
        <w:rPr>
          <w:rFonts w:ascii="Arial" w:hAnsi="Arial"/>
          <w:b/>
          <w:sz w:val="22"/>
        </w:rPr>
        <w:t>COMITÉ INTERGOUVERNEMENTAL DE SAUVEGARDE</w:t>
      </w:r>
      <w:r w:rsidRPr="008F403C">
        <w:rPr>
          <w:rFonts w:ascii="Arial" w:hAnsi="Arial" w:cs="Arial"/>
          <w:b/>
          <w:sz w:val="22"/>
          <w:szCs w:val="22"/>
        </w:rPr>
        <w:br/>
      </w:r>
      <w:r w:rsidRPr="008F403C">
        <w:rPr>
          <w:rFonts w:ascii="Arial" w:hAnsi="Arial"/>
          <w:b/>
          <w:sz w:val="22"/>
        </w:rPr>
        <w:t>DU PATRIMOINE CULTUREL IMMATÉRIEL</w:t>
      </w:r>
    </w:p>
    <w:p w14:paraId="529E13F0" w14:textId="77777777" w:rsidR="00EC6F8D" w:rsidRPr="008F403C" w:rsidRDefault="00CB0542" w:rsidP="00EC6F8D">
      <w:pPr>
        <w:spacing w:before="840"/>
        <w:jc w:val="center"/>
        <w:rPr>
          <w:rFonts w:ascii="Arial" w:hAnsi="Arial" w:cs="Arial"/>
          <w:b/>
          <w:sz w:val="22"/>
          <w:szCs w:val="22"/>
        </w:rPr>
      </w:pPr>
      <w:r w:rsidRPr="008F403C">
        <w:rPr>
          <w:rFonts w:ascii="Arial" w:hAnsi="Arial"/>
          <w:b/>
          <w:sz w:val="22"/>
        </w:rPr>
        <w:t>Onzième session</w:t>
      </w:r>
    </w:p>
    <w:p w14:paraId="156FD15B" w14:textId="7F0E35AC" w:rsidR="009D5428" w:rsidRPr="008F403C" w:rsidRDefault="00CB0542" w:rsidP="005E7074">
      <w:pPr>
        <w:jc w:val="center"/>
        <w:rPr>
          <w:rFonts w:ascii="Arial" w:hAnsi="Arial" w:cs="Arial"/>
          <w:b/>
          <w:sz w:val="22"/>
          <w:szCs w:val="22"/>
        </w:rPr>
      </w:pPr>
      <w:r w:rsidRPr="008F403C">
        <w:rPr>
          <w:rFonts w:ascii="Arial" w:hAnsi="Arial"/>
          <w:b/>
          <w:sz w:val="22"/>
        </w:rPr>
        <w:t>Addis-Abeba, Éthiopie</w:t>
      </w:r>
    </w:p>
    <w:p w14:paraId="7DBF4A80" w14:textId="77777777" w:rsidR="00EC6F8D" w:rsidRPr="008F403C" w:rsidRDefault="00CB0542" w:rsidP="00EC6F8D">
      <w:pPr>
        <w:jc w:val="center"/>
        <w:rPr>
          <w:rFonts w:ascii="Arial" w:hAnsi="Arial" w:cs="Arial"/>
          <w:b/>
          <w:sz w:val="22"/>
          <w:szCs w:val="22"/>
        </w:rPr>
      </w:pPr>
      <w:r w:rsidRPr="008F403C">
        <w:rPr>
          <w:rFonts w:ascii="Arial" w:hAnsi="Arial"/>
          <w:b/>
          <w:sz w:val="22"/>
        </w:rPr>
        <w:t>28 novembre – 2 décembre 2016</w:t>
      </w:r>
    </w:p>
    <w:p w14:paraId="2E9A046A" w14:textId="77777777" w:rsidR="00EC6F8D" w:rsidRPr="008F403C" w:rsidRDefault="00EC6F8D" w:rsidP="00EC6F8D">
      <w:pPr>
        <w:pStyle w:val="Sansinterligne2"/>
        <w:spacing w:before="1200"/>
        <w:jc w:val="center"/>
        <w:rPr>
          <w:rFonts w:ascii="Arial" w:hAnsi="Arial" w:cs="Arial"/>
          <w:b/>
          <w:sz w:val="22"/>
          <w:szCs w:val="22"/>
        </w:rPr>
      </w:pPr>
      <w:r w:rsidRPr="008F403C">
        <w:rPr>
          <w:rFonts w:ascii="Arial" w:hAnsi="Arial"/>
          <w:b/>
          <w:sz w:val="22"/>
          <w:u w:val="single"/>
        </w:rPr>
        <w:t>Point 9.c de l</w:t>
      </w:r>
      <w:r w:rsidR="0054625B" w:rsidRPr="008F403C">
        <w:rPr>
          <w:rFonts w:ascii="Arial" w:hAnsi="Arial"/>
          <w:b/>
          <w:sz w:val="22"/>
          <w:u w:val="single"/>
        </w:rPr>
        <w:t>’</w:t>
      </w:r>
      <w:r w:rsidRPr="008F403C">
        <w:rPr>
          <w:rFonts w:ascii="Arial" w:hAnsi="Arial"/>
          <w:b/>
          <w:sz w:val="22"/>
          <w:u w:val="single"/>
        </w:rPr>
        <w:t>ordre du jour provisoire</w:t>
      </w:r>
      <w:r w:rsidRPr="008F403C">
        <w:rPr>
          <w:rFonts w:ascii="Arial" w:hAnsi="Arial"/>
          <w:b/>
          <w:sz w:val="22"/>
        </w:rPr>
        <w:t> :</w:t>
      </w:r>
    </w:p>
    <w:p w14:paraId="65A83058" w14:textId="77777777" w:rsidR="00EC6F8D" w:rsidRPr="008F403C" w:rsidRDefault="000951C7" w:rsidP="00EC6F8D">
      <w:pPr>
        <w:pStyle w:val="Sansinterligne2"/>
        <w:spacing w:after="1200"/>
        <w:jc w:val="center"/>
        <w:rPr>
          <w:rFonts w:ascii="Arial" w:hAnsi="Arial" w:cs="Arial"/>
          <w:b/>
          <w:sz w:val="22"/>
          <w:szCs w:val="22"/>
        </w:rPr>
      </w:pPr>
      <w:r w:rsidRPr="008F403C">
        <w:rPr>
          <w:rFonts w:ascii="Arial" w:hAnsi="Arial"/>
          <w:b/>
          <w:sz w:val="22"/>
        </w:rPr>
        <w:t>Rapports des États parties sur l</w:t>
      </w:r>
      <w:r w:rsidR="0054625B" w:rsidRPr="008F403C">
        <w:rPr>
          <w:rFonts w:ascii="Arial" w:hAnsi="Arial"/>
          <w:b/>
          <w:sz w:val="22"/>
        </w:rPr>
        <w:t>’</w:t>
      </w:r>
      <w:r w:rsidRPr="008F403C">
        <w:rPr>
          <w:rFonts w:ascii="Arial" w:hAnsi="Arial"/>
          <w:b/>
          <w:sz w:val="22"/>
        </w:rPr>
        <w:t>utilisation</w:t>
      </w:r>
      <w:r w:rsidR="0054625B" w:rsidRPr="008F403C">
        <w:rPr>
          <w:rFonts w:ascii="Arial" w:hAnsi="Arial"/>
          <w:b/>
          <w:sz w:val="22"/>
        </w:rPr>
        <w:t xml:space="preserve"> de l’assistance internationale</w:t>
      </w:r>
      <w:r w:rsidR="0054625B" w:rsidRPr="008F403C">
        <w:rPr>
          <w:rFonts w:ascii="Arial" w:hAnsi="Arial"/>
          <w:b/>
          <w:sz w:val="22"/>
        </w:rPr>
        <w:br/>
      </w:r>
      <w:r w:rsidRPr="008F403C">
        <w:rPr>
          <w:rFonts w:ascii="Arial" w:hAnsi="Arial"/>
          <w:b/>
          <w:sz w:val="22"/>
        </w:rPr>
        <w:t>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F403C" w14:paraId="59B7A4BE" w14:textId="77777777" w:rsidTr="00EC6F8D">
        <w:trPr>
          <w:jc w:val="center"/>
        </w:trPr>
        <w:tc>
          <w:tcPr>
            <w:tcW w:w="5670" w:type="dxa"/>
            <w:vAlign w:val="center"/>
          </w:tcPr>
          <w:p w14:paraId="00539802" w14:textId="77777777" w:rsidR="00EC6F8D" w:rsidRPr="008F403C" w:rsidRDefault="00EC6F8D" w:rsidP="00CA56BB">
            <w:pPr>
              <w:pStyle w:val="Sansinterligne1"/>
              <w:spacing w:before="200" w:after="200"/>
              <w:jc w:val="center"/>
              <w:rPr>
                <w:rFonts w:ascii="Arial" w:hAnsi="Arial" w:cs="Arial"/>
                <w:b/>
                <w:sz w:val="22"/>
                <w:szCs w:val="22"/>
              </w:rPr>
            </w:pPr>
            <w:r w:rsidRPr="008F403C">
              <w:rPr>
                <w:rFonts w:ascii="Arial" w:hAnsi="Arial"/>
                <w:b/>
                <w:sz w:val="22"/>
              </w:rPr>
              <w:t>Résumé</w:t>
            </w:r>
          </w:p>
          <w:p w14:paraId="21FB37C1" w14:textId="77777777" w:rsidR="009353CF" w:rsidRPr="008F403C" w:rsidRDefault="009353CF" w:rsidP="009353CF">
            <w:pPr>
              <w:pStyle w:val="Sansinterligne2"/>
              <w:spacing w:before="200" w:after="200"/>
              <w:jc w:val="both"/>
              <w:rPr>
                <w:rFonts w:ascii="Arial" w:hAnsi="Arial" w:cs="Arial"/>
                <w:iCs/>
                <w:sz w:val="22"/>
                <w:szCs w:val="22"/>
              </w:rPr>
            </w:pPr>
            <w:r w:rsidRPr="008F403C">
              <w:rPr>
                <w:rFonts w:ascii="Arial" w:hAnsi="Arial"/>
                <w:sz w:val="22"/>
              </w:rPr>
              <w:t>L</w:t>
            </w:r>
            <w:r w:rsidR="0054625B" w:rsidRPr="008F403C">
              <w:rPr>
                <w:rFonts w:ascii="Arial" w:hAnsi="Arial"/>
                <w:sz w:val="22"/>
              </w:rPr>
              <w:t>’</w:t>
            </w:r>
            <w:r w:rsidRPr="008F403C">
              <w:rPr>
                <w:rFonts w:ascii="Arial" w:hAnsi="Arial"/>
                <w:sz w:val="22"/>
              </w:rPr>
              <w:t>Article 24.3 de la Convention stipule que « L</w:t>
            </w:r>
            <w:r w:rsidR="0054625B" w:rsidRPr="008F403C">
              <w:rPr>
                <w:rFonts w:ascii="Arial" w:hAnsi="Arial"/>
                <w:sz w:val="22"/>
              </w:rPr>
              <w:t>’</w:t>
            </w:r>
            <w:r w:rsidRPr="008F403C">
              <w:rPr>
                <w:rFonts w:ascii="Arial" w:hAnsi="Arial"/>
                <w:sz w:val="22"/>
              </w:rPr>
              <w:t>État partie bénéficiaire remet au Comité un rapport sur l</w:t>
            </w:r>
            <w:r w:rsidR="0054625B" w:rsidRPr="008F403C">
              <w:rPr>
                <w:rFonts w:ascii="Arial" w:hAnsi="Arial"/>
                <w:sz w:val="22"/>
              </w:rPr>
              <w:t>’</w:t>
            </w:r>
            <w:r w:rsidRPr="008F403C">
              <w:rPr>
                <w:rFonts w:ascii="Arial" w:hAnsi="Arial"/>
                <w:sz w:val="22"/>
              </w:rPr>
              <w:t>utilisation de l</w:t>
            </w:r>
            <w:r w:rsidR="0054625B" w:rsidRPr="008F403C">
              <w:rPr>
                <w:rFonts w:ascii="Arial" w:hAnsi="Arial"/>
                <w:sz w:val="22"/>
              </w:rPr>
              <w:t>’</w:t>
            </w:r>
            <w:r w:rsidRPr="008F403C">
              <w:rPr>
                <w:rFonts w:ascii="Arial" w:hAnsi="Arial"/>
                <w:sz w:val="22"/>
              </w:rPr>
              <w:t>assistance accordée en faveur de la sauvegarde du patrimoine culturel immatériel ». Le présent document porte sur les rapports soumis par des États parties durant la période s</w:t>
            </w:r>
            <w:r w:rsidR="0054625B" w:rsidRPr="008F403C">
              <w:rPr>
                <w:rFonts w:ascii="Arial" w:hAnsi="Arial"/>
                <w:sz w:val="22"/>
              </w:rPr>
              <w:t>’</w:t>
            </w:r>
            <w:r w:rsidRPr="008F403C">
              <w:rPr>
                <w:rFonts w:ascii="Arial" w:hAnsi="Arial"/>
                <w:sz w:val="22"/>
              </w:rPr>
              <w:t>étendant du 1</w:t>
            </w:r>
            <w:r w:rsidRPr="008F403C">
              <w:rPr>
                <w:rFonts w:ascii="Arial" w:hAnsi="Arial"/>
                <w:sz w:val="22"/>
                <w:vertAlign w:val="superscript"/>
              </w:rPr>
              <w:t>er</w:t>
            </w:r>
            <w:r w:rsidRPr="008F403C">
              <w:rPr>
                <w:rFonts w:ascii="Arial" w:hAnsi="Arial"/>
                <w:sz w:val="22"/>
              </w:rPr>
              <w:t> octobre 2015 au 30 juin 2016 et comprend une présentation de l</w:t>
            </w:r>
            <w:r w:rsidR="0054625B" w:rsidRPr="008F403C">
              <w:rPr>
                <w:rFonts w:ascii="Arial" w:hAnsi="Arial"/>
                <w:sz w:val="22"/>
              </w:rPr>
              <w:t>’</w:t>
            </w:r>
            <w:r w:rsidRPr="008F403C">
              <w:rPr>
                <w:rFonts w:ascii="Arial" w:hAnsi="Arial"/>
                <w:sz w:val="22"/>
              </w:rPr>
              <w:t>utilisation de l</w:t>
            </w:r>
            <w:r w:rsidR="0054625B" w:rsidRPr="008F403C">
              <w:rPr>
                <w:rFonts w:ascii="Arial" w:hAnsi="Arial"/>
                <w:sz w:val="22"/>
              </w:rPr>
              <w:t>’</w:t>
            </w:r>
            <w:r w:rsidRPr="008F403C">
              <w:rPr>
                <w:rFonts w:ascii="Arial" w:hAnsi="Arial"/>
                <w:sz w:val="22"/>
              </w:rPr>
              <w:t>assistance internationale depuis la création de ce mécanisme.</w:t>
            </w:r>
          </w:p>
          <w:p w14:paraId="3D96B557" w14:textId="77777777" w:rsidR="00EC6F8D" w:rsidRPr="008F403C" w:rsidRDefault="00EC6F8D" w:rsidP="009353CF">
            <w:pPr>
              <w:pStyle w:val="Sansinterligne2"/>
              <w:spacing w:before="200" w:after="200"/>
              <w:jc w:val="both"/>
              <w:rPr>
                <w:rFonts w:ascii="Arial" w:hAnsi="Arial" w:cs="Arial"/>
                <w:b/>
                <w:sz w:val="22"/>
                <w:szCs w:val="22"/>
              </w:rPr>
            </w:pPr>
            <w:r w:rsidRPr="008F403C">
              <w:rPr>
                <w:rFonts w:ascii="Arial" w:hAnsi="Arial"/>
                <w:b/>
                <w:sz w:val="22"/>
              </w:rPr>
              <w:t xml:space="preserve">Décision requise : </w:t>
            </w:r>
            <w:r w:rsidRPr="008F403C">
              <w:rPr>
                <w:rFonts w:ascii="Arial" w:hAnsi="Arial"/>
                <w:sz w:val="22"/>
              </w:rPr>
              <w:t>paragraphe 11</w:t>
            </w:r>
          </w:p>
        </w:tc>
      </w:tr>
    </w:tbl>
    <w:p w14:paraId="7537FA91" w14:textId="77777777" w:rsidR="00CD34C3" w:rsidRPr="008F403C" w:rsidRDefault="00655736" w:rsidP="0027466B">
      <w:pPr>
        <w:pStyle w:val="COMPara"/>
        <w:jc w:val="both"/>
      </w:pPr>
      <w:r w:rsidRPr="008F403C">
        <w:br w:type="page"/>
      </w:r>
    </w:p>
    <w:p w14:paraId="7F947BF1" w14:textId="77777777" w:rsidR="00FD20CD" w:rsidRPr="008F403C" w:rsidRDefault="00FD20CD" w:rsidP="00BC383F">
      <w:pPr>
        <w:pStyle w:val="COMTitleDecision"/>
        <w:numPr>
          <w:ilvl w:val="4"/>
          <w:numId w:val="25"/>
        </w:numPr>
        <w:ind w:left="567" w:hanging="567"/>
      </w:pPr>
      <w:r w:rsidRPr="008F403C">
        <w:lastRenderedPageBreak/>
        <w:t>Présentation générale des rapports</w:t>
      </w:r>
    </w:p>
    <w:p w14:paraId="7E63C2B6" w14:textId="77777777" w:rsidR="000951C7" w:rsidRPr="008F403C" w:rsidRDefault="000951C7" w:rsidP="000951C7">
      <w:pPr>
        <w:pStyle w:val="COMPara"/>
        <w:numPr>
          <w:ilvl w:val="0"/>
          <w:numId w:val="15"/>
        </w:numPr>
        <w:ind w:left="567" w:hanging="567"/>
        <w:jc w:val="both"/>
      </w:pPr>
      <w:r w:rsidRPr="008F403C">
        <w:t>L</w:t>
      </w:r>
      <w:r w:rsidR="0054625B" w:rsidRPr="008F403C">
        <w:t>’</w:t>
      </w:r>
      <w:r w:rsidRPr="008F403C">
        <w:t>Article 24.3 de la Convention stipule que « L</w:t>
      </w:r>
      <w:r w:rsidR="0054625B" w:rsidRPr="008F403C">
        <w:t>’</w:t>
      </w:r>
      <w:r w:rsidRPr="008F403C">
        <w:t>État partie bénéficiaire remet au Comité un rapport sur l</w:t>
      </w:r>
      <w:r w:rsidR="0054625B" w:rsidRPr="008F403C">
        <w:t>’</w:t>
      </w:r>
      <w:r w:rsidRPr="008F403C">
        <w:t>utilisation de l</w:t>
      </w:r>
      <w:r w:rsidR="0054625B" w:rsidRPr="008F403C">
        <w:t>’</w:t>
      </w:r>
      <w:r w:rsidRPr="008F403C">
        <w:t>assistance accordée en faveur de la sauvegarde du patrimoine culturel immatériel ». Cette assistance financière internationale du Fonds du patrimoine culturel immatériel est décrite au chapitre V de la Convention et aux chapitres I.4 et I.14 des Directives opérationnelles. Le présent document porte sur l</w:t>
      </w:r>
      <w:r w:rsidR="0054625B" w:rsidRPr="008F403C">
        <w:t>’</w:t>
      </w:r>
      <w:r w:rsidRPr="008F403C">
        <w:t>ensemble des rapports reçus après la période considérée pour la dixième session du Comité, du 1er octobre 2015 au 30 juin 2016. Cependant, étant donné que la date de soumission des rapports d</w:t>
      </w:r>
      <w:r w:rsidR="0054625B" w:rsidRPr="008F403C">
        <w:t>’</w:t>
      </w:r>
      <w:r w:rsidRPr="008F403C">
        <w:t>avancement et des rapports finaux dépend des dates propres à chaque projet, convenues entre l</w:t>
      </w:r>
      <w:r w:rsidR="0054625B" w:rsidRPr="008F403C">
        <w:t>’</w:t>
      </w:r>
      <w:r w:rsidRPr="008F403C">
        <w:t>État bénéficiaire et l</w:t>
      </w:r>
      <w:r w:rsidR="0054625B" w:rsidRPr="008F403C">
        <w:t>’</w:t>
      </w:r>
      <w:r w:rsidRPr="008F403C">
        <w:t>UNESCO au moment de l</w:t>
      </w:r>
      <w:r w:rsidR="0054625B" w:rsidRPr="008F403C">
        <w:t>’</w:t>
      </w:r>
      <w:r w:rsidRPr="008F403C">
        <w:t>établissement du contrat qui régit l</w:t>
      </w:r>
      <w:r w:rsidR="0054625B" w:rsidRPr="008F403C">
        <w:t>’</w:t>
      </w:r>
      <w:r w:rsidRPr="008F403C">
        <w:t>assistance, la période couverte par chaque rapport varie.</w:t>
      </w:r>
    </w:p>
    <w:p w14:paraId="5431AB30" w14:textId="0A0E68A5" w:rsidR="004B1D30" w:rsidRPr="008F403C" w:rsidRDefault="005F6620" w:rsidP="005F6620">
      <w:pPr>
        <w:pStyle w:val="COMPara"/>
        <w:numPr>
          <w:ilvl w:val="0"/>
          <w:numId w:val="15"/>
        </w:numPr>
        <w:ind w:left="567" w:hanging="567"/>
        <w:jc w:val="both"/>
      </w:pPr>
      <w:r w:rsidRPr="008F403C">
        <w:t>Pendant la période considérée, vingt projets bénéficiant d</w:t>
      </w:r>
      <w:r w:rsidR="0054625B" w:rsidRPr="008F403C">
        <w:t>’</w:t>
      </w:r>
      <w:r w:rsidRPr="008F403C">
        <w:t>une assistance internationale étaient en cours</w:t>
      </w:r>
      <w:r w:rsidRPr="008F403C">
        <w:rPr>
          <w:rStyle w:val="FootnoteReference"/>
        </w:rPr>
        <w:footnoteReference w:id="1"/>
      </w:r>
      <w:r w:rsidRPr="008F403C">
        <w:t xml:space="preserve"> pour un montant total de 1 684 455,20 dollars des États-Unis. Le présent document inclut neuf rapports soumis par les États bénéficiaires entre le 1</w:t>
      </w:r>
      <w:r w:rsidRPr="008F403C">
        <w:rPr>
          <w:vertAlign w:val="superscript"/>
        </w:rPr>
        <w:t>er</w:t>
      </w:r>
      <w:r w:rsidRPr="008F403C">
        <w:t> octobre 2015 et le 30 juin 2016. Les rapports relatifs à chacun des neuf projets concernés peuvent être téléchargés dans la langue dans laquelle ils ont été présentés à partir des liens indiqués ci-dessous :</w:t>
      </w:r>
    </w:p>
    <w:tbl>
      <w:tblPr>
        <w:tblW w:w="915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418"/>
        <w:gridCol w:w="1275"/>
        <w:gridCol w:w="1535"/>
        <w:gridCol w:w="1949"/>
      </w:tblGrid>
      <w:tr w:rsidR="004B1D30" w:rsidRPr="008F403C" w14:paraId="47161337" w14:textId="77777777" w:rsidTr="00EF7495">
        <w:trPr>
          <w:cantSplit/>
        </w:trPr>
        <w:tc>
          <w:tcPr>
            <w:tcW w:w="2977" w:type="dxa"/>
            <w:shd w:val="clear" w:color="auto" w:fill="D9D9D9"/>
            <w:vAlign w:val="center"/>
          </w:tcPr>
          <w:p w14:paraId="10814002" w14:textId="77777777" w:rsidR="004B1D30" w:rsidRPr="008F403C" w:rsidRDefault="004B1D30" w:rsidP="004B1D30">
            <w:pPr>
              <w:pStyle w:val="Marge"/>
              <w:spacing w:before="120" w:after="120"/>
              <w:jc w:val="center"/>
              <w:rPr>
                <w:rFonts w:cs="Arial"/>
                <w:b/>
                <w:bCs/>
                <w:sz w:val="18"/>
                <w:szCs w:val="18"/>
              </w:rPr>
            </w:pPr>
            <w:r w:rsidRPr="008F403C">
              <w:rPr>
                <w:b/>
                <w:sz w:val="18"/>
              </w:rPr>
              <w:t>Projet</w:t>
            </w:r>
          </w:p>
        </w:tc>
        <w:tc>
          <w:tcPr>
            <w:tcW w:w="1418" w:type="dxa"/>
            <w:shd w:val="clear" w:color="auto" w:fill="D9D9D9"/>
            <w:vAlign w:val="center"/>
          </w:tcPr>
          <w:p w14:paraId="498151F6" w14:textId="77777777" w:rsidR="004B1D30" w:rsidRPr="008F403C" w:rsidRDefault="004B1D30" w:rsidP="004B1D30">
            <w:pPr>
              <w:pStyle w:val="Marge"/>
              <w:spacing w:before="120" w:after="120"/>
              <w:jc w:val="center"/>
              <w:rPr>
                <w:rFonts w:cs="Arial"/>
                <w:b/>
                <w:bCs/>
                <w:sz w:val="18"/>
                <w:szCs w:val="18"/>
              </w:rPr>
            </w:pPr>
            <w:r w:rsidRPr="008F403C">
              <w:rPr>
                <w:b/>
                <w:sz w:val="18"/>
              </w:rPr>
              <w:t>Bénéficiaire</w:t>
            </w:r>
          </w:p>
        </w:tc>
        <w:tc>
          <w:tcPr>
            <w:tcW w:w="1275" w:type="dxa"/>
            <w:shd w:val="clear" w:color="auto" w:fill="D9D9D9"/>
            <w:vAlign w:val="center"/>
          </w:tcPr>
          <w:p w14:paraId="01321DEB" w14:textId="77777777" w:rsidR="004B1D30" w:rsidRPr="008F403C" w:rsidRDefault="004B1D30" w:rsidP="004B1D30">
            <w:pPr>
              <w:pStyle w:val="Marge"/>
              <w:spacing w:before="120" w:after="120"/>
              <w:jc w:val="center"/>
              <w:rPr>
                <w:rFonts w:cs="Arial"/>
                <w:b/>
                <w:bCs/>
                <w:sz w:val="18"/>
                <w:szCs w:val="18"/>
              </w:rPr>
            </w:pPr>
            <w:proofErr w:type="gramStart"/>
            <w:r w:rsidRPr="008F403C">
              <w:rPr>
                <w:b/>
                <w:sz w:val="18"/>
              </w:rPr>
              <w:t>Montant</w:t>
            </w:r>
            <w:proofErr w:type="gramEnd"/>
            <w:r w:rsidRPr="008F403C">
              <w:rPr>
                <w:rFonts w:cs="Arial"/>
                <w:b/>
                <w:bCs/>
                <w:sz w:val="18"/>
                <w:szCs w:val="18"/>
              </w:rPr>
              <w:br/>
            </w:r>
            <w:r w:rsidRPr="008F403C">
              <w:rPr>
                <w:b/>
                <w:sz w:val="18"/>
              </w:rPr>
              <w:t>(dollars des États-Unis)</w:t>
            </w:r>
          </w:p>
        </w:tc>
        <w:tc>
          <w:tcPr>
            <w:tcW w:w="1535" w:type="dxa"/>
            <w:shd w:val="clear" w:color="auto" w:fill="D9D9D9"/>
            <w:vAlign w:val="center"/>
          </w:tcPr>
          <w:p w14:paraId="7AB261C9" w14:textId="77777777" w:rsidR="004B1D30" w:rsidRPr="008F403C" w:rsidRDefault="004B1D30" w:rsidP="004B1D30">
            <w:pPr>
              <w:pStyle w:val="Marge"/>
              <w:spacing w:before="120" w:after="120"/>
              <w:jc w:val="center"/>
              <w:rPr>
                <w:rFonts w:cs="Arial"/>
                <w:b/>
                <w:bCs/>
                <w:sz w:val="18"/>
                <w:szCs w:val="18"/>
              </w:rPr>
            </w:pPr>
            <w:r w:rsidRPr="008F403C">
              <w:rPr>
                <w:b/>
                <w:sz w:val="18"/>
              </w:rPr>
              <w:t>Période</w:t>
            </w:r>
          </w:p>
        </w:tc>
        <w:tc>
          <w:tcPr>
            <w:tcW w:w="1949" w:type="dxa"/>
            <w:shd w:val="clear" w:color="auto" w:fill="D9D9D9"/>
            <w:vAlign w:val="center"/>
          </w:tcPr>
          <w:p w14:paraId="285E5CAD" w14:textId="77777777" w:rsidR="004B1D30" w:rsidRPr="008F403C" w:rsidRDefault="004B1D30" w:rsidP="004B1D30">
            <w:pPr>
              <w:pStyle w:val="Marge"/>
              <w:spacing w:before="120" w:after="120"/>
              <w:jc w:val="center"/>
              <w:rPr>
                <w:rFonts w:cs="Arial"/>
                <w:b/>
                <w:bCs/>
                <w:sz w:val="18"/>
                <w:szCs w:val="18"/>
              </w:rPr>
            </w:pPr>
            <w:r w:rsidRPr="008F403C">
              <w:rPr>
                <w:b/>
                <w:sz w:val="18"/>
              </w:rPr>
              <w:t>Rapport</w:t>
            </w:r>
          </w:p>
        </w:tc>
      </w:tr>
      <w:tr w:rsidR="004B1D30" w:rsidRPr="008F403C" w14:paraId="4D91BA90" w14:textId="77777777" w:rsidTr="00EF7495">
        <w:trPr>
          <w:cantSplit/>
        </w:trPr>
        <w:tc>
          <w:tcPr>
            <w:tcW w:w="2977" w:type="dxa"/>
            <w:shd w:val="clear" w:color="auto" w:fill="auto"/>
          </w:tcPr>
          <w:p w14:paraId="34EC11ED" w14:textId="77777777" w:rsidR="004B1D30" w:rsidRPr="008F403C" w:rsidRDefault="004B1D30" w:rsidP="00F02F65">
            <w:pPr>
              <w:pStyle w:val="Marge"/>
              <w:spacing w:before="120" w:after="120"/>
              <w:jc w:val="left"/>
              <w:rPr>
                <w:rFonts w:cs="Arial"/>
                <w:bCs/>
                <w:sz w:val="18"/>
                <w:szCs w:val="18"/>
              </w:rPr>
            </w:pPr>
            <w:r w:rsidRPr="008F403C">
              <w:rPr>
                <w:sz w:val="18"/>
              </w:rPr>
              <w:t xml:space="preserve">Les traditions et pratiques associées aux </w:t>
            </w:r>
            <w:proofErr w:type="spellStart"/>
            <w:r w:rsidRPr="008F403C">
              <w:rPr>
                <w:sz w:val="18"/>
              </w:rPr>
              <w:t>Kayas</w:t>
            </w:r>
            <w:proofErr w:type="spellEnd"/>
            <w:r w:rsidRPr="008F403C">
              <w:rPr>
                <w:sz w:val="18"/>
              </w:rPr>
              <w:t xml:space="preserve"> dans les forêts sacrées des </w:t>
            </w:r>
            <w:proofErr w:type="spellStart"/>
            <w:r w:rsidRPr="008F403C">
              <w:rPr>
                <w:sz w:val="18"/>
              </w:rPr>
              <w:t>Mijikenda</w:t>
            </w:r>
            <w:proofErr w:type="spellEnd"/>
            <w:r w:rsidRPr="008F403C">
              <w:rPr>
                <w:sz w:val="18"/>
              </w:rPr>
              <w:t xml:space="preserve"> (n° 00326)</w:t>
            </w:r>
          </w:p>
        </w:tc>
        <w:tc>
          <w:tcPr>
            <w:tcW w:w="1418" w:type="dxa"/>
            <w:shd w:val="clear" w:color="auto" w:fill="auto"/>
          </w:tcPr>
          <w:p w14:paraId="5F788EFB" w14:textId="77777777" w:rsidR="004B1D30" w:rsidRPr="008F403C" w:rsidRDefault="004B1D30" w:rsidP="00F02F65">
            <w:pPr>
              <w:pStyle w:val="Marge"/>
              <w:spacing w:before="120" w:after="120"/>
              <w:jc w:val="left"/>
              <w:rPr>
                <w:rFonts w:cs="Arial"/>
                <w:bCs/>
                <w:sz w:val="18"/>
                <w:szCs w:val="18"/>
              </w:rPr>
            </w:pPr>
            <w:r w:rsidRPr="008F403C">
              <w:rPr>
                <w:sz w:val="18"/>
              </w:rPr>
              <w:t>Kenya</w:t>
            </w:r>
          </w:p>
        </w:tc>
        <w:tc>
          <w:tcPr>
            <w:tcW w:w="1275" w:type="dxa"/>
            <w:shd w:val="clear" w:color="auto" w:fill="auto"/>
          </w:tcPr>
          <w:p w14:paraId="2F1223E1" w14:textId="77777777" w:rsidR="004B1D30" w:rsidRPr="008F403C" w:rsidRDefault="004B1D30" w:rsidP="004B1D30">
            <w:pPr>
              <w:pStyle w:val="Marge"/>
              <w:spacing w:before="120" w:after="120"/>
              <w:jc w:val="right"/>
              <w:rPr>
                <w:rFonts w:cs="Arial"/>
                <w:bCs/>
                <w:sz w:val="18"/>
                <w:szCs w:val="18"/>
              </w:rPr>
            </w:pPr>
            <w:r w:rsidRPr="008F403C">
              <w:rPr>
                <w:sz w:val="18"/>
              </w:rPr>
              <w:t>126 580,00</w:t>
            </w:r>
          </w:p>
        </w:tc>
        <w:tc>
          <w:tcPr>
            <w:tcW w:w="1535" w:type="dxa"/>
            <w:shd w:val="clear" w:color="auto" w:fill="auto"/>
          </w:tcPr>
          <w:p w14:paraId="65F72968" w14:textId="77777777" w:rsidR="004B1D30" w:rsidRPr="008F403C" w:rsidRDefault="004B1D30" w:rsidP="001B4CE8">
            <w:pPr>
              <w:pStyle w:val="Marge"/>
              <w:spacing w:before="120" w:after="120"/>
              <w:jc w:val="center"/>
              <w:rPr>
                <w:rFonts w:cs="Arial"/>
                <w:bCs/>
                <w:sz w:val="18"/>
                <w:szCs w:val="18"/>
              </w:rPr>
            </w:pPr>
            <w:r w:rsidRPr="008F403C">
              <w:rPr>
                <w:sz w:val="18"/>
              </w:rPr>
              <w:t>01/07/2011-19/12/2014</w:t>
            </w:r>
            <w:r w:rsidRPr="008F403C">
              <w:rPr>
                <w:rStyle w:val="FootnoteReference"/>
                <w:sz w:val="18"/>
              </w:rPr>
              <w:footnoteReference w:id="2"/>
            </w:r>
          </w:p>
        </w:tc>
        <w:tc>
          <w:tcPr>
            <w:tcW w:w="1949" w:type="dxa"/>
            <w:shd w:val="clear" w:color="auto" w:fill="auto"/>
          </w:tcPr>
          <w:p w14:paraId="4AEA782C" w14:textId="0E469A21" w:rsidR="004B1D30" w:rsidRPr="008F403C" w:rsidRDefault="004B1D30" w:rsidP="00F02F65">
            <w:pPr>
              <w:pStyle w:val="Marge"/>
              <w:spacing w:before="120" w:after="120"/>
              <w:jc w:val="left"/>
              <w:rPr>
                <w:sz w:val="18"/>
              </w:rPr>
            </w:pPr>
            <w:r w:rsidRPr="008F403C">
              <w:rPr>
                <w:sz w:val="18"/>
              </w:rPr>
              <w:t>Rapport final</w:t>
            </w:r>
            <w:r w:rsidR="00881E80" w:rsidRPr="008F403C">
              <w:rPr>
                <w:sz w:val="18"/>
              </w:rPr>
              <w:t xml:space="preserve"> : </w:t>
            </w:r>
            <w:hyperlink r:id="rId9" w:history="1">
              <w:r w:rsidR="00881E80" w:rsidRPr="008F403C">
                <w:rPr>
                  <w:rStyle w:val="Hyperlink"/>
                  <w:rFonts w:cs="Arial"/>
                  <w:bCs/>
                  <w:sz w:val="18"/>
                  <w:szCs w:val="18"/>
                </w:rPr>
                <w:t>anglais</w:t>
              </w:r>
            </w:hyperlink>
          </w:p>
          <w:p w14:paraId="55FC5D3C" w14:textId="1E622A1C" w:rsidR="002701FC" w:rsidRPr="008F403C" w:rsidRDefault="001F0617" w:rsidP="00DD4172">
            <w:pPr>
              <w:pStyle w:val="Marge"/>
              <w:spacing w:before="120" w:after="120"/>
              <w:jc w:val="left"/>
              <w:rPr>
                <w:rFonts w:cs="Arial"/>
                <w:bCs/>
                <w:sz w:val="18"/>
                <w:szCs w:val="18"/>
              </w:rPr>
            </w:pPr>
            <w:hyperlink r:id="rId10" w:history="1">
              <w:r w:rsidR="002701FC" w:rsidRPr="008F403C">
                <w:rPr>
                  <w:rStyle w:val="Hyperlink"/>
                  <w:rFonts w:cs="Arial"/>
                  <w:bCs/>
                  <w:sz w:val="18"/>
                  <w:szCs w:val="18"/>
                </w:rPr>
                <w:t>page web spécifique</w:t>
              </w:r>
            </w:hyperlink>
          </w:p>
        </w:tc>
      </w:tr>
      <w:tr w:rsidR="002701FC" w:rsidRPr="008F403C" w14:paraId="2E26791F" w14:textId="77777777" w:rsidTr="00EF7495">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3136DEF" w14:textId="77777777" w:rsidR="002701FC" w:rsidRPr="008F403C" w:rsidRDefault="002701FC" w:rsidP="00E6127F">
            <w:pPr>
              <w:pStyle w:val="Marge"/>
              <w:spacing w:before="120" w:after="120"/>
              <w:jc w:val="left"/>
              <w:rPr>
                <w:sz w:val="18"/>
              </w:rPr>
            </w:pPr>
            <w:r w:rsidRPr="008F403C">
              <w:rPr>
                <w:sz w:val="18"/>
              </w:rPr>
              <w:t>L’inventaire et la promotion du patrimoine culturel immatériel au Burkina Faso (n° 00678)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6D46AA" w14:textId="77777777" w:rsidR="002701FC" w:rsidRPr="008F403C" w:rsidRDefault="002701FC" w:rsidP="00E6127F">
            <w:pPr>
              <w:pStyle w:val="Marge"/>
              <w:spacing w:before="120" w:after="120"/>
              <w:jc w:val="left"/>
              <w:rPr>
                <w:sz w:val="18"/>
              </w:rPr>
            </w:pPr>
            <w:r w:rsidRPr="008F403C">
              <w:rPr>
                <w:sz w:val="18"/>
              </w:rPr>
              <w:t xml:space="preserve">Burkina Faso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3C9D41" w14:textId="77777777" w:rsidR="002701FC" w:rsidRPr="008F403C" w:rsidRDefault="002701FC" w:rsidP="00E6127F">
            <w:pPr>
              <w:pStyle w:val="Marge"/>
              <w:spacing w:before="120" w:after="120"/>
              <w:jc w:val="right"/>
              <w:rPr>
                <w:sz w:val="18"/>
              </w:rPr>
            </w:pPr>
            <w:r w:rsidRPr="008F403C">
              <w:rPr>
                <w:sz w:val="18"/>
              </w:rPr>
              <w:t>262 080,00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269BAFB" w14:textId="77777777" w:rsidR="002701FC" w:rsidRPr="008F403C" w:rsidRDefault="002701FC" w:rsidP="00E6127F">
            <w:pPr>
              <w:pStyle w:val="Marge"/>
              <w:spacing w:before="120" w:after="120"/>
              <w:jc w:val="center"/>
              <w:rPr>
                <w:sz w:val="18"/>
              </w:rPr>
            </w:pPr>
            <w:r w:rsidRPr="008F403C">
              <w:rPr>
                <w:sz w:val="18"/>
              </w:rPr>
              <w:t>29/03/2013-01/07/2016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D36E61C" w14:textId="1EA0EDE1" w:rsidR="002701FC" w:rsidRPr="008F403C" w:rsidRDefault="002701FC" w:rsidP="00DD4172">
            <w:pPr>
              <w:pStyle w:val="Marge"/>
              <w:spacing w:before="120" w:after="120"/>
              <w:jc w:val="left"/>
              <w:rPr>
                <w:sz w:val="18"/>
              </w:rPr>
            </w:pPr>
            <w:r w:rsidRPr="008F403C">
              <w:rPr>
                <w:sz w:val="18"/>
              </w:rPr>
              <w:t>Rapport final</w:t>
            </w:r>
            <w:r w:rsidR="00881E80" w:rsidRPr="008F403C">
              <w:rPr>
                <w:sz w:val="18"/>
              </w:rPr>
              <w:t xml:space="preserve"> provisoire : </w:t>
            </w:r>
            <w:hyperlink r:id="rId11" w:history="1">
              <w:proofErr w:type="spellStart"/>
              <w:r w:rsidR="00881E80" w:rsidRPr="008F403C">
                <w:rPr>
                  <w:rStyle w:val="Hyperlink"/>
                  <w:sz w:val="18"/>
                  <w:szCs w:val="18"/>
                </w:rPr>
                <w:t>francais</w:t>
              </w:r>
              <w:proofErr w:type="spellEnd"/>
            </w:hyperlink>
            <w:r w:rsidRPr="008F403C">
              <w:rPr>
                <w:sz w:val="18"/>
              </w:rPr>
              <w:t xml:space="preserve"> </w:t>
            </w:r>
          </w:p>
        </w:tc>
      </w:tr>
      <w:tr w:rsidR="00096632" w:rsidRPr="008F403C" w14:paraId="444ADD9B" w14:textId="77777777" w:rsidTr="00EF7495">
        <w:trPr>
          <w:cantSplit/>
        </w:trPr>
        <w:tc>
          <w:tcPr>
            <w:tcW w:w="2977" w:type="dxa"/>
            <w:shd w:val="clear" w:color="auto" w:fill="auto"/>
          </w:tcPr>
          <w:p w14:paraId="6AAEF223" w14:textId="77777777" w:rsidR="00096632" w:rsidRPr="008F403C" w:rsidRDefault="00096632" w:rsidP="00F02F65">
            <w:pPr>
              <w:pStyle w:val="Marge"/>
              <w:spacing w:before="120" w:after="120"/>
              <w:jc w:val="left"/>
              <w:rPr>
                <w:rFonts w:cs="Arial"/>
                <w:bCs/>
                <w:sz w:val="18"/>
                <w:szCs w:val="18"/>
              </w:rPr>
            </w:pPr>
            <w:r w:rsidRPr="008F403C">
              <w:rPr>
                <w:sz w:val="18"/>
              </w:rPr>
              <w:t>Sauvegarde et revitalisation de l</w:t>
            </w:r>
            <w:r w:rsidR="0054625B" w:rsidRPr="008F403C">
              <w:rPr>
                <w:sz w:val="18"/>
              </w:rPr>
              <w:t>’</w:t>
            </w:r>
            <w:r w:rsidRPr="008F403C">
              <w:rPr>
                <w:sz w:val="18"/>
              </w:rPr>
              <w:t>épopée traditionnelle mongole (n° 00549)</w:t>
            </w:r>
          </w:p>
        </w:tc>
        <w:tc>
          <w:tcPr>
            <w:tcW w:w="1418" w:type="dxa"/>
            <w:shd w:val="clear" w:color="auto" w:fill="auto"/>
          </w:tcPr>
          <w:p w14:paraId="548C2206" w14:textId="77777777" w:rsidR="00096632" w:rsidRPr="008F403C" w:rsidRDefault="00096632" w:rsidP="00F02F65">
            <w:pPr>
              <w:pStyle w:val="Marge"/>
              <w:spacing w:before="120" w:after="120"/>
              <w:jc w:val="left"/>
              <w:rPr>
                <w:rFonts w:cs="Arial"/>
                <w:bCs/>
                <w:sz w:val="18"/>
                <w:szCs w:val="18"/>
              </w:rPr>
            </w:pPr>
            <w:r w:rsidRPr="008F403C">
              <w:rPr>
                <w:sz w:val="18"/>
              </w:rPr>
              <w:t>Mongolie</w:t>
            </w:r>
          </w:p>
        </w:tc>
        <w:tc>
          <w:tcPr>
            <w:tcW w:w="1275" w:type="dxa"/>
            <w:shd w:val="clear" w:color="auto" w:fill="auto"/>
          </w:tcPr>
          <w:p w14:paraId="1F021CF1" w14:textId="2E0027B2" w:rsidR="00096632" w:rsidRPr="008F403C" w:rsidRDefault="00E63751" w:rsidP="00E63751">
            <w:pPr>
              <w:pStyle w:val="Marge"/>
              <w:spacing w:before="120" w:after="120"/>
              <w:jc w:val="right"/>
              <w:rPr>
                <w:rFonts w:cs="Arial"/>
                <w:bCs/>
                <w:sz w:val="18"/>
                <w:szCs w:val="18"/>
              </w:rPr>
            </w:pPr>
            <w:r w:rsidRPr="008F403C">
              <w:rPr>
                <w:sz w:val="18"/>
              </w:rPr>
              <w:t>89 700</w:t>
            </w:r>
            <w:r w:rsidR="00096632" w:rsidRPr="008F403C">
              <w:rPr>
                <w:sz w:val="18"/>
              </w:rPr>
              <w:t>,00</w:t>
            </w:r>
          </w:p>
        </w:tc>
        <w:tc>
          <w:tcPr>
            <w:tcW w:w="1535" w:type="dxa"/>
            <w:shd w:val="clear" w:color="auto" w:fill="auto"/>
          </w:tcPr>
          <w:p w14:paraId="2F1D1E72" w14:textId="56FF9AE0" w:rsidR="00096632" w:rsidRPr="008F403C" w:rsidRDefault="00096632" w:rsidP="00E63751">
            <w:pPr>
              <w:pStyle w:val="Marge"/>
              <w:spacing w:before="120" w:after="120"/>
              <w:jc w:val="center"/>
              <w:rPr>
                <w:rFonts w:cs="Arial"/>
                <w:bCs/>
                <w:sz w:val="18"/>
                <w:szCs w:val="18"/>
              </w:rPr>
            </w:pPr>
            <w:r w:rsidRPr="008F403C">
              <w:rPr>
                <w:sz w:val="18"/>
              </w:rPr>
              <w:t>30/</w:t>
            </w:r>
            <w:r w:rsidR="00E63751" w:rsidRPr="008F403C">
              <w:rPr>
                <w:sz w:val="18"/>
              </w:rPr>
              <w:t>09</w:t>
            </w:r>
            <w:r w:rsidRPr="008F403C">
              <w:rPr>
                <w:sz w:val="18"/>
              </w:rPr>
              <w:t>/2013-30/06/2016</w:t>
            </w:r>
          </w:p>
        </w:tc>
        <w:tc>
          <w:tcPr>
            <w:tcW w:w="1949" w:type="dxa"/>
            <w:shd w:val="clear" w:color="auto" w:fill="auto"/>
          </w:tcPr>
          <w:p w14:paraId="2CFDCA78" w14:textId="177BAA48" w:rsidR="00881E80" w:rsidRPr="008F403C" w:rsidRDefault="00096632" w:rsidP="00DD4172">
            <w:pPr>
              <w:pStyle w:val="Marge"/>
              <w:spacing w:before="120" w:after="120"/>
              <w:jc w:val="left"/>
              <w:rPr>
                <w:sz w:val="18"/>
              </w:rPr>
            </w:pPr>
            <w:r w:rsidRPr="008F403C">
              <w:rPr>
                <w:sz w:val="18"/>
              </w:rPr>
              <w:t>Rapport final</w:t>
            </w:r>
            <w:r w:rsidR="00881E80" w:rsidRPr="008F403C">
              <w:rPr>
                <w:sz w:val="18"/>
              </w:rPr>
              <w:t xml:space="preserve"> : </w:t>
            </w:r>
            <w:hyperlink r:id="rId12" w:history="1">
              <w:r w:rsidR="00881E80" w:rsidRPr="008F403C">
                <w:rPr>
                  <w:rStyle w:val="Hyperlink"/>
                  <w:rFonts w:cs="Arial"/>
                  <w:bCs/>
                  <w:sz w:val="18"/>
                  <w:szCs w:val="18"/>
                </w:rPr>
                <w:t>anglais</w:t>
              </w:r>
            </w:hyperlink>
          </w:p>
          <w:p w14:paraId="0B25CD8A" w14:textId="0D12E490" w:rsidR="00096632" w:rsidRPr="008F403C" w:rsidRDefault="001F0617">
            <w:pPr>
              <w:pStyle w:val="Marge"/>
              <w:spacing w:before="120" w:after="120"/>
              <w:jc w:val="left"/>
              <w:rPr>
                <w:rFonts w:cs="Arial"/>
                <w:bCs/>
                <w:sz w:val="18"/>
                <w:szCs w:val="18"/>
              </w:rPr>
            </w:pPr>
            <w:hyperlink r:id="rId13" w:history="1">
              <w:r w:rsidR="00881E80" w:rsidRPr="008F403C">
                <w:rPr>
                  <w:rStyle w:val="Hyperlink"/>
                  <w:rFonts w:cs="Arial"/>
                  <w:bCs/>
                  <w:sz w:val="18"/>
                  <w:szCs w:val="18"/>
                </w:rPr>
                <w:t>page web spécifique</w:t>
              </w:r>
            </w:hyperlink>
          </w:p>
        </w:tc>
      </w:tr>
      <w:tr w:rsidR="002701FC" w:rsidRPr="008F403C" w14:paraId="4CF959D3" w14:textId="77777777" w:rsidTr="00EF7495">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3A4A6A" w14:textId="77777777" w:rsidR="002701FC" w:rsidRPr="008F403C" w:rsidRDefault="002701FC" w:rsidP="00E6127F">
            <w:pPr>
              <w:pStyle w:val="Marge"/>
              <w:spacing w:before="120" w:after="120"/>
              <w:jc w:val="left"/>
              <w:rPr>
                <w:sz w:val="18"/>
              </w:rPr>
            </w:pPr>
            <w:proofErr w:type="spellStart"/>
            <w:r w:rsidRPr="008F403C">
              <w:rPr>
                <w:sz w:val="18"/>
              </w:rPr>
              <w:t>Taskiwine</w:t>
            </w:r>
            <w:proofErr w:type="spellEnd"/>
            <w:r w:rsidRPr="008F403C">
              <w:rPr>
                <w:sz w:val="18"/>
              </w:rPr>
              <w:t>, danse et chants amazighes du Haut-Atlas occidental (n° 01052)</w:t>
            </w:r>
          </w:p>
          <w:p w14:paraId="05456927" w14:textId="77777777" w:rsidR="002701FC" w:rsidRPr="008F403C" w:rsidRDefault="002701FC" w:rsidP="00E6127F">
            <w:pPr>
              <w:pStyle w:val="Marge"/>
              <w:spacing w:before="120" w:after="120"/>
              <w:jc w:val="left"/>
              <w:rPr>
                <w:sz w:val="18"/>
              </w:rPr>
            </w:pPr>
            <w:r w:rsidRPr="008F403C">
              <w:rPr>
                <w:sz w:val="18"/>
              </w:rPr>
              <w:t>Assistance préparatoire - LSU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DFA9D3" w14:textId="77777777" w:rsidR="002701FC" w:rsidRPr="008F403C" w:rsidRDefault="002701FC" w:rsidP="00E6127F">
            <w:pPr>
              <w:pStyle w:val="Marge"/>
              <w:spacing w:before="120" w:after="120"/>
              <w:jc w:val="left"/>
              <w:rPr>
                <w:sz w:val="18"/>
              </w:rPr>
            </w:pPr>
            <w:r w:rsidRPr="008F403C">
              <w:rPr>
                <w:sz w:val="18"/>
              </w:rPr>
              <w:t>Maroc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982E761" w14:textId="77777777" w:rsidR="002701FC" w:rsidRPr="008F403C" w:rsidRDefault="002701FC" w:rsidP="00E6127F">
            <w:pPr>
              <w:pStyle w:val="Marge"/>
              <w:spacing w:before="120" w:after="120"/>
              <w:jc w:val="right"/>
              <w:rPr>
                <w:sz w:val="18"/>
              </w:rPr>
            </w:pPr>
            <w:r w:rsidRPr="008F403C">
              <w:rPr>
                <w:sz w:val="18"/>
              </w:rPr>
              <w:t>14 100,00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DF36B5F" w14:textId="77777777" w:rsidR="002701FC" w:rsidRPr="008F403C" w:rsidRDefault="002701FC" w:rsidP="00E6127F">
            <w:pPr>
              <w:pStyle w:val="Marge"/>
              <w:spacing w:before="120" w:after="120"/>
              <w:jc w:val="center"/>
              <w:rPr>
                <w:sz w:val="18"/>
              </w:rPr>
            </w:pPr>
            <w:r w:rsidRPr="008F403C">
              <w:rPr>
                <w:sz w:val="18"/>
              </w:rPr>
              <w:t>15/12/2014-30/04/2016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E6B145F" w14:textId="1965BBE6" w:rsidR="002701FC" w:rsidRPr="008F403C" w:rsidRDefault="002701FC" w:rsidP="00702F42">
            <w:pPr>
              <w:pStyle w:val="Marge"/>
              <w:spacing w:before="120" w:after="120"/>
              <w:jc w:val="left"/>
              <w:rPr>
                <w:sz w:val="18"/>
              </w:rPr>
            </w:pPr>
            <w:r w:rsidRPr="008F403C">
              <w:rPr>
                <w:sz w:val="18"/>
              </w:rPr>
              <w:t>Rapport final</w:t>
            </w:r>
            <w:r w:rsidR="00946EE6" w:rsidRPr="008F403C">
              <w:rPr>
                <w:sz w:val="18"/>
              </w:rPr>
              <w:t xml:space="preserve"> : </w:t>
            </w:r>
            <w:hyperlink r:id="rId14" w:history="1">
              <w:r w:rsidR="00946EE6" w:rsidRPr="008F403C">
                <w:rPr>
                  <w:rStyle w:val="Hyperlink"/>
                  <w:sz w:val="18"/>
                </w:rPr>
                <w:t>français</w:t>
              </w:r>
            </w:hyperlink>
          </w:p>
        </w:tc>
      </w:tr>
      <w:tr w:rsidR="002701FC" w:rsidRPr="008F403C" w14:paraId="5EA0E521" w14:textId="77777777" w:rsidTr="00EF7495">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9707E72" w14:textId="77777777" w:rsidR="002701FC" w:rsidRPr="008F403C" w:rsidRDefault="002701FC" w:rsidP="00E6127F">
            <w:pPr>
              <w:pStyle w:val="Marge"/>
              <w:spacing w:before="120" w:after="120"/>
              <w:jc w:val="left"/>
              <w:rPr>
                <w:sz w:val="18"/>
              </w:rPr>
            </w:pPr>
            <w:r w:rsidRPr="008F403C">
              <w:rPr>
                <w:sz w:val="18"/>
              </w:rPr>
              <w:t>Amélioration des capacités des ONG actives dans le domaine du patrimoine culturel immatériel en Mongolie (n° 00910)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AFA78A" w14:textId="77777777" w:rsidR="002701FC" w:rsidRPr="008F403C" w:rsidRDefault="002701FC" w:rsidP="00E6127F">
            <w:pPr>
              <w:pStyle w:val="Marge"/>
              <w:spacing w:before="120" w:after="120"/>
              <w:jc w:val="left"/>
              <w:rPr>
                <w:sz w:val="18"/>
              </w:rPr>
            </w:pPr>
            <w:r w:rsidRPr="008F403C">
              <w:rPr>
                <w:sz w:val="18"/>
              </w:rPr>
              <w:t>Mongolie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BB47F4" w14:textId="77777777" w:rsidR="002701FC" w:rsidRPr="008F403C" w:rsidRDefault="002701FC" w:rsidP="00E6127F">
            <w:pPr>
              <w:pStyle w:val="Marge"/>
              <w:spacing w:before="120" w:after="120"/>
              <w:jc w:val="right"/>
              <w:rPr>
                <w:sz w:val="18"/>
              </w:rPr>
            </w:pPr>
            <w:r w:rsidRPr="008F403C">
              <w:rPr>
                <w:sz w:val="18"/>
              </w:rPr>
              <w:t>24 900,00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7C427FE" w14:textId="77777777" w:rsidR="002701FC" w:rsidRPr="008F403C" w:rsidRDefault="002701FC" w:rsidP="00E6127F">
            <w:pPr>
              <w:pStyle w:val="Marge"/>
              <w:spacing w:before="120" w:after="120"/>
              <w:jc w:val="center"/>
              <w:rPr>
                <w:sz w:val="18"/>
              </w:rPr>
            </w:pPr>
            <w:r w:rsidRPr="008F403C">
              <w:rPr>
                <w:sz w:val="18"/>
              </w:rPr>
              <w:t>17/04/2015-31/12/2015</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62E7935" w14:textId="77777777" w:rsidR="0038685F" w:rsidRPr="008F403C" w:rsidRDefault="002701FC" w:rsidP="00DD4172">
            <w:pPr>
              <w:pStyle w:val="Marge"/>
              <w:spacing w:before="120" w:after="120"/>
              <w:jc w:val="left"/>
              <w:rPr>
                <w:rFonts w:cs="Arial"/>
                <w:bCs/>
                <w:sz w:val="18"/>
                <w:szCs w:val="18"/>
              </w:rPr>
            </w:pPr>
            <w:r w:rsidRPr="008F403C">
              <w:rPr>
                <w:sz w:val="18"/>
              </w:rPr>
              <w:t>Rapport final</w:t>
            </w:r>
            <w:r w:rsidR="00881E80" w:rsidRPr="008F403C">
              <w:rPr>
                <w:sz w:val="18"/>
              </w:rPr>
              <w:t xml:space="preserve"> : </w:t>
            </w:r>
            <w:hyperlink r:id="rId15" w:history="1">
              <w:r w:rsidR="00881E80" w:rsidRPr="008F403C">
                <w:rPr>
                  <w:rStyle w:val="Hyperlink"/>
                  <w:sz w:val="18"/>
                  <w:szCs w:val="18"/>
                </w:rPr>
                <w:t>angl</w:t>
              </w:r>
              <w:r w:rsidR="0038685F" w:rsidRPr="008F403C">
                <w:rPr>
                  <w:rStyle w:val="Hyperlink"/>
                  <w:sz w:val="18"/>
                  <w:szCs w:val="18"/>
                </w:rPr>
                <w:t>a</w:t>
              </w:r>
              <w:r w:rsidR="00881E80" w:rsidRPr="008F403C">
                <w:rPr>
                  <w:rStyle w:val="Hyperlink"/>
                  <w:sz w:val="18"/>
                  <w:szCs w:val="18"/>
                </w:rPr>
                <w:t>is</w:t>
              </w:r>
            </w:hyperlink>
          </w:p>
          <w:p w14:paraId="1B3F18A3" w14:textId="6EE61EAC" w:rsidR="002701FC" w:rsidRPr="008F403C" w:rsidRDefault="001F0617">
            <w:pPr>
              <w:pStyle w:val="Marge"/>
              <w:spacing w:before="120" w:after="120"/>
              <w:jc w:val="left"/>
              <w:rPr>
                <w:sz w:val="18"/>
              </w:rPr>
            </w:pPr>
            <w:hyperlink r:id="rId16" w:history="1">
              <w:r w:rsidR="0038685F" w:rsidRPr="008F403C">
                <w:rPr>
                  <w:rStyle w:val="Hyperlink"/>
                  <w:sz w:val="18"/>
                  <w:szCs w:val="18"/>
                </w:rPr>
                <w:t>page web spécifique</w:t>
              </w:r>
            </w:hyperlink>
          </w:p>
        </w:tc>
      </w:tr>
      <w:tr w:rsidR="00096632" w:rsidRPr="008F403C" w14:paraId="470B27A8" w14:textId="77777777" w:rsidTr="00EF7495">
        <w:trPr>
          <w:cantSplit/>
        </w:trPr>
        <w:tc>
          <w:tcPr>
            <w:tcW w:w="2977" w:type="dxa"/>
            <w:shd w:val="clear" w:color="auto" w:fill="auto"/>
          </w:tcPr>
          <w:p w14:paraId="07245F2D" w14:textId="77777777" w:rsidR="00096632" w:rsidRPr="008F403C" w:rsidRDefault="00096632" w:rsidP="00F02F65">
            <w:pPr>
              <w:pStyle w:val="Marge"/>
              <w:spacing w:before="120" w:after="120"/>
              <w:jc w:val="left"/>
              <w:rPr>
                <w:rFonts w:cs="Arial"/>
                <w:bCs/>
                <w:sz w:val="18"/>
                <w:szCs w:val="18"/>
              </w:rPr>
            </w:pPr>
            <w:r w:rsidRPr="008F403C">
              <w:rPr>
                <w:sz w:val="18"/>
              </w:rPr>
              <w:t>Sauvegarde des traditions et expressions orales des Dao dans les provinces de Lao Cai et Lai Chau, Viet Nam (n° 00599)</w:t>
            </w:r>
          </w:p>
        </w:tc>
        <w:tc>
          <w:tcPr>
            <w:tcW w:w="1418" w:type="dxa"/>
            <w:shd w:val="clear" w:color="auto" w:fill="auto"/>
          </w:tcPr>
          <w:p w14:paraId="1963E8FD" w14:textId="77777777" w:rsidR="00096632" w:rsidRPr="008F403C" w:rsidRDefault="00096632" w:rsidP="00F02F65">
            <w:pPr>
              <w:pStyle w:val="Marge"/>
              <w:spacing w:before="120" w:after="120"/>
              <w:jc w:val="left"/>
              <w:rPr>
                <w:rFonts w:cs="Arial"/>
                <w:bCs/>
                <w:sz w:val="18"/>
                <w:szCs w:val="18"/>
              </w:rPr>
            </w:pPr>
            <w:r w:rsidRPr="008F403C">
              <w:rPr>
                <w:sz w:val="18"/>
              </w:rPr>
              <w:t>Viet Nam</w:t>
            </w:r>
          </w:p>
        </w:tc>
        <w:tc>
          <w:tcPr>
            <w:tcW w:w="1275" w:type="dxa"/>
            <w:shd w:val="clear" w:color="auto" w:fill="auto"/>
          </w:tcPr>
          <w:p w14:paraId="28EDE8C2" w14:textId="77777777" w:rsidR="00096632" w:rsidRPr="008F403C" w:rsidRDefault="00096632" w:rsidP="00F02F65">
            <w:pPr>
              <w:pStyle w:val="Marge"/>
              <w:spacing w:before="120" w:after="120"/>
              <w:jc w:val="right"/>
              <w:rPr>
                <w:rFonts w:cs="Arial"/>
                <w:bCs/>
                <w:sz w:val="18"/>
                <w:szCs w:val="18"/>
              </w:rPr>
            </w:pPr>
            <w:r w:rsidRPr="008F403C">
              <w:rPr>
                <w:sz w:val="18"/>
              </w:rPr>
              <w:t>24 350,00</w:t>
            </w:r>
          </w:p>
        </w:tc>
        <w:tc>
          <w:tcPr>
            <w:tcW w:w="1535" w:type="dxa"/>
            <w:shd w:val="clear" w:color="auto" w:fill="auto"/>
          </w:tcPr>
          <w:p w14:paraId="4A0732D1" w14:textId="77777777" w:rsidR="00096632" w:rsidRPr="008F403C" w:rsidRDefault="00096632" w:rsidP="00F02F65">
            <w:pPr>
              <w:pStyle w:val="Marge"/>
              <w:spacing w:before="120" w:after="120"/>
              <w:jc w:val="center"/>
              <w:rPr>
                <w:rFonts w:cs="Arial"/>
                <w:bCs/>
                <w:sz w:val="18"/>
                <w:szCs w:val="18"/>
              </w:rPr>
            </w:pPr>
            <w:r w:rsidRPr="008F403C">
              <w:rPr>
                <w:sz w:val="18"/>
              </w:rPr>
              <w:t>08/07/2015-30/06/2016</w:t>
            </w:r>
          </w:p>
        </w:tc>
        <w:tc>
          <w:tcPr>
            <w:tcW w:w="1949" w:type="dxa"/>
            <w:shd w:val="clear" w:color="auto" w:fill="auto"/>
          </w:tcPr>
          <w:p w14:paraId="4AB1A563" w14:textId="12BC8A61" w:rsidR="00096632" w:rsidRPr="008F403C" w:rsidRDefault="00096632" w:rsidP="00F02F65">
            <w:pPr>
              <w:pStyle w:val="Marge"/>
              <w:spacing w:before="120" w:after="120"/>
              <w:jc w:val="left"/>
              <w:rPr>
                <w:sz w:val="18"/>
              </w:rPr>
            </w:pPr>
            <w:r w:rsidRPr="008F403C">
              <w:rPr>
                <w:sz w:val="18"/>
              </w:rPr>
              <w:t>Rapport final</w:t>
            </w:r>
            <w:r w:rsidR="00946EE6" w:rsidRPr="008F403C">
              <w:rPr>
                <w:sz w:val="18"/>
              </w:rPr>
              <w:t xml:space="preserve"> : </w:t>
            </w:r>
            <w:hyperlink r:id="rId17" w:history="1">
              <w:r w:rsidR="00946EE6" w:rsidRPr="008F403C">
                <w:rPr>
                  <w:rStyle w:val="Hyperlink"/>
                  <w:sz w:val="18"/>
                </w:rPr>
                <w:t>anglais</w:t>
              </w:r>
            </w:hyperlink>
          </w:p>
          <w:p w14:paraId="11355BB0" w14:textId="029E2291" w:rsidR="00E6127F" w:rsidRPr="008F403C" w:rsidRDefault="001F0617" w:rsidP="00DD4172">
            <w:pPr>
              <w:pStyle w:val="Marge"/>
              <w:spacing w:before="120" w:after="120"/>
              <w:jc w:val="left"/>
              <w:rPr>
                <w:rFonts w:cs="Arial"/>
                <w:bCs/>
                <w:sz w:val="18"/>
                <w:szCs w:val="18"/>
              </w:rPr>
            </w:pPr>
            <w:hyperlink r:id="rId18" w:history="1">
              <w:r w:rsidR="00E6127F" w:rsidRPr="008F403C">
                <w:rPr>
                  <w:rStyle w:val="Hyperlink"/>
                  <w:rFonts w:cs="Arial"/>
                  <w:bCs/>
                  <w:sz w:val="18"/>
                  <w:szCs w:val="18"/>
                </w:rPr>
                <w:t>page web spécifique</w:t>
              </w:r>
            </w:hyperlink>
          </w:p>
        </w:tc>
      </w:tr>
      <w:tr w:rsidR="002701FC" w:rsidRPr="008F403C" w14:paraId="4436D7A1" w14:textId="77777777" w:rsidTr="00EF7495">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CDD51FC" w14:textId="77777777" w:rsidR="002701FC" w:rsidRPr="008F403C" w:rsidRDefault="002701FC" w:rsidP="00E6127F">
            <w:pPr>
              <w:pStyle w:val="Marge"/>
              <w:spacing w:before="120" w:after="120"/>
              <w:jc w:val="left"/>
              <w:rPr>
                <w:sz w:val="18"/>
              </w:rPr>
            </w:pPr>
            <w:r w:rsidRPr="008F403C">
              <w:rPr>
                <w:sz w:val="18"/>
              </w:rPr>
              <w:lastRenderedPageBreak/>
              <w:t>Sauvegarde de l’architecture vernaculaire et des savoirs autochtones en matière de construction au Vanuatu (n° 01214)</w:t>
            </w:r>
          </w:p>
          <w:p w14:paraId="319F1806" w14:textId="77777777" w:rsidR="002701FC" w:rsidRPr="008F403C" w:rsidRDefault="002701FC" w:rsidP="00E6127F">
            <w:pPr>
              <w:pStyle w:val="Marge"/>
              <w:spacing w:before="120" w:after="120"/>
              <w:jc w:val="left"/>
              <w:rPr>
                <w:sz w:val="18"/>
              </w:rPr>
            </w:pPr>
            <w:r w:rsidRPr="008F403C">
              <w:rPr>
                <w:sz w:val="18"/>
              </w:rPr>
              <w:t>Assistance d’urgence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69721A" w14:textId="77777777" w:rsidR="002701FC" w:rsidRPr="008F403C" w:rsidRDefault="002701FC" w:rsidP="00E6127F">
            <w:pPr>
              <w:pStyle w:val="Marge"/>
              <w:spacing w:before="120" w:after="120"/>
              <w:jc w:val="left"/>
              <w:rPr>
                <w:sz w:val="18"/>
              </w:rPr>
            </w:pPr>
            <w:r w:rsidRPr="008F403C">
              <w:rPr>
                <w:sz w:val="18"/>
              </w:rPr>
              <w:t>Vanuatu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B4B13B4" w14:textId="77777777" w:rsidR="002701FC" w:rsidRPr="008F403C" w:rsidRDefault="002701FC" w:rsidP="00E6127F">
            <w:pPr>
              <w:pStyle w:val="Marge"/>
              <w:spacing w:before="120" w:after="120"/>
              <w:jc w:val="right"/>
              <w:rPr>
                <w:sz w:val="18"/>
              </w:rPr>
            </w:pPr>
            <w:r w:rsidRPr="008F403C">
              <w:rPr>
                <w:sz w:val="18"/>
              </w:rPr>
              <w:t>23 908,00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A3FCC71" w14:textId="77777777" w:rsidR="002701FC" w:rsidRPr="008F403C" w:rsidRDefault="002701FC" w:rsidP="00E6127F">
            <w:pPr>
              <w:pStyle w:val="Marge"/>
              <w:spacing w:before="120" w:after="120"/>
              <w:jc w:val="center"/>
              <w:rPr>
                <w:sz w:val="18"/>
              </w:rPr>
            </w:pPr>
            <w:r w:rsidRPr="008F403C">
              <w:rPr>
                <w:sz w:val="18"/>
              </w:rPr>
              <w:t>10/08/2015-15/12/2015</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AF8EB7B" w14:textId="77777777" w:rsidR="00E6127F" w:rsidRPr="008F403C" w:rsidRDefault="002701FC" w:rsidP="00DD4172">
            <w:pPr>
              <w:pStyle w:val="Marge"/>
              <w:spacing w:before="120" w:after="120"/>
              <w:jc w:val="left"/>
              <w:rPr>
                <w:rFonts w:cs="Arial"/>
                <w:bCs/>
                <w:sz w:val="18"/>
                <w:szCs w:val="18"/>
              </w:rPr>
            </w:pPr>
            <w:r w:rsidRPr="008F403C">
              <w:rPr>
                <w:sz w:val="18"/>
              </w:rPr>
              <w:t>Rapport final</w:t>
            </w:r>
            <w:r w:rsidR="00E6127F" w:rsidRPr="008F403C">
              <w:rPr>
                <w:sz w:val="18"/>
              </w:rPr>
              <w:t> :</w:t>
            </w:r>
            <w:r w:rsidR="00E6127F" w:rsidRPr="008F403C">
              <w:rPr>
                <w:rFonts w:cs="Arial"/>
                <w:bCs/>
                <w:sz w:val="18"/>
                <w:szCs w:val="18"/>
              </w:rPr>
              <w:t xml:space="preserve"> </w:t>
            </w:r>
            <w:hyperlink r:id="rId19" w:history="1">
              <w:r w:rsidR="00E6127F" w:rsidRPr="008F403C">
                <w:rPr>
                  <w:rStyle w:val="Hyperlink"/>
                  <w:rFonts w:cs="Arial"/>
                  <w:bCs/>
                  <w:sz w:val="18"/>
                  <w:szCs w:val="18"/>
                </w:rPr>
                <w:t>anglais</w:t>
              </w:r>
            </w:hyperlink>
          </w:p>
          <w:p w14:paraId="1C92BBAF" w14:textId="66156A53" w:rsidR="002701FC" w:rsidRPr="008F403C" w:rsidRDefault="001F0617">
            <w:pPr>
              <w:pStyle w:val="Marge"/>
              <w:spacing w:before="120" w:after="120"/>
              <w:jc w:val="left"/>
              <w:rPr>
                <w:sz w:val="18"/>
              </w:rPr>
            </w:pPr>
            <w:hyperlink r:id="rId20" w:history="1">
              <w:r w:rsidR="00E6127F" w:rsidRPr="008F403C">
                <w:rPr>
                  <w:rStyle w:val="Hyperlink"/>
                  <w:rFonts w:cs="Arial"/>
                  <w:bCs/>
                  <w:sz w:val="18"/>
                  <w:szCs w:val="18"/>
                </w:rPr>
                <w:t>page web spécifique</w:t>
              </w:r>
            </w:hyperlink>
          </w:p>
        </w:tc>
      </w:tr>
      <w:tr w:rsidR="00096632" w:rsidRPr="008F403C" w14:paraId="6ED61285" w14:textId="77777777" w:rsidTr="00EF7495">
        <w:trPr>
          <w:cantSplit/>
        </w:trPr>
        <w:tc>
          <w:tcPr>
            <w:tcW w:w="2977" w:type="dxa"/>
            <w:shd w:val="clear" w:color="auto" w:fill="auto"/>
          </w:tcPr>
          <w:p w14:paraId="04E99384" w14:textId="77777777" w:rsidR="00096632" w:rsidRPr="008F403C" w:rsidRDefault="00096632" w:rsidP="00F02F65">
            <w:pPr>
              <w:pStyle w:val="Marge"/>
              <w:spacing w:before="120" w:after="120"/>
              <w:jc w:val="left"/>
              <w:rPr>
                <w:rFonts w:cs="Arial"/>
                <w:bCs/>
                <w:sz w:val="18"/>
                <w:szCs w:val="18"/>
              </w:rPr>
            </w:pPr>
            <w:r w:rsidRPr="008F403C">
              <w:rPr>
                <w:sz w:val="18"/>
              </w:rPr>
              <w:t xml:space="preserve">La sauvegarde et promotion du </w:t>
            </w:r>
            <w:proofErr w:type="spellStart"/>
            <w:r w:rsidRPr="008F403C">
              <w:rPr>
                <w:sz w:val="18"/>
              </w:rPr>
              <w:t>bigwala</w:t>
            </w:r>
            <w:proofErr w:type="spellEnd"/>
            <w:r w:rsidRPr="008F403C">
              <w:rPr>
                <w:sz w:val="18"/>
              </w:rPr>
              <w:t xml:space="preserve">, musique de trompes en calebasse et danse du royaume du </w:t>
            </w:r>
            <w:proofErr w:type="spellStart"/>
            <w:r w:rsidRPr="008F403C">
              <w:rPr>
                <w:sz w:val="18"/>
              </w:rPr>
              <w:t>Busoga</w:t>
            </w:r>
            <w:proofErr w:type="spellEnd"/>
            <w:r w:rsidRPr="008F403C">
              <w:rPr>
                <w:sz w:val="18"/>
              </w:rPr>
              <w:t xml:space="preserve"> en Ouganda (n° 00979)</w:t>
            </w:r>
          </w:p>
        </w:tc>
        <w:tc>
          <w:tcPr>
            <w:tcW w:w="1418" w:type="dxa"/>
            <w:shd w:val="clear" w:color="auto" w:fill="auto"/>
          </w:tcPr>
          <w:p w14:paraId="0FCCD745" w14:textId="77777777" w:rsidR="00096632" w:rsidRPr="008F403C" w:rsidRDefault="005F6620" w:rsidP="00F02F65">
            <w:pPr>
              <w:pStyle w:val="Marge"/>
              <w:spacing w:before="120" w:after="120"/>
              <w:jc w:val="left"/>
              <w:rPr>
                <w:rFonts w:cs="Arial"/>
                <w:bCs/>
                <w:sz w:val="18"/>
                <w:szCs w:val="18"/>
              </w:rPr>
            </w:pPr>
            <w:r w:rsidRPr="008F403C">
              <w:rPr>
                <w:sz w:val="18"/>
              </w:rPr>
              <w:t>Ouganda</w:t>
            </w:r>
          </w:p>
        </w:tc>
        <w:tc>
          <w:tcPr>
            <w:tcW w:w="1275" w:type="dxa"/>
            <w:shd w:val="clear" w:color="auto" w:fill="auto"/>
          </w:tcPr>
          <w:p w14:paraId="406B1AE7" w14:textId="77777777" w:rsidR="00096632" w:rsidRPr="008F403C" w:rsidRDefault="00096632" w:rsidP="00096632">
            <w:pPr>
              <w:pStyle w:val="Marge"/>
              <w:spacing w:before="120" w:after="120"/>
              <w:jc w:val="right"/>
              <w:rPr>
                <w:rFonts w:cs="Arial"/>
                <w:bCs/>
                <w:sz w:val="18"/>
                <w:szCs w:val="18"/>
              </w:rPr>
            </w:pPr>
            <w:r w:rsidRPr="008F403C">
              <w:rPr>
                <w:sz w:val="18"/>
              </w:rPr>
              <w:t>24 990,00</w:t>
            </w:r>
          </w:p>
        </w:tc>
        <w:tc>
          <w:tcPr>
            <w:tcW w:w="1535" w:type="dxa"/>
            <w:shd w:val="clear" w:color="auto" w:fill="auto"/>
          </w:tcPr>
          <w:p w14:paraId="67F3E988" w14:textId="77777777" w:rsidR="00096632" w:rsidRPr="008F403C" w:rsidRDefault="00096632" w:rsidP="00F02F65">
            <w:pPr>
              <w:pStyle w:val="Marge"/>
              <w:spacing w:before="120" w:after="120"/>
              <w:jc w:val="center"/>
              <w:rPr>
                <w:rFonts w:cs="Arial"/>
                <w:bCs/>
                <w:sz w:val="18"/>
                <w:szCs w:val="18"/>
              </w:rPr>
            </w:pPr>
            <w:r w:rsidRPr="008F403C">
              <w:rPr>
                <w:sz w:val="18"/>
              </w:rPr>
              <w:t>01/09/2015-31/08/2017</w:t>
            </w:r>
          </w:p>
        </w:tc>
        <w:tc>
          <w:tcPr>
            <w:tcW w:w="1949" w:type="dxa"/>
            <w:shd w:val="clear" w:color="auto" w:fill="auto"/>
          </w:tcPr>
          <w:p w14:paraId="5E82DAD6" w14:textId="77777777" w:rsidR="00E6127F" w:rsidRPr="008F403C" w:rsidRDefault="00096632" w:rsidP="00DD4172">
            <w:pPr>
              <w:pStyle w:val="Marge"/>
              <w:spacing w:before="120" w:after="120"/>
              <w:jc w:val="left"/>
              <w:rPr>
                <w:sz w:val="18"/>
              </w:rPr>
            </w:pPr>
            <w:r w:rsidRPr="008F403C">
              <w:rPr>
                <w:sz w:val="18"/>
              </w:rPr>
              <w:t>Rapport d</w:t>
            </w:r>
            <w:r w:rsidR="0054625B" w:rsidRPr="008F403C">
              <w:rPr>
                <w:sz w:val="18"/>
              </w:rPr>
              <w:t>’</w:t>
            </w:r>
            <w:r w:rsidRPr="008F403C">
              <w:rPr>
                <w:sz w:val="18"/>
              </w:rPr>
              <w:t>avancement</w:t>
            </w:r>
            <w:r w:rsidR="00E6127F" w:rsidRPr="008F403C">
              <w:rPr>
                <w:sz w:val="18"/>
              </w:rPr>
              <w:t xml:space="preserve"> : </w:t>
            </w:r>
            <w:hyperlink r:id="rId21" w:history="1">
              <w:r w:rsidR="00E6127F" w:rsidRPr="008F403C">
                <w:rPr>
                  <w:rStyle w:val="Hyperlink"/>
                  <w:sz w:val="18"/>
                  <w:szCs w:val="18"/>
                </w:rPr>
                <w:t>anglais</w:t>
              </w:r>
            </w:hyperlink>
          </w:p>
          <w:p w14:paraId="1352E98A" w14:textId="45B4229C" w:rsidR="00096632" w:rsidRPr="008F403C" w:rsidRDefault="001F0617">
            <w:pPr>
              <w:pStyle w:val="Marge"/>
              <w:spacing w:before="120" w:after="120"/>
              <w:jc w:val="left"/>
              <w:rPr>
                <w:rFonts w:cs="Arial"/>
                <w:bCs/>
                <w:sz w:val="18"/>
                <w:szCs w:val="18"/>
              </w:rPr>
            </w:pPr>
            <w:hyperlink r:id="rId22" w:history="1">
              <w:r w:rsidR="00E6127F" w:rsidRPr="008F403C">
                <w:rPr>
                  <w:rStyle w:val="Hyperlink"/>
                  <w:rFonts w:cs="Arial"/>
                  <w:bCs/>
                  <w:sz w:val="18"/>
                  <w:szCs w:val="18"/>
                </w:rPr>
                <w:t>page web spécifique</w:t>
              </w:r>
            </w:hyperlink>
          </w:p>
        </w:tc>
      </w:tr>
      <w:tr w:rsidR="00096632" w:rsidRPr="008F403C" w14:paraId="1BA89D69" w14:textId="77777777" w:rsidTr="00EF7495">
        <w:trPr>
          <w:cantSplit/>
        </w:trPr>
        <w:tc>
          <w:tcPr>
            <w:tcW w:w="2977" w:type="dxa"/>
            <w:shd w:val="clear" w:color="auto" w:fill="auto"/>
          </w:tcPr>
          <w:p w14:paraId="25916BC8" w14:textId="77777777" w:rsidR="00096632" w:rsidRPr="008F403C" w:rsidRDefault="001B4CE8" w:rsidP="005F6620">
            <w:pPr>
              <w:pStyle w:val="Marge"/>
              <w:spacing w:before="120" w:after="120"/>
              <w:jc w:val="left"/>
              <w:rPr>
                <w:rFonts w:cs="Arial"/>
                <w:bCs/>
                <w:sz w:val="18"/>
                <w:szCs w:val="18"/>
              </w:rPr>
            </w:pPr>
            <w:r w:rsidRPr="008F403C">
              <w:rPr>
                <w:sz w:val="18"/>
              </w:rPr>
              <w:t>La documentation et l</w:t>
            </w:r>
            <w:r w:rsidR="0054625B" w:rsidRPr="008F403C">
              <w:rPr>
                <w:sz w:val="18"/>
              </w:rPr>
              <w:t>’</w:t>
            </w:r>
            <w:r w:rsidRPr="008F403C">
              <w:rPr>
                <w:sz w:val="18"/>
              </w:rPr>
              <w:t xml:space="preserve">inventaire du patrimoine culturel immatériel de la communauté pastorale </w:t>
            </w:r>
            <w:proofErr w:type="spellStart"/>
            <w:r w:rsidRPr="008F403C">
              <w:rPr>
                <w:sz w:val="18"/>
              </w:rPr>
              <w:t>Samburu</w:t>
            </w:r>
            <w:proofErr w:type="spellEnd"/>
            <w:r w:rsidRPr="008F403C">
              <w:rPr>
                <w:sz w:val="18"/>
              </w:rPr>
              <w:t xml:space="preserve"> du nord du Kenya, particulièrement dans la région de la réserve de biosphère du mont </w:t>
            </w:r>
            <w:proofErr w:type="spellStart"/>
            <w:r w:rsidRPr="008F403C">
              <w:rPr>
                <w:sz w:val="18"/>
              </w:rPr>
              <w:t>Kulal</w:t>
            </w:r>
            <w:proofErr w:type="spellEnd"/>
            <w:r w:rsidRPr="008F403C">
              <w:rPr>
                <w:sz w:val="18"/>
              </w:rPr>
              <w:t xml:space="preserve"> (n° 01024)</w:t>
            </w:r>
          </w:p>
        </w:tc>
        <w:tc>
          <w:tcPr>
            <w:tcW w:w="1418" w:type="dxa"/>
            <w:shd w:val="clear" w:color="auto" w:fill="auto"/>
          </w:tcPr>
          <w:p w14:paraId="56E0AE0C" w14:textId="77777777" w:rsidR="001B4CE8" w:rsidRPr="008F403C" w:rsidRDefault="001B4CE8" w:rsidP="00F02F65">
            <w:pPr>
              <w:pStyle w:val="Marge"/>
              <w:spacing w:before="120" w:after="120"/>
              <w:jc w:val="left"/>
              <w:rPr>
                <w:rFonts w:cs="Arial"/>
                <w:bCs/>
                <w:sz w:val="18"/>
                <w:szCs w:val="18"/>
              </w:rPr>
            </w:pPr>
            <w:r w:rsidRPr="008F403C">
              <w:rPr>
                <w:sz w:val="18"/>
              </w:rPr>
              <w:t>Kenya</w:t>
            </w:r>
          </w:p>
        </w:tc>
        <w:tc>
          <w:tcPr>
            <w:tcW w:w="1275" w:type="dxa"/>
            <w:shd w:val="clear" w:color="auto" w:fill="auto"/>
          </w:tcPr>
          <w:p w14:paraId="0481ECC3" w14:textId="77777777" w:rsidR="00096632" w:rsidRPr="008F403C" w:rsidRDefault="001B4CE8" w:rsidP="00096632">
            <w:pPr>
              <w:pStyle w:val="Marge"/>
              <w:spacing w:before="120" w:after="120"/>
              <w:jc w:val="right"/>
              <w:rPr>
                <w:rFonts w:cs="Arial"/>
                <w:bCs/>
                <w:sz w:val="18"/>
                <w:szCs w:val="18"/>
              </w:rPr>
            </w:pPr>
            <w:r w:rsidRPr="008F403C">
              <w:rPr>
                <w:sz w:val="18"/>
              </w:rPr>
              <w:t>24 038,00</w:t>
            </w:r>
          </w:p>
        </w:tc>
        <w:tc>
          <w:tcPr>
            <w:tcW w:w="1535" w:type="dxa"/>
            <w:shd w:val="clear" w:color="auto" w:fill="auto"/>
          </w:tcPr>
          <w:p w14:paraId="0764A59F" w14:textId="77777777" w:rsidR="00096632" w:rsidRPr="008F403C" w:rsidRDefault="001B4CE8" w:rsidP="00F02F65">
            <w:pPr>
              <w:pStyle w:val="Marge"/>
              <w:spacing w:before="120" w:after="120"/>
              <w:jc w:val="center"/>
              <w:rPr>
                <w:rFonts w:cs="Arial"/>
                <w:bCs/>
                <w:sz w:val="18"/>
                <w:szCs w:val="18"/>
              </w:rPr>
            </w:pPr>
            <w:r w:rsidRPr="008F403C">
              <w:rPr>
                <w:sz w:val="18"/>
              </w:rPr>
              <w:t>04/12/2015-31/05/2016</w:t>
            </w:r>
          </w:p>
        </w:tc>
        <w:tc>
          <w:tcPr>
            <w:tcW w:w="1949" w:type="dxa"/>
            <w:shd w:val="clear" w:color="auto" w:fill="auto"/>
          </w:tcPr>
          <w:p w14:paraId="47E7BF16" w14:textId="77777777" w:rsidR="00E6127F" w:rsidRPr="008F403C" w:rsidRDefault="001B4CE8" w:rsidP="00DD4172">
            <w:pPr>
              <w:pStyle w:val="Marge"/>
              <w:spacing w:before="120" w:after="120"/>
              <w:jc w:val="left"/>
              <w:rPr>
                <w:rFonts w:cs="Arial"/>
                <w:bCs/>
                <w:sz w:val="18"/>
                <w:szCs w:val="18"/>
              </w:rPr>
            </w:pPr>
            <w:r w:rsidRPr="008F403C">
              <w:rPr>
                <w:sz w:val="18"/>
              </w:rPr>
              <w:t>Rapport final</w:t>
            </w:r>
            <w:r w:rsidR="00E6127F" w:rsidRPr="008F403C">
              <w:rPr>
                <w:sz w:val="18"/>
              </w:rPr>
              <w:t xml:space="preserve"> : </w:t>
            </w:r>
            <w:hyperlink r:id="rId23" w:history="1">
              <w:r w:rsidR="00E6127F" w:rsidRPr="008F403C">
                <w:rPr>
                  <w:rStyle w:val="Hyperlink"/>
                  <w:sz w:val="18"/>
                  <w:szCs w:val="18"/>
                </w:rPr>
                <w:t>anglais</w:t>
              </w:r>
            </w:hyperlink>
          </w:p>
          <w:p w14:paraId="3B3281C1" w14:textId="6EA4A94B" w:rsidR="00096632" w:rsidRPr="008F403C" w:rsidRDefault="001F0617">
            <w:pPr>
              <w:pStyle w:val="Marge"/>
              <w:spacing w:before="120" w:after="120"/>
              <w:jc w:val="left"/>
              <w:rPr>
                <w:rFonts w:cs="Arial"/>
                <w:bCs/>
                <w:sz w:val="18"/>
                <w:szCs w:val="18"/>
              </w:rPr>
            </w:pPr>
            <w:hyperlink r:id="rId24" w:history="1">
              <w:r w:rsidR="00E6127F" w:rsidRPr="008F403C">
                <w:rPr>
                  <w:rStyle w:val="Hyperlink"/>
                  <w:sz w:val="18"/>
                  <w:szCs w:val="18"/>
                </w:rPr>
                <w:t>page web spécifique</w:t>
              </w:r>
            </w:hyperlink>
          </w:p>
        </w:tc>
      </w:tr>
    </w:tbl>
    <w:p w14:paraId="70F88626" w14:textId="77777777" w:rsidR="0008569D" w:rsidRPr="008F403C" w:rsidRDefault="0050686E" w:rsidP="00BA5D6E">
      <w:pPr>
        <w:pStyle w:val="COMPara"/>
        <w:numPr>
          <w:ilvl w:val="0"/>
          <w:numId w:val="15"/>
        </w:numPr>
        <w:spacing w:before="120"/>
        <w:ind w:left="567" w:hanging="567"/>
        <w:jc w:val="both"/>
      </w:pPr>
      <w:r w:rsidRPr="008F403C">
        <w:t xml:space="preserve">Tous les rapports ont été préparés et soumis par le biais du </w:t>
      </w:r>
      <w:hyperlink r:id="rId25">
        <w:r w:rsidRPr="008F403C">
          <w:rPr>
            <w:rStyle w:val="Hyperlink"/>
          </w:rPr>
          <w:t>Formulaire ICH-04-Rapport</w:t>
        </w:r>
      </w:hyperlink>
      <w:r w:rsidRPr="008F403C">
        <w:rPr>
          <w:rStyle w:val="FootnoteReference"/>
        </w:rPr>
        <w:footnoteReference w:id="3"/>
      </w:r>
      <w:r w:rsidRPr="008F403C">
        <w:t xml:space="preserve"> qui a servi de base à la préparation des informations figurant à l</w:t>
      </w:r>
      <w:r w:rsidR="0054625B" w:rsidRPr="008F403C">
        <w:t>’</w:t>
      </w:r>
      <w:r w:rsidRPr="008F403C">
        <w:t>annexe du présent document.</w:t>
      </w:r>
    </w:p>
    <w:p w14:paraId="093F50A6" w14:textId="47D03AEB" w:rsidR="00814DA4" w:rsidRPr="008F403C" w:rsidRDefault="00A35C3F" w:rsidP="00CD68E2">
      <w:pPr>
        <w:pStyle w:val="COMPara"/>
        <w:numPr>
          <w:ilvl w:val="0"/>
          <w:numId w:val="15"/>
        </w:numPr>
        <w:ind w:left="567" w:hanging="567"/>
        <w:jc w:val="both"/>
      </w:pPr>
      <w:r w:rsidRPr="008F403C">
        <w:t xml:space="preserve">Onze </w:t>
      </w:r>
      <w:r w:rsidR="00150F97" w:rsidRPr="008F403C">
        <w:t>autres projets sont « en cours », mais ne devaient pas faire l</w:t>
      </w:r>
      <w:r w:rsidR="0054625B" w:rsidRPr="008F403C">
        <w:t>’</w:t>
      </w:r>
      <w:r w:rsidR="00150F97" w:rsidRPr="008F403C">
        <w:t>objet d</w:t>
      </w:r>
      <w:r w:rsidR="0054625B" w:rsidRPr="008F403C">
        <w:t>’</w:t>
      </w:r>
      <w:r w:rsidR="00150F97" w:rsidRPr="008F403C">
        <w:t>un rapport pendant la période considérée. Le tableau ci-dessous fournit un aperçu de ces projets, ainsi que des informations sur les rapports qui dev</w:t>
      </w:r>
      <w:r w:rsidR="00CA68F7" w:rsidRPr="008F403C">
        <w:t>ront être soumis dans le futur.</w:t>
      </w:r>
    </w:p>
    <w:tbl>
      <w:tblPr>
        <w:tblW w:w="915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0"/>
        <w:gridCol w:w="1418"/>
        <w:gridCol w:w="1754"/>
        <w:gridCol w:w="1223"/>
        <w:gridCol w:w="1949"/>
      </w:tblGrid>
      <w:tr w:rsidR="00814DA4" w:rsidRPr="008F403C" w14:paraId="0B3DAE98" w14:textId="77777777" w:rsidTr="00F02F65">
        <w:trPr>
          <w:cantSplit/>
        </w:trPr>
        <w:tc>
          <w:tcPr>
            <w:tcW w:w="2810" w:type="dxa"/>
            <w:shd w:val="clear" w:color="auto" w:fill="D9D9D9"/>
            <w:vAlign w:val="center"/>
          </w:tcPr>
          <w:p w14:paraId="5D05B90F" w14:textId="77777777" w:rsidR="00814DA4" w:rsidRPr="008F403C" w:rsidRDefault="00814DA4" w:rsidP="00F02F65">
            <w:pPr>
              <w:pStyle w:val="Marge"/>
              <w:spacing w:before="120" w:after="120"/>
              <w:jc w:val="center"/>
              <w:rPr>
                <w:rFonts w:cs="Arial"/>
                <w:b/>
                <w:bCs/>
                <w:sz w:val="18"/>
                <w:szCs w:val="18"/>
              </w:rPr>
            </w:pPr>
            <w:r w:rsidRPr="008F403C">
              <w:rPr>
                <w:b/>
                <w:sz w:val="18"/>
              </w:rPr>
              <w:t>Projet</w:t>
            </w:r>
          </w:p>
        </w:tc>
        <w:tc>
          <w:tcPr>
            <w:tcW w:w="1418" w:type="dxa"/>
            <w:shd w:val="clear" w:color="auto" w:fill="D9D9D9"/>
            <w:vAlign w:val="center"/>
          </w:tcPr>
          <w:p w14:paraId="3F995C9A" w14:textId="77777777" w:rsidR="00814DA4" w:rsidRPr="008F403C" w:rsidRDefault="00814DA4" w:rsidP="00F02F65">
            <w:pPr>
              <w:pStyle w:val="Marge"/>
              <w:spacing w:before="120" w:after="120"/>
              <w:jc w:val="center"/>
              <w:rPr>
                <w:rFonts w:cs="Arial"/>
                <w:b/>
                <w:bCs/>
                <w:sz w:val="18"/>
                <w:szCs w:val="18"/>
              </w:rPr>
            </w:pPr>
            <w:r w:rsidRPr="008F403C">
              <w:rPr>
                <w:b/>
                <w:sz w:val="18"/>
              </w:rPr>
              <w:t>Bénéficiaire</w:t>
            </w:r>
          </w:p>
        </w:tc>
        <w:tc>
          <w:tcPr>
            <w:tcW w:w="1754" w:type="dxa"/>
            <w:shd w:val="clear" w:color="auto" w:fill="D9D9D9"/>
            <w:vAlign w:val="center"/>
          </w:tcPr>
          <w:p w14:paraId="798245DA" w14:textId="77777777" w:rsidR="00814DA4" w:rsidRPr="008F403C" w:rsidRDefault="00814DA4" w:rsidP="00F02F65">
            <w:pPr>
              <w:pStyle w:val="Marge"/>
              <w:spacing w:before="120" w:after="120"/>
              <w:jc w:val="center"/>
              <w:rPr>
                <w:rFonts w:cs="Arial"/>
                <w:b/>
                <w:bCs/>
                <w:sz w:val="18"/>
                <w:szCs w:val="18"/>
              </w:rPr>
            </w:pPr>
            <w:proofErr w:type="gramStart"/>
            <w:r w:rsidRPr="008F403C">
              <w:rPr>
                <w:b/>
                <w:sz w:val="18"/>
              </w:rPr>
              <w:t>Montant</w:t>
            </w:r>
            <w:proofErr w:type="gramEnd"/>
            <w:r w:rsidRPr="008F403C">
              <w:rPr>
                <w:rFonts w:cs="Arial"/>
                <w:b/>
                <w:bCs/>
                <w:sz w:val="18"/>
                <w:szCs w:val="18"/>
              </w:rPr>
              <w:br/>
            </w:r>
            <w:r w:rsidRPr="008F403C">
              <w:rPr>
                <w:b/>
                <w:sz w:val="18"/>
              </w:rPr>
              <w:t>(dollars des États-Unis)</w:t>
            </w:r>
          </w:p>
        </w:tc>
        <w:tc>
          <w:tcPr>
            <w:tcW w:w="1223" w:type="dxa"/>
            <w:shd w:val="clear" w:color="auto" w:fill="D9D9D9"/>
            <w:vAlign w:val="center"/>
          </w:tcPr>
          <w:p w14:paraId="15BEA818" w14:textId="77777777" w:rsidR="00814DA4" w:rsidRPr="008F403C" w:rsidRDefault="00814DA4" w:rsidP="00F02F65">
            <w:pPr>
              <w:pStyle w:val="Marge"/>
              <w:spacing w:before="120" w:after="120"/>
              <w:jc w:val="center"/>
              <w:rPr>
                <w:rFonts w:cs="Arial"/>
                <w:b/>
                <w:bCs/>
                <w:sz w:val="18"/>
                <w:szCs w:val="18"/>
              </w:rPr>
            </w:pPr>
            <w:r w:rsidRPr="008F403C">
              <w:rPr>
                <w:b/>
                <w:sz w:val="18"/>
              </w:rPr>
              <w:t>Période</w:t>
            </w:r>
          </w:p>
        </w:tc>
        <w:tc>
          <w:tcPr>
            <w:tcW w:w="1949" w:type="dxa"/>
            <w:shd w:val="clear" w:color="auto" w:fill="D9D9D9"/>
            <w:vAlign w:val="center"/>
          </w:tcPr>
          <w:p w14:paraId="4E4369C6" w14:textId="77777777" w:rsidR="00814DA4" w:rsidRPr="008F403C" w:rsidRDefault="00814DA4" w:rsidP="00F02F65">
            <w:pPr>
              <w:pStyle w:val="Marge"/>
              <w:spacing w:before="120" w:after="120"/>
              <w:jc w:val="center"/>
              <w:rPr>
                <w:rFonts w:cs="Arial"/>
                <w:b/>
                <w:bCs/>
                <w:sz w:val="18"/>
                <w:szCs w:val="18"/>
              </w:rPr>
            </w:pPr>
            <w:r w:rsidRPr="008F403C">
              <w:rPr>
                <w:b/>
                <w:sz w:val="18"/>
              </w:rPr>
              <w:t>Situation vis-à-vis des rapports</w:t>
            </w:r>
          </w:p>
        </w:tc>
      </w:tr>
      <w:tr w:rsidR="002701FC" w:rsidRPr="008F403C" w14:paraId="39B6CE37"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FB5CD98" w14:textId="77777777" w:rsidR="002701FC" w:rsidRPr="008F403C" w:rsidRDefault="002701FC" w:rsidP="00E6127F">
            <w:pPr>
              <w:pStyle w:val="Marge"/>
              <w:spacing w:before="120" w:after="120"/>
              <w:jc w:val="left"/>
              <w:rPr>
                <w:sz w:val="18"/>
              </w:rPr>
            </w:pPr>
            <w:r w:rsidRPr="008F403C">
              <w:rPr>
                <w:sz w:val="18"/>
              </w:rPr>
              <w:t>Inventaire du patrimoine culturel immatériel au Mali en vue de sa sauvegarde urgente (n° 01026)</w:t>
            </w:r>
          </w:p>
          <w:p w14:paraId="4C9D0108" w14:textId="77777777" w:rsidR="002701FC" w:rsidRPr="008F403C" w:rsidRDefault="002701FC" w:rsidP="00E6127F">
            <w:pPr>
              <w:pStyle w:val="Marge"/>
              <w:spacing w:before="120" w:after="120"/>
              <w:jc w:val="left"/>
              <w:rPr>
                <w:sz w:val="18"/>
              </w:rPr>
            </w:pPr>
            <w:r w:rsidRPr="008F403C">
              <w:rPr>
                <w:sz w:val="18"/>
              </w:rPr>
              <w:t>Assistance d’urgence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3D6E51" w14:textId="77777777" w:rsidR="002701FC" w:rsidRPr="008F403C" w:rsidRDefault="002701FC" w:rsidP="00E6127F">
            <w:pPr>
              <w:pStyle w:val="Marge"/>
              <w:spacing w:before="120" w:after="120"/>
              <w:jc w:val="left"/>
              <w:rPr>
                <w:sz w:val="18"/>
              </w:rPr>
            </w:pPr>
            <w:r w:rsidRPr="008F403C">
              <w:rPr>
                <w:sz w:val="18"/>
              </w:rPr>
              <w:t>Mali</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55BDEE2B" w14:textId="77777777" w:rsidR="002701FC" w:rsidRPr="008F403C" w:rsidRDefault="002701FC" w:rsidP="00E6127F">
            <w:pPr>
              <w:pStyle w:val="Marge"/>
              <w:spacing w:before="120" w:after="120"/>
              <w:jc w:val="right"/>
              <w:rPr>
                <w:sz w:val="18"/>
              </w:rPr>
            </w:pPr>
            <w:r w:rsidRPr="008F403C">
              <w:rPr>
                <w:sz w:val="18"/>
              </w:rPr>
              <w:t>307 307,00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7266D22B" w14:textId="5EA00B41" w:rsidR="002701FC" w:rsidRPr="008F403C" w:rsidRDefault="002701FC" w:rsidP="00E6127F">
            <w:pPr>
              <w:pStyle w:val="Marge"/>
              <w:spacing w:before="120" w:after="120"/>
              <w:jc w:val="center"/>
              <w:rPr>
                <w:sz w:val="18"/>
              </w:rPr>
            </w:pPr>
            <w:r w:rsidRPr="008F403C">
              <w:rPr>
                <w:sz w:val="18"/>
              </w:rPr>
              <w:t>06/12/2013-02/11/2016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FAE6B8D" w14:textId="77777777" w:rsidR="002701FC" w:rsidRPr="008F403C" w:rsidRDefault="002701FC" w:rsidP="00E6127F">
            <w:pPr>
              <w:pStyle w:val="Marge"/>
              <w:spacing w:before="120" w:after="120"/>
              <w:jc w:val="left"/>
              <w:rPr>
                <w:sz w:val="18"/>
              </w:rPr>
            </w:pPr>
            <w:r w:rsidRPr="008F403C">
              <w:rPr>
                <w:sz w:val="18"/>
              </w:rPr>
              <w:t>Rapport final devant être soumis en novembre 2016</w:t>
            </w:r>
          </w:p>
          <w:p w14:paraId="6D99A0B2" w14:textId="73C9843A" w:rsidR="005E0D50" w:rsidRPr="008F403C" w:rsidRDefault="001F0617" w:rsidP="00DD4172">
            <w:pPr>
              <w:pStyle w:val="Marge"/>
              <w:spacing w:before="120" w:after="120"/>
              <w:jc w:val="left"/>
              <w:rPr>
                <w:sz w:val="18"/>
              </w:rPr>
            </w:pPr>
            <w:hyperlink r:id="rId26" w:history="1">
              <w:r w:rsidR="005E0D50" w:rsidRPr="008F403C">
                <w:rPr>
                  <w:rStyle w:val="Hyperlink"/>
                  <w:rFonts w:cs="Arial"/>
                  <w:bCs/>
                  <w:sz w:val="18"/>
                  <w:szCs w:val="18"/>
                </w:rPr>
                <w:t>page web spécifique</w:t>
              </w:r>
            </w:hyperlink>
          </w:p>
        </w:tc>
      </w:tr>
      <w:tr w:rsidR="00814DA4" w:rsidRPr="008F403C" w14:paraId="1AA63554" w14:textId="77777777" w:rsidTr="00F02F65">
        <w:trPr>
          <w:cantSplit/>
        </w:trPr>
        <w:tc>
          <w:tcPr>
            <w:tcW w:w="2810" w:type="dxa"/>
            <w:shd w:val="clear" w:color="auto" w:fill="auto"/>
          </w:tcPr>
          <w:p w14:paraId="31516DA5" w14:textId="77777777" w:rsidR="00814DA4" w:rsidRPr="008F403C" w:rsidRDefault="00814DA4" w:rsidP="00814DA4">
            <w:pPr>
              <w:pStyle w:val="Marge"/>
              <w:spacing w:before="120" w:after="120"/>
              <w:jc w:val="left"/>
              <w:rPr>
                <w:rFonts w:cs="Arial"/>
                <w:bCs/>
                <w:sz w:val="18"/>
                <w:szCs w:val="18"/>
              </w:rPr>
            </w:pPr>
            <w:r w:rsidRPr="008F403C">
              <w:rPr>
                <w:sz w:val="18"/>
              </w:rPr>
              <w:t>Inventaire et promotion du patrimoine culturel immatériel des populations pygmées du Gabon (n° 00949)</w:t>
            </w:r>
          </w:p>
        </w:tc>
        <w:tc>
          <w:tcPr>
            <w:tcW w:w="1418" w:type="dxa"/>
            <w:shd w:val="clear" w:color="auto" w:fill="auto"/>
          </w:tcPr>
          <w:p w14:paraId="1BE82A03" w14:textId="77777777" w:rsidR="00814DA4" w:rsidRPr="008F403C" w:rsidRDefault="00814DA4" w:rsidP="00F02F65">
            <w:pPr>
              <w:pStyle w:val="Marge"/>
              <w:spacing w:before="120" w:after="120"/>
              <w:jc w:val="left"/>
              <w:rPr>
                <w:rFonts w:cs="Arial"/>
                <w:bCs/>
                <w:sz w:val="18"/>
                <w:szCs w:val="18"/>
              </w:rPr>
            </w:pPr>
            <w:r w:rsidRPr="008F403C">
              <w:rPr>
                <w:sz w:val="18"/>
              </w:rPr>
              <w:t>Gabon</w:t>
            </w:r>
          </w:p>
        </w:tc>
        <w:tc>
          <w:tcPr>
            <w:tcW w:w="1754" w:type="dxa"/>
            <w:shd w:val="clear" w:color="auto" w:fill="auto"/>
          </w:tcPr>
          <w:p w14:paraId="34A06B1D" w14:textId="77777777" w:rsidR="00814DA4" w:rsidRPr="008F403C" w:rsidRDefault="00814DA4" w:rsidP="00F02F65">
            <w:pPr>
              <w:pStyle w:val="Marge"/>
              <w:spacing w:before="120" w:after="120"/>
              <w:jc w:val="right"/>
              <w:rPr>
                <w:rFonts w:cs="Arial"/>
                <w:bCs/>
                <w:sz w:val="18"/>
                <w:szCs w:val="18"/>
              </w:rPr>
            </w:pPr>
            <w:r w:rsidRPr="008F403C">
              <w:rPr>
                <w:sz w:val="18"/>
              </w:rPr>
              <w:t>24 560,00</w:t>
            </w:r>
          </w:p>
        </w:tc>
        <w:tc>
          <w:tcPr>
            <w:tcW w:w="1223" w:type="dxa"/>
            <w:shd w:val="clear" w:color="auto" w:fill="auto"/>
          </w:tcPr>
          <w:p w14:paraId="093A0FF4" w14:textId="77777777" w:rsidR="00814DA4" w:rsidRPr="008F403C" w:rsidRDefault="00814DA4" w:rsidP="00F02F65">
            <w:pPr>
              <w:pStyle w:val="Marge"/>
              <w:spacing w:before="120" w:after="120"/>
              <w:jc w:val="center"/>
              <w:rPr>
                <w:rFonts w:cs="Arial"/>
                <w:bCs/>
                <w:sz w:val="18"/>
                <w:szCs w:val="18"/>
              </w:rPr>
            </w:pPr>
            <w:r w:rsidRPr="008F403C">
              <w:rPr>
                <w:sz w:val="18"/>
              </w:rPr>
              <w:t>01/09/2015-28/04/2017</w:t>
            </w:r>
          </w:p>
        </w:tc>
        <w:tc>
          <w:tcPr>
            <w:tcW w:w="1949" w:type="dxa"/>
            <w:shd w:val="clear" w:color="auto" w:fill="auto"/>
          </w:tcPr>
          <w:p w14:paraId="2B870056" w14:textId="77777777" w:rsidR="00814DA4" w:rsidRPr="008F403C" w:rsidRDefault="00814DA4" w:rsidP="00D87F54">
            <w:pPr>
              <w:pStyle w:val="Marge"/>
              <w:spacing w:before="120" w:after="120"/>
              <w:jc w:val="left"/>
              <w:rPr>
                <w:sz w:val="18"/>
              </w:rPr>
            </w:pPr>
            <w:r w:rsidRPr="008F403C">
              <w:rPr>
                <w:sz w:val="18"/>
              </w:rPr>
              <w:t xml:space="preserve">Rapport final devant être </w:t>
            </w:r>
            <w:r w:rsidR="00D87F54" w:rsidRPr="008F403C">
              <w:rPr>
                <w:sz w:val="18"/>
              </w:rPr>
              <w:t xml:space="preserve">soumis </w:t>
            </w:r>
            <w:r w:rsidRPr="008F403C">
              <w:rPr>
                <w:sz w:val="18"/>
              </w:rPr>
              <w:t>en avril 2017</w:t>
            </w:r>
          </w:p>
          <w:p w14:paraId="1382C402" w14:textId="1DE17E3E" w:rsidR="005E0D50" w:rsidRPr="008F403C" w:rsidRDefault="001F0617" w:rsidP="00DD4172">
            <w:pPr>
              <w:pStyle w:val="Marge"/>
              <w:spacing w:before="120" w:after="120"/>
              <w:jc w:val="left"/>
              <w:rPr>
                <w:rFonts w:cs="Arial"/>
                <w:bCs/>
                <w:sz w:val="18"/>
                <w:szCs w:val="18"/>
              </w:rPr>
            </w:pPr>
            <w:hyperlink r:id="rId27" w:history="1">
              <w:r w:rsidR="005E0D50" w:rsidRPr="008F403C">
                <w:rPr>
                  <w:rStyle w:val="Hyperlink"/>
                  <w:rFonts w:cs="Arial"/>
                  <w:bCs/>
                  <w:sz w:val="18"/>
                  <w:szCs w:val="18"/>
                </w:rPr>
                <w:t>page web spécifique</w:t>
              </w:r>
            </w:hyperlink>
          </w:p>
        </w:tc>
      </w:tr>
      <w:tr w:rsidR="002701FC" w:rsidRPr="008F403C" w14:paraId="53457A30"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1FA5055C" w14:textId="77777777" w:rsidR="002701FC" w:rsidRPr="008F403C" w:rsidRDefault="002701FC" w:rsidP="00E6127F">
            <w:pPr>
              <w:pStyle w:val="Marge"/>
              <w:spacing w:before="120" w:after="120"/>
              <w:jc w:val="left"/>
              <w:rPr>
                <w:sz w:val="18"/>
              </w:rPr>
            </w:pPr>
            <w:r w:rsidRPr="008F403C">
              <w:rPr>
                <w:sz w:val="18"/>
              </w:rPr>
              <w:t>Inventaire, sauvegarde et valorisation des savoir-faire de la facture et de la pratique des instruments de musique traditionnels du Togo : phase pilote dans la région maritime, sud Togo (n° 00912)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CB5937" w14:textId="77777777" w:rsidR="002701FC" w:rsidRPr="008F403C" w:rsidRDefault="002701FC" w:rsidP="00E6127F">
            <w:pPr>
              <w:pStyle w:val="Marge"/>
              <w:spacing w:before="120" w:after="120"/>
              <w:jc w:val="left"/>
              <w:rPr>
                <w:sz w:val="18"/>
              </w:rPr>
            </w:pPr>
            <w:r w:rsidRPr="008F403C">
              <w:rPr>
                <w:sz w:val="18"/>
              </w:rPr>
              <w:t>Togo</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C2A4EB3" w14:textId="77777777" w:rsidR="002701FC" w:rsidRPr="008F403C" w:rsidRDefault="002701FC" w:rsidP="00E6127F">
            <w:pPr>
              <w:pStyle w:val="Marge"/>
              <w:spacing w:before="120" w:after="120"/>
              <w:jc w:val="right"/>
              <w:rPr>
                <w:sz w:val="18"/>
              </w:rPr>
            </w:pPr>
            <w:r w:rsidRPr="008F403C">
              <w:rPr>
                <w:sz w:val="18"/>
              </w:rPr>
              <w:t>24 950,00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0E19F9F4" w14:textId="77777777" w:rsidR="002701FC" w:rsidRPr="008F403C" w:rsidRDefault="002701FC" w:rsidP="00E6127F">
            <w:pPr>
              <w:pStyle w:val="Marge"/>
              <w:spacing w:before="120" w:after="120"/>
              <w:jc w:val="center"/>
              <w:rPr>
                <w:sz w:val="18"/>
              </w:rPr>
            </w:pPr>
            <w:r w:rsidRPr="008F403C">
              <w:rPr>
                <w:sz w:val="18"/>
              </w:rPr>
              <w:t>09/12/2015-09/12/2016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12B740C" w14:textId="77777777" w:rsidR="002701FC" w:rsidRPr="008F403C" w:rsidRDefault="002701FC" w:rsidP="00E6127F">
            <w:pPr>
              <w:pStyle w:val="Marge"/>
              <w:spacing w:before="120" w:after="120"/>
              <w:jc w:val="left"/>
              <w:rPr>
                <w:sz w:val="18"/>
              </w:rPr>
            </w:pPr>
            <w:r w:rsidRPr="008F403C">
              <w:rPr>
                <w:sz w:val="18"/>
              </w:rPr>
              <w:t>Rapport final devant être soumis en décembre 2016</w:t>
            </w:r>
          </w:p>
          <w:p w14:paraId="1596BFB7" w14:textId="335D8F35" w:rsidR="005E0D50" w:rsidRPr="008F403C" w:rsidRDefault="001F0617" w:rsidP="00DD4172">
            <w:pPr>
              <w:pStyle w:val="Marge"/>
              <w:spacing w:before="120" w:after="120"/>
              <w:jc w:val="left"/>
              <w:rPr>
                <w:sz w:val="18"/>
              </w:rPr>
            </w:pPr>
            <w:hyperlink r:id="rId28" w:history="1">
              <w:r w:rsidR="005E0D50" w:rsidRPr="008F403C">
                <w:rPr>
                  <w:rStyle w:val="Hyperlink"/>
                  <w:rFonts w:cs="Arial"/>
                  <w:bCs/>
                  <w:sz w:val="18"/>
                  <w:szCs w:val="18"/>
                </w:rPr>
                <w:t>page web spécifique</w:t>
              </w:r>
            </w:hyperlink>
          </w:p>
        </w:tc>
      </w:tr>
      <w:tr w:rsidR="002701FC" w:rsidRPr="008F403C" w14:paraId="52A52833"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7AAD4B1E" w14:textId="77777777" w:rsidR="002701FC" w:rsidRPr="008F403C" w:rsidRDefault="002701FC" w:rsidP="00E6127F">
            <w:pPr>
              <w:pStyle w:val="Marge"/>
              <w:spacing w:before="120" w:after="120"/>
              <w:jc w:val="left"/>
              <w:rPr>
                <w:sz w:val="18"/>
              </w:rPr>
            </w:pPr>
            <w:r w:rsidRPr="008F403C">
              <w:rPr>
                <w:sz w:val="18"/>
              </w:rPr>
              <w:t>Inventaire du patrimoine culturel immatériel présent en Côte d’Ivoire en vue de sa sauvegarde urgente (n° 01051)</w:t>
            </w:r>
          </w:p>
          <w:p w14:paraId="6527BFE6" w14:textId="77777777" w:rsidR="002701FC" w:rsidRPr="008F403C" w:rsidRDefault="002701FC" w:rsidP="00E6127F">
            <w:pPr>
              <w:pStyle w:val="Marge"/>
              <w:spacing w:before="120" w:after="120"/>
              <w:jc w:val="left"/>
              <w:rPr>
                <w:sz w:val="18"/>
              </w:rPr>
            </w:pPr>
            <w:r w:rsidRPr="008F403C">
              <w:rPr>
                <w:sz w:val="18"/>
              </w:rPr>
              <w:t>Assistance d’urgence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F9BA17" w14:textId="77777777" w:rsidR="002701FC" w:rsidRPr="008F403C" w:rsidRDefault="002701FC" w:rsidP="00E6127F">
            <w:pPr>
              <w:pStyle w:val="Marge"/>
              <w:spacing w:before="120" w:after="120"/>
              <w:jc w:val="left"/>
              <w:rPr>
                <w:sz w:val="18"/>
              </w:rPr>
            </w:pPr>
            <w:r w:rsidRPr="008F403C">
              <w:rPr>
                <w:sz w:val="18"/>
              </w:rPr>
              <w:t>Côte d’Ivoire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764CE89" w14:textId="77777777" w:rsidR="002701FC" w:rsidRPr="008F403C" w:rsidRDefault="002701FC" w:rsidP="00E6127F">
            <w:pPr>
              <w:pStyle w:val="Marge"/>
              <w:spacing w:before="120" w:after="120"/>
              <w:jc w:val="right"/>
              <w:rPr>
                <w:sz w:val="18"/>
              </w:rPr>
            </w:pPr>
            <w:r w:rsidRPr="008F403C">
              <w:rPr>
                <w:sz w:val="18"/>
              </w:rPr>
              <w:t>299 972,00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015430DF" w14:textId="77777777" w:rsidR="002701FC" w:rsidRPr="008F403C" w:rsidRDefault="002701FC" w:rsidP="00E6127F">
            <w:pPr>
              <w:pStyle w:val="Marge"/>
              <w:spacing w:before="120" w:after="120"/>
              <w:jc w:val="center"/>
              <w:rPr>
                <w:sz w:val="18"/>
              </w:rPr>
            </w:pPr>
            <w:r w:rsidRPr="008F403C">
              <w:rPr>
                <w:sz w:val="18"/>
              </w:rPr>
              <w:t>15/12/2015-28/03/2018</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B6E50B7" w14:textId="77777777" w:rsidR="002701FC" w:rsidRPr="008F403C" w:rsidRDefault="002701FC" w:rsidP="00E6127F">
            <w:pPr>
              <w:pStyle w:val="Marge"/>
              <w:spacing w:before="120" w:after="120"/>
              <w:jc w:val="left"/>
              <w:rPr>
                <w:sz w:val="18"/>
              </w:rPr>
            </w:pPr>
            <w:r w:rsidRPr="008F403C">
              <w:rPr>
                <w:sz w:val="18"/>
              </w:rPr>
              <w:t>Rapport d’avancement soumis en octobre 2016</w:t>
            </w:r>
          </w:p>
          <w:p w14:paraId="15E378FC" w14:textId="65C817A6" w:rsidR="005E0D50" w:rsidRPr="008F403C" w:rsidRDefault="001F0617" w:rsidP="00DD4172">
            <w:pPr>
              <w:pStyle w:val="Marge"/>
              <w:spacing w:before="120" w:after="120"/>
              <w:jc w:val="left"/>
              <w:rPr>
                <w:sz w:val="18"/>
              </w:rPr>
            </w:pPr>
            <w:hyperlink r:id="rId29" w:history="1">
              <w:r w:rsidR="005E0D50" w:rsidRPr="008F403C">
                <w:rPr>
                  <w:rStyle w:val="Hyperlink"/>
                  <w:rFonts w:cs="Arial"/>
                  <w:bCs/>
                  <w:sz w:val="18"/>
                  <w:szCs w:val="18"/>
                </w:rPr>
                <w:t>page web spécifique</w:t>
              </w:r>
            </w:hyperlink>
          </w:p>
        </w:tc>
      </w:tr>
      <w:tr w:rsidR="002701FC" w:rsidRPr="008F403C" w14:paraId="3A59B687"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78CE066C" w14:textId="77777777" w:rsidR="002701FC" w:rsidRPr="008F403C" w:rsidRDefault="002701FC" w:rsidP="00E6127F">
            <w:pPr>
              <w:pStyle w:val="Marge"/>
              <w:spacing w:before="120" w:after="120"/>
              <w:jc w:val="left"/>
              <w:rPr>
                <w:sz w:val="18"/>
              </w:rPr>
            </w:pPr>
            <w:r w:rsidRPr="008F403C">
              <w:rPr>
                <w:sz w:val="18"/>
              </w:rPr>
              <w:lastRenderedPageBreak/>
              <w:t xml:space="preserve">La sauvegarde des proverbes et contes populaires des </w:t>
            </w:r>
            <w:proofErr w:type="spellStart"/>
            <w:r w:rsidRPr="008F403C">
              <w:rPr>
                <w:sz w:val="18"/>
              </w:rPr>
              <w:t>Nkhonde</w:t>
            </w:r>
            <w:proofErr w:type="spellEnd"/>
            <w:r w:rsidRPr="008F403C">
              <w:rPr>
                <w:sz w:val="18"/>
              </w:rPr>
              <w:t xml:space="preserve">, </w:t>
            </w:r>
            <w:proofErr w:type="spellStart"/>
            <w:r w:rsidRPr="008F403C">
              <w:rPr>
                <w:sz w:val="18"/>
              </w:rPr>
              <w:t>Tumbuka</w:t>
            </w:r>
            <w:proofErr w:type="spellEnd"/>
            <w:r w:rsidRPr="008F403C">
              <w:rPr>
                <w:sz w:val="18"/>
              </w:rPr>
              <w:t xml:space="preserve"> et </w:t>
            </w:r>
            <w:proofErr w:type="spellStart"/>
            <w:r w:rsidRPr="008F403C">
              <w:rPr>
                <w:sz w:val="18"/>
              </w:rPr>
              <w:t>Chewa</w:t>
            </w:r>
            <w:proofErr w:type="spellEnd"/>
            <w:r w:rsidRPr="008F403C">
              <w:rPr>
                <w:sz w:val="18"/>
              </w:rPr>
              <w:t xml:space="preserve"> (n° 01060)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D96156" w14:textId="77777777" w:rsidR="002701FC" w:rsidRPr="008F403C" w:rsidRDefault="002701FC" w:rsidP="00E6127F">
            <w:pPr>
              <w:pStyle w:val="Marge"/>
              <w:spacing w:before="120" w:after="120"/>
              <w:jc w:val="left"/>
              <w:rPr>
                <w:sz w:val="18"/>
              </w:rPr>
            </w:pPr>
            <w:r w:rsidRPr="008F403C">
              <w:rPr>
                <w:sz w:val="18"/>
              </w:rPr>
              <w:t>Malawi</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877DCB6" w14:textId="77777777" w:rsidR="002701FC" w:rsidRPr="008F403C" w:rsidRDefault="002701FC" w:rsidP="00E6127F">
            <w:pPr>
              <w:pStyle w:val="Marge"/>
              <w:spacing w:before="120" w:after="120"/>
              <w:jc w:val="right"/>
              <w:rPr>
                <w:sz w:val="18"/>
              </w:rPr>
            </w:pPr>
            <w:r w:rsidRPr="008F403C">
              <w:rPr>
                <w:sz w:val="18"/>
              </w:rPr>
              <w:t>90 533,00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695AFBFF" w14:textId="77777777" w:rsidR="002701FC" w:rsidRPr="008F403C" w:rsidRDefault="002701FC" w:rsidP="00E6127F">
            <w:pPr>
              <w:pStyle w:val="Marge"/>
              <w:spacing w:before="120" w:after="120"/>
              <w:jc w:val="center"/>
              <w:rPr>
                <w:sz w:val="18"/>
              </w:rPr>
            </w:pPr>
            <w:r w:rsidRPr="008F403C">
              <w:rPr>
                <w:sz w:val="18"/>
              </w:rPr>
              <w:t>30/06/2016-16/06/2017</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9A9D352" w14:textId="77777777" w:rsidR="002701FC" w:rsidRPr="008F403C" w:rsidRDefault="002701FC" w:rsidP="00E6127F">
            <w:pPr>
              <w:pStyle w:val="Marge"/>
              <w:spacing w:before="120" w:after="120"/>
              <w:jc w:val="left"/>
              <w:rPr>
                <w:sz w:val="18"/>
              </w:rPr>
            </w:pPr>
            <w:r w:rsidRPr="008F403C">
              <w:rPr>
                <w:sz w:val="18"/>
              </w:rPr>
              <w:t>Rapport d’avancement devant être soumis en décembre 2016</w:t>
            </w:r>
          </w:p>
          <w:p w14:paraId="62824338" w14:textId="30C3B3C5" w:rsidR="005E0D50" w:rsidRPr="008F403C" w:rsidRDefault="001F0617" w:rsidP="00DD4172">
            <w:pPr>
              <w:pStyle w:val="Marge"/>
              <w:spacing w:before="120" w:after="120"/>
              <w:jc w:val="left"/>
              <w:rPr>
                <w:sz w:val="18"/>
              </w:rPr>
            </w:pPr>
            <w:hyperlink r:id="rId30" w:history="1">
              <w:r w:rsidR="005E0D50" w:rsidRPr="008F403C">
                <w:rPr>
                  <w:rStyle w:val="Hyperlink"/>
                  <w:rFonts w:cs="Arial"/>
                  <w:bCs/>
                  <w:sz w:val="18"/>
                  <w:szCs w:val="18"/>
                </w:rPr>
                <w:t>page web spécifique</w:t>
              </w:r>
            </w:hyperlink>
          </w:p>
        </w:tc>
      </w:tr>
      <w:tr w:rsidR="00283389" w:rsidRPr="008F403C" w14:paraId="15B3A3A5" w14:textId="77777777" w:rsidTr="00F02F65">
        <w:trPr>
          <w:cantSplit/>
        </w:trPr>
        <w:tc>
          <w:tcPr>
            <w:tcW w:w="2810" w:type="dxa"/>
            <w:shd w:val="clear" w:color="auto" w:fill="auto"/>
          </w:tcPr>
          <w:p w14:paraId="75589E9F" w14:textId="77777777" w:rsidR="00283389" w:rsidRPr="008F403C" w:rsidRDefault="00283389" w:rsidP="00F02F65">
            <w:pPr>
              <w:pStyle w:val="Marge"/>
              <w:spacing w:before="120" w:after="120"/>
              <w:jc w:val="left"/>
              <w:rPr>
                <w:rFonts w:cs="Arial"/>
                <w:bCs/>
                <w:sz w:val="18"/>
                <w:szCs w:val="18"/>
              </w:rPr>
            </w:pPr>
            <w:r w:rsidRPr="008F403C">
              <w:rPr>
                <w:sz w:val="18"/>
              </w:rPr>
              <w:t>La documentation et l</w:t>
            </w:r>
            <w:r w:rsidR="0054625B" w:rsidRPr="008F403C">
              <w:rPr>
                <w:sz w:val="18"/>
              </w:rPr>
              <w:t>’</w:t>
            </w:r>
            <w:r w:rsidRPr="008F403C">
              <w:rPr>
                <w:sz w:val="18"/>
              </w:rPr>
              <w:t xml:space="preserve">inventaire du patrimoine culturel immatériel dans la République du Soudan (un projet pilote dans les régions de </w:t>
            </w:r>
            <w:proofErr w:type="spellStart"/>
            <w:r w:rsidRPr="008F403C">
              <w:rPr>
                <w:sz w:val="18"/>
              </w:rPr>
              <w:t>Kordufan</w:t>
            </w:r>
            <w:proofErr w:type="spellEnd"/>
            <w:r w:rsidRPr="008F403C">
              <w:rPr>
                <w:sz w:val="18"/>
              </w:rPr>
              <w:t xml:space="preserve"> et du Nil bleu) (n° 00978)</w:t>
            </w:r>
          </w:p>
        </w:tc>
        <w:tc>
          <w:tcPr>
            <w:tcW w:w="1418" w:type="dxa"/>
            <w:shd w:val="clear" w:color="auto" w:fill="auto"/>
          </w:tcPr>
          <w:p w14:paraId="63CA220F" w14:textId="77777777" w:rsidR="00283389" w:rsidRPr="008F403C" w:rsidRDefault="00283389" w:rsidP="00F02F65">
            <w:pPr>
              <w:pStyle w:val="Marge"/>
              <w:spacing w:before="120" w:after="120"/>
              <w:jc w:val="left"/>
              <w:rPr>
                <w:rFonts w:cs="Arial"/>
                <w:bCs/>
                <w:sz w:val="18"/>
                <w:szCs w:val="18"/>
              </w:rPr>
            </w:pPr>
            <w:r w:rsidRPr="008F403C">
              <w:rPr>
                <w:sz w:val="18"/>
              </w:rPr>
              <w:t>Soudan</w:t>
            </w:r>
          </w:p>
        </w:tc>
        <w:tc>
          <w:tcPr>
            <w:tcW w:w="1754" w:type="dxa"/>
            <w:shd w:val="clear" w:color="auto" w:fill="auto"/>
          </w:tcPr>
          <w:p w14:paraId="5C8993A8" w14:textId="77777777" w:rsidR="00283389" w:rsidRPr="008F403C" w:rsidRDefault="00283389" w:rsidP="00F02F65">
            <w:pPr>
              <w:pStyle w:val="Marge"/>
              <w:spacing w:before="120" w:after="120"/>
              <w:jc w:val="right"/>
              <w:rPr>
                <w:rFonts w:cs="Arial"/>
                <w:bCs/>
                <w:sz w:val="18"/>
                <w:szCs w:val="18"/>
              </w:rPr>
            </w:pPr>
            <w:r w:rsidRPr="008F403C">
              <w:rPr>
                <w:sz w:val="18"/>
              </w:rPr>
              <w:t>174 480,00</w:t>
            </w:r>
          </w:p>
        </w:tc>
        <w:tc>
          <w:tcPr>
            <w:tcW w:w="1223" w:type="dxa"/>
            <w:shd w:val="clear" w:color="auto" w:fill="auto"/>
          </w:tcPr>
          <w:p w14:paraId="24F277B0" w14:textId="77777777" w:rsidR="00283389" w:rsidRPr="008F403C" w:rsidRDefault="00283389" w:rsidP="00F02F65">
            <w:pPr>
              <w:pStyle w:val="Marge"/>
              <w:spacing w:before="120" w:after="120"/>
              <w:jc w:val="center"/>
              <w:rPr>
                <w:rFonts w:cs="Arial"/>
                <w:bCs/>
                <w:sz w:val="18"/>
                <w:szCs w:val="18"/>
              </w:rPr>
            </w:pPr>
          </w:p>
        </w:tc>
        <w:tc>
          <w:tcPr>
            <w:tcW w:w="1949" w:type="dxa"/>
            <w:shd w:val="clear" w:color="auto" w:fill="auto"/>
          </w:tcPr>
          <w:p w14:paraId="028E29C2" w14:textId="77777777" w:rsidR="00283389" w:rsidRPr="008F403C" w:rsidRDefault="00D87F54" w:rsidP="00D87F54">
            <w:pPr>
              <w:pStyle w:val="Marge"/>
              <w:spacing w:before="120" w:after="120"/>
              <w:jc w:val="left"/>
              <w:rPr>
                <w:sz w:val="18"/>
              </w:rPr>
            </w:pPr>
            <w:r w:rsidRPr="008F403C">
              <w:rPr>
                <w:sz w:val="18"/>
              </w:rPr>
              <w:t>Rapport d’avancement devant être soumis en juillet 2017</w:t>
            </w:r>
          </w:p>
          <w:p w14:paraId="04E664BF" w14:textId="4A27B689" w:rsidR="005E0D50" w:rsidRPr="008F403C" w:rsidRDefault="001F0617" w:rsidP="00DD4172">
            <w:pPr>
              <w:pStyle w:val="Marge"/>
              <w:spacing w:before="120" w:after="120"/>
              <w:jc w:val="left"/>
              <w:rPr>
                <w:rFonts w:cs="Arial"/>
                <w:bCs/>
                <w:sz w:val="18"/>
                <w:szCs w:val="18"/>
              </w:rPr>
            </w:pPr>
            <w:hyperlink r:id="rId31" w:history="1">
              <w:r w:rsidR="005E0D50" w:rsidRPr="008F403C">
                <w:rPr>
                  <w:rStyle w:val="Hyperlink"/>
                  <w:rFonts w:cs="Arial"/>
                  <w:bCs/>
                  <w:sz w:val="18"/>
                  <w:szCs w:val="18"/>
                </w:rPr>
                <w:t>page web spécifique</w:t>
              </w:r>
            </w:hyperlink>
          </w:p>
        </w:tc>
      </w:tr>
      <w:tr w:rsidR="002701FC" w:rsidRPr="008F403C" w14:paraId="1600B535"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4471230" w14:textId="77777777" w:rsidR="002701FC" w:rsidRPr="008F403C" w:rsidRDefault="002701FC" w:rsidP="00E6127F">
            <w:pPr>
              <w:pStyle w:val="Marge"/>
              <w:spacing w:before="120" w:after="120"/>
              <w:jc w:val="left"/>
              <w:rPr>
                <w:sz w:val="18"/>
              </w:rPr>
            </w:pPr>
            <w:r w:rsidRPr="008F403C">
              <w:rPr>
                <w:sz w:val="18"/>
              </w:rPr>
              <w:t xml:space="preserve">Réalisation d’un inventaire d’éléments du patrimoine culturel immatériel à </w:t>
            </w:r>
            <w:proofErr w:type="spellStart"/>
            <w:r w:rsidRPr="008F403C">
              <w:rPr>
                <w:sz w:val="18"/>
              </w:rPr>
              <w:t>Thaba-Bosiu</w:t>
            </w:r>
            <w:proofErr w:type="spellEnd"/>
            <w:r w:rsidRPr="008F403C">
              <w:rPr>
                <w:sz w:val="18"/>
              </w:rPr>
              <w:t xml:space="preserve"> au Lesotho (n° 01118)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917BCD" w14:textId="77777777" w:rsidR="002701FC" w:rsidRPr="008F403C" w:rsidRDefault="002701FC" w:rsidP="00E6127F">
            <w:pPr>
              <w:pStyle w:val="Marge"/>
              <w:spacing w:before="120" w:after="120"/>
              <w:jc w:val="left"/>
              <w:rPr>
                <w:sz w:val="18"/>
              </w:rPr>
            </w:pPr>
            <w:r w:rsidRPr="008F403C">
              <w:rPr>
                <w:sz w:val="18"/>
              </w:rPr>
              <w:t>Lesotho</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29474270" w14:textId="77777777" w:rsidR="002701FC" w:rsidRPr="008F403C" w:rsidRDefault="002701FC" w:rsidP="00E6127F">
            <w:pPr>
              <w:pStyle w:val="Marge"/>
              <w:spacing w:before="120" w:after="120"/>
              <w:jc w:val="right"/>
              <w:rPr>
                <w:sz w:val="18"/>
              </w:rPr>
            </w:pPr>
            <w:r w:rsidRPr="008F403C">
              <w:rPr>
                <w:sz w:val="18"/>
              </w:rPr>
              <w:t>24 998,00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2DCC89CC" w14:textId="77777777" w:rsidR="002701FC" w:rsidRPr="008F403C" w:rsidRDefault="002701FC" w:rsidP="00E6127F">
            <w:pPr>
              <w:pStyle w:val="Marge"/>
              <w:spacing w:before="120" w:after="120"/>
              <w:jc w:val="center"/>
              <w:rPr>
                <w:rFonts w:cs="Arial"/>
                <w:bCs/>
                <w:sz w:val="18"/>
                <w:szCs w:val="18"/>
              </w:rPr>
            </w:pPr>
            <w:r w:rsidRPr="008F403C">
              <w:rPr>
                <w:rFonts w:cs="Arial"/>
                <w:bCs/>
                <w:sz w:val="18"/>
                <w:szCs w:val="18"/>
              </w:rPr>
              <w:t>03/08/2016-28/02/2017</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D26E1BF" w14:textId="77777777" w:rsidR="002701FC" w:rsidRPr="008F403C" w:rsidRDefault="002701FC" w:rsidP="00E6127F">
            <w:pPr>
              <w:pStyle w:val="Marge"/>
              <w:spacing w:before="120" w:after="120"/>
              <w:jc w:val="left"/>
              <w:rPr>
                <w:sz w:val="18"/>
              </w:rPr>
            </w:pPr>
            <w:r w:rsidRPr="008F403C">
              <w:rPr>
                <w:sz w:val="18"/>
              </w:rPr>
              <w:t>Rapport final devant être soumis en février 2017</w:t>
            </w:r>
          </w:p>
          <w:p w14:paraId="1ACF190D" w14:textId="7E165151" w:rsidR="005E0D50" w:rsidRPr="008F403C" w:rsidRDefault="001F0617" w:rsidP="00DD4172">
            <w:pPr>
              <w:pStyle w:val="Marge"/>
              <w:spacing w:before="120" w:after="120"/>
              <w:jc w:val="left"/>
              <w:rPr>
                <w:sz w:val="18"/>
              </w:rPr>
            </w:pPr>
            <w:hyperlink r:id="rId32" w:history="1">
              <w:r w:rsidR="0038012B" w:rsidRPr="008F403C">
                <w:rPr>
                  <w:rStyle w:val="Hyperlink"/>
                  <w:rFonts w:cs="Arial"/>
                  <w:bCs/>
                  <w:sz w:val="18"/>
                  <w:szCs w:val="18"/>
                </w:rPr>
                <w:t>page web spécifique</w:t>
              </w:r>
            </w:hyperlink>
          </w:p>
        </w:tc>
      </w:tr>
      <w:tr w:rsidR="002701FC" w:rsidRPr="008F403C" w14:paraId="5AA98AD1"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1EBBB3AC" w14:textId="77777777" w:rsidR="002701FC" w:rsidRPr="008F403C" w:rsidRDefault="002701FC" w:rsidP="00E6127F">
            <w:pPr>
              <w:pStyle w:val="Marge"/>
              <w:spacing w:before="120" w:after="120"/>
              <w:jc w:val="left"/>
              <w:rPr>
                <w:sz w:val="18"/>
              </w:rPr>
            </w:pPr>
            <w:r w:rsidRPr="008F403C">
              <w:rPr>
                <w:sz w:val="18"/>
              </w:rPr>
              <w:t xml:space="preserve">Inventaire de la musique et de la danse des Lozi et des </w:t>
            </w:r>
            <w:proofErr w:type="spellStart"/>
            <w:r w:rsidRPr="008F403C">
              <w:rPr>
                <w:sz w:val="18"/>
              </w:rPr>
              <w:t>Nkoya</w:t>
            </w:r>
            <w:proofErr w:type="spellEnd"/>
            <w:r w:rsidRPr="008F403C">
              <w:rPr>
                <w:sz w:val="18"/>
              </w:rPr>
              <w:t xml:space="preserve"> du district de Kaoma (n° 01217)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E894BE" w14:textId="77777777" w:rsidR="002701FC" w:rsidRPr="008F403C" w:rsidRDefault="002701FC" w:rsidP="00E6127F">
            <w:pPr>
              <w:pStyle w:val="Marge"/>
              <w:spacing w:before="120" w:after="120"/>
              <w:jc w:val="left"/>
              <w:rPr>
                <w:sz w:val="18"/>
              </w:rPr>
            </w:pPr>
            <w:r w:rsidRPr="008F403C">
              <w:rPr>
                <w:sz w:val="18"/>
              </w:rPr>
              <w:t>Zambie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729F0CE5" w14:textId="77777777" w:rsidR="002701FC" w:rsidRPr="008F403C" w:rsidRDefault="002701FC" w:rsidP="00E6127F">
            <w:pPr>
              <w:pStyle w:val="Marge"/>
              <w:spacing w:before="120" w:after="120"/>
              <w:jc w:val="right"/>
              <w:rPr>
                <w:sz w:val="18"/>
              </w:rPr>
            </w:pPr>
            <w:r w:rsidRPr="008F403C">
              <w:rPr>
                <w:sz w:val="18"/>
              </w:rPr>
              <w:t>24 928,30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5ABE9F28" w14:textId="77777777" w:rsidR="002701FC" w:rsidRPr="008F403C" w:rsidRDefault="002701FC" w:rsidP="00E6127F">
            <w:pPr>
              <w:pStyle w:val="Marge"/>
              <w:spacing w:before="120" w:after="120"/>
              <w:jc w:val="center"/>
              <w:rPr>
                <w:rFonts w:cs="Arial"/>
                <w:bCs/>
                <w:sz w:val="18"/>
                <w:szCs w:val="18"/>
              </w:rPr>
            </w:pPr>
            <w:r w:rsidRPr="008F403C">
              <w:rPr>
                <w:rFonts w:cs="Arial"/>
                <w:bCs/>
                <w:sz w:val="18"/>
                <w:szCs w:val="18"/>
              </w:rPr>
              <w:t>04/08/2016-30/06/2017</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CBA5945" w14:textId="77777777" w:rsidR="002701FC" w:rsidRPr="008F403C" w:rsidRDefault="002701FC" w:rsidP="00E6127F">
            <w:pPr>
              <w:pStyle w:val="Marge"/>
              <w:spacing w:before="120" w:after="120"/>
              <w:jc w:val="left"/>
              <w:rPr>
                <w:sz w:val="18"/>
              </w:rPr>
            </w:pPr>
            <w:r w:rsidRPr="008F403C">
              <w:rPr>
                <w:sz w:val="18"/>
              </w:rPr>
              <w:t>Rapport d’avancement devant être soumis en octobre 2016</w:t>
            </w:r>
          </w:p>
          <w:p w14:paraId="5DECA602" w14:textId="050C871F" w:rsidR="0038012B" w:rsidRPr="008F403C" w:rsidRDefault="001F0617" w:rsidP="00DD4172">
            <w:pPr>
              <w:pStyle w:val="Marge"/>
              <w:spacing w:before="120" w:after="120"/>
              <w:jc w:val="left"/>
              <w:rPr>
                <w:sz w:val="18"/>
              </w:rPr>
            </w:pPr>
            <w:hyperlink r:id="rId33" w:history="1">
              <w:r w:rsidR="0038012B" w:rsidRPr="008F403C">
                <w:rPr>
                  <w:rStyle w:val="Hyperlink"/>
                  <w:rFonts w:cs="Arial"/>
                  <w:bCs/>
                  <w:sz w:val="18"/>
                  <w:szCs w:val="18"/>
                </w:rPr>
                <w:t>page web spécifique</w:t>
              </w:r>
            </w:hyperlink>
          </w:p>
        </w:tc>
      </w:tr>
      <w:tr w:rsidR="002701FC" w:rsidRPr="008F403C" w14:paraId="5D7DB991"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189AF436" w14:textId="77777777" w:rsidR="002701FC" w:rsidRPr="008F403C" w:rsidRDefault="002701FC" w:rsidP="00E6127F">
            <w:pPr>
              <w:pStyle w:val="Marge"/>
              <w:spacing w:before="120" w:after="120"/>
              <w:jc w:val="left"/>
              <w:rPr>
                <w:sz w:val="18"/>
              </w:rPr>
            </w:pPr>
            <w:r w:rsidRPr="008F403C">
              <w:rPr>
                <w:sz w:val="18"/>
              </w:rPr>
              <w:t>Sauvegarde des systèmes de connaissances associés aux méthodes de construction de la maison (bure) fidjienne (iTaukei) traditionnelle dans le village de Navala, Fidji (n° 01121)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976E1F" w14:textId="77777777" w:rsidR="002701FC" w:rsidRPr="008F403C" w:rsidRDefault="002701FC" w:rsidP="00E6127F">
            <w:pPr>
              <w:pStyle w:val="Marge"/>
              <w:spacing w:before="120" w:after="120"/>
              <w:jc w:val="left"/>
              <w:rPr>
                <w:sz w:val="18"/>
              </w:rPr>
            </w:pPr>
            <w:r w:rsidRPr="008F403C">
              <w:rPr>
                <w:sz w:val="18"/>
              </w:rPr>
              <w:t>Fidji</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B685F12" w14:textId="77777777" w:rsidR="002701FC" w:rsidRPr="008F403C" w:rsidRDefault="002701FC" w:rsidP="00E6127F">
            <w:pPr>
              <w:pStyle w:val="Marge"/>
              <w:spacing w:before="120" w:after="120"/>
              <w:jc w:val="right"/>
              <w:rPr>
                <w:sz w:val="18"/>
              </w:rPr>
            </w:pPr>
            <w:r w:rsidRPr="008F403C">
              <w:rPr>
                <w:sz w:val="18"/>
              </w:rPr>
              <w:t>25 000,00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7E141E23" w14:textId="77777777" w:rsidR="002701FC" w:rsidRPr="008F403C" w:rsidRDefault="002701FC" w:rsidP="00E6127F">
            <w:pPr>
              <w:pStyle w:val="Marge"/>
              <w:spacing w:before="120" w:after="120"/>
              <w:jc w:val="center"/>
              <w:rPr>
                <w:rFonts w:cs="Arial"/>
                <w:bCs/>
                <w:sz w:val="18"/>
                <w:szCs w:val="18"/>
              </w:rPr>
            </w:pPr>
            <w:r w:rsidRPr="008F403C">
              <w:rPr>
                <w:rFonts w:cs="Arial"/>
                <w:bCs/>
                <w:sz w:val="18"/>
                <w:szCs w:val="18"/>
              </w:rPr>
              <w:t>14/09/2016-19/09/2017</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5070B86" w14:textId="77777777" w:rsidR="002701FC" w:rsidRPr="008F403C" w:rsidRDefault="002701FC" w:rsidP="00E6127F">
            <w:pPr>
              <w:pStyle w:val="Marge"/>
              <w:spacing w:before="120" w:after="120"/>
              <w:jc w:val="left"/>
              <w:rPr>
                <w:sz w:val="18"/>
              </w:rPr>
            </w:pPr>
            <w:r w:rsidRPr="008F403C">
              <w:rPr>
                <w:sz w:val="18"/>
              </w:rPr>
              <w:t>Rapport final devant être soumis en septembre 2017</w:t>
            </w:r>
          </w:p>
          <w:p w14:paraId="64D5146E" w14:textId="6C729F87" w:rsidR="0038012B" w:rsidRPr="008F403C" w:rsidRDefault="001F0617" w:rsidP="00DD4172">
            <w:pPr>
              <w:pStyle w:val="Marge"/>
              <w:spacing w:before="120" w:after="120"/>
              <w:jc w:val="left"/>
              <w:rPr>
                <w:sz w:val="18"/>
              </w:rPr>
            </w:pPr>
            <w:hyperlink r:id="rId34" w:history="1">
              <w:r w:rsidR="0038012B" w:rsidRPr="008F403C">
                <w:rPr>
                  <w:rStyle w:val="Hyperlink"/>
                  <w:rFonts w:cs="Arial"/>
                  <w:bCs/>
                  <w:sz w:val="18"/>
                  <w:szCs w:val="18"/>
                </w:rPr>
                <w:t>page web spécifique</w:t>
              </w:r>
            </w:hyperlink>
          </w:p>
        </w:tc>
      </w:tr>
      <w:tr w:rsidR="00283389" w:rsidRPr="008F403C" w14:paraId="62469D2F" w14:textId="77777777" w:rsidTr="00F02F65">
        <w:trPr>
          <w:cantSplit/>
        </w:trPr>
        <w:tc>
          <w:tcPr>
            <w:tcW w:w="2810" w:type="dxa"/>
            <w:shd w:val="clear" w:color="auto" w:fill="auto"/>
          </w:tcPr>
          <w:p w14:paraId="2799A385" w14:textId="77777777" w:rsidR="00283389" w:rsidRPr="008F403C" w:rsidRDefault="00283389" w:rsidP="00F02F65">
            <w:pPr>
              <w:pStyle w:val="Marge"/>
              <w:spacing w:before="120" w:after="120"/>
              <w:jc w:val="left"/>
              <w:rPr>
                <w:rFonts w:cs="Arial"/>
                <w:bCs/>
                <w:sz w:val="18"/>
                <w:szCs w:val="18"/>
              </w:rPr>
            </w:pPr>
            <w:r w:rsidRPr="008F403C">
              <w:rPr>
                <w:sz w:val="18"/>
              </w:rPr>
              <w:t>La promotion des pratiques de poterie traditionnelle dans l</w:t>
            </w:r>
            <w:r w:rsidR="0054625B" w:rsidRPr="008F403C">
              <w:rPr>
                <w:sz w:val="18"/>
              </w:rPr>
              <w:t>’</w:t>
            </w:r>
            <w:r w:rsidRPr="008F403C">
              <w:rPr>
                <w:sz w:val="18"/>
              </w:rPr>
              <w:t>est du Kenya (n° 01021)</w:t>
            </w:r>
          </w:p>
        </w:tc>
        <w:tc>
          <w:tcPr>
            <w:tcW w:w="1418" w:type="dxa"/>
            <w:shd w:val="clear" w:color="auto" w:fill="auto"/>
          </w:tcPr>
          <w:p w14:paraId="4C22F018" w14:textId="77777777" w:rsidR="00283389" w:rsidRPr="008F403C" w:rsidRDefault="00283389" w:rsidP="00F02F65">
            <w:pPr>
              <w:pStyle w:val="Marge"/>
              <w:spacing w:before="120" w:after="120"/>
              <w:jc w:val="left"/>
              <w:rPr>
                <w:rFonts w:cs="Arial"/>
                <w:bCs/>
                <w:sz w:val="18"/>
                <w:szCs w:val="18"/>
              </w:rPr>
            </w:pPr>
            <w:r w:rsidRPr="008F403C">
              <w:rPr>
                <w:sz w:val="18"/>
              </w:rPr>
              <w:t>Kenya</w:t>
            </w:r>
          </w:p>
        </w:tc>
        <w:tc>
          <w:tcPr>
            <w:tcW w:w="1754" w:type="dxa"/>
            <w:shd w:val="clear" w:color="auto" w:fill="auto"/>
          </w:tcPr>
          <w:p w14:paraId="7361AD32" w14:textId="77777777" w:rsidR="00283389" w:rsidRPr="008F403C" w:rsidRDefault="00283389" w:rsidP="00F02F65">
            <w:pPr>
              <w:pStyle w:val="Marge"/>
              <w:spacing w:before="120" w:after="120"/>
              <w:jc w:val="right"/>
              <w:rPr>
                <w:rFonts w:cs="Arial"/>
                <w:bCs/>
                <w:sz w:val="18"/>
                <w:szCs w:val="18"/>
              </w:rPr>
            </w:pPr>
            <w:r w:rsidRPr="008F403C">
              <w:rPr>
                <w:sz w:val="18"/>
              </w:rPr>
              <w:t>23 388,00</w:t>
            </w:r>
          </w:p>
        </w:tc>
        <w:tc>
          <w:tcPr>
            <w:tcW w:w="1223" w:type="dxa"/>
            <w:shd w:val="clear" w:color="auto" w:fill="auto"/>
          </w:tcPr>
          <w:p w14:paraId="053E4743" w14:textId="77777777" w:rsidR="00283389" w:rsidRPr="008F403C" w:rsidRDefault="00283389" w:rsidP="00F02F65">
            <w:pPr>
              <w:pStyle w:val="Marge"/>
              <w:spacing w:before="120" w:after="120"/>
              <w:jc w:val="center"/>
              <w:rPr>
                <w:rFonts w:cs="Arial"/>
                <w:bCs/>
                <w:sz w:val="18"/>
                <w:szCs w:val="18"/>
              </w:rPr>
            </w:pPr>
          </w:p>
        </w:tc>
        <w:tc>
          <w:tcPr>
            <w:tcW w:w="1949" w:type="dxa"/>
            <w:shd w:val="clear" w:color="auto" w:fill="auto"/>
          </w:tcPr>
          <w:p w14:paraId="54B82266" w14:textId="77777777" w:rsidR="00283389" w:rsidRPr="008F403C" w:rsidRDefault="00D87F54" w:rsidP="00D87F54">
            <w:pPr>
              <w:pStyle w:val="Marge"/>
              <w:spacing w:before="120" w:after="120"/>
              <w:jc w:val="left"/>
              <w:rPr>
                <w:sz w:val="18"/>
              </w:rPr>
            </w:pPr>
            <w:r w:rsidRPr="008F403C">
              <w:rPr>
                <w:sz w:val="18"/>
              </w:rPr>
              <w:t>Rapport d’avancement devant être soumis en juillet 2017</w:t>
            </w:r>
          </w:p>
          <w:p w14:paraId="41407EA0" w14:textId="42CBBA4A" w:rsidR="0038012B" w:rsidRPr="008F403C" w:rsidRDefault="001F0617" w:rsidP="00DD4172">
            <w:pPr>
              <w:pStyle w:val="Marge"/>
              <w:spacing w:before="120" w:after="120"/>
              <w:jc w:val="left"/>
              <w:rPr>
                <w:rFonts w:cs="Arial"/>
                <w:bCs/>
                <w:sz w:val="18"/>
                <w:szCs w:val="18"/>
              </w:rPr>
            </w:pPr>
            <w:hyperlink r:id="rId35" w:history="1">
              <w:r w:rsidR="0038012B" w:rsidRPr="008F403C">
                <w:rPr>
                  <w:rStyle w:val="Hyperlink"/>
                  <w:rFonts w:cs="Arial"/>
                  <w:bCs/>
                  <w:sz w:val="18"/>
                  <w:szCs w:val="18"/>
                </w:rPr>
                <w:t>page web spécifique</w:t>
              </w:r>
            </w:hyperlink>
          </w:p>
        </w:tc>
      </w:tr>
      <w:tr w:rsidR="002701FC" w:rsidRPr="008F403C" w14:paraId="452C273C" w14:textId="77777777" w:rsidTr="002701FC">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2147D5BD" w14:textId="77777777" w:rsidR="002701FC" w:rsidRPr="008F403C" w:rsidRDefault="002701FC" w:rsidP="00E6127F">
            <w:pPr>
              <w:pStyle w:val="Marge"/>
              <w:spacing w:before="120" w:after="120"/>
              <w:jc w:val="left"/>
              <w:rPr>
                <w:sz w:val="18"/>
              </w:rPr>
            </w:pPr>
            <w:r w:rsidRPr="008F403C">
              <w:rPr>
                <w:sz w:val="18"/>
              </w:rPr>
              <w:t xml:space="preserve">L’inventaire des proverbes de la communauté Lala du district de </w:t>
            </w:r>
            <w:proofErr w:type="spellStart"/>
            <w:r w:rsidRPr="008F403C">
              <w:rPr>
                <w:sz w:val="18"/>
              </w:rPr>
              <w:t>Luano</w:t>
            </w:r>
            <w:proofErr w:type="spellEnd"/>
            <w:r w:rsidRPr="008F403C">
              <w:rPr>
                <w:sz w:val="18"/>
              </w:rPr>
              <w:t xml:space="preserve"> en Zambie (n° 01216)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DF858E" w14:textId="77777777" w:rsidR="002701FC" w:rsidRPr="008F403C" w:rsidRDefault="002701FC" w:rsidP="00E6127F">
            <w:pPr>
              <w:pStyle w:val="Marge"/>
              <w:spacing w:before="120" w:after="120"/>
              <w:jc w:val="left"/>
              <w:rPr>
                <w:sz w:val="18"/>
              </w:rPr>
            </w:pPr>
            <w:r w:rsidRPr="008F403C">
              <w:rPr>
                <w:sz w:val="18"/>
              </w:rPr>
              <w:t>Zambie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291386E2" w14:textId="77777777" w:rsidR="002701FC" w:rsidRPr="008F403C" w:rsidRDefault="002701FC" w:rsidP="00E6127F">
            <w:pPr>
              <w:pStyle w:val="Marge"/>
              <w:spacing w:before="120" w:after="120"/>
              <w:jc w:val="right"/>
              <w:rPr>
                <w:sz w:val="18"/>
              </w:rPr>
            </w:pPr>
            <w:r w:rsidRPr="008F403C">
              <w:rPr>
                <w:sz w:val="18"/>
              </w:rPr>
              <w:t>24 999,90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6D2A4DF6" w14:textId="77777777" w:rsidR="002701FC" w:rsidRPr="008F403C" w:rsidRDefault="002701FC" w:rsidP="00E6127F">
            <w:pPr>
              <w:pStyle w:val="Marge"/>
              <w:spacing w:before="120" w:after="120"/>
              <w:jc w:val="center"/>
              <w:rPr>
                <w:sz w:val="18"/>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C837E38" w14:textId="77777777" w:rsidR="002701FC" w:rsidRPr="008F403C" w:rsidRDefault="002701FC" w:rsidP="00E6127F">
            <w:pPr>
              <w:pStyle w:val="Marge"/>
              <w:spacing w:before="120" w:after="120"/>
              <w:jc w:val="left"/>
              <w:rPr>
                <w:sz w:val="18"/>
              </w:rPr>
            </w:pPr>
            <w:r w:rsidRPr="008F403C">
              <w:rPr>
                <w:sz w:val="18"/>
              </w:rPr>
              <w:t>Rapport d’avancement devant être soumis en février 2017</w:t>
            </w:r>
          </w:p>
          <w:p w14:paraId="0AFDC99C" w14:textId="6FA80AA1" w:rsidR="0038012B" w:rsidRPr="008F403C" w:rsidRDefault="001F0617" w:rsidP="00DD4172">
            <w:pPr>
              <w:pStyle w:val="Marge"/>
              <w:spacing w:before="120" w:after="120"/>
              <w:jc w:val="left"/>
              <w:rPr>
                <w:sz w:val="18"/>
              </w:rPr>
            </w:pPr>
            <w:hyperlink r:id="rId36" w:history="1">
              <w:r w:rsidR="0038012B" w:rsidRPr="008F403C">
                <w:rPr>
                  <w:rStyle w:val="Hyperlink"/>
                  <w:rFonts w:cs="Arial"/>
                  <w:bCs/>
                  <w:sz w:val="18"/>
                  <w:szCs w:val="18"/>
                </w:rPr>
                <w:t>page web spécifique</w:t>
              </w:r>
            </w:hyperlink>
          </w:p>
        </w:tc>
      </w:tr>
    </w:tbl>
    <w:p w14:paraId="059A8C95" w14:textId="599A18ED" w:rsidR="00BF56C8" w:rsidRPr="008F403C" w:rsidRDefault="006C6E6D" w:rsidP="00BF56C8">
      <w:pPr>
        <w:pStyle w:val="COMPara"/>
        <w:spacing w:before="120"/>
        <w:ind w:left="567" w:hanging="567"/>
        <w:jc w:val="both"/>
      </w:pPr>
      <w:r w:rsidRPr="008F403C">
        <w:t>Il convient de noter que quatre des projets précédemment mentionnés ont reçu une assistance technique</w:t>
      </w:r>
      <w:r w:rsidRPr="008F403C">
        <w:rPr>
          <w:rStyle w:val="FootnoteReference"/>
        </w:rPr>
        <w:footnoteReference w:id="4"/>
      </w:r>
      <w:r w:rsidR="00113048" w:rsidRPr="008F403C">
        <w:t>,</w:t>
      </w:r>
      <w:r w:rsidRPr="008F403C">
        <w:t xml:space="preserve"> à travers la mise à disposition d</w:t>
      </w:r>
      <w:r w:rsidR="0054625B" w:rsidRPr="008F403C">
        <w:t>’</w:t>
      </w:r>
      <w:r w:rsidRPr="008F403C">
        <w:t>experts</w:t>
      </w:r>
      <w:r w:rsidR="00113048" w:rsidRPr="008F403C">
        <w:t>,</w:t>
      </w:r>
      <w:r w:rsidRPr="008F403C">
        <w:t xml:space="preserve"> suggérée par le Secrétariat et acceptée par les États </w:t>
      </w:r>
      <w:r w:rsidR="000024DA" w:rsidRPr="008F403C">
        <w:t>présentant</w:t>
      </w:r>
      <w:r w:rsidRPr="008F403C">
        <w:t xml:space="preserve"> la demande</w:t>
      </w:r>
      <w:r w:rsidR="000024DA" w:rsidRPr="008F403C">
        <w:t xml:space="preserve"> d’assistance internationale</w:t>
      </w:r>
      <w:r w:rsidRPr="008F403C">
        <w:t xml:space="preserve">. </w:t>
      </w:r>
      <w:r w:rsidR="000024DA" w:rsidRPr="008F403C">
        <w:t xml:space="preserve">Il s’agit des </w:t>
      </w:r>
      <w:r w:rsidRPr="008F403C">
        <w:t xml:space="preserve">demandes accordées </w:t>
      </w:r>
      <w:r w:rsidR="000024DA" w:rsidRPr="008F403C">
        <w:t xml:space="preserve">à </w:t>
      </w:r>
      <w:r w:rsidRPr="008F403C">
        <w:t>la Côte d</w:t>
      </w:r>
      <w:r w:rsidR="0054625B" w:rsidRPr="008F403C">
        <w:t>’</w:t>
      </w:r>
      <w:r w:rsidRPr="008F403C">
        <w:t>Ivoire, le Lesotho, l</w:t>
      </w:r>
      <w:r w:rsidR="0054625B" w:rsidRPr="008F403C">
        <w:t>’</w:t>
      </w:r>
      <w:r w:rsidRPr="008F403C">
        <w:t>Ouganda et le Togo. L</w:t>
      </w:r>
      <w:r w:rsidR="0054625B" w:rsidRPr="008F403C">
        <w:t>’</w:t>
      </w:r>
      <w:r w:rsidRPr="008F403C">
        <w:t>Albanie a également bénéficié d</w:t>
      </w:r>
      <w:r w:rsidR="0054625B" w:rsidRPr="008F403C">
        <w:t>’</w:t>
      </w:r>
      <w:r w:rsidRPr="008F403C">
        <w:t xml:space="preserve">une assistance technique au cours de la période considérée, mais la demande </w:t>
      </w:r>
      <w:r w:rsidR="000024DA" w:rsidRPr="008F403C">
        <w:t xml:space="preserve">qui en a résulté </w:t>
      </w:r>
      <w:r w:rsidRPr="008F403C">
        <w:t>n</w:t>
      </w:r>
      <w:r w:rsidR="0054625B" w:rsidRPr="008F403C">
        <w:t>’</w:t>
      </w:r>
      <w:r w:rsidRPr="008F403C">
        <w:t>avait pas encore été soumise à l</w:t>
      </w:r>
      <w:r w:rsidR="0054625B" w:rsidRPr="008F403C">
        <w:t>’</w:t>
      </w:r>
      <w:r w:rsidRPr="008F403C">
        <w:t>organe directeur compétent en vue de son examen au moment de la rédaction du présent document.</w:t>
      </w:r>
    </w:p>
    <w:p w14:paraId="6DCF7D21" w14:textId="60C43BF1" w:rsidR="00A61101" w:rsidRPr="008F403C" w:rsidRDefault="00A61101" w:rsidP="00BC383F">
      <w:pPr>
        <w:pStyle w:val="COMPara"/>
        <w:spacing w:before="120"/>
        <w:ind w:left="567" w:hanging="567"/>
        <w:jc w:val="both"/>
      </w:pPr>
      <w:r w:rsidRPr="008F403C">
        <w:t>Un autre projet a été retiré par l’État dema</w:t>
      </w:r>
      <w:r w:rsidR="001F0617">
        <w:t>n</w:t>
      </w:r>
      <w:bookmarkStart w:id="0" w:name="_GoBack"/>
      <w:bookmarkEnd w:id="0"/>
      <w:r w:rsidRPr="008F403C">
        <w:t xml:space="preserve">deur après l’approbation du Bureau. Il s’agit de l’assistance préparatoire pour élaborer une </w:t>
      </w:r>
      <w:r w:rsidR="008F403C">
        <w:t>candidature</w:t>
      </w:r>
      <w:r w:rsidR="000556B7">
        <w:t xml:space="preserve"> à la Liste de sauve</w:t>
      </w:r>
      <w:r w:rsidRPr="008F403C">
        <w:t xml:space="preserve">garde urgente pour « Les traditions de construction de bateaux traditionnels des </w:t>
      </w:r>
      <w:proofErr w:type="spellStart"/>
      <w:r w:rsidRPr="008F403C">
        <w:t>Ivantans</w:t>
      </w:r>
      <w:proofErr w:type="spellEnd"/>
      <w:r w:rsidRPr="008F403C">
        <w:t xml:space="preserve"> de </w:t>
      </w:r>
      <w:proofErr w:type="spellStart"/>
      <w:r w:rsidRPr="008F403C">
        <w:t>Batan</w:t>
      </w:r>
      <w:proofErr w:type="spellEnd"/>
      <w:r w:rsidRPr="008F403C">
        <w:t xml:space="preserve"> et de </w:t>
      </w:r>
      <w:r w:rsidRPr="008F403C">
        <w:lastRenderedPageBreak/>
        <w:t xml:space="preserve">Santa Catalina, province du Negros Oriental, des </w:t>
      </w:r>
      <w:proofErr w:type="spellStart"/>
      <w:r w:rsidRPr="008F403C">
        <w:t>Manobos</w:t>
      </w:r>
      <w:proofErr w:type="spellEnd"/>
      <w:r w:rsidRPr="008F403C">
        <w:t xml:space="preserve"> d’</w:t>
      </w:r>
      <w:proofErr w:type="spellStart"/>
      <w:r w:rsidRPr="008F403C">
        <w:t>Augusan</w:t>
      </w:r>
      <w:proofErr w:type="spellEnd"/>
      <w:r w:rsidRPr="008F403C">
        <w:t xml:space="preserve"> et des </w:t>
      </w:r>
      <w:proofErr w:type="spellStart"/>
      <w:r w:rsidRPr="008F403C">
        <w:t>Sama</w:t>
      </w:r>
      <w:proofErr w:type="spellEnd"/>
      <w:r w:rsidRPr="008F403C">
        <w:t xml:space="preserve">-Bajau de </w:t>
      </w:r>
      <w:proofErr w:type="spellStart"/>
      <w:r w:rsidRPr="008F403C">
        <w:t>Tawi-tawi</w:t>
      </w:r>
      <w:proofErr w:type="spellEnd"/>
      <w:r w:rsidRPr="008F403C">
        <w:t>, dans l’archipel des Philippines » soumise par les Philippines pour un montant d</w:t>
      </w:r>
      <w:r w:rsidR="008F403C">
        <w:t>e 7 393 dollars des États-Unis.</w:t>
      </w:r>
    </w:p>
    <w:p w14:paraId="150FE661" w14:textId="4733369D" w:rsidR="00FD20CD" w:rsidRPr="008F403C" w:rsidRDefault="00FD20CD" w:rsidP="00BC383F">
      <w:pPr>
        <w:pStyle w:val="COMTitleDecision"/>
        <w:numPr>
          <w:ilvl w:val="4"/>
          <w:numId w:val="25"/>
        </w:numPr>
        <w:ind w:left="567" w:hanging="567"/>
      </w:pPr>
      <w:r w:rsidRPr="008F403C">
        <w:t>Présentation générale du mécanisme d</w:t>
      </w:r>
      <w:r w:rsidR="0054625B" w:rsidRPr="008F403C">
        <w:t>’</w:t>
      </w:r>
      <w:r w:rsidRPr="008F403C">
        <w:t>assistance internationale</w:t>
      </w:r>
    </w:p>
    <w:p w14:paraId="6229FE87" w14:textId="12C3076B" w:rsidR="003F400A" w:rsidRPr="008F403C" w:rsidRDefault="00E40F50" w:rsidP="00E40F50">
      <w:pPr>
        <w:pStyle w:val="COMPara"/>
        <w:spacing w:before="120"/>
        <w:ind w:left="567" w:hanging="567"/>
        <w:jc w:val="both"/>
      </w:pPr>
      <w:r w:rsidRPr="008F403C">
        <w:rPr>
          <w:noProof/>
          <w:lang w:eastAsia="ja-JP" w:bidi="ar-SA"/>
        </w:rPr>
        <w:drawing>
          <wp:anchor distT="0" distB="0" distL="114300" distR="114300" simplePos="0" relativeHeight="251660288" behindDoc="0" locked="0" layoutInCell="1" allowOverlap="1" wp14:anchorId="52EEC549" wp14:editId="33FCE443">
            <wp:simplePos x="0" y="0"/>
            <wp:positionH relativeFrom="margin">
              <wp:posOffset>2093211</wp:posOffset>
            </wp:positionH>
            <wp:positionV relativeFrom="margin">
              <wp:posOffset>1349611</wp:posOffset>
            </wp:positionV>
            <wp:extent cx="4229735" cy="3052445"/>
            <wp:effectExtent l="0" t="0" r="0" b="0"/>
            <wp:wrapSquare wrapText="bothSides"/>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V relativeFrom="margin">
              <wp14:pctHeight>0</wp14:pctHeight>
            </wp14:sizeRelV>
          </wp:anchor>
        </w:drawing>
      </w:r>
      <w:r w:rsidR="00FD20CD" w:rsidRPr="008F403C">
        <w:t>Depuis la mise en place de la procédure relative à l</w:t>
      </w:r>
      <w:r w:rsidR="0054625B" w:rsidRPr="008F403C">
        <w:t>’</w:t>
      </w:r>
      <w:r w:rsidR="00FD20CD" w:rsidRPr="008F403C">
        <w:t>examen des demandes d</w:t>
      </w:r>
      <w:r w:rsidR="0054625B" w:rsidRPr="008F403C">
        <w:t>’</w:t>
      </w:r>
      <w:r w:rsidR="00FD20CD" w:rsidRPr="008F403C">
        <w:t>assistance internationale jusqu</w:t>
      </w:r>
      <w:r w:rsidR="0054625B" w:rsidRPr="008F403C">
        <w:t>’</w:t>
      </w:r>
      <w:r w:rsidR="00FD20CD" w:rsidRPr="008F403C">
        <w:t>au 30 juin 2016, 32 États parties ont bénéficié d</w:t>
      </w:r>
      <w:r w:rsidR="0054625B" w:rsidRPr="008F403C">
        <w:t>’</w:t>
      </w:r>
      <w:r w:rsidR="00FD20CD" w:rsidRPr="008F403C">
        <w:t>une assistance financière du Fonds du patrimoine culturel immatériel pour un montant total de 2,75 millions de dollars des États-Unis en faveur de 54 projets. Si ce montant n</w:t>
      </w:r>
      <w:r w:rsidR="0054625B" w:rsidRPr="008F403C">
        <w:t>’</w:t>
      </w:r>
      <w:r w:rsidR="00FD20CD" w:rsidRPr="008F403C">
        <w:t>est pas insignifiant, il ne représente que 13 % du fonds que l</w:t>
      </w:r>
      <w:r w:rsidR="0054625B" w:rsidRPr="008F403C">
        <w:t>’</w:t>
      </w:r>
      <w:r w:rsidR="00FD20CD" w:rsidRPr="008F403C">
        <w:t>Assemblée générale des États parties a alloué à l</w:t>
      </w:r>
      <w:r w:rsidR="0054625B" w:rsidRPr="008F403C">
        <w:t>’</w:t>
      </w:r>
      <w:r w:rsidR="00FD20CD" w:rsidRPr="008F403C">
        <w:t>assistance internationale depuis la création du Fonds du patrimoine mondial immatériel.</w:t>
      </w:r>
      <w:r w:rsidR="000024DA" w:rsidRPr="008F403C">
        <w:t xml:space="preserve"> B</w:t>
      </w:r>
      <w:r w:rsidR="00FD20CD" w:rsidRPr="008F403C">
        <w:t>ien que tous les groupes électoraux soient représentés à l</w:t>
      </w:r>
      <w:r w:rsidR="0054625B" w:rsidRPr="008F403C">
        <w:t>’</w:t>
      </w:r>
      <w:r w:rsidR="00FD20CD" w:rsidRPr="008F403C">
        <w:t>exception du groupe I, plus de la moitié des demandes approuvées ont été soumises par des États parties du groupe électoral V(a) (Afrique), ce qui représente 1,84 million de dollars des États-Unis ou 66 % du montant de l</w:t>
      </w:r>
      <w:r w:rsidR="0054625B" w:rsidRPr="008F403C">
        <w:t>’</w:t>
      </w:r>
      <w:r w:rsidR="00FD20CD" w:rsidRPr="008F403C">
        <w:t>assistance accordée, conformément à la Priorité globale Afrique de l</w:t>
      </w:r>
      <w:r w:rsidR="0054625B" w:rsidRPr="008F403C">
        <w:t>’</w:t>
      </w:r>
      <w:proofErr w:type="spellStart"/>
      <w:r w:rsidR="00FD20CD" w:rsidRPr="008F403C">
        <w:t>UNESCO.Il</w:t>
      </w:r>
      <w:proofErr w:type="spellEnd"/>
      <w:r w:rsidR="00FD20CD" w:rsidRPr="008F403C">
        <w:t xml:space="preserve"> convient également de noter que certains États africains ont reçu une assistance internati</w:t>
      </w:r>
      <w:r w:rsidR="003F400A" w:rsidRPr="008F403C">
        <w:t xml:space="preserve">onale à plusieurs reprises pour </w:t>
      </w:r>
      <w:r w:rsidR="00FD20CD" w:rsidRPr="008F403C">
        <w:t>financer différents projets.</w:t>
      </w:r>
    </w:p>
    <w:p w14:paraId="00165D22" w14:textId="77777777" w:rsidR="00C340A7" w:rsidRPr="008F403C" w:rsidRDefault="00657370" w:rsidP="00E40F50">
      <w:pPr>
        <w:pStyle w:val="COMPara"/>
        <w:spacing w:before="240" w:after="0"/>
        <w:ind w:left="567" w:hanging="567"/>
        <w:jc w:val="both"/>
      </w:pPr>
      <w:r w:rsidRPr="008F403C">
        <w:t>L</w:t>
      </w:r>
      <w:r w:rsidR="0054625B" w:rsidRPr="008F403C">
        <w:t>’</w:t>
      </w:r>
      <w:r w:rsidRPr="008F403C">
        <w:t>objectif le plus fréquent de l</w:t>
      </w:r>
      <w:r w:rsidR="0054625B" w:rsidRPr="008F403C">
        <w:t>’</w:t>
      </w:r>
      <w:r w:rsidRPr="008F403C">
        <w:t>assistance internationale, aussi bien au regard de l</w:t>
      </w:r>
      <w:r w:rsidR="0054625B" w:rsidRPr="008F403C">
        <w:t>’</w:t>
      </w:r>
      <w:r w:rsidRPr="008F403C">
        <w:t xml:space="preserve">assistance approuvée que des sommes accordées, est de </w:t>
      </w:r>
      <w:r w:rsidRPr="008F403C">
        <w:rPr>
          <w:rStyle w:val="hps"/>
        </w:rPr>
        <w:t>soutenir la préparation d</w:t>
      </w:r>
      <w:r w:rsidR="0054625B" w:rsidRPr="008F403C">
        <w:rPr>
          <w:rStyle w:val="hps"/>
        </w:rPr>
        <w:t>’</w:t>
      </w:r>
      <w:r w:rsidRPr="008F403C">
        <w:rPr>
          <w:rStyle w:val="hps"/>
        </w:rPr>
        <w:t>inventaires</w:t>
      </w:r>
      <w:r w:rsidR="008215F8" w:rsidRPr="008F403C">
        <w:rPr>
          <w:rStyle w:val="hps"/>
        </w:rPr>
        <w:t xml:space="preserve"> </w:t>
      </w:r>
      <w:r w:rsidRPr="008F403C">
        <w:t>du patrimoine culturel immatériel présent sur le territoire des États parties bénéficiaires, conformément à l</w:t>
      </w:r>
      <w:r w:rsidR="0054625B" w:rsidRPr="008F403C">
        <w:t>’</w:t>
      </w:r>
      <w:r w:rsidRPr="008F403C">
        <w:t>article 20 (b). À l</w:t>
      </w:r>
      <w:r w:rsidR="0054625B" w:rsidRPr="008F403C">
        <w:t>’</w:t>
      </w:r>
      <w:r w:rsidRPr="008F403C">
        <w:t>exception d</w:t>
      </w:r>
      <w:r w:rsidR="0054625B" w:rsidRPr="008F403C">
        <w:t>’</w:t>
      </w:r>
      <w:r w:rsidRPr="008F403C">
        <w:t>une brève interruption en 2014, cette tendance a été constante.</w:t>
      </w:r>
    </w:p>
    <w:p w14:paraId="74FF9DE4" w14:textId="77777777" w:rsidR="00775B1C" w:rsidRPr="008F403C" w:rsidRDefault="00775B1C" w:rsidP="00C25D77">
      <w:pPr>
        <w:pStyle w:val="Marge"/>
        <w:spacing w:before="120" w:after="120"/>
        <w:ind w:left="567"/>
        <w:rPr>
          <w:rFonts w:cs="Arial"/>
          <w:szCs w:val="22"/>
        </w:rPr>
      </w:pPr>
      <w:r w:rsidRPr="008F403C">
        <w:rPr>
          <w:noProof/>
          <w:lang w:eastAsia="ja-JP" w:bidi="ar-SA"/>
        </w:rPr>
        <w:lastRenderedPageBreak/>
        <w:drawing>
          <wp:inline distT="0" distB="0" distL="0" distR="0" wp14:anchorId="1F10C322" wp14:editId="34867D0B">
            <wp:extent cx="5954400" cy="3135600"/>
            <wp:effectExtent l="0" t="0" r="8255" b="825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D592B0B" w14:textId="635CD0E6" w:rsidR="006E5B41" w:rsidRPr="008F403C" w:rsidRDefault="006E5B41" w:rsidP="00E40F50">
      <w:pPr>
        <w:pStyle w:val="Marge"/>
        <w:keepNext/>
        <w:keepLines/>
        <w:numPr>
          <w:ilvl w:val="0"/>
          <w:numId w:val="9"/>
        </w:numPr>
        <w:spacing w:before="120" w:after="120"/>
        <w:ind w:left="567" w:hanging="567"/>
        <w:rPr>
          <w:rFonts w:cs="Arial"/>
          <w:szCs w:val="22"/>
        </w:rPr>
      </w:pPr>
      <w:r w:rsidRPr="008F403C">
        <w:t>Les demandes d</w:t>
      </w:r>
      <w:r w:rsidR="0054625B" w:rsidRPr="008F403C">
        <w:t>’</w:t>
      </w:r>
      <w:r w:rsidRPr="008F403C">
        <w:t>assistance préparatoire ont diminué au fil des années et aucune demande de ce type n</w:t>
      </w:r>
      <w:r w:rsidR="0054625B" w:rsidRPr="008F403C">
        <w:t>’</w:t>
      </w:r>
      <w:r w:rsidRPr="008F403C">
        <w:t>a été reçue au cours des deux derniers cycles. Par ailleurs, l</w:t>
      </w:r>
      <w:r w:rsidR="0054625B" w:rsidRPr="008F403C">
        <w:t>’</w:t>
      </w:r>
      <w:r w:rsidRPr="008F403C">
        <w:t>assistance préparatoire a généralement été accordée pour l</w:t>
      </w:r>
      <w:r w:rsidR="0054625B" w:rsidRPr="008F403C">
        <w:t>’</w:t>
      </w:r>
      <w:r w:rsidRPr="008F403C">
        <w:t>élaboration de candidatures à la Liste de sauvegarde urgente ; aucune assistance préparatoire n</w:t>
      </w:r>
      <w:r w:rsidR="0054625B" w:rsidRPr="008F403C">
        <w:t>’</w:t>
      </w:r>
      <w:r w:rsidRPr="008F403C">
        <w:t>a été accordée pour l</w:t>
      </w:r>
      <w:r w:rsidR="0054625B" w:rsidRPr="008F403C">
        <w:t>’</w:t>
      </w:r>
      <w:r w:rsidRPr="008F403C">
        <w:t>élaboration de propositions au Registre des meilleures prati</w:t>
      </w:r>
      <w:r w:rsidR="00CA68F7" w:rsidRPr="008F403C">
        <w:t>ques de sauvegarde depuis 2009.</w:t>
      </w:r>
    </w:p>
    <w:p w14:paraId="774CB49B" w14:textId="77777777" w:rsidR="00306FC3" w:rsidRPr="008F403C" w:rsidRDefault="00306FC3" w:rsidP="007B6B70">
      <w:pPr>
        <w:pStyle w:val="Marge"/>
        <w:spacing w:before="120" w:after="120"/>
        <w:ind w:left="567"/>
        <w:jc w:val="center"/>
        <w:rPr>
          <w:rFonts w:cs="Arial"/>
          <w:szCs w:val="22"/>
        </w:rPr>
      </w:pPr>
      <w:r w:rsidRPr="008F403C">
        <w:rPr>
          <w:noProof/>
          <w:lang w:eastAsia="ja-JP" w:bidi="ar-SA"/>
        </w:rPr>
        <w:drawing>
          <wp:inline distT="0" distB="0" distL="0" distR="0" wp14:anchorId="5710633D" wp14:editId="1399AB6C">
            <wp:extent cx="5097600" cy="3448800"/>
            <wp:effectExtent l="0" t="0" r="8255"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A0E7A81" w14:textId="77777777" w:rsidR="00730184" w:rsidRPr="008F403C" w:rsidRDefault="00620D76" w:rsidP="00E6127F">
      <w:pPr>
        <w:pStyle w:val="Marge"/>
        <w:keepLines/>
        <w:numPr>
          <w:ilvl w:val="0"/>
          <w:numId w:val="9"/>
        </w:numPr>
        <w:spacing w:before="120" w:after="120"/>
        <w:ind w:left="567" w:hanging="567"/>
        <w:rPr>
          <w:rFonts w:cs="Arial"/>
          <w:szCs w:val="22"/>
        </w:rPr>
      </w:pPr>
      <w:r w:rsidRPr="008F403C">
        <w:t>La plupart des projets approuvés (74 %) disposaient d</w:t>
      </w:r>
      <w:r w:rsidR="0054625B" w:rsidRPr="008F403C">
        <w:t>’</w:t>
      </w:r>
      <w:r w:rsidRPr="008F403C">
        <w:t>un budget ne dépassant pas 25 000 dollars des États-Unis (40 au total, dont 19 pour l</w:t>
      </w:r>
      <w:r w:rsidR="0054625B" w:rsidRPr="008F403C">
        <w:t>’</w:t>
      </w:r>
      <w:r w:rsidRPr="008F403C">
        <w:t>assistance préparatoire) et représentaient 24 % de l</w:t>
      </w:r>
      <w:r w:rsidR="0054625B" w:rsidRPr="008F403C">
        <w:t>’</w:t>
      </w:r>
      <w:r w:rsidRPr="008F403C">
        <w:t>assistance accordée. Bien que ne représentant que 19 % des projets bénéficiant d</w:t>
      </w:r>
      <w:r w:rsidR="0054625B" w:rsidRPr="008F403C">
        <w:t>’</w:t>
      </w:r>
      <w:r w:rsidRPr="008F403C">
        <w:t xml:space="preserve">une assistance internationale, </w:t>
      </w:r>
      <w:r w:rsidR="00573227" w:rsidRPr="008F403C">
        <w:t xml:space="preserve">la plus grande partie de </w:t>
      </w:r>
      <w:r w:rsidRPr="008F403C">
        <w:t>l</w:t>
      </w:r>
      <w:r w:rsidR="0054625B" w:rsidRPr="008F403C">
        <w:t>’</w:t>
      </w:r>
      <w:r w:rsidRPr="008F403C">
        <w:t xml:space="preserve">assistance accordée visait à soutenir des projets dont le budget dépassait 100 000 dollars des États-Unis, suivis par des projets </w:t>
      </w:r>
      <w:r w:rsidR="00573227" w:rsidRPr="008F403C">
        <w:t>éligibles  pour</w:t>
      </w:r>
      <w:r w:rsidRPr="008F403C">
        <w:t xml:space="preserve"> une assistance d</w:t>
      </w:r>
      <w:r w:rsidR="0054625B" w:rsidRPr="008F403C">
        <w:t>’</w:t>
      </w:r>
      <w:r w:rsidRPr="008F403C">
        <w:t>urgence, indépendamment de la somme demandée.</w:t>
      </w:r>
    </w:p>
    <w:p w14:paraId="6DA47808" w14:textId="3613DAD8" w:rsidR="00C25D77" w:rsidRPr="008F403C" w:rsidRDefault="00470863" w:rsidP="00BD41E9">
      <w:pPr>
        <w:pStyle w:val="Marge"/>
        <w:keepLines/>
        <w:spacing w:before="120" w:after="120"/>
        <w:jc w:val="center"/>
        <w:rPr>
          <w:rFonts w:cs="Arial"/>
          <w:szCs w:val="22"/>
        </w:rPr>
      </w:pPr>
      <w:r w:rsidRPr="008F403C">
        <w:rPr>
          <w:noProof/>
          <w:lang w:eastAsia="ja-JP" w:bidi="ar-SA"/>
        </w:rPr>
        <w:drawing>
          <wp:inline distT="0" distB="0" distL="0" distR="0" wp14:anchorId="06A49ED5" wp14:editId="3201124D">
            <wp:extent cx="4986000" cy="3009600"/>
            <wp:effectExtent l="0" t="0" r="5715" b="635"/>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99DC869" w14:textId="1279ED1E" w:rsidR="00101275" w:rsidRPr="008F403C" w:rsidRDefault="00DB58D6" w:rsidP="00B73499">
      <w:pPr>
        <w:pStyle w:val="Marge"/>
        <w:numPr>
          <w:ilvl w:val="0"/>
          <w:numId w:val="9"/>
        </w:numPr>
        <w:spacing w:before="240"/>
        <w:ind w:left="567" w:hanging="567"/>
        <w:rPr>
          <w:rFonts w:cs="Arial"/>
          <w:szCs w:val="22"/>
        </w:rPr>
      </w:pPr>
      <w:r w:rsidRPr="008F403C">
        <w:t>Avant même l</w:t>
      </w:r>
      <w:r w:rsidR="0054625B" w:rsidRPr="008F403C">
        <w:t>’</w:t>
      </w:r>
      <w:r w:rsidRPr="008F403C">
        <w:t>adoption par la sixième Assemblée générale des amendements aux Directives opérationnelles qui ont entraîné l</w:t>
      </w:r>
      <w:r w:rsidR="0054625B" w:rsidRPr="008F403C">
        <w:t>’</w:t>
      </w:r>
      <w:r w:rsidRPr="008F403C">
        <w:t>augmentation du plafond de l</w:t>
      </w:r>
      <w:r w:rsidR="0054625B" w:rsidRPr="008F403C">
        <w:t>’</w:t>
      </w:r>
      <w:r w:rsidRPr="008F403C">
        <w:t>assistance examinée par le Bureau de 25 000 dollars des États-Unis à 100 000 dollars des États-Unis, 80 % des projets approuvés (c</w:t>
      </w:r>
      <w:r w:rsidR="0054625B" w:rsidRPr="008F403C">
        <w:t>’</w:t>
      </w:r>
      <w:r w:rsidRPr="008F403C">
        <w:t>est-à-dire 43 projets correspondant à 47 % de l</w:t>
      </w:r>
      <w:r w:rsidR="0054625B" w:rsidRPr="008F403C">
        <w:t>’</w:t>
      </w:r>
      <w:r w:rsidRPr="008F403C">
        <w:t xml:space="preserve">assistance accordée) ont été examinés par le Bureau </w:t>
      </w:r>
      <w:r w:rsidR="00471CCA" w:rsidRPr="008F403C">
        <w:t>sur la base</w:t>
      </w:r>
      <w:r w:rsidRPr="008F403C">
        <w:t xml:space="preserve"> des recommandations émises par le Secrétariat, et non par l</w:t>
      </w:r>
      <w:r w:rsidR="0054625B" w:rsidRPr="008F403C">
        <w:t>’</w:t>
      </w:r>
      <w:r w:rsidRPr="008F403C">
        <w:t>Organe d</w:t>
      </w:r>
      <w:r w:rsidR="0054625B" w:rsidRPr="008F403C">
        <w:t>’</w:t>
      </w:r>
      <w:r w:rsidRPr="008F403C">
        <w:t>évaluation. Abstraction faite des demandes d</w:t>
      </w:r>
      <w:r w:rsidR="0054625B" w:rsidRPr="008F403C">
        <w:t>’</w:t>
      </w:r>
      <w:r w:rsidRPr="008F403C">
        <w:t>assistance internationale qui ont été traitées, mais non approuvées, la charge de travail du Bureau et du Secrétariat semble par conséquent considérablement plus importante que celle du Comité (qui a approuvé 11 projets à ce jour) et de ses organes d</w:t>
      </w:r>
      <w:r w:rsidR="0054625B" w:rsidRPr="008F403C">
        <w:t>’</w:t>
      </w:r>
      <w:r w:rsidRPr="008F403C">
        <w:t>évaluation. Ce déséquilibre entre la charge de travail des organes directeurs de la Convention devrait s</w:t>
      </w:r>
      <w:r w:rsidR="0054625B" w:rsidRPr="008F403C">
        <w:t>’</w:t>
      </w:r>
      <w:r w:rsidRPr="008F403C">
        <w:t>accroître suite à la révision des Directives opérationnelles. Comme le montre le graphique ci-dessus, 7 % seulement des projets approuvés disposaient d</w:t>
      </w:r>
      <w:r w:rsidR="0054625B" w:rsidRPr="008F403C">
        <w:t>’</w:t>
      </w:r>
      <w:r w:rsidRPr="008F403C">
        <w:t>un budget compris entre 25 000 dollars des États-Unis et 100 000 dollars des États-Unis. Dans l</w:t>
      </w:r>
      <w:r w:rsidR="0054625B" w:rsidRPr="008F403C">
        <w:t>’</w:t>
      </w:r>
      <w:r w:rsidRPr="008F403C">
        <w:t>hypothèse prudente que cette situation perdure, le Bureau serait alors responsable d</w:t>
      </w:r>
      <w:r w:rsidR="0054625B" w:rsidRPr="008F403C">
        <w:t>’</w:t>
      </w:r>
      <w:r w:rsidRPr="008F403C">
        <w:t xml:space="preserve">au moins 87 % (100 % </w:t>
      </w:r>
      <w:r w:rsidR="00471CCA" w:rsidRPr="008F403C">
        <w:t xml:space="preserve">moins </w:t>
      </w:r>
      <w:r w:rsidRPr="008F403C">
        <w:t>13 % représentant les projets disposant d</w:t>
      </w:r>
      <w:r w:rsidR="0054625B" w:rsidRPr="008F403C">
        <w:t>’</w:t>
      </w:r>
      <w:r w:rsidRPr="008F403C">
        <w:t xml:space="preserve">un budget supérieur à 100 000 dollars des États-Unis) des projets approuvés, soit 56 % (100 % </w:t>
      </w:r>
      <w:r w:rsidR="00471CCA" w:rsidRPr="008F403C">
        <w:t xml:space="preserve">moins </w:t>
      </w:r>
      <w:r w:rsidRPr="008F403C">
        <w:t>44 % correspondant à l</w:t>
      </w:r>
      <w:r w:rsidR="0054625B" w:rsidRPr="008F403C">
        <w:t>’</w:t>
      </w:r>
      <w:r w:rsidRPr="008F403C">
        <w:t>assistance accordée pour les projets disposant d</w:t>
      </w:r>
      <w:r w:rsidR="0054625B" w:rsidRPr="008F403C">
        <w:t>’</w:t>
      </w:r>
      <w:r w:rsidRPr="008F403C">
        <w:t>un budget supérieur à 100 000 dollars des États-Unis) de l</w:t>
      </w:r>
      <w:r w:rsidR="0054625B" w:rsidRPr="008F403C">
        <w:t>’</w:t>
      </w:r>
      <w:r w:rsidRPr="008F403C">
        <w:t>assistance accordée. Par conséquent, on peut également s</w:t>
      </w:r>
      <w:r w:rsidR="0054625B" w:rsidRPr="008F403C">
        <w:t>’</w:t>
      </w:r>
      <w:r w:rsidRPr="008F403C">
        <w:t>attendre à une augmentation non négligeable de la charge de travail du Secrétariat.</w:t>
      </w:r>
    </w:p>
    <w:p w14:paraId="151E4794" w14:textId="77777777" w:rsidR="00D95C4C" w:rsidRPr="008F403C" w:rsidRDefault="000B1C8F" w:rsidP="007B6B70">
      <w:pPr>
        <w:pStyle w:val="Marge"/>
        <w:keepNext/>
        <w:numPr>
          <w:ilvl w:val="0"/>
          <w:numId w:val="9"/>
        </w:numPr>
        <w:ind w:left="567" w:hanging="567"/>
      </w:pPr>
      <w:r w:rsidRPr="008F403C">
        <w:t>Le Comité souhaitera peut-être adopter la décision suivante :</w:t>
      </w:r>
    </w:p>
    <w:p w14:paraId="45ACADAA" w14:textId="09B66E3A" w:rsidR="00D95C4C" w:rsidRPr="008F403C" w:rsidRDefault="004A34A0" w:rsidP="00041A66">
      <w:pPr>
        <w:pStyle w:val="COMTitleDecision"/>
        <w:rPr>
          <w:rFonts w:eastAsia="SimSun"/>
        </w:rPr>
      </w:pPr>
      <w:r w:rsidRPr="008F403C">
        <w:t>PROJET DE DÉCISION 11.COM</w:t>
      </w:r>
      <w:r w:rsidR="00DC6F1D" w:rsidRPr="008F403C">
        <w:t> </w:t>
      </w:r>
      <w:r w:rsidRPr="008F403C">
        <w:t>9.c</w:t>
      </w:r>
    </w:p>
    <w:p w14:paraId="0C8F35BE" w14:textId="77777777" w:rsidR="00D95C4C" w:rsidRPr="008F403C" w:rsidRDefault="00285BB4" w:rsidP="00035900">
      <w:pPr>
        <w:pStyle w:val="COMPreambulaDecisions"/>
        <w:rPr>
          <w:rFonts w:eastAsia="SimSun"/>
        </w:rPr>
      </w:pPr>
      <w:r w:rsidRPr="008F403C">
        <w:t>Le Comité,</w:t>
      </w:r>
    </w:p>
    <w:p w14:paraId="6D0D6B79" w14:textId="77777777" w:rsidR="0057439C" w:rsidRPr="008F403C" w:rsidRDefault="00D95C4C" w:rsidP="00035900">
      <w:pPr>
        <w:pStyle w:val="COMParaDecision"/>
      </w:pPr>
      <w:r w:rsidRPr="008F403C">
        <w:t>Ayant examiné</w:t>
      </w:r>
      <w:r w:rsidRPr="008F403C">
        <w:rPr>
          <w:u w:val="none"/>
        </w:rPr>
        <w:t xml:space="preserve"> le document ITH/16/11.COM/9.c,</w:t>
      </w:r>
    </w:p>
    <w:p w14:paraId="36E0FCAA" w14:textId="77777777" w:rsidR="0057439C" w:rsidRPr="008F403C" w:rsidRDefault="0057439C" w:rsidP="00035900">
      <w:pPr>
        <w:pStyle w:val="COMParaDecision"/>
        <w:rPr>
          <w:u w:val="none"/>
        </w:rPr>
      </w:pPr>
      <w:r w:rsidRPr="008F403C">
        <w:t>Rappelant</w:t>
      </w:r>
      <w:r w:rsidRPr="008F403C">
        <w:rPr>
          <w:u w:val="none"/>
        </w:rPr>
        <w:t xml:space="preserve"> l</w:t>
      </w:r>
      <w:r w:rsidR="0054625B" w:rsidRPr="008F403C">
        <w:rPr>
          <w:u w:val="none"/>
        </w:rPr>
        <w:t>’</w:t>
      </w:r>
      <w:r w:rsidRPr="008F403C">
        <w:rPr>
          <w:u w:val="none"/>
        </w:rPr>
        <w:t>article 24.3 de la Convention,</w:t>
      </w:r>
    </w:p>
    <w:p w14:paraId="7049DB66" w14:textId="6A8A62C0" w:rsidR="00035900" w:rsidRPr="008F403C" w:rsidRDefault="00035900" w:rsidP="00035900">
      <w:pPr>
        <w:pStyle w:val="COMParaDecision"/>
      </w:pPr>
      <w:r w:rsidRPr="008F403C">
        <w:t>Constate avec satisfaction</w:t>
      </w:r>
      <w:r w:rsidRPr="008F403C">
        <w:rPr>
          <w:u w:val="none"/>
        </w:rPr>
        <w:t xml:space="preserve"> que </w:t>
      </w:r>
      <w:r w:rsidR="00DC6F1D" w:rsidRPr="008F403C">
        <w:rPr>
          <w:u w:val="none"/>
        </w:rPr>
        <w:t xml:space="preserve">les </w:t>
      </w:r>
      <w:r w:rsidRPr="008F403C">
        <w:rPr>
          <w:u w:val="none"/>
        </w:rPr>
        <w:t>pays du groupe électoral V(a) continuent d</w:t>
      </w:r>
      <w:r w:rsidR="0054625B" w:rsidRPr="008F403C">
        <w:rPr>
          <w:u w:val="none"/>
        </w:rPr>
        <w:t>’</w:t>
      </w:r>
      <w:r w:rsidRPr="008F403C">
        <w:rPr>
          <w:u w:val="none"/>
        </w:rPr>
        <w:t>être les principaux bénéficiaires de l</w:t>
      </w:r>
      <w:r w:rsidR="0054625B" w:rsidRPr="008F403C">
        <w:rPr>
          <w:u w:val="none"/>
        </w:rPr>
        <w:t>’</w:t>
      </w:r>
      <w:r w:rsidRPr="008F403C">
        <w:rPr>
          <w:u w:val="none"/>
        </w:rPr>
        <w:t xml:space="preserve">assistance internationale du Fonds du patrimoine culturel immatériel et </w:t>
      </w:r>
      <w:r w:rsidRPr="008F403C">
        <w:t>encourage</w:t>
      </w:r>
      <w:r w:rsidRPr="008F403C">
        <w:rPr>
          <w:u w:val="none"/>
        </w:rPr>
        <w:t xml:space="preserve"> les pays des autres groupes électoraux à considérer ce mécanisme d</w:t>
      </w:r>
      <w:r w:rsidR="0054625B" w:rsidRPr="008F403C">
        <w:rPr>
          <w:u w:val="none"/>
        </w:rPr>
        <w:t>’</w:t>
      </w:r>
      <w:r w:rsidRPr="008F403C">
        <w:rPr>
          <w:u w:val="none"/>
        </w:rPr>
        <w:t>assistance dans leurs efforts pour sauvegarder le patrimoine culturel immatériel présent sur leur territoire ;</w:t>
      </w:r>
    </w:p>
    <w:p w14:paraId="5C72C97F" w14:textId="1880A923" w:rsidR="00035900" w:rsidRPr="008F403C" w:rsidRDefault="00035900" w:rsidP="00035900">
      <w:pPr>
        <w:pStyle w:val="COMParaDecision"/>
        <w:rPr>
          <w:u w:val="none"/>
        </w:rPr>
      </w:pPr>
      <w:r w:rsidRPr="008F403C">
        <w:t>Remercie</w:t>
      </w:r>
      <w:r w:rsidRPr="008F403C">
        <w:rPr>
          <w:u w:val="none"/>
        </w:rPr>
        <w:t xml:space="preserve"> les États bénéficiaires d</w:t>
      </w:r>
      <w:r w:rsidR="0054625B" w:rsidRPr="008F403C">
        <w:rPr>
          <w:u w:val="none"/>
        </w:rPr>
        <w:t>’</w:t>
      </w:r>
      <w:r w:rsidRPr="008F403C">
        <w:rPr>
          <w:u w:val="none"/>
        </w:rPr>
        <w:t>avoir soumis à temps leurs rapports finaux ou d</w:t>
      </w:r>
      <w:r w:rsidR="0054625B" w:rsidRPr="008F403C">
        <w:rPr>
          <w:u w:val="none"/>
        </w:rPr>
        <w:t>’</w:t>
      </w:r>
      <w:r w:rsidRPr="008F403C">
        <w:rPr>
          <w:u w:val="none"/>
        </w:rPr>
        <w:t>avancement sur les projets bénéficiant d</w:t>
      </w:r>
      <w:r w:rsidR="0054625B" w:rsidRPr="008F403C">
        <w:rPr>
          <w:u w:val="none"/>
        </w:rPr>
        <w:t>’</w:t>
      </w:r>
      <w:r w:rsidRPr="008F403C">
        <w:rPr>
          <w:u w:val="none"/>
        </w:rPr>
        <w:t>une assistance internationale du Fonds du patrimoine culturel immatériel ;</w:t>
      </w:r>
    </w:p>
    <w:p w14:paraId="3AA8E747" w14:textId="669FC7B0" w:rsidR="00267EC9" w:rsidRPr="008F403C" w:rsidRDefault="00267EC9" w:rsidP="00267EC9">
      <w:pPr>
        <w:pStyle w:val="COMParaDecision"/>
      </w:pPr>
      <w:r w:rsidRPr="008F403C">
        <w:t>Se félicite</w:t>
      </w:r>
      <w:r w:rsidRPr="008F403C">
        <w:rPr>
          <w:u w:val="none"/>
        </w:rPr>
        <w:t xml:space="preserve"> de l</w:t>
      </w:r>
      <w:r w:rsidR="0054625B" w:rsidRPr="008F403C">
        <w:rPr>
          <w:u w:val="none"/>
        </w:rPr>
        <w:t>’</w:t>
      </w:r>
      <w:r w:rsidRPr="008F403C">
        <w:rPr>
          <w:u w:val="none"/>
        </w:rPr>
        <w:t>impact que l</w:t>
      </w:r>
      <w:r w:rsidR="0054625B" w:rsidRPr="008F403C">
        <w:rPr>
          <w:u w:val="none"/>
        </w:rPr>
        <w:t>’</w:t>
      </w:r>
      <w:r w:rsidRPr="008F403C">
        <w:rPr>
          <w:u w:val="none"/>
        </w:rPr>
        <w:t xml:space="preserve">assistance a eu sur les États bénéficiaires concernant la sauvegarde du patrimoine culturel immatériel présent sur leur territoire et les </w:t>
      </w:r>
      <w:r w:rsidRPr="008F403C">
        <w:t>encourage</w:t>
      </w:r>
      <w:r w:rsidRPr="008F403C">
        <w:rPr>
          <w:u w:val="none"/>
        </w:rPr>
        <w:t xml:space="preserve"> en outre à continuer d</w:t>
      </w:r>
      <w:r w:rsidR="0054625B" w:rsidRPr="008F403C">
        <w:rPr>
          <w:u w:val="none"/>
        </w:rPr>
        <w:t>’</w:t>
      </w:r>
      <w:r w:rsidRPr="008F403C">
        <w:rPr>
          <w:u w:val="none"/>
        </w:rPr>
        <w:t xml:space="preserve">assurer la pérennité et </w:t>
      </w:r>
      <w:r w:rsidR="003A783D" w:rsidRPr="008F403C">
        <w:rPr>
          <w:u w:val="none"/>
        </w:rPr>
        <w:t xml:space="preserve">la consolidation </w:t>
      </w:r>
      <w:r w:rsidRPr="008F403C">
        <w:rPr>
          <w:u w:val="none"/>
        </w:rPr>
        <w:t>des résultats des projets ;</w:t>
      </w:r>
    </w:p>
    <w:p w14:paraId="7CBD55F9" w14:textId="77777777" w:rsidR="00267EC9" w:rsidRPr="008F403C" w:rsidRDefault="009C60AB" w:rsidP="00267EC9">
      <w:pPr>
        <w:pStyle w:val="COMParaDecision"/>
      </w:pPr>
      <w:r w:rsidRPr="008F403C">
        <w:t>Félicite</w:t>
      </w:r>
      <w:r w:rsidRPr="008F403C">
        <w:rPr>
          <w:u w:val="none"/>
        </w:rPr>
        <w:t xml:space="preserve"> le Maroc d</w:t>
      </w:r>
      <w:r w:rsidR="0054625B" w:rsidRPr="008F403C">
        <w:rPr>
          <w:u w:val="none"/>
        </w:rPr>
        <w:t>’</w:t>
      </w:r>
      <w:r w:rsidRPr="008F403C">
        <w:rPr>
          <w:u w:val="none"/>
        </w:rPr>
        <w:t>avoir soumis une candidature à la Liste du patrimoine culturel immatériel nécessitant une sauvegarde urgente à la suite de l</w:t>
      </w:r>
      <w:r w:rsidR="0054625B" w:rsidRPr="008F403C">
        <w:rPr>
          <w:u w:val="none"/>
        </w:rPr>
        <w:t>’</w:t>
      </w:r>
      <w:r w:rsidRPr="008F403C">
        <w:rPr>
          <w:u w:val="none"/>
        </w:rPr>
        <w:t>assistance préparatoire accordée par son Bureau ;</w:t>
      </w:r>
    </w:p>
    <w:p w14:paraId="069820BB" w14:textId="77777777" w:rsidR="009C60AB" w:rsidRPr="008F403C" w:rsidRDefault="009C60AB" w:rsidP="009C60AB">
      <w:pPr>
        <w:pStyle w:val="COMParaDecision"/>
      </w:pPr>
      <w:r w:rsidRPr="008F403C">
        <w:t>Regrette</w:t>
      </w:r>
      <w:r w:rsidRPr="008F403C">
        <w:rPr>
          <w:u w:val="none"/>
        </w:rPr>
        <w:t xml:space="preserve"> que le mécanisme de l</w:t>
      </w:r>
      <w:r w:rsidR="0054625B" w:rsidRPr="008F403C">
        <w:rPr>
          <w:u w:val="none"/>
        </w:rPr>
        <w:t>’</w:t>
      </w:r>
      <w:r w:rsidRPr="008F403C">
        <w:rPr>
          <w:u w:val="none"/>
        </w:rPr>
        <w:t>assistance préparatoire n</w:t>
      </w:r>
      <w:r w:rsidR="0054625B" w:rsidRPr="008F403C">
        <w:rPr>
          <w:u w:val="none"/>
        </w:rPr>
        <w:t>’</w:t>
      </w:r>
      <w:r w:rsidRPr="008F403C">
        <w:rPr>
          <w:u w:val="none"/>
        </w:rPr>
        <w:t>ait pas été utilisé pendant deux années consécutives ;</w:t>
      </w:r>
    </w:p>
    <w:p w14:paraId="152C4F5F" w14:textId="1ABC94F7" w:rsidR="00035900" w:rsidRPr="008F403C" w:rsidRDefault="00035900" w:rsidP="00035900">
      <w:pPr>
        <w:pStyle w:val="COMParaDecision"/>
        <w:rPr>
          <w:u w:val="none"/>
        </w:rPr>
      </w:pPr>
      <w:r w:rsidRPr="008F403C">
        <w:t>Demande</w:t>
      </w:r>
      <w:r w:rsidRPr="008F403C">
        <w:rPr>
          <w:u w:val="none"/>
        </w:rPr>
        <w:t xml:space="preserve"> au Secrétariat de veiller, dans la mesure du possible, à ce que les contrats établis avec les États bénéficiaires prévoient que les rapports finaux ou d</w:t>
      </w:r>
      <w:r w:rsidR="0054625B" w:rsidRPr="008F403C">
        <w:rPr>
          <w:u w:val="none"/>
        </w:rPr>
        <w:t>’</w:t>
      </w:r>
      <w:r w:rsidRPr="008F403C">
        <w:rPr>
          <w:u w:val="none"/>
        </w:rPr>
        <w:t>avancement, selon le cas, soient soumis avant le 30 juin afin qu</w:t>
      </w:r>
      <w:r w:rsidR="0054625B" w:rsidRPr="008F403C">
        <w:rPr>
          <w:u w:val="none"/>
        </w:rPr>
        <w:t>’</w:t>
      </w:r>
      <w:r w:rsidRPr="008F403C">
        <w:rPr>
          <w:u w:val="none"/>
        </w:rPr>
        <w:t>il puisse prendre note de l</w:t>
      </w:r>
      <w:r w:rsidR="0054625B" w:rsidRPr="008F403C">
        <w:rPr>
          <w:u w:val="none"/>
        </w:rPr>
        <w:t>’</w:t>
      </w:r>
      <w:r w:rsidRPr="008F403C">
        <w:rPr>
          <w:u w:val="none"/>
        </w:rPr>
        <w:t>utilisation de l</w:t>
      </w:r>
      <w:r w:rsidR="0054625B" w:rsidRPr="008F403C">
        <w:rPr>
          <w:u w:val="none"/>
        </w:rPr>
        <w:t>’</w:t>
      </w:r>
      <w:r w:rsidRPr="008F403C">
        <w:rPr>
          <w:u w:val="none"/>
        </w:rPr>
        <w:t xml:space="preserve">assistance accordée en temps opportun et </w:t>
      </w:r>
      <w:r w:rsidRPr="008F403C">
        <w:t>invite</w:t>
      </w:r>
      <w:r w:rsidRPr="008F403C">
        <w:rPr>
          <w:u w:val="none"/>
        </w:rPr>
        <w:t xml:space="preserve"> États bénéficiaires</w:t>
      </w:r>
      <w:r w:rsidR="003A783D" w:rsidRPr="008F403C">
        <w:rPr>
          <w:u w:val="none"/>
        </w:rPr>
        <w:t>,</w:t>
      </w:r>
      <w:r w:rsidRPr="008F403C">
        <w:rPr>
          <w:u w:val="none"/>
        </w:rPr>
        <w:t xml:space="preserve"> </w:t>
      </w:r>
      <w:r w:rsidR="003A783D" w:rsidRPr="008F403C">
        <w:rPr>
          <w:u w:val="none"/>
        </w:rPr>
        <w:t xml:space="preserve">présents et futurs, </w:t>
      </w:r>
      <w:r w:rsidRPr="008F403C">
        <w:rPr>
          <w:u w:val="none"/>
        </w:rPr>
        <w:t>à respecter les délais pour la soumission des rapports fixés dans leurs contrats respectifs ;</w:t>
      </w:r>
    </w:p>
    <w:p w14:paraId="5FEDB425" w14:textId="49E1C704" w:rsidR="00AA15E7" w:rsidRPr="008F403C" w:rsidRDefault="00267EC9" w:rsidP="00F02F65">
      <w:pPr>
        <w:pStyle w:val="COMParaDecision"/>
      </w:pPr>
      <w:r w:rsidRPr="008F403C">
        <w:t>Reconnaît</w:t>
      </w:r>
      <w:r w:rsidRPr="008F403C">
        <w:rPr>
          <w:u w:val="none"/>
        </w:rPr>
        <w:t xml:space="preserve"> qu</w:t>
      </w:r>
      <w:r w:rsidR="0054625B" w:rsidRPr="008F403C">
        <w:rPr>
          <w:u w:val="none"/>
        </w:rPr>
        <w:t>’</w:t>
      </w:r>
      <w:r w:rsidRPr="008F403C">
        <w:rPr>
          <w:u w:val="none"/>
        </w:rPr>
        <w:t xml:space="preserve">il est nécessaire </w:t>
      </w:r>
      <w:r w:rsidR="00F6317A" w:rsidRPr="008F403C">
        <w:rPr>
          <w:u w:val="none"/>
        </w:rPr>
        <w:t>de renforcer</w:t>
      </w:r>
      <w:r w:rsidRPr="008F403C">
        <w:rPr>
          <w:u w:val="none"/>
        </w:rPr>
        <w:t xml:space="preserve"> les capacités humaines du Secrétariat de manière durable afin </w:t>
      </w:r>
      <w:r w:rsidR="00F6317A" w:rsidRPr="008F403C">
        <w:rPr>
          <w:u w:val="none"/>
        </w:rPr>
        <w:t xml:space="preserve">qu’il soit en mesure </w:t>
      </w:r>
      <w:r w:rsidRPr="008F403C">
        <w:rPr>
          <w:u w:val="none"/>
        </w:rPr>
        <w:t>de fournir un soutien à plus long terme aux États bénéficiaires dans la mise en œuvre des projets financés par l</w:t>
      </w:r>
      <w:r w:rsidR="0054625B" w:rsidRPr="008F403C">
        <w:rPr>
          <w:u w:val="none"/>
        </w:rPr>
        <w:t>’</w:t>
      </w:r>
      <w:r w:rsidRPr="008F403C">
        <w:rPr>
          <w:u w:val="none"/>
        </w:rPr>
        <w:t xml:space="preserve">assistance internationale et de mieux suivre la mise en </w:t>
      </w:r>
      <w:r w:rsidR="00CA68F7" w:rsidRPr="008F403C">
        <w:rPr>
          <w:u w:val="none"/>
        </w:rPr>
        <w:t>œuvre générale de ce mécanisme.</w:t>
      </w:r>
    </w:p>
    <w:p w14:paraId="3D24D7F8" w14:textId="77777777" w:rsidR="006A7E65" w:rsidRPr="008F403C" w:rsidRDefault="006A7E65" w:rsidP="0034539A">
      <w:pPr>
        <w:pStyle w:val="COMParaDecision"/>
        <w:numPr>
          <w:ilvl w:val="0"/>
          <w:numId w:val="0"/>
        </w:numPr>
        <w:jc w:val="left"/>
      </w:pPr>
      <w:r w:rsidRPr="008F403C">
        <w:br w:type="page"/>
      </w:r>
    </w:p>
    <w:p w14:paraId="497E077B" w14:textId="77777777" w:rsidR="006A7E65" w:rsidRPr="008F403C" w:rsidRDefault="006A7E65" w:rsidP="006A7E65">
      <w:pPr>
        <w:autoSpaceDE w:val="0"/>
        <w:autoSpaceDN w:val="0"/>
        <w:adjustRightInd w:val="0"/>
        <w:spacing w:before="120" w:after="120"/>
        <w:jc w:val="center"/>
        <w:rPr>
          <w:rFonts w:ascii="Arial" w:hAnsi="Arial" w:cs="Arial"/>
          <w:b/>
          <w:sz w:val="22"/>
          <w:szCs w:val="22"/>
        </w:rPr>
      </w:pPr>
      <w:r w:rsidRPr="008F403C">
        <w:rPr>
          <w:rFonts w:ascii="Arial" w:hAnsi="Arial"/>
          <w:b/>
          <w:sz w:val="22"/>
        </w:rPr>
        <w:t>ANNEXE</w:t>
      </w:r>
    </w:p>
    <w:p w14:paraId="02F1D0FB" w14:textId="00C21082" w:rsidR="0034539A" w:rsidRPr="008F403C" w:rsidRDefault="006A7E65" w:rsidP="00BA5D6E">
      <w:pPr>
        <w:pStyle w:val="COMParaDecision"/>
        <w:numPr>
          <w:ilvl w:val="0"/>
          <w:numId w:val="0"/>
        </w:numPr>
        <w:spacing w:after="360"/>
        <w:jc w:val="center"/>
        <w:rPr>
          <w:u w:val="none"/>
        </w:rPr>
      </w:pPr>
      <w:r w:rsidRPr="008F403C">
        <w:rPr>
          <w:b/>
          <w:u w:val="none"/>
        </w:rPr>
        <w:t>Données récapitulatives sur les rapports des États parties relatifs à l</w:t>
      </w:r>
      <w:r w:rsidR="0054625B" w:rsidRPr="008F403C">
        <w:rPr>
          <w:b/>
          <w:u w:val="none"/>
        </w:rPr>
        <w:t>’</w:t>
      </w:r>
      <w:r w:rsidRPr="008F403C">
        <w:rPr>
          <w:b/>
          <w:u w:val="none"/>
        </w:rPr>
        <w:t>utilisation</w:t>
      </w:r>
      <w:r w:rsidR="003A783D" w:rsidRPr="008F403C">
        <w:rPr>
          <w:b/>
          <w:u w:val="none"/>
        </w:rPr>
        <w:br/>
      </w:r>
      <w:r w:rsidRPr="008F403C">
        <w:rPr>
          <w:b/>
          <w:u w:val="none"/>
        </w:rPr>
        <w:t>de l</w:t>
      </w:r>
      <w:r w:rsidR="0054625B" w:rsidRPr="008F403C">
        <w:rPr>
          <w:b/>
          <w:u w:val="none"/>
        </w:rPr>
        <w:t>’</w:t>
      </w:r>
      <w:r w:rsidRPr="008F403C">
        <w:rPr>
          <w:b/>
          <w:u w:val="none"/>
        </w:rPr>
        <w:t>assistance internationale (assistance préparatoire comprise)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5864"/>
      </w:tblGrid>
      <w:tr w:rsidR="00BA5D6E" w:rsidRPr="008F403C" w14:paraId="39B2C6EC" w14:textId="77777777" w:rsidTr="00412884">
        <w:trPr>
          <w:cantSplit/>
        </w:trPr>
        <w:tc>
          <w:tcPr>
            <w:tcW w:w="2093" w:type="dxa"/>
            <w:shd w:val="clear" w:color="auto" w:fill="auto"/>
            <w:vAlign w:val="center"/>
          </w:tcPr>
          <w:p w14:paraId="11EAD1C0" w14:textId="77777777" w:rsidR="00BA5D6E" w:rsidRPr="008F403C" w:rsidRDefault="00BA5D6E" w:rsidP="00F02F65">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Kenya</w:t>
            </w:r>
          </w:p>
        </w:tc>
        <w:tc>
          <w:tcPr>
            <w:tcW w:w="1701" w:type="dxa"/>
            <w:shd w:val="clear" w:color="auto" w:fill="auto"/>
            <w:vAlign w:val="center"/>
          </w:tcPr>
          <w:p w14:paraId="787D7ECD" w14:textId="77777777" w:rsidR="00BA5D6E" w:rsidRPr="008F403C" w:rsidRDefault="00BA5D6E" w:rsidP="00F02F65">
            <w:pPr>
              <w:pStyle w:val="Marge"/>
              <w:keepNext/>
              <w:tabs>
                <w:tab w:val="clear" w:pos="567"/>
              </w:tabs>
              <w:spacing w:before="120" w:after="120"/>
              <w:jc w:val="left"/>
              <w:outlineLvl w:val="0"/>
              <w:rPr>
                <w:rFonts w:cs="Arial"/>
                <w:b/>
                <w:color w:val="000000"/>
                <w:sz w:val="20"/>
                <w:szCs w:val="20"/>
              </w:rPr>
            </w:pPr>
            <w:r w:rsidRPr="008F403C">
              <w:rPr>
                <w:b/>
                <w:sz w:val="20"/>
                <w:szCs w:val="20"/>
              </w:rPr>
              <w:t>126 580 dollars des États-Unis</w:t>
            </w:r>
          </w:p>
        </w:tc>
        <w:tc>
          <w:tcPr>
            <w:tcW w:w="5864" w:type="dxa"/>
            <w:shd w:val="clear" w:color="auto" w:fill="auto"/>
            <w:vAlign w:val="center"/>
          </w:tcPr>
          <w:p w14:paraId="01767D55" w14:textId="77777777" w:rsidR="00BA5D6E" w:rsidRPr="008F403C" w:rsidRDefault="00BA5D6E" w:rsidP="00F02F65">
            <w:pPr>
              <w:pStyle w:val="Marge"/>
              <w:keepNext/>
              <w:tabs>
                <w:tab w:val="clear" w:pos="567"/>
              </w:tabs>
              <w:spacing w:before="120" w:after="120"/>
              <w:jc w:val="left"/>
              <w:outlineLvl w:val="0"/>
              <w:rPr>
                <w:rFonts w:cs="Arial"/>
                <w:b/>
                <w:color w:val="000000"/>
                <w:sz w:val="20"/>
                <w:szCs w:val="20"/>
              </w:rPr>
            </w:pPr>
            <w:r w:rsidRPr="008F403C">
              <w:rPr>
                <w:b/>
                <w:sz w:val="20"/>
                <w:szCs w:val="20"/>
              </w:rPr>
              <w:t xml:space="preserve">Les traditions et pratiques associées aux </w:t>
            </w:r>
            <w:proofErr w:type="spellStart"/>
            <w:r w:rsidRPr="008F403C">
              <w:rPr>
                <w:b/>
                <w:sz w:val="20"/>
                <w:szCs w:val="20"/>
              </w:rPr>
              <w:t>Kayas</w:t>
            </w:r>
            <w:proofErr w:type="spellEnd"/>
            <w:r w:rsidRPr="008F403C">
              <w:rPr>
                <w:b/>
                <w:sz w:val="20"/>
                <w:szCs w:val="20"/>
              </w:rPr>
              <w:t xml:space="preserve"> dans les forêts sacrées des </w:t>
            </w:r>
            <w:proofErr w:type="spellStart"/>
            <w:r w:rsidRPr="008F403C">
              <w:rPr>
                <w:b/>
                <w:sz w:val="20"/>
                <w:szCs w:val="20"/>
              </w:rPr>
              <w:t>Mijikenda</w:t>
            </w:r>
            <w:proofErr w:type="spellEnd"/>
            <w:r w:rsidRPr="008F403C">
              <w:rPr>
                <w:sz w:val="20"/>
                <w:szCs w:val="20"/>
              </w:rPr>
              <w:t xml:space="preserve"> (n° 00326)</w:t>
            </w:r>
          </w:p>
        </w:tc>
      </w:tr>
      <w:tr w:rsidR="00BA5D6E" w:rsidRPr="008F403C" w14:paraId="70DE4CB5" w14:textId="77777777" w:rsidTr="00412884">
        <w:trPr>
          <w:cantSplit/>
        </w:trPr>
        <w:tc>
          <w:tcPr>
            <w:tcW w:w="2093" w:type="dxa"/>
            <w:shd w:val="clear" w:color="auto" w:fill="auto"/>
          </w:tcPr>
          <w:p w14:paraId="1A86298C" w14:textId="77777777" w:rsidR="00BA5D6E" w:rsidRPr="008F403C" w:rsidRDefault="00AE4BEA"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65" w:type="dxa"/>
            <w:gridSpan w:val="2"/>
            <w:shd w:val="clear" w:color="auto" w:fill="auto"/>
          </w:tcPr>
          <w:p w14:paraId="27F4AEB0" w14:textId="77777777" w:rsidR="00BA5D6E" w:rsidRPr="008F403C" w:rsidRDefault="00BA5D6E" w:rsidP="00BA5D6E">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2009 (</w:t>
            </w:r>
            <w:hyperlink r:id="rId41">
              <w:r w:rsidRPr="008F403C">
                <w:rPr>
                  <w:rStyle w:val="Hyperlink"/>
                  <w:sz w:val="20"/>
                  <w:szCs w:val="20"/>
                </w:rPr>
                <w:t>décision 4.COM 11.01</w:t>
              </w:r>
            </w:hyperlink>
            <w:r w:rsidRPr="008F403C">
              <w:rPr>
                <w:color w:val="000000"/>
                <w:sz w:val="20"/>
                <w:szCs w:val="20"/>
              </w:rPr>
              <w:t>)</w:t>
            </w:r>
          </w:p>
        </w:tc>
      </w:tr>
      <w:tr w:rsidR="00BA5D6E" w:rsidRPr="008F403C" w14:paraId="3F610355" w14:textId="77777777" w:rsidTr="00412884">
        <w:trPr>
          <w:cantSplit/>
        </w:trPr>
        <w:tc>
          <w:tcPr>
            <w:tcW w:w="2093" w:type="dxa"/>
            <w:shd w:val="clear" w:color="auto" w:fill="auto"/>
          </w:tcPr>
          <w:p w14:paraId="1B31B37E" w14:textId="77777777" w:rsidR="00BA5D6E" w:rsidRPr="008F403C" w:rsidRDefault="00260258"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65" w:type="dxa"/>
            <w:gridSpan w:val="2"/>
            <w:shd w:val="clear" w:color="auto" w:fill="auto"/>
          </w:tcPr>
          <w:p w14:paraId="5CBFA670" w14:textId="77777777" w:rsidR="00BA5D6E" w:rsidRPr="008F403C" w:rsidRDefault="00BA5D6E" w:rsidP="00260258">
            <w:pPr>
              <w:pStyle w:val="Marge"/>
              <w:keepNext/>
              <w:tabs>
                <w:tab w:val="clear" w:pos="567"/>
              </w:tabs>
              <w:spacing w:before="120" w:after="120"/>
              <w:jc w:val="left"/>
              <w:outlineLvl w:val="0"/>
              <w:rPr>
                <w:rFonts w:cs="Arial"/>
                <w:color w:val="000000"/>
                <w:sz w:val="20"/>
                <w:szCs w:val="20"/>
              </w:rPr>
            </w:pPr>
            <w:r w:rsidRPr="008F403C">
              <w:rPr>
                <w:color w:val="000000"/>
                <w:sz w:val="20"/>
                <w:szCs w:val="20"/>
              </w:rPr>
              <w:t>01/07/2011 – 29/01/2016</w:t>
            </w:r>
          </w:p>
        </w:tc>
      </w:tr>
      <w:tr w:rsidR="00BA5D6E" w:rsidRPr="008F403C" w14:paraId="5B522787" w14:textId="77777777" w:rsidTr="00412884">
        <w:trPr>
          <w:cantSplit/>
        </w:trPr>
        <w:tc>
          <w:tcPr>
            <w:tcW w:w="2093" w:type="dxa"/>
            <w:shd w:val="clear" w:color="auto" w:fill="auto"/>
            <w:vAlign w:val="center"/>
          </w:tcPr>
          <w:p w14:paraId="07C9BC42" w14:textId="77777777" w:rsidR="00BA5D6E" w:rsidRPr="008F403C" w:rsidRDefault="00BA5D6E" w:rsidP="00F02F65">
            <w:pPr>
              <w:pStyle w:val="Marge"/>
              <w:keepNext/>
              <w:spacing w:before="120" w:after="120"/>
              <w:jc w:val="right"/>
              <w:rPr>
                <w:rFonts w:cs="Arial"/>
                <w:i/>
                <w:color w:val="000000"/>
                <w:sz w:val="20"/>
                <w:szCs w:val="20"/>
              </w:rPr>
            </w:pPr>
            <w:r w:rsidRPr="008F403C">
              <w:rPr>
                <w:i/>
                <w:color w:val="000000"/>
                <w:sz w:val="20"/>
                <w:szCs w:val="20"/>
              </w:rPr>
              <w:t xml:space="preserve">Élément concerné : </w:t>
            </w:r>
          </w:p>
        </w:tc>
        <w:tc>
          <w:tcPr>
            <w:tcW w:w="7565" w:type="dxa"/>
            <w:gridSpan w:val="2"/>
            <w:shd w:val="clear" w:color="auto" w:fill="auto"/>
            <w:vAlign w:val="center"/>
          </w:tcPr>
          <w:p w14:paraId="6147E46D" w14:textId="77777777" w:rsidR="00BA5D6E" w:rsidRPr="008F403C" w:rsidRDefault="00BA5D6E" w:rsidP="00260258">
            <w:pPr>
              <w:pStyle w:val="Marge"/>
              <w:keepNext/>
              <w:spacing w:before="120" w:after="120"/>
              <w:jc w:val="left"/>
              <w:rPr>
                <w:rFonts w:cs="Arial"/>
                <w:color w:val="000000"/>
                <w:sz w:val="20"/>
                <w:szCs w:val="20"/>
              </w:rPr>
            </w:pPr>
            <w:r w:rsidRPr="008F403C">
              <w:rPr>
                <w:color w:val="000000"/>
                <w:sz w:val="20"/>
                <w:szCs w:val="20"/>
              </w:rPr>
              <w:t xml:space="preserve">Les traditions et pratiques associées aux </w:t>
            </w:r>
            <w:proofErr w:type="spellStart"/>
            <w:r w:rsidRPr="008F403C">
              <w:rPr>
                <w:color w:val="000000"/>
                <w:sz w:val="20"/>
                <w:szCs w:val="20"/>
              </w:rPr>
              <w:t>Kayas</w:t>
            </w:r>
            <w:proofErr w:type="spellEnd"/>
            <w:r w:rsidRPr="008F403C">
              <w:rPr>
                <w:color w:val="000000"/>
                <w:sz w:val="20"/>
                <w:szCs w:val="20"/>
              </w:rPr>
              <w:t xml:space="preserve"> dans les forêts sacrées des </w:t>
            </w:r>
            <w:proofErr w:type="spellStart"/>
            <w:r w:rsidRPr="008F403C">
              <w:rPr>
                <w:color w:val="000000"/>
                <w:sz w:val="20"/>
                <w:szCs w:val="20"/>
              </w:rPr>
              <w:t>Mijikenda</w:t>
            </w:r>
            <w:proofErr w:type="spellEnd"/>
            <w:r w:rsidRPr="008F403C">
              <w:rPr>
                <w:color w:val="000000"/>
                <w:sz w:val="20"/>
                <w:szCs w:val="20"/>
              </w:rPr>
              <w:t xml:space="preserve"> (inscrit en 2009 sur la Liste de sauvegarde urgente)</w:t>
            </w:r>
          </w:p>
          <w:p w14:paraId="1E130922" w14:textId="759CC5C8" w:rsidR="00260258" w:rsidRPr="008F403C" w:rsidRDefault="00260258" w:rsidP="00260258">
            <w:pPr>
              <w:pStyle w:val="Marge"/>
              <w:keepNext/>
              <w:spacing w:before="120" w:after="120"/>
              <w:jc w:val="left"/>
              <w:rPr>
                <w:rFonts w:cs="Arial"/>
                <w:color w:val="000000"/>
                <w:sz w:val="20"/>
                <w:szCs w:val="20"/>
              </w:rPr>
            </w:pPr>
            <w:r w:rsidRPr="008F403C">
              <w:rPr>
                <w:color w:val="000000"/>
                <w:sz w:val="20"/>
                <w:szCs w:val="20"/>
              </w:rPr>
              <w:t>Rapport quadriennal consultable à l</w:t>
            </w:r>
            <w:r w:rsidR="0054625B" w:rsidRPr="008F403C">
              <w:rPr>
                <w:color w:val="000000"/>
                <w:sz w:val="20"/>
                <w:szCs w:val="20"/>
              </w:rPr>
              <w:t>’</w:t>
            </w:r>
            <w:r w:rsidRPr="008F403C">
              <w:rPr>
                <w:color w:val="000000"/>
                <w:sz w:val="20"/>
                <w:szCs w:val="20"/>
              </w:rPr>
              <w:t>adresse :</w:t>
            </w:r>
            <w:r w:rsidR="00CA68F7" w:rsidRPr="008F403C">
              <w:rPr>
                <w:rFonts w:eastAsiaTheme="minorEastAsia"/>
                <w:color w:val="000000"/>
                <w:sz w:val="20"/>
                <w:szCs w:val="20"/>
                <w:lang w:eastAsia="ko-KR"/>
              </w:rPr>
              <w:t xml:space="preserve"> </w:t>
            </w:r>
            <w:hyperlink r:id="rId42">
              <w:r w:rsidRPr="008F403C">
                <w:rPr>
                  <w:rStyle w:val="Hyperlink"/>
                  <w:sz w:val="20"/>
                  <w:szCs w:val="20"/>
                </w:rPr>
                <w:t>http://www.unesco.org/culture/ich/doc/download.php?versionID=33087</w:t>
              </w:r>
            </w:hyperlink>
            <w:r w:rsidRPr="008F403C">
              <w:rPr>
                <w:color w:val="000000"/>
                <w:sz w:val="20"/>
                <w:szCs w:val="20"/>
              </w:rPr>
              <w:t xml:space="preserve">. </w:t>
            </w:r>
          </w:p>
        </w:tc>
      </w:tr>
    </w:tbl>
    <w:p w14:paraId="79C35F80" w14:textId="1EC314F9" w:rsidR="00BA5D6E" w:rsidRPr="008F403C" w:rsidRDefault="00BA5D6E" w:rsidP="00260258">
      <w:pPr>
        <w:pStyle w:val="Marge"/>
        <w:spacing w:before="120" w:after="120"/>
        <w:outlineLvl w:val="0"/>
        <w:rPr>
          <w:rFonts w:cs="Arial"/>
          <w:color w:val="000000"/>
          <w:szCs w:val="22"/>
        </w:rPr>
      </w:pPr>
      <w:r w:rsidRPr="008F403C">
        <w:rPr>
          <w:color w:val="000000"/>
        </w:rPr>
        <w:t xml:space="preserve">Ayant pour objectif de donner une autonomie accrue aux communautés </w:t>
      </w:r>
      <w:proofErr w:type="spellStart"/>
      <w:r w:rsidRPr="008F403C">
        <w:rPr>
          <w:color w:val="000000"/>
        </w:rPr>
        <w:t>Mijikenda</w:t>
      </w:r>
      <w:proofErr w:type="spellEnd"/>
      <w:r w:rsidRPr="008F403C">
        <w:rPr>
          <w:color w:val="000000"/>
        </w:rPr>
        <w:t xml:space="preserve"> pour assurer la viabilité et la transmission des traditions et pratiques associées </w:t>
      </w:r>
      <w:r w:rsidR="003A783D" w:rsidRPr="008F403C">
        <w:rPr>
          <w:color w:val="000000"/>
        </w:rPr>
        <w:t>aux</w:t>
      </w:r>
      <w:r w:rsidRPr="008F403C">
        <w:rPr>
          <w:color w:val="000000"/>
        </w:rPr>
        <w:t xml:space="preserve"> forêts sacrées de la bande côtière du Kenya, le projet a été mené par le Département de la culture du </w:t>
      </w:r>
      <w:r w:rsidR="003A783D" w:rsidRPr="008F403C">
        <w:rPr>
          <w:color w:val="000000"/>
        </w:rPr>
        <w:t xml:space="preserve">Ministère </w:t>
      </w:r>
      <w:r w:rsidRPr="008F403C">
        <w:rPr>
          <w:color w:val="000000"/>
        </w:rPr>
        <w:t xml:space="preserve">des </w:t>
      </w:r>
      <w:r w:rsidR="003A783D" w:rsidRPr="008F403C">
        <w:rPr>
          <w:color w:val="000000"/>
        </w:rPr>
        <w:t>sports</w:t>
      </w:r>
      <w:r w:rsidRPr="008F403C">
        <w:rPr>
          <w:color w:val="000000"/>
        </w:rPr>
        <w:t xml:space="preserve">, de la </w:t>
      </w:r>
      <w:r w:rsidR="003A783D" w:rsidRPr="008F403C">
        <w:rPr>
          <w:color w:val="000000"/>
        </w:rPr>
        <w:t xml:space="preserve">culture </w:t>
      </w:r>
      <w:r w:rsidRPr="008F403C">
        <w:rPr>
          <w:color w:val="000000"/>
        </w:rPr>
        <w:t xml:space="preserve">et des </w:t>
      </w:r>
      <w:r w:rsidR="003A783D" w:rsidRPr="008F403C">
        <w:rPr>
          <w:color w:val="000000"/>
        </w:rPr>
        <w:t xml:space="preserve">arts </w:t>
      </w:r>
      <w:r w:rsidRPr="008F403C">
        <w:rPr>
          <w:color w:val="000000"/>
        </w:rPr>
        <w:t>(ex ministère d</w:t>
      </w:r>
      <w:r w:rsidR="0054625B" w:rsidRPr="008F403C">
        <w:rPr>
          <w:color w:val="000000"/>
        </w:rPr>
        <w:t>’</w:t>
      </w:r>
      <w:r w:rsidRPr="008F403C">
        <w:rPr>
          <w:color w:val="000000"/>
        </w:rPr>
        <w:t xml:space="preserve">État pour le </w:t>
      </w:r>
      <w:r w:rsidR="003A783D" w:rsidRPr="008F403C">
        <w:rPr>
          <w:color w:val="000000"/>
        </w:rPr>
        <w:t xml:space="preserve">patrimoine </w:t>
      </w:r>
      <w:r w:rsidRPr="008F403C">
        <w:rPr>
          <w:color w:val="000000"/>
        </w:rPr>
        <w:t xml:space="preserve">national et la </w:t>
      </w:r>
      <w:r w:rsidR="003A783D" w:rsidRPr="008F403C">
        <w:rPr>
          <w:color w:val="000000"/>
        </w:rPr>
        <w:t>culture</w:t>
      </w:r>
      <w:r w:rsidRPr="008F403C">
        <w:rPr>
          <w:color w:val="000000"/>
        </w:rPr>
        <w:t xml:space="preserve">) en coopération avec les Musées nationaux du Kenya, </w:t>
      </w:r>
      <w:r w:rsidR="003A783D" w:rsidRPr="008F403C">
        <w:rPr>
          <w:color w:val="000000"/>
        </w:rPr>
        <w:t xml:space="preserve">à travers </w:t>
      </w:r>
      <w:r w:rsidRPr="008F403C">
        <w:rPr>
          <w:color w:val="000000"/>
        </w:rPr>
        <w:t>leur Unité de conservation des forêts côtières.</w:t>
      </w:r>
    </w:p>
    <w:p w14:paraId="501859A3" w14:textId="3C8C7B9A" w:rsidR="00A61101" w:rsidRPr="008F403C" w:rsidRDefault="00BA5D6E" w:rsidP="00A61101">
      <w:pPr>
        <w:pStyle w:val="Marge"/>
        <w:tabs>
          <w:tab w:val="clear" w:pos="567"/>
        </w:tabs>
        <w:spacing w:before="120"/>
        <w:outlineLvl w:val="0"/>
        <w:rPr>
          <w:color w:val="000000"/>
        </w:rPr>
      </w:pPr>
      <w:r w:rsidRPr="008F403C">
        <w:rPr>
          <w:color w:val="000000"/>
        </w:rPr>
        <w:t xml:space="preserve">Les activités incluaient la formation de neuf communautés </w:t>
      </w:r>
      <w:proofErr w:type="spellStart"/>
      <w:r w:rsidRPr="008F403C">
        <w:rPr>
          <w:color w:val="000000"/>
        </w:rPr>
        <w:t>kayas</w:t>
      </w:r>
      <w:proofErr w:type="spellEnd"/>
      <w:r w:rsidRPr="008F403C">
        <w:rPr>
          <w:color w:val="000000"/>
        </w:rPr>
        <w:t xml:space="preserve"> à l</w:t>
      </w:r>
      <w:r w:rsidR="0054625B" w:rsidRPr="008F403C">
        <w:rPr>
          <w:color w:val="000000"/>
        </w:rPr>
        <w:t>’</w:t>
      </w:r>
      <w:r w:rsidRPr="008F403C">
        <w:rPr>
          <w:color w:val="000000"/>
        </w:rPr>
        <w:t xml:space="preserve">élaboration de projets générateurs de revenus en lien avec leur patrimoine vivant, </w:t>
      </w:r>
      <w:r w:rsidR="00485F9D" w:rsidRPr="008F403C">
        <w:rPr>
          <w:color w:val="000000"/>
        </w:rPr>
        <w:t xml:space="preserve">apprentissage par les jeunes </w:t>
      </w:r>
      <w:r w:rsidRPr="008F403C">
        <w:rPr>
          <w:color w:val="000000"/>
        </w:rPr>
        <w:t>du fonctionnement du Conseil des anciens, la réalisation d</w:t>
      </w:r>
      <w:r w:rsidR="0054625B" w:rsidRPr="008F403C">
        <w:rPr>
          <w:color w:val="000000"/>
        </w:rPr>
        <w:t>’</w:t>
      </w:r>
      <w:r w:rsidRPr="008F403C">
        <w:rPr>
          <w:color w:val="000000"/>
        </w:rPr>
        <w:t>un inventaire par les communautés et la mise à jour de l</w:t>
      </w:r>
      <w:r w:rsidR="0054625B" w:rsidRPr="008F403C">
        <w:rPr>
          <w:color w:val="000000"/>
        </w:rPr>
        <w:t>’</w:t>
      </w:r>
      <w:r w:rsidRPr="008F403C">
        <w:rPr>
          <w:color w:val="000000"/>
        </w:rPr>
        <w:t xml:space="preserve">inventaire national, des visites sur le terrain aux </w:t>
      </w:r>
      <w:proofErr w:type="spellStart"/>
      <w:r w:rsidRPr="008F403C">
        <w:rPr>
          <w:color w:val="000000"/>
        </w:rPr>
        <w:t>Kayas</w:t>
      </w:r>
      <w:proofErr w:type="spellEnd"/>
      <w:r w:rsidRPr="008F403C">
        <w:rPr>
          <w:color w:val="000000"/>
        </w:rPr>
        <w:t xml:space="preserve"> par plus de 400 élèves au cours desquelles les anciens ont présenté les traditions et les pratiques des </w:t>
      </w:r>
      <w:proofErr w:type="spellStart"/>
      <w:r w:rsidRPr="008F403C">
        <w:rPr>
          <w:color w:val="000000"/>
        </w:rPr>
        <w:t>Mijikenda</w:t>
      </w:r>
      <w:proofErr w:type="spellEnd"/>
      <w:r w:rsidRPr="008F403C">
        <w:rPr>
          <w:color w:val="000000"/>
        </w:rPr>
        <w:t>, et l</w:t>
      </w:r>
      <w:r w:rsidR="0054625B" w:rsidRPr="008F403C">
        <w:rPr>
          <w:color w:val="000000"/>
        </w:rPr>
        <w:t>’</w:t>
      </w:r>
      <w:r w:rsidRPr="008F403C">
        <w:rPr>
          <w:color w:val="000000"/>
        </w:rPr>
        <w:t xml:space="preserve">organisation de festivals culturels intercommunautaires pour présenter le mode de vie traditionnel des </w:t>
      </w:r>
      <w:proofErr w:type="spellStart"/>
      <w:r w:rsidRPr="008F403C">
        <w:rPr>
          <w:color w:val="000000"/>
        </w:rPr>
        <w:t>Kayas</w:t>
      </w:r>
      <w:proofErr w:type="spellEnd"/>
      <w:r w:rsidRPr="008F403C">
        <w:rPr>
          <w:color w:val="000000"/>
        </w:rPr>
        <w:t>, et plus particulièrement leur médecine traditionnelle, leurs traditions culinaires et leur artisanat. Des groupes de conservation communautaires ont également été formés pour sensibiliser les jeunes à l</w:t>
      </w:r>
      <w:r w:rsidR="0054625B" w:rsidRPr="008F403C">
        <w:rPr>
          <w:color w:val="000000"/>
        </w:rPr>
        <w:t>’</w:t>
      </w:r>
      <w:r w:rsidRPr="008F403C">
        <w:rPr>
          <w:color w:val="000000"/>
        </w:rPr>
        <w:t xml:space="preserve">importance de la conservation des forêts sacrées et de la sauvegarde des traditions qui leur sont associées. Le projet incluait des activités de communication et de sensibilisation sur les traditions et les pratiques des </w:t>
      </w:r>
      <w:proofErr w:type="spellStart"/>
      <w:r w:rsidRPr="008F403C">
        <w:rPr>
          <w:color w:val="000000"/>
        </w:rPr>
        <w:t>Mijikenda</w:t>
      </w:r>
      <w:proofErr w:type="spellEnd"/>
      <w:r w:rsidRPr="008F403C">
        <w:rPr>
          <w:color w:val="000000"/>
        </w:rPr>
        <w:t xml:space="preserve"> à travers la production et la diffusion de 6</w:t>
      </w:r>
      <w:r w:rsidR="001170DF" w:rsidRPr="008F403C">
        <w:rPr>
          <w:color w:val="000000"/>
        </w:rPr>
        <w:t> </w:t>
      </w:r>
      <w:r w:rsidRPr="008F403C">
        <w:rPr>
          <w:color w:val="000000"/>
        </w:rPr>
        <w:t>000 brochures en kiswahili et en anglais.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5864"/>
      </w:tblGrid>
      <w:tr w:rsidR="00A61101" w:rsidRPr="008F403C" w14:paraId="45B9D435" w14:textId="77777777" w:rsidTr="00A4198D">
        <w:trPr>
          <w:cantSplit/>
        </w:trPr>
        <w:tc>
          <w:tcPr>
            <w:tcW w:w="2093" w:type="dxa"/>
            <w:shd w:val="clear" w:color="auto" w:fill="auto"/>
            <w:vAlign w:val="center"/>
          </w:tcPr>
          <w:p w14:paraId="513394C9" w14:textId="77777777" w:rsidR="00A61101" w:rsidRPr="008F403C" w:rsidRDefault="00A61101" w:rsidP="00A4198D">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Burkina Faso</w:t>
            </w:r>
          </w:p>
        </w:tc>
        <w:tc>
          <w:tcPr>
            <w:tcW w:w="1701" w:type="dxa"/>
            <w:shd w:val="clear" w:color="auto" w:fill="auto"/>
            <w:vAlign w:val="center"/>
          </w:tcPr>
          <w:p w14:paraId="42DFC34D"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b/>
                <w:sz w:val="20"/>
                <w:szCs w:val="20"/>
              </w:rPr>
              <w:t>262 080 dollars des États-Unis</w:t>
            </w:r>
          </w:p>
        </w:tc>
        <w:tc>
          <w:tcPr>
            <w:tcW w:w="5864" w:type="dxa"/>
            <w:shd w:val="clear" w:color="auto" w:fill="auto"/>
            <w:vAlign w:val="center"/>
          </w:tcPr>
          <w:p w14:paraId="1D544A79"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b/>
                <w:sz w:val="20"/>
                <w:szCs w:val="20"/>
              </w:rPr>
              <w:t>L’inventaire et la promotion du patrimoine culturel immatériel au Burkina Faso</w:t>
            </w:r>
            <w:r w:rsidRPr="008F403C">
              <w:rPr>
                <w:sz w:val="20"/>
                <w:szCs w:val="20"/>
              </w:rPr>
              <w:t xml:space="preserve"> (n° 00678)</w:t>
            </w:r>
          </w:p>
        </w:tc>
      </w:tr>
      <w:tr w:rsidR="00A61101" w:rsidRPr="008F403C" w14:paraId="2111D6A2" w14:textId="77777777" w:rsidTr="00A4198D">
        <w:trPr>
          <w:cantSplit/>
        </w:trPr>
        <w:tc>
          <w:tcPr>
            <w:tcW w:w="2093" w:type="dxa"/>
            <w:shd w:val="clear" w:color="auto" w:fill="auto"/>
          </w:tcPr>
          <w:p w14:paraId="050EBD57"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65" w:type="dxa"/>
            <w:gridSpan w:val="2"/>
            <w:shd w:val="clear" w:color="auto" w:fill="auto"/>
          </w:tcPr>
          <w:p w14:paraId="21825C0B"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2012 (</w:t>
            </w:r>
            <w:hyperlink r:id="rId43">
              <w:r w:rsidRPr="008F403C">
                <w:rPr>
                  <w:rStyle w:val="Hyperlink"/>
                  <w:sz w:val="20"/>
                  <w:szCs w:val="20"/>
                </w:rPr>
                <w:t>décision 7.COM 10.1</w:t>
              </w:r>
            </w:hyperlink>
            <w:r w:rsidRPr="008F403C">
              <w:rPr>
                <w:color w:val="000000"/>
                <w:sz w:val="20"/>
                <w:szCs w:val="20"/>
              </w:rPr>
              <w:t>)</w:t>
            </w:r>
          </w:p>
        </w:tc>
      </w:tr>
      <w:tr w:rsidR="00A61101" w:rsidRPr="008F403C" w14:paraId="3FCB5D66" w14:textId="77777777" w:rsidTr="00A4198D">
        <w:trPr>
          <w:cantSplit/>
        </w:trPr>
        <w:tc>
          <w:tcPr>
            <w:tcW w:w="2093" w:type="dxa"/>
            <w:shd w:val="clear" w:color="auto" w:fill="auto"/>
          </w:tcPr>
          <w:p w14:paraId="4463C703"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65" w:type="dxa"/>
            <w:gridSpan w:val="2"/>
            <w:shd w:val="clear" w:color="auto" w:fill="auto"/>
          </w:tcPr>
          <w:p w14:paraId="42D6A6D7"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29/03/2013–01/07/2016 (en cours)</w:t>
            </w:r>
          </w:p>
        </w:tc>
      </w:tr>
    </w:tbl>
    <w:p w14:paraId="4D97B570" w14:textId="77CADCFB" w:rsidR="00A61101" w:rsidRPr="008F403C" w:rsidRDefault="00A61101" w:rsidP="00E97482">
      <w:pPr>
        <w:pStyle w:val="Marge"/>
        <w:tabs>
          <w:tab w:val="clear" w:pos="567"/>
        </w:tabs>
        <w:spacing w:before="120"/>
        <w:outlineLvl w:val="0"/>
        <w:rPr>
          <w:color w:val="000000"/>
        </w:rPr>
      </w:pPr>
      <w:r w:rsidRPr="008F403C">
        <w:rPr>
          <w:rFonts w:cs="Arial"/>
          <w:szCs w:val="22"/>
        </w:rPr>
        <w:t>L’objectif de ce projet est de dresser un inventaire des éléments du patrimoine culturel immatériel avec les communautés ethnoculturelles au Burkina Faso qui permettra d’identifier leur état de viabilité et d’assurer leur promotion. À cette fin, le projet s’est déroulé en deux étapes avec une pilote ciblant deux régions abritant six communautés et une seconde phase de généralisation au niveau national. Il a permis de développer une stratégie nationale d’inventaire et de promotion du patrimoine culturel immatériel, de mener une grande campagne de sensibilisation à l’importance du patrimoine culturel immatériel à travers 35 ateliers et la diffusion de débats et de spots radiophoniques et télévisuels des spots, de renforcer les capacités des acteurs engagés dans la sauvegarde du patrimoine culturel immatériel grâce à 9 ateliers de formation aux techniques d’inventaire participatif, de dresser un inventaire de 321 éléments tout en les identifiant les éléments selon leur état de viabilité, et de diffuser les résultats à travers un site internet et des publications. Le projet a été retardé de quelques mois dans sa mise en œuvre en raison des événements socio-politiques intervenus dans le pays à l’automne 2015. Les activités finales sont en cours d’achèvement pour une clôture du projet prévue fin 2016.</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5864"/>
      </w:tblGrid>
      <w:tr w:rsidR="00822137" w:rsidRPr="008F403C" w14:paraId="203C1B91" w14:textId="77777777" w:rsidTr="00412884">
        <w:trPr>
          <w:cantSplit/>
        </w:trPr>
        <w:tc>
          <w:tcPr>
            <w:tcW w:w="2093" w:type="dxa"/>
            <w:shd w:val="clear" w:color="auto" w:fill="auto"/>
            <w:vAlign w:val="center"/>
          </w:tcPr>
          <w:p w14:paraId="71FC1D2D" w14:textId="77777777" w:rsidR="00822137" w:rsidRPr="008F403C" w:rsidRDefault="00822137" w:rsidP="00F02F65">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Mongolie</w:t>
            </w:r>
          </w:p>
        </w:tc>
        <w:tc>
          <w:tcPr>
            <w:tcW w:w="1701" w:type="dxa"/>
            <w:shd w:val="clear" w:color="auto" w:fill="auto"/>
            <w:vAlign w:val="center"/>
          </w:tcPr>
          <w:p w14:paraId="6FF84094" w14:textId="2B00CBFF" w:rsidR="00822137" w:rsidRPr="008F403C" w:rsidRDefault="00760F56" w:rsidP="00822137">
            <w:pPr>
              <w:pStyle w:val="Marge"/>
              <w:keepNext/>
              <w:tabs>
                <w:tab w:val="clear" w:pos="567"/>
              </w:tabs>
              <w:spacing w:before="120" w:after="120"/>
              <w:jc w:val="left"/>
              <w:outlineLvl w:val="0"/>
              <w:rPr>
                <w:rFonts w:cs="Arial"/>
                <w:b/>
                <w:color w:val="000000"/>
                <w:sz w:val="20"/>
                <w:szCs w:val="20"/>
              </w:rPr>
            </w:pPr>
            <w:r w:rsidRPr="008F403C">
              <w:rPr>
                <w:b/>
                <w:sz w:val="20"/>
                <w:szCs w:val="20"/>
              </w:rPr>
              <w:t>89 700</w:t>
            </w:r>
            <w:r w:rsidR="00822137" w:rsidRPr="008F403C">
              <w:rPr>
                <w:b/>
                <w:sz w:val="20"/>
                <w:szCs w:val="20"/>
              </w:rPr>
              <w:t> dollars des États-Unis</w:t>
            </w:r>
          </w:p>
        </w:tc>
        <w:tc>
          <w:tcPr>
            <w:tcW w:w="5864" w:type="dxa"/>
            <w:shd w:val="clear" w:color="auto" w:fill="auto"/>
            <w:vAlign w:val="center"/>
          </w:tcPr>
          <w:p w14:paraId="21D26A13" w14:textId="77777777" w:rsidR="00822137" w:rsidRPr="008F403C" w:rsidRDefault="000437A7" w:rsidP="000437A7">
            <w:pPr>
              <w:pStyle w:val="Marge"/>
              <w:keepNext/>
              <w:tabs>
                <w:tab w:val="clear" w:pos="567"/>
              </w:tabs>
              <w:spacing w:before="120" w:after="120"/>
              <w:jc w:val="left"/>
              <w:outlineLvl w:val="0"/>
              <w:rPr>
                <w:rFonts w:cs="Arial"/>
                <w:b/>
                <w:color w:val="000000"/>
                <w:sz w:val="20"/>
                <w:szCs w:val="20"/>
              </w:rPr>
            </w:pPr>
            <w:r w:rsidRPr="008F403C">
              <w:rPr>
                <w:b/>
                <w:sz w:val="20"/>
                <w:szCs w:val="20"/>
              </w:rPr>
              <w:t>Sauvegarde et revitalisation de l</w:t>
            </w:r>
            <w:r w:rsidR="0054625B" w:rsidRPr="008F403C">
              <w:rPr>
                <w:b/>
                <w:sz w:val="20"/>
                <w:szCs w:val="20"/>
              </w:rPr>
              <w:t>’</w:t>
            </w:r>
            <w:r w:rsidRPr="008F403C">
              <w:rPr>
                <w:b/>
                <w:sz w:val="20"/>
                <w:szCs w:val="20"/>
              </w:rPr>
              <w:t>épopée traditionnelle mongole</w:t>
            </w:r>
            <w:r w:rsidRPr="008F403C">
              <w:rPr>
                <w:sz w:val="20"/>
                <w:szCs w:val="20"/>
              </w:rPr>
              <w:t xml:space="preserve"> (n° 00549)</w:t>
            </w:r>
          </w:p>
        </w:tc>
      </w:tr>
      <w:tr w:rsidR="00822137" w:rsidRPr="008F403C" w14:paraId="0CFF6F2F" w14:textId="77777777" w:rsidTr="00412884">
        <w:trPr>
          <w:cantSplit/>
        </w:trPr>
        <w:tc>
          <w:tcPr>
            <w:tcW w:w="2093" w:type="dxa"/>
            <w:shd w:val="clear" w:color="auto" w:fill="auto"/>
          </w:tcPr>
          <w:p w14:paraId="3CFA5A26" w14:textId="77777777" w:rsidR="00822137" w:rsidRPr="008F403C" w:rsidRDefault="00822137"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65" w:type="dxa"/>
            <w:gridSpan w:val="2"/>
            <w:shd w:val="clear" w:color="auto" w:fill="auto"/>
          </w:tcPr>
          <w:p w14:paraId="6B6140CA" w14:textId="77777777" w:rsidR="00822137" w:rsidRPr="008F403C" w:rsidRDefault="00822137" w:rsidP="000437A7">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2012 (</w:t>
            </w:r>
            <w:hyperlink r:id="rId44">
              <w:r w:rsidRPr="008F403C">
                <w:rPr>
                  <w:rStyle w:val="Hyperlink"/>
                  <w:sz w:val="20"/>
                  <w:szCs w:val="20"/>
                </w:rPr>
                <w:t>décision 7.COM 5.BUR</w:t>
              </w:r>
            </w:hyperlink>
            <w:r w:rsidRPr="008F403C">
              <w:rPr>
                <w:color w:val="000000"/>
                <w:sz w:val="20"/>
                <w:szCs w:val="20"/>
              </w:rPr>
              <w:t>)</w:t>
            </w:r>
          </w:p>
        </w:tc>
      </w:tr>
      <w:tr w:rsidR="00822137" w:rsidRPr="008F403C" w14:paraId="00085AE8" w14:textId="77777777" w:rsidTr="00412884">
        <w:trPr>
          <w:cantSplit/>
        </w:trPr>
        <w:tc>
          <w:tcPr>
            <w:tcW w:w="2093" w:type="dxa"/>
            <w:shd w:val="clear" w:color="auto" w:fill="auto"/>
          </w:tcPr>
          <w:p w14:paraId="3E5923D5" w14:textId="77777777" w:rsidR="00822137" w:rsidRPr="008F403C" w:rsidRDefault="00822137"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65" w:type="dxa"/>
            <w:gridSpan w:val="2"/>
            <w:shd w:val="clear" w:color="auto" w:fill="auto"/>
          </w:tcPr>
          <w:p w14:paraId="7CC08056" w14:textId="589EB121" w:rsidR="00822137" w:rsidRPr="008F403C" w:rsidRDefault="00026925" w:rsidP="0087628E">
            <w:pPr>
              <w:pStyle w:val="Marge"/>
              <w:keepNext/>
              <w:tabs>
                <w:tab w:val="clear" w:pos="567"/>
              </w:tabs>
              <w:spacing w:before="120" w:after="120"/>
              <w:jc w:val="left"/>
              <w:outlineLvl w:val="0"/>
              <w:rPr>
                <w:rFonts w:cs="Arial"/>
                <w:color w:val="000000"/>
                <w:sz w:val="20"/>
                <w:szCs w:val="20"/>
              </w:rPr>
            </w:pPr>
            <w:r w:rsidRPr="008F403C">
              <w:rPr>
                <w:color w:val="000000"/>
                <w:sz w:val="20"/>
                <w:szCs w:val="20"/>
              </w:rPr>
              <w:t>30/</w:t>
            </w:r>
            <w:r w:rsidR="00760F56" w:rsidRPr="008F403C">
              <w:rPr>
                <w:color w:val="000000"/>
                <w:sz w:val="20"/>
                <w:szCs w:val="20"/>
              </w:rPr>
              <w:t>09</w:t>
            </w:r>
            <w:r w:rsidRPr="008F403C">
              <w:rPr>
                <w:color w:val="000000"/>
                <w:sz w:val="20"/>
                <w:szCs w:val="20"/>
              </w:rPr>
              <w:t>/2013 – 30/06/2016</w:t>
            </w:r>
          </w:p>
        </w:tc>
      </w:tr>
      <w:tr w:rsidR="00822137" w:rsidRPr="008F403C" w14:paraId="7027ED5E" w14:textId="77777777" w:rsidTr="00412884">
        <w:trPr>
          <w:cantSplit/>
        </w:trPr>
        <w:tc>
          <w:tcPr>
            <w:tcW w:w="2093" w:type="dxa"/>
            <w:shd w:val="clear" w:color="auto" w:fill="auto"/>
            <w:vAlign w:val="center"/>
          </w:tcPr>
          <w:p w14:paraId="5B942CE7" w14:textId="77777777" w:rsidR="00822137" w:rsidRPr="008F403C" w:rsidRDefault="00822137" w:rsidP="00F02F65">
            <w:pPr>
              <w:pStyle w:val="Marge"/>
              <w:keepNext/>
              <w:spacing w:before="120" w:after="120"/>
              <w:jc w:val="right"/>
              <w:rPr>
                <w:rFonts w:cs="Arial"/>
                <w:i/>
                <w:color w:val="000000"/>
                <w:sz w:val="20"/>
                <w:szCs w:val="20"/>
              </w:rPr>
            </w:pPr>
            <w:r w:rsidRPr="008F403C">
              <w:rPr>
                <w:i/>
                <w:color w:val="000000"/>
                <w:sz w:val="20"/>
                <w:szCs w:val="20"/>
              </w:rPr>
              <w:t xml:space="preserve">Élément concerné : </w:t>
            </w:r>
          </w:p>
        </w:tc>
        <w:tc>
          <w:tcPr>
            <w:tcW w:w="7565" w:type="dxa"/>
            <w:gridSpan w:val="2"/>
            <w:shd w:val="clear" w:color="auto" w:fill="auto"/>
            <w:vAlign w:val="center"/>
          </w:tcPr>
          <w:p w14:paraId="5E8B83B7" w14:textId="77777777" w:rsidR="00822137" w:rsidRPr="008F403C" w:rsidRDefault="00026925" w:rsidP="00F02F65">
            <w:pPr>
              <w:pStyle w:val="Marge"/>
              <w:keepNext/>
              <w:spacing w:before="120" w:after="120"/>
              <w:jc w:val="left"/>
              <w:rPr>
                <w:rFonts w:cs="Arial"/>
                <w:color w:val="000000"/>
                <w:sz w:val="20"/>
                <w:szCs w:val="20"/>
              </w:rPr>
            </w:pPr>
            <w:r w:rsidRPr="008F403C">
              <w:rPr>
                <w:color w:val="000000"/>
                <w:sz w:val="20"/>
                <w:szCs w:val="20"/>
              </w:rPr>
              <w:t xml:space="preserve">Le </w:t>
            </w:r>
            <w:proofErr w:type="spellStart"/>
            <w:r w:rsidRPr="008F403C">
              <w:rPr>
                <w:color w:val="000000"/>
                <w:sz w:val="20"/>
                <w:szCs w:val="20"/>
              </w:rPr>
              <w:t>Tuuli</w:t>
            </w:r>
            <w:proofErr w:type="spellEnd"/>
            <w:r w:rsidRPr="008F403C">
              <w:rPr>
                <w:color w:val="000000"/>
                <w:sz w:val="20"/>
                <w:szCs w:val="20"/>
              </w:rPr>
              <w:t xml:space="preserve"> mongol, épopée mongole (inscrit en 2009 sur la Liste de sauvegarde urgente)</w:t>
            </w:r>
          </w:p>
          <w:p w14:paraId="2948FD3E" w14:textId="1A5C87FD" w:rsidR="00822137" w:rsidRPr="008F403C" w:rsidRDefault="00822137" w:rsidP="00026925">
            <w:pPr>
              <w:pStyle w:val="Marge"/>
              <w:keepNext/>
              <w:spacing w:before="120" w:after="120"/>
              <w:jc w:val="left"/>
              <w:rPr>
                <w:rFonts w:cs="Arial"/>
                <w:color w:val="000000"/>
                <w:sz w:val="20"/>
                <w:szCs w:val="20"/>
              </w:rPr>
            </w:pPr>
            <w:r w:rsidRPr="008F403C">
              <w:rPr>
                <w:color w:val="000000"/>
                <w:sz w:val="20"/>
                <w:szCs w:val="20"/>
              </w:rPr>
              <w:t>Rapport quadriennal consultable à l</w:t>
            </w:r>
            <w:r w:rsidR="0054625B" w:rsidRPr="008F403C">
              <w:rPr>
                <w:color w:val="000000"/>
                <w:sz w:val="20"/>
                <w:szCs w:val="20"/>
              </w:rPr>
              <w:t>’</w:t>
            </w:r>
            <w:r w:rsidRPr="008F403C">
              <w:rPr>
                <w:color w:val="000000"/>
                <w:sz w:val="20"/>
                <w:szCs w:val="20"/>
              </w:rPr>
              <w:t>adresse :</w:t>
            </w:r>
            <w:r w:rsidR="00CA68F7" w:rsidRPr="008F403C">
              <w:rPr>
                <w:rFonts w:eastAsiaTheme="minorEastAsia"/>
                <w:color w:val="000000"/>
                <w:sz w:val="20"/>
                <w:szCs w:val="20"/>
                <w:lang w:eastAsia="ko-KR"/>
              </w:rPr>
              <w:t xml:space="preserve"> </w:t>
            </w:r>
            <w:hyperlink r:id="rId45">
              <w:r w:rsidRPr="008F403C">
                <w:rPr>
                  <w:rStyle w:val="Hyperlink"/>
                  <w:sz w:val="20"/>
                  <w:szCs w:val="20"/>
                </w:rPr>
                <w:t>http://www.unesco.org/culture/ich/doc/download.php?versionID=33099</w:t>
              </w:r>
            </w:hyperlink>
            <w:r w:rsidRPr="008F403C">
              <w:rPr>
                <w:color w:val="000000"/>
                <w:sz w:val="20"/>
                <w:szCs w:val="20"/>
              </w:rPr>
              <w:t xml:space="preserve">. </w:t>
            </w:r>
          </w:p>
        </w:tc>
      </w:tr>
    </w:tbl>
    <w:p w14:paraId="46CA11AE" w14:textId="77777777" w:rsidR="00822137" w:rsidRPr="008F403C" w:rsidRDefault="00F02F65" w:rsidP="00260258">
      <w:pPr>
        <w:pStyle w:val="Marge"/>
        <w:tabs>
          <w:tab w:val="clear" w:pos="567"/>
        </w:tabs>
        <w:spacing w:before="120" w:after="120"/>
        <w:outlineLvl w:val="0"/>
      </w:pPr>
      <w:r w:rsidRPr="008F403C">
        <w:rPr>
          <w:color w:val="000000"/>
        </w:rPr>
        <w:t>Considérée comme une encyclopédie vivante de l</w:t>
      </w:r>
      <w:r w:rsidR="0054625B" w:rsidRPr="008F403C">
        <w:rPr>
          <w:color w:val="000000"/>
        </w:rPr>
        <w:t>’</w:t>
      </w:r>
      <w:r w:rsidRPr="008F403C">
        <w:rPr>
          <w:color w:val="000000"/>
        </w:rPr>
        <w:t>histoire du peuple mongol et de ses traditions orales, l</w:t>
      </w:r>
      <w:r w:rsidR="0054625B" w:rsidRPr="008F403C">
        <w:rPr>
          <w:color w:val="000000"/>
        </w:rPr>
        <w:t>’</w:t>
      </w:r>
      <w:r w:rsidRPr="008F403C">
        <w:rPr>
          <w:color w:val="000000"/>
        </w:rPr>
        <w:t xml:space="preserve">épopée traditionnelle mongole combine des épisodes héroïques, des panégyriques, des bénédictions et des formules magiques à des mythes, des contes et des expressions idiomatiques. </w:t>
      </w:r>
      <w:r w:rsidRPr="008F403C">
        <w:t>Détenue par des communautés nomades dont beaucoup de membres ne maîtrisent ni la lecture ni l</w:t>
      </w:r>
      <w:r w:rsidR="0054625B" w:rsidRPr="008F403C">
        <w:t>’</w:t>
      </w:r>
      <w:r w:rsidRPr="008F403C">
        <w:t>écriture, l</w:t>
      </w:r>
      <w:r w:rsidR="0054625B" w:rsidRPr="008F403C">
        <w:t>’</w:t>
      </w:r>
      <w:r w:rsidRPr="008F403C">
        <w:t>épopée traditionnelle mongole a joué un rôle irremplaçable dans la transmission de leur patrimoine culturel.</w:t>
      </w:r>
      <w:r w:rsidR="00C72976" w:rsidRPr="008F403C">
        <w:t xml:space="preserve"> </w:t>
      </w:r>
      <w:r w:rsidRPr="008F403C">
        <w:t>De nos jours, le nombre de formateurs et d</w:t>
      </w:r>
      <w:r w:rsidR="0054625B" w:rsidRPr="008F403C">
        <w:t>’</w:t>
      </w:r>
      <w:r w:rsidRPr="008F403C">
        <w:t>apprentis diminue en raison de la disparition progressive de l</w:t>
      </w:r>
      <w:r w:rsidR="0054625B" w:rsidRPr="008F403C">
        <w:t>’</w:t>
      </w:r>
      <w:r w:rsidRPr="008F403C">
        <w:t xml:space="preserve">épopée mongole et de la </w:t>
      </w:r>
      <w:r w:rsidR="00C72976" w:rsidRPr="008F403C">
        <w:t xml:space="preserve">fragilisation </w:t>
      </w:r>
      <w:r w:rsidRPr="008F403C">
        <w:t>du système de transmission des connaissances historiques et culturelles des communautés.</w:t>
      </w:r>
      <w:r w:rsidR="00C72976" w:rsidRPr="008F403C">
        <w:t xml:space="preserve"> </w:t>
      </w:r>
      <w:r w:rsidRPr="008F403C">
        <w:t>Le projet a permis de mettre en œuvre plusieurs des mesures indiquées dans le plan de sauvegarde proposé dans la candidature en vue de revitaliser la tradition, par l</w:t>
      </w:r>
      <w:r w:rsidR="0054625B" w:rsidRPr="008F403C">
        <w:t>’</w:t>
      </w:r>
      <w:r w:rsidRPr="008F403C">
        <w:t>intermédiaire notamment d</w:t>
      </w:r>
      <w:r w:rsidR="0054625B" w:rsidRPr="008F403C">
        <w:t>’</w:t>
      </w:r>
      <w:r w:rsidRPr="008F403C">
        <w:t>une meilleure documentation et de la formation de jeunes apprentis.</w:t>
      </w:r>
    </w:p>
    <w:p w14:paraId="209E94AF" w14:textId="572F4503" w:rsidR="00A61101" w:rsidRPr="008F403C" w:rsidRDefault="00BD6BBB" w:rsidP="00A61101">
      <w:pPr>
        <w:pStyle w:val="Marge"/>
        <w:tabs>
          <w:tab w:val="clear" w:pos="567"/>
        </w:tabs>
        <w:spacing w:before="120"/>
        <w:outlineLvl w:val="0"/>
      </w:pPr>
      <w:r w:rsidRPr="008F403C">
        <w:t xml:space="preserve">Le projet a commencé par une étude </w:t>
      </w:r>
      <w:r w:rsidR="00760F56" w:rsidRPr="008F403C">
        <w:t>de</w:t>
      </w:r>
      <w:r w:rsidRPr="008F403C">
        <w:t xml:space="preserve"> terrain sur l</w:t>
      </w:r>
      <w:r w:rsidR="0054625B" w:rsidRPr="008F403C">
        <w:t>’</w:t>
      </w:r>
      <w:r w:rsidRPr="008F403C">
        <w:t>état actuel de l</w:t>
      </w:r>
      <w:r w:rsidR="0054625B" w:rsidRPr="008F403C">
        <w:t>’</w:t>
      </w:r>
      <w:r w:rsidRPr="008F403C">
        <w:t>épopée, de son répertoire et des pratiques qui lui sont associées et a permis de former 25 individus, parmi lesquels des artistes et des apprentis. Des centres de formation ont été mis en place dans des écoles et des théâtres avec la participation de praticiens et de spécialistes qui s</w:t>
      </w:r>
      <w:r w:rsidR="0054625B" w:rsidRPr="008F403C">
        <w:t>’</w:t>
      </w:r>
      <w:r w:rsidRPr="008F403C">
        <w:t>appuient sur des enregistrements audiovisuels pour faire revivre les épopées oubliées. Tout au long de cette période, les connaissances acquises par les formateurs et les apprentis ont été testées dans le cadre des procédures d</w:t>
      </w:r>
      <w:r w:rsidR="0054625B" w:rsidRPr="008F403C">
        <w:t>’</w:t>
      </w:r>
      <w:r w:rsidRPr="008F403C">
        <w:t>évaluation du projet. Le Centre du patrimoine culturel a publié un guide destiné aux praticiens de l</w:t>
      </w:r>
      <w:r w:rsidR="0054625B" w:rsidRPr="008F403C">
        <w:t>’</w:t>
      </w:r>
      <w:r w:rsidRPr="008F403C">
        <w:t>épopée sur les différentes techniques de pratique de l</w:t>
      </w:r>
      <w:r w:rsidR="0054625B" w:rsidRPr="008F403C">
        <w:t>’</w:t>
      </w:r>
      <w:r w:rsidRPr="008F403C">
        <w:t>épopée et les modes de transmission traditionnels. Une série de 11 volumes regroupant les textes des épopées tels que déclamés par différents groupes ethniques a également été publiée. Le projet a permis aux responsables culturels d</w:t>
      </w:r>
      <w:r w:rsidR="0054625B" w:rsidRPr="008F403C">
        <w:t>’</w:t>
      </w:r>
      <w:r w:rsidRPr="008F403C">
        <w:t>acquérir une expérience pratique en matière d</w:t>
      </w:r>
      <w:r w:rsidR="0054625B" w:rsidRPr="008F403C">
        <w:t>’</w:t>
      </w:r>
      <w:r w:rsidRPr="008F403C">
        <w:t>identification et de documentation du patrimoine culturel immatériel et aux praticiens d</w:t>
      </w:r>
      <w:r w:rsidR="0054625B" w:rsidRPr="008F403C">
        <w:t>’</w:t>
      </w:r>
      <w:r w:rsidRPr="008F403C">
        <w:t>élaborer des systèmes de transmission adaptés à la situation actuelle de la Mongolie.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5864"/>
      </w:tblGrid>
      <w:tr w:rsidR="00A61101" w:rsidRPr="008F403C" w14:paraId="5AC06802" w14:textId="77777777" w:rsidTr="00A4198D">
        <w:trPr>
          <w:cantSplit/>
        </w:trPr>
        <w:tc>
          <w:tcPr>
            <w:tcW w:w="2093" w:type="dxa"/>
            <w:shd w:val="clear" w:color="auto" w:fill="auto"/>
            <w:vAlign w:val="center"/>
          </w:tcPr>
          <w:p w14:paraId="7EBAC7C0" w14:textId="77777777" w:rsidR="00A61101" w:rsidRPr="008F403C" w:rsidRDefault="00A61101" w:rsidP="00A4198D">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Maroc</w:t>
            </w:r>
          </w:p>
        </w:tc>
        <w:tc>
          <w:tcPr>
            <w:tcW w:w="1701" w:type="dxa"/>
            <w:shd w:val="clear" w:color="auto" w:fill="auto"/>
            <w:vAlign w:val="center"/>
          </w:tcPr>
          <w:p w14:paraId="5E8E0A35"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b/>
                <w:sz w:val="20"/>
                <w:szCs w:val="20"/>
              </w:rPr>
              <w:t>14 100 dollars des États-Unis</w:t>
            </w:r>
          </w:p>
        </w:tc>
        <w:tc>
          <w:tcPr>
            <w:tcW w:w="5864" w:type="dxa"/>
            <w:shd w:val="clear" w:color="auto" w:fill="auto"/>
            <w:vAlign w:val="center"/>
          </w:tcPr>
          <w:p w14:paraId="0A2A7E08"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proofErr w:type="spellStart"/>
            <w:r w:rsidRPr="008F403C">
              <w:rPr>
                <w:b/>
                <w:sz w:val="20"/>
                <w:szCs w:val="20"/>
              </w:rPr>
              <w:t>Taskiwine</w:t>
            </w:r>
            <w:proofErr w:type="spellEnd"/>
            <w:r w:rsidRPr="008F403C">
              <w:rPr>
                <w:b/>
                <w:sz w:val="20"/>
                <w:szCs w:val="20"/>
              </w:rPr>
              <w:t>, danse et chants amazighes du Haut-Atlas occidental</w:t>
            </w:r>
            <w:r w:rsidRPr="008F403C">
              <w:rPr>
                <w:sz w:val="20"/>
                <w:szCs w:val="20"/>
              </w:rPr>
              <w:t xml:space="preserve"> (n° 01052)</w:t>
            </w:r>
          </w:p>
          <w:p w14:paraId="1B31A62A"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color w:val="000000"/>
                <w:sz w:val="20"/>
                <w:szCs w:val="20"/>
              </w:rPr>
              <w:t>Assistance préparatoire</w:t>
            </w:r>
          </w:p>
        </w:tc>
      </w:tr>
      <w:tr w:rsidR="00A61101" w:rsidRPr="008F403C" w14:paraId="1757A515" w14:textId="77777777" w:rsidTr="00A4198D">
        <w:trPr>
          <w:cantSplit/>
        </w:trPr>
        <w:tc>
          <w:tcPr>
            <w:tcW w:w="2093" w:type="dxa"/>
            <w:shd w:val="clear" w:color="auto" w:fill="auto"/>
          </w:tcPr>
          <w:p w14:paraId="2262EAE5"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65" w:type="dxa"/>
            <w:gridSpan w:val="2"/>
            <w:shd w:val="clear" w:color="auto" w:fill="auto"/>
          </w:tcPr>
          <w:p w14:paraId="47DA28AF"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2014 (</w:t>
            </w:r>
            <w:hyperlink r:id="rId46">
              <w:r w:rsidRPr="008F403C">
                <w:rPr>
                  <w:rStyle w:val="Hyperlink"/>
                  <w:sz w:val="20"/>
                  <w:szCs w:val="20"/>
                </w:rPr>
                <w:t>décision 9.COM 4.BUR 2</w:t>
              </w:r>
            </w:hyperlink>
            <w:r w:rsidRPr="008F403C">
              <w:rPr>
                <w:color w:val="000000"/>
                <w:sz w:val="20"/>
                <w:szCs w:val="20"/>
              </w:rPr>
              <w:t>)</w:t>
            </w:r>
          </w:p>
        </w:tc>
      </w:tr>
      <w:tr w:rsidR="00A61101" w:rsidRPr="008F403C" w14:paraId="76207ED3" w14:textId="77777777" w:rsidTr="00A4198D">
        <w:trPr>
          <w:cantSplit/>
        </w:trPr>
        <w:tc>
          <w:tcPr>
            <w:tcW w:w="2093" w:type="dxa"/>
            <w:shd w:val="clear" w:color="auto" w:fill="auto"/>
          </w:tcPr>
          <w:p w14:paraId="1864D280"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65" w:type="dxa"/>
            <w:gridSpan w:val="2"/>
            <w:shd w:val="clear" w:color="auto" w:fill="auto"/>
          </w:tcPr>
          <w:p w14:paraId="6EEC30FE"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15/12/2014-30/04/2016</w:t>
            </w:r>
          </w:p>
        </w:tc>
      </w:tr>
    </w:tbl>
    <w:p w14:paraId="6E92B9F2" w14:textId="18B993F8" w:rsidR="00A61101" w:rsidRPr="008F403C" w:rsidRDefault="00A61101" w:rsidP="00A61101">
      <w:pPr>
        <w:pStyle w:val="Marge"/>
        <w:tabs>
          <w:tab w:val="clear" w:pos="567"/>
        </w:tabs>
        <w:spacing w:before="120"/>
        <w:outlineLvl w:val="0"/>
        <w:rPr>
          <w:rFonts w:cs="Arial"/>
          <w:szCs w:val="22"/>
        </w:rPr>
      </w:pPr>
      <w:r w:rsidRPr="008F403C">
        <w:rPr>
          <w:rFonts w:cs="Arial"/>
          <w:szCs w:val="22"/>
        </w:rPr>
        <w:t xml:space="preserve">L’objectif de ce projet était de contribuer à la revitalisation du </w:t>
      </w:r>
      <w:proofErr w:type="spellStart"/>
      <w:r w:rsidRPr="008F403C">
        <w:rPr>
          <w:rFonts w:cs="Arial"/>
          <w:szCs w:val="22"/>
        </w:rPr>
        <w:t>Taskiwine</w:t>
      </w:r>
      <w:proofErr w:type="spellEnd"/>
      <w:r w:rsidRPr="008F403C">
        <w:rPr>
          <w:rFonts w:cs="Arial"/>
          <w:szCs w:val="22"/>
        </w:rPr>
        <w:t>, danse et chants amazighe du Haut Atlas occidental à travers l’élaboration d’une candidature pour inscription sur la Liste du patrimoine culturel immatériel nécessitant une sauvegarde urgente. Plus spécifiquement, le projet visait à : impliquer les communautés, notamment pour élaborer un plan de sauvegarde et obtenir leur consentement ; inclure l’élément dans un inventaire du patrimoine culturel immatériel présent sur le territoire du Maroc et réaliser les produits audiovisuels demandés pour le dossier de candidature. Les objectifs spécifiques visés ont été atteints notamment grâce à la tenue de deux réunions de consultation menées avec les communautés et les différents acteurs institutionnels ainsi qu’une visite de terrain. La première consultation ayant connu une grande participation des communautés et créé de nombreuses attentes, il a été jugé nécessaire de s’accorder un délai d’une année supplémentaire pour mener à bien la deuxième consultation. Ainsi les communautés ont pu pleinement contribuer à l’élaboration d’un plan de sauvegarde de quatre ans (2017-2020), à la finalisation de l’inventaire, à la sélection des photos et au film documentaire accompagnant le dossier. Le travail préparatoire de la candidature a duré trois ans et pu mobiliser de nombreuses communautés, les institutions et les médias sur le besoin de revitalisation de cet élément. La mise en œuvre des premières mesures de sauvegarde est prévue pour l’automne 2016. Pour financer le plan de sauvegarde, il est prévu de préparer une demande d’assistance internationale en sus de la participation de l’État.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5864"/>
      </w:tblGrid>
      <w:tr w:rsidR="00A61101" w:rsidRPr="008F403C" w14:paraId="2E73EB0B" w14:textId="77777777" w:rsidTr="00A4198D">
        <w:trPr>
          <w:cantSplit/>
        </w:trPr>
        <w:tc>
          <w:tcPr>
            <w:tcW w:w="2093" w:type="dxa"/>
            <w:shd w:val="clear" w:color="auto" w:fill="auto"/>
            <w:vAlign w:val="center"/>
          </w:tcPr>
          <w:p w14:paraId="0DF45E72" w14:textId="77777777" w:rsidR="00A61101" w:rsidRPr="008F403C" w:rsidRDefault="00A61101" w:rsidP="00A4198D">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Mongolie</w:t>
            </w:r>
          </w:p>
        </w:tc>
        <w:tc>
          <w:tcPr>
            <w:tcW w:w="1701" w:type="dxa"/>
            <w:shd w:val="clear" w:color="auto" w:fill="auto"/>
            <w:vAlign w:val="center"/>
          </w:tcPr>
          <w:p w14:paraId="72D7F3AF"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b/>
                <w:sz w:val="20"/>
                <w:szCs w:val="20"/>
              </w:rPr>
              <w:t>24 900 dollars des États-Unis</w:t>
            </w:r>
          </w:p>
        </w:tc>
        <w:tc>
          <w:tcPr>
            <w:tcW w:w="5864" w:type="dxa"/>
            <w:shd w:val="clear" w:color="auto" w:fill="auto"/>
            <w:vAlign w:val="center"/>
          </w:tcPr>
          <w:p w14:paraId="61AC6A39"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b/>
                <w:sz w:val="20"/>
                <w:szCs w:val="20"/>
              </w:rPr>
              <w:t>Amélioration des capacités des ONG actives dans le domaine du patrimoine culturel immatériel en Mongolie</w:t>
            </w:r>
            <w:r w:rsidRPr="008F403C">
              <w:rPr>
                <w:sz w:val="20"/>
                <w:szCs w:val="20"/>
              </w:rPr>
              <w:t xml:space="preserve"> (n° 00910)</w:t>
            </w:r>
          </w:p>
        </w:tc>
      </w:tr>
      <w:tr w:rsidR="00A61101" w:rsidRPr="008F403C" w14:paraId="25D4E881" w14:textId="77777777" w:rsidTr="00A4198D">
        <w:trPr>
          <w:cantSplit/>
        </w:trPr>
        <w:tc>
          <w:tcPr>
            <w:tcW w:w="2093" w:type="dxa"/>
            <w:shd w:val="clear" w:color="auto" w:fill="auto"/>
          </w:tcPr>
          <w:p w14:paraId="300CD2C6"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65" w:type="dxa"/>
            <w:gridSpan w:val="2"/>
            <w:shd w:val="clear" w:color="auto" w:fill="auto"/>
          </w:tcPr>
          <w:p w14:paraId="76FEBE3C"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2014 (</w:t>
            </w:r>
            <w:hyperlink r:id="rId47">
              <w:r w:rsidRPr="008F403C">
                <w:rPr>
                  <w:rStyle w:val="Hyperlink"/>
                  <w:sz w:val="20"/>
                  <w:szCs w:val="20"/>
                </w:rPr>
                <w:t>décision 9.COM 4.BUR 1.2</w:t>
              </w:r>
            </w:hyperlink>
            <w:r w:rsidRPr="008F403C">
              <w:rPr>
                <w:color w:val="000000"/>
                <w:sz w:val="20"/>
                <w:szCs w:val="20"/>
              </w:rPr>
              <w:t>)</w:t>
            </w:r>
          </w:p>
        </w:tc>
      </w:tr>
      <w:tr w:rsidR="00A61101" w:rsidRPr="008F403C" w14:paraId="100F5557" w14:textId="77777777" w:rsidTr="00A4198D">
        <w:trPr>
          <w:cantSplit/>
        </w:trPr>
        <w:tc>
          <w:tcPr>
            <w:tcW w:w="2093" w:type="dxa"/>
            <w:shd w:val="clear" w:color="auto" w:fill="auto"/>
          </w:tcPr>
          <w:p w14:paraId="73E85522"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65" w:type="dxa"/>
            <w:gridSpan w:val="2"/>
            <w:shd w:val="clear" w:color="auto" w:fill="auto"/>
          </w:tcPr>
          <w:p w14:paraId="3316E300"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17/04/2015-31/12/2015</w:t>
            </w:r>
          </w:p>
        </w:tc>
      </w:tr>
    </w:tbl>
    <w:p w14:paraId="37499205" w14:textId="77777777" w:rsidR="00A61101" w:rsidRPr="008F403C" w:rsidRDefault="00A61101" w:rsidP="00A61101">
      <w:pPr>
        <w:pStyle w:val="Marge"/>
        <w:tabs>
          <w:tab w:val="clear" w:pos="567"/>
        </w:tabs>
        <w:spacing w:before="120" w:after="120"/>
        <w:outlineLvl w:val="0"/>
        <w:rPr>
          <w:rFonts w:eastAsiaTheme="minorEastAsia"/>
          <w:lang w:eastAsia="ko-KR"/>
        </w:rPr>
      </w:pPr>
      <w:r w:rsidRPr="008F403C">
        <w:t xml:space="preserve">L’objectif de ce projet était de répondre à la nécessité de renforcer les capacités des organisations non gouvernementales actives dans le domaine du patrimoine culturel immatériel, car, jusqu’à alors, ce type d’efforts se concentrait sur les fonctionnaires. Mené par l’une de ces organisations (la Fondation pour la protection du patrimoine naturel et culturel, accréditée pour exercer </w:t>
      </w:r>
      <w:proofErr w:type="spellStart"/>
      <w:r w:rsidRPr="008F403C">
        <w:t>ds</w:t>
      </w:r>
      <w:proofErr w:type="spellEnd"/>
      <w:r w:rsidRPr="008F403C">
        <w:t xml:space="preserve"> fonctions consultatives auprès du Comité), le projet visait à procurer à ses pairs et aux organisations communautaires les connaissances nécessaires pour mener des recherches sur le terrain et former un groupe de formateurs et d’agents culturels et à améliorer la visibilité des organisations non gouvernementales qui travaillent à la sauvegarde patrimoine culturel immatériel. Un concours a été organisé à l’échelle nationale pour sélectionner les meilleures pratiques adoptées par les organisations non gouvernementales et inciter un grand nombre d’organisations à participer au projet. Pas moins de 200 propositions ont été reçues. Cette initiative a permis de faire connaître plus de 30 organisations non gouvernementales impliquées dans des activités de sauvegarde et, finalement, de créer un réseau regroupant plus de 100 entités.</w:t>
      </w:r>
    </w:p>
    <w:p w14:paraId="20BC3039" w14:textId="1C739220" w:rsidR="00A61101" w:rsidRPr="008F403C" w:rsidRDefault="00A61101" w:rsidP="00A61101">
      <w:pPr>
        <w:pStyle w:val="Marge"/>
        <w:tabs>
          <w:tab w:val="clear" w:pos="567"/>
        </w:tabs>
        <w:spacing w:before="120"/>
        <w:outlineLvl w:val="0"/>
      </w:pPr>
      <w:r w:rsidRPr="008F403C">
        <w:t>Quatre-vingts représentants d’organisations non gouvernementales ont reçu une formation sur la mise en œuvre de la Convention au niveau national à l’occasion d’un atelier de deux jours qui s’est tenu à Oulan-Bator. Lors de cet atelier, les gagnants du concours ont été invités à présenter leurs initiatives en matière de sauvegarde. Un guide sur le patrimoine culturel immatériel spécialement destiné aux organisations non gouvernementales a été élaboré ; 500 copies de ce guide ont été produites. Le projet a également donné lieu à la création d’un site Internet dédié à la Fondation (</w:t>
      </w:r>
      <w:hyperlink r:id="rId48">
        <w:r w:rsidRPr="008F403C">
          <w:rPr>
            <w:rStyle w:val="Hyperlink"/>
          </w:rPr>
          <w:t>www.ich-ngo.mn</w:t>
        </w:r>
      </w:hyperlink>
      <w:r w:rsidRPr="008F403C">
        <w:t>) qui offre une plate-forme d’échange au réseau des organisations non gouvernementales.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5864"/>
      </w:tblGrid>
      <w:tr w:rsidR="00F52CFC" w:rsidRPr="008F403C" w14:paraId="72ED3BBE" w14:textId="77777777" w:rsidTr="00412884">
        <w:trPr>
          <w:cantSplit/>
        </w:trPr>
        <w:tc>
          <w:tcPr>
            <w:tcW w:w="2093" w:type="dxa"/>
            <w:shd w:val="clear" w:color="auto" w:fill="auto"/>
            <w:vAlign w:val="center"/>
          </w:tcPr>
          <w:p w14:paraId="30C63FB5" w14:textId="77777777" w:rsidR="00F52CFC" w:rsidRPr="008F403C" w:rsidRDefault="00F52CFC" w:rsidP="00F02F65">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Viet Nam</w:t>
            </w:r>
          </w:p>
        </w:tc>
        <w:tc>
          <w:tcPr>
            <w:tcW w:w="1701" w:type="dxa"/>
            <w:shd w:val="clear" w:color="auto" w:fill="auto"/>
            <w:vAlign w:val="center"/>
          </w:tcPr>
          <w:p w14:paraId="4086D1F4" w14:textId="77777777" w:rsidR="00F52CFC" w:rsidRPr="008F403C" w:rsidRDefault="00F52CFC" w:rsidP="00F52CFC">
            <w:pPr>
              <w:pStyle w:val="Marge"/>
              <w:keepNext/>
              <w:tabs>
                <w:tab w:val="clear" w:pos="567"/>
              </w:tabs>
              <w:spacing w:before="120" w:after="120"/>
              <w:jc w:val="left"/>
              <w:outlineLvl w:val="0"/>
              <w:rPr>
                <w:rFonts w:cs="Arial"/>
                <w:b/>
                <w:color w:val="000000"/>
                <w:sz w:val="20"/>
                <w:szCs w:val="20"/>
              </w:rPr>
            </w:pPr>
            <w:r w:rsidRPr="008F403C">
              <w:rPr>
                <w:b/>
                <w:sz w:val="20"/>
                <w:szCs w:val="20"/>
              </w:rPr>
              <w:t>24 350 dollars des États-Unis</w:t>
            </w:r>
          </w:p>
        </w:tc>
        <w:tc>
          <w:tcPr>
            <w:tcW w:w="5864" w:type="dxa"/>
            <w:shd w:val="clear" w:color="auto" w:fill="auto"/>
            <w:vAlign w:val="center"/>
          </w:tcPr>
          <w:p w14:paraId="0F315742" w14:textId="77777777" w:rsidR="00F52CFC" w:rsidRPr="008F403C" w:rsidRDefault="00F52CFC" w:rsidP="00F02F65">
            <w:pPr>
              <w:pStyle w:val="Marge"/>
              <w:keepNext/>
              <w:tabs>
                <w:tab w:val="clear" w:pos="567"/>
              </w:tabs>
              <w:spacing w:before="120" w:after="120"/>
              <w:jc w:val="left"/>
              <w:outlineLvl w:val="0"/>
              <w:rPr>
                <w:rFonts w:cs="Arial"/>
                <w:b/>
                <w:color w:val="000000"/>
                <w:sz w:val="20"/>
                <w:szCs w:val="20"/>
              </w:rPr>
            </w:pPr>
            <w:r w:rsidRPr="008F403C">
              <w:rPr>
                <w:b/>
                <w:sz w:val="20"/>
                <w:szCs w:val="20"/>
              </w:rPr>
              <w:t>Sauvegarde des traditions et expressions orales des Dao dans les provinces de Lao Cai et Lai Chau, Viet Nam</w:t>
            </w:r>
            <w:r w:rsidRPr="008F403C">
              <w:rPr>
                <w:sz w:val="20"/>
                <w:szCs w:val="20"/>
              </w:rPr>
              <w:t xml:space="preserve"> (n° 00599)</w:t>
            </w:r>
          </w:p>
        </w:tc>
      </w:tr>
      <w:tr w:rsidR="00F52CFC" w:rsidRPr="008F403C" w14:paraId="02D270C1" w14:textId="77777777" w:rsidTr="00412884">
        <w:trPr>
          <w:cantSplit/>
        </w:trPr>
        <w:tc>
          <w:tcPr>
            <w:tcW w:w="2093" w:type="dxa"/>
            <w:shd w:val="clear" w:color="auto" w:fill="auto"/>
          </w:tcPr>
          <w:p w14:paraId="1219CDC7" w14:textId="77777777" w:rsidR="00F52CFC" w:rsidRPr="008F403C" w:rsidRDefault="00F52CFC"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65" w:type="dxa"/>
            <w:gridSpan w:val="2"/>
            <w:shd w:val="clear" w:color="auto" w:fill="auto"/>
          </w:tcPr>
          <w:p w14:paraId="02F8188C" w14:textId="77777777" w:rsidR="00F52CFC" w:rsidRPr="008F403C" w:rsidRDefault="00F52CFC" w:rsidP="00F52CFC">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2014 (</w:t>
            </w:r>
            <w:hyperlink r:id="rId49">
              <w:r w:rsidRPr="008F403C">
                <w:rPr>
                  <w:rStyle w:val="Hyperlink"/>
                  <w:sz w:val="20"/>
                  <w:szCs w:val="20"/>
                </w:rPr>
                <w:t>décision 9.COM 4.BUR 1.3</w:t>
              </w:r>
            </w:hyperlink>
            <w:r w:rsidRPr="008F403C">
              <w:rPr>
                <w:color w:val="000000"/>
                <w:sz w:val="20"/>
                <w:szCs w:val="20"/>
              </w:rPr>
              <w:t>)</w:t>
            </w:r>
          </w:p>
        </w:tc>
      </w:tr>
      <w:tr w:rsidR="00F52CFC" w:rsidRPr="008F403C" w14:paraId="730041C1" w14:textId="77777777" w:rsidTr="00412884">
        <w:trPr>
          <w:cantSplit/>
        </w:trPr>
        <w:tc>
          <w:tcPr>
            <w:tcW w:w="2093" w:type="dxa"/>
            <w:shd w:val="clear" w:color="auto" w:fill="auto"/>
          </w:tcPr>
          <w:p w14:paraId="5E3C50F0" w14:textId="77777777" w:rsidR="00F52CFC" w:rsidRPr="008F403C" w:rsidRDefault="00F52CFC"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65" w:type="dxa"/>
            <w:gridSpan w:val="2"/>
            <w:shd w:val="clear" w:color="auto" w:fill="auto"/>
          </w:tcPr>
          <w:p w14:paraId="4AF9FA33" w14:textId="77777777" w:rsidR="00F52CFC" w:rsidRPr="008F403C" w:rsidRDefault="00E97482" w:rsidP="00F02F65">
            <w:pPr>
              <w:pStyle w:val="Marge"/>
              <w:keepNext/>
              <w:tabs>
                <w:tab w:val="clear" w:pos="567"/>
              </w:tabs>
              <w:spacing w:before="120" w:after="120"/>
              <w:jc w:val="left"/>
              <w:outlineLvl w:val="0"/>
              <w:rPr>
                <w:rFonts w:cs="Arial"/>
                <w:color w:val="000000"/>
                <w:sz w:val="20"/>
                <w:szCs w:val="20"/>
              </w:rPr>
            </w:pPr>
            <w:r w:rsidRPr="008F403C">
              <w:rPr>
                <w:color w:val="000000"/>
                <w:sz w:val="20"/>
                <w:szCs w:val="20"/>
              </w:rPr>
              <w:t>08/07/2015 – 30/06/2016</w:t>
            </w:r>
          </w:p>
        </w:tc>
      </w:tr>
    </w:tbl>
    <w:p w14:paraId="249E23DC" w14:textId="0C8E7F41" w:rsidR="00A61101" w:rsidRPr="008F403C" w:rsidRDefault="00E97482" w:rsidP="00A61101">
      <w:pPr>
        <w:pStyle w:val="Marge"/>
        <w:tabs>
          <w:tab w:val="clear" w:pos="567"/>
        </w:tabs>
        <w:spacing w:before="120"/>
        <w:outlineLvl w:val="0"/>
        <w:rPr>
          <w:rFonts w:cs="Arial"/>
          <w:szCs w:val="22"/>
        </w:rPr>
      </w:pPr>
      <w:r w:rsidRPr="008F403C">
        <w:t>Les Dao des provinces de Lao Cai et Lai Chau vivent pour la plupart près de la frontière du nord avec la Chine. Les villages ne comptent plus qu</w:t>
      </w:r>
      <w:r w:rsidR="0054625B" w:rsidRPr="008F403C">
        <w:t>’</w:t>
      </w:r>
      <w:r w:rsidRPr="008F403C">
        <w:t>un ou deux habitants encore capables de chanter des chansons populaires et de parler la langue traditionnelle, ce qui représentait une menace sérieuse pour les traditions et expressions orales dao. Les chansons populaires, contes, berceuses, proverbes et devinettes disparaissaient également en raison de l</w:t>
      </w:r>
      <w:r w:rsidR="0054625B" w:rsidRPr="008F403C">
        <w:t>’</w:t>
      </w:r>
      <w:r w:rsidRPr="008F403C">
        <w:t>âge avancé de ceux qui les récitent et de l</w:t>
      </w:r>
      <w:r w:rsidR="0054625B" w:rsidRPr="008F403C">
        <w:t>’</w:t>
      </w:r>
      <w:r w:rsidRPr="008F403C">
        <w:t>environnement professionnel et scolaire des jeunes Dao, où la langue vietnamienne domine. Le projet entendait établir une vue d</w:t>
      </w:r>
      <w:r w:rsidR="0054625B" w:rsidRPr="008F403C">
        <w:t>’</w:t>
      </w:r>
      <w:r w:rsidRPr="008F403C">
        <w:t>ensemble de l</w:t>
      </w:r>
      <w:r w:rsidR="0054625B" w:rsidRPr="008F403C">
        <w:t>’</w:t>
      </w:r>
      <w:r w:rsidRPr="008F403C">
        <w:t>utilisation actuelle de la langue dao et des traditions orales qui lui sont associées à travers une enquête menée dans 30 villages situés dans les deux provinces. Il a également permis aux communautés locales, aux enseignants et aux praticiens de travailler ensemble et d</w:t>
      </w:r>
      <w:r w:rsidR="0054625B" w:rsidRPr="008F403C">
        <w:t>’</w:t>
      </w:r>
      <w:r w:rsidRPr="008F403C">
        <w:t xml:space="preserve">élaborer des programmes de formation. Huit classes sur les </w:t>
      </w:r>
      <w:r w:rsidR="00760F56" w:rsidRPr="008F403C">
        <w:t xml:space="preserve">caractères </w:t>
      </w:r>
      <w:r w:rsidRPr="008F403C">
        <w:t xml:space="preserve">et les expressions orales dao ont été organisées et 100 praticiens, parmi lesquels de nombreux jeunes et de nombreuses femmes, ont été formés pour pouvoir lire et comprendre la langue dao et chanter des airs populaires, </w:t>
      </w:r>
      <w:proofErr w:type="gramStart"/>
      <w:r w:rsidRPr="008F403C">
        <w:t>qu</w:t>
      </w:r>
      <w:r w:rsidR="0054625B" w:rsidRPr="008F403C">
        <w:t>’</w:t>
      </w:r>
      <w:r w:rsidRPr="008F403C">
        <w:t>ils s</w:t>
      </w:r>
      <w:r w:rsidR="0054625B" w:rsidRPr="008F403C">
        <w:t>’</w:t>
      </w:r>
      <w:r w:rsidRPr="008F403C">
        <w:t>agisse</w:t>
      </w:r>
      <w:proofErr w:type="gramEnd"/>
      <w:r w:rsidRPr="008F403C">
        <w:t xml:space="preserve"> de chants rituels, de chansons d</w:t>
      </w:r>
      <w:r w:rsidR="0054625B" w:rsidRPr="008F403C">
        <w:t>’</w:t>
      </w:r>
      <w:r w:rsidRPr="008F403C">
        <w:t>enfants ou de chants d</w:t>
      </w:r>
      <w:r w:rsidR="0054625B" w:rsidRPr="008F403C">
        <w:t>’</w:t>
      </w:r>
      <w:r w:rsidRPr="008F403C">
        <w:t>amour. Un CD-ROM contenant des programmes et des chants populaires a été produit ; 700 copies de ce CD-ROM ont été distribuées dans les différents villages des provinces concernées. Ce projet a abouti à un résultat particulièrement intéressant : la sensibilisation de la population à l</w:t>
      </w:r>
      <w:r w:rsidR="0054625B" w:rsidRPr="008F403C">
        <w:t>’</w:t>
      </w:r>
      <w:r w:rsidRPr="008F403C">
        <w:t>importance de la sauvegarde du patrimoine culturel immatériel dans les villages ciblés ainsi que dans d</w:t>
      </w:r>
      <w:r w:rsidR="0054625B" w:rsidRPr="008F403C">
        <w:t>’</w:t>
      </w:r>
      <w:r w:rsidRPr="008F403C">
        <w:t>autres localités des provinces de Lao Cai et Lai Chau.</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5864"/>
      </w:tblGrid>
      <w:tr w:rsidR="00A61101" w:rsidRPr="008F403C" w14:paraId="063BC367" w14:textId="77777777" w:rsidTr="00A4198D">
        <w:trPr>
          <w:cantSplit/>
        </w:trPr>
        <w:tc>
          <w:tcPr>
            <w:tcW w:w="2093" w:type="dxa"/>
            <w:shd w:val="clear" w:color="auto" w:fill="auto"/>
            <w:vAlign w:val="center"/>
          </w:tcPr>
          <w:p w14:paraId="61D2779A" w14:textId="77777777" w:rsidR="00A61101" w:rsidRPr="008F403C" w:rsidRDefault="00A61101" w:rsidP="00A4198D">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Vanuatu</w:t>
            </w:r>
          </w:p>
        </w:tc>
        <w:tc>
          <w:tcPr>
            <w:tcW w:w="1701" w:type="dxa"/>
            <w:shd w:val="clear" w:color="auto" w:fill="auto"/>
            <w:vAlign w:val="center"/>
          </w:tcPr>
          <w:p w14:paraId="62433020"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b/>
                <w:sz w:val="20"/>
                <w:szCs w:val="20"/>
              </w:rPr>
              <w:t>23 908 dollars des États-Unis</w:t>
            </w:r>
          </w:p>
        </w:tc>
        <w:tc>
          <w:tcPr>
            <w:tcW w:w="5864" w:type="dxa"/>
            <w:shd w:val="clear" w:color="auto" w:fill="auto"/>
            <w:vAlign w:val="center"/>
          </w:tcPr>
          <w:p w14:paraId="469A2C04"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b/>
                <w:sz w:val="20"/>
                <w:szCs w:val="20"/>
              </w:rPr>
              <w:t>Sauvegarde de l’architecture vernaculaire et des savoirs autochtones en matière de construction au Vanuatu</w:t>
            </w:r>
            <w:r w:rsidRPr="008F403C">
              <w:rPr>
                <w:sz w:val="20"/>
                <w:szCs w:val="20"/>
              </w:rPr>
              <w:t xml:space="preserve"> (n° 01214)</w:t>
            </w:r>
          </w:p>
          <w:p w14:paraId="239780FA" w14:textId="77777777" w:rsidR="00A61101" w:rsidRPr="008F403C" w:rsidRDefault="00A61101" w:rsidP="00A4198D">
            <w:pPr>
              <w:pStyle w:val="Marge"/>
              <w:keepNext/>
              <w:tabs>
                <w:tab w:val="clear" w:pos="567"/>
              </w:tabs>
              <w:spacing w:before="120" w:after="120"/>
              <w:jc w:val="left"/>
              <w:outlineLvl w:val="0"/>
              <w:rPr>
                <w:rFonts w:cs="Arial"/>
                <w:b/>
                <w:color w:val="000000"/>
                <w:sz w:val="20"/>
                <w:szCs w:val="20"/>
              </w:rPr>
            </w:pPr>
            <w:r w:rsidRPr="008F403C">
              <w:rPr>
                <w:color w:val="000000"/>
                <w:sz w:val="20"/>
                <w:szCs w:val="20"/>
              </w:rPr>
              <w:t>Assistance d’urgence</w:t>
            </w:r>
          </w:p>
        </w:tc>
      </w:tr>
      <w:tr w:rsidR="00A61101" w:rsidRPr="008F403C" w14:paraId="4FE3E303" w14:textId="77777777" w:rsidTr="00A4198D">
        <w:trPr>
          <w:cantSplit/>
        </w:trPr>
        <w:tc>
          <w:tcPr>
            <w:tcW w:w="2093" w:type="dxa"/>
            <w:shd w:val="clear" w:color="auto" w:fill="auto"/>
          </w:tcPr>
          <w:p w14:paraId="3DC3EBF5"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65" w:type="dxa"/>
            <w:gridSpan w:val="2"/>
            <w:shd w:val="clear" w:color="auto" w:fill="auto"/>
          </w:tcPr>
          <w:p w14:paraId="203FEFEC"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2015 (</w:t>
            </w:r>
            <w:hyperlink r:id="rId50">
              <w:r w:rsidRPr="008F403C">
                <w:rPr>
                  <w:rStyle w:val="Hyperlink"/>
                  <w:sz w:val="20"/>
                  <w:szCs w:val="20"/>
                </w:rPr>
                <w:t>décision 10.COM 1.BUR 2.2</w:t>
              </w:r>
            </w:hyperlink>
            <w:r w:rsidRPr="008F403C">
              <w:rPr>
                <w:color w:val="000000"/>
                <w:sz w:val="20"/>
                <w:szCs w:val="20"/>
              </w:rPr>
              <w:t>)</w:t>
            </w:r>
          </w:p>
        </w:tc>
      </w:tr>
      <w:tr w:rsidR="00A61101" w:rsidRPr="008F403C" w14:paraId="5BA7DD7C" w14:textId="77777777" w:rsidTr="00A4198D">
        <w:trPr>
          <w:cantSplit/>
        </w:trPr>
        <w:tc>
          <w:tcPr>
            <w:tcW w:w="2093" w:type="dxa"/>
            <w:shd w:val="clear" w:color="auto" w:fill="auto"/>
          </w:tcPr>
          <w:p w14:paraId="7488BF5B" w14:textId="77777777" w:rsidR="00A61101" w:rsidRPr="008F403C" w:rsidRDefault="00A61101" w:rsidP="00A4198D">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65" w:type="dxa"/>
            <w:gridSpan w:val="2"/>
            <w:shd w:val="clear" w:color="auto" w:fill="auto"/>
          </w:tcPr>
          <w:p w14:paraId="3D21FB06" w14:textId="77777777" w:rsidR="00A61101" w:rsidRPr="008F403C" w:rsidRDefault="00A61101" w:rsidP="00A4198D">
            <w:pPr>
              <w:pStyle w:val="Marge"/>
              <w:keepNext/>
              <w:tabs>
                <w:tab w:val="clear" w:pos="567"/>
              </w:tabs>
              <w:spacing w:before="120" w:after="120"/>
              <w:jc w:val="left"/>
              <w:outlineLvl w:val="0"/>
              <w:rPr>
                <w:rFonts w:cs="Arial"/>
                <w:color w:val="000000"/>
                <w:sz w:val="20"/>
                <w:szCs w:val="20"/>
              </w:rPr>
            </w:pPr>
            <w:r w:rsidRPr="008F403C">
              <w:rPr>
                <w:color w:val="000000"/>
                <w:sz w:val="20"/>
                <w:szCs w:val="20"/>
              </w:rPr>
              <w:t>10/08/2015-15/12/2015</w:t>
            </w:r>
          </w:p>
        </w:tc>
      </w:tr>
    </w:tbl>
    <w:p w14:paraId="51E8C2C0" w14:textId="77777777" w:rsidR="00A61101" w:rsidRPr="008F403C" w:rsidRDefault="00A61101" w:rsidP="00A61101">
      <w:pPr>
        <w:pStyle w:val="Marge"/>
        <w:spacing w:before="120" w:after="120"/>
        <w:outlineLvl w:val="0"/>
        <w:rPr>
          <w:rFonts w:eastAsiaTheme="minorEastAsia" w:cs="Arial"/>
          <w:szCs w:val="22"/>
          <w:lang w:eastAsia="ko-KR"/>
        </w:rPr>
      </w:pPr>
      <w:r w:rsidRPr="008F403C">
        <w:t xml:space="preserve">Ce projet avait pour objet de documenter l’état, avant et après le passage du cyclone, de sept </w:t>
      </w:r>
      <w:proofErr w:type="spellStart"/>
      <w:r w:rsidRPr="008F403C">
        <w:t>nakamals</w:t>
      </w:r>
      <w:proofErr w:type="spellEnd"/>
      <w:r w:rsidRPr="008F403C">
        <w:t xml:space="preserve"> traditionnels importants, qui sont des espaces de sociabilité traditionnels à Vanuatu. Ces structures ont été endommagées par le cyclone Pam, de catégorie 5, qui a traversé la région le 13 mars 2015. Ce projet comportait quatre grandes lignes d’action : une recherche préliminaire réalisée par deux jeunes étudiants ni-Vanuatu sur les aspects matériels et immatériels de chaque </w:t>
      </w:r>
      <w:proofErr w:type="spellStart"/>
      <w:r w:rsidRPr="008F403C">
        <w:t>nakamal</w:t>
      </w:r>
      <w:proofErr w:type="spellEnd"/>
      <w:r w:rsidRPr="008F403C">
        <w:t xml:space="preserve">, une évaluation des dégâts destinée à étayer l’état des structures, une évaluation du risque de perte des aspects du patrimoine culturel immatériel de chaque structure comprenant les savoir-faire nécessaires pour construire un </w:t>
      </w:r>
      <w:proofErr w:type="spellStart"/>
      <w:r w:rsidRPr="008F403C">
        <w:t>nakamal</w:t>
      </w:r>
      <w:proofErr w:type="spellEnd"/>
      <w:r w:rsidRPr="008F403C">
        <w:t xml:space="preserve">, et un rapport final énumérant les meilleures mesures de sauvegarde pour chacun des sept </w:t>
      </w:r>
      <w:proofErr w:type="spellStart"/>
      <w:r w:rsidRPr="008F403C">
        <w:t>nakamals</w:t>
      </w:r>
      <w:proofErr w:type="spellEnd"/>
      <w:r w:rsidRPr="008F403C">
        <w:t>.</w:t>
      </w:r>
    </w:p>
    <w:p w14:paraId="70F3F66D" w14:textId="51B4986F" w:rsidR="0021763C" w:rsidRPr="008F403C" w:rsidRDefault="00A61101" w:rsidP="00BD41E9">
      <w:pPr>
        <w:pStyle w:val="Marge"/>
        <w:spacing w:before="120"/>
        <w:outlineLvl w:val="0"/>
        <w:rPr>
          <w:rFonts w:cs="Arial"/>
          <w:szCs w:val="22"/>
        </w:rPr>
      </w:pPr>
      <w:r w:rsidRPr="008F403C">
        <w:t xml:space="preserve">Un ensemble des meilleures pratiques de sauvegarde a été constitué pour encourager la revitalisation des techniques de construction propres à l’architecture vernaculaire autochtone de la région et garantir de ce fait la pérennité des </w:t>
      </w:r>
      <w:proofErr w:type="spellStart"/>
      <w:r w:rsidRPr="008F403C">
        <w:t>nakamals</w:t>
      </w:r>
      <w:proofErr w:type="spellEnd"/>
      <w:r w:rsidRPr="008F403C">
        <w:t xml:space="preserve">. En raison de changements au sein de l’agence de mise en œuvre, les délais fixés pour le projet ont été dépassés et le retour d’information des communautés sur les résultats du projet n’a été possible que pour un </w:t>
      </w:r>
      <w:proofErr w:type="spellStart"/>
      <w:r w:rsidRPr="008F403C">
        <w:t>nakamal</w:t>
      </w:r>
      <w:proofErr w:type="spellEnd"/>
      <w:r w:rsidRPr="008F403C">
        <w:t xml:space="preserve">. L’État partie prévoit néanmoins de poursuivre ses efforts une fois le projet terminé et d’établir un inventaire des </w:t>
      </w:r>
      <w:proofErr w:type="spellStart"/>
      <w:r w:rsidRPr="008F403C">
        <w:t>nakamals</w:t>
      </w:r>
      <w:proofErr w:type="spellEnd"/>
      <w:r w:rsidRPr="008F403C">
        <w:t xml:space="preserve"> et des aspects liés au patrimoine culturel immatériel </w:t>
      </w:r>
      <w:proofErr w:type="spellStart"/>
      <w:r w:rsidRPr="008F403C">
        <w:t>inité</w:t>
      </w:r>
      <w:proofErr w:type="spellEnd"/>
      <w:r w:rsidRPr="008F403C">
        <w:t xml:space="preserve"> dans le cadre du projet et qui devrait ensuite être mis à jour par le Centre culturel du Vanuatu.</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6"/>
        <w:gridCol w:w="1701"/>
        <w:gridCol w:w="5841"/>
      </w:tblGrid>
      <w:tr w:rsidR="0021763C" w:rsidRPr="008F403C" w14:paraId="22AD1C53" w14:textId="77777777" w:rsidTr="00412884">
        <w:trPr>
          <w:cantSplit/>
        </w:trPr>
        <w:tc>
          <w:tcPr>
            <w:tcW w:w="2116" w:type="dxa"/>
            <w:shd w:val="clear" w:color="auto" w:fill="auto"/>
            <w:vAlign w:val="center"/>
          </w:tcPr>
          <w:p w14:paraId="5A4196F4" w14:textId="77777777" w:rsidR="0021763C" w:rsidRPr="008F403C" w:rsidRDefault="0021763C" w:rsidP="00F02F65">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Ouganda</w:t>
            </w:r>
          </w:p>
        </w:tc>
        <w:tc>
          <w:tcPr>
            <w:tcW w:w="1701" w:type="dxa"/>
            <w:shd w:val="clear" w:color="auto" w:fill="auto"/>
            <w:vAlign w:val="center"/>
          </w:tcPr>
          <w:p w14:paraId="2148E316" w14:textId="77777777" w:rsidR="0021763C" w:rsidRPr="008F403C" w:rsidRDefault="0021763C" w:rsidP="0021763C">
            <w:pPr>
              <w:pStyle w:val="Marge"/>
              <w:keepNext/>
              <w:tabs>
                <w:tab w:val="clear" w:pos="567"/>
              </w:tabs>
              <w:spacing w:before="120" w:after="120"/>
              <w:jc w:val="left"/>
              <w:outlineLvl w:val="0"/>
              <w:rPr>
                <w:rFonts w:cs="Arial"/>
                <w:b/>
                <w:color w:val="000000"/>
                <w:sz w:val="20"/>
                <w:szCs w:val="20"/>
              </w:rPr>
            </w:pPr>
            <w:r w:rsidRPr="008F403C">
              <w:rPr>
                <w:b/>
                <w:sz w:val="20"/>
                <w:szCs w:val="20"/>
              </w:rPr>
              <w:t>24 990 dollars des États-Unis</w:t>
            </w:r>
          </w:p>
        </w:tc>
        <w:tc>
          <w:tcPr>
            <w:tcW w:w="5841" w:type="dxa"/>
            <w:shd w:val="clear" w:color="auto" w:fill="auto"/>
            <w:vAlign w:val="center"/>
          </w:tcPr>
          <w:p w14:paraId="043C91AC" w14:textId="77777777" w:rsidR="0021763C" w:rsidRPr="008F403C" w:rsidRDefault="0021763C" w:rsidP="00F02F65">
            <w:pPr>
              <w:pStyle w:val="Marge"/>
              <w:keepNext/>
              <w:tabs>
                <w:tab w:val="clear" w:pos="567"/>
              </w:tabs>
              <w:spacing w:before="120" w:after="120"/>
              <w:jc w:val="left"/>
              <w:outlineLvl w:val="0"/>
              <w:rPr>
                <w:rFonts w:cs="Arial"/>
                <w:b/>
                <w:color w:val="000000"/>
                <w:sz w:val="20"/>
                <w:szCs w:val="20"/>
              </w:rPr>
            </w:pPr>
            <w:r w:rsidRPr="008F403C">
              <w:rPr>
                <w:b/>
                <w:sz w:val="20"/>
                <w:szCs w:val="20"/>
              </w:rPr>
              <w:t xml:space="preserve">La sauvegarde et promotion du </w:t>
            </w:r>
            <w:proofErr w:type="spellStart"/>
            <w:r w:rsidRPr="008F403C">
              <w:rPr>
                <w:b/>
                <w:sz w:val="20"/>
                <w:szCs w:val="20"/>
              </w:rPr>
              <w:t>bigwala</w:t>
            </w:r>
            <w:proofErr w:type="spellEnd"/>
            <w:r w:rsidRPr="008F403C">
              <w:rPr>
                <w:b/>
                <w:sz w:val="20"/>
                <w:szCs w:val="20"/>
              </w:rPr>
              <w:t xml:space="preserve">, musique de trompes en calebasse et danse du royaume du </w:t>
            </w:r>
            <w:proofErr w:type="spellStart"/>
            <w:r w:rsidRPr="008F403C">
              <w:rPr>
                <w:b/>
                <w:sz w:val="20"/>
                <w:szCs w:val="20"/>
              </w:rPr>
              <w:t>Busoga</w:t>
            </w:r>
            <w:proofErr w:type="spellEnd"/>
            <w:r w:rsidRPr="008F403C">
              <w:rPr>
                <w:b/>
                <w:sz w:val="20"/>
                <w:szCs w:val="20"/>
              </w:rPr>
              <w:t xml:space="preserve"> en Ouganda</w:t>
            </w:r>
            <w:r w:rsidRPr="008F403C">
              <w:rPr>
                <w:sz w:val="20"/>
                <w:szCs w:val="20"/>
              </w:rPr>
              <w:t xml:space="preserve"> (n° 00979)</w:t>
            </w:r>
          </w:p>
        </w:tc>
      </w:tr>
      <w:tr w:rsidR="0021763C" w:rsidRPr="008F403C" w14:paraId="1A6CB19D" w14:textId="77777777" w:rsidTr="00412884">
        <w:trPr>
          <w:cantSplit/>
        </w:trPr>
        <w:tc>
          <w:tcPr>
            <w:tcW w:w="2116" w:type="dxa"/>
            <w:shd w:val="clear" w:color="auto" w:fill="auto"/>
          </w:tcPr>
          <w:p w14:paraId="66244F67" w14:textId="77777777" w:rsidR="0021763C" w:rsidRPr="008F403C" w:rsidRDefault="0021763C"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42" w:type="dxa"/>
            <w:gridSpan w:val="2"/>
            <w:shd w:val="clear" w:color="auto" w:fill="auto"/>
          </w:tcPr>
          <w:p w14:paraId="1A07058D" w14:textId="77777777" w:rsidR="0021763C" w:rsidRPr="008F403C" w:rsidRDefault="0021763C" w:rsidP="00C00D04">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2015 (</w:t>
            </w:r>
            <w:hyperlink r:id="rId51">
              <w:r w:rsidRPr="008F403C">
                <w:rPr>
                  <w:rStyle w:val="Hyperlink"/>
                  <w:sz w:val="20"/>
                  <w:szCs w:val="20"/>
                </w:rPr>
                <w:t>décision 10.COM 1.BUR 1.2</w:t>
              </w:r>
            </w:hyperlink>
            <w:r w:rsidRPr="008F403C">
              <w:rPr>
                <w:color w:val="000000"/>
                <w:sz w:val="20"/>
                <w:szCs w:val="20"/>
              </w:rPr>
              <w:t>)</w:t>
            </w:r>
          </w:p>
        </w:tc>
      </w:tr>
      <w:tr w:rsidR="0021763C" w:rsidRPr="008F403C" w14:paraId="3EAF2056" w14:textId="77777777" w:rsidTr="00412884">
        <w:trPr>
          <w:cantSplit/>
        </w:trPr>
        <w:tc>
          <w:tcPr>
            <w:tcW w:w="2116" w:type="dxa"/>
            <w:shd w:val="clear" w:color="auto" w:fill="auto"/>
          </w:tcPr>
          <w:p w14:paraId="56E6A123" w14:textId="77777777" w:rsidR="0021763C" w:rsidRPr="008F403C" w:rsidRDefault="0021763C"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42" w:type="dxa"/>
            <w:gridSpan w:val="2"/>
            <w:shd w:val="clear" w:color="auto" w:fill="auto"/>
          </w:tcPr>
          <w:p w14:paraId="68C09208" w14:textId="77777777" w:rsidR="0021763C" w:rsidRPr="008F403C" w:rsidRDefault="00C00D04" w:rsidP="00F02F65">
            <w:pPr>
              <w:pStyle w:val="Marge"/>
              <w:keepNext/>
              <w:tabs>
                <w:tab w:val="clear" w:pos="567"/>
              </w:tabs>
              <w:spacing w:before="120" w:after="120"/>
              <w:jc w:val="left"/>
              <w:outlineLvl w:val="0"/>
              <w:rPr>
                <w:rFonts w:cs="Arial"/>
                <w:color w:val="000000"/>
                <w:sz w:val="20"/>
                <w:szCs w:val="20"/>
              </w:rPr>
            </w:pPr>
            <w:r w:rsidRPr="008F403C">
              <w:rPr>
                <w:color w:val="000000"/>
                <w:sz w:val="20"/>
                <w:szCs w:val="20"/>
              </w:rPr>
              <w:t>01/09/2015–01/04/2016 (en cours)</w:t>
            </w:r>
          </w:p>
        </w:tc>
      </w:tr>
      <w:tr w:rsidR="00C00D04" w:rsidRPr="008F403C" w14:paraId="2F3868DD" w14:textId="77777777" w:rsidTr="00412884">
        <w:trPr>
          <w:cantSplit/>
        </w:trPr>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F785E81" w14:textId="77777777" w:rsidR="00C00D04" w:rsidRPr="008F403C" w:rsidRDefault="00C00D04" w:rsidP="00C00D04">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 xml:space="preserve">Élément concerné : </w:t>
            </w:r>
          </w:p>
        </w:tc>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7CE5DD8" w14:textId="77777777" w:rsidR="00C00D04" w:rsidRPr="008F403C" w:rsidRDefault="00C00D04" w:rsidP="00C00D04">
            <w:pPr>
              <w:pStyle w:val="Marge"/>
              <w:keepNext/>
              <w:tabs>
                <w:tab w:val="clear" w:pos="567"/>
              </w:tabs>
              <w:spacing w:before="120" w:after="120"/>
              <w:jc w:val="left"/>
              <w:outlineLvl w:val="0"/>
              <w:rPr>
                <w:rFonts w:cs="Arial"/>
                <w:color w:val="000000"/>
                <w:sz w:val="20"/>
                <w:szCs w:val="20"/>
              </w:rPr>
            </w:pPr>
            <w:r w:rsidRPr="008F403C">
              <w:rPr>
                <w:color w:val="000000"/>
                <w:sz w:val="20"/>
                <w:szCs w:val="20"/>
              </w:rPr>
              <w:t xml:space="preserve">Le </w:t>
            </w:r>
            <w:proofErr w:type="spellStart"/>
            <w:r w:rsidRPr="008F403C">
              <w:rPr>
                <w:color w:val="000000"/>
                <w:sz w:val="20"/>
                <w:szCs w:val="20"/>
              </w:rPr>
              <w:t>bigwala</w:t>
            </w:r>
            <w:proofErr w:type="spellEnd"/>
            <w:r w:rsidRPr="008F403C">
              <w:rPr>
                <w:color w:val="000000"/>
                <w:sz w:val="20"/>
                <w:szCs w:val="20"/>
              </w:rPr>
              <w:t xml:space="preserve">, musique de trompes en calebasse et danse du royaume du </w:t>
            </w:r>
            <w:proofErr w:type="spellStart"/>
            <w:r w:rsidRPr="008F403C">
              <w:rPr>
                <w:color w:val="000000"/>
                <w:sz w:val="20"/>
                <w:szCs w:val="20"/>
              </w:rPr>
              <w:t>Busoga</w:t>
            </w:r>
            <w:proofErr w:type="spellEnd"/>
            <w:r w:rsidRPr="008F403C">
              <w:rPr>
                <w:color w:val="000000"/>
                <w:sz w:val="20"/>
                <w:szCs w:val="20"/>
              </w:rPr>
              <w:t xml:space="preserve"> en Ouganda (inscrit en 2012 sur la Liste de sauvegarde urgente)</w:t>
            </w:r>
          </w:p>
          <w:p w14:paraId="32F2FF49" w14:textId="77777777" w:rsidR="00C00D04" w:rsidRPr="008F403C" w:rsidRDefault="00C00D04" w:rsidP="00C00D04">
            <w:pPr>
              <w:pStyle w:val="Marge"/>
              <w:keepNext/>
              <w:tabs>
                <w:tab w:val="clear" w:pos="567"/>
              </w:tabs>
              <w:spacing w:before="120" w:after="120"/>
              <w:jc w:val="left"/>
              <w:outlineLvl w:val="0"/>
              <w:rPr>
                <w:rFonts w:cs="Arial"/>
                <w:color w:val="000000"/>
                <w:sz w:val="20"/>
                <w:szCs w:val="20"/>
              </w:rPr>
            </w:pPr>
            <w:r w:rsidRPr="008F403C">
              <w:rPr>
                <w:color w:val="000000"/>
                <w:sz w:val="20"/>
                <w:szCs w:val="20"/>
              </w:rPr>
              <w:t>Rapport quadriennal devant être présenté avant le 15/12/2016</w:t>
            </w:r>
          </w:p>
        </w:tc>
      </w:tr>
    </w:tbl>
    <w:p w14:paraId="221BBBDB" w14:textId="77777777" w:rsidR="001A6D3E" w:rsidRPr="008F403C" w:rsidRDefault="0093722C" w:rsidP="001A6D3E">
      <w:pPr>
        <w:pStyle w:val="Marge"/>
        <w:spacing w:before="120" w:after="120"/>
        <w:outlineLvl w:val="0"/>
        <w:rPr>
          <w:rFonts w:cs="Arial"/>
          <w:color w:val="000000"/>
          <w:szCs w:val="22"/>
        </w:rPr>
      </w:pPr>
      <w:r w:rsidRPr="008F403C">
        <w:t xml:space="preserve">Le </w:t>
      </w:r>
      <w:proofErr w:type="spellStart"/>
      <w:r w:rsidRPr="008F403C">
        <w:t>bigwala</w:t>
      </w:r>
      <w:proofErr w:type="spellEnd"/>
      <w:r w:rsidRPr="008F403C">
        <w:t xml:space="preserve"> représente la musique et la danse d</w:t>
      </w:r>
      <w:r w:rsidR="0054625B" w:rsidRPr="008F403C">
        <w:t>’</w:t>
      </w:r>
      <w:r w:rsidRPr="008F403C">
        <w:t xml:space="preserve">une pratique culturelle du peuple </w:t>
      </w:r>
      <w:proofErr w:type="spellStart"/>
      <w:r w:rsidRPr="008F403C">
        <w:t>Basoga</w:t>
      </w:r>
      <w:proofErr w:type="spellEnd"/>
      <w:r w:rsidRPr="008F403C">
        <w:t xml:space="preserve"> qui vit dans l</w:t>
      </w:r>
      <w:r w:rsidR="0054625B" w:rsidRPr="008F403C">
        <w:t>’</w:t>
      </w:r>
      <w:r w:rsidRPr="008F403C">
        <w:t>est de l</w:t>
      </w:r>
      <w:r w:rsidR="0054625B" w:rsidRPr="008F403C">
        <w:t>’</w:t>
      </w:r>
      <w:r w:rsidRPr="008F403C">
        <w:t>Ouganda, exécutée lors de célébrations royales, et notamment lors d</w:t>
      </w:r>
      <w:r w:rsidR="0054625B" w:rsidRPr="008F403C">
        <w:t>’</w:t>
      </w:r>
      <w:r w:rsidRPr="008F403C">
        <w:t>intronisations et de funérailles et, au cours des dernières décennies, à l</w:t>
      </w:r>
      <w:r w:rsidR="0054625B" w:rsidRPr="008F403C">
        <w:t>’</w:t>
      </w:r>
      <w:r w:rsidRPr="008F403C">
        <w:t>occasion d</w:t>
      </w:r>
      <w:r w:rsidR="0054625B" w:rsidRPr="008F403C">
        <w:t>’</w:t>
      </w:r>
      <w:r w:rsidRPr="008F403C">
        <w:t xml:space="preserve">évènements communautaires. Cependant, il ne reste plus que deux maîtres détenteurs des techniques de fabrication du </w:t>
      </w:r>
      <w:proofErr w:type="spellStart"/>
      <w:r w:rsidRPr="008F403C">
        <w:t>bigwala</w:t>
      </w:r>
      <w:proofErr w:type="spellEnd"/>
      <w:r w:rsidRPr="008F403C">
        <w:t>, de la maîtrise de l</w:t>
      </w:r>
      <w:r w:rsidR="0054625B" w:rsidRPr="008F403C">
        <w:t>’</w:t>
      </w:r>
      <w:r w:rsidRPr="008F403C">
        <w:t xml:space="preserve">instrument et de la danse, et leurs récentes tentatives de transmission se sont </w:t>
      </w:r>
      <w:proofErr w:type="gramStart"/>
      <w:r w:rsidRPr="008F403C">
        <w:t>heurtées</w:t>
      </w:r>
      <w:proofErr w:type="gramEnd"/>
      <w:r w:rsidRPr="008F403C">
        <w:t xml:space="preserve"> à des obstacles financiers. Les </w:t>
      </w:r>
      <w:proofErr w:type="spellStart"/>
      <w:r w:rsidRPr="008F403C">
        <w:t>Basoga</w:t>
      </w:r>
      <w:proofErr w:type="spellEnd"/>
      <w:r w:rsidRPr="008F403C">
        <w:t xml:space="preserve"> ont pris conscience que si les deux maîtres âgés venaient à décéder avant de transmettre aux jeunes leurs connaissances et compétences liées au </w:t>
      </w:r>
      <w:proofErr w:type="spellStart"/>
      <w:r w:rsidRPr="008F403C">
        <w:t>bigwala</w:t>
      </w:r>
      <w:proofErr w:type="spellEnd"/>
      <w:r w:rsidRPr="008F403C">
        <w:t xml:space="preserve">, une importante part de leur patrimoine culturel disparaîtrait. En réponse à cette préoccupation grandissante, le projet vise à renforcer la transmission des connaissances et des compétences associées à la musique et à la danse du </w:t>
      </w:r>
      <w:proofErr w:type="spellStart"/>
      <w:r w:rsidRPr="008F403C">
        <w:t>bigwala</w:t>
      </w:r>
      <w:proofErr w:type="spellEnd"/>
      <w:r w:rsidRPr="008F403C">
        <w:t>.</w:t>
      </w:r>
    </w:p>
    <w:p w14:paraId="1D0284AC" w14:textId="77777777" w:rsidR="001A6D3E" w:rsidRPr="008F403C" w:rsidRDefault="00C00D04" w:rsidP="006B44FB">
      <w:pPr>
        <w:pStyle w:val="Marge"/>
        <w:spacing w:before="120"/>
        <w:outlineLvl w:val="0"/>
        <w:rPr>
          <w:rFonts w:cs="Arial"/>
          <w:szCs w:val="22"/>
        </w:rPr>
      </w:pPr>
      <w:r w:rsidRPr="008F403C">
        <w:rPr>
          <w:color w:val="000000"/>
        </w:rPr>
        <w:t>Dans le cadre de la préparation d</w:t>
      </w:r>
      <w:r w:rsidR="0054625B" w:rsidRPr="008F403C">
        <w:rPr>
          <w:color w:val="000000"/>
        </w:rPr>
        <w:t>’</w:t>
      </w:r>
      <w:r w:rsidRPr="008F403C">
        <w:rPr>
          <w:color w:val="000000"/>
        </w:rPr>
        <w:t xml:space="preserve">ateliers de formation destinés aux membres de la communauté, le National Council of </w:t>
      </w:r>
      <w:proofErr w:type="spellStart"/>
      <w:r w:rsidRPr="008F403C">
        <w:rPr>
          <w:color w:val="000000"/>
        </w:rPr>
        <w:t>Folklorists</w:t>
      </w:r>
      <w:proofErr w:type="spellEnd"/>
      <w:r w:rsidRPr="008F403C">
        <w:rPr>
          <w:color w:val="000000"/>
        </w:rPr>
        <w:t xml:space="preserve"> of Uganda (Conseil national des spécialistes du folklore de l</w:t>
      </w:r>
      <w:r w:rsidR="0054625B" w:rsidRPr="008F403C">
        <w:rPr>
          <w:color w:val="000000"/>
        </w:rPr>
        <w:t>’</w:t>
      </w:r>
      <w:r w:rsidRPr="008F403C">
        <w:rPr>
          <w:color w:val="000000"/>
        </w:rPr>
        <w:t xml:space="preserve">Ouganda – NACOFU) et des enseignants ont été mobilisés pour faire pousser des </w:t>
      </w:r>
      <w:proofErr w:type="spellStart"/>
      <w:r w:rsidRPr="008F403C">
        <w:rPr>
          <w:i/>
          <w:color w:val="000000"/>
        </w:rPr>
        <w:t>enhendo</w:t>
      </w:r>
      <w:proofErr w:type="spellEnd"/>
      <w:r w:rsidRPr="008F403C">
        <w:rPr>
          <w:color w:val="000000"/>
        </w:rPr>
        <w:t xml:space="preserve"> (calebasses) à l</w:t>
      </w:r>
      <w:r w:rsidR="0054625B" w:rsidRPr="008F403C">
        <w:rPr>
          <w:color w:val="000000"/>
        </w:rPr>
        <w:t>’</w:t>
      </w:r>
      <w:r w:rsidRPr="008F403C">
        <w:rPr>
          <w:color w:val="000000"/>
        </w:rPr>
        <w:t>aide de graines provenant d</w:t>
      </w:r>
      <w:r w:rsidR="0054625B" w:rsidRPr="008F403C">
        <w:rPr>
          <w:color w:val="000000"/>
        </w:rPr>
        <w:t>’</w:t>
      </w:r>
      <w:r w:rsidRPr="008F403C">
        <w:rPr>
          <w:color w:val="000000"/>
        </w:rPr>
        <w:t>autres régions étant donné qu</w:t>
      </w:r>
      <w:r w:rsidR="0054625B" w:rsidRPr="008F403C">
        <w:rPr>
          <w:color w:val="000000"/>
        </w:rPr>
        <w:t>’</w:t>
      </w:r>
      <w:r w:rsidRPr="008F403C">
        <w:rPr>
          <w:color w:val="000000"/>
        </w:rPr>
        <w:t xml:space="preserve">elles ont presque disparu de la région du </w:t>
      </w:r>
      <w:proofErr w:type="spellStart"/>
      <w:r w:rsidRPr="008F403C">
        <w:rPr>
          <w:color w:val="000000"/>
        </w:rPr>
        <w:t>Busoga</w:t>
      </w:r>
      <w:proofErr w:type="spellEnd"/>
      <w:r w:rsidRPr="008F403C">
        <w:rPr>
          <w:color w:val="000000"/>
        </w:rPr>
        <w:t xml:space="preserve">. </w:t>
      </w:r>
      <w:r w:rsidRPr="008F403C">
        <w:t xml:space="preserve">Plusieurs ateliers de fabrication du </w:t>
      </w:r>
      <w:proofErr w:type="spellStart"/>
      <w:r w:rsidRPr="008F403C">
        <w:t>bigwala</w:t>
      </w:r>
      <w:proofErr w:type="spellEnd"/>
      <w:r w:rsidRPr="008F403C">
        <w:t xml:space="preserve"> ont été organisés par les maîtres et leurs élèves ; ces ateliers ont rassemblé plus du double de jeunes initialement prévus grâce à l</w:t>
      </w:r>
      <w:r w:rsidR="0054625B" w:rsidRPr="008F403C">
        <w:t>’</w:t>
      </w:r>
      <w:r w:rsidRPr="008F403C">
        <w:t xml:space="preserve">enthousiasme suscité par les activités proposées. Une trace des activités menées tout au long du projet est gardée sur des supports photographiques et audiovisuels que peuvent consulter les communautés du </w:t>
      </w:r>
      <w:proofErr w:type="spellStart"/>
      <w:r w:rsidRPr="008F403C">
        <w:t>Busoga</w:t>
      </w:r>
      <w:proofErr w:type="spellEnd"/>
      <w:r w:rsidRPr="008F403C">
        <w:t>, les responsables du royaume et le grand public.</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6"/>
        <w:gridCol w:w="1701"/>
        <w:gridCol w:w="5841"/>
      </w:tblGrid>
      <w:tr w:rsidR="00C00D04" w:rsidRPr="008F403C" w14:paraId="691F6CF6" w14:textId="77777777" w:rsidTr="00412884">
        <w:trPr>
          <w:cantSplit/>
        </w:trPr>
        <w:tc>
          <w:tcPr>
            <w:tcW w:w="2116" w:type="dxa"/>
            <w:shd w:val="clear" w:color="auto" w:fill="auto"/>
            <w:vAlign w:val="center"/>
          </w:tcPr>
          <w:p w14:paraId="04A8723C" w14:textId="77777777" w:rsidR="00C00D04" w:rsidRPr="008F403C" w:rsidRDefault="00C00D04" w:rsidP="00F02F65">
            <w:pPr>
              <w:pStyle w:val="Marge"/>
              <w:keepNext/>
              <w:tabs>
                <w:tab w:val="clear" w:pos="567"/>
              </w:tabs>
              <w:spacing w:before="120" w:after="120"/>
              <w:jc w:val="center"/>
              <w:outlineLvl w:val="0"/>
              <w:rPr>
                <w:rFonts w:cs="Arial"/>
                <w:b/>
                <w:color w:val="000000"/>
                <w:sz w:val="20"/>
                <w:szCs w:val="20"/>
              </w:rPr>
            </w:pPr>
            <w:r w:rsidRPr="008F403C">
              <w:rPr>
                <w:b/>
                <w:color w:val="000000"/>
                <w:sz w:val="20"/>
                <w:szCs w:val="20"/>
              </w:rPr>
              <w:t>Kenya</w:t>
            </w:r>
          </w:p>
        </w:tc>
        <w:tc>
          <w:tcPr>
            <w:tcW w:w="1701" w:type="dxa"/>
            <w:shd w:val="clear" w:color="auto" w:fill="auto"/>
            <w:vAlign w:val="center"/>
          </w:tcPr>
          <w:p w14:paraId="4D3320AB" w14:textId="77777777" w:rsidR="00C00D04" w:rsidRPr="008F403C" w:rsidRDefault="00C00D04" w:rsidP="00C00D04">
            <w:pPr>
              <w:pStyle w:val="Marge"/>
              <w:keepNext/>
              <w:tabs>
                <w:tab w:val="clear" w:pos="567"/>
              </w:tabs>
              <w:spacing w:before="120" w:after="120"/>
              <w:jc w:val="left"/>
              <w:outlineLvl w:val="0"/>
              <w:rPr>
                <w:rFonts w:cs="Arial"/>
                <w:b/>
                <w:color w:val="000000"/>
                <w:sz w:val="20"/>
                <w:szCs w:val="20"/>
              </w:rPr>
            </w:pPr>
            <w:r w:rsidRPr="008F403C">
              <w:rPr>
                <w:b/>
                <w:sz w:val="20"/>
                <w:szCs w:val="20"/>
              </w:rPr>
              <w:t>24 038 dollars des États-Unis</w:t>
            </w:r>
          </w:p>
        </w:tc>
        <w:tc>
          <w:tcPr>
            <w:tcW w:w="5841" w:type="dxa"/>
            <w:shd w:val="clear" w:color="auto" w:fill="auto"/>
            <w:vAlign w:val="center"/>
          </w:tcPr>
          <w:p w14:paraId="3D7914CA" w14:textId="77777777" w:rsidR="00C00D04" w:rsidRPr="008F403C" w:rsidRDefault="00C00D04" w:rsidP="00EF073C">
            <w:pPr>
              <w:pStyle w:val="Marge"/>
              <w:keepNext/>
              <w:tabs>
                <w:tab w:val="clear" w:pos="567"/>
              </w:tabs>
              <w:spacing w:before="120" w:after="120"/>
              <w:jc w:val="left"/>
              <w:outlineLvl w:val="0"/>
              <w:rPr>
                <w:rFonts w:cs="Arial"/>
                <w:b/>
                <w:color w:val="000000"/>
                <w:sz w:val="20"/>
                <w:szCs w:val="20"/>
              </w:rPr>
            </w:pPr>
            <w:r w:rsidRPr="008F403C">
              <w:rPr>
                <w:b/>
                <w:sz w:val="20"/>
                <w:szCs w:val="20"/>
              </w:rPr>
              <w:t>La documentation et l</w:t>
            </w:r>
            <w:r w:rsidR="0054625B" w:rsidRPr="008F403C">
              <w:rPr>
                <w:b/>
                <w:sz w:val="20"/>
                <w:szCs w:val="20"/>
              </w:rPr>
              <w:t>’</w:t>
            </w:r>
            <w:r w:rsidRPr="008F403C">
              <w:rPr>
                <w:b/>
                <w:sz w:val="20"/>
                <w:szCs w:val="20"/>
              </w:rPr>
              <w:t xml:space="preserve">inventaire du patrimoine culturel immatériel de la communauté pastorale </w:t>
            </w:r>
            <w:proofErr w:type="spellStart"/>
            <w:r w:rsidRPr="008F403C">
              <w:rPr>
                <w:b/>
                <w:sz w:val="20"/>
                <w:szCs w:val="20"/>
              </w:rPr>
              <w:t>Samburu</w:t>
            </w:r>
            <w:proofErr w:type="spellEnd"/>
            <w:r w:rsidRPr="008F403C">
              <w:rPr>
                <w:b/>
                <w:sz w:val="20"/>
                <w:szCs w:val="20"/>
              </w:rPr>
              <w:t xml:space="preserve"> du nord du Kenya, particulièrement dans la région de la réserve de biosphère du mont </w:t>
            </w:r>
            <w:proofErr w:type="spellStart"/>
            <w:r w:rsidRPr="008F403C">
              <w:rPr>
                <w:b/>
                <w:sz w:val="20"/>
                <w:szCs w:val="20"/>
              </w:rPr>
              <w:t>Kulal</w:t>
            </w:r>
            <w:proofErr w:type="spellEnd"/>
            <w:r w:rsidRPr="008F403C">
              <w:rPr>
                <w:sz w:val="20"/>
                <w:szCs w:val="20"/>
              </w:rPr>
              <w:t xml:space="preserve"> (n° 01024)</w:t>
            </w:r>
          </w:p>
        </w:tc>
      </w:tr>
      <w:tr w:rsidR="00C00D04" w:rsidRPr="008F403C" w14:paraId="0A0A6E27" w14:textId="77777777" w:rsidTr="00412884">
        <w:trPr>
          <w:cantSplit/>
        </w:trPr>
        <w:tc>
          <w:tcPr>
            <w:tcW w:w="2116" w:type="dxa"/>
            <w:shd w:val="clear" w:color="auto" w:fill="auto"/>
          </w:tcPr>
          <w:p w14:paraId="75A40290" w14:textId="77777777" w:rsidR="00C00D04" w:rsidRPr="008F403C" w:rsidRDefault="00C00D04"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Accordée :</w:t>
            </w:r>
          </w:p>
        </w:tc>
        <w:tc>
          <w:tcPr>
            <w:tcW w:w="7542" w:type="dxa"/>
            <w:gridSpan w:val="2"/>
            <w:shd w:val="clear" w:color="auto" w:fill="auto"/>
          </w:tcPr>
          <w:p w14:paraId="30034F6A" w14:textId="77777777" w:rsidR="00C00D04" w:rsidRPr="008F403C" w:rsidRDefault="00C00D04" w:rsidP="00F02F65">
            <w:pPr>
              <w:pStyle w:val="Marge"/>
              <w:keepNext/>
              <w:tabs>
                <w:tab w:val="clear" w:pos="567"/>
              </w:tabs>
              <w:spacing w:before="120" w:after="120"/>
              <w:jc w:val="left"/>
              <w:outlineLvl w:val="0"/>
              <w:rPr>
                <w:rFonts w:cs="Arial"/>
                <w:color w:val="000000"/>
                <w:sz w:val="20"/>
                <w:szCs w:val="20"/>
              </w:rPr>
            </w:pPr>
            <w:r w:rsidRPr="008F403C">
              <w:rPr>
                <w:color w:val="000000"/>
                <w:sz w:val="20"/>
                <w:szCs w:val="20"/>
              </w:rPr>
              <w:t>2015 (</w:t>
            </w:r>
            <w:hyperlink r:id="rId52">
              <w:r w:rsidRPr="008F403C">
                <w:rPr>
                  <w:rStyle w:val="Hyperlink"/>
                  <w:sz w:val="20"/>
                  <w:szCs w:val="20"/>
                </w:rPr>
                <w:t>décision 10.COM 2.BUR 5.2</w:t>
              </w:r>
            </w:hyperlink>
            <w:r w:rsidRPr="008F403C">
              <w:rPr>
                <w:color w:val="000000"/>
                <w:sz w:val="20"/>
                <w:szCs w:val="20"/>
              </w:rPr>
              <w:t>)</w:t>
            </w:r>
          </w:p>
        </w:tc>
      </w:tr>
      <w:tr w:rsidR="00C00D04" w:rsidRPr="008F403C" w14:paraId="6CF4ED17" w14:textId="77777777" w:rsidTr="00412884">
        <w:trPr>
          <w:cantSplit/>
        </w:trPr>
        <w:tc>
          <w:tcPr>
            <w:tcW w:w="2116" w:type="dxa"/>
            <w:shd w:val="clear" w:color="auto" w:fill="auto"/>
          </w:tcPr>
          <w:p w14:paraId="4D307D13" w14:textId="77777777" w:rsidR="00C00D04" w:rsidRPr="008F403C" w:rsidRDefault="00C00D04" w:rsidP="00F02F65">
            <w:pPr>
              <w:pStyle w:val="Marge"/>
              <w:keepNext/>
              <w:tabs>
                <w:tab w:val="clear" w:pos="567"/>
              </w:tabs>
              <w:spacing w:before="120" w:after="120"/>
              <w:jc w:val="right"/>
              <w:outlineLvl w:val="0"/>
              <w:rPr>
                <w:rFonts w:cs="Arial"/>
                <w:i/>
                <w:color w:val="000000"/>
                <w:sz w:val="20"/>
                <w:szCs w:val="20"/>
              </w:rPr>
            </w:pPr>
            <w:r w:rsidRPr="008F403C">
              <w:rPr>
                <w:i/>
                <w:color w:val="000000"/>
                <w:sz w:val="20"/>
                <w:szCs w:val="20"/>
              </w:rPr>
              <w:t>Période considérée :</w:t>
            </w:r>
          </w:p>
        </w:tc>
        <w:tc>
          <w:tcPr>
            <w:tcW w:w="7542" w:type="dxa"/>
            <w:gridSpan w:val="2"/>
            <w:shd w:val="clear" w:color="auto" w:fill="auto"/>
          </w:tcPr>
          <w:p w14:paraId="583B1080" w14:textId="77777777" w:rsidR="00C00D04" w:rsidRPr="008F403C" w:rsidRDefault="00EF073C" w:rsidP="00EF073C">
            <w:pPr>
              <w:pStyle w:val="Marge"/>
              <w:keepNext/>
              <w:tabs>
                <w:tab w:val="clear" w:pos="567"/>
              </w:tabs>
              <w:spacing w:before="120" w:after="120"/>
              <w:jc w:val="left"/>
              <w:outlineLvl w:val="0"/>
              <w:rPr>
                <w:rFonts w:cs="Arial"/>
                <w:color w:val="000000"/>
                <w:sz w:val="20"/>
                <w:szCs w:val="20"/>
              </w:rPr>
            </w:pPr>
            <w:r w:rsidRPr="008F403C">
              <w:rPr>
                <w:color w:val="000000"/>
                <w:sz w:val="20"/>
                <w:szCs w:val="20"/>
              </w:rPr>
              <w:t>04/12/2015–31/05/2016</w:t>
            </w:r>
          </w:p>
        </w:tc>
      </w:tr>
    </w:tbl>
    <w:p w14:paraId="0B388F75" w14:textId="46A17E6A" w:rsidR="00A01D89" w:rsidRPr="008F403C" w:rsidRDefault="00EF073C" w:rsidP="00A01D89">
      <w:pPr>
        <w:pStyle w:val="Marge"/>
        <w:spacing w:before="120" w:after="120"/>
        <w:outlineLvl w:val="0"/>
        <w:rPr>
          <w:rFonts w:cs="Arial"/>
          <w:color w:val="000000"/>
          <w:szCs w:val="22"/>
        </w:rPr>
      </w:pPr>
      <w:r w:rsidRPr="008F403C">
        <w:rPr>
          <w:color w:val="000000"/>
        </w:rPr>
        <w:t xml:space="preserve">Conformément à la loi de 2006 sur le patrimoine national du Kenya, le projet visait à assurer la sauvegarde du patrimoine culturel immatériel de la communauté </w:t>
      </w:r>
      <w:proofErr w:type="spellStart"/>
      <w:r w:rsidRPr="008F403C">
        <w:rPr>
          <w:color w:val="000000"/>
        </w:rPr>
        <w:t>Samburu</w:t>
      </w:r>
      <w:proofErr w:type="spellEnd"/>
      <w:r w:rsidRPr="008F403C">
        <w:rPr>
          <w:color w:val="000000"/>
        </w:rPr>
        <w:t xml:space="preserve"> résidant sur le mont </w:t>
      </w:r>
      <w:proofErr w:type="spellStart"/>
      <w:r w:rsidRPr="008F403C">
        <w:rPr>
          <w:color w:val="000000"/>
        </w:rPr>
        <w:t>Kulal</w:t>
      </w:r>
      <w:proofErr w:type="spellEnd"/>
      <w:r w:rsidRPr="008F403C">
        <w:rPr>
          <w:color w:val="000000"/>
        </w:rPr>
        <w:t xml:space="preserve"> au nord du Kenya, qui a obtenu le statut de réserve de biosphère en 1979 dans le cadre du Programme sur l</w:t>
      </w:r>
      <w:r w:rsidR="0054625B" w:rsidRPr="008F403C">
        <w:rPr>
          <w:color w:val="000000"/>
        </w:rPr>
        <w:t>’</w:t>
      </w:r>
      <w:r w:rsidRPr="008F403C">
        <w:rPr>
          <w:color w:val="000000"/>
        </w:rPr>
        <w:t>Homme et la biosphère de l</w:t>
      </w:r>
      <w:r w:rsidR="0054625B" w:rsidRPr="008F403C">
        <w:rPr>
          <w:color w:val="000000"/>
        </w:rPr>
        <w:t>’</w:t>
      </w:r>
      <w:r w:rsidRPr="008F403C">
        <w:rPr>
          <w:color w:val="000000"/>
        </w:rPr>
        <w:t xml:space="preserve">UNESCO. Les </w:t>
      </w:r>
      <w:proofErr w:type="spellStart"/>
      <w:r w:rsidRPr="008F403C">
        <w:rPr>
          <w:color w:val="000000"/>
        </w:rPr>
        <w:t>Samburu</w:t>
      </w:r>
      <w:proofErr w:type="spellEnd"/>
      <w:r w:rsidRPr="008F403C">
        <w:rPr>
          <w:color w:val="000000"/>
        </w:rPr>
        <w:t xml:space="preserve"> sont des bergers semi-nomades qui suivent les précipitations à la recherche de pâtures fraîches et d</w:t>
      </w:r>
      <w:r w:rsidR="0054625B" w:rsidRPr="008F403C">
        <w:rPr>
          <w:color w:val="000000"/>
        </w:rPr>
        <w:t>’</w:t>
      </w:r>
      <w:r w:rsidRPr="008F403C">
        <w:rPr>
          <w:color w:val="000000"/>
        </w:rPr>
        <w:t xml:space="preserve">eau pour leur bétail. </w:t>
      </w:r>
      <w:r w:rsidRPr="008F403C">
        <w:t>L</w:t>
      </w:r>
      <w:r w:rsidR="0054625B" w:rsidRPr="008F403C">
        <w:t>’</w:t>
      </w:r>
      <w:r w:rsidRPr="008F403C">
        <w:t>évolution de l</w:t>
      </w:r>
      <w:r w:rsidR="0054625B" w:rsidRPr="008F403C">
        <w:t>’</w:t>
      </w:r>
      <w:r w:rsidRPr="008F403C">
        <w:t>environnement et les influences économiques, politiques et culturel</w:t>
      </w:r>
      <w:r w:rsidR="002959C6" w:rsidRPr="008F403C">
        <w:t>le</w:t>
      </w:r>
      <w:r w:rsidRPr="008F403C">
        <w:t xml:space="preserve">s menacent la viabilité des cérémonies des </w:t>
      </w:r>
      <w:proofErr w:type="spellStart"/>
      <w:r w:rsidRPr="008F403C">
        <w:t>Samburu</w:t>
      </w:r>
      <w:proofErr w:type="spellEnd"/>
      <w:r w:rsidRPr="008F403C">
        <w:t>, de leurs chants populaires, de leurs devinettes, de leurs contes, de leurs prévisions météorologiques et de leurs rituels d</w:t>
      </w:r>
      <w:r w:rsidR="0054625B" w:rsidRPr="008F403C">
        <w:t>’</w:t>
      </w:r>
      <w:r w:rsidRPr="008F403C">
        <w:t xml:space="preserve">invocation de la pluie. Mis en œuvre par les Musées nationaux du Kenya avec la participation active des communautés </w:t>
      </w:r>
      <w:proofErr w:type="spellStart"/>
      <w:r w:rsidRPr="008F403C">
        <w:t>Samburu</w:t>
      </w:r>
      <w:proofErr w:type="spellEnd"/>
      <w:r w:rsidRPr="008F403C">
        <w:t>, ce projet visait à renforcer leurs capacités à sauvegarder leur patrimoine culturel immatériel et à les sensibiliser à son importance.</w:t>
      </w:r>
    </w:p>
    <w:p w14:paraId="0F380BE6" w14:textId="1B62492E" w:rsidR="00C00D04" w:rsidRPr="008F403C" w:rsidRDefault="00A01D89" w:rsidP="00A61101">
      <w:pPr>
        <w:pStyle w:val="Marge"/>
        <w:spacing w:before="120"/>
        <w:outlineLvl w:val="0"/>
        <w:rPr>
          <w:rFonts w:cs="Arial"/>
          <w:szCs w:val="22"/>
        </w:rPr>
      </w:pPr>
      <w:r w:rsidRPr="008F403C">
        <w:rPr>
          <w:color w:val="000000"/>
        </w:rPr>
        <w:t xml:space="preserve">Une recherche documentaire complète a été réalisée sur le patrimoine vivant des </w:t>
      </w:r>
      <w:proofErr w:type="spellStart"/>
      <w:r w:rsidRPr="008F403C">
        <w:rPr>
          <w:color w:val="000000"/>
        </w:rPr>
        <w:t>Samburu</w:t>
      </w:r>
      <w:proofErr w:type="spellEnd"/>
      <w:r w:rsidRPr="008F403C">
        <w:rPr>
          <w:color w:val="000000"/>
        </w:rPr>
        <w:t>, puis des réunions consultatives ont été organisées avec des membres de la communauté des quatre principales localités qui ont ensuite joué le rôle d</w:t>
      </w:r>
      <w:r w:rsidR="0054625B" w:rsidRPr="008F403C">
        <w:rPr>
          <w:color w:val="000000"/>
        </w:rPr>
        <w:t>’</w:t>
      </w:r>
      <w:r w:rsidRPr="008F403C">
        <w:rPr>
          <w:color w:val="000000"/>
        </w:rPr>
        <w:t>informateurs clés tout au long du projet, mais aussi de planificateurs et de coordinateurs du projet. Ils ont également contribué à la création de quatre groupes de sensibilisation communautaire. Des ateliers de formation sur l</w:t>
      </w:r>
      <w:r w:rsidR="0054625B" w:rsidRPr="008F403C">
        <w:rPr>
          <w:color w:val="000000"/>
        </w:rPr>
        <w:t>’</w:t>
      </w:r>
      <w:r w:rsidRPr="008F403C">
        <w:rPr>
          <w:color w:val="000000"/>
        </w:rPr>
        <w:t>établissement d</w:t>
      </w:r>
      <w:r w:rsidR="0054625B" w:rsidRPr="008F403C">
        <w:rPr>
          <w:color w:val="000000"/>
        </w:rPr>
        <w:t>’</w:t>
      </w:r>
      <w:r w:rsidRPr="008F403C">
        <w:rPr>
          <w:color w:val="000000"/>
        </w:rPr>
        <w:t>un inventaire par les communautés ont été proposés dans les villages d</w:t>
      </w:r>
      <w:r w:rsidR="0054625B" w:rsidRPr="008F403C">
        <w:rPr>
          <w:color w:val="000000"/>
        </w:rPr>
        <w:t>’</w:t>
      </w:r>
      <w:proofErr w:type="spellStart"/>
      <w:r w:rsidRPr="008F403C">
        <w:rPr>
          <w:color w:val="000000"/>
        </w:rPr>
        <w:t>Arapal</w:t>
      </w:r>
      <w:proofErr w:type="spellEnd"/>
      <w:r w:rsidRPr="008F403C">
        <w:rPr>
          <w:color w:val="000000"/>
        </w:rPr>
        <w:t xml:space="preserve"> et de </w:t>
      </w:r>
      <w:proofErr w:type="spellStart"/>
      <w:r w:rsidRPr="008F403C">
        <w:rPr>
          <w:color w:val="000000"/>
        </w:rPr>
        <w:t>Wampa</w:t>
      </w:r>
      <w:proofErr w:type="spellEnd"/>
      <w:r w:rsidRPr="008F403C">
        <w:rPr>
          <w:color w:val="000000"/>
        </w:rPr>
        <w:t>, suivis de deux mois de recherche sur le terrain pour recenser des éléments spécifiques du patrimoine culturel immatériel à l</w:t>
      </w:r>
      <w:r w:rsidR="0054625B" w:rsidRPr="008F403C">
        <w:rPr>
          <w:color w:val="000000"/>
        </w:rPr>
        <w:t>’</w:t>
      </w:r>
      <w:r w:rsidRPr="008F403C">
        <w:rPr>
          <w:color w:val="000000"/>
        </w:rPr>
        <w:t>aide d</w:t>
      </w:r>
      <w:r w:rsidR="0054625B" w:rsidRPr="008F403C">
        <w:rPr>
          <w:color w:val="000000"/>
        </w:rPr>
        <w:t>’</w:t>
      </w:r>
      <w:r w:rsidRPr="008F403C">
        <w:rPr>
          <w:color w:val="000000"/>
        </w:rPr>
        <w:t>enregistrements audiovisuels. Les documentaires qui découlent de cette recherche ont été présentés lors d</w:t>
      </w:r>
      <w:r w:rsidR="0054625B" w:rsidRPr="008F403C">
        <w:rPr>
          <w:color w:val="000000"/>
        </w:rPr>
        <w:t>’</w:t>
      </w:r>
      <w:r w:rsidRPr="008F403C">
        <w:rPr>
          <w:color w:val="000000"/>
        </w:rPr>
        <w:t>expositions dans les centres des musées régionaux du pays pour sensibiliser le grand public à l</w:t>
      </w:r>
      <w:r w:rsidR="0054625B" w:rsidRPr="008F403C">
        <w:rPr>
          <w:color w:val="000000"/>
        </w:rPr>
        <w:t>’</w:t>
      </w:r>
      <w:r w:rsidRPr="008F403C">
        <w:rPr>
          <w:color w:val="000000"/>
        </w:rPr>
        <w:t>importance du patrimoine culturel immatériel et en assurer la promotion. Ce projet a non seulement contribué à l</w:t>
      </w:r>
      <w:r w:rsidR="0054625B" w:rsidRPr="008F403C">
        <w:rPr>
          <w:color w:val="000000"/>
        </w:rPr>
        <w:t>’</w:t>
      </w:r>
      <w:r w:rsidRPr="008F403C">
        <w:rPr>
          <w:color w:val="000000"/>
        </w:rPr>
        <w:t>effort général engagé par l</w:t>
      </w:r>
      <w:r w:rsidR="0054625B" w:rsidRPr="008F403C">
        <w:rPr>
          <w:color w:val="000000"/>
        </w:rPr>
        <w:t>’</w:t>
      </w:r>
      <w:r w:rsidRPr="008F403C">
        <w:rPr>
          <w:color w:val="000000"/>
        </w:rPr>
        <w:t>État partie pour élaborer des inventaires du patrimoine culturel immatériel</w:t>
      </w:r>
      <w:r w:rsidR="002959C6" w:rsidRPr="008F403C">
        <w:rPr>
          <w:color w:val="000000"/>
        </w:rPr>
        <w:t xml:space="preserve"> avec les communautés</w:t>
      </w:r>
      <w:r w:rsidRPr="008F403C">
        <w:rPr>
          <w:color w:val="000000"/>
        </w:rPr>
        <w:t>, mais il servira de tremplin à de futures initiatives en lien avec la sauvegarde du patrimoine culturel immatériel.</w:t>
      </w:r>
    </w:p>
    <w:sectPr w:rsidR="00C00D04" w:rsidRPr="008F403C" w:rsidSect="00655736">
      <w:headerReference w:type="even" r:id="rId53"/>
      <w:headerReference w:type="default" r:id="rId54"/>
      <w:headerReference w:type="first" r:id="rId5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29959" w14:textId="77777777" w:rsidR="00E6127F" w:rsidRDefault="00E6127F" w:rsidP="00655736">
      <w:r>
        <w:separator/>
      </w:r>
    </w:p>
  </w:endnote>
  <w:endnote w:type="continuationSeparator" w:id="0">
    <w:p w14:paraId="01B0158F" w14:textId="77777777" w:rsidR="00E6127F" w:rsidRDefault="00E6127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29A1" w14:textId="77777777" w:rsidR="00E6127F" w:rsidRDefault="00E6127F" w:rsidP="00655736">
      <w:r>
        <w:separator/>
      </w:r>
    </w:p>
  </w:footnote>
  <w:footnote w:type="continuationSeparator" w:id="0">
    <w:p w14:paraId="524127B6" w14:textId="77777777" w:rsidR="00E6127F" w:rsidRDefault="00E6127F" w:rsidP="00655736">
      <w:r>
        <w:continuationSeparator/>
      </w:r>
    </w:p>
  </w:footnote>
  <w:footnote w:id="1">
    <w:p w14:paraId="763D3D1A" w14:textId="10A77ECD" w:rsidR="00E6127F" w:rsidRPr="008215F8" w:rsidRDefault="00E6127F" w:rsidP="00BF56C8">
      <w:pPr>
        <w:pStyle w:val="FootnoteText"/>
        <w:spacing w:before="60" w:after="60"/>
        <w:ind w:left="567" w:hanging="567"/>
        <w:jc w:val="both"/>
        <w:rPr>
          <w:rFonts w:ascii="Arial" w:hAnsi="Arial" w:cs="Arial"/>
        </w:rPr>
      </w:pPr>
      <w:r>
        <w:rPr>
          <w:rStyle w:val="FootnoteReference"/>
          <w:rFonts w:ascii="Arial" w:hAnsi="Arial"/>
          <w:vertAlign w:val="baseline"/>
        </w:rPr>
        <w:footnoteRef/>
      </w:r>
      <w:r>
        <w:rPr>
          <w:rFonts w:ascii="Arial" w:hAnsi="Arial"/>
        </w:rPr>
        <w:t>.</w:t>
      </w:r>
      <w:r>
        <w:tab/>
      </w:r>
      <w:r>
        <w:rPr>
          <w:rFonts w:ascii="Arial" w:hAnsi="Arial"/>
        </w:rPr>
        <w:t>Les projets considérés comme étant « en cours » sont des projets bénéficiant d’une assistance internationale approuvée par le Comité ou son Bureau, qu’elle ait ou non pris la forme d’un contrat, qui ne sont pas encore terminés.</w:t>
      </w:r>
    </w:p>
  </w:footnote>
  <w:footnote w:id="2">
    <w:p w14:paraId="265DFACB" w14:textId="2D29BD5E" w:rsidR="00E6127F" w:rsidRPr="008215F8" w:rsidRDefault="00E6127F" w:rsidP="00BF56C8">
      <w:pPr>
        <w:pStyle w:val="FootnoteText"/>
        <w:spacing w:before="60" w:after="60"/>
        <w:ind w:left="567" w:hanging="567"/>
        <w:jc w:val="both"/>
        <w:rPr>
          <w:rFonts w:ascii="Arial" w:hAnsi="Arial" w:cs="Arial"/>
        </w:rPr>
      </w:pPr>
      <w:r>
        <w:rPr>
          <w:rStyle w:val="FootnoteReference"/>
          <w:rFonts w:ascii="Arial" w:hAnsi="Arial"/>
          <w:vertAlign w:val="baseline"/>
        </w:rPr>
        <w:footnoteRef/>
      </w:r>
      <w:r>
        <w:rPr>
          <w:rFonts w:ascii="Arial" w:hAnsi="Arial"/>
        </w:rPr>
        <w:t>.</w:t>
      </w:r>
      <w:r>
        <w:tab/>
      </w:r>
      <w:r>
        <w:rPr>
          <w:rFonts w:ascii="Arial" w:hAnsi="Arial"/>
        </w:rPr>
        <w:t>L'État bénéficiaire a rencontré des problèmes d’ordre administratif et financier qui l’ont empêché de mener à bien les activités planifiées et de soumettre le rapport final à la date stipulée dans le contrat.</w:t>
      </w:r>
    </w:p>
  </w:footnote>
  <w:footnote w:id="3">
    <w:p w14:paraId="7E6B0A65" w14:textId="77777777" w:rsidR="00E6127F" w:rsidRPr="008215F8" w:rsidRDefault="00E6127F" w:rsidP="00BF56C8">
      <w:pPr>
        <w:pStyle w:val="FootnoteText"/>
        <w:spacing w:before="60" w:after="60"/>
        <w:jc w:val="both"/>
        <w:rPr>
          <w:rFonts w:ascii="Arial" w:hAnsi="Arial" w:cs="Arial"/>
        </w:rPr>
      </w:pPr>
      <w:r>
        <w:rPr>
          <w:rStyle w:val="FootnoteReference"/>
          <w:rFonts w:ascii="Arial" w:hAnsi="Arial"/>
          <w:vertAlign w:val="baseline"/>
        </w:rPr>
        <w:footnoteRef/>
      </w:r>
      <w:r>
        <w:rPr>
          <w:rFonts w:ascii="Arial" w:hAnsi="Arial"/>
        </w:rPr>
        <w:t>.</w:t>
      </w:r>
      <w:r>
        <w:tab/>
      </w:r>
      <w:hyperlink r:id="rId1">
        <w:r>
          <w:rPr>
            <w:rStyle w:val="Hyperlink"/>
            <w:rFonts w:ascii="Arial" w:hAnsi="Arial"/>
          </w:rPr>
          <w:t>http://www.unesco.org/culture/ich/doc/src/ICH-04-Report-FR-20150717.doc</w:t>
        </w:r>
      </w:hyperlink>
    </w:p>
  </w:footnote>
  <w:footnote w:id="4">
    <w:p w14:paraId="6B7ABDEC" w14:textId="138F4AA1" w:rsidR="00E6127F" w:rsidRPr="008215F8" w:rsidRDefault="00E6127F" w:rsidP="00BF56C8">
      <w:pPr>
        <w:pStyle w:val="FootnoteText"/>
        <w:spacing w:before="60" w:after="60"/>
        <w:ind w:left="567" w:hanging="567"/>
        <w:jc w:val="both"/>
        <w:rPr>
          <w:rFonts w:ascii="Arial" w:hAnsi="Arial" w:cs="Arial"/>
        </w:rPr>
      </w:pPr>
      <w:r>
        <w:rPr>
          <w:rStyle w:val="FootnoteReference"/>
          <w:rFonts w:ascii="Arial" w:hAnsi="Arial"/>
          <w:vertAlign w:val="baseline"/>
        </w:rPr>
        <w:footnoteRef/>
      </w:r>
      <w:r>
        <w:rPr>
          <w:rFonts w:ascii="Arial" w:hAnsi="Arial"/>
        </w:rPr>
        <w:t>.</w:t>
      </w:r>
      <w:r>
        <w:tab/>
      </w:r>
      <w:r>
        <w:rPr>
          <w:rFonts w:ascii="Arial" w:hAnsi="Arial"/>
        </w:rPr>
        <w:t>Lors de sa huitième session, le Comité a demandé au Secrétariat de « trouver un moyen, à plus court terme et à titre expérimental, d’offrir une assistance technique, à travers la mise à disposition d’experts, telle que décrite à l’article 21 de la Convention, aux États parties souhaitant élaborer une demande d’assistance internationale, grâce aux crédits disponibles au titre de la ligne budgétaire 2 du Fonds du patrimoine culturel immatériel » (</w:t>
      </w:r>
      <w:hyperlink r:id="rId2" w:history="1">
        <w:r w:rsidRPr="00D87F54">
          <w:rPr>
            <w:rStyle w:val="Hyperlink"/>
            <w:rFonts w:ascii="Arial" w:hAnsi="Arial"/>
          </w:rPr>
          <w:t>décision 8.COM 7.c</w:t>
        </w:r>
      </w:hyperlink>
      <w:r>
        <w:rPr>
          <w:rFonts w:ascii="Arial" w:hAnsi="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F158" w14:textId="2E88FFD6" w:rsidR="00E6127F" w:rsidRPr="00C23A97" w:rsidRDefault="00E6127F">
    <w:pPr>
      <w:pStyle w:val="Header"/>
      <w:rPr>
        <w:rFonts w:ascii="Arial" w:hAnsi="Arial" w:cs="Arial"/>
      </w:rPr>
    </w:pPr>
    <w:r>
      <w:rPr>
        <w:rFonts w:ascii="Arial" w:hAnsi="Arial"/>
        <w:sz w:val="20"/>
      </w:rPr>
      <w:t xml:space="preserve">ITH/16/11.COM/9.c – page </w:t>
    </w:r>
    <w:r w:rsidRPr="00C5095E">
      <w:rPr>
        <w:rStyle w:val="PageNumber"/>
        <w:rFonts w:ascii="Arial" w:hAnsi="Arial" w:cs="Arial"/>
        <w:sz w:val="20"/>
        <w:szCs w:val="20"/>
      </w:rPr>
      <w:fldChar w:fldCharType="begin"/>
    </w:r>
    <w:r w:rsidRPr="00C5095E">
      <w:rPr>
        <w:rStyle w:val="PageNumber"/>
        <w:rFonts w:ascii="Arial" w:hAnsi="Arial" w:cs="Arial"/>
        <w:sz w:val="20"/>
        <w:szCs w:val="20"/>
      </w:rPr>
      <w:instrText xml:space="preserve"> PAGE </w:instrText>
    </w:r>
    <w:r w:rsidRPr="00C5095E">
      <w:rPr>
        <w:rStyle w:val="PageNumber"/>
        <w:rFonts w:ascii="Arial" w:hAnsi="Arial" w:cs="Arial"/>
        <w:sz w:val="20"/>
        <w:szCs w:val="20"/>
      </w:rPr>
      <w:fldChar w:fldCharType="separate"/>
    </w:r>
    <w:r w:rsidR="001F0617">
      <w:rPr>
        <w:rStyle w:val="PageNumber"/>
        <w:rFonts w:ascii="Arial" w:hAnsi="Arial" w:cs="Arial"/>
        <w:noProof/>
        <w:sz w:val="20"/>
        <w:szCs w:val="20"/>
      </w:rPr>
      <w:t>6</w:t>
    </w:r>
    <w:r w:rsidRPr="00C5095E">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DCD6" w14:textId="730794F5" w:rsidR="00E6127F" w:rsidRPr="0063300C" w:rsidRDefault="00E6127F" w:rsidP="0063300C">
    <w:pPr>
      <w:pStyle w:val="Header"/>
      <w:jc w:val="right"/>
      <w:rPr>
        <w:rFonts w:ascii="Arial" w:hAnsi="Arial" w:cs="Arial"/>
      </w:rPr>
    </w:pPr>
    <w:r>
      <w:rPr>
        <w:rFonts w:ascii="Arial" w:hAnsi="Arial"/>
        <w:sz w:val="20"/>
      </w:rPr>
      <w:t xml:space="preserve">ITH/16/11.COM/9.c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1F0617">
      <w:rPr>
        <w:rStyle w:val="PageNumber"/>
        <w:rFonts w:ascii="Arial" w:hAnsi="Arial" w:cs="Arial"/>
        <w:noProof/>
        <w:sz w:val="20"/>
        <w:szCs w:val="20"/>
      </w:rPr>
      <w:t>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2F36" w14:textId="0AB00269" w:rsidR="00E6127F" w:rsidRPr="00F32C23" w:rsidRDefault="00E6127F">
    <w:pPr>
      <w:pStyle w:val="Header"/>
    </w:pPr>
    <w:r>
      <w:rPr>
        <w:noProof/>
        <w:lang w:eastAsia="ja-JP" w:bidi="ar-SA"/>
      </w:rPr>
      <w:drawing>
        <wp:anchor distT="0" distB="0" distL="114300" distR="114300" simplePos="0" relativeHeight="251659264" behindDoc="0" locked="0" layoutInCell="1" allowOverlap="1" wp14:anchorId="1D592F0E" wp14:editId="18229ACA">
          <wp:simplePos x="0" y="0"/>
          <wp:positionH relativeFrom="column">
            <wp:posOffset>-377825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41325" w14:textId="77777777" w:rsidR="00E6127F" w:rsidRPr="00BA4FD0" w:rsidRDefault="00E6127F" w:rsidP="00655736">
    <w:pPr>
      <w:pStyle w:val="Header"/>
      <w:spacing w:after="520"/>
      <w:jc w:val="right"/>
      <w:rPr>
        <w:rFonts w:ascii="Arial" w:hAnsi="Arial" w:cs="Arial"/>
        <w:b/>
        <w:sz w:val="44"/>
        <w:szCs w:val="44"/>
      </w:rPr>
    </w:pPr>
    <w:r>
      <w:rPr>
        <w:rFonts w:ascii="Arial" w:hAnsi="Arial"/>
        <w:b/>
        <w:sz w:val="44"/>
      </w:rPr>
      <w:t>11 COM</w:t>
    </w:r>
  </w:p>
  <w:p w14:paraId="734F34D3" w14:textId="77777777" w:rsidR="00E6127F" w:rsidRPr="00BA4FD0" w:rsidRDefault="00E6127F" w:rsidP="00655736">
    <w:pPr>
      <w:jc w:val="right"/>
      <w:rPr>
        <w:rFonts w:ascii="Arial" w:hAnsi="Arial" w:cs="Arial"/>
        <w:b/>
        <w:sz w:val="22"/>
        <w:szCs w:val="22"/>
      </w:rPr>
    </w:pPr>
    <w:r>
      <w:rPr>
        <w:rFonts w:ascii="Arial" w:hAnsi="Arial"/>
        <w:b/>
        <w:sz w:val="22"/>
      </w:rPr>
      <w:t>ITH/16/11.COM/9.c</w:t>
    </w:r>
  </w:p>
  <w:p w14:paraId="40AA804F" w14:textId="77777777" w:rsidR="00E6127F" w:rsidRPr="00BA4FD0" w:rsidRDefault="00E6127F" w:rsidP="00655736">
    <w:pPr>
      <w:jc w:val="right"/>
      <w:rPr>
        <w:rFonts w:ascii="Arial" w:hAnsi="Arial" w:cs="Arial"/>
        <w:b/>
        <w:sz w:val="22"/>
        <w:szCs w:val="22"/>
      </w:rPr>
    </w:pPr>
    <w:r>
      <w:rPr>
        <w:rFonts w:ascii="Arial" w:hAnsi="Arial"/>
        <w:b/>
        <w:sz w:val="22"/>
      </w:rPr>
      <w:t>Paris, le 31 octobre 2016</w:t>
    </w:r>
  </w:p>
  <w:p w14:paraId="680921B3" w14:textId="77777777" w:rsidR="00E6127F" w:rsidRDefault="00E6127F" w:rsidP="000048ED">
    <w:pPr>
      <w:jc w:val="right"/>
      <w:rPr>
        <w:rFonts w:ascii="Arial" w:hAnsi="Arial" w:cs="Arial"/>
        <w:b/>
        <w:sz w:val="22"/>
        <w:szCs w:val="22"/>
      </w:rPr>
    </w:pPr>
    <w:r>
      <w:rPr>
        <w:rFonts w:ascii="Arial" w:hAnsi="Arial"/>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DB5314"/>
    <w:multiLevelType w:val="hybridMultilevel"/>
    <w:tmpl w:val="C05AE294"/>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5F07BFE"/>
    <w:multiLevelType w:val="hybridMultilevel"/>
    <w:tmpl w:val="B02632AA"/>
    <w:lvl w:ilvl="0" w:tplc="76CAC304">
      <w:start w:val="1"/>
      <w:numFmt w:val="decimal"/>
      <w:pStyle w:val="COMPara"/>
      <w:lvlText w:val="%1."/>
      <w:lvlJc w:val="left"/>
      <w:pPr>
        <w:ind w:left="163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330A7D7C">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8A2A99"/>
    <w:multiLevelType w:val="multilevel"/>
    <w:tmpl w:val="B454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5"/>
  </w:num>
  <w:num w:numId="5">
    <w:abstractNumId w:val="13"/>
  </w:num>
  <w:num w:numId="6">
    <w:abstractNumId w:val="1"/>
  </w:num>
  <w:num w:numId="7">
    <w:abstractNumId w:val="3"/>
  </w:num>
  <w:num w:numId="8">
    <w:abstractNumId w:val="11"/>
  </w:num>
  <w:num w:numId="9">
    <w:abstractNumId w:val="6"/>
  </w:num>
  <w:num w:numId="10">
    <w:abstractNumId w:val="8"/>
  </w:num>
  <w:num w:numId="11">
    <w:abstractNumId w:val="10"/>
  </w:num>
  <w:num w:numId="12">
    <w:abstractNumId w:val="9"/>
  </w:num>
  <w:num w:numId="13">
    <w:abstractNumId w:val="6"/>
    <w:lvlOverride w:ilvl="0">
      <w:startOverride w:val="1"/>
    </w:lvlOverride>
  </w:num>
  <w:num w:numId="14">
    <w:abstractNumId w:val="0"/>
  </w:num>
  <w:num w:numId="15">
    <w:abstractNumId w:val="6"/>
    <w:lvlOverride w:ilvl="0">
      <w:startOverride w:val="1"/>
    </w:lvlOverride>
  </w:num>
  <w:num w:numId="16">
    <w:abstractNumId w:val="6"/>
  </w:num>
  <w:num w:numId="17">
    <w:abstractNumId w:val="6"/>
  </w:num>
  <w:num w:numId="18">
    <w:abstractNumId w:val="6"/>
  </w:num>
  <w:num w:numId="19">
    <w:abstractNumId w:val="6"/>
  </w:num>
  <w:num w:numId="20">
    <w:abstractNumId w:val="6"/>
  </w:num>
  <w:num w:numId="21">
    <w:abstractNumId w:val="14"/>
  </w:num>
  <w:num w:numId="22">
    <w:abstractNumId w:val="6"/>
  </w:num>
  <w:num w:numId="23">
    <w:abstractNumId w:val="6"/>
  </w:num>
  <w:num w:numId="24">
    <w:abstractNumId w:val="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24DA"/>
    <w:rsid w:val="000048ED"/>
    <w:rsid w:val="00026925"/>
    <w:rsid w:val="00032E33"/>
    <w:rsid w:val="00035900"/>
    <w:rsid w:val="00041A66"/>
    <w:rsid w:val="000437A7"/>
    <w:rsid w:val="0005176E"/>
    <w:rsid w:val="00053630"/>
    <w:rsid w:val="000556B7"/>
    <w:rsid w:val="00073F61"/>
    <w:rsid w:val="000752FE"/>
    <w:rsid w:val="000765F7"/>
    <w:rsid w:val="000766AD"/>
    <w:rsid w:val="00077AB7"/>
    <w:rsid w:val="00081CD8"/>
    <w:rsid w:val="000833B3"/>
    <w:rsid w:val="0008569D"/>
    <w:rsid w:val="000951C7"/>
    <w:rsid w:val="00096632"/>
    <w:rsid w:val="000A7F0E"/>
    <w:rsid w:val="000B064D"/>
    <w:rsid w:val="000B1C8F"/>
    <w:rsid w:val="000C0D61"/>
    <w:rsid w:val="000C32D2"/>
    <w:rsid w:val="000E0480"/>
    <w:rsid w:val="000F3A3F"/>
    <w:rsid w:val="000F7632"/>
    <w:rsid w:val="00101275"/>
    <w:rsid w:val="00102557"/>
    <w:rsid w:val="00113048"/>
    <w:rsid w:val="001155A0"/>
    <w:rsid w:val="0011608C"/>
    <w:rsid w:val="0011642F"/>
    <w:rsid w:val="001170DF"/>
    <w:rsid w:val="001256CA"/>
    <w:rsid w:val="001508A0"/>
    <w:rsid w:val="00150F97"/>
    <w:rsid w:val="00164D56"/>
    <w:rsid w:val="00167B10"/>
    <w:rsid w:val="0017402F"/>
    <w:rsid w:val="00182491"/>
    <w:rsid w:val="001952D2"/>
    <w:rsid w:val="00196C1B"/>
    <w:rsid w:val="001A6D3E"/>
    <w:rsid w:val="001B0F73"/>
    <w:rsid w:val="001B4CE8"/>
    <w:rsid w:val="001C2DB7"/>
    <w:rsid w:val="001D4055"/>
    <w:rsid w:val="001D5C04"/>
    <w:rsid w:val="001E6227"/>
    <w:rsid w:val="001E68DF"/>
    <w:rsid w:val="001F0617"/>
    <w:rsid w:val="001F26CF"/>
    <w:rsid w:val="00200C9D"/>
    <w:rsid w:val="00205904"/>
    <w:rsid w:val="0021763C"/>
    <w:rsid w:val="00217AFE"/>
    <w:rsid w:val="00222A2D"/>
    <w:rsid w:val="00223029"/>
    <w:rsid w:val="00234745"/>
    <w:rsid w:val="002407AF"/>
    <w:rsid w:val="00243AF0"/>
    <w:rsid w:val="00260258"/>
    <w:rsid w:val="00266135"/>
    <w:rsid w:val="00267EC9"/>
    <w:rsid w:val="002701FC"/>
    <w:rsid w:val="0027466B"/>
    <w:rsid w:val="00283389"/>
    <w:rsid w:val="002838A5"/>
    <w:rsid w:val="00285BB4"/>
    <w:rsid w:val="00293758"/>
    <w:rsid w:val="002959C6"/>
    <w:rsid w:val="002A76C9"/>
    <w:rsid w:val="002B0F16"/>
    <w:rsid w:val="002C09E3"/>
    <w:rsid w:val="002D2AD2"/>
    <w:rsid w:val="002D46CB"/>
    <w:rsid w:val="00306FC3"/>
    <w:rsid w:val="00312EFA"/>
    <w:rsid w:val="00314C11"/>
    <w:rsid w:val="003216C8"/>
    <w:rsid w:val="00324986"/>
    <w:rsid w:val="003316FD"/>
    <w:rsid w:val="00344B58"/>
    <w:rsid w:val="0034539A"/>
    <w:rsid w:val="00345CB4"/>
    <w:rsid w:val="00347A00"/>
    <w:rsid w:val="003556EE"/>
    <w:rsid w:val="00363315"/>
    <w:rsid w:val="00371B25"/>
    <w:rsid w:val="00375D42"/>
    <w:rsid w:val="0038012B"/>
    <w:rsid w:val="0038685F"/>
    <w:rsid w:val="003938C4"/>
    <w:rsid w:val="003A1360"/>
    <w:rsid w:val="003A313A"/>
    <w:rsid w:val="003A783D"/>
    <w:rsid w:val="003C46C1"/>
    <w:rsid w:val="003C52D4"/>
    <w:rsid w:val="003D069C"/>
    <w:rsid w:val="003D5D4C"/>
    <w:rsid w:val="003D6353"/>
    <w:rsid w:val="003D7646"/>
    <w:rsid w:val="003E15C7"/>
    <w:rsid w:val="003F113A"/>
    <w:rsid w:val="003F3E63"/>
    <w:rsid w:val="003F400A"/>
    <w:rsid w:val="00407480"/>
    <w:rsid w:val="00412884"/>
    <w:rsid w:val="00414643"/>
    <w:rsid w:val="00427D99"/>
    <w:rsid w:val="004421E5"/>
    <w:rsid w:val="00452284"/>
    <w:rsid w:val="00452626"/>
    <w:rsid w:val="00457C8E"/>
    <w:rsid w:val="00470863"/>
    <w:rsid w:val="00471CCA"/>
    <w:rsid w:val="004856CA"/>
    <w:rsid w:val="00485F9D"/>
    <w:rsid w:val="00487E67"/>
    <w:rsid w:val="0049705E"/>
    <w:rsid w:val="004A34A0"/>
    <w:rsid w:val="004B1D30"/>
    <w:rsid w:val="004B546B"/>
    <w:rsid w:val="004D3819"/>
    <w:rsid w:val="004D3A82"/>
    <w:rsid w:val="004E4D7E"/>
    <w:rsid w:val="005008A8"/>
    <w:rsid w:val="0050686E"/>
    <w:rsid w:val="00507088"/>
    <w:rsid w:val="00514D2F"/>
    <w:rsid w:val="00526B7B"/>
    <w:rsid w:val="005308CE"/>
    <w:rsid w:val="0053231F"/>
    <w:rsid w:val="00532C0A"/>
    <w:rsid w:val="0054625B"/>
    <w:rsid w:val="00546BB3"/>
    <w:rsid w:val="00571531"/>
    <w:rsid w:val="00573227"/>
    <w:rsid w:val="0057439C"/>
    <w:rsid w:val="0058343C"/>
    <w:rsid w:val="00590912"/>
    <w:rsid w:val="005A4DA8"/>
    <w:rsid w:val="005B0127"/>
    <w:rsid w:val="005B7A35"/>
    <w:rsid w:val="005C4B73"/>
    <w:rsid w:val="005D106B"/>
    <w:rsid w:val="005D320B"/>
    <w:rsid w:val="005E0D50"/>
    <w:rsid w:val="005E1D2B"/>
    <w:rsid w:val="005E7074"/>
    <w:rsid w:val="005F2BAF"/>
    <w:rsid w:val="005F6620"/>
    <w:rsid w:val="00600D93"/>
    <w:rsid w:val="00613492"/>
    <w:rsid w:val="00613D83"/>
    <w:rsid w:val="00616EFE"/>
    <w:rsid w:val="00620D76"/>
    <w:rsid w:val="006267A2"/>
    <w:rsid w:val="0063300C"/>
    <w:rsid w:val="00655736"/>
    <w:rsid w:val="00657370"/>
    <w:rsid w:val="006621D4"/>
    <w:rsid w:val="00663B8D"/>
    <w:rsid w:val="00682733"/>
    <w:rsid w:val="0069275B"/>
    <w:rsid w:val="00696C8D"/>
    <w:rsid w:val="006A2AC2"/>
    <w:rsid w:val="006A3617"/>
    <w:rsid w:val="006A7E65"/>
    <w:rsid w:val="006B44B6"/>
    <w:rsid w:val="006B44FB"/>
    <w:rsid w:val="006C5648"/>
    <w:rsid w:val="006C6E6D"/>
    <w:rsid w:val="006E17FF"/>
    <w:rsid w:val="006E46E4"/>
    <w:rsid w:val="006E5B41"/>
    <w:rsid w:val="006F111A"/>
    <w:rsid w:val="00702F42"/>
    <w:rsid w:val="007123AE"/>
    <w:rsid w:val="00717273"/>
    <w:rsid w:val="00717DA5"/>
    <w:rsid w:val="0072350B"/>
    <w:rsid w:val="00730184"/>
    <w:rsid w:val="00744484"/>
    <w:rsid w:val="00747566"/>
    <w:rsid w:val="00760F56"/>
    <w:rsid w:val="00773188"/>
    <w:rsid w:val="00773DEF"/>
    <w:rsid w:val="00775B1C"/>
    <w:rsid w:val="00783782"/>
    <w:rsid w:val="00784B8C"/>
    <w:rsid w:val="00784C67"/>
    <w:rsid w:val="007879D5"/>
    <w:rsid w:val="007879E1"/>
    <w:rsid w:val="007A26D9"/>
    <w:rsid w:val="007B1055"/>
    <w:rsid w:val="007B5904"/>
    <w:rsid w:val="007B6B70"/>
    <w:rsid w:val="007F1797"/>
    <w:rsid w:val="0081192A"/>
    <w:rsid w:val="00814DA4"/>
    <w:rsid w:val="008215F8"/>
    <w:rsid w:val="00822137"/>
    <w:rsid w:val="00823A11"/>
    <w:rsid w:val="00827C49"/>
    <w:rsid w:val="0083568B"/>
    <w:rsid w:val="00847CAA"/>
    <w:rsid w:val="0085405E"/>
    <w:rsid w:val="0085414A"/>
    <w:rsid w:val="0086269D"/>
    <w:rsid w:val="0086543A"/>
    <w:rsid w:val="008724E5"/>
    <w:rsid w:val="0087628E"/>
    <w:rsid w:val="00881E80"/>
    <w:rsid w:val="00884A9D"/>
    <w:rsid w:val="0088512B"/>
    <w:rsid w:val="0089620C"/>
    <w:rsid w:val="008A19A1"/>
    <w:rsid w:val="008A2B2D"/>
    <w:rsid w:val="008A4E1E"/>
    <w:rsid w:val="008C1F1A"/>
    <w:rsid w:val="008C296C"/>
    <w:rsid w:val="008D4305"/>
    <w:rsid w:val="008D5659"/>
    <w:rsid w:val="008E1A85"/>
    <w:rsid w:val="008E5E99"/>
    <w:rsid w:val="008F403C"/>
    <w:rsid w:val="009163A7"/>
    <w:rsid w:val="00924C0C"/>
    <w:rsid w:val="009264B4"/>
    <w:rsid w:val="009353CF"/>
    <w:rsid w:val="0093722C"/>
    <w:rsid w:val="00946D0B"/>
    <w:rsid w:val="00946EE6"/>
    <w:rsid w:val="00953026"/>
    <w:rsid w:val="00955877"/>
    <w:rsid w:val="00980E9E"/>
    <w:rsid w:val="00983716"/>
    <w:rsid w:val="00997784"/>
    <w:rsid w:val="009A18CD"/>
    <w:rsid w:val="009C60AB"/>
    <w:rsid w:val="009D3145"/>
    <w:rsid w:val="009D5428"/>
    <w:rsid w:val="009E216A"/>
    <w:rsid w:val="00A01D89"/>
    <w:rsid w:val="00A12558"/>
    <w:rsid w:val="00A13903"/>
    <w:rsid w:val="00A25AF9"/>
    <w:rsid w:val="00A263C6"/>
    <w:rsid w:val="00A34ED5"/>
    <w:rsid w:val="00A35C3F"/>
    <w:rsid w:val="00A41932"/>
    <w:rsid w:val="00A44FBC"/>
    <w:rsid w:val="00A45DBF"/>
    <w:rsid w:val="00A5186A"/>
    <w:rsid w:val="00A61063"/>
    <w:rsid w:val="00A61101"/>
    <w:rsid w:val="00A755A2"/>
    <w:rsid w:val="00A83D8F"/>
    <w:rsid w:val="00A8600B"/>
    <w:rsid w:val="00AA15E7"/>
    <w:rsid w:val="00AA6660"/>
    <w:rsid w:val="00AB2C36"/>
    <w:rsid w:val="00AB6DDE"/>
    <w:rsid w:val="00AB70B6"/>
    <w:rsid w:val="00AC7DA4"/>
    <w:rsid w:val="00AD1A86"/>
    <w:rsid w:val="00AE103E"/>
    <w:rsid w:val="00AE4BEA"/>
    <w:rsid w:val="00AF0A07"/>
    <w:rsid w:val="00AF4AEC"/>
    <w:rsid w:val="00AF625E"/>
    <w:rsid w:val="00AF7C35"/>
    <w:rsid w:val="00B076FE"/>
    <w:rsid w:val="00B328CD"/>
    <w:rsid w:val="00B32E0D"/>
    <w:rsid w:val="00B47E67"/>
    <w:rsid w:val="00B577D1"/>
    <w:rsid w:val="00B622AA"/>
    <w:rsid w:val="00B628F5"/>
    <w:rsid w:val="00B72443"/>
    <w:rsid w:val="00B73499"/>
    <w:rsid w:val="00B82D4C"/>
    <w:rsid w:val="00BA4FD0"/>
    <w:rsid w:val="00BA5D6E"/>
    <w:rsid w:val="00BB04AF"/>
    <w:rsid w:val="00BB0B2F"/>
    <w:rsid w:val="00BB2C3D"/>
    <w:rsid w:val="00BC383F"/>
    <w:rsid w:val="00BC7888"/>
    <w:rsid w:val="00BD41E9"/>
    <w:rsid w:val="00BD52C9"/>
    <w:rsid w:val="00BD6BBB"/>
    <w:rsid w:val="00BE011A"/>
    <w:rsid w:val="00BE6354"/>
    <w:rsid w:val="00BF56C8"/>
    <w:rsid w:val="00C00D04"/>
    <w:rsid w:val="00C06EB4"/>
    <w:rsid w:val="00C138D1"/>
    <w:rsid w:val="00C23A97"/>
    <w:rsid w:val="00C25D77"/>
    <w:rsid w:val="00C340A7"/>
    <w:rsid w:val="00C47621"/>
    <w:rsid w:val="00C5095E"/>
    <w:rsid w:val="00C642AF"/>
    <w:rsid w:val="00C64855"/>
    <w:rsid w:val="00C70EA7"/>
    <w:rsid w:val="00C72976"/>
    <w:rsid w:val="00C7516E"/>
    <w:rsid w:val="00C75770"/>
    <w:rsid w:val="00C75A0E"/>
    <w:rsid w:val="00C90BAB"/>
    <w:rsid w:val="00CA1DC6"/>
    <w:rsid w:val="00CA2040"/>
    <w:rsid w:val="00CA56BB"/>
    <w:rsid w:val="00CA68F7"/>
    <w:rsid w:val="00CA6A22"/>
    <w:rsid w:val="00CB0542"/>
    <w:rsid w:val="00CD34C3"/>
    <w:rsid w:val="00CD68E2"/>
    <w:rsid w:val="00CD72E5"/>
    <w:rsid w:val="00D00A69"/>
    <w:rsid w:val="00D00B2B"/>
    <w:rsid w:val="00D130B4"/>
    <w:rsid w:val="00D21E47"/>
    <w:rsid w:val="00D24877"/>
    <w:rsid w:val="00D440E2"/>
    <w:rsid w:val="00D52470"/>
    <w:rsid w:val="00D53EB4"/>
    <w:rsid w:val="00D56939"/>
    <w:rsid w:val="00D76DC1"/>
    <w:rsid w:val="00D8250F"/>
    <w:rsid w:val="00D82C61"/>
    <w:rsid w:val="00D87899"/>
    <w:rsid w:val="00D87F54"/>
    <w:rsid w:val="00D95C4C"/>
    <w:rsid w:val="00D962A9"/>
    <w:rsid w:val="00D97DF9"/>
    <w:rsid w:val="00DA36ED"/>
    <w:rsid w:val="00DB397A"/>
    <w:rsid w:val="00DB58D6"/>
    <w:rsid w:val="00DB7C3D"/>
    <w:rsid w:val="00DC6F1D"/>
    <w:rsid w:val="00DD3644"/>
    <w:rsid w:val="00DD4172"/>
    <w:rsid w:val="00DE34F1"/>
    <w:rsid w:val="00DE6160"/>
    <w:rsid w:val="00DF4942"/>
    <w:rsid w:val="00DF6962"/>
    <w:rsid w:val="00E01712"/>
    <w:rsid w:val="00E244E1"/>
    <w:rsid w:val="00E3450A"/>
    <w:rsid w:val="00E34F17"/>
    <w:rsid w:val="00E40F50"/>
    <w:rsid w:val="00E6127F"/>
    <w:rsid w:val="00E627B1"/>
    <w:rsid w:val="00E63751"/>
    <w:rsid w:val="00E70169"/>
    <w:rsid w:val="00E747A8"/>
    <w:rsid w:val="00E77096"/>
    <w:rsid w:val="00E82213"/>
    <w:rsid w:val="00E9376C"/>
    <w:rsid w:val="00E9712D"/>
    <w:rsid w:val="00E97482"/>
    <w:rsid w:val="00EA335E"/>
    <w:rsid w:val="00EA528C"/>
    <w:rsid w:val="00EA580C"/>
    <w:rsid w:val="00EA7595"/>
    <w:rsid w:val="00EA7920"/>
    <w:rsid w:val="00EC5007"/>
    <w:rsid w:val="00EC6F8D"/>
    <w:rsid w:val="00ED0D02"/>
    <w:rsid w:val="00ED61D1"/>
    <w:rsid w:val="00ED6383"/>
    <w:rsid w:val="00EE49F4"/>
    <w:rsid w:val="00EF073C"/>
    <w:rsid w:val="00EF0B7D"/>
    <w:rsid w:val="00EF34E2"/>
    <w:rsid w:val="00EF5D36"/>
    <w:rsid w:val="00EF7495"/>
    <w:rsid w:val="00F02F65"/>
    <w:rsid w:val="00F067EA"/>
    <w:rsid w:val="00F156E5"/>
    <w:rsid w:val="00F25799"/>
    <w:rsid w:val="00F30DC6"/>
    <w:rsid w:val="00F320F1"/>
    <w:rsid w:val="00F32C23"/>
    <w:rsid w:val="00F33187"/>
    <w:rsid w:val="00F35C2F"/>
    <w:rsid w:val="00F52CFC"/>
    <w:rsid w:val="00F53DE9"/>
    <w:rsid w:val="00F576CB"/>
    <w:rsid w:val="00F6317A"/>
    <w:rsid w:val="00F65972"/>
    <w:rsid w:val="00F7035D"/>
    <w:rsid w:val="00F71A02"/>
    <w:rsid w:val="00F9202D"/>
    <w:rsid w:val="00FA0D63"/>
    <w:rsid w:val="00FA33BD"/>
    <w:rsid w:val="00FC0BF7"/>
    <w:rsid w:val="00FD1226"/>
    <w:rsid w:val="00FD20CD"/>
    <w:rsid w:val="00FF1911"/>
    <w:rsid w:val="00FF4830"/>
  </w:rsids>
  <m:mathPr>
    <m:mathFont m:val="Cambria Math"/>
    <m:brkBin m:val="before"/>
    <m:brkBinSub m:val="--"/>
    <m:smallFrac/>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471D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CD34C3"/>
    <w:rPr>
      <w:color w:val="0000FF" w:themeColor="hyperlink"/>
      <w:u w:val="single"/>
    </w:rPr>
  </w:style>
  <w:style w:type="paragraph" w:styleId="FootnoteText">
    <w:name w:val="footnote text"/>
    <w:basedOn w:val="Normal"/>
    <w:link w:val="FootnoteTextChar"/>
    <w:uiPriority w:val="99"/>
    <w:unhideWhenUsed/>
    <w:rsid w:val="00CD34C3"/>
    <w:rPr>
      <w:sz w:val="20"/>
      <w:szCs w:val="20"/>
    </w:rPr>
  </w:style>
  <w:style w:type="character" w:customStyle="1" w:styleId="FootnoteTextChar">
    <w:name w:val="Footnote Text Char"/>
    <w:basedOn w:val="DefaultParagraphFont"/>
    <w:link w:val="FootnoteText"/>
    <w:uiPriority w:val="99"/>
    <w:rsid w:val="00CD34C3"/>
    <w:rPr>
      <w:rFonts w:ascii="Times New Roman" w:eastAsia="Times New Roman" w:hAnsi="Times New Roman"/>
    </w:rPr>
  </w:style>
  <w:style w:type="character" w:styleId="FootnoteReference">
    <w:name w:val="footnote reference"/>
    <w:basedOn w:val="DefaultParagraphFont"/>
    <w:uiPriority w:val="99"/>
    <w:semiHidden/>
    <w:unhideWhenUsed/>
    <w:rsid w:val="00CD34C3"/>
    <w:rPr>
      <w:vertAlign w:val="superscript"/>
    </w:rPr>
  </w:style>
  <w:style w:type="character" w:customStyle="1" w:styleId="hps">
    <w:name w:val="hps"/>
    <w:rsid w:val="007A26D9"/>
  </w:style>
  <w:style w:type="character" w:styleId="CommentReference">
    <w:name w:val="annotation reference"/>
    <w:basedOn w:val="DefaultParagraphFont"/>
    <w:uiPriority w:val="99"/>
    <w:semiHidden/>
    <w:unhideWhenUsed/>
    <w:rsid w:val="001508A0"/>
    <w:rPr>
      <w:sz w:val="16"/>
      <w:szCs w:val="16"/>
    </w:rPr>
  </w:style>
  <w:style w:type="paragraph" w:styleId="CommentText">
    <w:name w:val="annotation text"/>
    <w:basedOn w:val="Normal"/>
    <w:link w:val="CommentTextChar"/>
    <w:uiPriority w:val="99"/>
    <w:semiHidden/>
    <w:unhideWhenUsed/>
    <w:rsid w:val="001508A0"/>
    <w:rPr>
      <w:sz w:val="20"/>
      <w:szCs w:val="20"/>
    </w:rPr>
  </w:style>
  <w:style w:type="character" w:customStyle="1" w:styleId="CommentTextChar">
    <w:name w:val="Comment Text Char"/>
    <w:basedOn w:val="DefaultParagraphFont"/>
    <w:link w:val="CommentText"/>
    <w:uiPriority w:val="99"/>
    <w:semiHidden/>
    <w:rsid w:val="001508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08A0"/>
    <w:rPr>
      <w:b/>
      <w:bCs/>
    </w:rPr>
  </w:style>
  <w:style w:type="character" w:customStyle="1" w:styleId="CommentSubjectChar">
    <w:name w:val="Comment Subject Char"/>
    <w:basedOn w:val="CommentTextChar"/>
    <w:link w:val="CommentSubject"/>
    <w:uiPriority w:val="99"/>
    <w:semiHidden/>
    <w:rsid w:val="001508A0"/>
    <w:rPr>
      <w:rFonts w:ascii="Times New Roman" w:eastAsia="Times New Roman" w:hAnsi="Times New Roman"/>
      <w:b/>
      <w:bCs/>
    </w:rPr>
  </w:style>
  <w:style w:type="character" w:customStyle="1" w:styleId="MargeChar">
    <w:name w:val="Marge Char"/>
    <w:link w:val="Marge"/>
    <w:rsid w:val="00BA5D6E"/>
    <w:rPr>
      <w:rFonts w:ascii="Arial" w:eastAsia="Times New Roman" w:hAnsi="Arial"/>
      <w:snapToGrid w:val="0"/>
      <w:sz w:val="22"/>
      <w:szCs w:val="24"/>
      <w:lang w:eastAsia="fr-FR"/>
    </w:rPr>
  </w:style>
  <w:style w:type="character" w:styleId="FollowedHyperlink">
    <w:name w:val="FollowedHyperlink"/>
    <w:basedOn w:val="DefaultParagraphFont"/>
    <w:uiPriority w:val="99"/>
    <w:semiHidden/>
    <w:unhideWhenUsed/>
    <w:rsid w:val="008A19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CD34C3"/>
    <w:rPr>
      <w:color w:val="0000FF" w:themeColor="hyperlink"/>
      <w:u w:val="single"/>
    </w:rPr>
  </w:style>
  <w:style w:type="paragraph" w:styleId="FootnoteText">
    <w:name w:val="footnote text"/>
    <w:basedOn w:val="Normal"/>
    <w:link w:val="FootnoteTextChar"/>
    <w:uiPriority w:val="99"/>
    <w:unhideWhenUsed/>
    <w:rsid w:val="00CD34C3"/>
    <w:rPr>
      <w:sz w:val="20"/>
      <w:szCs w:val="20"/>
    </w:rPr>
  </w:style>
  <w:style w:type="character" w:customStyle="1" w:styleId="FootnoteTextChar">
    <w:name w:val="Footnote Text Char"/>
    <w:basedOn w:val="DefaultParagraphFont"/>
    <w:link w:val="FootnoteText"/>
    <w:uiPriority w:val="99"/>
    <w:rsid w:val="00CD34C3"/>
    <w:rPr>
      <w:rFonts w:ascii="Times New Roman" w:eastAsia="Times New Roman" w:hAnsi="Times New Roman"/>
    </w:rPr>
  </w:style>
  <w:style w:type="character" w:styleId="FootnoteReference">
    <w:name w:val="footnote reference"/>
    <w:basedOn w:val="DefaultParagraphFont"/>
    <w:uiPriority w:val="99"/>
    <w:semiHidden/>
    <w:unhideWhenUsed/>
    <w:rsid w:val="00CD34C3"/>
    <w:rPr>
      <w:vertAlign w:val="superscript"/>
    </w:rPr>
  </w:style>
  <w:style w:type="character" w:customStyle="1" w:styleId="hps">
    <w:name w:val="hps"/>
    <w:rsid w:val="007A26D9"/>
  </w:style>
  <w:style w:type="character" w:styleId="CommentReference">
    <w:name w:val="annotation reference"/>
    <w:basedOn w:val="DefaultParagraphFont"/>
    <w:uiPriority w:val="99"/>
    <w:semiHidden/>
    <w:unhideWhenUsed/>
    <w:rsid w:val="001508A0"/>
    <w:rPr>
      <w:sz w:val="16"/>
      <w:szCs w:val="16"/>
    </w:rPr>
  </w:style>
  <w:style w:type="paragraph" w:styleId="CommentText">
    <w:name w:val="annotation text"/>
    <w:basedOn w:val="Normal"/>
    <w:link w:val="CommentTextChar"/>
    <w:uiPriority w:val="99"/>
    <w:semiHidden/>
    <w:unhideWhenUsed/>
    <w:rsid w:val="001508A0"/>
    <w:rPr>
      <w:sz w:val="20"/>
      <w:szCs w:val="20"/>
    </w:rPr>
  </w:style>
  <w:style w:type="character" w:customStyle="1" w:styleId="CommentTextChar">
    <w:name w:val="Comment Text Char"/>
    <w:basedOn w:val="DefaultParagraphFont"/>
    <w:link w:val="CommentText"/>
    <w:uiPriority w:val="99"/>
    <w:semiHidden/>
    <w:rsid w:val="001508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08A0"/>
    <w:rPr>
      <w:b/>
      <w:bCs/>
    </w:rPr>
  </w:style>
  <w:style w:type="character" w:customStyle="1" w:styleId="CommentSubjectChar">
    <w:name w:val="Comment Subject Char"/>
    <w:basedOn w:val="CommentTextChar"/>
    <w:link w:val="CommentSubject"/>
    <w:uiPriority w:val="99"/>
    <w:semiHidden/>
    <w:rsid w:val="001508A0"/>
    <w:rPr>
      <w:rFonts w:ascii="Times New Roman" w:eastAsia="Times New Roman" w:hAnsi="Times New Roman"/>
      <w:b/>
      <w:bCs/>
    </w:rPr>
  </w:style>
  <w:style w:type="character" w:customStyle="1" w:styleId="MargeChar">
    <w:name w:val="Marge Char"/>
    <w:link w:val="Marge"/>
    <w:rsid w:val="00BA5D6E"/>
    <w:rPr>
      <w:rFonts w:ascii="Arial" w:eastAsia="Times New Roman" w:hAnsi="Arial"/>
      <w:snapToGrid w:val="0"/>
      <w:sz w:val="22"/>
      <w:szCs w:val="24"/>
      <w:lang w:eastAsia="fr-FR"/>
    </w:rPr>
  </w:style>
  <w:style w:type="character" w:styleId="FollowedHyperlink">
    <w:name w:val="FollowedHyperlink"/>
    <w:basedOn w:val="DefaultParagraphFont"/>
    <w:uiPriority w:val="99"/>
    <w:semiHidden/>
    <w:unhideWhenUsed/>
    <w:rsid w:val="008A1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547">
      <w:bodyDiv w:val="1"/>
      <w:marLeft w:val="0"/>
      <w:marRight w:val="0"/>
      <w:marTop w:val="0"/>
      <w:marBottom w:val="0"/>
      <w:divBdr>
        <w:top w:val="none" w:sz="0" w:space="0" w:color="auto"/>
        <w:left w:val="none" w:sz="0" w:space="0" w:color="auto"/>
        <w:bottom w:val="none" w:sz="0" w:space="0" w:color="auto"/>
        <w:right w:val="none" w:sz="0" w:space="0" w:color="auto"/>
      </w:divBdr>
    </w:div>
    <w:div w:id="10953858">
      <w:bodyDiv w:val="1"/>
      <w:marLeft w:val="0"/>
      <w:marRight w:val="0"/>
      <w:marTop w:val="0"/>
      <w:marBottom w:val="0"/>
      <w:divBdr>
        <w:top w:val="none" w:sz="0" w:space="0" w:color="auto"/>
        <w:left w:val="none" w:sz="0" w:space="0" w:color="auto"/>
        <w:bottom w:val="none" w:sz="0" w:space="0" w:color="auto"/>
        <w:right w:val="none" w:sz="0" w:space="0" w:color="auto"/>
      </w:divBdr>
    </w:div>
    <w:div w:id="39518549">
      <w:bodyDiv w:val="1"/>
      <w:marLeft w:val="0"/>
      <w:marRight w:val="0"/>
      <w:marTop w:val="0"/>
      <w:marBottom w:val="0"/>
      <w:divBdr>
        <w:top w:val="none" w:sz="0" w:space="0" w:color="auto"/>
        <w:left w:val="none" w:sz="0" w:space="0" w:color="auto"/>
        <w:bottom w:val="none" w:sz="0" w:space="0" w:color="auto"/>
        <w:right w:val="none" w:sz="0" w:space="0" w:color="auto"/>
      </w:divBdr>
    </w:div>
    <w:div w:id="189343927">
      <w:bodyDiv w:val="1"/>
      <w:marLeft w:val="0"/>
      <w:marRight w:val="0"/>
      <w:marTop w:val="0"/>
      <w:marBottom w:val="0"/>
      <w:divBdr>
        <w:top w:val="none" w:sz="0" w:space="0" w:color="auto"/>
        <w:left w:val="none" w:sz="0" w:space="0" w:color="auto"/>
        <w:bottom w:val="none" w:sz="0" w:space="0" w:color="auto"/>
        <w:right w:val="none" w:sz="0" w:space="0" w:color="auto"/>
      </w:divBdr>
    </w:div>
    <w:div w:id="236717497">
      <w:bodyDiv w:val="1"/>
      <w:marLeft w:val="0"/>
      <w:marRight w:val="0"/>
      <w:marTop w:val="0"/>
      <w:marBottom w:val="0"/>
      <w:divBdr>
        <w:top w:val="none" w:sz="0" w:space="0" w:color="auto"/>
        <w:left w:val="none" w:sz="0" w:space="0" w:color="auto"/>
        <w:bottom w:val="none" w:sz="0" w:space="0" w:color="auto"/>
        <w:right w:val="none" w:sz="0" w:space="0" w:color="auto"/>
      </w:divBdr>
    </w:div>
    <w:div w:id="272790243">
      <w:bodyDiv w:val="1"/>
      <w:marLeft w:val="0"/>
      <w:marRight w:val="0"/>
      <w:marTop w:val="0"/>
      <w:marBottom w:val="0"/>
      <w:divBdr>
        <w:top w:val="none" w:sz="0" w:space="0" w:color="auto"/>
        <w:left w:val="none" w:sz="0" w:space="0" w:color="auto"/>
        <w:bottom w:val="none" w:sz="0" w:space="0" w:color="auto"/>
        <w:right w:val="none" w:sz="0" w:space="0" w:color="auto"/>
      </w:divBdr>
    </w:div>
    <w:div w:id="391124563">
      <w:bodyDiv w:val="1"/>
      <w:marLeft w:val="0"/>
      <w:marRight w:val="0"/>
      <w:marTop w:val="0"/>
      <w:marBottom w:val="0"/>
      <w:divBdr>
        <w:top w:val="none" w:sz="0" w:space="0" w:color="auto"/>
        <w:left w:val="none" w:sz="0" w:space="0" w:color="auto"/>
        <w:bottom w:val="none" w:sz="0" w:space="0" w:color="auto"/>
        <w:right w:val="none" w:sz="0" w:space="0" w:color="auto"/>
      </w:divBdr>
    </w:div>
    <w:div w:id="408430145">
      <w:bodyDiv w:val="1"/>
      <w:marLeft w:val="0"/>
      <w:marRight w:val="0"/>
      <w:marTop w:val="0"/>
      <w:marBottom w:val="0"/>
      <w:divBdr>
        <w:top w:val="none" w:sz="0" w:space="0" w:color="auto"/>
        <w:left w:val="none" w:sz="0" w:space="0" w:color="auto"/>
        <w:bottom w:val="none" w:sz="0" w:space="0" w:color="auto"/>
        <w:right w:val="none" w:sz="0" w:space="0" w:color="auto"/>
      </w:divBdr>
    </w:div>
    <w:div w:id="470024411">
      <w:bodyDiv w:val="1"/>
      <w:marLeft w:val="0"/>
      <w:marRight w:val="0"/>
      <w:marTop w:val="0"/>
      <w:marBottom w:val="0"/>
      <w:divBdr>
        <w:top w:val="none" w:sz="0" w:space="0" w:color="auto"/>
        <w:left w:val="none" w:sz="0" w:space="0" w:color="auto"/>
        <w:bottom w:val="none" w:sz="0" w:space="0" w:color="auto"/>
        <w:right w:val="none" w:sz="0" w:space="0" w:color="auto"/>
      </w:divBdr>
    </w:div>
    <w:div w:id="514926720">
      <w:bodyDiv w:val="1"/>
      <w:marLeft w:val="0"/>
      <w:marRight w:val="0"/>
      <w:marTop w:val="0"/>
      <w:marBottom w:val="0"/>
      <w:divBdr>
        <w:top w:val="none" w:sz="0" w:space="0" w:color="auto"/>
        <w:left w:val="none" w:sz="0" w:space="0" w:color="auto"/>
        <w:bottom w:val="none" w:sz="0" w:space="0" w:color="auto"/>
        <w:right w:val="none" w:sz="0" w:space="0" w:color="auto"/>
      </w:divBdr>
    </w:div>
    <w:div w:id="532377357">
      <w:bodyDiv w:val="1"/>
      <w:marLeft w:val="0"/>
      <w:marRight w:val="0"/>
      <w:marTop w:val="0"/>
      <w:marBottom w:val="0"/>
      <w:divBdr>
        <w:top w:val="none" w:sz="0" w:space="0" w:color="auto"/>
        <w:left w:val="none" w:sz="0" w:space="0" w:color="auto"/>
        <w:bottom w:val="none" w:sz="0" w:space="0" w:color="auto"/>
        <w:right w:val="none" w:sz="0" w:space="0" w:color="auto"/>
      </w:divBdr>
    </w:div>
    <w:div w:id="585840533">
      <w:bodyDiv w:val="1"/>
      <w:marLeft w:val="0"/>
      <w:marRight w:val="0"/>
      <w:marTop w:val="0"/>
      <w:marBottom w:val="0"/>
      <w:divBdr>
        <w:top w:val="none" w:sz="0" w:space="0" w:color="auto"/>
        <w:left w:val="none" w:sz="0" w:space="0" w:color="auto"/>
        <w:bottom w:val="none" w:sz="0" w:space="0" w:color="auto"/>
        <w:right w:val="none" w:sz="0" w:space="0" w:color="auto"/>
      </w:divBdr>
    </w:div>
    <w:div w:id="69484407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9977923">
      <w:bodyDiv w:val="1"/>
      <w:marLeft w:val="0"/>
      <w:marRight w:val="0"/>
      <w:marTop w:val="0"/>
      <w:marBottom w:val="0"/>
      <w:divBdr>
        <w:top w:val="none" w:sz="0" w:space="0" w:color="auto"/>
        <w:left w:val="none" w:sz="0" w:space="0" w:color="auto"/>
        <w:bottom w:val="none" w:sz="0" w:space="0" w:color="auto"/>
        <w:right w:val="none" w:sz="0" w:space="0" w:color="auto"/>
      </w:divBdr>
    </w:div>
    <w:div w:id="829559602">
      <w:bodyDiv w:val="1"/>
      <w:marLeft w:val="0"/>
      <w:marRight w:val="0"/>
      <w:marTop w:val="0"/>
      <w:marBottom w:val="0"/>
      <w:divBdr>
        <w:top w:val="none" w:sz="0" w:space="0" w:color="auto"/>
        <w:left w:val="none" w:sz="0" w:space="0" w:color="auto"/>
        <w:bottom w:val="none" w:sz="0" w:space="0" w:color="auto"/>
        <w:right w:val="none" w:sz="0" w:space="0" w:color="auto"/>
      </w:divBdr>
    </w:div>
    <w:div w:id="896627798">
      <w:bodyDiv w:val="1"/>
      <w:marLeft w:val="0"/>
      <w:marRight w:val="0"/>
      <w:marTop w:val="0"/>
      <w:marBottom w:val="0"/>
      <w:divBdr>
        <w:top w:val="none" w:sz="0" w:space="0" w:color="auto"/>
        <w:left w:val="none" w:sz="0" w:space="0" w:color="auto"/>
        <w:bottom w:val="none" w:sz="0" w:space="0" w:color="auto"/>
        <w:right w:val="none" w:sz="0" w:space="0" w:color="auto"/>
      </w:divBdr>
    </w:div>
    <w:div w:id="995760709">
      <w:bodyDiv w:val="1"/>
      <w:marLeft w:val="0"/>
      <w:marRight w:val="0"/>
      <w:marTop w:val="0"/>
      <w:marBottom w:val="0"/>
      <w:divBdr>
        <w:top w:val="none" w:sz="0" w:space="0" w:color="auto"/>
        <w:left w:val="none" w:sz="0" w:space="0" w:color="auto"/>
        <w:bottom w:val="none" w:sz="0" w:space="0" w:color="auto"/>
        <w:right w:val="none" w:sz="0" w:space="0" w:color="auto"/>
      </w:divBdr>
    </w:div>
    <w:div w:id="102806523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8016036">
      <w:bodyDiv w:val="1"/>
      <w:marLeft w:val="0"/>
      <w:marRight w:val="0"/>
      <w:marTop w:val="0"/>
      <w:marBottom w:val="0"/>
      <w:divBdr>
        <w:top w:val="none" w:sz="0" w:space="0" w:color="auto"/>
        <w:left w:val="none" w:sz="0" w:space="0" w:color="auto"/>
        <w:bottom w:val="none" w:sz="0" w:space="0" w:color="auto"/>
        <w:right w:val="none" w:sz="0" w:space="0" w:color="auto"/>
      </w:divBdr>
    </w:div>
    <w:div w:id="1129663376">
      <w:bodyDiv w:val="1"/>
      <w:marLeft w:val="0"/>
      <w:marRight w:val="0"/>
      <w:marTop w:val="0"/>
      <w:marBottom w:val="0"/>
      <w:divBdr>
        <w:top w:val="none" w:sz="0" w:space="0" w:color="auto"/>
        <w:left w:val="none" w:sz="0" w:space="0" w:color="auto"/>
        <w:bottom w:val="none" w:sz="0" w:space="0" w:color="auto"/>
        <w:right w:val="none" w:sz="0" w:space="0" w:color="auto"/>
      </w:divBdr>
    </w:div>
    <w:div w:id="1144736556">
      <w:bodyDiv w:val="1"/>
      <w:marLeft w:val="0"/>
      <w:marRight w:val="0"/>
      <w:marTop w:val="0"/>
      <w:marBottom w:val="0"/>
      <w:divBdr>
        <w:top w:val="none" w:sz="0" w:space="0" w:color="auto"/>
        <w:left w:val="none" w:sz="0" w:space="0" w:color="auto"/>
        <w:bottom w:val="none" w:sz="0" w:space="0" w:color="auto"/>
        <w:right w:val="none" w:sz="0" w:space="0" w:color="auto"/>
      </w:divBdr>
    </w:div>
    <w:div w:id="1145396537">
      <w:bodyDiv w:val="1"/>
      <w:marLeft w:val="0"/>
      <w:marRight w:val="0"/>
      <w:marTop w:val="0"/>
      <w:marBottom w:val="0"/>
      <w:divBdr>
        <w:top w:val="none" w:sz="0" w:space="0" w:color="auto"/>
        <w:left w:val="none" w:sz="0" w:space="0" w:color="auto"/>
        <w:bottom w:val="none" w:sz="0" w:space="0" w:color="auto"/>
        <w:right w:val="none" w:sz="0" w:space="0" w:color="auto"/>
      </w:divBdr>
    </w:div>
    <w:div w:id="1242258495">
      <w:bodyDiv w:val="1"/>
      <w:marLeft w:val="0"/>
      <w:marRight w:val="0"/>
      <w:marTop w:val="0"/>
      <w:marBottom w:val="0"/>
      <w:divBdr>
        <w:top w:val="none" w:sz="0" w:space="0" w:color="auto"/>
        <w:left w:val="none" w:sz="0" w:space="0" w:color="auto"/>
        <w:bottom w:val="none" w:sz="0" w:space="0" w:color="auto"/>
        <w:right w:val="none" w:sz="0" w:space="0" w:color="auto"/>
      </w:divBdr>
    </w:div>
    <w:div w:id="1300263687">
      <w:bodyDiv w:val="1"/>
      <w:marLeft w:val="0"/>
      <w:marRight w:val="0"/>
      <w:marTop w:val="0"/>
      <w:marBottom w:val="0"/>
      <w:divBdr>
        <w:top w:val="none" w:sz="0" w:space="0" w:color="auto"/>
        <w:left w:val="none" w:sz="0" w:space="0" w:color="auto"/>
        <w:bottom w:val="none" w:sz="0" w:space="0" w:color="auto"/>
        <w:right w:val="none" w:sz="0" w:space="0" w:color="auto"/>
      </w:divBdr>
    </w:div>
    <w:div w:id="1300962904">
      <w:bodyDiv w:val="1"/>
      <w:marLeft w:val="0"/>
      <w:marRight w:val="0"/>
      <w:marTop w:val="0"/>
      <w:marBottom w:val="0"/>
      <w:divBdr>
        <w:top w:val="none" w:sz="0" w:space="0" w:color="auto"/>
        <w:left w:val="none" w:sz="0" w:space="0" w:color="auto"/>
        <w:bottom w:val="none" w:sz="0" w:space="0" w:color="auto"/>
        <w:right w:val="none" w:sz="0" w:space="0" w:color="auto"/>
      </w:divBdr>
    </w:div>
    <w:div w:id="1325474908">
      <w:bodyDiv w:val="1"/>
      <w:marLeft w:val="0"/>
      <w:marRight w:val="0"/>
      <w:marTop w:val="0"/>
      <w:marBottom w:val="0"/>
      <w:divBdr>
        <w:top w:val="none" w:sz="0" w:space="0" w:color="auto"/>
        <w:left w:val="none" w:sz="0" w:space="0" w:color="auto"/>
        <w:bottom w:val="none" w:sz="0" w:space="0" w:color="auto"/>
        <w:right w:val="none" w:sz="0" w:space="0" w:color="auto"/>
      </w:divBdr>
    </w:div>
    <w:div w:id="1379085649">
      <w:bodyDiv w:val="1"/>
      <w:marLeft w:val="0"/>
      <w:marRight w:val="0"/>
      <w:marTop w:val="0"/>
      <w:marBottom w:val="0"/>
      <w:divBdr>
        <w:top w:val="none" w:sz="0" w:space="0" w:color="auto"/>
        <w:left w:val="none" w:sz="0" w:space="0" w:color="auto"/>
        <w:bottom w:val="none" w:sz="0" w:space="0" w:color="auto"/>
        <w:right w:val="none" w:sz="0" w:space="0" w:color="auto"/>
      </w:divBdr>
    </w:div>
    <w:div w:id="1516461607">
      <w:bodyDiv w:val="1"/>
      <w:marLeft w:val="0"/>
      <w:marRight w:val="0"/>
      <w:marTop w:val="0"/>
      <w:marBottom w:val="0"/>
      <w:divBdr>
        <w:top w:val="none" w:sz="0" w:space="0" w:color="auto"/>
        <w:left w:val="none" w:sz="0" w:space="0" w:color="auto"/>
        <w:bottom w:val="none" w:sz="0" w:space="0" w:color="auto"/>
        <w:right w:val="none" w:sz="0" w:space="0" w:color="auto"/>
      </w:divBdr>
    </w:div>
    <w:div w:id="1535117780">
      <w:bodyDiv w:val="1"/>
      <w:marLeft w:val="0"/>
      <w:marRight w:val="0"/>
      <w:marTop w:val="0"/>
      <w:marBottom w:val="0"/>
      <w:divBdr>
        <w:top w:val="none" w:sz="0" w:space="0" w:color="auto"/>
        <w:left w:val="none" w:sz="0" w:space="0" w:color="auto"/>
        <w:bottom w:val="none" w:sz="0" w:space="0" w:color="auto"/>
        <w:right w:val="none" w:sz="0" w:space="0" w:color="auto"/>
      </w:divBdr>
    </w:div>
    <w:div w:id="1568766554">
      <w:bodyDiv w:val="1"/>
      <w:marLeft w:val="0"/>
      <w:marRight w:val="0"/>
      <w:marTop w:val="0"/>
      <w:marBottom w:val="0"/>
      <w:divBdr>
        <w:top w:val="none" w:sz="0" w:space="0" w:color="auto"/>
        <w:left w:val="none" w:sz="0" w:space="0" w:color="auto"/>
        <w:bottom w:val="none" w:sz="0" w:space="0" w:color="auto"/>
        <w:right w:val="none" w:sz="0" w:space="0" w:color="auto"/>
      </w:divBdr>
    </w:div>
    <w:div w:id="158730195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346184">
      <w:bodyDiv w:val="1"/>
      <w:marLeft w:val="0"/>
      <w:marRight w:val="0"/>
      <w:marTop w:val="0"/>
      <w:marBottom w:val="0"/>
      <w:divBdr>
        <w:top w:val="none" w:sz="0" w:space="0" w:color="auto"/>
        <w:left w:val="none" w:sz="0" w:space="0" w:color="auto"/>
        <w:bottom w:val="none" w:sz="0" w:space="0" w:color="auto"/>
        <w:right w:val="none" w:sz="0" w:space="0" w:color="auto"/>
      </w:divBdr>
    </w:div>
    <w:div w:id="1726101389">
      <w:bodyDiv w:val="1"/>
      <w:marLeft w:val="0"/>
      <w:marRight w:val="0"/>
      <w:marTop w:val="0"/>
      <w:marBottom w:val="0"/>
      <w:divBdr>
        <w:top w:val="none" w:sz="0" w:space="0" w:color="auto"/>
        <w:left w:val="none" w:sz="0" w:space="0" w:color="auto"/>
        <w:bottom w:val="none" w:sz="0" w:space="0" w:color="auto"/>
        <w:right w:val="none" w:sz="0" w:space="0" w:color="auto"/>
      </w:divBdr>
    </w:div>
    <w:div w:id="1770345437">
      <w:bodyDiv w:val="1"/>
      <w:marLeft w:val="0"/>
      <w:marRight w:val="0"/>
      <w:marTop w:val="0"/>
      <w:marBottom w:val="0"/>
      <w:divBdr>
        <w:top w:val="none" w:sz="0" w:space="0" w:color="auto"/>
        <w:left w:val="none" w:sz="0" w:space="0" w:color="auto"/>
        <w:bottom w:val="none" w:sz="0" w:space="0" w:color="auto"/>
        <w:right w:val="none" w:sz="0" w:space="0" w:color="auto"/>
      </w:divBdr>
    </w:div>
    <w:div w:id="1774548704">
      <w:bodyDiv w:val="1"/>
      <w:marLeft w:val="0"/>
      <w:marRight w:val="0"/>
      <w:marTop w:val="0"/>
      <w:marBottom w:val="0"/>
      <w:divBdr>
        <w:top w:val="none" w:sz="0" w:space="0" w:color="auto"/>
        <w:left w:val="none" w:sz="0" w:space="0" w:color="auto"/>
        <w:bottom w:val="none" w:sz="0" w:space="0" w:color="auto"/>
        <w:right w:val="none" w:sz="0" w:space="0" w:color="auto"/>
      </w:divBdr>
    </w:div>
    <w:div w:id="18240856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7185361">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003685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fr/assistances/safeguarding-and-revitalizing-the-mongolian-traditional-epic-00549" TargetMode="External"/><Relationship Id="rId18" Type="http://schemas.openxmlformats.org/officeDocument/2006/relationships/hyperlink" Target="http://www.unesco.org/culture/ich/fr/assistances/safeguarding-the-oral-traditions-and-expressions-of-the-dzao-people-of-lao-cai-and-lai-chau-provinces-of-viet-nam-00599" TargetMode="External"/><Relationship Id="rId26" Type="http://schemas.openxmlformats.org/officeDocument/2006/relationships/hyperlink" Target="http://www.unesco.org/culture/ich/fr/assistances/inventory-of-intangible-cultural-heritage-in-mali-with-a-view-to-its-urgent-safeguarding-01026" TargetMode="External"/><Relationship Id="rId39" Type="http://schemas.openxmlformats.org/officeDocument/2006/relationships/chart" Target="charts/chart3.xml"/><Relationship Id="rId21" Type="http://schemas.openxmlformats.org/officeDocument/2006/relationships/hyperlink" Target="http://www.unesco.org/culture/ich/doc/download.php?versionID=40189" TargetMode="External"/><Relationship Id="rId34" Type="http://schemas.openxmlformats.org/officeDocument/2006/relationships/hyperlink" Target="http://www.unesco.org/culture/ich/fr/assistances/safeguarding-the-knowledge-systems-associated-with-traditional-fijian-itaukei-house-bure-construction-methods-in-navala-village-fiji-01121" TargetMode="External"/><Relationship Id="rId42" Type="http://schemas.openxmlformats.org/officeDocument/2006/relationships/hyperlink" Target="http://www.unesco.org/culture/ich/doc/download.php?versionID=33087" TargetMode="External"/><Relationship Id="rId47" Type="http://schemas.openxmlformats.org/officeDocument/2006/relationships/hyperlink" Target="file:///F:\Studio%202014\Projects\3161095%20EN-FR%20UNESCO\fr-FR\www.unesco.org\culture\ich\doc\src\ITH-14-9.COM_4.BUR-Decision-FR_.doc" TargetMode="External"/><Relationship Id="rId50" Type="http://schemas.openxmlformats.org/officeDocument/2006/relationships/hyperlink" Target="http://www.unesco.org/culture/ich/doc/src/ITH-15-10.COM_1.BUR-Decisions-FR.doc"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fr/assistances/improving-the-capacities-of-intangible-cultural-heritage-related-ngos-in-mongolia-00910" TargetMode="External"/><Relationship Id="rId29" Type="http://schemas.openxmlformats.org/officeDocument/2006/relationships/hyperlink" Target="http://www.unesco.org/culture/ich/fr/assistances/inventory-of-the-intangible-cultural-heritage-present-in-cote-d-ivoire-in-view-of-its-urgent-safeguarding-01051" TargetMode="External"/><Relationship Id="rId11" Type="http://schemas.openxmlformats.org/officeDocument/2006/relationships/hyperlink" Target="http://www.unesco.org/culture/ich/doc/download.php?versionID=42237" TargetMode="External"/><Relationship Id="rId24" Type="http://schemas.openxmlformats.org/officeDocument/2006/relationships/hyperlink" Target="http://www.unesco.org/culture/ich/fr/assistances/documenting-and-inventorying-intangible-cultural-heritage-of-the-pastoralist-samburu-community-in-northern-kenya-a-focus-on-the-region-of-mount-kulal-biosphere-reserve-01024" TargetMode="External"/><Relationship Id="rId32" Type="http://schemas.openxmlformats.org/officeDocument/2006/relationships/hyperlink" Target="http://www.unesco.org/culture/ich/fr/assistances/inventorying-of-intangible-cultural-heritage-elements-in-thaba-bosiu-in-lesotho-01118" TargetMode="External"/><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hyperlink" Target="http://www.unesco.org/culture/ich/doc/download.php?versionID=33099"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unesco.org/culture/ich/doc/download.php?versionID=42455" TargetMode="External"/><Relationship Id="rId4" Type="http://schemas.microsoft.com/office/2007/relationships/stylesWithEffects" Target="stylesWithEffects.xml"/><Relationship Id="rId9" Type="http://schemas.openxmlformats.org/officeDocument/2006/relationships/hyperlink" Target="http://www.unesco.org/culture/ich/doc/download.php?versionID=39981" TargetMode="External"/><Relationship Id="rId14" Type="http://schemas.openxmlformats.org/officeDocument/2006/relationships/hyperlink" Target="http://www.unesco.org/culture/ich/doc/download.php?versionID=42568" TargetMode="External"/><Relationship Id="rId22" Type="http://schemas.openxmlformats.org/officeDocument/2006/relationships/hyperlink" Target="http://www.unesco.org/culture/ich/fr/assistances/safeguarding-and-promotion-of-bigwala-gourd-trumpet-music-and-dance-of-busoga-kingdom-in-uganda-00979" TargetMode="External"/><Relationship Id="rId27" Type="http://schemas.openxmlformats.org/officeDocument/2006/relationships/hyperlink" Target="http://www.unesco.org/culture/ich/fr/assistances/inventory-and-promotion-of-the-intangible-cultural-heritage-of-the-pygmy-populations-of-gabon-00949" TargetMode="External"/><Relationship Id="rId30" Type="http://schemas.openxmlformats.org/officeDocument/2006/relationships/hyperlink" Target="http://www.unesco.org/culture/ich/fr/assistances/safeguarding-of-nkhonde-tumbuka-and-chewa-proverbs-and-folktales-01060" TargetMode="External"/><Relationship Id="rId35" Type="http://schemas.openxmlformats.org/officeDocument/2006/relationships/hyperlink" Target="http://www.unesco.org/culture/ich/fr/assistances/promotion-of-traditional-pottery-making-practices-in-eastern-kenya-01021" TargetMode="External"/><Relationship Id="rId43" Type="http://schemas.openxmlformats.org/officeDocument/2006/relationships/hyperlink" Target="http://www.unesco.org/culture/ich/fr/Decisions/7.COM/10.1" TargetMode="External"/><Relationship Id="rId48" Type="http://schemas.openxmlformats.org/officeDocument/2006/relationships/hyperlink" Target="http://www.ich-ngo.m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nesco.org/culture/ich/doc/src/ITH-15-10.COM_1.BUR-Decisions-FR.doc" TargetMode="External"/><Relationship Id="rId3" Type="http://schemas.openxmlformats.org/officeDocument/2006/relationships/styles" Target="styles.xml"/><Relationship Id="rId12" Type="http://schemas.openxmlformats.org/officeDocument/2006/relationships/hyperlink" Target="http://www.unesco.org/culture/ich/doc/download.php?versionID=42274" TargetMode="External"/><Relationship Id="rId17" Type="http://schemas.openxmlformats.org/officeDocument/2006/relationships/hyperlink" Target="http://www.unesco.org/culture/ich/doc/download.php?versionID=42569" TargetMode="External"/><Relationship Id="rId25" Type="http://schemas.openxmlformats.org/officeDocument/2006/relationships/hyperlink" Target="http://www.unesco.org/culture/ich/doc/src/ICH-04-Report-FR-20150717.doc" TargetMode="External"/><Relationship Id="rId33" Type="http://schemas.openxmlformats.org/officeDocument/2006/relationships/hyperlink" Target="http://www.unesco.org/culture/ich/fr/assistances/inventorying-of-the-music-and-dance-of-the-lozi-and-nkoya-people-of-kaoma-district-01217" TargetMode="External"/><Relationship Id="rId38" Type="http://schemas.openxmlformats.org/officeDocument/2006/relationships/chart" Target="charts/chart2.xml"/><Relationship Id="rId46" Type="http://schemas.openxmlformats.org/officeDocument/2006/relationships/hyperlink" Target="file:///F:\Studio%202014\Projects\3161095%20EN-FR%20UNESCO\fr-FR\www.unesco.org\culture\ich\doc\src\ITH-14-9.COM_4.BUR-Decision-FR_.doc" TargetMode="External"/><Relationship Id="rId20" Type="http://schemas.openxmlformats.org/officeDocument/2006/relationships/hyperlink" Target="http://www.unesco.org/culture/ich/fr/assistances/safeguarding-indigenous-vernacular-architecture-and-building-knowledge-in-vanuatu-01214" TargetMode="External"/><Relationship Id="rId41" Type="http://schemas.openxmlformats.org/officeDocument/2006/relationships/hyperlink" Target="http://www.unesco.org/culture/ich/fr/Decisions/4.COM/11.0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doc/download.php?versionID=39330" TargetMode="External"/><Relationship Id="rId23" Type="http://schemas.openxmlformats.org/officeDocument/2006/relationships/hyperlink" Target="http://www.unesco.org/culture/ich/doc/download.php?versionID=42209" TargetMode="External"/><Relationship Id="rId28" Type="http://schemas.openxmlformats.org/officeDocument/2006/relationships/hyperlink" Target="http://www.unesco.org/culture/ich/fr/assistances/inventory-safeguarding-and-promoting-knowledge-of-how-to-manufacture-and-play-togo-s-traditional-musical-instruments-pilot-phase-in-the-maritime-region-south-togo-00912" TargetMode="External"/><Relationship Id="rId36" Type="http://schemas.openxmlformats.org/officeDocument/2006/relationships/hyperlink" Target="http://www.unesco.org/culture/ich/fr/assistances/inventorying-of-proverbs-of-lala-community-of-luano-district-of-zambia-01216" TargetMode="External"/><Relationship Id="rId49" Type="http://schemas.openxmlformats.org/officeDocument/2006/relationships/hyperlink" Target="file:///F:\Studio%202014\Projects\3161095%20EN-FR%20UNESCO\fr-FR\www.unesco.org\culture\ich\doc\src\ITH-14-9.COM_4.BUR-Decision-FR_.doc" TargetMode="External"/><Relationship Id="rId57" Type="http://schemas.openxmlformats.org/officeDocument/2006/relationships/theme" Target="theme/theme1.xml"/><Relationship Id="rId10" Type="http://schemas.openxmlformats.org/officeDocument/2006/relationships/hyperlink" Target="http://www.unesco.org/culture/ich/fr/assistances/traditions-and-practices-associated-with-the-kayas-in-the-sacred-forests-of-the-mijikenda-00326" TargetMode="External"/><Relationship Id="rId31" Type="http://schemas.openxmlformats.org/officeDocument/2006/relationships/hyperlink" Target="http://www.unesco.org/culture/ich/fr/assistances/documentation-and-inventory-of-intangible-cultural-heritage-in-the-republic-of-the-sudan-a-pilot-project-in-kordufan-and-blue-nile-regions-00978" TargetMode="External"/><Relationship Id="rId44" Type="http://schemas.openxmlformats.org/officeDocument/2006/relationships/hyperlink" Target="http://www.unesco.org/culture/ich/doc/src/ITH-12-7.COM_5.BUR-Decisions-FR-Rev.2.doc" TargetMode="External"/><Relationship Id="rId52" Type="http://schemas.openxmlformats.org/officeDocument/2006/relationships/hyperlink" Target="http://www.unesco.org/culture/ich/doc/src/ITH-16-11.COM_1.BUR-Decisions-FR.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culture/ich/fr/D%C3%A9cisions/8.COM/7.c" TargetMode="External"/><Relationship Id="rId1" Type="http://schemas.openxmlformats.org/officeDocument/2006/relationships/hyperlink" Target="http://www.unesco.org/culture/ich/doc/src/ICH-04-Report-FR-20150717.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hqfs\dfs\clt\CRE\02-ITH\Convention-Statutory%20Meetings\2016_STATUTORY%20MEETINGS\2016-11_11COM\Documents\09.c_11.COM_Reports%20of%20SP%20on%20IA\Drafts\data%20financial%20assistances-FR.xls" TargetMode="Externa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qfs\dfs\clt\CRE\02-ITH\Convention-Statutory%20Meetings\2016_STATUTORY%20MEETINGS\2016-11_11COM\Documents\09.c_11.COM_Reports%20of%20SP%20on%20IA\Drafts\data%20financial%20assistances-FR.xls"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hqfs\dfs\clt\CRE\02-ITH\Convention-Statutory%20Meetings\2016_STATUTORY%20MEETINGS\2016-11_11COM\Documents\09.c_11.COM_Reports%20of%20SP%20on%20IA\Drafts\data%20financial%20assistances-FR.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chartUserShapes" Target="../drawings/drawing3.xml"/><Relationship Id="rId1" Type="http://schemas.openxmlformats.org/officeDocument/2006/relationships/oleObject" Target="file:///\\hqfs\dfs\clt\CRE\02-ITH\Convention-Statutory%20Meetings\2016_STATUTORY%20MEETINGS\2016-11_11COM\Documents\09.c_11.COM_Reports%20of%20SP%20on%20IA\Drafts\data%20financial%20assistances-FR.xls" TargetMode="External"/><Relationship Id="rId4"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rgbClr val="000000"/>
                </a:solidFill>
                <a:latin typeface="Arial"/>
                <a:ea typeface="Arial"/>
                <a:cs typeface="Arial"/>
              </a:defRPr>
            </a:pPr>
            <a:r>
              <a:rPr lang="fr-FR"/>
              <a:t>RÉPARTITION PAR GROUPE ÉLECTORAL </a:t>
            </a:r>
          </a:p>
        </c:rich>
      </c:tx>
      <c:layout>
        <c:manualLayout>
          <c:xMode val="edge"/>
          <c:yMode val="edge"/>
          <c:x val="0.22086773757694039"/>
          <c:y val="2.0802995631370919E-2"/>
        </c:manualLayout>
      </c:layout>
      <c:overlay val="1"/>
      <c:spPr>
        <a:noFill/>
        <a:ln>
          <a:noFill/>
        </a:ln>
        <a:effectLst/>
      </c:spPr>
    </c:title>
    <c:autoTitleDeleted val="0"/>
    <c:plotArea>
      <c:layout>
        <c:manualLayout>
          <c:layoutTarget val="inner"/>
          <c:xMode val="edge"/>
          <c:yMode val="edge"/>
          <c:x val="0.23090536576409665"/>
          <c:y val="0.15316024076336915"/>
          <c:w val="0.48243480877107564"/>
          <c:h val="0.74995150664186705"/>
        </c:manualLayout>
      </c:layout>
      <c:doughnutChart>
        <c:varyColors val="1"/>
        <c:ser>
          <c:idx val="0"/>
          <c:order val="0"/>
          <c:tx>
            <c:strRef>
              <c:f>'Data Analysis FR'!$D$1</c:f>
              <c:strCache>
                <c:ptCount val="1"/>
                <c:pt idx="0">
                  <c:v>Comte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0DC6-4EC9-B829-AA7407DDF25B}"/>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0DC6-4EC9-B829-AA7407DDF25B}"/>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0DC6-4EC9-B829-AA7407DDF25B}"/>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0DC6-4EC9-B829-AA7407DDF25B}"/>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0DC6-4EC9-B829-AA7407DDF25B}"/>
              </c:ext>
            </c:extLst>
          </c:dPt>
          <c:dLbls>
            <c:spPr>
              <a:noFill/>
              <a:ln w="25400">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FFFF"/>
                    </a:solidFill>
                    <a:latin typeface="Arial" panose="020B0604020202020204" pitchFamily="34" charset="0"/>
                    <a:ea typeface="Arial"/>
                    <a:cs typeface="Arial" panose="020B0604020202020204" pitchFamily="34" charset="0"/>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'Data Analysis FR'!$A$2:$A$6</c:f>
              <c:strCache>
                <c:ptCount val="5"/>
                <c:pt idx="0">
                  <c:v>Groupe électoral  II</c:v>
                </c:pt>
                <c:pt idx="1">
                  <c:v>Groupe électoral  III</c:v>
                </c:pt>
                <c:pt idx="2">
                  <c:v>Groupe électoral  IV</c:v>
                </c:pt>
                <c:pt idx="3">
                  <c:v>Groupe électoral  V(a)</c:v>
                </c:pt>
                <c:pt idx="4">
                  <c:v>Groupe électoral  V(b)</c:v>
                </c:pt>
              </c:strCache>
            </c:strRef>
          </c:cat>
          <c:val>
            <c:numRef>
              <c:f>'Data Analysis FR'!$D$2:$D$6</c:f>
              <c:numCache>
                <c:formatCode>0%</c:formatCode>
                <c:ptCount val="5"/>
                <c:pt idx="0">
                  <c:v>5.5555555555555552E-2</c:v>
                </c:pt>
                <c:pt idx="1">
                  <c:v>9.2592592592592587E-2</c:v>
                </c:pt>
                <c:pt idx="2">
                  <c:v>0.22222222222222221</c:v>
                </c:pt>
                <c:pt idx="3">
                  <c:v>0.53703703703703709</c:v>
                </c:pt>
                <c:pt idx="4">
                  <c:v>9.2592592592592587E-2</c:v>
                </c:pt>
              </c:numCache>
            </c:numRef>
          </c:val>
          <c:extLst xmlns:c16r2="http://schemas.microsoft.com/office/drawing/2015/06/chart">
            <c:ext xmlns:c16="http://schemas.microsoft.com/office/drawing/2014/chart" uri="{C3380CC4-5D6E-409C-BE32-E72D297353CC}">
              <c16:uniqueId val="{0000000A-0DC6-4EC9-B829-AA7407DDF25B}"/>
            </c:ext>
          </c:extLst>
        </c:ser>
        <c:ser>
          <c:idx val="1"/>
          <c:order val="1"/>
          <c:tx>
            <c:strRef>
              <c:f>'Data Analysis FR'!$E$1</c:f>
              <c:strCache>
                <c:ptCount val="1"/>
                <c:pt idx="0">
                  <c:v>Montant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C-0DC6-4EC9-B829-AA7407DDF25B}"/>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E-0DC6-4EC9-B829-AA7407DDF25B}"/>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10-0DC6-4EC9-B829-AA7407DDF25B}"/>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2-0DC6-4EC9-B829-AA7407DDF25B}"/>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4-0DC6-4EC9-B829-AA7407DDF25B}"/>
              </c:ext>
            </c:extLst>
          </c:dPt>
          <c:dLbls>
            <c:spPr>
              <a:noFill/>
              <a:ln w="25400">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FFFF"/>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'Data Analysis FR'!$A$2:$A$6</c:f>
              <c:strCache>
                <c:ptCount val="5"/>
                <c:pt idx="0">
                  <c:v>Groupe électoral  II</c:v>
                </c:pt>
                <c:pt idx="1">
                  <c:v>Groupe électoral  III</c:v>
                </c:pt>
                <c:pt idx="2">
                  <c:v>Groupe électoral  IV</c:v>
                </c:pt>
                <c:pt idx="3">
                  <c:v>Groupe électoral  V(a)</c:v>
                </c:pt>
                <c:pt idx="4">
                  <c:v>Groupe électoral  V(b)</c:v>
                </c:pt>
              </c:strCache>
            </c:strRef>
          </c:cat>
          <c:val>
            <c:numRef>
              <c:f>'Data Analysis FR'!$E$2:$E$6</c:f>
              <c:numCache>
                <c:formatCode>0%</c:formatCode>
                <c:ptCount val="5"/>
                <c:pt idx="0">
                  <c:v>5.9766070138400587E-2</c:v>
                </c:pt>
                <c:pt idx="1">
                  <c:v>8.0879044458468122E-2</c:v>
                </c:pt>
                <c:pt idx="2">
                  <c:v>0.11045942502257999</c:v>
                </c:pt>
                <c:pt idx="3">
                  <c:v>0.66864394144827732</c:v>
                </c:pt>
                <c:pt idx="4">
                  <c:v>8.0251518932273946E-2</c:v>
                </c:pt>
              </c:numCache>
            </c:numRef>
          </c:val>
          <c:extLst xmlns:c16r2="http://schemas.microsoft.com/office/drawing/2015/06/chart">
            <c:ext xmlns:c16="http://schemas.microsoft.com/office/drawing/2014/chart" uri="{C3380CC4-5D6E-409C-BE32-E72D297353CC}">
              <c16:uniqueId val="{00000015-0DC6-4EC9-B829-AA7407DDF25B}"/>
            </c:ext>
          </c:extLst>
        </c:ser>
        <c:dLbls>
          <c:showLegendKey val="0"/>
          <c:showVal val="0"/>
          <c:showCatName val="0"/>
          <c:showSerName val="0"/>
          <c:showPercent val="0"/>
          <c:showBubbleSize val="0"/>
          <c:showLeaderLines val="0"/>
        </c:dLbls>
        <c:firstSliceAng val="0"/>
        <c:holeSize val="20"/>
      </c:doughnutChart>
      <c:spPr>
        <a:noFill/>
        <a:ln w="25400">
          <a:noFill/>
        </a:ln>
        <a:effectLst/>
      </c:spPr>
    </c:plotArea>
    <c:legend>
      <c:legendPos val="r"/>
      <c:layout>
        <c:manualLayout>
          <c:xMode val="edge"/>
          <c:yMode val="edge"/>
          <c:x val="0.75671938341179013"/>
          <c:y val="0.26549772494654383"/>
          <c:w val="0.20919457593221058"/>
          <c:h val="0.52190183973482185"/>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a:ea typeface="Arial"/>
              <a:cs typeface="Arial"/>
            </a:defRPr>
          </a:pPr>
          <a:endParaRPr lang="fr-FR"/>
        </a:p>
      </c:txPr>
    </c:legend>
    <c:plotVisOnly val="1"/>
    <c:dispBlanksAs val="gap"/>
    <c:showDLblsOverMax val="0"/>
  </c:chart>
  <c:spPr>
    <a:solidFill>
      <a:schemeClr val="bg1"/>
    </a:solidFill>
    <a:ln w="9525" cap="flat" cmpd="sng" algn="ctr">
      <a:noFill/>
      <a:prstDash val="solid"/>
      <a:round/>
    </a:ln>
    <a:effectLst/>
  </c:spPr>
  <c:txPr>
    <a:bodyPr/>
    <a:lstStyle/>
    <a:p>
      <a:pPr>
        <a:defRPr sz="1100" b="0" i="0" u="none" strike="noStrike" baseline="0">
          <a:solidFill>
            <a:srgbClr val="000000"/>
          </a:solidFill>
          <a:latin typeface="Arial"/>
          <a:ea typeface="Arial"/>
          <a:cs typeface="Arial"/>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Arial" panose="020B0604020202020204" pitchFamily="34" charset="0"/>
                <a:ea typeface="Calibri"/>
                <a:cs typeface="Arial" panose="020B0604020202020204" pitchFamily="34" charset="0"/>
              </a:defRPr>
            </a:pPr>
            <a:r>
              <a:rPr lang="fr-FR" sz="1100" b="1" i="0" baseline="0">
                <a:effectLst/>
              </a:rPr>
              <a:t>RÉPARTITION PAR OBJECTIF</a:t>
            </a:r>
            <a:endParaRPr lang="fr-FR"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Arial" panose="020B0604020202020204" pitchFamily="34" charset="0"/>
                <a:ea typeface="Calibri"/>
                <a:cs typeface="Arial" panose="020B0604020202020204" pitchFamily="34" charset="0"/>
              </a:defRPr>
            </a:pPr>
            <a:endParaRPr lang="fr-FR" sz="1100">
              <a:latin typeface="Arial" panose="020B0604020202020204" pitchFamily="34" charset="0"/>
              <a:cs typeface="Arial" panose="020B0604020202020204" pitchFamily="34" charset="0"/>
            </a:endParaRPr>
          </a:p>
        </c:rich>
      </c:tx>
      <c:layout>
        <c:manualLayout>
          <c:xMode val="edge"/>
          <c:yMode val="edge"/>
          <c:x val="0.32526359544423467"/>
          <c:y val="2.0151133501259445E-2"/>
        </c:manualLayout>
      </c:layout>
      <c:overlay val="0"/>
    </c:title>
    <c:autoTitleDeleted val="0"/>
    <c:plotArea>
      <c:layout>
        <c:manualLayout>
          <c:layoutTarget val="inner"/>
          <c:xMode val="edge"/>
          <c:yMode val="edge"/>
          <c:x val="0.15160651881750922"/>
          <c:y val="0.17104360860800494"/>
          <c:w val="0.35845129535136339"/>
          <c:h val="0.68058684677544423"/>
        </c:manualLayout>
      </c:layout>
      <c:doughnutChart>
        <c:varyColors val="1"/>
        <c:ser>
          <c:idx val="0"/>
          <c:order val="0"/>
          <c:tx>
            <c:strRef>
              <c:f>'Data Analysis FR'!$D$17</c:f>
              <c:strCache>
                <c:ptCount val="1"/>
                <c:pt idx="0">
                  <c:v>Comte (%)</c:v>
                </c:pt>
              </c:strCache>
            </c:strRef>
          </c:tx>
          <c:dPt>
            <c:idx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17BE-4A85-A307-6B71CB28A064}"/>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3-17BE-4A85-A307-6B71CB28A064}"/>
              </c:ext>
            </c:extLst>
          </c:dPt>
          <c:dPt>
            <c:idx val="2"/>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5-17BE-4A85-A307-6B71CB28A064}"/>
              </c:ext>
            </c:extLst>
          </c:dPt>
          <c:dPt>
            <c:idx val="3"/>
            <c:bubble3D val="0"/>
            <c:spPr>
              <a:solidFill>
                <a:schemeClr val="accent6">
                  <a:lumMod val="50000"/>
                </a:schemeClr>
              </a:solidFill>
            </c:spPr>
            <c:extLst xmlns:c16r2="http://schemas.microsoft.com/office/drawing/2015/06/chart">
              <c:ext xmlns:c16="http://schemas.microsoft.com/office/drawing/2014/chart" uri="{C3380CC4-5D6E-409C-BE32-E72D297353CC}">
                <c16:uniqueId val="{00000007-17BE-4A85-A307-6B71CB28A064}"/>
              </c:ext>
            </c:extLst>
          </c:dPt>
          <c:dPt>
            <c:idx val="4"/>
            <c:bubble3D val="0"/>
            <c:spPr>
              <a:solidFill>
                <a:schemeClr val="accent5">
                  <a:lumMod val="50000"/>
                </a:schemeClr>
              </a:solidFill>
            </c:spPr>
            <c:extLst xmlns:c16r2="http://schemas.microsoft.com/office/drawing/2015/06/chart">
              <c:ext xmlns:c16="http://schemas.microsoft.com/office/drawing/2014/chart" uri="{C3380CC4-5D6E-409C-BE32-E72D297353CC}">
                <c16:uniqueId val="{00000009-17BE-4A85-A307-6B71CB28A064}"/>
              </c:ext>
            </c:extLst>
          </c:dPt>
          <c:dLbls>
            <c:dLbl>
              <c:idx val="0"/>
              <c:layout>
                <c:manualLayout>
                  <c:x val="4.0373451245004381E-3"/>
                  <c:y val="-2.350965575146941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17BE-4A85-A307-6B71CB28A064}"/>
                </c:ext>
                <c:ext xmlns:c15="http://schemas.microsoft.com/office/drawing/2012/chart" uri="{CE6537A1-D6FC-4f65-9D91-7224C49458BB}">
                  <c15:layout/>
                </c:ext>
              </c:extLst>
            </c:dLbl>
            <c:spPr>
              <a:noFill/>
              <a:ln w="25400">
                <a:noFill/>
              </a:ln>
            </c:spPr>
            <c:txPr>
              <a:bodyPr/>
              <a:lstStyle/>
              <a:p>
                <a:pPr>
                  <a:defRPr sz="800" b="1" i="0" u="none" strike="noStrike"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FR'!$A$18:$A$22</c:f>
              <c:strCache>
                <c:ptCount val="5"/>
                <c:pt idx="0">
                  <c:v>Sauvegarde du patrimoine inscrit sur la Liste de sauvegarde urgente</c:v>
                </c:pt>
                <c:pt idx="1">
                  <c:v>Préparation d'inventaires</c:v>
                </c:pt>
                <c:pt idx="2">
                  <c:v>Programmes, projets et activités visant à la sauvegarde</c:v>
                </c:pt>
                <c:pt idx="3">
                  <c:v>Assistance préparatoire pour le Registre des meilleures pratiques de sauvegarde</c:v>
                </c:pt>
                <c:pt idx="4">
                  <c:v>Assistance préparatoire pour les candidatures à la Liste de sauvegarde urgente</c:v>
                </c:pt>
              </c:strCache>
            </c:strRef>
          </c:cat>
          <c:val>
            <c:numRef>
              <c:f>'Data Analysis FR'!$D$18:$D$22</c:f>
              <c:numCache>
                <c:formatCode>0%</c:formatCode>
                <c:ptCount val="5"/>
                <c:pt idx="0">
                  <c:v>7.407407407407407E-2</c:v>
                </c:pt>
                <c:pt idx="1">
                  <c:v>0.37037037037037035</c:v>
                </c:pt>
                <c:pt idx="2">
                  <c:v>0.20370370370370369</c:v>
                </c:pt>
                <c:pt idx="3">
                  <c:v>3.7037037037037035E-2</c:v>
                </c:pt>
                <c:pt idx="4">
                  <c:v>0.31481481481481483</c:v>
                </c:pt>
              </c:numCache>
            </c:numRef>
          </c:val>
          <c:extLst xmlns:c16r2="http://schemas.microsoft.com/office/drawing/2015/06/chart">
            <c:ext xmlns:c16="http://schemas.microsoft.com/office/drawing/2014/chart" uri="{C3380CC4-5D6E-409C-BE32-E72D297353CC}">
              <c16:uniqueId val="{0000000A-17BE-4A85-A307-6B71CB28A064}"/>
            </c:ext>
          </c:extLst>
        </c:ser>
        <c:ser>
          <c:idx val="1"/>
          <c:order val="1"/>
          <c:tx>
            <c:strRef>
              <c:f>'Data Analysis FR'!$E$17</c:f>
              <c:strCache>
                <c:ptCount val="1"/>
                <c:pt idx="0">
                  <c:v>Montant (%)</c:v>
                </c:pt>
              </c:strCache>
            </c:strRef>
          </c:tx>
          <c:dPt>
            <c:idx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C-17BE-4A85-A307-6B71CB28A064}"/>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E-17BE-4A85-A307-6B71CB28A064}"/>
              </c:ext>
            </c:extLst>
          </c:dPt>
          <c:dPt>
            <c:idx val="2"/>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10-17BE-4A85-A307-6B71CB28A064}"/>
              </c:ext>
            </c:extLst>
          </c:dPt>
          <c:dPt>
            <c:idx val="3"/>
            <c:bubble3D val="0"/>
            <c:spPr>
              <a:solidFill>
                <a:schemeClr val="accent6">
                  <a:lumMod val="50000"/>
                </a:schemeClr>
              </a:solidFill>
            </c:spPr>
            <c:extLst xmlns:c16r2="http://schemas.microsoft.com/office/drawing/2015/06/chart">
              <c:ext xmlns:c16="http://schemas.microsoft.com/office/drawing/2014/chart" uri="{C3380CC4-5D6E-409C-BE32-E72D297353CC}">
                <c16:uniqueId val="{00000012-17BE-4A85-A307-6B71CB28A064}"/>
              </c:ext>
            </c:extLst>
          </c:dPt>
          <c:dPt>
            <c:idx val="4"/>
            <c:bubble3D val="0"/>
            <c:spPr>
              <a:solidFill>
                <a:schemeClr val="accent5">
                  <a:lumMod val="50000"/>
                </a:schemeClr>
              </a:solidFill>
            </c:spPr>
            <c:extLst xmlns:c16r2="http://schemas.microsoft.com/office/drawing/2015/06/chart">
              <c:ext xmlns:c16="http://schemas.microsoft.com/office/drawing/2014/chart" uri="{C3380CC4-5D6E-409C-BE32-E72D297353CC}">
                <c16:uniqueId val="{00000014-17BE-4A85-A307-6B71CB28A064}"/>
              </c:ext>
            </c:extLst>
          </c:dPt>
          <c:dLbls>
            <c:spPr>
              <a:ln w="25400">
                <a:noFill/>
              </a:ln>
            </c:spPr>
            <c:txPr>
              <a:bodyPr/>
              <a:lstStyle/>
              <a:p>
                <a:pPr>
                  <a:defRPr sz="800" b="1" i="0" u="none" strike="noStrike"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FR'!$A$18:$A$22</c:f>
              <c:strCache>
                <c:ptCount val="5"/>
                <c:pt idx="0">
                  <c:v>Sauvegarde du patrimoine inscrit sur la Liste de sauvegarde urgente</c:v>
                </c:pt>
                <c:pt idx="1">
                  <c:v>Préparation d'inventaires</c:v>
                </c:pt>
                <c:pt idx="2">
                  <c:v>Programmes, projets et activités visant à la sauvegarde</c:v>
                </c:pt>
                <c:pt idx="3">
                  <c:v>Assistance préparatoire pour le Registre des meilleures pratiques de sauvegarde</c:v>
                </c:pt>
                <c:pt idx="4">
                  <c:v>Assistance préparatoire pour les candidatures à la Liste de sauvegarde urgente</c:v>
                </c:pt>
              </c:strCache>
            </c:strRef>
          </c:cat>
          <c:val>
            <c:numRef>
              <c:f>'Data Analysis FR'!$E$18:$E$22</c:f>
              <c:numCache>
                <c:formatCode>0%</c:formatCode>
                <c:ptCount val="5"/>
                <c:pt idx="0">
                  <c:v>0.17691339489255553</c:v>
                </c:pt>
                <c:pt idx="1">
                  <c:v>0.66148767385443563</c:v>
                </c:pt>
                <c:pt idx="2">
                  <c:v>0.10291345788548358</c:v>
                </c:pt>
                <c:pt idx="3">
                  <c:v>6.3007496245845842E-3</c:v>
                </c:pt>
                <c:pt idx="4">
                  <c:v>5.2384723742940717E-2</c:v>
                </c:pt>
              </c:numCache>
            </c:numRef>
          </c:val>
          <c:extLst xmlns:c16r2="http://schemas.microsoft.com/office/drawing/2015/06/chart">
            <c:ext xmlns:c16="http://schemas.microsoft.com/office/drawing/2014/chart" uri="{C3380CC4-5D6E-409C-BE32-E72D297353CC}">
              <c16:uniqueId val="{00000015-17BE-4A85-A307-6B71CB28A064}"/>
            </c:ext>
          </c:extLst>
        </c:ser>
        <c:dLbls>
          <c:showLegendKey val="0"/>
          <c:showVal val="0"/>
          <c:showCatName val="0"/>
          <c:showSerName val="0"/>
          <c:showPercent val="0"/>
          <c:showBubbleSize val="0"/>
          <c:showLeaderLines val="0"/>
        </c:dLbls>
        <c:firstSliceAng val="0"/>
        <c:holeSize val="17"/>
      </c:doughnutChart>
      <c:spPr>
        <a:noFill/>
        <a:ln w="25400">
          <a:noFill/>
        </a:ln>
      </c:spPr>
    </c:plotArea>
    <c:legend>
      <c:legendPos val="r"/>
      <c:layout>
        <c:manualLayout>
          <c:xMode val="edge"/>
          <c:yMode val="edge"/>
          <c:x val="0.64849871141672899"/>
          <c:y val="0.15594479574079495"/>
          <c:w val="0.33938931841664588"/>
          <c:h val="0.77875499702642026"/>
        </c:manualLayout>
      </c:layout>
      <c:overlay val="0"/>
      <c:txPr>
        <a:bodyPr/>
        <a:lstStyle/>
        <a:p>
          <a:pPr rtl="0">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fr-FR"/>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Arial" panose="020B0604020202020204" pitchFamily="34" charset="0"/>
                <a:ea typeface="Calibri"/>
                <a:cs typeface="Arial" panose="020B0604020202020204" pitchFamily="34" charset="0"/>
              </a:defRPr>
            </a:pPr>
            <a:r>
              <a:rPr lang="fr-FR" sz="1100" b="1" i="0" baseline="0">
                <a:effectLst/>
              </a:rPr>
              <a:t>ÉVOLUTION PAR OBJECTIF</a:t>
            </a:r>
            <a:endParaRPr lang="fr-FR" sz="1100">
              <a:effectLst/>
            </a:endParaRPr>
          </a:p>
        </c:rich>
      </c:tx>
      <c:layout>
        <c:manualLayout>
          <c:xMode val="edge"/>
          <c:yMode val="edge"/>
          <c:x val="0.29135752662238229"/>
          <c:y val="2.4067418109228019E-2"/>
        </c:manualLayout>
      </c:layout>
      <c:overlay val="1"/>
      <c:spPr>
        <a:noFill/>
        <a:ln>
          <a:noFill/>
        </a:ln>
        <a:effectLst/>
      </c:spPr>
    </c:title>
    <c:autoTitleDeleted val="0"/>
    <c:plotArea>
      <c:layout>
        <c:manualLayout>
          <c:layoutTarget val="inner"/>
          <c:xMode val="edge"/>
          <c:yMode val="edge"/>
          <c:x val="0.11177827268761326"/>
          <c:y val="6.5949922872957145E-2"/>
          <c:w val="0.66288012135439611"/>
          <c:h val="0.85387936238138895"/>
        </c:manualLayout>
      </c:layout>
      <c:barChart>
        <c:barDir val="col"/>
        <c:grouping val="clustered"/>
        <c:varyColors val="0"/>
        <c:ser>
          <c:idx val="0"/>
          <c:order val="0"/>
          <c:tx>
            <c:strRef>
              <c:f>'Data Analysis FR'!$H$18</c:f>
              <c:strCache>
                <c:ptCount val="1"/>
                <c:pt idx="0">
                  <c:v>Sauvegarde du patrimoine inscrit sur la Liste de sauvegarde urgente</c:v>
                </c:pt>
              </c:strCache>
            </c:strRef>
          </c:tx>
          <c:spPr>
            <a:solidFill>
              <a:schemeClr val="accent6"/>
            </a:solidFill>
            <a:ln>
              <a:noFill/>
            </a:ln>
            <a:effectLst/>
          </c:spPr>
          <c:invertIfNegative val="0"/>
          <c:cat>
            <c:strRef>
              <c:f>'Data Analysis FR'!$I$17:$P$17</c:f>
              <c:strCache>
                <c:ptCount val="8"/>
                <c:pt idx="0">
                  <c:v>2008</c:v>
                </c:pt>
                <c:pt idx="1">
                  <c:v>2009</c:v>
                </c:pt>
                <c:pt idx="2">
                  <c:v>2010</c:v>
                </c:pt>
                <c:pt idx="3">
                  <c:v>2012</c:v>
                </c:pt>
                <c:pt idx="4">
                  <c:v>2013</c:v>
                </c:pt>
                <c:pt idx="5">
                  <c:v>2014</c:v>
                </c:pt>
                <c:pt idx="6">
                  <c:v>2015</c:v>
                </c:pt>
                <c:pt idx="7">
                  <c:v>2016</c:v>
                </c:pt>
              </c:strCache>
            </c:strRef>
          </c:cat>
          <c:val>
            <c:numRef>
              <c:f>'Data Analysis FR'!$I$18:$P$18</c:f>
              <c:numCache>
                <c:formatCode>_-[$$-409]* #.##0\.00_ ;_-[$$-409]* \-#.##0\.00\ ;_-[$$-409]* "-"??_ ;_-@_ </c:formatCode>
                <c:ptCount val="8"/>
                <c:pt idx="0">
                  <c:v>0</c:v>
                </c:pt>
                <c:pt idx="1">
                  <c:v>150580</c:v>
                </c:pt>
                <c:pt idx="3">
                  <c:v>107000</c:v>
                </c:pt>
                <c:pt idx="6">
                  <c:v>24990</c:v>
                </c:pt>
              </c:numCache>
            </c:numRef>
          </c:val>
          <c:extLst xmlns:c16r2="http://schemas.microsoft.com/office/drawing/2015/06/chart">
            <c:ext xmlns:c16="http://schemas.microsoft.com/office/drawing/2014/chart" uri="{C3380CC4-5D6E-409C-BE32-E72D297353CC}">
              <c16:uniqueId val="{00000000-B31D-4033-976E-D3339D94C000}"/>
            </c:ext>
          </c:extLst>
        </c:ser>
        <c:ser>
          <c:idx val="1"/>
          <c:order val="1"/>
          <c:tx>
            <c:strRef>
              <c:f>'Data Analysis FR'!$H$19</c:f>
              <c:strCache>
                <c:ptCount val="1"/>
                <c:pt idx="0">
                  <c:v>Préparation d'inventaires</c:v>
                </c:pt>
              </c:strCache>
            </c:strRef>
          </c:tx>
          <c:spPr>
            <a:solidFill>
              <a:schemeClr val="accent5"/>
            </a:solidFill>
            <a:ln>
              <a:noFill/>
            </a:ln>
            <a:effectLst/>
          </c:spPr>
          <c:invertIfNegative val="0"/>
          <c:cat>
            <c:strRef>
              <c:f>'Data Analysis FR'!$I$17:$P$17</c:f>
              <c:strCache>
                <c:ptCount val="8"/>
                <c:pt idx="0">
                  <c:v>2008</c:v>
                </c:pt>
                <c:pt idx="1">
                  <c:v>2009</c:v>
                </c:pt>
                <c:pt idx="2">
                  <c:v>2010</c:v>
                </c:pt>
                <c:pt idx="3">
                  <c:v>2012</c:v>
                </c:pt>
                <c:pt idx="4">
                  <c:v>2013</c:v>
                </c:pt>
                <c:pt idx="5">
                  <c:v>2014</c:v>
                </c:pt>
                <c:pt idx="6">
                  <c:v>2015</c:v>
                </c:pt>
                <c:pt idx="7">
                  <c:v>2016</c:v>
                </c:pt>
              </c:strCache>
            </c:strRef>
          </c:cat>
          <c:val>
            <c:numRef>
              <c:f>'Data Analysis FR'!$I$19:$P$19</c:f>
              <c:numCache>
                <c:formatCode>_-[$$-409]* #.##0\.00_ ;_-[$$-409]* \-#.##0\.00\ ;_-[$$-409]* "-"??_ ;_-@_ </c:formatCode>
                <c:ptCount val="8"/>
                <c:pt idx="0">
                  <c:v>0</c:v>
                </c:pt>
                <c:pt idx="1">
                  <c:v>144100.60999999999</c:v>
                </c:pt>
                <c:pt idx="2">
                  <c:v>158100</c:v>
                </c:pt>
                <c:pt idx="3">
                  <c:v>583816.23</c:v>
                </c:pt>
                <c:pt idx="4">
                  <c:v>307307</c:v>
                </c:pt>
                <c:pt idx="5">
                  <c:v>0</c:v>
                </c:pt>
                <c:pt idx="6">
                  <c:v>548000</c:v>
                </c:pt>
                <c:pt idx="7">
                  <c:v>74926.200000000012</c:v>
                </c:pt>
              </c:numCache>
            </c:numRef>
          </c:val>
          <c:extLst xmlns:c16r2="http://schemas.microsoft.com/office/drawing/2015/06/chart">
            <c:ext xmlns:c16="http://schemas.microsoft.com/office/drawing/2014/chart" uri="{C3380CC4-5D6E-409C-BE32-E72D297353CC}">
              <c16:uniqueId val="{00000001-B31D-4033-976E-D3339D94C000}"/>
            </c:ext>
          </c:extLst>
        </c:ser>
        <c:ser>
          <c:idx val="2"/>
          <c:order val="2"/>
          <c:tx>
            <c:strRef>
              <c:f>'Data Analysis FR'!$H$20</c:f>
              <c:strCache>
                <c:ptCount val="1"/>
                <c:pt idx="0">
                  <c:v>Programmes, projets et activités visant à la sauvegarde</c:v>
                </c:pt>
              </c:strCache>
            </c:strRef>
          </c:tx>
          <c:spPr>
            <a:solidFill>
              <a:schemeClr val="accent4"/>
            </a:solidFill>
            <a:ln>
              <a:noFill/>
            </a:ln>
            <a:effectLst/>
          </c:spPr>
          <c:invertIfNegative val="0"/>
          <c:cat>
            <c:strRef>
              <c:f>'Data Analysis FR'!$I$17:$P$17</c:f>
              <c:strCache>
                <c:ptCount val="8"/>
                <c:pt idx="0">
                  <c:v>2008</c:v>
                </c:pt>
                <c:pt idx="1">
                  <c:v>2009</c:v>
                </c:pt>
                <c:pt idx="2">
                  <c:v>2010</c:v>
                </c:pt>
                <c:pt idx="3">
                  <c:v>2012</c:v>
                </c:pt>
                <c:pt idx="4">
                  <c:v>2013</c:v>
                </c:pt>
                <c:pt idx="5">
                  <c:v>2014</c:v>
                </c:pt>
                <c:pt idx="6">
                  <c:v>2015</c:v>
                </c:pt>
                <c:pt idx="7">
                  <c:v>2016</c:v>
                </c:pt>
              </c:strCache>
            </c:strRef>
          </c:cat>
          <c:val>
            <c:numRef>
              <c:f>'Data Analysis FR'!$I$20:$P$20</c:f>
              <c:numCache>
                <c:formatCode>_-[$$-409]* #.##0\.00_ ;_-[$$-409]* \-#.##0\.00\ ;_-[$$-409]* "-"??_ ;_-@_ </c:formatCode>
                <c:ptCount val="8"/>
                <c:pt idx="0">
                  <c:v>0</c:v>
                </c:pt>
                <c:pt idx="1">
                  <c:v>12167</c:v>
                </c:pt>
                <c:pt idx="2">
                  <c:v>25000</c:v>
                </c:pt>
                <c:pt idx="3">
                  <c:v>25000</c:v>
                </c:pt>
                <c:pt idx="4">
                  <c:v>211506</c:v>
                </c:pt>
                <c:pt idx="5">
                  <c:v>49250</c:v>
                </c:pt>
                <c:pt idx="6">
                  <c:v>114441</c:v>
                </c:pt>
                <c:pt idx="7">
                  <c:v>48388</c:v>
                </c:pt>
              </c:numCache>
            </c:numRef>
          </c:val>
          <c:extLst xmlns:c16r2="http://schemas.microsoft.com/office/drawing/2015/06/chart">
            <c:ext xmlns:c16="http://schemas.microsoft.com/office/drawing/2014/chart" uri="{C3380CC4-5D6E-409C-BE32-E72D297353CC}">
              <c16:uniqueId val="{00000002-B31D-4033-976E-D3339D94C000}"/>
            </c:ext>
          </c:extLst>
        </c:ser>
        <c:ser>
          <c:idx val="4"/>
          <c:order val="3"/>
          <c:tx>
            <c:strRef>
              <c:f>'Data Analysis FR'!$H$21</c:f>
              <c:strCache>
                <c:ptCount val="1"/>
                <c:pt idx="0">
                  <c:v>Assistance préparatoire pour le Registre des meilleures pratiques de sauvegarde</c:v>
                </c:pt>
              </c:strCache>
            </c:strRef>
          </c:tx>
          <c:spPr>
            <a:solidFill>
              <a:schemeClr val="accent5">
                <a:lumMod val="60000"/>
              </a:schemeClr>
            </a:solidFill>
            <a:ln>
              <a:noFill/>
            </a:ln>
            <a:effectLst/>
          </c:spPr>
          <c:invertIfNegative val="0"/>
          <c:cat>
            <c:strRef>
              <c:f>'Data Analysis FR'!$I$17:$P$17</c:f>
              <c:strCache>
                <c:ptCount val="8"/>
                <c:pt idx="0">
                  <c:v>2008</c:v>
                </c:pt>
                <c:pt idx="1">
                  <c:v>2009</c:v>
                </c:pt>
                <c:pt idx="2">
                  <c:v>2010</c:v>
                </c:pt>
                <c:pt idx="3">
                  <c:v>2012</c:v>
                </c:pt>
                <c:pt idx="4">
                  <c:v>2013</c:v>
                </c:pt>
                <c:pt idx="5">
                  <c:v>2014</c:v>
                </c:pt>
                <c:pt idx="6">
                  <c:v>2015</c:v>
                </c:pt>
                <c:pt idx="7">
                  <c:v>2016</c:v>
                </c:pt>
              </c:strCache>
            </c:strRef>
          </c:cat>
          <c:val>
            <c:numRef>
              <c:f>'Data Analysis FR'!$I$21:$P$21</c:f>
              <c:numCache>
                <c:formatCode>_-[$$-409]* #.##0\.00_ ;_-[$$-409]* \-#.##0\.00\ ;_-[$$-409]* "-"??_ ;_-@_ </c:formatCode>
                <c:ptCount val="8"/>
                <c:pt idx="0">
                  <c:v>7500</c:v>
                </c:pt>
                <c:pt idx="1">
                  <c:v>9800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3-B31D-4033-976E-D3339D94C000}"/>
            </c:ext>
          </c:extLst>
        </c:ser>
        <c:ser>
          <c:idx val="5"/>
          <c:order val="4"/>
          <c:tx>
            <c:strRef>
              <c:f>'Data Analysis FR'!$H$22</c:f>
              <c:strCache>
                <c:ptCount val="1"/>
                <c:pt idx="0">
                  <c:v>Assistance préparatoire pour les candidatures à la Liste de sauvegarde urgente</c:v>
                </c:pt>
              </c:strCache>
            </c:strRef>
          </c:tx>
          <c:spPr>
            <a:solidFill>
              <a:schemeClr val="accent4">
                <a:lumMod val="60000"/>
              </a:schemeClr>
            </a:solidFill>
            <a:ln>
              <a:noFill/>
            </a:ln>
            <a:effectLst/>
          </c:spPr>
          <c:invertIfNegative val="0"/>
          <c:cat>
            <c:strRef>
              <c:f>'Data Analysis FR'!$I$17:$P$17</c:f>
              <c:strCache>
                <c:ptCount val="8"/>
                <c:pt idx="0">
                  <c:v>2008</c:v>
                </c:pt>
                <c:pt idx="1">
                  <c:v>2009</c:v>
                </c:pt>
                <c:pt idx="2">
                  <c:v>2010</c:v>
                </c:pt>
                <c:pt idx="3">
                  <c:v>2012</c:v>
                </c:pt>
                <c:pt idx="4">
                  <c:v>2013</c:v>
                </c:pt>
                <c:pt idx="5">
                  <c:v>2014</c:v>
                </c:pt>
                <c:pt idx="6">
                  <c:v>2015</c:v>
                </c:pt>
                <c:pt idx="7">
                  <c:v>2016</c:v>
                </c:pt>
              </c:strCache>
            </c:strRef>
          </c:cat>
          <c:val>
            <c:numRef>
              <c:f>'Data Analysis FR'!$I$22:$P$22</c:f>
              <c:numCache>
                <c:formatCode>_-[$$-409]* #.##0\.00_ ;_-[$$-409]* \-#.##0\.00\ ;_-[$$-409]* "-"??_ ;_-@_ </c:formatCode>
                <c:ptCount val="8"/>
                <c:pt idx="0">
                  <c:v>41500</c:v>
                </c:pt>
                <c:pt idx="1">
                  <c:v>41995</c:v>
                </c:pt>
                <c:pt idx="2">
                  <c:v>0</c:v>
                </c:pt>
                <c:pt idx="3">
                  <c:v>18570</c:v>
                </c:pt>
                <c:pt idx="4">
                  <c:v>27668</c:v>
                </c:pt>
                <c:pt idx="5">
                  <c:v>14100</c:v>
                </c:pt>
                <c:pt idx="6">
                  <c:v>0</c:v>
                </c:pt>
                <c:pt idx="7">
                  <c:v>0</c:v>
                </c:pt>
              </c:numCache>
            </c:numRef>
          </c:val>
          <c:extLst xmlns:c16r2="http://schemas.microsoft.com/office/drawing/2015/06/chart">
            <c:ext xmlns:c16="http://schemas.microsoft.com/office/drawing/2014/chart" uri="{C3380CC4-5D6E-409C-BE32-E72D297353CC}">
              <c16:uniqueId val="{00000004-B31D-4033-976E-D3339D94C000}"/>
            </c:ext>
          </c:extLst>
        </c:ser>
        <c:dLbls>
          <c:showLegendKey val="0"/>
          <c:showVal val="0"/>
          <c:showCatName val="0"/>
          <c:showSerName val="0"/>
          <c:showPercent val="0"/>
          <c:showBubbleSize val="0"/>
        </c:dLbls>
        <c:gapWidth val="150"/>
        <c:axId val="190735872"/>
        <c:axId val="190797440"/>
      </c:barChart>
      <c:catAx>
        <c:axId val="190735872"/>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crossAx val="190797440"/>
        <c:crosses val="autoZero"/>
        <c:auto val="1"/>
        <c:lblAlgn val="ctr"/>
        <c:lblOffset val="100"/>
        <c:noMultiLvlLbl val="0"/>
      </c:catAx>
      <c:valAx>
        <c:axId val="190797440"/>
        <c:scaling>
          <c:orientation val="minMax"/>
        </c:scaling>
        <c:delete val="0"/>
        <c:axPos val="l"/>
        <c:numFmt formatCode="#\ ##0\ [$$-C0C]"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crossAx val="190735872"/>
        <c:crosses val="autoZero"/>
        <c:crossBetween val="between"/>
      </c:valAx>
      <c:spPr>
        <a:solidFill>
          <a:schemeClr val="bg1"/>
        </a:solidFill>
        <a:ln>
          <a:noFill/>
        </a:ln>
        <a:effectLst/>
      </c:spPr>
    </c:plotArea>
    <c:legend>
      <c:legendPos val="r"/>
      <c:layout>
        <c:manualLayout>
          <c:xMode val="edge"/>
          <c:yMode val="edge"/>
          <c:x val="0.78561154738705108"/>
          <c:y val="0"/>
          <c:w val="0.20577614922215809"/>
          <c:h val="0.9710861806486738"/>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Arial" panose="020B0604020202020204" pitchFamily="34" charset="0"/>
                <a:ea typeface="Calibri"/>
                <a:cs typeface="Arial" panose="020B0604020202020204" pitchFamily="34" charset="0"/>
              </a:defRPr>
            </a:pPr>
            <a:r>
              <a:rPr lang="fr-FR" sz="1100" b="1" i="0" baseline="0">
                <a:effectLst/>
              </a:rPr>
              <a:t>RÉPARTITION PAR TYPE</a:t>
            </a:r>
            <a:endParaRPr lang="fr-FR" sz="1100">
              <a:effectLst/>
            </a:endParaRPr>
          </a:p>
        </c:rich>
      </c:tx>
      <c:layout>
        <c:manualLayout>
          <c:xMode val="edge"/>
          <c:yMode val="edge"/>
          <c:x val="0.35261549509215434"/>
          <c:y val="3.9172356040428478E-2"/>
        </c:manualLayout>
      </c:layout>
      <c:overlay val="0"/>
      <c:spPr>
        <a:noFill/>
        <a:ln>
          <a:noFill/>
        </a:ln>
        <a:effectLst/>
      </c:spPr>
    </c:title>
    <c:autoTitleDeleted val="0"/>
    <c:plotArea>
      <c:layout>
        <c:manualLayout>
          <c:layoutTarget val="inner"/>
          <c:xMode val="edge"/>
          <c:yMode val="edge"/>
          <c:x val="0.10533883565759099"/>
          <c:y val="0.16616216916755419"/>
          <c:w val="0.44440058290382789"/>
          <c:h val="0.73622894627093327"/>
        </c:manualLayout>
      </c:layout>
      <c:doughnutChart>
        <c:varyColors val="1"/>
        <c:ser>
          <c:idx val="0"/>
          <c:order val="0"/>
          <c:tx>
            <c:strRef>
              <c:f>'Data Analysis FR'!$D$9</c:f>
              <c:strCache>
                <c:ptCount val="1"/>
                <c:pt idx="0">
                  <c:v>Comte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E209-45FF-81B4-8DA5758A67C5}"/>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E209-45FF-81B4-8DA5758A67C5}"/>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E209-45FF-81B4-8DA5758A67C5}"/>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E209-45FF-81B4-8DA5758A67C5}"/>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E209-45FF-81B4-8DA5758A67C5}"/>
              </c:ext>
            </c:extLst>
          </c:dPt>
          <c:dLbls>
            <c:dLbl>
              <c:idx val="3"/>
              <c:layout>
                <c:manualLayout>
                  <c:x val="6.024096385542169E-3"/>
                  <c:y val="0"/>
                </c:manualLayout>
              </c:layout>
              <c:spPr>
                <a:noFill/>
                <a:ln>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E209-45FF-81B4-8DA5758A67C5}"/>
                </c:ext>
                <c:ext xmlns:c15="http://schemas.microsoft.com/office/drawing/2012/chart" uri="{CE6537A1-D6FC-4f65-9D91-7224C49458BB}">
                  <c15:layout/>
                </c:ext>
              </c:extLst>
            </c:dLbl>
            <c:dLbl>
              <c:idx val="4"/>
              <c:layout>
                <c:manualLayout>
                  <c:x val="-1.2048192771084338E-2"/>
                  <c:y val="2.0050125313283207E-2"/>
                </c:manualLayout>
              </c:layout>
              <c:spPr>
                <a:noFill/>
                <a:ln>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E209-45FF-81B4-8DA5758A67C5}"/>
                </c:ext>
                <c:ext xmlns:c15="http://schemas.microsoft.com/office/drawing/2012/chart" uri="{CE6537A1-D6FC-4f65-9D91-7224C49458BB}">
                  <c15:layout/>
                </c:ext>
              </c:extLst>
            </c:dLbl>
            <c:spPr>
              <a:noFill/>
              <a:ln w="25400">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FR'!$A$10:$A$14</c:f>
              <c:strCache>
                <c:ptCount val="5"/>
                <c:pt idx="0">
                  <c:v>Supérieure à 100 000 US$</c:v>
                </c:pt>
                <c:pt idx="1">
                  <c:v>Supérieure à 25 000 US$ et jusqu'à 100 000 US$</c:v>
                </c:pt>
                <c:pt idx="2">
                  <c:v>Jusqu'à 25 000 US$</c:v>
                </c:pt>
                <c:pt idx="3">
                  <c:v>D'urgence</c:v>
                </c:pt>
                <c:pt idx="4">
                  <c:v>Assistance préparatoire</c:v>
                </c:pt>
              </c:strCache>
            </c:strRef>
          </c:cat>
          <c:val>
            <c:numRef>
              <c:f>'Data Analysis FR'!$D$10:$D$14</c:f>
              <c:numCache>
                <c:formatCode>0%</c:formatCode>
                <c:ptCount val="5"/>
                <c:pt idx="0">
                  <c:v>0.12962962962962962</c:v>
                </c:pt>
                <c:pt idx="1">
                  <c:v>7.407407407407407E-2</c:v>
                </c:pt>
                <c:pt idx="2">
                  <c:v>0.3888888888888889</c:v>
                </c:pt>
                <c:pt idx="3">
                  <c:v>5.5555555555555552E-2</c:v>
                </c:pt>
                <c:pt idx="4">
                  <c:v>0.35185185185185186</c:v>
                </c:pt>
              </c:numCache>
            </c:numRef>
          </c:val>
          <c:extLst xmlns:c16r2="http://schemas.microsoft.com/office/drawing/2015/06/chart">
            <c:ext xmlns:c16="http://schemas.microsoft.com/office/drawing/2014/chart" uri="{C3380CC4-5D6E-409C-BE32-E72D297353CC}">
              <c16:uniqueId val="{0000000A-E209-45FF-81B4-8DA5758A67C5}"/>
            </c:ext>
          </c:extLst>
        </c:ser>
        <c:ser>
          <c:idx val="1"/>
          <c:order val="1"/>
          <c:tx>
            <c:strRef>
              <c:f>'Data Analysis FR'!$E$9</c:f>
              <c:strCache>
                <c:ptCount val="1"/>
                <c:pt idx="0">
                  <c:v>Montant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C-E209-45FF-81B4-8DA5758A67C5}"/>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E-E209-45FF-81B4-8DA5758A67C5}"/>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10-E209-45FF-81B4-8DA5758A67C5}"/>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2-E209-45FF-81B4-8DA5758A67C5}"/>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4-E209-45FF-81B4-8DA5758A67C5}"/>
              </c:ext>
            </c:extLst>
          </c:dPt>
          <c:dLbls>
            <c:dLbl>
              <c:idx val="4"/>
              <c:spPr>
                <a:noFill/>
                <a:ln>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dLbl>
            <c:spPr>
              <a:noFill/>
              <a:ln w="25400">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FR'!$A$10:$A$14</c:f>
              <c:strCache>
                <c:ptCount val="5"/>
                <c:pt idx="0">
                  <c:v>Supérieure à 100 000 US$</c:v>
                </c:pt>
                <c:pt idx="1">
                  <c:v>Supérieure à 25 000 US$ et jusqu'à 100 000 US$</c:v>
                </c:pt>
                <c:pt idx="2">
                  <c:v>Jusqu'à 25 000 US$</c:v>
                </c:pt>
                <c:pt idx="3">
                  <c:v>D'urgence</c:v>
                </c:pt>
                <c:pt idx="4">
                  <c:v>Assistance préparatoire</c:v>
                </c:pt>
              </c:strCache>
            </c:strRef>
          </c:cat>
          <c:val>
            <c:numRef>
              <c:f>'Data Analysis FR'!$E$10:$E$14</c:f>
              <c:numCache>
                <c:formatCode>0%</c:formatCode>
                <c:ptCount val="5"/>
                <c:pt idx="0">
                  <c:v>0.43945543400393799</c:v>
                </c:pt>
                <c:pt idx="1">
                  <c:v>9.3524248329310708E-2</c:v>
                </c:pt>
                <c:pt idx="2">
                  <c:v>0.17845326896438954</c:v>
                </c:pt>
                <c:pt idx="3">
                  <c:v>0.22988157533483641</c:v>
                </c:pt>
                <c:pt idx="4">
                  <c:v>5.8685473367525304E-2</c:v>
                </c:pt>
              </c:numCache>
            </c:numRef>
          </c:val>
          <c:extLst xmlns:c16r2="http://schemas.microsoft.com/office/drawing/2015/06/chart">
            <c:ext xmlns:c16="http://schemas.microsoft.com/office/drawing/2014/chart" uri="{C3380CC4-5D6E-409C-BE32-E72D297353CC}">
              <c16:uniqueId val="{00000015-E209-45FF-81B4-8DA5758A67C5}"/>
            </c:ext>
          </c:extLst>
        </c:ser>
        <c:dLbls>
          <c:showLegendKey val="0"/>
          <c:showVal val="0"/>
          <c:showCatName val="0"/>
          <c:showSerName val="0"/>
          <c:showPercent val="0"/>
          <c:showBubbleSize val="0"/>
          <c:showLeaderLines val="0"/>
        </c:dLbls>
        <c:firstSliceAng val="0"/>
        <c:holeSize val="17"/>
      </c:doughnutChart>
      <c:spPr>
        <a:noFill/>
        <a:ln w="25400">
          <a:noFill/>
        </a:ln>
        <a:effectLst/>
      </c:spPr>
    </c:plotArea>
    <c:legend>
      <c:legendPos val="r"/>
      <c:layout>
        <c:manualLayout>
          <c:xMode val="edge"/>
          <c:yMode val="edge"/>
          <c:x val="0.56743648670710412"/>
          <c:y val="0.34700499955969316"/>
          <c:w val="0.35800003162255312"/>
          <c:h val="0.55535255286589913"/>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0.20668</cdr:x>
      <cdr:y>0.31653</cdr:y>
    </cdr:from>
    <cdr:to>
      <cdr:x>0.36213</cdr:x>
      <cdr:y>0.50498</cdr:y>
    </cdr:to>
    <cdr:cxnSp macro="">
      <cdr:nvCxnSpPr>
        <cdr:cNvPr id="2" name="Straight Arrow Connector 1"/>
        <cdr:cNvCxnSpPr/>
      </cdr:nvCxnSpPr>
      <cdr:spPr>
        <a:xfrm xmlns:a="http://schemas.openxmlformats.org/drawingml/2006/main">
          <a:off x="1238250" y="1285875"/>
          <a:ext cx="931327" cy="765556"/>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0.21133</cdr:x>
      <cdr:y>0.70363</cdr:y>
    </cdr:from>
    <cdr:to>
      <cdr:x>0.30919</cdr:x>
      <cdr:y>0.82532</cdr:y>
    </cdr:to>
    <cdr:cxnSp macro="">
      <cdr:nvCxnSpPr>
        <cdr:cNvPr id="3" name="Straight Arrow Connector 2"/>
        <cdr:cNvCxnSpPr/>
      </cdr:nvCxnSpPr>
      <cdr:spPr>
        <a:xfrm xmlns:a="http://schemas.openxmlformats.org/drawingml/2006/main" flipV="1">
          <a:off x="893885" y="2147777"/>
          <a:ext cx="413920" cy="371469"/>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0.04729</cdr:x>
      <cdr:y>0.22118</cdr:y>
    </cdr:from>
    <cdr:to>
      <cdr:x>0.20743</cdr:x>
      <cdr:y>0.34624</cdr:y>
    </cdr:to>
    <cdr:sp macro="" textlink="">
      <cdr:nvSpPr>
        <cdr:cNvPr id="5" name="TextBox 1"/>
        <cdr:cNvSpPr txBox="1"/>
      </cdr:nvSpPr>
      <cdr:spPr>
        <a:xfrm xmlns:a="http://schemas.openxmlformats.org/drawingml/2006/main">
          <a:off x="200025" y="603511"/>
          <a:ext cx="677349" cy="341238"/>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en-GB" sz="800" b="1">
              <a:latin typeface="Arial" panose="020B0604020202020204" pitchFamily="34" charset="0"/>
              <a:cs typeface="Arial" panose="020B0604020202020204" pitchFamily="34" charset="0"/>
            </a:rPr>
            <a:t>Nombre de projets</a:t>
          </a:r>
        </a:p>
      </cdr:txBody>
    </cdr:sp>
  </cdr:relSizeAnchor>
  <cdr:relSizeAnchor xmlns:cdr="http://schemas.openxmlformats.org/drawingml/2006/chartDrawing">
    <cdr:from>
      <cdr:x>0.10864</cdr:x>
      <cdr:y>0.8261</cdr:y>
    </cdr:from>
    <cdr:to>
      <cdr:x>0.28599</cdr:x>
      <cdr:y>0.93903</cdr:y>
    </cdr:to>
    <cdr:sp macro="" textlink="">
      <cdr:nvSpPr>
        <cdr:cNvPr id="6" name="TextBox 1"/>
        <cdr:cNvSpPr txBox="1"/>
      </cdr:nvSpPr>
      <cdr:spPr>
        <a:xfrm xmlns:a="http://schemas.openxmlformats.org/drawingml/2006/main">
          <a:off x="459518" y="2254092"/>
          <a:ext cx="750157" cy="308133"/>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b="1">
              <a:latin typeface="Arial" panose="020B0604020202020204" pitchFamily="34" charset="0"/>
              <a:cs typeface="Arial" panose="020B0604020202020204" pitchFamily="34" charset="0"/>
            </a:rPr>
            <a:t>Montant </a:t>
          </a:r>
          <a:r>
            <a:rPr lang="en-GB" sz="800" b="1" baseline="0">
              <a:latin typeface="Arial" panose="020B0604020202020204" pitchFamily="34" charset="0"/>
              <a:cs typeface="Arial" panose="020B0604020202020204" pitchFamily="34" charset="0"/>
            </a:rPr>
            <a:t>accordé</a:t>
          </a:r>
          <a:endParaRPr lang="en-GB" sz="8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0.12346</cdr:x>
      <cdr:y>0.2666</cdr:y>
    </cdr:from>
    <cdr:to>
      <cdr:x>0.25214</cdr:x>
      <cdr:y>0.48679</cdr:y>
    </cdr:to>
    <cdr:cxnSp macro="">
      <cdr:nvCxnSpPr>
        <cdr:cNvPr id="2" name="Straight Arrow Connector 1"/>
        <cdr:cNvCxnSpPr/>
      </cdr:nvCxnSpPr>
      <cdr:spPr>
        <a:xfrm xmlns:a="http://schemas.openxmlformats.org/drawingml/2006/main">
          <a:off x="857250" y="952500"/>
          <a:ext cx="893533" cy="793464"/>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0.14266</cdr:x>
      <cdr:y>0.67358</cdr:y>
    </cdr:from>
    <cdr:to>
      <cdr:x>0.21125</cdr:x>
      <cdr:y>0.76605</cdr:y>
    </cdr:to>
    <cdr:cxnSp macro="">
      <cdr:nvCxnSpPr>
        <cdr:cNvPr id="4" name="Straight Arrow Connector 3"/>
        <cdr:cNvCxnSpPr/>
      </cdr:nvCxnSpPr>
      <cdr:spPr>
        <a:xfrm xmlns:a="http://schemas.openxmlformats.org/drawingml/2006/main" flipV="1">
          <a:off x="990600" y="2419351"/>
          <a:ext cx="476250" cy="333374"/>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0.03245</cdr:x>
      <cdr:y>0.15309</cdr:y>
    </cdr:from>
    <cdr:to>
      <cdr:x>0.14531</cdr:x>
      <cdr:y>0.26793</cdr:y>
    </cdr:to>
    <cdr:sp macro="" textlink="">
      <cdr:nvSpPr>
        <cdr:cNvPr id="8" name="TextBox 1"/>
        <cdr:cNvSpPr txBox="1"/>
      </cdr:nvSpPr>
      <cdr:spPr>
        <a:xfrm xmlns:a="http://schemas.openxmlformats.org/drawingml/2006/main">
          <a:off x="193192" y="479932"/>
          <a:ext cx="672013" cy="360040"/>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en-GB" sz="800" b="1">
              <a:latin typeface="Arial" panose="020B0604020202020204" pitchFamily="34" charset="0"/>
              <a:cs typeface="Arial" panose="020B0604020202020204" pitchFamily="34" charset="0"/>
            </a:rPr>
            <a:t>Nombre de projets</a:t>
          </a:r>
        </a:p>
      </cdr:txBody>
    </cdr:sp>
  </cdr:relSizeAnchor>
  <cdr:relSizeAnchor xmlns:cdr="http://schemas.openxmlformats.org/drawingml/2006/chartDrawing">
    <cdr:from>
      <cdr:x>0.04024</cdr:x>
      <cdr:y>0.76645</cdr:y>
    </cdr:from>
    <cdr:to>
      <cdr:x>0.17222</cdr:x>
      <cdr:y>0.87152</cdr:y>
    </cdr:to>
    <cdr:sp macro="" textlink="">
      <cdr:nvSpPr>
        <cdr:cNvPr id="9" name="TextBox 1"/>
        <cdr:cNvSpPr txBox="1"/>
      </cdr:nvSpPr>
      <cdr:spPr>
        <a:xfrm xmlns:a="http://schemas.openxmlformats.org/drawingml/2006/main">
          <a:off x="253160" y="2898273"/>
          <a:ext cx="830309" cy="39731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b="1">
              <a:effectLst/>
              <a:latin typeface="Arial" panose="020B0604020202020204" pitchFamily="34" charset="0"/>
              <a:ea typeface="+mn-ea"/>
              <a:cs typeface="Arial" panose="020B0604020202020204" pitchFamily="34" charset="0"/>
            </a:rPr>
            <a:t>Montant accordé</a:t>
          </a:r>
          <a:endParaRPr lang="fr-FR" sz="800">
            <a:effectLst/>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0.10625</cdr:x>
      <cdr:y>0.78181</cdr:y>
    </cdr:from>
    <cdr:to>
      <cdr:x>0.14712</cdr:x>
      <cdr:y>0.8372</cdr:y>
    </cdr:to>
    <cdr:cxnSp macro="">
      <cdr:nvCxnSpPr>
        <cdr:cNvPr id="2" name="Straight Arrow Connector 1"/>
        <cdr:cNvCxnSpPr/>
      </cdr:nvCxnSpPr>
      <cdr:spPr>
        <a:xfrm xmlns:a="http://schemas.openxmlformats.org/drawingml/2006/main" flipV="1">
          <a:off x="529680" y="2352675"/>
          <a:ext cx="203745" cy="166679"/>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0.14458</cdr:x>
      <cdr:y>0.24561</cdr:y>
    </cdr:from>
    <cdr:to>
      <cdr:x>0.25197</cdr:x>
      <cdr:y>0.5208</cdr:y>
    </cdr:to>
    <cdr:cxnSp macro="">
      <cdr:nvCxnSpPr>
        <cdr:cNvPr id="3" name="Straight Arrow Connector 2"/>
        <cdr:cNvCxnSpPr/>
      </cdr:nvCxnSpPr>
      <cdr:spPr>
        <a:xfrm xmlns:a="http://schemas.openxmlformats.org/drawingml/2006/main">
          <a:off x="863549" y="884930"/>
          <a:ext cx="641401" cy="991495"/>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0.84162</cdr:y>
    </cdr:from>
    <cdr:to>
      <cdr:x>0.15094</cdr:x>
      <cdr:y>0.96172</cdr:y>
    </cdr:to>
    <cdr:sp macro="" textlink="">
      <cdr:nvSpPr>
        <cdr:cNvPr id="6" name="TextBox 1"/>
        <cdr:cNvSpPr txBox="1"/>
      </cdr:nvSpPr>
      <cdr:spPr>
        <a:xfrm xmlns:a="http://schemas.openxmlformats.org/drawingml/2006/main">
          <a:off x="0" y="2532656"/>
          <a:ext cx="752475" cy="361413"/>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b="1">
              <a:latin typeface="Arial" panose="020B0604020202020204" pitchFamily="34" charset="0"/>
              <a:cs typeface="Arial" panose="020B0604020202020204" pitchFamily="34" charset="0"/>
            </a:rPr>
            <a:t>Montant accordé </a:t>
          </a:r>
        </a:p>
      </cdr:txBody>
    </cdr:sp>
  </cdr:relSizeAnchor>
  <cdr:relSizeAnchor xmlns:cdr="http://schemas.openxmlformats.org/drawingml/2006/chartDrawing">
    <cdr:from>
      <cdr:x>0.03062</cdr:x>
      <cdr:y>0.14369</cdr:y>
    </cdr:from>
    <cdr:to>
      <cdr:x>0.16585</cdr:x>
      <cdr:y>0.24321</cdr:y>
    </cdr:to>
    <cdr:sp macro="" textlink="">
      <cdr:nvSpPr>
        <cdr:cNvPr id="7" name="TextBox 1"/>
        <cdr:cNvSpPr txBox="1"/>
      </cdr:nvSpPr>
      <cdr:spPr>
        <a:xfrm xmlns:a="http://schemas.openxmlformats.org/drawingml/2006/main">
          <a:off x="182887" y="517714"/>
          <a:ext cx="807713" cy="358586"/>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b="1">
              <a:effectLst/>
              <a:latin typeface="Arial" panose="020B0604020202020204" pitchFamily="34" charset="0"/>
              <a:ea typeface="+mn-ea"/>
              <a:cs typeface="Arial" panose="020B0604020202020204" pitchFamily="34" charset="0"/>
            </a:rPr>
            <a:t>Nombre de projets</a:t>
          </a:r>
          <a:endParaRPr lang="fr-FR" sz="800">
            <a:effectLst/>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FE0F-CDC3-48F5-9289-0C6C1D9A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13</TotalTime>
  <Pages>13</Pages>
  <Words>5963</Words>
  <Characters>32800</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dc:description/>
  <cp:lastModifiedBy>Fumiko Ohinata</cp:lastModifiedBy>
  <cp:revision>10</cp:revision>
  <cp:lastPrinted>2016-10-05T06:56:00Z</cp:lastPrinted>
  <dcterms:created xsi:type="dcterms:W3CDTF">2016-10-31T11:21:00Z</dcterms:created>
  <dcterms:modified xsi:type="dcterms:W3CDTF">2016-10-31T12:25:00Z</dcterms:modified>
</cp:coreProperties>
</file>