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9AE" w:rsidRPr="004B6B7D" w:rsidRDefault="00B279AE" w:rsidP="006B76F4">
      <w:pPr>
        <w:widowControl w:val="0"/>
        <w:autoSpaceDE w:val="0"/>
        <w:autoSpaceDN w:val="0"/>
        <w:adjustRightInd w:val="0"/>
        <w:spacing w:before="720" w:line="240" w:lineRule="auto"/>
        <w:jc w:val="center"/>
        <w:rPr>
          <w:rFonts w:ascii="Arial" w:hAnsi="Arial" w:cs="Arial"/>
          <w:b/>
          <w:bCs/>
          <w:lang w:eastAsia="zh-CN"/>
        </w:rPr>
      </w:pPr>
      <w:bookmarkStart w:id="0" w:name="_GoBack"/>
      <w:bookmarkEnd w:id="0"/>
      <w:r w:rsidRPr="004B6B7D">
        <w:rPr>
          <w:rFonts w:ascii="Arial" w:hAnsi="Arial" w:cs="Arial"/>
          <w:b/>
          <w:bCs/>
          <w:lang w:eastAsia="zh-CN"/>
        </w:rPr>
        <w:t>Conférence internationale de Chengdu sur le patrimoine culturel immatériel</w:t>
      </w:r>
      <w:r w:rsidRPr="004B6B7D">
        <w:rPr>
          <w:rFonts w:ascii="Arial" w:hAnsi="Arial" w:cs="Arial"/>
          <w:b/>
          <w:bCs/>
          <w:lang w:eastAsia="zh-CN"/>
        </w:rPr>
        <w:br/>
        <w:t>pour la célébration du dixième anniversaire de la Convention de l’UNESCO</w:t>
      </w:r>
      <w:r w:rsidRPr="004B6B7D">
        <w:rPr>
          <w:rFonts w:ascii="Arial" w:hAnsi="Arial" w:cs="Arial"/>
          <w:b/>
          <w:bCs/>
          <w:lang w:eastAsia="zh-CN"/>
        </w:rPr>
        <w:br/>
        <w:t>pour la sauvegarde du patrimoine culturel immatériel</w:t>
      </w:r>
    </w:p>
    <w:p w:rsidR="00B279AE" w:rsidRPr="004B6B7D" w:rsidRDefault="00B279AE" w:rsidP="006B76F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zh-CN"/>
        </w:rPr>
      </w:pPr>
      <w:r w:rsidRPr="004B6B7D">
        <w:rPr>
          <w:rFonts w:ascii="Arial" w:hAnsi="Arial" w:cs="Arial"/>
          <w:b/>
          <w:bCs/>
          <w:lang w:eastAsia="zh-CN"/>
        </w:rPr>
        <w:t>Chengdu, Chine, du 14 au 16 juin 2013</w:t>
      </w:r>
    </w:p>
    <w:p w:rsidR="00CA5CED" w:rsidRPr="004B6B7D" w:rsidRDefault="00CA5CED" w:rsidP="00906596">
      <w:pPr>
        <w:spacing w:before="720" w:after="240"/>
        <w:jc w:val="center"/>
        <w:rPr>
          <w:rFonts w:ascii="Arial" w:hAnsi="Arial" w:cs="Arial"/>
          <w:b/>
        </w:rPr>
      </w:pPr>
      <w:r w:rsidRPr="004B6B7D">
        <w:rPr>
          <w:rFonts w:ascii="Arial" w:hAnsi="Arial" w:cs="Arial"/>
          <w:b/>
        </w:rPr>
        <w:t>Liste provisoire des documents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33"/>
        <w:gridCol w:w="2353"/>
      </w:tblGrid>
      <w:tr w:rsidR="00CA5CED" w:rsidRPr="00481DAE" w:rsidTr="00430637">
        <w:tc>
          <w:tcPr>
            <w:tcW w:w="7479" w:type="dxa"/>
            <w:shd w:val="clear" w:color="auto" w:fill="BFBFBF" w:themeFill="background1" w:themeFillShade="BF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B6B7D">
              <w:rPr>
                <w:rFonts w:ascii="Arial" w:hAnsi="Arial" w:cs="Arial"/>
                <w:b/>
                <w:szCs w:val="22"/>
              </w:rPr>
              <w:t>Titre</w:t>
            </w:r>
          </w:p>
        </w:tc>
        <w:tc>
          <w:tcPr>
            <w:tcW w:w="2375" w:type="dxa"/>
            <w:shd w:val="clear" w:color="auto" w:fill="BFBFBF" w:themeFill="background1" w:themeFillShade="BF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Documents</w:t>
            </w:r>
          </w:p>
        </w:tc>
      </w:tr>
      <w:tr w:rsidR="00CA5CED" w:rsidRPr="00481DAE" w:rsidTr="00430637">
        <w:tc>
          <w:tcPr>
            <w:tcW w:w="7479" w:type="dxa"/>
          </w:tcPr>
          <w:p w:rsidR="00CA5CED" w:rsidRPr="00481DAE" w:rsidRDefault="00CA5CED" w:rsidP="00481DAE">
            <w:pPr>
              <w:spacing w:before="100" w:after="100" w:line="240" w:lineRule="auto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Programme</w:t>
            </w:r>
          </w:p>
        </w:tc>
        <w:tc>
          <w:tcPr>
            <w:tcW w:w="2375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ITH/13/EXP/1</w:t>
            </w:r>
          </w:p>
        </w:tc>
      </w:tr>
      <w:tr w:rsidR="00CA5CED" w:rsidRPr="00481DAE" w:rsidTr="00430637">
        <w:tc>
          <w:tcPr>
            <w:tcW w:w="7479" w:type="dxa"/>
          </w:tcPr>
          <w:p w:rsidR="00CA5CED" w:rsidRPr="00481DAE" w:rsidRDefault="00CA5CED" w:rsidP="00481DAE">
            <w:pPr>
              <w:spacing w:before="100" w:after="100" w:line="240" w:lineRule="auto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La Convention du patrimoine culturel immatériel : première décennie</w:t>
            </w:r>
          </w:p>
        </w:tc>
        <w:tc>
          <w:tcPr>
            <w:tcW w:w="2375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ITH/13/EXP/2</w:t>
            </w:r>
          </w:p>
        </w:tc>
      </w:tr>
      <w:tr w:rsidR="00CA5CED" w:rsidRPr="00481DAE" w:rsidTr="00430637">
        <w:tc>
          <w:tcPr>
            <w:tcW w:w="7479" w:type="dxa"/>
          </w:tcPr>
          <w:p w:rsidR="00CA5CED" w:rsidRPr="00481DAE" w:rsidRDefault="00CA5CED" w:rsidP="00481DAE">
            <w:pPr>
              <w:spacing w:before="100" w:after="100" w:line="240" w:lineRule="auto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Table ronde 1 : Réalisations de la Convention : faire évoluer le discours du PCI et avancer de nouveaux concepts</w:t>
            </w:r>
          </w:p>
        </w:tc>
        <w:tc>
          <w:tcPr>
            <w:tcW w:w="2375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ITH/13/EXP/3</w:t>
            </w:r>
          </w:p>
        </w:tc>
      </w:tr>
      <w:tr w:rsidR="00CA5CED" w:rsidRPr="00481DAE" w:rsidTr="00430637">
        <w:tc>
          <w:tcPr>
            <w:tcW w:w="7479" w:type="dxa"/>
          </w:tcPr>
          <w:p w:rsidR="00CA5CED" w:rsidRPr="00481DAE" w:rsidRDefault="00CA5CED" w:rsidP="00481DAE">
            <w:pPr>
              <w:spacing w:before="100" w:after="100" w:line="240" w:lineRule="auto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Table ronde 2 : Inventaires et listes</w:t>
            </w:r>
          </w:p>
        </w:tc>
        <w:tc>
          <w:tcPr>
            <w:tcW w:w="2375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ITH/13/EXP/4</w:t>
            </w:r>
          </w:p>
        </w:tc>
      </w:tr>
      <w:tr w:rsidR="00CA5CED" w:rsidRPr="00481DAE" w:rsidTr="00430637">
        <w:tc>
          <w:tcPr>
            <w:tcW w:w="7479" w:type="dxa"/>
          </w:tcPr>
          <w:p w:rsidR="00CA5CED" w:rsidRPr="00481DAE" w:rsidRDefault="00CA5CED" w:rsidP="00481DAE">
            <w:pPr>
              <w:spacing w:before="100" w:after="100" w:line="240" w:lineRule="auto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Table ronde 3 : Univers parallèles : propriété intellectuelle, patrimoine mondial, biens et services culturels</w:t>
            </w:r>
          </w:p>
        </w:tc>
        <w:tc>
          <w:tcPr>
            <w:tcW w:w="2375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ITH/13/EXP/5</w:t>
            </w:r>
          </w:p>
        </w:tc>
      </w:tr>
      <w:tr w:rsidR="00CA5CED" w:rsidRPr="00481DAE" w:rsidTr="00430637">
        <w:tc>
          <w:tcPr>
            <w:tcW w:w="7479" w:type="dxa"/>
          </w:tcPr>
          <w:p w:rsidR="00CA5CED" w:rsidRPr="00481DAE" w:rsidRDefault="00CA5CED" w:rsidP="00481DAE">
            <w:pPr>
              <w:spacing w:before="100" w:after="100" w:line="240" w:lineRule="auto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Table ronde 4 : Expériences de sauvegarde dans les États parties</w:t>
            </w:r>
          </w:p>
        </w:tc>
        <w:tc>
          <w:tcPr>
            <w:tcW w:w="2375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ITH/13/EXP/6</w:t>
            </w:r>
          </w:p>
        </w:tc>
      </w:tr>
      <w:tr w:rsidR="00CA5CED" w:rsidRPr="00481DAE" w:rsidTr="00430637">
        <w:tc>
          <w:tcPr>
            <w:tcW w:w="7479" w:type="dxa"/>
          </w:tcPr>
          <w:p w:rsidR="00CA5CED" w:rsidRPr="00481DAE" w:rsidRDefault="00CA5CED" w:rsidP="00481DAE">
            <w:pPr>
              <w:spacing w:before="100" w:after="100" w:line="240" w:lineRule="auto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Table ronde 5 : Questions ouvertes et orientations futures</w:t>
            </w:r>
          </w:p>
        </w:tc>
        <w:tc>
          <w:tcPr>
            <w:tcW w:w="2375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ITH/13/EXP/7</w:t>
            </w:r>
          </w:p>
        </w:tc>
      </w:tr>
      <w:tr w:rsidR="00CA5CED" w:rsidRPr="00481DAE" w:rsidTr="00430637">
        <w:tc>
          <w:tcPr>
            <w:tcW w:w="7479" w:type="dxa"/>
          </w:tcPr>
          <w:p w:rsidR="00CA5CED" w:rsidRPr="00481DAE" w:rsidRDefault="00CA5CED" w:rsidP="00481DAE">
            <w:pPr>
              <w:spacing w:before="100" w:after="100" w:line="240" w:lineRule="auto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Recommandations de Chengdu</w:t>
            </w:r>
          </w:p>
        </w:tc>
        <w:tc>
          <w:tcPr>
            <w:tcW w:w="2375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ITH/13/EXP/8</w:t>
            </w:r>
          </w:p>
        </w:tc>
      </w:tr>
      <w:tr w:rsidR="00CA5CED" w:rsidRPr="00481DAE" w:rsidTr="00430637">
        <w:tc>
          <w:tcPr>
            <w:tcW w:w="7479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Liste des documents</w:t>
            </w:r>
          </w:p>
        </w:tc>
        <w:tc>
          <w:tcPr>
            <w:tcW w:w="2375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ITH/13/EXP/INF.1.1</w:t>
            </w:r>
          </w:p>
        </w:tc>
      </w:tr>
      <w:tr w:rsidR="00CA5CED" w:rsidRPr="00481DAE" w:rsidTr="00430637">
        <w:tc>
          <w:tcPr>
            <w:tcW w:w="7479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 xml:space="preserve">Information pratique </w:t>
            </w:r>
          </w:p>
        </w:tc>
        <w:tc>
          <w:tcPr>
            <w:tcW w:w="2375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ITH/13/EXP/INF.1.2</w:t>
            </w:r>
          </w:p>
        </w:tc>
      </w:tr>
      <w:tr w:rsidR="00CA5CED" w:rsidRPr="00481DAE" w:rsidTr="00430637">
        <w:tc>
          <w:tcPr>
            <w:tcW w:w="7479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Liste des participants</w:t>
            </w:r>
          </w:p>
        </w:tc>
        <w:tc>
          <w:tcPr>
            <w:tcW w:w="2375" w:type="dxa"/>
          </w:tcPr>
          <w:p w:rsidR="00CA5CED" w:rsidRPr="00481DAE" w:rsidRDefault="00CA5CED" w:rsidP="00481DAE">
            <w:pPr>
              <w:spacing w:before="100" w:after="100" w:line="240" w:lineRule="auto"/>
              <w:jc w:val="both"/>
              <w:rPr>
                <w:rFonts w:ascii="Arial" w:hAnsi="Arial" w:cs="Arial"/>
                <w:b/>
                <w:szCs w:val="22"/>
              </w:rPr>
            </w:pPr>
            <w:r w:rsidRPr="00481DAE">
              <w:rPr>
                <w:rFonts w:ascii="Arial" w:hAnsi="Arial" w:cs="Arial"/>
                <w:b/>
                <w:szCs w:val="22"/>
              </w:rPr>
              <w:t>ITH/13/EXP/INF.1.3</w:t>
            </w:r>
          </w:p>
        </w:tc>
      </w:tr>
    </w:tbl>
    <w:p w:rsidR="00CA5CED" w:rsidRPr="00481DAE" w:rsidRDefault="00CA5CED" w:rsidP="00430637">
      <w:pPr>
        <w:rPr>
          <w:rFonts w:ascii="Arial" w:hAnsi="Arial" w:cs="Arial"/>
        </w:rPr>
      </w:pPr>
    </w:p>
    <w:p w:rsidR="00CA5CED" w:rsidRPr="00481DAE" w:rsidRDefault="00CA5CED" w:rsidP="00481DAE">
      <w:pPr>
        <w:suppressAutoHyphens/>
        <w:spacing w:before="120" w:after="120" w:line="240" w:lineRule="auto"/>
        <w:rPr>
          <w:rFonts w:ascii="Arial" w:hAnsi="Arial" w:cs="Arial"/>
          <w:b/>
          <w:kern w:val="1"/>
          <w:lang w:eastAsia="hi-IN" w:bidi="hi-IN"/>
        </w:rPr>
      </w:pPr>
      <w:r w:rsidRPr="00481DAE">
        <w:rPr>
          <w:rFonts w:ascii="Arial" w:hAnsi="Arial" w:cs="Arial"/>
          <w:b/>
          <w:kern w:val="1"/>
          <w:lang w:eastAsia="hi-IN" w:bidi="hi-IN"/>
        </w:rPr>
        <w:t>Vous sou</w:t>
      </w:r>
      <w:r w:rsidR="00094A42" w:rsidRPr="00481DAE">
        <w:rPr>
          <w:rFonts w:ascii="Arial" w:hAnsi="Arial" w:cs="Arial"/>
          <w:b/>
          <w:kern w:val="1"/>
          <w:lang w:eastAsia="hi-IN" w:bidi="hi-IN"/>
        </w:rPr>
        <w:t>h</w:t>
      </w:r>
      <w:r w:rsidRPr="00481DAE">
        <w:rPr>
          <w:rFonts w:ascii="Arial" w:hAnsi="Arial" w:cs="Arial"/>
          <w:b/>
          <w:kern w:val="1"/>
          <w:lang w:eastAsia="hi-IN" w:bidi="hi-IN"/>
        </w:rPr>
        <w:t>aitez apprendre d’avantage sur l’histoire de la Convention de 2003</w:t>
      </w:r>
      <w:r w:rsidR="004B6B7D" w:rsidRPr="00481DAE">
        <w:rPr>
          <w:rFonts w:ascii="Arial" w:hAnsi="Arial" w:cs="Arial"/>
          <w:b/>
          <w:kern w:val="1"/>
          <w:lang w:eastAsia="hi-IN" w:bidi="hi-IN"/>
        </w:rPr>
        <w:t> </w:t>
      </w:r>
      <w:r w:rsidRPr="00481DAE">
        <w:rPr>
          <w:rFonts w:ascii="Arial" w:hAnsi="Arial" w:cs="Arial"/>
          <w:b/>
          <w:kern w:val="1"/>
          <w:lang w:eastAsia="hi-IN" w:bidi="hi-IN"/>
        </w:rPr>
        <w:t>?</w:t>
      </w:r>
    </w:p>
    <w:p w:rsidR="007817C2" w:rsidRPr="00481DAE" w:rsidRDefault="007817C2" w:rsidP="00481DAE">
      <w:pPr>
        <w:suppressAutoHyphens/>
        <w:spacing w:before="120" w:after="120" w:line="240" w:lineRule="auto"/>
        <w:rPr>
          <w:rFonts w:ascii="Arial" w:hAnsi="Arial" w:cs="Arial"/>
          <w:kern w:val="1"/>
          <w:lang w:eastAsia="hi-IN" w:bidi="hi-IN"/>
        </w:rPr>
      </w:pPr>
      <w:r w:rsidRPr="00481DAE">
        <w:rPr>
          <w:rFonts w:ascii="Arial" w:hAnsi="Arial" w:cs="Arial"/>
          <w:kern w:val="1"/>
          <w:lang w:eastAsia="hi-IN" w:bidi="hi-IN"/>
        </w:rPr>
        <w:t>Voir les comptes rendus des réunions entre 1973 et 2003 qui ont conduit à la Convention :</w:t>
      </w:r>
    </w:p>
    <w:p w:rsidR="007817C2" w:rsidRPr="00481DAE" w:rsidRDefault="00DA5103" w:rsidP="00481DAE">
      <w:pPr>
        <w:numPr>
          <w:ilvl w:val="0"/>
          <w:numId w:val="1"/>
        </w:numPr>
        <w:suppressAutoHyphens/>
        <w:spacing w:before="120" w:after="120" w:line="240" w:lineRule="auto"/>
        <w:rPr>
          <w:rStyle w:val="Hyperlink"/>
          <w:kern w:val="1"/>
          <w:lang w:eastAsia="hi-IN" w:bidi="hi-IN"/>
        </w:rPr>
      </w:pPr>
      <w:hyperlink r:id="rId9" w:history="1">
        <w:r w:rsidR="007817C2" w:rsidRPr="00481DAE">
          <w:rPr>
            <w:rStyle w:val="Hyperlink"/>
            <w:rFonts w:ascii="Arial" w:hAnsi="Arial" w:cs="Arial"/>
            <w:kern w:val="1"/>
            <w:lang w:eastAsia="hi-IN" w:bidi="hi-IN"/>
          </w:rPr>
          <w:t>Histoire et précurseurs 1973-2000</w:t>
        </w:r>
      </w:hyperlink>
      <w:r w:rsidR="007817C2" w:rsidRPr="00481DAE">
        <w:rPr>
          <w:rStyle w:val="Hyperlink"/>
          <w:kern w:val="1"/>
          <w:lang w:eastAsia="hi-IN" w:bidi="hi-IN"/>
        </w:rPr>
        <w:t xml:space="preserve"> </w:t>
      </w:r>
    </w:p>
    <w:p w:rsidR="00A57608" w:rsidRPr="004B6B7D" w:rsidRDefault="00DA5103" w:rsidP="00481DAE">
      <w:pPr>
        <w:numPr>
          <w:ilvl w:val="0"/>
          <w:numId w:val="1"/>
        </w:numPr>
        <w:suppressAutoHyphens/>
        <w:spacing w:before="120" w:after="120" w:line="240" w:lineRule="auto"/>
        <w:rPr>
          <w:rFonts w:ascii="Arial" w:hAnsi="Arial" w:cs="Arial"/>
        </w:rPr>
      </w:pPr>
      <w:hyperlink r:id="rId10" w:history="1">
        <w:r w:rsidR="007817C2" w:rsidRPr="00481DAE">
          <w:rPr>
            <w:rStyle w:val="Hyperlink"/>
            <w:rFonts w:ascii="Arial" w:hAnsi="Arial" w:cs="Arial"/>
            <w:kern w:val="1"/>
            <w:lang w:eastAsia="hi-IN" w:bidi="hi-IN"/>
          </w:rPr>
          <w:t>Élaboration du texte de la Convention 2001-2003</w:t>
        </w:r>
      </w:hyperlink>
    </w:p>
    <w:sectPr w:rsidR="00A57608" w:rsidRPr="004B6B7D" w:rsidSect="004D22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93" w:right="1418" w:bottom="1418" w:left="1418" w:header="39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CED" w:rsidRDefault="00CA5CED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A5CED" w:rsidRDefault="00CA5CED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F4" w:rsidRPr="006B76F4" w:rsidRDefault="006B76F4" w:rsidP="006B76F4">
    <w:pPr>
      <w:tabs>
        <w:tab w:val="center" w:pos="4536"/>
        <w:tab w:val="right" w:pos="9072"/>
      </w:tabs>
      <w:spacing w:before="360" w:after="0" w:line="100" w:lineRule="atLeast"/>
      <w:rPr>
        <w:rFonts w:ascii="Arial" w:hAnsi="Arial" w:cs="Arial"/>
        <w:i/>
        <w:kern w:val="1"/>
        <w:sz w:val="20"/>
        <w:lang w:eastAsia="hi-IN" w:bidi="hi-IN"/>
      </w:rPr>
    </w:pPr>
    <w:r w:rsidRPr="006B76F4">
      <w:rPr>
        <w:rFonts w:ascii="Arial" w:hAnsi="Arial" w:cs="Arial"/>
        <w:i/>
        <w:kern w:val="1"/>
        <w:sz w:val="20"/>
        <w:lang w:eastAsia="hi-IN" w:bidi="hi-IN"/>
      </w:rPr>
      <w:t>Document élaboré par le Secrétariat de l’UNESCO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70" w:rsidRPr="006B76F4" w:rsidRDefault="006B76F4" w:rsidP="006B76F4">
    <w:pPr>
      <w:tabs>
        <w:tab w:val="center" w:pos="4536"/>
        <w:tab w:val="right" w:pos="9072"/>
      </w:tabs>
      <w:spacing w:before="360" w:after="0" w:line="100" w:lineRule="atLeast"/>
      <w:rPr>
        <w:rFonts w:ascii="Arial" w:hAnsi="Arial" w:cs="Arial"/>
        <w:i/>
        <w:kern w:val="1"/>
        <w:sz w:val="20"/>
        <w:lang w:eastAsia="hi-IN" w:bidi="hi-IN"/>
      </w:rPr>
    </w:pPr>
    <w:r w:rsidRPr="006B76F4">
      <w:rPr>
        <w:rFonts w:ascii="Arial" w:hAnsi="Arial" w:cs="Arial"/>
        <w:i/>
        <w:kern w:val="1"/>
        <w:sz w:val="20"/>
        <w:lang w:eastAsia="hi-IN" w:bidi="hi-IN"/>
      </w:rPr>
      <w:t>Document élaboré par le Secrétariat de l’UNESCO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49" w:type="dxa"/>
      <w:tblInd w:w="-851" w:type="dxa"/>
      <w:tblLayout w:type="fixed"/>
      <w:tblLook w:val="04A0" w:firstRow="1" w:lastRow="0" w:firstColumn="1" w:lastColumn="0" w:noHBand="0" w:noVBand="1"/>
    </w:tblPr>
    <w:tblGrid>
      <w:gridCol w:w="1784"/>
      <w:gridCol w:w="1785"/>
      <w:gridCol w:w="1785"/>
      <w:gridCol w:w="3260"/>
      <w:gridCol w:w="2835"/>
    </w:tblGrid>
    <w:tr w:rsidR="00C51970" w:rsidRPr="00E77655" w:rsidTr="00F9464A">
      <w:tc>
        <w:tcPr>
          <w:tcW w:w="1784" w:type="dxa"/>
          <w:shd w:val="clear" w:color="auto" w:fill="auto"/>
          <w:vAlign w:val="center"/>
        </w:tcPr>
        <w:p w:rsidR="00C51970" w:rsidRPr="00ED202A" w:rsidRDefault="00C51970" w:rsidP="004D2244">
          <w:pPr>
            <w:pStyle w:val="Footer"/>
            <w:keepNext/>
            <w:keepLines/>
            <w:spacing w:before="360"/>
            <w:jc w:val="center"/>
            <w:outlineLvl w:val="5"/>
            <w:rPr>
              <w:rFonts w:ascii="Arial" w:hAnsi="Arial" w:cs="Arial"/>
              <w:b/>
              <w:sz w:val="20"/>
              <w:szCs w:val="20"/>
            </w:rPr>
          </w:pPr>
          <w:r w:rsidRPr="007814C7">
            <w:rPr>
              <w:rFonts w:ascii="Arial" w:hAnsi="Arial" w:cs="Arial"/>
              <w:b/>
              <w:bCs/>
              <w:sz w:val="20"/>
              <w:szCs w:val="20"/>
            </w:rPr>
            <w:t>Gouvernement municipal populaire de Chengdu</w:t>
          </w:r>
        </w:p>
      </w:tc>
      <w:tc>
        <w:tcPr>
          <w:tcW w:w="1785" w:type="dxa"/>
          <w:shd w:val="clear" w:color="auto" w:fill="auto"/>
          <w:vAlign w:val="center"/>
        </w:tcPr>
        <w:p w:rsidR="00C51970" w:rsidRDefault="00C51970" w:rsidP="004D2244">
          <w:pPr>
            <w:pStyle w:val="Footer"/>
            <w:spacing w:before="360"/>
            <w:jc w:val="center"/>
            <w:rPr>
              <w:rFonts w:ascii="Arial" w:eastAsiaTheme="majorEastAsia" w:hAnsi="Arial" w:cs="Arial"/>
              <w:b/>
              <w:i/>
              <w:iCs/>
              <w:color w:val="243F60" w:themeColor="accent1" w:themeShade="7F"/>
              <w:sz w:val="20"/>
              <w:szCs w:val="20"/>
              <w:lang w:val="en-US"/>
            </w:rPr>
          </w:pPr>
          <w:r w:rsidRPr="00E77655">
            <w:rPr>
              <w:rFonts w:ascii="Arial" w:hAnsi="Arial" w:cs="Arial"/>
              <w:noProof/>
              <w:sz w:val="20"/>
              <w:szCs w:val="20"/>
              <w:lang w:val="en-GB" w:eastAsia="en-GB"/>
            </w:rPr>
            <w:drawing>
              <wp:inline distT="0" distB="0" distL="0" distR="0" wp14:anchorId="31CAF16B" wp14:editId="519C678B">
                <wp:extent cx="619125" cy="609600"/>
                <wp:effectExtent l="0" t="0" r="0" b="0"/>
                <wp:docPr id="4" name="Picture 4" descr="logo of China National Center for Safeguarding Intangible Cultural Herit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logo of China National Center for Safeguarding Intangible Cultural Herit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5" w:type="dxa"/>
          <w:shd w:val="clear" w:color="auto" w:fill="auto"/>
          <w:vAlign w:val="center"/>
        </w:tcPr>
        <w:p w:rsidR="00C51970" w:rsidRPr="00ED202A" w:rsidRDefault="00C51970" w:rsidP="004D2244">
          <w:pPr>
            <w:pStyle w:val="Footer"/>
            <w:spacing w:before="3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814C7">
            <w:rPr>
              <w:rFonts w:ascii="Arial" w:hAnsi="Arial" w:cs="Arial"/>
              <w:b/>
              <w:bCs/>
              <w:sz w:val="20"/>
              <w:szCs w:val="20"/>
            </w:rPr>
            <w:t>Département culturel de la province du Sichuan</w:t>
          </w:r>
        </w:p>
      </w:tc>
      <w:tc>
        <w:tcPr>
          <w:tcW w:w="3260" w:type="dxa"/>
          <w:shd w:val="clear" w:color="auto" w:fill="auto"/>
          <w:vAlign w:val="center"/>
        </w:tcPr>
        <w:p w:rsidR="00C51970" w:rsidRDefault="00C51970" w:rsidP="004D2244">
          <w:pPr>
            <w:pStyle w:val="Footer"/>
            <w:spacing w:before="360"/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E77655">
            <w:rPr>
              <w:rFonts w:ascii="Arial" w:hAnsi="Arial" w:cs="Arial"/>
              <w:b/>
              <w:noProof/>
              <w:sz w:val="20"/>
              <w:szCs w:val="20"/>
              <w:lang w:val="en-GB" w:eastAsia="en-GB"/>
            </w:rPr>
            <w:drawing>
              <wp:inline distT="0" distB="0" distL="0" distR="0" wp14:anchorId="783D18E2" wp14:editId="5AF08AB0">
                <wp:extent cx="1876425" cy="647700"/>
                <wp:effectExtent l="0" t="0" r="0" b="0"/>
                <wp:docPr id="5" name="Picture 5" descr="CRIHA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RIHA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shd w:val="clear" w:color="auto" w:fill="auto"/>
          <w:vAlign w:val="center"/>
        </w:tcPr>
        <w:p w:rsidR="00C51970" w:rsidRPr="007814C7" w:rsidRDefault="00C51970" w:rsidP="004D2244">
          <w:pPr>
            <w:pStyle w:val="Footer"/>
            <w:spacing w:before="360"/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>
            <w:rPr>
              <w:rFonts w:ascii="Arial" w:hAnsi="Arial" w:cs="Arial"/>
              <w:b/>
              <w:noProof/>
              <w:sz w:val="20"/>
              <w:szCs w:val="20"/>
              <w:lang w:val="en-GB" w:eastAsia="en-GB"/>
            </w:rPr>
            <w:drawing>
              <wp:inline distT="0" distB="0" distL="0" distR="0" wp14:anchorId="5905740D" wp14:editId="41420910">
                <wp:extent cx="1333500" cy="762218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esco_logo_f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452" cy="760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B76F4" w:rsidRPr="006B76F4" w:rsidRDefault="006B76F4" w:rsidP="006B76F4">
    <w:pPr>
      <w:tabs>
        <w:tab w:val="center" w:pos="4536"/>
        <w:tab w:val="right" w:pos="9072"/>
      </w:tabs>
      <w:spacing w:before="360" w:after="0" w:line="100" w:lineRule="atLeast"/>
      <w:rPr>
        <w:rFonts w:ascii="Arial" w:hAnsi="Arial" w:cs="Arial"/>
        <w:i/>
        <w:kern w:val="1"/>
        <w:sz w:val="20"/>
        <w:lang w:eastAsia="hi-IN" w:bidi="hi-IN"/>
      </w:rPr>
    </w:pPr>
    <w:r w:rsidRPr="006B76F4">
      <w:rPr>
        <w:rFonts w:ascii="Arial" w:hAnsi="Arial" w:cs="Arial"/>
        <w:i/>
        <w:kern w:val="1"/>
        <w:sz w:val="20"/>
        <w:lang w:eastAsia="hi-IN" w:bidi="hi-IN"/>
      </w:rPr>
      <w:t>Document élaboré par le Secrétariat de l’UNESCO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CED" w:rsidRDefault="00CA5CED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A5CED" w:rsidRDefault="00CA5CED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F4" w:rsidRPr="006B76F4" w:rsidRDefault="006B76F4" w:rsidP="006B76F4">
    <w:pPr>
      <w:pStyle w:val="Header"/>
      <w:rPr>
        <w:rFonts w:ascii="Arial" w:hAnsi="Arial" w:cs="Arial"/>
        <w:lang w:val="en-US"/>
      </w:rPr>
    </w:pPr>
    <w:r w:rsidRPr="00FF273B">
      <w:rPr>
        <w:rFonts w:ascii="Arial" w:hAnsi="Arial" w:cs="Arial"/>
        <w:lang w:val="en-US"/>
      </w:rPr>
      <w:t>ITH/13/</w:t>
    </w:r>
    <w:r>
      <w:rPr>
        <w:rFonts w:ascii="Arial" w:hAnsi="Arial" w:cs="Arial"/>
        <w:lang w:val="en-US"/>
      </w:rPr>
      <w:t>EXP</w:t>
    </w:r>
    <w:r w:rsidRPr="00FF273B">
      <w:rPr>
        <w:rFonts w:ascii="Arial" w:hAnsi="Arial" w:cs="Arial"/>
        <w:lang w:val="en-US"/>
      </w:rPr>
      <w:t>/</w:t>
    </w:r>
    <w:r w:rsidR="007817C2">
      <w:rPr>
        <w:rFonts w:ascii="Arial" w:hAnsi="Arial" w:cs="Arial"/>
        <w:lang w:val="en-US"/>
      </w:rPr>
      <w:t>INF.1.1</w:t>
    </w:r>
    <w:r w:rsidR="007817C2" w:rsidRPr="00FF273B">
      <w:rPr>
        <w:rFonts w:ascii="Arial" w:hAnsi="Arial" w:cs="Arial"/>
        <w:lang w:val="en-US"/>
      </w:rPr>
      <w:t xml:space="preserve"> </w:t>
    </w:r>
    <w:r w:rsidRPr="00FF273B">
      <w:rPr>
        <w:rFonts w:ascii="Arial" w:hAnsi="Arial" w:cs="Arial"/>
        <w:lang w:val="en-US"/>
      </w:rPr>
      <w:t xml:space="preserve">– page </w:t>
    </w:r>
    <w:r w:rsidRPr="00FF273B">
      <w:rPr>
        <w:rFonts w:ascii="Arial" w:hAnsi="Arial" w:cs="Arial"/>
      </w:rPr>
      <w:fldChar w:fldCharType="begin"/>
    </w:r>
    <w:r w:rsidRPr="00FF273B">
      <w:rPr>
        <w:rFonts w:ascii="Arial" w:hAnsi="Arial" w:cs="Arial"/>
        <w:lang w:val="en-US"/>
      </w:rPr>
      <w:instrText xml:space="preserve"> PAGE </w:instrText>
    </w:r>
    <w:r w:rsidRPr="00FF273B">
      <w:rPr>
        <w:rFonts w:ascii="Arial" w:hAnsi="Arial" w:cs="Arial"/>
      </w:rPr>
      <w:fldChar w:fldCharType="separate"/>
    </w:r>
    <w:r w:rsidR="007817C2">
      <w:rPr>
        <w:rFonts w:ascii="Arial" w:hAnsi="Arial" w:cs="Arial"/>
        <w:noProof/>
        <w:lang w:val="en-US"/>
      </w:rPr>
      <w:t>2</w:t>
    </w:r>
    <w:r w:rsidRPr="00FF273B">
      <w:rPr>
        <w:rFonts w:ascii="Arial" w:hAnsi="Arial" w:cs="Arial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F4" w:rsidRPr="006B76F4" w:rsidRDefault="006B76F4" w:rsidP="006B76F4">
    <w:pPr>
      <w:pStyle w:val="Header"/>
      <w:jc w:val="right"/>
      <w:rPr>
        <w:rFonts w:ascii="Arial" w:hAnsi="Arial" w:cs="Arial"/>
        <w:lang w:val="en-US"/>
      </w:rPr>
    </w:pPr>
    <w:r w:rsidRPr="00FF273B">
      <w:rPr>
        <w:rFonts w:ascii="Arial" w:hAnsi="Arial" w:cs="Arial"/>
        <w:lang w:val="en-US"/>
      </w:rPr>
      <w:t>ITH/13/</w:t>
    </w:r>
    <w:r>
      <w:rPr>
        <w:rFonts w:ascii="Arial" w:hAnsi="Arial" w:cs="Arial"/>
        <w:lang w:val="en-US"/>
      </w:rPr>
      <w:t>EXP</w:t>
    </w:r>
    <w:r w:rsidRPr="00FF273B">
      <w:rPr>
        <w:rFonts w:ascii="Arial" w:hAnsi="Arial" w:cs="Arial"/>
        <w:lang w:val="en-US"/>
      </w:rPr>
      <w:t>/</w:t>
    </w:r>
    <w:r>
      <w:rPr>
        <w:rFonts w:ascii="Arial" w:hAnsi="Arial" w:cs="Arial"/>
        <w:lang w:val="en-US"/>
      </w:rPr>
      <w:t>XX</w:t>
    </w:r>
    <w:r w:rsidRPr="00FF273B">
      <w:rPr>
        <w:rFonts w:ascii="Arial" w:hAnsi="Arial" w:cs="Arial"/>
        <w:lang w:val="en-US"/>
      </w:rPr>
      <w:t xml:space="preserve"> – page </w:t>
    </w:r>
    <w:r w:rsidRPr="00FF273B">
      <w:rPr>
        <w:rFonts w:ascii="Arial" w:hAnsi="Arial" w:cs="Arial"/>
      </w:rPr>
      <w:fldChar w:fldCharType="begin"/>
    </w:r>
    <w:r w:rsidRPr="00FF273B">
      <w:rPr>
        <w:rFonts w:ascii="Arial" w:hAnsi="Arial" w:cs="Arial"/>
        <w:lang w:val="en-US"/>
      </w:rPr>
      <w:instrText xml:space="preserve"> PAGE </w:instrText>
    </w:r>
    <w:r w:rsidRPr="00FF273B">
      <w:rPr>
        <w:rFonts w:ascii="Arial" w:hAnsi="Arial" w:cs="Arial"/>
      </w:rPr>
      <w:fldChar w:fldCharType="separate"/>
    </w:r>
    <w:r w:rsidR="004D2244">
      <w:rPr>
        <w:rFonts w:ascii="Arial" w:hAnsi="Arial" w:cs="Arial"/>
        <w:noProof/>
        <w:lang w:val="en-US"/>
      </w:rPr>
      <w:t>5</w:t>
    </w:r>
    <w:r w:rsidRPr="00FF273B">
      <w:rPr>
        <w:rFonts w:ascii="Arial" w:hAnsi="Arial" w:cs="Arial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F4" w:rsidRPr="004D2244" w:rsidRDefault="004D2244" w:rsidP="006B76F4">
    <w:pPr>
      <w:tabs>
        <w:tab w:val="center" w:pos="4536"/>
        <w:tab w:val="right" w:pos="9072"/>
      </w:tabs>
      <w:spacing w:after="520"/>
      <w:jc w:val="right"/>
      <w:rPr>
        <w:rFonts w:ascii="Arial" w:hAnsi="Arial" w:cs="Arial"/>
        <w:b/>
        <w:sz w:val="44"/>
        <w:szCs w:val="44"/>
        <w:lang w:eastAsia="x-none"/>
      </w:rPr>
    </w:pPr>
    <w:r w:rsidRPr="004D2244">
      <w:rPr>
        <w:rFonts w:ascii="Arial" w:hAnsi="Arial" w:cs="Arial"/>
        <w:b/>
        <w:noProof/>
        <w:sz w:val="44"/>
        <w:szCs w:val="44"/>
        <w:lang w:val="en-GB" w:eastAsia="en-GB"/>
      </w:rPr>
      <w:drawing>
        <wp:anchor distT="0" distB="0" distL="114300" distR="114300" simplePos="0" relativeHeight="251658240" behindDoc="0" locked="0" layoutInCell="1" allowOverlap="1" wp14:anchorId="1E4C72F6" wp14:editId="75E2FB4A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2038350" cy="1529080"/>
          <wp:effectExtent l="0" t="0" r="0" b="0"/>
          <wp:wrapNone/>
          <wp:docPr id="3" name="Picture 3" descr="unesco_logo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unesco_logo_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152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6F4" w:rsidRPr="004D2244">
      <w:rPr>
        <w:rFonts w:ascii="Arial" w:hAnsi="Arial" w:cs="Arial"/>
        <w:b/>
        <w:sz w:val="44"/>
        <w:szCs w:val="44"/>
        <w:lang w:eastAsia="x-none"/>
      </w:rPr>
      <w:t>EXP</w:t>
    </w:r>
  </w:p>
  <w:p w:rsidR="006B76F4" w:rsidRPr="004D2244" w:rsidRDefault="006B76F4" w:rsidP="006B76F4">
    <w:pPr>
      <w:spacing w:after="0" w:line="240" w:lineRule="auto"/>
      <w:jc w:val="right"/>
      <w:rPr>
        <w:rFonts w:ascii="Arial" w:eastAsia="Times New Roman" w:hAnsi="Arial" w:cs="Arial"/>
        <w:b/>
        <w:lang w:eastAsia="fr-FR"/>
      </w:rPr>
    </w:pPr>
    <w:r w:rsidRPr="004D2244">
      <w:rPr>
        <w:rFonts w:ascii="Arial" w:eastAsia="Times New Roman" w:hAnsi="Arial" w:cs="Arial"/>
        <w:b/>
        <w:lang w:eastAsia="fr-FR"/>
      </w:rPr>
      <w:t>ITH/13/EXP/</w:t>
    </w:r>
    <w:r w:rsidR="007817C2">
      <w:rPr>
        <w:rFonts w:ascii="Arial" w:eastAsia="Times New Roman" w:hAnsi="Arial" w:cs="Arial"/>
        <w:b/>
        <w:lang w:eastAsia="fr-FR"/>
      </w:rPr>
      <w:t>INF.</w:t>
    </w:r>
    <w:r w:rsidR="00094A42">
      <w:rPr>
        <w:rFonts w:ascii="Arial" w:eastAsia="Times New Roman" w:hAnsi="Arial" w:cs="Arial"/>
        <w:b/>
        <w:lang w:eastAsia="fr-FR"/>
      </w:rPr>
      <w:t>1.1</w:t>
    </w:r>
  </w:p>
  <w:p w:rsidR="006B76F4" w:rsidRPr="004D2244" w:rsidRDefault="006B76F4" w:rsidP="006B76F4">
    <w:pPr>
      <w:spacing w:after="0" w:line="240" w:lineRule="auto"/>
      <w:jc w:val="right"/>
      <w:rPr>
        <w:rFonts w:ascii="Arial" w:eastAsia="Times New Roman" w:hAnsi="Arial" w:cs="Arial"/>
        <w:b/>
        <w:lang w:eastAsia="fr-FR"/>
      </w:rPr>
    </w:pPr>
    <w:r w:rsidRPr="004D2244">
      <w:rPr>
        <w:rFonts w:ascii="Arial" w:eastAsia="Times New Roman" w:hAnsi="Arial" w:cs="Arial"/>
        <w:b/>
        <w:lang w:eastAsia="fr-FR"/>
      </w:rPr>
      <w:t xml:space="preserve">Paris, </w:t>
    </w:r>
    <w:r w:rsidR="007817C2">
      <w:rPr>
        <w:rFonts w:ascii="Arial" w:eastAsia="Times New Roman" w:hAnsi="Arial" w:cs="Arial"/>
        <w:b/>
        <w:lang w:eastAsia="fr-FR"/>
      </w:rPr>
      <w:t>29</w:t>
    </w:r>
    <w:r w:rsidR="007817C2" w:rsidRPr="004D2244">
      <w:rPr>
        <w:rFonts w:ascii="Arial" w:eastAsia="Times New Roman" w:hAnsi="Arial" w:cs="Arial"/>
        <w:b/>
        <w:lang w:eastAsia="fr-FR"/>
      </w:rPr>
      <w:t xml:space="preserve"> </w:t>
    </w:r>
    <w:r w:rsidRPr="004D2244">
      <w:rPr>
        <w:rFonts w:ascii="Arial" w:eastAsia="Times New Roman" w:hAnsi="Arial" w:cs="Arial"/>
        <w:b/>
        <w:lang w:eastAsia="fr-FR"/>
      </w:rPr>
      <w:t>mai 2013</w:t>
    </w:r>
  </w:p>
  <w:p w:rsidR="006B76F4" w:rsidRPr="004D2244" w:rsidRDefault="006B76F4" w:rsidP="004D2244">
    <w:pPr>
      <w:spacing w:after="0" w:line="240" w:lineRule="auto"/>
      <w:jc w:val="right"/>
      <w:rPr>
        <w:rFonts w:ascii="Arial" w:eastAsia="Times New Roman" w:hAnsi="Arial" w:cs="Arial"/>
        <w:b/>
        <w:lang w:eastAsia="fr-FR"/>
      </w:rPr>
    </w:pPr>
    <w:r w:rsidRPr="004D2244">
      <w:rPr>
        <w:rFonts w:ascii="Arial" w:eastAsia="Times New Roman" w:hAnsi="Arial" w:cs="Arial"/>
        <w:b/>
        <w:lang w:eastAsia="fr-FR"/>
      </w:rPr>
      <w:t>Original</w:t>
    </w:r>
    <w:r w:rsidR="004D2244" w:rsidRPr="004D2244">
      <w:rPr>
        <w:rFonts w:ascii="Arial" w:eastAsia="Times New Roman" w:hAnsi="Arial" w:cs="Arial"/>
        <w:b/>
        <w:lang w:eastAsia="fr-FR"/>
      </w:rPr>
      <w:t> </w:t>
    </w:r>
    <w:r w:rsidRPr="004D2244">
      <w:rPr>
        <w:rFonts w:ascii="Arial" w:eastAsia="Times New Roman" w:hAnsi="Arial" w:cs="Arial"/>
        <w:b/>
        <w:lang w:eastAsia="fr-FR"/>
      </w:rPr>
      <w:t xml:space="preserve">: </w:t>
    </w:r>
    <w:r w:rsidR="00FE7747">
      <w:rPr>
        <w:rFonts w:ascii="Arial" w:eastAsia="Times New Roman" w:hAnsi="Arial" w:cs="Arial"/>
        <w:b/>
        <w:lang w:eastAsia="fr-FR"/>
      </w:rPr>
      <w:t>a</w:t>
    </w:r>
    <w:r w:rsidR="00FE7747" w:rsidRPr="004D2244">
      <w:rPr>
        <w:rFonts w:ascii="Arial" w:eastAsia="Times New Roman" w:hAnsi="Arial" w:cs="Arial"/>
        <w:b/>
        <w:lang w:eastAsia="fr-FR"/>
      </w:rPr>
      <w:t>nglais</w:t>
    </w:r>
  </w:p>
  <w:p w:rsidR="004D2244" w:rsidRPr="004D2244" w:rsidRDefault="004D2244" w:rsidP="004D2244">
    <w:pPr>
      <w:spacing w:after="0" w:line="360" w:lineRule="auto"/>
      <w:jc w:val="right"/>
      <w:rPr>
        <w:rFonts w:ascii="Arial" w:eastAsia="Times New Roman" w:hAnsi="Arial" w:cs="Arial"/>
        <w:b/>
        <w:lang w:eastAsia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D7B17"/>
    <w:multiLevelType w:val="multilevel"/>
    <w:tmpl w:val="CAA0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690BAB"/>
    <w:multiLevelType w:val="multilevel"/>
    <w:tmpl w:val="924CC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defaultTabStop w:val="708"/>
  <w:hyphenationZone w:val="425"/>
  <w:doNotHyphenateCaps/>
  <w:evenAndOddHeaders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CED"/>
    <w:rsid w:val="00003BB6"/>
    <w:rsid w:val="00004EB7"/>
    <w:rsid w:val="000101E7"/>
    <w:rsid w:val="0001684E"/>
    <w:rsid w:val="00024C48"/>
    <w:rsid w:val="000254EB"/>
    <w:rsid w:val="000325A3"/>
    <w:rsid w:val="00036D8F"/>
    <w:rsid w:val="00054821"/>
    <w:rsid w:val="00055836"/>
    <w:rsid w:val="00056AFC"/>
    <w:rsid w:val="0006079E"/>
    <w:rsid w:val="00075018"/>
    <w:rsid w:val="00094A42"/>
    <w:rsid w:val="00095EFD"/>
    <w:rsid w:val="00096231"/>
    <w:rsid w:val="000A29D4"/>
    <w:rsid w:val="000A2FCF"/>
    <w:rsid w:val="000A3632"/>
    <w:rsid w:val="000B03FE"/>
    <w:rsid w:val="000B0743"/>
    <w:rsid w:val="000B0C10"/>
    <w:rsid w:val="000B4C0A"/>
    <w:rsid w:val="000C1669"/>
    <w:rsid w:val="000D1E29"/>
    <w:rsid w:val="000E2678"/>
    <w:rsid w:val="000E38F5"/>
    <w:rsid w:val="000F27C8"/>
    <w:rsid w:val="000F3794"/>
    <w:rsid w:val="000F75F1"/>
    <w:rsid w:val="001008D9"/>
    <w:rsid w:val="00101FD9"/>
    <w:rsid w:val="00106CC6"/>
    <w:rsid w:val="00115373"/>
    <w:rsid w:val="00115F74"/>
    <w:rsid w:val="0012195A"/>
    <w:rsid w:val="0012235A"/>
    <w:rsid w:val="0012648D"/>
    <w:rsid w:val="001301AF"/>
    <w:rsid w:val="001352F0"/>
    <w:rsid w:val="0014526B"/>
    <w:rsid w:val="00150CAF"/>
    <w:rsid w:val="0015169F"/>
    <w:rsid w:val="001623F4"/>
    <w:rsid w:val="00174339"/>
    <w:rsid w:val="00175854"/>
    <w:rsid w:val="00176123"/>
    <w:rsid w:val="00182326"/>
    <w:rsid w:val="001829DB"/>
    <w:rsid w:val="00194F18"/>
    <w:rsid w:val="001A32DE"/>
    <w:rsid w:val="001B3A8E"/>
    <w:rsid w:val="001C4591"/>
    <w:rsid w:val="001E23AC"/>
    <w:rsid w:val="0020035B"/>
    <w:rsid w:val="00214498"/>
    <w:rsid w:val="0022275E"/>
    <w:rsid w:val="00231424"/>
    <w:rsid w:val="00231BD0"/>
    <w:rsid w:val="00232F0B"/>
    <w:rsid w:val="00233666"/>
    <w:rsid w:val="00241E5F"/>
    <w:rsid w:val="0024546C"/>
    <w:rsid w:val="00245533"/>
    <w:rsid w:val="00260A64"/>
    <w:rsid w:val="00272923"/>
    <w:rsid w:val="00286139"/>
    <w:rsid w:val="002914C9"/>
    <w:rsid w:val="00296AE5"/>
    <w:rsid w:val="002A5266"/>
    <w:rsid w:val="002C0AA1"/>
    <w:rsid w:val="002C35C0"/>
    <w:rsid w:val="002C58DD"/>
    <w:rsid w:val="002E0A77"/>
    <w:rsid w:val="002F3F97"/>
    <w:rsid w:val="00305548"/>
    <w:rsid w:val="00321FBF"/>
    <w:rsid w:val="003220F4"/>
    <w:rsid w:val="00324930"/>
    <w:rsid w:val="00325B18"/>
    <w:rsid w:val="00327A86"/>
    <w:rsid w:val="00350303"/>
    <w:rsid w:val="003600EB"/>
    <w:rsid w:val="00360395"/>
    <w:rsid w:val="0037385B"/>
    <w:rsid w:val="00375339"/>
    <w:rsid w:val="00381F57"/>
    <w:rsid w:val="003874DA"/>
    <w:rsid w:val="00390112"/>
    <w:rsid w:val="003942B4"/>
    <w:rsid w:val="003A53F6"/>
    <w:rsid w:val="003A624B"/>
    <w:rsid w:val="003A6A11"/>
    <w:rsid w:val="003C063E"/>
    <w:rsid w:val="003C71A8"/>
    <w:rsid w:val="003D6112"/>
    <w:rsid w:val="003F035C"/>
    <w:rsid w:val="004023D4"/>
    <w:rsid w:val="00432C5D"/>
    <w:rsid w:val="00474978"/>
    <w:rsid w:val="00481DAE"/>
    <w:rsid w:val="004A4DE2"/>
    <w:rsid w:val="004B6B7D"/>
    <w:rsid w:val="004C149D"/>
    <w:rsid w:val="004C2039"/>
    <w:rsid w:val="004C2242"/>
    <w:rsid w:val="004C6ABE"/>
    <w:rsid w:val="004D2244"/>
    <w:rsid w:val="004D6461"/>
    <w:rsid w:val="004F4F76"/>
    <w:rsid w:val="0050014F"/>
    <w:rsid w:val="005060BB"/>
    <w:rsid w:val="0051387F"/>
    <w:rsid w:val="005244D1"/>
    <w:rsid w:val="005252A9"/>
    <w:rsid w:val="005333ED"/>
    <w:rsid w:val="00537AF1"/>
    <w:rsid w:val="005439F9"/>
    <w:rsid w:val="0056318A"/>
    <w:rsid w:val="005707CD"/>
    <w:rsid w:val="00576E60"/>
    <w:rsid w:val="005857A7"/>
    <w:rsid w:val="00592228"/>
    <w:rsid w:val="005977C2"/>
    <w:rsid w:val="00597CC6"/>
    <w:rsid w:val="005A3F69"/>
    <w:rsid w:val="005A4161"/>
    <w:rsid w:val="005B06B2"/>
    <w:rsid w:val="005B3E57"/>
    <w:rsid w:val="005B4FAE"/>
    <w:rsid w:val="005B57D6"/>
    <w:rsid w:val="005B7775"/>
    <w:rsid w:val="005C24EE"/>
    <w:rsid w:val="005C631E"/>
    <w:rsid w:val="005D19CC"/>
    <w:rsid w:val="005D3ADD"/>
    <w:rsid w:val="005E1321"/>
    <w:rsid w:val="005E50AD"/>
    <w:rsid w:val="005F78C6"/>
    <w:rsid w:val="00607C98"/>
    <w:rsid w:val="00620EA8"/>
    <w:rsid w:val="00625926"/>
    <w:rsid w:val="006300F6"/>
    <w:rsid w:val="00633FE4"/>
    <w:rsid w:val="006414A2"/>
    <w:rsid w:val="006463DA"/>
    <w:rsid w:val="00653B47"/>
    <w:rsid w:val="006565F8"/>
    <w:rsid w:val="00660A59"/>
    <w:rsid w:val="00680525"/>
    <w:rsid w:val="006838E8"/>
    <w:rsid w:val="006916ED"/>
    <w:rsid w:val="00692A4D"/>
    <w:rsid w:val="006A4EB0"/>
    <w:rsid w:val="006B76F4"/>
    <w:rsid w:val="006C0401"/>
    <w:rsid w:val="006C2CBC"/>
    <w:rsid w:val="006C6B23"/>
    <w:rsid w:val="006E33B5"/>
    <w:rsid w:val="006E7711"/>
    <w:rsid w:val="006F42A1"/>
    <w:rsid w:val="006F758D"/>
    <w:rsid w:val="0071239B"/>
    <w:rsid w:val="007204AB"/>
    <w:rsid w:val="007505F5"/>
    <w:rsid w:val="007609CC"/>
    <w:rsid w:val="007814C7"/>
    <w:rsid w:val="007817C2"/>
    <w:rsid w:val="00782C5A"/>
    <w:rsid w:val="007842AD"/>
    <w:rsid w:val="007842C9"/>
    <w:rsid w:val="00795BE4"/>
    <w:rsid w:val="007B33D2"/>
    <w:rsid w:val="007B5373"/>
    <w:rsid w:val="007C6A0F"/>
    <w:rsid w:val="007C741C"/>
    <w:rsid w:val="007D60A7"/>
    <w:rsid w:val="007E6C87"/>
    <w:rsid w:val="007F09A2"/>
    <w:rsid w:val="007F6CF6"/>
    <w:rsid w:val="008003D0"/>
    <w:rsid w:val="00806D7D"/>
    <w:rsid w:val="0081470C"/>
    <w:rsid w:val="00816E22"/>
    <w:rsid w:val="008223EE"/>
    <w:rsid w:val="00845CBF"/>
    <w:rsid w:val="0085015A"/>
    <w:rsid w:val="0086494D"/>
    <w:rsid w:val="008703BA"/>
    <w:rsid w:val="00874433"/>
    <w:rsid w:val="00874950"/>
    <w:rsid w:val="00876150"/>
    <w:rsid w:val="008917CB"/>
    <w:rsid w:val="008A0A37"/>
    <w:rsid w:val="008A2B6A"/>
    <w:rsid w:val="008A4470"/>
    <w:rsid w:val="008A6B90"/>
    <w:rsid w:val="008B6B8A"/>
    <w:rsid w:val="008C21BD"/>
    <w:rsid w:val="008D5591"/>
    <w:rsid w:val="008E13A1"/>
    <w:rsid w:val="008E17FA"/>
    <w:rsid w:val="008E7772"/>
    <w:rsid w:val="008F16F3"/>
    <w:rsid w:val="00902609"/>
    <w:rsid w:val="00921C6D"/>
    <w:rsid w:val="00923AA9"/>
    <w:rsid w:val="00933777"/>
    <w:rsid w:val="0094378F"/>
    <w:rsid w:val="00952D51"/>
    <w:rsid w:val="00964323"/>
    <w:rsid w:val="00966835"/>
    <w:rsid w:val="009772A9"/>
    <w:rsid w:val="00996CCF"/>
    <w:rsid w:val="009A670F"/>
    <w:rsid w:val="009A7A09"/>
    <w:rsid w:val="009C3FEE"/>
    <w:rsid w:val="009C5715"/>
    <w:rsid w:val="009C5F6D"/>
    <w:rsid w:val="009E4A70"/>
    <w:rsid w:val="009E7A4F"/>
    <w:rsid w:val="009F1200"/>
    <w:rsid w:val="00A0027C"/>
    <w:rsid w:val="00A345D7"/>
    <w:rsid w:val="00A34854"/>
    <w:rsid w:val="00A50A2C"/>
    <w:rsid w:val="00A5462D"/>
    <w:rsid w:val="00A57608"/>
    <w:rsid w:val="00A606EB"/>
    <w:rsid w:val="00A63A07"/>
    <w:rsid w:val="00A743D9"/>
    <w:rsid w:val="00A74E48"/>
    <w:rsid w:val="00A8215E"/>
    <w:rsid w:val="00A83AAC"/>
    <w:rsid w:val="00A84168"/>
    <w:rsid w:val="00A90EA0"/>
    <w:rsid w:val="00AB2915"/>
    <w:rsid w:val="00AB6315"/>
    <w:rsid w:val="00AC20E8"/>
    <w:rsid w:val="00AC3A75"/>
    <w:rsid w:val="00AD7779"/>
    <w:rsid w:val="00AF176B"/>
    <w:rsid w:val="00AF5A6E"/>
    <w:rsid w:val="00AF5AD0"/>
    <w:rsid w:val="00AF5E7A"/>
    <w:rsid w:val="00B11669"/>
    <w:rsid w:val="00B17E3B"/>
    <w:rsid w:val="00B251CD"/>
    <w:rsid w:val="00B25EC3"/>
    <w:rsid w:val="00B279AE"/>
    <w:rsid w:val="00B34D45"/>
    <w:rsid w:val="00B400B4"/>
    <w:rsid w:val="00B572EB"/>
    <w:rsid w:val="00B62455"/>
    <w:rsid w:val="00B70CE6"/>
    <w:rsid w:val="00B80F0E"/>
    <w:rsid w:val="00B91BA3"/>
    <w:rsid w:val="00B93EA9"/>
    <w:rsid w:val="00B96B87"/>
    <w:rsid w:val="00B96F75"/>
    <w:rsid w:val="00BA1165"/>
    <w:rsid w:val="00BB3B90"/>
    <w:rsid w:val="00BC3879"/>
    <w:rsid w:val="00BE7DB6"/>
    <w:rsid w:val="00C0266B"/>
    <w:rsid w:val="00C05B67"/>
    <w:rsid w:val="00C07E22"/>
    <w:rsid w:val="00C10B28"/>
    <w:rsid w:val="00C133F2"/>
    <w:rsid w:val="00C14EF6"/>
    <w:rsid w:val="00C15550"/>
    <w:rsid w:val="00C25DA9"/>
    <w:rsid w:val="00C30E31"/>
    <w:rsid w:val="00C34C17"/>
    <w:rsid w:val="00C35409"/>
    <w:rsid w:val="00C355F0"/>
    <w:rsid w:val="00C364CA"/>
    <w:rsid w:val="00C51970"/>
    <w:rsid w:val="00C51D8C"/>
    <w:rsid w:val="00C5519B"/>
    <w:rsid w:val="00C602FD"/>
    <w:rsid w:val="00C6136D"/>
    <w:rsid w:val="00C61F2A"/>
    <w:rsid w:val="00C73EEF"/>
    <w:rsid w:val="00C90B97"/>
    <w:rsid w:val="00C90F7F"/>
    <w:rsid w:val="00C91A58"/>
    <w:rsid w:val="00CA4ADB"/>
    <w:rsid w:val="00CA5CED"/>
    <w:rsid w:val="00CA7A4D"/>
    <w:rsid w:val="00CC126F"/>
    <w:rsid w:val="00CC23DE"/>
    <w:rsid w:val="00CC28FD"/>
    <w:rsid w:val="00CD0275"/>
    <w:rsid w:val="00D010EE"/>
    <w:rsid w:val="00D038EF"/>
    <w:rsid w:val="00D1160A"/>
    <w:rsid w:val="00D252EC"/>
    <w:rsid w:val="00D45694"/>
    <w:rsid w:val="00D46913"/>
    <w:rsid w:val="00D5113D"/>
    <w:rsid w:val="00D6112A"/>
    <w:rsid w:val="00D84D59"/>
    <w:rsid w:val="00D86D90"/>
    <w:rsid w:val="00D9320A"/>
    <w:rsid w:val="00D9772D"/>
    <w:rsid w:val="00DA5103"/>
    <w:rsid w:val="00DD201A"/>
    <w:rsid w:val="00DD52F9"/>
    <w:rsid w:val="00E0485D"/>
    <w:rsid w:val="00E1635B"/>
    <w:rsid w:val="00E23A5A"/>
    <w:rsid w:val="00E53BC7"/>
    <w:rsid w:val="00E551A0"/>
    <w:rsid w:val="00E64EDD"/>
    <w:rsid w:val="00E70E3F"/>
    <w:rsid w:val="00E80644"/>
    <w:rsid w:val="00E81666"/>
    <w:rsid w:val="00E81F2F"/>
    <w:rsid w:val="00E843B5"/>
    <w:rsid w:val="00E8535E"/>
    <w:rsid w:val="00E92C9C"/>
    <w:rsid w:val="00E9377B"/>
    <w:rsid w:val="00E947A2"/>
    <w:rsid w:val="00E9791B"/>
    <w:rsid w:val="00EA30BE"/>
    <w:rsid w:val="00EA7E05"/>
    <w:rsid w:val="00EB5B1D"/>
    <w:rsid w:val="00EC0D5F"/>
    <w:rsid w:val="00EC6877"/>
    <w:rsid w:val="00ED202A"/>
    <w:rsid w:val="00EE0F76"/>
    <w:rsid w:val="00F07216"/>
    <w:rsid w:val="00F17481"/>
    <w:rsid w:val="00F21DCE"/>
    <w:rsid w:val="00F41658"/>
    <w:rsid w:val="00F42E99"/>
    <w:rsid w:val="00F42F80"/>
    <w:rsid w:val="00F4437B"/>
    <w:rsid w:val="00F514B3"/>
    <w:rsid w:val="00F5662D"/>
    <w:rsid w:val="00F73D9A"/>
    <w:rsid w:val="00F753BF"/>
    <w:rsid w:val="00F877DD"/>
    <w:rsid w:val="00F909CF"/>
    <w:rsid w:val="00F9464A"/>
    <w:rsid w:val="00FB788B"/>
    <w:rsid w:val="00FC493D"/>
    <w:rsid w:val="00FD03EE"/>
    <w:rsid w:val="00FD65CD"/>
    <w:rsid w:val="00FD7D9A"/>
    <w:rsid w:val="00FE36F5"/>
    <w:rsid w:val="00FE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6F4"/>
    <w:pPr>
      <w:spacing w:after="200" w:line="276" w:lineRule="auto"/>
    </w:pPr>
    <w:rPr>
      <w:rFonts w:cs="Calibri"/>
      <w:kern w:val="0"/>
      <w:sz w:val="22"/>
      <w:lang w:val="fr-FR"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720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1DCE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C602FD"/>
  </w:style>
  <w:style w:type="paragraph" w:styleId="Footer">
    <w:name w:val="footer"/>
    <w:basedOn w:val="Normal"/>
    <w:link w:val="FooterChar"/>
    <w:uiPriority w:val="99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602FD"/>
  </w:style>
  <w:style w:type="paragraph" w:styleId="ListParagraph">
    <w:name w:val="List Paragraph"/>
    <w:basedOn w:val="Normal"/>
    <w:uiPriority w:val="99"/>
    <w:qFormat/>
    <w:rsid w:val="003A6A1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8DD"/>
    <w:rPr>
      <w:rFonts w:ascii="Tahoma" w:hAnsi="Tahoma" w:cs="Tahoma"/>
      <w:kern w:val="0"/>
      <w:sz w:val="16"/>
      <w:szCs w:val="16"/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204AB"/>
    <w:rPr>
      <w:rFonts w:ascii="Times New Roman" w:eastAsia="Times New Roman" w:hAnsi="Times New Roman"/>
      <w:b/>
      <w:bCs/>
      <w:kern w:val="36"/>
      <w:sz w:val="48"/>
      <w:szCs w:val="48"/>
      <w:lang w:val="fr-FR" w:eastAsia="fr-FR"/>
    </w:rPr>
  </w:style>
  <w:style w:type="character" w:styleId="Hyperlink">
    <w:name w:val="Hyperlink"/>
    <w:basedOn w:val="DefaultParagraphFont"/>
    <w:uiPriority w:val="99"/>
    <w:unhideWhenUsed/>
    <w:rsid w:val="00CA5CED"/>
    <w:rPr>
      <w:color w:val="0000FF" w:themeColor="hyperlink"/>
      <w:u w:val="single"/>
    </w:rPr>
  </w:style>
  <w:style w:type="paragraph" w:customStyle="1" w:styleId="wiki-text">
    <w:name w:val="wiki-text"/>
    <w:basedOn w:val="Normal"/>
    <w:rsid w:val="0078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6F4"/>
    <w:pPr>
      <w:spacing w:after="200" w:line="276" w:lineRule="auto"/>
    </w:pPr>
    <w:rPr>
      <w:rFonts w:cs="Calibri"/>
      <w:kern w:val="0"/>
      <w:sz w:val="22"/>
      <w:lang w:val="fr-FR"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720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1DCE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C602FD"/>
  </w:style>
  <w:style w:type="paragraph" w:styleId="Footer">
    <w:name w:val="footer"/>
    <w:basedOn w:val="Normal"/>
    <w:link w:val="FooterChar"/>
    <w:uiPriority w:val="99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602FD"/>
  </w:style>
  <w:style w:type="paragraph" w:styleId="ListParagraph">
    <w:name w:val="List Paragraph"/>
    <w:basedOn w:val="Normal"/>
    <w:uiPriority w:val="99"/>
    <w:qFormat/>
    <w:rsid w:val="003A6A1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8DD"/>
    <w:rPr>
      <w:rFonts w:ascii="Tahoma" w:hAnsi="Tahoma" w:cs="Tahoma"/>
      <w:kern w:val="0"/>
      <w:sz w:val="16"/>
      <w:szCs w:val="16"/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204AB"/>
    <w:rPr>
      <w:rFonts w:ascii="Times New Roman" w:eastAsia="Times New Roman" w:hAnsi="Times New Roman"/>
      <w:b/>
      <w:bCs/>
      <w:kern w:val="36"/>
      <w:sz w:val="48"/>
      <w:szCs w:val="48"/>
      <w:lang w:val="fr-FR" w:eastAsia="fr-FR"/>
    </w:rPr>
  </w:style>
  <w:style w:type="character" w:styleId="Hyperlink">
    <w:name w:val="Hyperlink"/>
    <w:basedOn w:val="DefaultParagraphFont"/>
    <w:uiPriority w:val="99"/>
    <w:unhideWhenUsed/>
    <w:rsid w:val="00CA5CED"/>
    <w:rPr>
      <w:color w:val="0000FF" w:themeColor="hyperlink"/>
      <w:u w:val="single"/>
    </w:rPr>
  </w:style>
  <w:style w:type="paragraph" w:customStyle="1" w:styleId="wiki-text">
    <w:name w:val="wiki-text"/>
    <w:basedOn w:val="Normal"/>
    <w:rsid w:val="0078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5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1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73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1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9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0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unesco.org/culture/ich/?lg=fr&amp;pg=00015&amp;keyword=00045&amp;submit=tru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nesco.org/culture/ich/?lg=fr&amp;pg=00015&amp;keyword=00071&amp;submit=tru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C10F6-B927-4CF9-A0E2-0F51BB7A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2013-05-30T08:02:00Z</dcterms:created>
  <dcterms:modified xsi:type="dcterms:W3CDTF">2013-05-30T08:36:00Z</dcterms:modified>
</cp:coreProperties>
</file>