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3A01A1" w14:textId="77777777" w:rsidR="00D76865" w:rsidRPr="007C0CD8" w:rsidRDefault="00D76865" w:rsidP="00D76865">
      <w:pPr>
        <w:spacing w:before="1440"/>
        <w:jc w:val="center"/>
        <w:rPr>
          <w:rFonts w:ascii="Arial" w:hAnsi="Arial" w:cs="Arial"/>
          <w:b/>
          <w:sz w:val="22"/>
          <w:szCs w:val="22"/>
          <w:lang w:val="en-GB"/>
        </w:rPr>
      </w:pPr>
      <w:r w:rsidRPr="007C0CD8">
        <w:rPr>
          <w:rFonts w:ascii="Arial" w:hAnsi="Arial" w:cs="Arial"/>
          <w:b/>
          <w:sz w:val="22"/>
          <w:szCs w:val="22"/>
          <w:lang w:val="en-GB"/>
        </w:rPr>
        <w:t>CONVENTION FOR THE SAFEGUAR</w:t>
      </w:r>
      <w:bookmarkStart w:id="0" w:name="_GoBack"/>
      <w:bookmarkEnd w:id="0"/>
      <w:r w:rsidRPr="007C0CD8">
        <w:rPr>
          <w:rFonts w:ascii="Arial" w:hAnsi="Arial" w:cs="Arial"/>
          <w:b/>
          <w:sz w:val="22"/>
          <w:szCs w:val="22"/>
          <w:lang w:val="en-GB"/>
        </w:rPr>
        <w:t xml:space="preserve">DING OF THE </w:t>
      </w:r>
      <w:r w:rsidRPr="007C0CD8">
        <w:rPr>
          <w:rFonts w:ascii="Arial" w:hAnsi="Arial" w:cs="Arial"/>
          <w:b/>
          <w:sz w:val="22"/>
          <w:szCs w:val="22"/>
          <w:lang w:val="en-GB"/>
        </w:rPr>
        <w:br/>
        <w:t>INTANGIBLE CULTURAL HERITAGE</w:t>
      </w:r>
    </w:p>
    <w:p w14:paraId="0E5D553C" w14:textId="77777777" w:rsidR="00D76865" w:rsidRPr="007C0CD8" w:rsidRDefault="00D76865" w:rsidP="00D76865">
      <w:pPr>
        <w:spacing w:before="1200"/>
        <w:jc w:val="center"/>
        <w:rPr>
          <w:rFonts w:ascii="Arial" w:hAnsi="Arial" w:cs="Arial"/>
          <w:b/>
          <w:sz w:val="22"/>
          <w:szCs w:val="22"/>
          <w:lang w:val="en-GB"/>
        </w:rPr>
      </w:pPr>
      <w:r w:rsidRPr="007C0CD8">
        <w:rPr>
          <w:rFonts w:ascii="Arial" w:hAnsi="Arial" w:cs="Arial"/>
          <w:b/>
          <w:sz w:val="22"/>
          <w:szCs w:val="22"/>
          <w:lang w:val="en-GB"/>
        </w:rPr>
        <w:t>INTERGOVERNMENTAL COMMITTEE FOR THE</w:t>
      </w:r>
      <w:r w:rsidRPr="007C0CD8">
        <w:rPr>
          <w:rFonts w:ascii="Arial" w:hAnsi="Arial" w:cs="Arial"/>
          <w:b/>
          <w:sz w:val="22"/>
          <w:szCs w:val="22"/>
          <w:lang w:val="en-GB"/>
        </w:rPr>
        <w:br/>
        <w:t>SAFEGUARDING OF THE INTANGIBLE CULTURAL HERITAGE</w:t>
      </w:r>
    </w:p>
    <w:p w14:paraId="2D9B86CF" w14:textId="77777777" w:rsidR="00D76865" w:rsidRPr="007C0CD8" w:rsidRDefault="00D76865" w:rsidP="00D76865">
      <w:pPr>
        <w:spacing w:before="840"/>
        <w:jc w:val="center"/>
        <w:rPr>
          <w:rFonts w:ascii="Arial" w:hAnsi="Arial" w:cs="Arial"/>
          <w:b/>
          <w:sz w:val="22"/>
          <w:szCs w:val="22"/>
          <w:lang w:val="en-GB"/>
        </w:rPr>
      </w:pPr>
      <w:r w:rsidRPr="007C0CD8">
        <w:rPr>
          <w:rFonts w:ascii="Arial" w:eastAsiaTheme="minorEastAsia" w:hAnsi="Arial" w:cs="Arial"/>
          <w:b/>
          <w:sz w:val="22"/>
          <w:szCs w:val="22"/>
          <w:lang w:val="en-GB" w:eastAsia="ko-KR"/>
        </w:rPr>
        <w:t>Twelf</w:t>
      </w:r>
      <w:r w:rsidRPr="007C0CD8">
        <w:rPr>
          <w:rFonts w:ascii="Arial" w:hAnsi="Arial" w:cs="Arial"/>
          <w:b/>
          <w:sz w:val="22"/>
          <w:szCs w:val="22"/>
          <w:lang w:val="en-GB"/>
        </w:rPr>
        <w:t>th session</w:t>
      </w:r>
    </w:p>
    <w:p w14:paraId="428F8CE3" w14:textId="77777777" w:rsidR="00D76865" w:rsidRPr="007C0CD8" w:rsidRDefault="00D76865" w:rsidP="00D76865">
      <w:pPr>
        <w:jc w:val="center"/>
        <w:rPr>
          <w:rFonts w:ascii="Arial" w:eastAsiaTheme="minorEastAsia" w:hAnsi="Arial" w:cs="Arial"/>
          <w:b/>
          <w:sz w:val="22"/>
          <w:szCs w:val="22"/>
          <w:lang w:val="en-GB" w:eastAsia="ko-KR"/>
        </w:rPr>
      </w:pPr>
      <w:proofErr w:type="spellStart"/>
      <w:r w:rsidRPr="007C0CD8">
        <w:rPr>
          <w:rFonts w:ascii="Arial" w:eastAsiaTheme="minorEastAsia" w:hAnsi="Arial" w:cs="Arial"/>
          <w:b/>
          <w:sz w:val="22"/>
          <w:szCs w:val="22"/>
          <w:lang w:val="en-GB" w:eastAsia="ko-KR"/>
        </w:rPr>
        <w:t>Jeju</w:t>
      </w:r>
      <w:proofErr w:type="spellEnd"/>
      <w:r w:rsidRPr="007C0CD8">
        <w:rPr>
          <w:rFonts w:ascii="Arial" w:eastAsiaTheme="minorEastAsia" w:hAnsi="Arial" w:cs="Arial"/>
          <w:b/>
          <w:sz w:val="22"/>
          <w:szCs w:val="22"/>
          <w:lang w:val="en-GB" w:eastAsia="ko-KR"/>
        </w:rPr>
        <w:t xml:space="preserve"> Island</w:t>
      </w:r>
      <w:r w:rsidRPr="007C0CD8">
        <w:rPr>
          <w:rFonts w:ascii="Arial" w:hAnsi="Arial" w:cs="Arial"/>
          <w:b/>
          <w:sz w:val="22"/>
          <w:szCs w:val="22"/>
          <w:lang w:val="en-GB"/>
        </w:rPr>
        <w:t xml:space="preserve">, </w:t>
      </w:r>
      <w:r w:rsidRPr="007C0CD8">
        <w:rPr>
          <w:rFonts w:ascii="Arial" w:eastAsiaTheme="minorEastAsia" w:hAnsi="Arial" w:cs="Arial"/>
          <w:b/>
          <w:sz w:val="22"/>
          <w:szCs w:val="22"/>
          <w:lang w:val="en-GB" w:eastAsia="ko-KR"/>
        </w:rPr>
        <w:t>Republic of Korea</w:t>
      </w:r>
    </w:p>
    <w:p w14:paraId="181CCA91" w14:textId="77777777" w:rsidR="00D76865" w:rsidRPr="0067772F" w:rsidRDefault="00D76865" w:rsidP="00D76865">
      <w:pPr>
        <w:jc w:val="center"/>
        <w:rPr>
          <w:rFonts w:ascii="Arial" w:eastAsiaTheme="minorEastAsia" w:hAnsi="Arial" w:cs="Arial"/>
          <w:b/>
          <w:sz w:val="22"/>
          <w:szCs w:val="22"/>
          <w:lang w:val="en-GB" w:eastAsia="ko-KR"/>
        </w:rPr>
      </w:pPr>
      <w:r w:rsidRPr="007C0CD8">
        <w:rPr>
          <w:rFonts w:ascii="Arial" w:eastAsiaTheme="minorEastAsia" w:hAnsi="Arial" w:cs="Arial"/>
          <w:b/>
          <w:sz w:val="22"/>
          <w:szCs w:val="22"/>
          <w:lang w:val="en-GB" w:eastAsia="ko-KR"/>
        </w:rPr>
        <w:t>4</w:t>
      </w:r>
      <w:r w:rsidRPr="007C0CD8">
        <w:rPr>
          <w:rFonts w:ascii="Arial" w:hAnsi="Arial" w:cs="Arial"/>
          <w:b/>
          <w:sz w:val="22"/>
          <w:szCs w:val="22"/>
          <w:lang w:val="en-GB"/>
        </w:rPr>
        <w:t xml:space="preserve"> to </w:t>
      </w:r>
      <w:r w:rsidRPr="0067772F">
        <w:rPr>
          <w:rFonts w:ascii="Arial" w:eastAsiaTheme="minorEastAsia" w:hAnsi="Arial" w:cs="Arial"/>
          <w:b/>
          <w:sz w:val="22"/>
          <w:szCs w:val="22"/>
          <w:lang w:val="en-GB" w:eastAsia="ko-KR"/>
        </w:rPr>
        <w:t>9</w:t>
      </w:r>
      <w:r w:rsidRPr="0067772F">
        <w:rPr>
          <w:rFonts w:ascii="Arial" w:hAnsi="Arial" w:cs="Arial"/>
          <w:b/>
          <w:sz w:val="22"/>
          <w:szCs w:val="22"/>
          <w:lang w:val="en-GB"/>
        </w:rPr>
        <w:t xml:space="preserve"> December 201</w:t>
      </w:r>
      <w:r w:rsidRPr="0067772F">
        <w:rPr>
          <w:rFonts w:ascii="Arial" w:eastAsiaTheme="minorEastAsia" w:hAnsi="Arial" w:cs="Arial"/>
          <w:b/>
          <w:sz w:val="22"/>
          <w:szCs w:val="22"/>
          <w:lang w:val="en-GB" w:eastAsia="ko-KR"/>
        </w:rPr>
        <w:t>7</w:t>
      </w:r>
    </w:p>
    <w:p w14:paraId="2393D7F2" w14:textId="77777777" w:rsidR="00D76865" w:rsidRPr="0067772F" w:rsidRDefault="00D76865" w:rsidP="00D76865">
      <w:pPr>
        <w:pStyle w:val="Sansinterligne2"/>
        <w:spacing w:before="1200"/>
        <w:jc w:val="center"/>
        <w:rPr>
          <w:rFonts w:ascii="Arial" w:hAnsi="Arial" w:cs="Arial"/>
          <w:b/>
          <w:sz w:val="22"/>
          <w:szCs w:val="22"/>
          <w:lang w:val="en-GB"/>
        </w:rPr>
      </w:pPr>
      <w:r w:rsidRPr="0067772F">
        <w:rPr>
          <w:rFonts w:ascii="Arial" w:hAnsi="Arial" w:cs="Arial"/>
          <w:b/>
          <w:sz w:val="22"/>
          <w:szCs w:val="22"/>
          <w:u w:val="single"/>
          <w:lang w:val="en-GB"/>
        </w:rPr>
        <w:t xml:space="preserve">Item </w:t>
      </w:r>
      <w:r w:rsidRPr="002B5B63">
        <w:rPr>
          <w:rFonts w:ascii="Arial" w:hAnsi="Arial" w:cs="Arial"/>
          <w:b/>
          <w:sz w:val="22"/>
          <w:szCs w:val="22"/>
          <w:u w:val="single"/>
          <w:lang w:val="en-GB"/>
        </w:rPr>
        <w:t>11.e</w:t>
      </w:r>
      <w:r w:rsidRPr="0067772F">
        <w:rPr>
          <w:rFonts w:ascii="Arial" w:hAnsi="Arial" w:cs="Arial"/>
          <w:b/>
          <w:sz w:val="22"/>
          <w:szCs w:val="22"/>
          <w:u w:val="single"/>
          <w:lang w:val="en-GB"/>
        </w:rPr>
        <w:t xml:space="preserve"> of the Provisional Agenda</w:t>
      </w:r>
      <w:r w:rsidRPr="0067772F">
        <w:rPr>
          <w:rFonts w:ascii="Arial" w:hAnsi="Arial" w:cs="Arial"/>
          <w:b/>
          <w:sz w:val="22"/>
          <w:szCs w:val="22"/>
          <w:lang w:val="en-GB"/>
        </w:rPr>
        <w:t>:</w:t>
      </w:r>
    </w:p>
    <w:p w14:paraId="79D02C63" w14:textId="77777777" w:rsidR="00D76865" w:rsidRPr="0067772F" w:rsidRDefault="00D76865" w:rsidP="00D76865">
      <w:pPr>
        <w:pStyle w:val="Sansinterligne2"/>
        <w:spacing w:after="1200"/>
        <w:jc w:val="center"/>
        <w:rPr>
          <w:rFonts w:ascii="Arial" w:hAnsi="Arial" w:cs="Arial"/>
          <w:b/>
          <w:sz w:val="22"/>
          <w:szCs w:val="22"/>
          <w:lang w:val="en-GB"/>
        </w:rPr>
      </w:pPr>
      <w:r w:rsidRPr="0067772F">
        <w:rPr>
          <w:rFonts w:ascii="Arial" w:hAnsi="Arial" w:cs="Arial"/>
          <w:b/>
          <w:sz w:val="22"/>
          <w:szCs w:val="22"/>
          <w:lang w:val="en-GB"/>
        </w:rPr>
        <w:t>Examination of proposals to the Register of Good Safeguarding Practices</w:t>
      </w:r>
    </w:p>
    <w:p w14:paraId="6CDD4260" w14:textId="77777777" w:rsidR="00D76865" w:rsidRPr="00D76865" w:rsidRDefault="00D76865" w:rsidP="00D76865">
      <w:pPr>
        <w:spacing w:before="1440"/>
        <w:jc w:val="center"/>
        <w:rPr>
          <w:rFonts w:ascii="Arial" w:hAnsi="Arial" w:cs="Arial"/>
          <w:b/>
          <w:sz w:val="22"/>
          <w:szCs w:val="22"/>
          <w:lang w:val="en-GB"/>
        </w:rPr>
      </w:pPr>
      <w:r w:rsidRPr="00D76865">
        <w:rPr>
          <w:rFonts w:ascii="Arial" w:hAnsi="Arial" w:cs="Arial"/>
          <w:b/>
          <w:sz w:val="22"/>
          <w:szCs w:val="22"/>
          <w:lang w:val="en-GB"/>
        </w:rPr>
        <w:t>ADDENDUM</w:t>
      </w:r>
    </w:p>
    <w:p w14:paraId="7F485488" w14:textId="77777777" w:rsidR="00D76865" w:rsidRPr="00D76865" w:rsidRDefault="00D76865" w:rsidP="00D76865">
      <w:pPr>
        <w:tabs>
          <w:tab w:val="left" w:pos="567"/>
        </w:tabs>
        <w:snapToGrid w:val="0"/>
        <w:spacing w:before="480" w:after="240"/>
        <w:ind w:left="567"/>
        <w:jc w:val="both"/>
        <w:rPr>
          <w:rFonts w:ascii="Arial" w:eastAsia="SimSun" w:hAnsi="Arial"/>
          <w:sz w:val="22"/>
          <w:lang w:val="en-US" w:eastAsia="en-US" w:bidi="en-US"/>
        </w:rPr>
      </w:pPr>
      <w:r w:rsidRPr="00D76865">
        <w:rPr>
          <w:rFonts w:ascii="Arial" w:eastAsia="SimSun" w:hAnsi="Arial"/>
          <w:sz w:val="22"/>
          <w:lang w:val="en-US" w:eastAsia="en-US" w:bidi="en-US"/>
        </w:rPr>
        <w:t>The following nomination has been withdrawn by the submitting State Party:</w:t>
      </w:r>
    </w:p>
    <w:tbl>
      <w:tblPr>
        <w:tblW w:w="4692" w:type="pct"/>
        <w:tblInd w:w="624" w:type="dxa"/>
        <w:tblBorders>
          <w:top w:val="single" w:sz="4" w:space="0" w:color="auto"/>
          <w:left w:val="single" w:sz="4" w:space="0" w:color="auto"/>
          <w:bottom w:val="single" w:sz="4" w:space="0" w:color="auto"/>
          <w:right w:val="single" w:sz="4" w:space="0" w:color="auto"/>
          <w:insideH w:val="single" w:sz="4" w:space="0" w:color="auto"/>
        </w:tblBorders>
        <w:tblCellMar>
          <w:left w:w="57" w:type="dxa"/>
          <w:right w:w="57" w:type="dxa"/>
        </w:tblCellMar>
        <w:tblLook w:val="00A0" w:firstRow="1" w:lastRow="0" w:firstColumn="1" w:lastColumn="0" w:noHBand="0" w:noVBand="0"/>
      </w:tblPr>
      <w:tblGrid>
        <w:gridCol w:w="1670"/>
        <w:gridCol w:w="9"/>
        <w:gridCol w:w="1679"/>
        <w:gridCol w:w="4620"/>
        <w:gridCol w:w="9"/>
        <w:gridCol w:w="1048"/>
      </w:tblGrid>
      <w:tr w:rsidR="00D76865" w:rsidRPr="00D76865" w14:paraId="7BB02CD4" w14:textId="77777777" w:rsidTr="00F97756">
        <w:trPr>
          <w:cantSplit/>
          <w:tblHeader/>
        </w:trPr>
        <w:tc>
          <w:tcPr>
            <w:tcW w:w="929" w:type="pct"/>
            <w:gridSpan w:val="2"/>
            <w:tcBorders>
              <w:right w:val="nil"/>
            </w:tcBorders>
            <w:shd w:val="clear" w:color="auto" w:fill="BFBFBF"/>
            <w:vAlign w:val="center"/>
          </w:tcPr>
          <w:p w14:paraId="14DFE8C2" w14:textId="77777777" w:rsidR="00D76865" w:rsidRPr="00D76865" w:rsidRDefault="00D76865" w:rsidP="00D76865">
            <w:pPr>
              <w:keepNext/>
              <w:spacing w:before="120" w:after="120"/>
              <w:jc w:val="center"/>
              <w:rPr>
                <w:rFonts w:ascii="Arial" w:hAnsi="Arial" w:cs="Arial"/>
                <w:color w:val="000000"/>
                <w:sz w:val="22"/>
                <w:szCs w:val="22"/>
                <w:lang w:val="en-GB"/>
              </w:rPr>
            </w:pPr>
            <w:r w:rsidRPr="00D76865">
              <w:rPr>
                <w:rFonts w:ascii="Arial" w:hAnsi="Arial" w:cs="Arial"/>
                <w:b/>
                <w:bCs/>
                <w:color w:val="000000"/>
                <w:sz w:val="22"/>
                <w:szCs w:val="22"/>
                <w:lang w:val="en-GB" w:eastAsia="en-GB"/>
              </w:rPr>
              <w:t xml:space="preserve">Draft </w:t>
            </w:r>
            <w:r w:rsidRPr="00D76865">
              <w:rPr>
                <w:rFonts w:ascii="Arial" w:hAnsi="Arial" w:cs="Arial"/>
                <w:b/>
                <w:bCs/>
                <w:color w:val="000000"/>
                <w:sz w:val="22"/>
                <w:szCs w:val="22"/>
                <w:lang w:val="en-GB" w:eastAsia="en-GB"/>
              </w:rPr>
              <w:br/>
              <w:t>Decision</w:t>
            </w:r>
          </w:p>
        </w:tc>
        <w:tc>
          <w:tcPr>
            <w:tcW w:w="929" w:type="pct"/>
            <w:tcBorders>
              <w:left w:val="nil"/>
              <w:right w:val="nil"/>
            </w:tcBorders>
            <w:shd w:val="clear" w:color="auto" w:fill="BFBFBF"/>
            <w:vAlign w:val="center"/>
          </w:tcPr>
          <w:p w14:paraId="6CF11DFC" w14:textId="77777777" w:rsidR="00D76865" w:rsidRPr="00D76865" w:rsidRDefault="00D76865" w:rsidP="00D76865">
            <w:pPr>
              <w:keepNext/>
              <w:spacing w:before="120" w:after="120"/>
              <w:jc w:val="center"/>
              <w:rPr>
                <w:rFonts w:ascii="Arial" w:hAnsi="Arial" w:cs="Arial"/>
                <w:color w:val="000000"/>
                <w:sz w:val="22"/>
                <w:szCs w:val="22"/>
                <w:lang w:val="en-GB"/>
              </w:rPr>
            </w:pPr>
            <w:r w:rsidRPr="00D76865">
              <w:rPr>
                <w:rFonts w:ascii="Arial" w:hAnsi="Arial" w:cs="Arial"/>
                <w:b/>
                <w:bCs/>
                <w:color w:val="000000"/>
                <w:sz w:val="22"/>
                <w:szCs w:val="22"/>
                <w:lang w:val="en-GB" w:eastAsia="en-GB"/>
              </w:rPr>
              <w:t>Submitting State</w:t>
            </w:r>
          </w:p>
        </w:tc>
        <w:tc>
          <w:tcPr>
            <w:tcW w:w="2562" w:type="pct"/>
            <w:gridSpan w:val="2"/>
            <w:tcBorders>
              <w:left w:val="nil"/>
              <w:right w:val="nil"/>
            </w:tcBorders>
            <w:shd w:val="clear" w:color="auto" w:fill="BFBFBF"/>
            <w:vAlign w:val="center"/>
          </w:tcPr>
          <w:p w14:paraId="79183FA2" w14:textId="77777777" w:rsidR="00D76865" w:rsidRPr="00D76865" w:rsidRDefault="00D76865" w:rsidP="00D76865">
            <w:pPr>
              <w:keepNext/>
              <w:spacing w:before="120" w:after="120"/>
              <w:jc w:val="center"/>
              <w:rPr>
                <w:rFonts w:ascii="Arial" w:hAnsi="Arial" w:cs="Arial"/>
                <w:color w:val="000000"/>
                <w:sz w:val="22"/>
                <w:szCs w:val="22"/>
                <w:lang w:val="en-GB"/>
              </w:rPr>
            </w:pPr>
            <w:r w:rsidRPr="00D76865">
              <w:rPr>
                <w:rFonts w:ascii="Arial" w:hAnsi="Arial" w:cs="Arial"/>
                <w:b/>
                <w:bCs/>
                <w:color w:val="000000"/>
                <w:sz w:val="22"/>
                <w:szCs w:val="22"/>
                <w:lang w:val="en-GB" w:eastAsia="en-GB"/>
              </w:rPr>
              <w:t>Nomination</w:t>
            </w:r>
          </w:p>
        </w:tc>
        <w:tc>
          <w:tcPr>
            <w:tcW w:w="580" w:type="pct"/>
            <w:tcBorders>
              <w:left w:val="nil"/>
            </w:tcBorders>
            <w:shd w:val="clear" w:color="auto" w:fill="BFBFBF"/>
            <w:vAlign w:val="center"/>
          </w:tcPr>
          <w:p w14:paraId="324E2A0E" w14:textId="77777777" w:rsidR="00D76865" w:rsidRPr="00D76865" w:rsidRDefault="00D76865" w:rsidP="00D76865">
            <w:pPr>
              <w:keepNext/>
              <w:spacing w:before="120" w:after="120"/>
              <w:jc w:val="center"/>
              <w:rPr>
                <w:rFonts w:ascii="Arial" w:hAnsi="Arial" w:cs="Arial"/>
                <w:color w:val="000000"/>
                <w:sz w:val="22"/>
                <w:szCs w:val="22"/>
                <w:lang w:val="en-GB"/>
              </w:rPr>
            </w:pPr>
            <w:r w:rsidRPr="00D76865">
              <w:rPr>
                <w:rFonts w:ascii="Arial" w:hAnsi="Arial" w:cs="Arial"/>
                <w:b/>
                <w:bCs/>
                <w:color w:val="000000"/>
                <w:sz w:val="22"/>
                <w:szCs w:val="22"/>
                <w:lang w:val="en-GB" w:eastAsia="en-GB"/>
              </w:rPr>
              <w:t>File No.</w:t>
            </w:r>
          </w:p>
        </w:tc>
      </w:tr>
      <w:tr w:rsidR="00D76865" w:rsidRPr="00D76865" w14:paraId="67E566EC" w14:textId="77777777" w:rsidTr="00F97756">
        <w:trPr>
          <w:cantSplit/>
          <w:trHeight w:val="409"/>
        </w:trPr>
        <w:tc>
          <w:tcPr>
            <w:tcW w:w="924" w:type="pct"/>
            <w:tcBorders>
              <w:right w:val="nil"/>
            </w:tcBorders>
          </w:tcPr>
          <w:p w14:paraId="30B4C7BD" w14:textId="1C93BCF6" w:rsidR="00D76865" w:rsidRPr="00D76865" w:rsidRDefault="00994E5F" w:rsidP="00D76865">
            <w:pPr>
              <w:keepNext/>
              <w:spacing w:before="120" w:after="120"/>
              <w:jc w:val="center"/>
              <w:rPr>
                <w:rFonts w:ascii="Arial" w:hAnsi="Arial" w:cs="Arial"/>
                <w:bCs/>
                <w:color w:val="000000"/>
                <w:sz w:val="22"/>
                <w:szCs w:val="22"/>
                <w:lang w:val="en-GB" w:eastAsia="en-GB"/>
              </w:rPr>
            </w:pPr>
            <w:hyperlink w:anchor="DRAFT_DECISION_12_COM_11_e_3" w:history="1">
              <w:r w:rsidR="00D76865" w:rsidRPr="002B5B63">
                <w:rPr>
                  <w:rStyle w:val="Hyperlink"/>
                  <w:rFonts w:ascii="Arial" w:hAnsi="Arial" w:cs="Arial"/>
                  <w:bCs/>
                  <w:sz w:val="22"/>
                  <w:szCs w:val="22"/>
                  <w:lang w:eastAsia="en-GB"/>
                </w:rPr>
                <w:t>12.COM 11.e.3</w:t>
              </w:r>
            </w:hyperlink>
          </w:p>
        </w:tc>
        <w:tc>
          <w:tcPr>
            <w:tcW w:w="934" w:type="pct"/>
            <w:gridSpan w:val="2"/>
            <w:tcBorders>
              <w:left w:val="nil"/>
              <w:right w:val="nil"/>
            </w:tcBorders>
          </w:tcPr>
          <w:p w14:paraId="225F67EB" w14:textId="220D85F5" w:rsidR="00D76865" w:rsidRPr="00D76865" w:rsidRDefault="00D76865" w:rsidP="00D76865">
            <w:pPr>
              <w:keepNext/>
              <w:spacing w:before="120" w:after="120"/>
              <w:jc w:val="center"/>
              <w:rPr>
                <w:rFonts w:ascii="Arial" w:hAnsi="Arial" w:cs="Arial"/>
                <w:color w:val="000000"/>
                <w:sz w:val="22"/>
                <w:szCs w:val="22"/>
                <w:lang w:val="en-GB"/>
              </w:rPr>
            </w:pPr>
            <w:proofErr w:type="spellStart"/>
            <w:r w:rsidRPr="0067772F">
              <w:rPr>
                <w:rFonts w:ascii="Arial" w:hAnsi="Arial" w:cs="Arial"/>
                <w:sz w:val="22"/>
                <w:szCs w:val="22"/>
              </w:rPr>
              <w:t>Egypt</w:t>
            </w:r>
            <w:proofErr w:type="spellEnd"/>
          </w:p>
        </w:tc>
        <w:tc>
          <w:tcPr>
            <w:tcW w:w="2557" w:type="pct"/>
            <w:tcBorders>
              <w:left w:val="nil"/>
              <w:right w:val="nil"/>
            </w:tcBorders>
          </w:tcPr>
          <w:p w14:paraId="41225612" w14:textId="448070A6" w:rsidR="00D76865" w:rsidRPr="00D76865" w:rsidRDefault="00D76865" w:rsidP="00D76865">
            <w:pPr>
              <w:keepNext/>
              <w:spacing w:before="120" w:after="120"/>
              <w:rPr>
                <w:rFonts w:ascii="Arial" w:hAnsi="Arial" w:cs="Arial"/>
                <w:color w:val="000000"/>
                <w:sz w:val="22"/>
                <w:szCs w:val="22"/>
                <w:lang w:val="en-GB"/>
              </w:rPr>
            </w:pPr>
            <w:r w:rsidRPr="0067772F">
              <w:rPr>
                <w:rFonts w:ascii="Arial" w:hAnsi="Arial" w:cs="Arial"/>
                <w:sz w:val="22"/>
                <w:szCs w:val="22"/>
                <w:lang w:val="en-US"/>
              </w:rPr>
              <w:t>Documenting, preserving, training and promoting the Egyptian intangible heritage of the art and crafts of Tally in Upper Egypt</w:t>
            </w:r>
          </w:p>
        </w:tc>
        <w:tc>
          <w:tcPr>
            <w:tcW w:w="585" w:type="pct"/>
            <w:gridSpan w:val="2"/>
            <w:tcBorders>
              <w:left w:val="nil"/>
            </w:tcBorders>
          </w:tcPr>
          <w:p w14:paraId="5D4CD71D" w14:textId="3D46DAFA" w:rsidR="00D76865" w:rsidRPr="00D76865" w:rsidRDefault="00994E5F" w:rsidP="00D76865">
            <w:pPr>
              <w:keepNext/>
              <w:spacing w:before="120" w:after="120"/>
              <w:jc w:val="center"/>
              <w:rPr>
                <w:rFonts w:ascii="Arial" w:hAnsi="Arial" w:cs="Arial"/>
                <w:color w:val="000000"/>
                <w:sz w:val="22"/>
                <w:szCs w:val="22"/>
                <w:lang w:val="en-GB"/>
              </w:rPr>
            </w:pPr>
            <w:hyperlink r:id="rId8" w:anchor="11.e.3" w:history="1">
              <w:r w:rsidR="00D76865" w:rsidRPr="0053046B">
                <w:rPr>
                  <w:rStyle w:val="Hyperlink"/>
                  <w:rFonts w:ascii="Arial" w:hAnsi="Arial" w:cs="Arial"/>
                  <w:sz w:val="22"/>
                  <w:szCs w:val="22"/>
                </w:rPr>
                <w:t>00963</w:t>
              </w:r>
            </w:hyperlink>
          </w:p>
        </w:tc>
      </w:tr>
    </w:tbl>
    <w:p w14:paraId="7E94867A" w14:textId="77777777" w:rsidR="00D76865" w:rsidRDefault="00D76865" w:rsidP="00D76865">
      <w:pPr>
        <w:spacing w:before="120"/>
        <w:jc w:val="center"/>
        <w:rPr>
          <w:rFonts w:ascii="Arial" w:hAnsi="Arial" w:cs="Arial"/>
          <w:b/>
          <w:sz w:val="22"/>
          <w:szCs w:val="22"/>
          <w:lang w:val="en-GB"/>
        </w:rPr>
        <w:sectPr w:rsidR="00D76865" w:rsidSect="00655736">
          <w:headerReference w:type="even" r:id="rId9"/>
          <w:headerReference w:type="default" r:id="rId10"/>
          <w:headerReference w:type="first" r:id="rId11"/>
          <w:pgSz w:w="11906" w:h="16838" w:code="9"/>
          <w:pgMar w:top="1418" w:right="1134" w:bottom="1134" w:left="1134" w:header="397" w:footer="284" w:gutter="0"/>
          <w:cols w:space="708"/>
          <w:titlePg/>
          <w:docGrid w:linePitch="360"/>
        </w:sectPr>
      </w:pPr>
    </w:p>
    <w:p w14:paraId="3D4D7D89" w14:textId="58A9A10E" w:rsidR="00EC6F8D" w:rsidRPr="007C0CD8" w:rsidRDefault="00EC6F8D" w:rsidP="00EC6F8D">
      <w:pPr>
        <w:spacing w:before="1440"/>
        <w:jc w:val="center"/>
        <w:rPr>
          <w:rFonts w:ascii="Arial" w:hAnsi="Arial" w:cs="Arial"/>
          <w:b/>
          <w:sz w:val="22"/>
          <w:szCs w:val="22"/>
          <w:lang w:val="en-GB"/>
        </w:rPr>
      </w:pPr>
      <w:r w:rsidRPr="007C0CD8">
        <w:rPr>
          <w:rFonts w:ascii="Arial" w:hAnsi="Arial" w:cs="Arial"/>
          <w:b/>
          <w:sz w:val="22"/>
          <w:szCs w:val="22"/>
          <w:lang w:val="en-GB"/>
        </w:rPr>
        <w:lastRenderedPageBreak/>
        <w:t xml:space="preserve">CONVENTION FOR THE SAFEGUARDING OF THE </w:t>
      </w:r>
      <w:r w:rsidRPr="007C0CD8">
        <w:rPr>
          <w:rFonts w:ascii="Arial" w:hAnsi="Arial" w:cs="Arial"/>
          <w:b/>
          <w:sz w:val="22"/>
          <w:szCs w:val="22"/>
          <w:lang w:val="en-GB"/>
        </w:rPr>
        <w:br/>
        <w:t>INTANGIBLE CULTURAL HERITAGE</w:t>
      </w:r>
    </w:p>
    <w:p w14:paraId="60D5C330" w14:textId="77777777" w:rsidR="00EC6F8D" w:rsidRPr="007C0CD8" w:rsidRDefault="00EC6F8D" w:rsidP="00EC6F8D">
      <w:pPr>
        <w:spacing w:before="1200"/>
        <w:jc w:val="center"/>
        <w:rPr>
          <w:rFonts w:ascii="Arial" w:hAnsi="Arial" w:cs="Arial"/>
          <w:b/>
          <w:sz w:val="22"/>
          <w:szCs w:val="22"/>
          <w:lang w:val="en-GB"/>
        </w:rPr>
      </w:pPr>
      <w:r w:rsidRPr="007C0CD8">
        <w:rPr>
          <w:rFonts w:ascii="Arial" w:hAnsi="Arial" w:cs="Arial"/>
          <w:b/>
          <w:sz w:val="22"/>
          <w:szCs w:val="22"/>
          <w:lang w:val="en-GB"/>
        </w:rPr>
        <w:t>INTERGOVERNMENTAL COMMITTEE FOR THE</w:t>
      </w:r>
      <w:r w:rsidRPr="007C0CD8">
        <w:rPr>
          <w:rFonts w:ascii="Arial" w:hAnsi="Arial" w:cs="Arial"/>
          <w:b/>
          <w:sz w:val="22"/>
          <w:szCs w:val="22"/>
          <w:lang w:val="en-GB"/>
        </w:rPr>
        <w:br/>
        <w:t>SAFEGUARDING OF THE INTANGIBLE CULTURAL HERITAGE</w:t>
      </w:r>
    </w:p>
    <w:p w14:paraId="03AE0127" w14:textId="77777777" w:rsidR="00EC6F8D" w:rsidRPr="007C0CD8" w:rsidRDefault="00C7433F" w:rsidP="00EC6F8D">
      <w:pPr>
        <w:spacing w:before="840"/>
        <w:jc w:val="center"/>
        <w:rPr>
          <w:rFonts w:ascii="Arial" w:hAnsi="Arial" w:cs="Arial"/>
          <w:b/>
          <w:sz w:val="22"/>
          <w:szCs w:val="22"/>
          <w:lang w:val="en-GB"/>
        </w:rPr>
      </w:pPr>
      <w:r w:rsidRPr="007C0CD8">
        <w:rPr>
          <w:rFonts w:ascii="Arial" w:eastAsiaTheme="minorEastAsia" w:hAnsi="Arial" w:cs="Arial"/>
          <w:b/>
          <w:sz w:val="22"/>
          <w:szCs w:val="22"/>
          <w:lang w:val="en-GB" w:eastAsia="ko-KR"/>
        </w:rPr>
        <w:t>Twelf</w:t>
      </w:r>
      <w:r w:rsidR="00CB0542" w:rsidRPr="007C0CD8">
        <w:rPr>
          <w:rFonts w:ascii="Arial" w:hAnsi="Arial" w:cs="Arial"/>
          <w:b/>
          <w:sz w:val="22"/>
          <w:szCs w:val="22"/>
          <w:lang w:val="en-GB"/>
        </w:rPr>
        <w:t>th</w:t>
      </w:r>
      <w:r w:rsidR="00EC6F8D" w:rsidRPr="007C0CD8">
        <w:rPr>
          <w:rFonts w:ascii="Arial" w:hAnsi="Arial" w:cs="Arial"/>
          <w:b/>
          <w:sz w:val="22"/>
          <w:szCs w:val="22"/>
          <w:lang w:val="en-GB"/>
        </w:rPr>
        <w:t xml:space="preserve"> session</w:t>
      </w:r>
    </w:p>
    <w:p w14:paraId="456EDA2F" w14:textId="77777777" w:rsidR="009D5428" w:rsidRPr="007C0CD8" w:rsidRDefault="002351A6" w:rsidP="005E7074">
      <w:pPr>
        <w:jc w:val="center"/>
        <w:rPr>
          <w:rFonts w:ascii="Arial" w:eastAsiaTheme="minorEastAsia" w:hAnsi="Arial" w:cs="Arial"/>
          <w:b/>
          <w:sz w:val="22"/>
          <w:szCs w:val="22"/>
          <w:lang w:val="en-GB" w:eastAsia="ko-KR"/>
        </w:rPr>
      </w:pPr>
      <w:proofErr w:type="spellStart"/>
      <w:r w:rsidRPr="007C0CD8">
        <w:rPr>
          <w:rFonts w:ascii="Arial" w:eastAsiaTheme="minorEastAsia" w:hAnsi="Arial" w:cs="Arial"/>
          <w:b/>
          <w:sz w:val="22"/>
          <w:szCs w:val="22"/>
          <w:lang w:val="en-GB" w:eastAsia="ko-KR"/>
        </w:rPr>
        <w:t>Jeju</w:t>
      </w:r>
      <w:proofErr w:type="spellEnd"/>
      <w:r w:rsidRPr="007C0CD8">
        <w:rPr>
          <w:rFonts w:ascii="Arial" w:eastAsiaTheme="minorEastAsia" w:hAnsi="Arial" w:cs="Arial"/>
          <w:b/>
          <w:sz w:val="22"/>
          <w:szCs w:val="22"/>
          <w:lang w:val="en-GB" w:eastAsia="ko-KR"/>
        </w:rPr>
        <w:t xml:space="preserve"> Island</w:t>
      </w:r>
      <w:r w:rsidR="00CB0542" w:rsidRPr="007C0CD8">
        <w:rPr>
          <w:rFonts w:ascii="Arial" w:hAnsi="Arial" w:cs="Arial"/>
          <w:b/>
          <w:sz w:val="22"/>
          <w:szCs w:val="22"/>
          <w:lang w:val="en-GB"/>
        </w:rPr>
        <w:t xml:space="preserve">, </w:t>
      </w:r>
      <w:r w:rsidR="00337CEB" w:rsidRPr="007C0CD8">
        <w:rPr>
          <w:rFonts w:ascii="Arial" w:eastAsiaTheme="minorEastAsia" w:hAnsi="Arial" w:cs="Arial"/>
          <w:b/>
          <w:sz w:val="22"/>
          <w:szCs w:val="22"/>
          <w:lang w:val="en-GB" w:eastAsia="ko-KR"/>
        </w:rPr>
        <w:t>Republic of Korea</w:t>
      </w:r>
    </w:p>
    <w:p w14:paraId="48B50C93" w14:textId="39B8873F" w:rsidR="00EC6F8D" w:rsidRPr="0067772F" w:rsidRDefault="00337CEB" w:rsidP="00EC6F8D">
      <w:pPr>
        <w:jc w:val="center"/>
        <w:rPr>
          <w:rFonts w:ascii="Arial" w:eastAsiaTheme="minorEastAsia" w:hAnsi="Arial" w:cs="Arial"/>
          <w:b/>
          <w:sz w:val="22"/>
          <w:szCs w:val="22"/>
          <w:lang w:val="en-GB" w:eastAsia="ko-KR"/>
        </w:rPr>
      </w:pPr>
      <w:r w:rsidRPr="007C0CD8">
        <w:rPr>
          <w:rFonts w:ascii="Arial" w:eastAsiaTheme="minorEastAsia" w:hAnsi="Arial" w:cs="Arial"/>
          <w:b/>
          <w:sz w:val="22"/>
          <w:szCs w:val="22"/>
          <w:lang w:val="en-GB" w:eastAsia="ko-KR"/>
        </w:rPr>
        <w:t>4</w:t>
      </w:r>
      <w:r w:rsidR="00EC6F8D" w:rsidRPr="007C0CD8">
        <w:rPr>
          <w:rFonts w:ascii="Arial" w:hAnsi="Arial" w:cs="Arial"/>
          <w:b/>
          <w:sz w:val="22"/>
          <w:szCs w:val="22"/>
          <w:lang w:val="en-GB"/>
        </w:rPr>
        <w:t xml:space="preserve"> to </w:t>
      </w:r>
      <w:r w:rsidR="00E40783" w:rsidRPr="0067772F">
        <w:rPr>
          <w:rFonts w:ascii="Arial" w:eastAsiaTheme="minorEastAsia" w:hAnsi="Arial" w:cs="Arial"/>
          <w:b/>
          <w:sz w:val="22"/>
          <w:szCs w:val="22"/>
          <w:lang w:val="en-GB" w:eastAsia="ko-KR"/>
        </w:rPr>
        <w:t>9</w:t>
      </w:r>
      <w:r w:rsidR="00E40783" w:rsidRPr="0067772F">
        <w:rPr>
          <w:rFonts w:ascii="Arial" w:hAnsi="Arial" w:cs="Arial"/>
          <w:b/>
          <w:sz w:val="22"/>
          <w:szCs w:val="22"/>
          <w:lang w:val="en-GB"/>
        </w:rPr>
        <w:t xml:space="preserve"> </w:t>
      </w:r>
      <w:r w:rsidRPr="0067772F">
        <w:rPr>
          <w:rFonts w:ascii="Arial" w:hAnsi="Arial" w:cs="Arial"/>
          <w:b/>
          <w:sz w:val="22"/>
          <w:szCs w:val="22"/>
          <w:lang w:val="en-GB"/>
        </w:rPr>
        <w:t>December 201</w:t>
      </w:r>
      <w:r w:rsidRPr="0067772F">
        <w:rPr>
          <w:rFonts w:ascii="Arial" w:eastAsiaTheme="minorEastAsia" w:hAnsi="Arial" w:cs="Arial"/>
          <w:b/>
          <w:sz w:val="22"/>
          <w:szCs w:val="22"/>
          <w:lang w:val="en-GB" w:eastAsia="ko-KR"/>
        </w:rPr>
        <w:t>7</w:t>
      </w:r>
    </w:p>
    <w:p w14:paraId="64B03286" w14:textId="77777777" w:rsidR="00EC6F8D" w:rsidRPr="0067772F" w:rsidRDefault="00EC6F8D" w:rsidP="00EC6F8D">
      <w:pPr>
        <w:pStyle w:val="Sansinterligne2"/>
        <w:spacing w:before="1200"/>
        <w:jc w:val="center"/>
        <w:rPr>
          <w:rFonts w:ascii="Arial" w:hAnsi="Arial" w:cs="Arial"/>
          <w:b/>
          <w:sz w:val="22"/>
          <w:szCs w:val="22"/>
          <w:lang w:val="en-GB"/>
        </w:rPr>
      </w:pPr>
      <w:r w:rsidRPr="0067772F">
        <w:rPr>
          <w:rFonts w:ascii="Arial" w:hAnsi="Arial" w:cs="Arial"/>
          <w:b/>
          <w:sz w:val="22"/>
          <w:szCs w:val="22"/>
          <w:u w:val="single"/>
          <w:lang w:val="en-GB"/>
        </w:rPr>
        <w:t xml:space="preserve">Item </w:t>
      </w:r>
      <w:r w:rsidR="0064466C" w:rsidRPr="002B5B63">
        <w:rPr>
          <w:rFonts w:ascii="Arial" w:hAnsi="Arial" w:cs="Arial"/>
          <w:b/>
          <w:sz w:val="22"/>
          <w:szCs w:val="22"/>
          <w:u w:val="single"/>
          <w:lang w:val="en-GB"/>
        </w:rPr>
        <w:t>1</w:t>
      </w:r>
      <w:r w:rsidR="008C4377" w:rsidRPr="002B5B63">
        <w:rPr>
          <w:rFonts w:ascii="Arial" w:hAnsi="Arial" w:cs="Arial"/>
          <w:b/>
          <w:sz w:val="22"/>
          <w:szCs w:val="22"/>
          <w:u w:val="single"/>
          <w:lang w:val="en-GB"/>
        </w:rPr>
        <w:t>1</w:t>
      </w:r>
      <w:r w:rsidR="0064466C" w:rsidRPr="002B5B63">
        <w:rPr>
          <w:rFonts w:ascii="Arial" w:hAnsi="Arial" w:cs="Arial"/>
          <w:b/>
          <w:sz w:val="22"/>
          <w:szCs w:val="22"/>
          <w:u w:val="single"/>
          <w:lang w:val="en-GB"/>
        </w:rPr>
        <w:t>.</w:t>
      </w:r>
      <w:r w:rsidR="008C4377" w:rsidRPr="002B5B63">
        <w:rPr>
          <w:rFonts w:ascii="Arial" w:hAnsi="Arial" w:cs="Arial"/>
          <w:b/>
          <w:sz w:val="22"/>
          <w:szCs w:val="22"/>
          <w:u w:val="single"/>
          <w:lang w:val="en-GB"/>
        </w:rPr>
        <w:t>e</w:t>
      </w:r>
      <w:r w:rsidRPr="0067772F">
        <w:rPr>
          <w:rFonts w:ascii="Arial" w:hAnsi="Arial" w:cs="Arial"/>
          <w:b/>
          <w:sz w:val="22"/>
          <w:szCs w:val="22"/>
          <w:u w:val="single"/>
          <w:lang w:val="en-GB"/>
        </w:rPr>
        <w:t xml:space="preserve"> of the Provisional Agenda</w:t>
      </w:r>
      <w:r w:rsidRPr="0067772F">
        <w:rPr>
          <w:rFonts w:ascii="Arial" w:hAnsi="Arial" w:cs="Arial"/>
          <w:b/>
          <w:sz w:val="22"/>
          <w:szCs w:val="22"/>
          <w:lang w:val="en-GB"/>
        </w:rPr>
        <w:t>:</w:t>
      </w:r>
    </w:p>
    <w:p w14:paraId="568F37B0" w14:textId="77777777" w:rsidR="00EC6F8D" w:rsidRPr="0067772F" w:rsidRDefault="0064466C" w:rsidP="0064466C">
      <w:pPr>
        <w:pStyle w:val="Sansinterligne2"/>
        <w:spacing w:after="1200"/>
        <w:jc w:val="center"/>
        <w:rPr>
          <w:rFonts w:ascii="Arial" w:hAnsi="Arial" w:cs="Arial"/>
          <w:b/>
          <w:sz w:val="22"/>
          <w:szCs w:val="22"/>
          <w:lang w:val="en-GB"/>
        </w:rPr>
      </w:pPr>
      <w:r w:rsidRPr="0067772F">
        <w:rPr>
          <w:rFonts w:ascii="Arial" w:hAnsi="Arial" w:cs="Arial"/>
          <w:b/>
          <w:sz w:val="22"/>
          <w:szCs w:val="22"/>
          <w:lang w:val="en-GB"/>
        </w:rPr>
        <w:t xml:space="preserve">Examination of proposals to the Register of </w:t>
      </w:r>
      <w:r w:rsidR="008C4377" w:rsidRPr="0067772F">
        <w:rPr>
          <w:rFonts w:ascii="Arial" w:hAnsi="Arial" w:cs="Arial"/>
          <w:b/>
          <w:sz w:val="22"/>
          <w:szCs w:val="22"/>
          <w:lang w:val="en-GB"/>
        </w:rPr>
        <w:t>Good</w:t>
      </w:r>
      <w:r w:rsidRPr="0067772F">
        <w:rPr>
          <w:rFonts w:ascii="Arial" w:hAnsi="Arial" w:cs="Arial"/>
          <w:b/>
          <w:sz w:val="22"/>
          <w:szCs w:val="22"/>
          <w:lang w:val="en-GB"/>
        </w:rPr>
        <w:t xml:space="preserve"> Safeguarding Practices</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67772F" w14:paraId="6E82CFC8" w14:textId="77777777" w:rsidTr="00EC6F8D">
        <w:trPr>
          <w:jc w:val="center"/>
        </w:trPr>
        <w:tc>
          <w:tcPr>
            <w:tcW w:w="5670" w:type="dxa"/>
            <w:vAlign w:val="center"/>
          </w:tcPr>
          <w:p w14:paraId="4F584230" w14:textId="77777777" w:rsidR="00EC6F8D" w:rsidRPr="0067772F" w:rsidRDefault="00EC6F8D" w:rsidP="00CA56BB">
            <w:pPr>
              <w:pStyle w:val="Sansinterligne1"/>
              <w:spacing w:before="200" w:after="200"/>
              <w:jc w:val="center"/>
              <w:rPr>
                <w:rFonts w:ascii="Arial" w:hAnsi="Arial" w:cs="Arial"/>
                <w:b/>
                <w:sz w:val="22"/>
                <w:szCs w:val="22"/>
                <w:lang w:val="en-GB"/>
              </w:rPr>
            </w:pPr>
            <w:r w:rsidRPr="0067772F">
              <w:rPr>
                <w:rFonts w:ascii="Arial" w:hAnsi="Arial" w:cs="Arial"/>
                <w:b/>
                <w:sz w:val="22"/>
                <w:szCs w:val="22"/>
                <w:lang w:val="en-GB"/>
              </w:rPr>
              <w:t>Summary</w:t>
            </w:r>
          </w:p>
          <w:p w14:paraId="07F010D2" w14:textId="40996835" w:rsidR="0064466C" w:rsidRPr="00A10706" w:rsidRDefault="0064466C" w:rsidP="0064466C">
            <w:pPr>
              <w:pStyle w:val="Sansinterligne1"/>
              <w:spacing w:before="200" w:after="200"/>
              <w:jc w:val="both"/>
              <w:rPr>
                <w:rFonts w:ascii="Arial" w:hAnsi="Arial" w:cs="Arial"/>
                <w:sz w:val="22"/>
                <w:szCs w:val="22"/>
                <w:lang w:val="en-GB"/>
              </w:rPr>
            </w:pPr>
            <w:r w:rsidRPr="0067772F">
              <w:rPr>
                <w:rFonts w:ascii="Arial" w:hAnsi="Arial" w:cs="Arial"/>
                <w:sz w:val="22"/>
                <w:szCs w:val="22"/>
                <w:lang w:val="en-GB"/>
              </w:rPr>
              <w:t xml:space="preserve">The present document includes the recommendations of the Evaluation Body on proposals to the Register of </w:t>
            </w:r>
            <w:r w:rsidR="008C4377" w:rsidRPr="0067772F">
              <w:rPr>
                <w:rFonts w:ascii="Arial" w:hAnsi="Arial" w:cs="Arial"/>
                <w:sz w:val="22"/>
                <w:szCs w:val="22"/>
                <w:lang w:val="en-GB"/>
              </w:rPr>
              <w:t>Good</w:t>
            </w:r>
            <w:r w:rsidRPr="0067772F">
              <w:rPr>
                <w:rFonts w:ascii="Arial" w:hAnsi="Arial" w:cs="Arial"/>
                <w:sz w:val="22"/>
                <w:szCs w:val="22"/>
                <w:lang w:val="en-GB"/>
              </w:rPr>
              <w:t xml:space="preserve"> Safeguarding Practices (Part A) and a set of draft decisions for the Committee’s consideration (Part B). An overview of the 2017 files and the working methods of the Evaluation Body are included in </w:t>
            </w:r>
            <w:r w:rsidR="00987E04">
              <w:rPr>
                <w:rFonts w:ascii="Arial" w:hAnsi="Arial" w:cs="Arial"/>
                <w:sz w:val="22"/>
                <w:szCs w:val="22"/>
                <w:lang w:val="en-GB"/>
              </w:rPr>
              <w:t>d</w:t>
            </w:r>
            <w:r w:rsidRPr="0067772F">
              <w:rPr>
                <w:rFonts w:ascii="Arial" w:hAnsi="Arial" w:cs="Arial"/>
                <w:sz w:val="22"/>
                <w:szCs w:val="22"/>
                <w:lang w:val="en-GB"/>
              </w:rPr>
              <w:t xml:space="preserve">ocument </w:t>
            </w:r>
            <w:hyperlink r:id="rId12" w:history="1">
              <w:r w:rsidRPr="00987E04">
                <w:rPr>
                  <w:rStyle w:val="Hyperlink"/>
                  <w:rFonts w:ascii="Arial" w:hAnsi="Arial" w:cs="Arial"/>
                  <w:sz w:val="22"/>
                  <w:szCs w:val="22"/>
                  <w:lang w:val="en-GB"/>
                </w:rPr>
                <w:t>ITH/17/1</w:t>
              </w:r>
              <w:r w:rsidR="008C4377" w:rsidRPr="00987E04">
                <w:rPr>
                  <w:rStyle w:val="Hyperlink"/>
                  <w:rFonts w:ascii="Arial" w:hAnsi="Arial" w:cs="Arial"/>
                  <w:sz w:val="22"/>
                  <w:szCs w:val="22"/>
                  <w:lang w:val="en-GB"/>
                </w:rPr>
                <w:t>2.COM/11</w:t>
              </w:r>
            </w:hyperlink>
            <w:r w:rsidRPr="002B5B63">
              <w:rPr>
                <w:rFonts w:ascii="Arial" w:hAnsi="Arial" w:cs="Arial"/>
                <w:sz w:val="22"/>
                <w:szCs w:val="22"/>
                <w:lang w:val="en-GB"/>
              </w:rPr>
              <w:t>.</w:t>
            </w:r>
          </w:p>
          <w:p w14:paraId="1FC1F28D" w14:textId="77777777" w:rsidR="00EC6F8D" w:rsidRPr="0067772F" w:rsidRDefault="00EC6F8D" w:rsidP="008C4377">
            <w:pPr>
              <w:pStyle w:val="Sansinterligne2"/>
              <w:spacing w:before="200" w:after="200"/>
              <w:jc w:val="both"/>
              <w:rPr>
                <w:rFonts w:ascii="Arial" w:hAnsi="Arial" w:cs="Arial"/>
                <w:b/>
                <w:sz w:val="22"/>
                <w:szCs w:val="22"/>
                <w:lang w:val="en-GB"/>
              </w:rPr>
            </w:pPr>
            <w:r w:rsidRPr="0067772F">
              <w:rPr>
                <w:rFonts w:ascii="Arial" w:hAnsi="Arial" w:cs="Arial"/>
                <w:b/>
                <w:sz w:val="22"/>
                <w:szCs w:val="22"/>
                <w:lang w:val="en-GB"/>
              </w:rPr>
              <w:t xml:space="preserve">Decision required: </w:t>
            </w:r>
            <w:r w:rsidRPr="0067772F">
              <w:rPr>
                <w:rFonts w:ascii="Arial" w:hAnsi="Arial" w:cs="Arial"/>
                <w:bCs/>
                <w:sz w:val="22"/>
                <w:szCs w:val="22"/>
                <w:lang w:val="en-GB"/>
              </w:rPr>
              <w:t xml:space="preserve">paragraph </w:t>
            </w:r>
            <w:r w:rsidR="008C4377" w:rsidRPr="0067772F">
              <w:rPr>
                <w:rFonts w:ascii="Arial" w:hAnsi="Arial" w:cs="Arial"/>
                <w:bCs/>
                <w:sz w:val="22"/>
                <w:szCs w:val="22"/>
                <w:lang w:val="en-GB"/>
              </w:rPr>
              <w:t>3</w:t>
            </w:r>
          </w:p>
        </w:tc>
      </w:tr>
    </w:tbl>
    <w:p w14:paraId="4F233E4C" w14:textId="77777777" w:rsidR="00D10ACD" w:rsidRDefault="00D10ACD">
      <w:pPr>
        <w:rPr>
          <w:rFonts w:ascii="Arial" w:eastAsia="SimSun" w:hAnsi="Arial" w:cs="Arial"/>
          <w:b/>
          <w:sz w:val="22"/>
          <w:szCs w:val="22"/>
          <w:lang w:val="en-GB" w:eastAsia="zh-CN"/>
        </w:rPr>
      </w:pPr>
      <w:r>
        <w:rPr>
          <w:rFonts w:ascii="Arial" w:hAnsi="Arial" w:cs="Arial"/>
          <w:b/>
          <w:lang w:val="en-GB"/>
        </w:rPr>
        <w:br w:type="page"/>
      </w:r>
    </w:p>
    <w:p w14:paraId="2B6A0D37" w14:textId="33BC0547" w:rsidR="007708AF" w:rsidRPr="0067772F" w:rsidRDefault="007708AF" w:rsidP="00C42DFD">
      <w:pPr>
        <w:pStyle w:val="NoSpacing1"/>
        <w:keepNext/>
        <w:numPr>
          <w:ilvl w:val="0"/>
          <w:numId w:val="15"/>
        </w:numPr>
        <w:tabs>
          <w:tab w:val="left" w:pos="567"/>
        </w:tabs>
        <w:spacing w:before="360" w:after="240"/>
        <w:ind w:hanging="930"/>
        <w:jc w:val="both"/>
        <w:rPr>
          <w:rFonts w:ascii="Arial" w:hAnsi="Arial" w:cs="Arial"/>
          <w:b/>
          <w:lang w:val="en-GB"/>
        </w:rPr>
      </w:pPr>
      <w:r w:rsidRPr="0067772F">
        <w:rPr>
          <w:rFonts w:ascii="Arial" w:hAnsi="Arial" w:cs="Arial"/>
          <w:b/>
          <w:lang w:val="en-GB"/>
        </w:rPr>
        <w:t>Recommendations</w:t>
      </w:r>
    </w:p>
    <w:p w14:paraId="1E89BDA4" w14:textId="1B39E30A" w:rsidR="0064466C" w:rsidRPr="0067772F" w:rsidRDefault="0064466C" w:rsidP="0064466C">
      <w:pPr>
        <w:pStyle w:val="COMPara"/>
        <w:jc w:val="both"/>
      </w:pPr>
      <w:bookmarkStart w:id="1" w:name="Recommendations"/>
      <w:bookmarkStart w:id="2" w:name="Recommends_to_select"/>
      <w:bookmarkEnd w:id="1"/>
      <w:bookmarkEnd w:id="2"/>
      <w:r w:rsidRPr="0067772F">
        <w:rPr>
          <w:rFonts w:eastAsia="SimSun"/>
          <w:lang w:eastAsia="zh-CN"/>
        </w:rPr>
        <w:t xml:space="preserve">The Evaluation Body recommends </w:t>
      </w:r>
      <w:r w:rsidR="00B204AA" w:rsidRPr="0067772F">
        <w:rPr>
          <w:rFonts w:eastAsia="SimSun"/>
          <w:lang w:eastAsia="zh-CN"/>
        </w:rPr>
        <w:t>t</w:t>
      </w:r>
      <w:r w:rsidR="00B204AA">
        <w:rPr>
          <w:rFonts w:eastAsia="SimSun"/>
          <w:lang w:eastAsia="zh-CN"/>
        </w:rPr>
        <w:t>hat</w:t>
      </w:r>
      <w:r w:rsidR="00B204AA" w:rsidRPr="0067772F">
        <w:rPr>
          <w:rFonts w:eastAsia="SimSun"/>
          <w:lang w:eastAsia="zh-CN"/>
        </w:rPr>
        <w:t xml:space="preserve"> </w:t>
      </w:r>
      <w:r w:rsidRPr="0067772F">
        <w:rPr>
          <w:rFonts w:eastAsia="SimSun"/>
          <w:lang w:eastAsia="zh-CN"/>
        </w:rPr>
        <w:t xml:space="preserve">the Committee select the following programmes as best </w:t>
      </w:r>
      <w:r w:rsidR="00E40783" w:rsidRPr="0067772F">
        <w:rPr>
          <w:rFonts w:eastAsia="SimSun"/>
          <w:lang w:eastAsia="zh-CN"/>
        </w:rPr>
        <w:t xml:space="preserve">reflecting </w:t>
      </w:r>
      <w:r w:rsidRPr="0067772F">
        <w:rPr>
          <w:rFonts w:eastAsia="SimSun"/>
          <w:lang w:eastAsia="zh-CN"/>
        </w:rPr>
        <w:t>the principles and objectives of the Convention</w:t>
      </w:r>
      <w:r w:rsidRPr="0067772F">
        <w:t>:</w:t>
      </w:r>
    </w:p>
    <w:tbl>
      <w:tblPr>
        <w:tblW w:w="4579" w:type="pct"/>
        <w:tblInd w:w="624"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57" w:type="dxa"/>
          <w:right w:w="57" w:type="dxa"/>
        </w:tblCellMar>
        <w:tblLook w:val="04A0" w:firstRow="1" w:lastRow="0" w:firstColumn="1" w:lastColumn="0" w:noHBand="0" w:noVBand="1"/>
      </w:tblPr>
      <w:tblGrid>
        <w:gridCol w:w="1681"/>
        <w:gridCol w:w="1377"/>
        <w:gridCol w:w="21"/>
        <w:gridCol w:w="4620"/>
        <w:gridCol w:w="1118"/>
      </w:tblGrid>
      <w:tr w:rsidR="008C4377" w:rsidRPr="0067772F" w14:paraId="32C5975F" w14:textId="77777777" w:rsidTr="008C4377">
        <w:trPr>
          <w:cantSplit/>
          <w:tblHeader/>
        </w:trPr>
        <w:tc>
          <w:tcPr>
            <w:tcW w:w="953" w:type="pct"/>
            <w:tcBorders>
              <w:top w:val="single" w:sz="4" w:space="0" w:color="auto"/>
              <w:left w:val="single" w:sz="4" w:space="0" w:color="auto"/>
              <w:bottom w:val="single" w:sz="4" w:space="0" w:color="auto"/>
              <w:right w:val="nil"/>
            </w:tcBorders>
            <w:shd w:val="clear" w:color="auto" w:fill="BFBFBF"/>
            <w:vAlign w:val="center"/>
          </w:tcPr>
          <w:p w14:paraId="253CFB12" w14:textId="77777777" w:rsidR="0064466C" w:rsidRPr="0067772F" w:rsidRDefault="0057439C" w:rsidP="00CB4B6E">
            <w:pPr>
              <w:spacing w:before="120" w:after="120"/>
              <w:jc w:val="center"/>
              <w:rPr>
                <w:rFonts w:ascii="Arial" w:hAnsi="Arial" w:cs="Arial"/>
                <w:sz w:val="22"/>
                <w:szCs w:val="22"/>
              </w:rPr>
            </w:pPr>
            <w:r w:rsidRPr="0067772F">
              <w:rPr>
                <w:rFonts w:ascii="Arial" w:hAnsi="Arial" w:cs="Arial"/>
                <w:sz w:val="22"/>
                <w:szCs w:val="22"/>
                <w:lang w:val="en-US"/>
              </w:rPr>
              <w:t xml:space="preserve"> </w:t>
            </w:r>
            <w:proofErr w:type="spellStart"/>
            <w:r w:rsidR="0064466C" w:rsidRPr="0067772F">
              <w:rPr>
                <w:rFonts w:ascii="Arial" w:hAnsi="Arial" w:cs="Arial"/>
                <w:b/>
                <w:bCs/>
                <w:sz w:val="22"/>
                <w:szCs w:val="22"/>
                <w:lang w:eastAsia="en-GB"/>
              </w:rPr>
              <w:t>Draft</w:t>
            </w:r>
            <w:proofErr w:type="spellEnd"/>
            <w:r w:rsidR="0064466C" w:rsidRPr="0067772F">
              <w:rPr>
                <w:rFonts w:ascii="Arial" w:hAnsi="Arial" w:cs="Arial"/>
                <w:b/>
                <w:bCs/>
                <w:sz w:val="22"/>
                <w:szCs w:val="22"/>
                <w:lang w:eastAsia="en-GB"/>
              </w:rPr>
              <w:t xml:space="preserve"> </w:t>
            </w:r>
            <w:proofErr w:type="spellStart"/>
            <w:r w:rsidR="0064466C" w:rsidRPr="0067772F">
              <w:rPr>
                <w:rFonts w:ascii="Arial" w:hAnsi="Arial" w:cs="Arial"/>
                <w:b/>
                <w:bCs/>
                <w:sz w:val="22"/>
                <w:szCs w:val="22"/>
                <w:lang w:eastAsia="en-GB"/>
              </w:rPr>
              <w:t>Decision</w:t>
            </w:r>
            <w:proofErr w:type="spellEnd"/>
          </w:p>
        </w:tc>
        <w:tc>
          <w:tcPr>
            <w:tcW w:w="781" w:type="pct"/>
            <w:tcBorders>
              <w:top w:val="single" w:sz="4" w:space="0" w:color="auto"/>
              <w:left w:val="nil"/>
              <w:bottom w:val="single" w:sz="4" w:space="0" w:color="auto"/>
              <w:right w:val="nil"/>
            </w:tcBorders>
            <w:shd w:val="clear" w:color="auto" w:fill="BFBFBF"/>
            <w:vAlign w:val="center"/>
          </w:tcPr>
          <w:p w14:paraId="2F78A7C0" w14:textId="77777777" w:rsidR="0064466C" w:rsidRPr="0067772F" w:rsidRDefault="0064466C" w:rsidP="00CB4B6E">
            <w:pPr>
              <w:spacing w:before="120" w:after="120"/>
              <w:jc w:val="center"/>
              <w:rPr>
                <w:rFonts w:ascii="Arial" w:hAnsi="Arial" w:cs="Arial"/>
                <w:sz w:val="22"/>
                <w:szCs w:val="22"/>
              </w:rPr>
            </w:pPr>
            <w:proofErr w:type="spellStart"/>
            <w:r w:rsidRPr="0067772F">
              <w:rPr>
                <w:rFonts w:ascii="Arial" w:hAnsi="Arial" w:cs="Arial"/>
                <w:b/>
                <w:bCs/>
                <w:sz w:val="22"/>
                <w:szCs w:val="22"/>
                <w:lang w:eastAsia="en-GB"/>
              </w:rPr>
              <w:t>Submitting</w:t>
            </w:r>
            <w:proofErr w:type="spellEnd"/>
            <w:r w:rsidRPr="0067772F">
              <w:rPr>
                <w:rFonts w:ascii="Arial" w:hAnsi="Arial" w:cs="Arial"/>
                <w:b/>
                <w:bCs/>
                <w:sz w:val="22"/>
                <w:szCs w:val="22"/>
                <w:lang w:eastAsia="en-GB"/>
              </w:rPr>
              <w:t xml:space="preserve"> State</w:t>
            </w:r>
          </w:p>
        </w:tc>
        <w:tc>
          <w:tcPr>
            <w:tcW w:w="2632" w:type="pct"/>
            <w:gridSpan w:val="2"/>
            <w:tcBorders>
              <w:top w:val="single" w:sz="4" w:space="0" w:color="auto"/>
              <w:left w:val="nil"/>
              <w:bottom w:val="single" w:sz="4" w:space="0" w:color="auto"/>
              <w:right w:val="nil"/>
            </w:tcBorders>
            <w:shd w:val="clear" w:color="auto" w:fill="BFBFBF"/>
            <w:vAlign w:val="center"/>
          </w:tcPr>
          <w:p w14:paraId="42C82BCB" w14:textId="77777777" w:rsidR="0064466C" w:rsidRPr="0067772F" w:rsidRDefault="0064466C" w:rsidP="00CB4B6E">
            <w:pPr>
              <w:spacing w:before="120" w:after="120"/>
              <w:jc w:val="center"/>
              <w:rPr>
                <w:rFonts w:ascii="Arial" w:hAnsi="Arial" w:cs="Arial"/>
                <w:sz w:val="22"/>
                <w:szCs w:val="22"/>
              </w:rPr>
            </w:pPr>
            <w:proofErr w:type="spellStart"/>
            <w:r w:rsidRPr="0067772F">
              <w:rPr>
                <w:rFonts w:ascii="Arial" w:hAnsi="Arial" w:cs="Arial"/>
                <w:b/>
                <w:bCs/>
                <w:sz w:val="22"/>
                <w:szCs w:val="22"/>
                <w:lang w:eastAsia="en-GB"/>
              </w:rPr>
              <w:t>Proposal</w:t>
            </w:r>
            <w:proofErr w:type="spellEnd"/>
          </w:p>
        </w:tc>
        <w:tc>
          <w:tcPr>
            <w:tcW w:w="634" w:type="pct"/>
            <w:tcBorders>
              <w:top w:val="single" w:sz="4" w:space="0" w:color="auto"/>
              <w:left w:val="nil"/>
              <w:bottom w:val="single" w:sz="4" w:space="0" w:color="auto"/>
              <w:right w:val="single" w:sz="4" w:space="0" w:color="auto"/>
            </w:tcBorders>
            <w:shd w:val="clear" w:color="auto" w:fill="BFBFBF"/>
            <w:vAlign w:val="center"/>
          </w:tcPr>
          <w:p w14:paraId="1444E9AF" w14:textId="77777777" w:rsidR="0064466C" w:rsidRPr="0067772F" w:rsidRDefault="0064466C" w:rsidP="00CB4B6E">
            <w:pPr>
              <w:spacing w:before="120" w:after="120"/>
              <w:jc w:val="center"/>
              <w:rPr>
                <w:rFonts w:ascii="Arial" w:hAnsi="Arial" w:cs="Arial"/>
                <w:sz w:val="22"/>
                <w:szCs w:val="22"/>
              </w:rPr>
            </w:pPr>
            <w:r w:rsidRPr="0067772F">
              <w:rPr>
                <w:rFonts w:ascii="Arial" w:hAnsi="Arial" w:cs="Arial"/>
                <w:b/>
                <w:bCs/>
                <w:sz w:val="22"/>
                <w:szCs w:val="22"/>
                <w:lang w:eastAsia="en-GB"/>
              </w:rPr>
              <w:t>File No.</w:t>
            </w:r>
          </w:p>
        </w:tc>
      </w:tr>
      <w:tr w:rsidR="008C4377" w:rsidRPr="0067772F" w14:paraId="1BB84566" w14:textId="77777777" w:rsidTr="008C4377">
        <w:trPr>
          <w:cantSplit/>
        </w:trPr>
        <w:tc>
          <w:tcPr>
            <w:tcW w:w="953" w:type="pct"/>
            <w:tcBorders>
              <w:top w:val="single" w:sz="4" w:space="0" w:color="auto"/>
              <w:left w:val="single" w:sz="4" w:space="0" w:color="auto"/>
              <w:bottom w:val="single" w:sz="4" w:space="0" w:color="auto"/>
              <w:right w:val="nil"/>
            </w:tcBorders>
          </w:tcPr>
          <w:p w14:paraId="614CE536" w14:textId="339FED4F" w:rsidR="0064466C" w:rsidRPr="0067772F" w:rsidRDefault="00994E5F" w:rsidP="008C4377">
            <w:pPr>
              <w:spacing w:before="120" w:after="120"/>
              <w:jc w:val="center"/>
              <w:rPr>
                <w:rFonts w:ascii="Arial" w:hAnsi="Arial" w:cs="Arial"/>
                <w:bCs/>
                <w:sz w:val="22"/>
                <w:szCs w:val="22"/>
                <w:lang w:eastAsia="en-GB"/>
              </w:rPr>
            </w:pPr>
            <w:hyperlink w:anchor="DRAFT_DECISION_12_COM_11_e_2" w:history="1">
              <w:r w:rsidR="0071640C" w:rsidRPr="0067772F">
                <w:rPr>
                  <w:rStyle w:val="Hyperlink"/>
                  <w:rFonts w:ascii="Arial" w:hAnsi="Arial" w:cs="Arial"/>
                  <w:bCs/>
                  <w:sz w:val="22"/>
                  <w:szCs w:val="22"/>
                  <w:lang w:eastAsia="en-GB"/>
                </w:rPr>
                <w:t>12.COM 11.e.2</w:t>
              </w:r>
            </w:hyperlink>
          </w:p>
        </w:tc>
        <w:tc>
          <w:tcPr>
            <w:tcW w:w="781" w:type="pct"/>
            <w:tcBorders>
              <w:top w:val="single" w:sz="4" w:space="0" w:color="auto"/>
              <w:left w:val="nil"/>
              <w:bottom w:val="single" w:sz="4" w:space="0" w:color="auto"/>
              <w:right w:val="nil"/>
            </w:tcBorders>
          </w:tcPr>
          <w:p w14:paraId="5E023051" w14:textId="77777777" w:rsidR="0064466C" w:rsidRPr="0067772F" w:rsidRDefault="00083D2C" w:rsidP="00CB4B6E">
            <w:pPr>
              <w:spacing w:before="120" w:after="120"/>
              <w:jc w:val="center"/>
              <w:rPr>
                <w:rFonts w:ascii="Arial" w:hAnsi="Arial" w:cs="Arial"/>
                <w:sz w:val="22"/>
                <w:szCs w:val="22"/>
              </w:rPr>
            </w:pPr>
            <w:proofErr w:type="spellStart"/>
            <w:r w:rsidRPr="0067772F">
              <w:rPr>
                <w:rFonts w:ascii="Arial" w:hAnsi="Arial" w:cs="Arial"/>
                <w:sz w:val="22"/>
                <w:szCs w:val="22"/>
              </w:rPr>
              <w:t>Bulgaria</w:t>
            </w:r>
            <w:proofErr w:type="spellEnd"/>
          </w:p>
        </w:tc>
        <w:tc>
          <w:tcPr>
            <w:tcW w:w="2632" w:type="pct"/>
            <w:gridSpan w:val="2"/>
            <w:tcBorders>
              <w:top w:val="single" w:sz="4" w:space="0" w:color="auto"/>
              <w:left w:val="nil"/>
              <w:bottom w:val="single" w:sz="4" w:space="0" w:color="auto"/>
              <w:right w:val="nil"/>
            </w:tcBorders>
          </w:tcPr>
          <w:p w14:paraId="15047C41" w14:textId="77777777" w:rsidR="0064466C" w:rsidRPr="0067772F" w:rsidRDefault="00083D2C" w:rsidP="00BD615E">
            <w:pPr>
              <w:spacing w:before="120" w:after="120"/>
              <w:rPr>
                <w:rFonts w:ascii="Arial" w:hAnsi="Arial" w:cs="Arial"/>
                <w:sz w:val="22"/>
                <w:szCs w:val="22"/>
                <w:lang w:val="en-US"/>
              </w:rPr>
            </w:pPr>
            <w:r w:rsidRPr="0067772F">
              <w:rPr>
                <w:rFonts w:ascii="Arial" w:hAnsi="Arial" w:cs="Arial"/>
                <w:sz w:val="22"/>
                <w:szCs w:val="22"/>
                <w:lang w:val="en-US"/>
              </w:rPr>
              <w:t xml:space="preserve">Bulgarian </w:t>
            </w:r>
            <w:proofErr w:type="spellStart"/>
            <w:r w:rsidRPr="0067772F">
              <w:rPr>
                <w:rFonts w:ascii="Arial" w:hAnsi="Arial" w:cs="Arial"/>
                <w:sz w:val="22"/>
                <w:szCs w:val="22"/>
                <w:lang w:val="en-US"/>
              </w:rPr>
              <w:t>Chitalishte</w:t>
            </w:r>
            <w:proofErr w:type="spellEnd"/>
            <w:r w:rsidRPr="0067772F">
              <w:rPr>
                <w:rFonts w:ascii="Arial" w:hAnsi="Arial" w:cs="Arial"/>
                <w:sz w:val="22"/>
                <w:szCs w:val="22"/>
                <w:lang w:val="en-US"/>
              </w:rPr>
              <w:t xml:space="preserve"> (Community Cultural Center): practical experience in sa</w:t>
            </w:r>
            <w:r w:rsidR="00BD615E" w:rsidRPr="0067772F">
              <w:rPr>
                <w:rFonts w:ascii="Arial" w:hAnsi="Arial" w:cs="Arial"/>
                <w:sz w:val="22"/>
                <w:szCs w:val="22"/>
                <w:lang w:val="en-US"/>
              </w:rPr>
              <w:t>feguarding the vitality of the I</w:t>
            </w:r>
            <w:r w:rsidRPr="0067772F">
              <w:rPr>
                <w:rFonts w:ascii="Arial" w:hAnsi="Arial" w:cs="Arial"/>
                <w:sz w:val="22"/>
                <w:szCs w:val="22"/>
                <w:lang w:val="en-US"/>
              </w:rPr>
              <w:t>ntangible Cultural Heritage</w:t>
            </w:r>
          </w:p>
        </w:tc>
        <w:tc>
          <w:tcPr>
            <w:tcW w:w="634" w:type="pct"/>
            <w:tcBorders>
              <w:top w:val="single" w:sz="4" w:space="0" w:color="auto"/>
              <w:left w:val="nil"/>
              <w:bottom w:val="single" w:sz="4" w:space="0" w:color="auto"/>
              <w:right w:val="single" w:sz="4" w:space="0" w:color="auto"/>
            </w:tcBorders>
          </w:tcPr>
          <w:p w14:paraId="681F8182" w14:textId="502E62B1" w:rsidR="0064466C" w:rsidRPr="0067772F" w:rsidRDefault="00994E5F" w:rsidP="00CB4B6E">
            <w:pPr>
              <w:spacing w:before="120" w:after="120"/>
              <w:jc w:val="center"/>
              <w:rPr>
                <w:rFonts w:ascii="Arial" w:hAnsi="Arial" w:cs="Arial"/>
                <w:sz w:val="22"/>
                <w:szCs w:val="22"/>
              </w:rPr>
            </w:pPr>
            <w:hyperlink r:id="rId13" w:anchor="11.e.2" w:history="1">
              <w:r w:rsidR="007A0DB5" w:rsidRPr="0053046B">
                <w:rPr>
                  <w:rStyle w:val="Hyperlink"/>
                  <w:rFonts w:ascii="Arial" w:hAnsi="Arial" w:cs="Arial"/>
                  <w:sz w:val="22"/>
                  <w:szCs w:val="22"/>
                </w:rPr>
                <w:t>0</w:t>
              </w:r>
              <w:r w:rsidR="00083D2C" w:rsidRPr="0053046B">
                <w:rPr>
                  <w:rStyle w:val="Hyperlink"/>
                  <w:rFonts w:ascii="Arial" w:hAnsi="Arial" w:cs="Arial"/>
                  <w:sz w:val="22"/>
                  <w:szCs w:val="22"/>
                </w:rPr>
                <w:t>0969</w:t>
              </w:r>
            </w:hyperlink>
          </w:p>
        </w:tc>
      </w:tr>
      <w:tr w:rsidR="008C4377" w:rsidRPr="0067772F" w14:paraId="1B44389B" w14:textId="77777777" w:rsidTr="00077E9A">
        <w:trPr>
          <w:cantSplit/>
        </w:trPr>
        <w:tc>
          <w:tcPr>
            <w:tcW w:w="953" w:type="pct"/>
            <w:tcBorders>
              <w:top w:val="single" w:sz="4" w:space="0" w:color="auto"/>
              <w:left w:val="single" w:sz="4" w:space="0" w:color="auto"/>
              <w:bottom w:val="single" w:sz="4" w:space="0" w:color="auto"/>
              <w:right w:val="nil"/>
            </w:tcBorders>
          </w:tcPr>
          <w:p w14:paraId="074B267C" w14:textId="26FFA919" w:rsidR="008C4377" w:rsidRPr="0067772F" w:rsidRDefault="00994E5F" w:rsidP="008C4377">
            <w:pPr>
              <w:spacing w:before="120" w:after="120"/>
              <w:jc w:val="center"/>
              <w:rPr>
                <w:rFonts w:ascii="Arial" w:hAnsi="Arial" w:cs="Arial"/>
                <w:bCs/>
                <w:sz w:val="22"/>
                <w:szCs w:val="22"/>
                <w:lang w:val="en-GB" w:eastAsia="en-GB"/>
              </w:rPr>
            </w:pPr>
            <w:hyperlink w:anchor="DRAFT_DECISION_12_COM_11_e_4" w:history="1">
              <w:r w:rsidR="008C4377" w:rsidRPr="002B5B63">
                <w:rPr>
                  <w:rStyle w:val="Hyperlink"/>
                  <w:rFonts w:ascii="Arial" w:hAnsi="Arial" w:cs="Arial"/>
                  <w:bCs/>
                  <w:sz w:val="22"/>
                  <w:szCs w:val="22"/>
                  <w:lang w:val="en-GB" w:eastAsia="en-GB"/>
                </w:rPr>
                <w:t>12.COM 11.e.4</w:t>
              </w:r>
            </w:hyperlink>
          </w:p>
        </w:tc>
        <w:tc>
          <w:tcPr>
            <w:tcW w:w="793" w:type="pct"/>
            <w:gridSpan w:val="2"/>
            <w:tcBorders>
              <w:top w:val="single" w:sz="4" w:space="0" w:color="auto"/>
              <w:left w:val="nil"/>
              <w:bottom w:val="single" w:sz="4" w:space="0" w:color="auto"/>
              <w:right w:val="nil"/>
            </w:tcBorders>
          </w:tcPr>
          <w:p w14:paraId="69102103" w14:textId="77777777" w:rsidR="008C4377" w:rsidRPr="0067772F" w:rsidRDefault="008C4377" w:rsidP="00077E9A">
            <w:pPr>
              <w:spacing w:before="120" w:after="120"/>
              <w:jc w:val="center"/>
              <w:rPr>
                <w:rFonts w:ascii="Arial" w:hAnsi="Arial" w:cs="Arial"/>
                <w:sz w:val="22"/>
                <w:szCs w:val="22"/>
                <w:lang w:val="en-GB"/>
              </w:rPr>
            </w:pPr>
            <w:r w:rsidRPr="0067772F">
              <w:rPr>
                <w:rFonts w:ascii="Arial" w:hAnsi="Arial" w:cs="Arial"/>
                <w:sz w:val="22"/>
                <w:szCs w:val="22"/>
                <w:lang w:val="en-GB"/>
              </w:rPr>
              <w:t>Uzbekistan</w:t>
            </w:r>
          </w:p>
        </w:tc>
        <w:tc>
          <w:tcPr>
            <w:tcW w:w="2620" w:type="pct"/>
            <w:tcBorders>
              <w:top w:val="single" w:sz="4" w:space="0" w:color="auto"/>
              <w:left w:val="nil"/>
              <w:bottom w:val="single" w:sz="4" w:space="0" w:color="auto"/>
              <w:right w:val="nil"/>
            </w:tcBorders>
          </w:tcPr>
          <w:p w14:paraId="2ACF523F" w14:textId="77777777" w:rsidR="008C4377" w:rsidRPr="0067772F" w:rsidRDefault="008C4377" w:rsidP="00BD615E">
            <w:pPr>
              <w:spacing w:before="120" w:after="120"/>
              <w:rPr>
                <w:rFonts w:ascii="Arial" w:hAnsi="Arial" w:cs="Arial"/>
                <w:sz w:val="22"/>
                <w:szCs w:val="22"/>
                <w:lang w:val="en-GB"/>
              </w:rPr>
            </w:pPr>
            <w:proofErr w:type="spellStart"/>
            <w:r w:rsidRPr="0067772F">
              <w:rPr>
                <w:rFonts w:ascii="Arial" w:hAnsi="Arial" w:cs="Arial"/>
                <w:sz w:val="22"/>
                <w:szCs w:val="22"/>
                <w:lang w:val="en-GB"/>
              </w:rPr>
              <w:t>Margilan</w:t>
            </w:r>
            <w:proofErr w:type="spellEnd"/>
            <w:r w:rsidRPr="0067772F">
              <w:rPr>
                <w:rFonts w:ascii="Arial" w:hAnsi="Arial" w:cs="Arial"/>
                <w:sz w:val="22"/>
                <w:szCs w:val="22"/>
                <w:lang w:val="en-GB"/>
              </w:rPr>
              <w:t xml:space="preserve"> Crafts Development Centre, safeguarding of the atlas an</w:t>
            </w:r>
            <w:r w:rsidR="00BD615E" w:rsidRPr="0067772F">
              <w:rPr>
                <w:rFonts w:ascii="Arial" w:hAnsi="Arial" w:cs="Arial"/>
                <w:sz w:val="22"/>
                <w:szCs w:val="22"/>
                <w:lang w:val="en-GB"/>
              </w:rPr>
              <w:t>d</w:t>
            </w:r>
            <w:r w:rsidRPr="0067772F">
              <w:rPr>
                <w:rFonts w:ascii="Arial" w:hAnsi="Arial" w:cs="Arial"/>
                <w:sz w:val="22"/>
                <w:szCs w:val="22"/>
                <w:lang w:val="en-GB"/>
              </w:rPr>
              <w:t xml:space="preserve"> </w:t>
            </w:r>
            <w:proofErr w:type="spellStart"/>
            <w:r w:rsidRPr="0067772F">
              <w:rPr>
                <w:rFonts w:ascii="Arial" w:hAnsi="Arial" w:cs="Arial"/>
                <w:sz w:val="22"/>
                <w:szCs w:val="22"/>
                <w:lang w:val="en-GB"/>
              </w:rPr>
              <w:t>adras</w:t>
            </w:r>
            <w:proofErr w:type="spellEnd"/>
            <w:r w:rsidRPr="0067772F">
              <w:rPr>
                <w:rFonts w:ascii="Arial" w:hAnsi="Arial" w:cs="Arial"/>
                <w:sz w:val="22"/>
                <w:szCs w:val="22"/>
                <w:lang w:val="en-GB"/>
              </w:rPr>
              <w:t xml:space="preserve"> making traditional technologies</w:t>
            </w:r>
          </w:p>
        </w:tc>
        <w:tc>
          <w:tcPr>
            <w:tcW w:w="634" w:type="pct"/>
            <w:tcBorders>
              <w:top w:val="single" w:sz="4" w:space="0" w:color="auto"/>
              <w:left w:val="nil"/>
              <w:bottom w:val="single" w:sz="4" w:space="0" w:color="auto"/>
              <w:right w:val="single" w:sz="4" w:space="0" w:color="auto"/>
            </w:tcBorders>
          </w:tcPr>
          <w:p w14:paraId="6E9312C6" w14:textId="4EDCEB5C" w:rsidR="008C4377" w:rsidRPr="0067772F" w:rsidRDefault="00994E5F" w:rsidP="00077E9A">
            <w:pPr>
              <w:spacing w:before="120" w:after="120"/>
              <w:jc w:val="center"/>
              <w:rPr>
                <w:rFonts w:ascii="Arial" w:hAnsi="Arial" w:cs="Arial"/>
                <w:sz w:val="22"/>
                <w:szCs w:val="22"/>
                <w:lang w:val="en-GB"/>
              </w:rPr>
            </w:pPr>
            <w:hyperlink r:id="rId14" w:anchor="11.e.4" w:history="1">
              <w:r w:rsidR="007A0DB5" w:rsidRPr="0053046B">
                <w:rPr>
                  <w:rStyle w:val="Hyperlink"/>
                  <w:rFonts w:ascii="Arial" w:hAnsi="Arial" w:cs="Arial"/>
                  <w:sz w:val="22"/>
                  <w:szCs w:val="22"/>
                </w:rPr>
                <w:t>0</w:t>
              </w:r>
              <w:r w:rsidR="008C4377" w:rsidRPr="0053046B">
                <w:rPr>
                  <w:rStyle w:val="Hyperlink"/>
                  <w:rFonts w:ascii="Arial" w:hAnsi="Arial" w:cs="Arial"/>
                  <w:sz w:val="22"/>
                  <w:szCs w:val="22"/>
                  <w:lang w:val="en-GB"/>
                </w:rPr>
                <w:t>1254</w:t>
              </w:r>
            </w:hyperlink>
          </w:p>
        </w:tc>
      </w:tr>
    </w:tbl>
    <w:p w14:paraId="233C63C2" w14:textId="0534A194" w:rsidR="007708AF" w:rsidRPr="0067772F" w:rsidRDefault="00083D2C" w:rsidP="00C42DFD">
      <w:pPr>
        <w:pStyle w:val="COMPara"/>
        <w:spacing w:before="240"/>
        <w:jc w:val="both"/>
      </w:pPr>
      <w:bookmarkStart w:id="3" w:name="Recommends_not_to_select"/>
      <w:bookmarkEnd w:id="3"/>
      <w:r w:rsidRPr="0067772F">
        <w:t xml:space="preserve">The Evaluation Body recommends </w:t>
      </w:r>
      <w:r w:rsidR="00B204AA" w:rsidRPr="0067772F">
        <w:t>t</w:t>
      </w:r>
      <w:r w:rsidR="00B204AA">
        <w:t>hat</w:t>
      </w:r>
      <w:r w:rsidR="00B204AA" w:rsidRPr="0067772F">
        <w:t xml:space="preserve"> </w:t>
      </w:r>
      <w:r w:rsidRPr="0067772F">
        <w:t>the Committee not select the following programmes at this time:</w:t>
      </w:r>
    </w:p>
    <w:tbl>
      <w:tblPr>
        <w:tblW w:w="4579" w:type="pct"/>
        <w:tblInd w:w="624"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57" w:type="dxa"/>
          <w:right w:w="57" w:type="dxa"/>
        </w:tblCellMar>
        <w:tblLook w:val="04A0" w:firstRow="1" w:lastRow="0" w:firstColumn="1" w:lastColumn="0" w:noHBand="0" w:noVBand="1"/>
      </w:tblPr>
      <w:tblGrid>
        <w:gridCol w:w="1681"/>
        <w:gridCol w:w="1377"/>
        <w:gridCol w:w="21"/>
        <w:gridCol w:w="4620"/>
        <w:gridCol w:w="1118"/>
      </w:tblGrid>
      <w:tr w:rsidR="008C4377" w:rsidRPr="0067772F" w14:paraId="56CEB6A9" w14:textId="77777777" w:rsidTr="007708AF">
        <w:trPr>
          <w:cantSplit/>
          <w:tblHeader/>
        </w:trPr>
        <w:tc>
          <w:tcPr>
            <w:tcW w:w="953" w:type="pct"/>
            <w:tcBorders>
              <w:top w:val="single" w:sz="4" w:space="0" w:color="auto"/>
              <w:left w:val="single" w:sz="4" w:space="0" w:color="auto"/>
              <w:bottom w:val="single" w:sz="4" w:space="0" w:color="auto"/>
              <w:right w:val="nil"/>
            </w:tcBorders>
            <w:shd w:val="clear" w:color="auto" w:fill="BFBFBF"/>
            <w:vAlign w:val="center"/>
          </w:tcPr>
          <w:p w14:paraId="5ECBCDF6" w14:textId="77777777" w:rsidR="007708AF" w:rsidRPr="0067772F" w:rsidRDefault="007708AF" w:rsidP="007708AF">
            <w:pPr>
              <w:spacing w:before="120" w:after="120"/>
              <w:jc w:val="center"/>
              <w:rPr>
                <w:rFonts w:ascii="Arial" w:hAnsi="Arial" w:cs="Arial"/>
                <w:sz w:val="22"/>
                <w:szCs w:val="22"/>
                <w:lang w:val="en-GB"/>
              </w:rPr>
            </w:pPr>
            <w:r w:rsidRPr="0067772F">
              <w:rPr>
                <w:rFonts w:ascii="Arial" w:hAnsi="Arial" w:cs="Arial"/>
                <w:b/>
                <w:bCs/>
                <w:sz w:val="22"/>
                <w:szCs w:val="22"/>
                <w:lang w:val="en-GB" w:eastAsia="en-GB"/>
              </w:rPr>
              <w:t>Draft Decision</w:t>
            </w:r>
          </w:p>
        </w:tc>
        <w:tc>
          <w:tcPr>
            <w:tcW w:w="793" w:type="pct"/>
            <w:gridSpan w:val="2"/>
            <w:tcBorders>
              <w:top w:val="single" w:sz="4" w:space="0" w:color="auto"/>
              <w:left w:val="nil"/>
              <w:bottom w:val="single" w:sz="4" w:space="0" w:color="auto"/>
              <w:right w:val="nil"/>
            </w:tcBorders>
            <w:shd w:val="clear" w:color="auto" w:fill="BFBFBF"/>
            <w:vAlign w:val="center"/>
          </w:tcPr>
          <w:p w14:paraId="4BA930F5" w14:textId="77777777" w:rsidR="007708AF" w:rsidRPr="0067772F" w:rsidRDefault="007708AF" w:rsidP="007708AF">
            <w:pPr>
              <w:spacing w:before="120" w:after="120"/>
              <w:jc w:val="center"/>
              <w:rPr>
                <w:rFonts w:ascii="Arial" w:hAnsi="Arial" w:cs="Arial"/>
                <w:sz w:val="22"/>
                <w:szCs w:val="22"/>
                <w:lang w:val="en-GB"/>
              </w:rPr>
            </w:pPr>
            <w:r w:rsidRPr="0067772F">
              <w:rPr>
                <w:rFonts w:ascii="Arial" w:hAnsi="Arial" w:cs="Arial"/>
                <w:b/>
                <w:bCs/>
                <w:sz w:val="22"/>
                <w:szCs w:val="22"/>
                <w:lang w:val="en-GB" w:eastAsia="en-GB"/>
              </w:rPr>
              <w:t>Submitting State</w:t>
            </w:r>
          </w:p>
        </w:tc>
        <w:tc>
          <w:tcPr>
            <w:tcW w:w="2620" w:type="pct"/>
            <w:tcBorders>
              <w:top w:val="single" w:sz="4" w:space="0" w:color="auto"/>
              <w:left w:val="nil"/>
              <w:bottom w:val="single" w:sz="4" w:space="0" w:color="auto"/>
              <w:right w:val="nil"/>
            </w:tcBorders>
            <w:shd w:val="clear" w:color="auto" w:fill="BFBFBF"/>
            <w:vAlign w:val="center"/>
          </w:tcPr>
          <w:p w14:paraId="34C7F1A2" w14:textId="77777777" w:rsidR="007708AF" w:rsidRPr="0067772F" w:rsidRDefault="007708AF" w:rsidP="007708AF">
            <w:pPr>
              <w:spacing w:before="120" w:after="120"/>
              <w:jc w:val="center"/>
              <w:rPr>
                <w:rFonts w:ascii="Arial" w:hAnsi="Arial" w:cs="Arial"/>
                <w:sz w:val="22"/>
                <w:szCs w:val="22"/>
                <w:lang w:val="en-GB"/>
              </w:rPr>
            </w:pPr>
            <w:r w:rsidRPr="0067772F">
              <w:rPr>
                <w:rFonts w:ascii="Arial" w:hAnsi="Arial" w:cs="Arial"/>
                <w:b/>
                <w:bCs/>
                <w:sz w:val="22"/>
                <w:szCs w:val="22"/>
                <w:lang w:val="en-GB" w:eastAsia="en-GB"/>
              </w:rPr>
              <w:t>Proposal</w:t>
            </w:r>
          </w:p>
        </w:tc>
        <w:tc>
          <w:tcPr>
            <w:tcW w:w="634" w:type="pct"/>
            <w:tcBorders>
              <w:top w:val="single" w:sz="4" w:space="0" w:color="auto"/>
              <w:left w:val="nil"/>
              <w:bottom w:val="single" w:sz="4" w:space="0" w:color="auto"/>
              <w:right w:val="single" w:sz="4" w:space="0" w:color="auto"/>
            </w:tcBorders>
            <w:shd w:val="clear" w:color="auto" w:fill="BFBFBF"/>
            <w:vAlign w:val="center"/>
          </w:tcPr>
          <w:p w14:paraId="758DAA64" w14:textId="77777777" w:rsidR="007708AF" w:rsidRPr="0067772F" w:rsidRDefault="007708AF" w:rsidP="007708AF">
            <w:pPr>
              <w:spacing w:before="120" w:after="120"/>
              <w:jc w:val="center"/>
              <w:rPr>
                <w:rFonts w:ascii="Arial" w:hAnsi="Arial" w:cs="Arial"/>
                <w:sz w:val="22"/>
                <w:szCs w:val="22"/>
                <w:lang w:val="en-GB"/>
              </w:rPr>
            </w:pPr>
            <w:r w:rsidRPr="0067772F">
              <w:rPr>
                <w:rFonts w:ascii="Arial" w:hAnsi="Arial" w:cs="Arial"/>
                <w:b/>
                <w:bCs/>
                <w:sz w:val="22"/>
                <w:szCs w:val="22"/>
                <w:lang w:val="en-GB" w:eastAsia="en-GB"/>
              </w:rPr>
              <w:t>File No.</w:t>
            </w:r>
          </w:p>
        </w:tc>
      </w:tr>
      <w:tr w:rsidR="008C4377" w:rsidRPr="0067772F" w14:paraId="726E7678" w14:textId="77777777" w:rsidTr="007708AF">
        <w:trPr>
          <w:cantSplit/>
        </w:trPr>
        <w:tc>
          <w:tcPr>
            <w:tcW w:w="953" w:type="pct"/>
            <w:tcBorders>
              <w:top w:val="single" w:sz="4" w:space="0" w:color="auto"/>
              <w:left w:val="single" w:sz="4" w:space="0" w:color="auto"/>
              <w:bottom w:val="single" w:sz="4" w:space="0" w:color="auto"/>
              <w:right w:val="nil"/>
            </w:tcBorders>
          </w:tcPr>
          <w:p w14:paraId="534266CE" w14:textId="3C183E83" w:rsidR="007708AF" w:rsidRPr="0067772F" w:rsidRDefault="00994E5F" w:rsidP="007708AF">
            <w:pPr>
              <w:spacing w:before="120" w:after="120"/>
              <w:jc w:val="center"/>
              <w:rPr>
                <w:rFonts w:ascii="Arial" w:hAnsi="Arial" w:cs="Arial"/>
                <w:bCs/>
                <w:sz w:val="22"/>
                <w:szCs w:val="22"/>
                <w:lang w:val="en-GB" w:eastAsia="en-GB"/>
              </w:rPr>
            </w:pPr>
            <w:hyperlink w:anchor="DRAFT_DECISION_12_COM_11_e_1" w:history="1">
              <w:r w:rsidR="0071640C" w:rsidRPr="002B5B63">
                <w:rPr>
                  <w:rStyle w:val="Hyperlink"/>
                  <w:rFonts w:ascii="Arial" w:hAnsi="Arial" w:cs="Arial"/>
                  <w:bCs/>
                  <w:sz w:val="22"/>
                  <w:szCs w:val="22"/>
                  <w:lang w:val="en-GB" w:eastAsia="en-GB"/>
                </w:rPr>
                <w:t>12.COM 11.e.1</w:t>
              </w:r>
            </w:hyperlink>
          </w:p>
        </w:tc>
        <w:tc>
          <w:tcPr>
            <w:tcW w:w="793" w:type="pct"/>
            <w:gridSpan w:val="2"/>
            <w:tcBorders>
              <w:top w:val="single" w:sz="4" w:space="0" w:color="auto"/>
              <w:left w:val="nil"/>
              <w:bottom w:val="single" w:sz="4" w:space="0" w:color="auto"/>
              <w:right w:val="nil"/>
            </w:tcBorders>
          </w:tcPr>
          <w:p w14:paraId="356EDEE1" w14:textId="77777777" w:rsidR="007708AF" w:rsidRPr="0067772F" w:rsidRDefault="007708AF" w:rsidP="007708AF">
            <w:pPr>
              <w:spacing w:before="120" w:after="120"/>
              <w:jc w:val="center"/>
              <w:rPr>
                <w:rFonts w:ascii="Arial" w:hAnsi="Arial" w:cs="Arial"/>
                <w:sz w:val="22"/>
                <w:szCs w:val="22"/>
                <w:lang w:val="en-GB"/>
              </w:rPr>
            </w:pPr>
            <w:r w:rsidRPr="0067772F">
              <w:rPr>
                <w:rFonts w:ascii="Arial" w:hAnsi="Arial" w:cs="Arial"/>
                <w:sz w:val="22"/>
                <w:szCs w:val="22"/>
                <w:lang w:val="en-GB"/>
              </w:rPr>
              <w:t>Belgium</w:t>
            </w:r>
          </w:p>
        </w:tc>
        <w:tc>
          <w:tcPr>
            <w:tcW w:w="2620" w:type="pct"/>
            <w:tcBorders>
              <w:top w:val="single" w:sz="4" w:space="0" w:color="auto"/>
              <w:left w:val="nil"/>
              <w:bottom w:val="single" w:sz="4" w:space="0" w:color="auto"/>
              <w:right w:val="nil"/>
            </w:tcBorders>
          </w:tcPr>
          <w:p w14:paraId="796922BE" w14:textId="77777777" w:rsidR="007708AF" w:rsidRPr="0067772F" w:rsidRDefault="007708AF" w:rsidP="00BD615E">
            <w:pPr>
              <w:spacing w:before="120" w:after="120"/>
              <w:rPr>
                <w:rFonts w:ascii="Arial" w:hAnsi="Arial" w:cs="Arial"/>
                <w:sz w:val="22"/>
                <w:szCs w:val="22"/>
                <w:lang w:val="en-GB"/>
              </w:rPr>
            </w:pPr>
            <w:r w:rsidRPr="0067772F">
              <w:rPr>
                <w:rFonts w:ascii="Arial" w:hAnsi="Arial" w:cs="Arial"/>
                <w:sz w:val="22"/>
                <w:szCs w:val="22"/>
                <w:lang w:val="en-GB"/>
              </w:rPr>
              <w:t xml:space="preserve">Remembrance education and safeguarding the Last Post Ceremony at the </w:t>
            </w:r>
            <w:proofErr w:type="spellStart"/>
            <w:r w:rsidRPr="0067772F">
              <w:rPr>
                <w:rFonts w:ascii="Arial" w:hAnsi="Arial" w:cs="Arial"/>
                <w:sz w:val="22"/>
                <w:szCs w:val="22"/>
                <w:lang w:val="en-GB"/>
              </w:rPr>
              <w:t>Menin</w:t>
            </w:r>
            <w:proofErr w:type="spellEnd"/>
            <w:r w:rsidRPr="0067772F">
              <w:rPr>
                <w:rFonts w:ascii="Arial" w:hAnsi="Arial" w:cs="Arial"/>
                <w:sz w:val="22"/>
                <w:szCs w:val="22"/>
                <w:lang w:val="en-GB"/>
              </w:rPr>
              <w:t xml:space="preserve"> Gate Memorial in Ypres, City of Peace</w:t>
            </w:r>
          </w:p>
        </w:tc>
        <w:tc>
          <w:tcPr>
            <w:tcW w:w="634" w:type="pct"/>
            <w:tcBorders>
              <w:top w:val="single" w:sz="4" w:space="0" w:color="auto"/>
              <w:left w:val="nil"/>
              <w:bottom w:val="single" w:sz="4" w:space="0" w:color="auto"/>
              <w:right w:val="single" w:sz="4" w:space="0" w:color="auto"/>
            </w:tcBorders>
          </w:tcPr>
          <w:p w14:paraId="5166DE64" w14:textId="59CAFDC0" w:rsidR="007708AF" w:rsidRPr="0067772F" w:rsidRDefault="00994E5F" w:rsidP="007708AF">
            <w:pPr>
              <w:spacing w:before="120" w:after="120"/>
              <w:jc w:val="center"/>
              <w:rPr>
                <w:rFonts w:ascii="Arial" w:hAnsi="Arial" w:cs="Arial"/>
                <w:sz w:val="22"/>
                <w:szCs w:val="22"/>
                <w:lang w:val="en-GB"/>
              </w:rPr>
            </w:pPr>
            <w:hyperlink r:id="rId15" w:anchor="11.e.1" w:history="1">
              <w:r w:rsidR="007A0DB5" w:rsidRPr="0053046B">
                <w:rPr>
                  <w:rStyle w:val="Hyperlink"/>
                  <w:rFonts w:ascii="Arial" w:hAnsi="Arial" w:cs="Arial"/>
                  <w:sz w:val="22"/>
                  <w:szCs w:val="22"/>
                </w:rPr>
                <w:t>0</w:t>
              </w:r>
              <w:r w:rsidR="007708AF" w:rsidRPr="0053046B">
                <w:rPr>
                  <w:rStyle w:val="Hyperlink"/>
                  <w:rFonts w:ascii="Arial" w:hAnsi="Arial" w:cs="Arial"/>
                  <w:sz w:val="22"/>
                  <w:szCs w:val="22"/>
                  <w:lang w:val="en-GB"/>
                </w:rPr>
                <w:t>0875</w:t>
              </w:r>
            </w:hyperlink>
          </w:p>
        </w:tc>
      </w:tr>
      <w:tr w:rsidR="008C4377" w:rsidRPr="0067772F" w14:paraId="49510012" w14:textId="77777777" w:rsidTr="008C4377">
        <w:trPr>
          <w:cantSplit/>
        </w:trPr>
        <w:tc>
          <w:tcPr>
            <w:tcW w:w="953" w:type="pct"/>
            <w:tcBorders>
              <w:top w:val="single" w:sz="4" w:space="0" w:color="auto"/>
              <w:left w:val="single" w:sz="4" w:space="0" w:color="auto"/>
              <w:bottom w:val="single" w:sz="4" w:space="0" w:color="auto"/>
              <w:right w:val="nil"/>
            </w:tcBorders>
          </w:tcPr>
          <w:p w14:paraId="12C3D920" w14:textId="1FF3BF9C" w:rsidR="008C4377" w:rsidRPr="0067772F" w:rsidRDefault="00994E5F" w:rsidP="008C4377">
            <w:pPr>
              <w:spacing w:before="120" w:after="120"/>
              <w:jc w:val="center"/>
              <w:rPr>
                <w:rStyle w:val="Hyperlink"/>
                <w:rFonts w:ascii="Arial" w:hAnsi="Arial" w:cs="Arial"/>
                <w:bCs/>
                <w:color w:val="auto"/>
                <w:sz w:val="22"/>
                <w:szCs w:val="22"/>
                <w:u w:val="none"/>
                <w:lang w:eastAsia="en-GB"/>
              </w:rPr>
            </w:pPr>
            <w:hyperlink w:anchor="DRAFT_DECISION_12_COM_11_e_3" w:history="1">
              <w:r w:rsidR="0071640C" w:rsidRPr="002B5B63">
                <w:rPr>
                  <w:rStyle w:val="Hyperlink"/>
                  <w:rFonts w:ascii="Arial" w:hAnsi="Arial" w:cs="Arial"/>
                  <w:bCs/>
                  <w:sz w:val="22"/>
                  <w:szCs w:val="22"/>
                  <w:lang w:eastAsia="en-GB"/>
                </w:rPr>
                <w:t>12.COM 11.e.3</w:t>
              </w:r>
            </w:hyperlink>
          </w:p>
        </w:tc>
        <w:tc>
          <w:tcPr>
            <w:tcW w:w="781" w:type="pct"/>
            <w:tcBorders>
              <w:top w:val="single" w:sz="4" w:space="0" w:color="auto"/>
              <w:left w:val="nil"/>
              <w:bottom w:val="single" w:sz="4" w:space="0" w:color="auto"/>
              <w:right w:val="nil"/>
            </w:tcBorders>
          </w:tcPr>
          <w:p w14:paraId="7E6D5A17" w14:textId="77777777" w:rsidR="008C4377" w:rsidRPr="0067772F" w:rsidDel="00183706" w:rsidRDefault="008C4377" w:rsidP="00077E9A">
            <w:pPr>
              <w:spacing w:before="120" w:after="120"/>
              <w:jc w:val="center"/>
              <w:rPr>
                <w:rFonts w:ascii="Arial" w:hAnsi="Arial" w:cs="Arial"/>
                <w:sz w:val="22"/>
                <w:szCs w:val="22"/>
              </w:rPr>
            </w:pPr>
            <w:proofErr w:type="spellStart"/>
            <w:r w:rsidRPr="0067772F">
              <w:rPr>
                <w:rFonts w:ascii="Arial" w:hAnsi="Arial" w:cs="Arial"/>
                <w:sz w:val="22"/>
                <w:szCs w:val="22"/>
              </w:rPr>
              <w:t>Egypt</w:t>
            </w:r>
            <w:proofErr w:type="spellEnd"/>
          </w:p>
        </w:tc>
        <w:tc>
          <w:tcPr>
            <w:tcW w:w="2632" w:type="pct"/>
            <w:gridSpan w:val="2"/>
            <w:tcBorders>
              <w:top w:val="single" w:sz="4" w:space="0" w:color="auto"/>
              <w:left w:val="nil"/>
              <w:bottom w:val="single" w:sz="4" w:space="0" w:color="auto"/>
              <w:right w:val="nil"/>
            </w:tcBorders>
          </w:tcPr>
          <w:p w14:paraId="442630C5" w14:textId="77777777" w:rsidR="008C4377" w:rsidRPr="0067772F" w:rsidRDefault="008C4377" w:rsidP="00BD615E">
            <w:pPr>
              <w:spacing w:before="120" w:after="120"/>
              <w:rPr>
                <w:rFonts w:ascii="Arial" w:hAnsi="Arial" w:cs="Arial"/>
                <w:sz w:val="22"/>
                <w:szCs w:val="22"/>
                <w:lang w:val="en-US"/>
              </w:rPr>
            </w:pPr>
            <w:r w:rsidRPr="0067772F">
              <w:rPr>
                <w:rFonts w:ascii="Arial" w:hAnsi="Arial" w:cs="Arial"/>
                <w:sz w:val="22"/>
                <w:szCs w:val="22"/>
                <w:lang w:val="en-US"/>
              </w:rPr>
              <w:t>Documenting, preserving, training and promoting the Egyptian intangible heritage of the art and crafts of Tally in Upper Egypt</w:t>
            </w:r>
          </w:p>
        </w:tc>
        <w:tc>
          <w:tcPr>
            <w:tcW w:w="634" w:type="pct"/>
            <w:tcBorders>
              <w:top w:val="single" w:sz="4" w:space="0" w:color="auto"/>
              <w:left w:val="nil"/>
              <w:bottom w:val="single" w:sz="4" w:space="0" w:color="auto"/>
              <w:right w:val="single" w:sz="4" w:space="0" w:color="auto"/>
            </w:tcBorders>
          </w:tcPr>
          <w:p w14:paraId="0829DEB2" w14:textId="7FBBDBDB" w:rsidR="008C4377" w:rsidRPr="0067772F" w:rsidDel="00183706" w:rsidRDefault="00994E5F" w:rsidP="00077E9A">
            <w:pPr>
              <w:spacing w:before="120" w:after="120"/>
              <w:jc w:val="center"/>
              <w:rPr>
                <w:rFonts w:ascii="Arial" w:hAnsi="Arial" w:cs="Arial"/>
                <w:sz w:val="22"/>
                <w:szCs w:val="22"/>
              </w:rPr>
            </w:pPr>
            <w:hyperlink r:id="rId16" w:anchor="11.e.3" w:history="1">
              <w:r w:rsidR="007A0DB5" w:rsidRPr="0053046B">
                <w:rPr>
                  <w:rStyle w:val="Hyperlink"/>
                  <w:rFonts w:ascii="Arial" w:hAnsi="Arial" w:cs="Arial"/>
                  <w:sz w:val="22"/>
                  <w:szCs w:val="22"/>
                </w:rPr>
                <w:t>0</w:t>
              </w:r>
              <w:r w:rsidR="008C4377" w:rsidRPr="0053046B">
                <w:rPr>
                  <w:rStyle w:val="Hyperlink"/>
                  <w:rFonts w:ascii="Arial" w:hAnsi="Arial" w:cs="Arial"/>
                  <w:sz w:val="22"/>
                  <w:szCs w:val="22"/>
                </w:rPr>
                <w:t>0963</w:t>
              </w:r>
            </w:hyperlink>
          </w:p>
        </w:tc>
      </w:tr>
    </w:tbl>
    <w:p w14:paraId="1C8F7200" w14:textId="77777777" w:rsidR="0057439C" w:rsidRPr="0067772F" w:rsidRDefault="007708AF" w:rsidP="00C42DFD">
      <w:pPr>
        <w:pStyle w:val="COMPara"/>
        <w:numPr>
          <w:ilvl w:val="0"/>
          <w:numId w:val="0"/>
        </w:numPr>
        <w:spacing w:before="240"/>
        <w:ind w:left="567" w:hanging="567"/>
        <w:rPr>
          <w:b/>
        </w:rPr>
      </w:pPr>
      <w:r w:rsidRPr="0067772F">
        <w:rPr>
          <w:b/>
        </w:rPr>
        <w:t>B.</w:t>
      </w:r>
      <w:r w:rsidRPr="0067772F">
        <w:rPr>
          <w:b/>
        </w:rPr>
        <w:tab/>
        <w:t>Draft decisions</w:t>
      </w:r>
    </w:p>
    <w:p w14:paraId="461519E1" w14:textId="77777777" w:rsidR="007708AF" w:rsidRPr="0067772F" w:rsidRDefault="007708AF" w:rsidP="007708AF">
      <w:pPr>
        <w:pStyle w:val="COMPara"/>
      </w:pPr>
      <w:r w:rsidRPr="0067772F">
        <w:t>The Committee may wish to adopt the following decisions:</w:t>
      </w:r>
    </w:p>
    <w:p w14:paraId="328EA933" w14:textId="4F276F40" w:rsidR="00325E34" w:rsidRPr="0067772F" w:rsidRDefault="00325E34" w:rsidP="00987E04">
      <w:pPr>
        <w:pStyle w:val="NormalWeb"/>
        <w:keepNext/>
        <w:tabs>
          <w:tab w:val="left" w:pos="567"/>
          <w:tab w:val="left" w:pos="1134"/>
          <w:tab w:val="left" w:pos="1701"/>
          <w:tab w:val="left" w:pos="2268"/>
        </w:tabs>
        <w:spacing w:before="360" w:beforeAutospacing="0" w:after="120" w:afterAutospacing="0"/>
        <w:ind w:left="567"/>
        <w:jc w:val="both"/>
        <w:rPr>
          <w:rFonts w:ascii="Arial" w:hAnsi="Arial" w:cs="Arial"/>
          <w:sz w:val="22"/>
          <w:szCs w:val="22"/>
          <w:lang w:val="en-GB"/>
        </w:rPr>
      </w:pPr>
      <w:bookmarkStart w:id="4" w:name="DRAFT_DECISION_12_COM_11_e_1"/>
      <w:bookmarkEnd w:id="4"/>
      <w:r w:rsidRPr="0067772F">
        <w:rPr>
          <w:rFonts w:ascii="Arial" w:hAnsi="Arial" w:cs="Arial"/>
          <w:b/>
          <w:sz w:val="22"/>
          <w:szCs w:val="22"/>
          <w:lang w:val="en-GB"/>
        </w:rPr>
        <w:t xml:space="preserve">DRAFT DECISION 12.COM </w:t>
      </w:r>
      <w:r w:rsidR="008328B4" w:rsidRPr="0067772F">
        <w:rPr>
          <w:rFonts w:ascii="Arial" w:hAnsi="Arial" w:cs="Arial"/>
          <w:b/>
          <w:noProof/>
          <w:sz w:val="22"/>
          <w:szCs w:val="22"/>
          <w:lang w:val="en-US"/>
        </w:rPr>
        <w:t>11.e</w:t>
      </w:r>
      <w:r w:rsidRPr="0067772F">
        <w:rPr>
          <w:rFonts w:ascii="Arial" w:hAnsi="Arial" w:cs="Arial"/>
          <w:b/>
          <w:noProof/>
          <w:sz w:val="22"/>
          <w:szCs w:val="22"/>
          <w:lang w:val="en-US"/>
        </w:rPr>
        <w:t>.1</w:t>
      </w:r>
      <w:r w:rsidR="00C071C0" w:rsidRPr="0067772F">
        <w:rPr>
          <w:rFonts w:ascii="Arial" w:hAnsi="Arial" w:cs="Arial"/>
          <w:b/>
          <w:noProof/>
          <w:sz w:val="22"/>
          <w:szCs w:val="22"/>
          <w:lang w:val="en-US"/>
        </w:rPr>
        <w:tab/>
      </w:r>
      <w:r w:rsidR="00DC3586" w:rsidRPr="002B5B63">
        <w:rPr>
          <w:rFonts w:ascii="Arial" w:hAnsi="Arial" w:cs="Arial"/>
          <w:noProof/>
          <w:sz w:val="22"/>
          <w:szCs w:val="22"/>
          <w:lang w:val="en-US" w:eastAsia="ko-KR"/>
        </w:rPr>
        <w:drawing>
          <wp:inline distT="0" distB="0" distL="0" distR="0" wp14:anchorId="5B451371" wp14:editId="4E922901">
            <wp:extent cx="104775" cy="104775"/>
            <wp:effectExtent l="0" t="0" r="9525" b="9525"/>
            <wp:docPr id="4" name="Picture 4">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25FDE8EA" w14:textId="36E3C4D7" w:rsidR="00325E34" w:rsidRPr="0067772F" w:rsidRDefault="00325E34" w:rsidP="00987E04">
      <w:pPr>
        <w:pStyle w:val="NoSpacing"/>
        <w:keepNext/>
        <w:tabs>
          <w:tab w:val="left" w:pos="567"/>
          <w:tab w:val="left" w:pos="1134"/>
          <w:tab w:val="left" w:pos="1701"/>
          <w:tab w:val="left" w:pos="2268"/>
        </w:tabs>
        <w:spacing w:before="120" w:after="120"/>
        <w:ind w:left="567"/>
        <w:jc w:val="both"/>
        <w:rPr>
          <w:rFonts w:ascii="Arial" w:hAnsi="Arial" w:cs="Arial"/>
          <w:lang w:val="en-GB"/>
        </w:rPr>
      </w:pPr>
      <w:r w:rsidRPr="0067772F">
        <w:rPr>
          <w:rFonts w:ascii="Arial" w:hAnsi="Arial" w:cs="Arial"/>
          <w:lang w:val="en-GB"/>
        </w:rPr>
        <w:t>The Committee</w:t>
      </w:r>
    </w:p>
    <w:p w14:paraId="18DD1541" w14:textId="77777777" w:rsidR="00325E34" w:rsidRPr="0067772F" w:rsidRDefault="00325E34" w:rsidP="00325E34">
      <w:pPr>
        <w:numPr>
          <w:ilvl w:val="0"/>
          <w:numId w:val="16"/>
        </w:numPr>
        <w:tabs>
          <w:tab w:val="left" w:pos="1134"/>
          <w:tab w:val="left" w:pos="1701"/>
          <w:tab w:val="left" w:pos="2268"/>
        </w:tabs>
        <w:spacing w:before="120" w:after="120"/>
        <w:ind w:left="1134" w:hanging="567"/>
        <w:jc w:val="both"/>
        <w:rPr>
          <w:rFonts w:ascii="Arial" w:hAnsi="Arial" w:cs="Arial"/>
          <w:sz w:val="22"/>
          <w:szCs w:val="22"/>
          <w:lang w:val="en-US"/>
        </w:rPr>
      </w:pPr>
      <w:r w:rsidRPr="0067772F">
        <w:rPr>
          <w:rFonts w:ascii="Arial" w:hAnsi="Arial" w:cs="Arial"/>
          <w:noProof/>
          <w:sz w:val="22"/>
          <w:szCs w:val="22"/>
          <w:u w:val="single"/>
          <w:lang w:val="en-US"/>
        </w:rPr>
        <w:t>Takes note</w:t>
      </w:r>
      <w:r w:rsidRPr="0067772F">
        <w:rPr>
          <w:rFonts w:ascii="Arial" w:hAnsi="Arial" w:cs="Arial"/>
          <w:noProof/>
          <w:sz w:val="22"/>
          <w:szCs w:val="22"/>
          <w:lang w:val="en-US"/>
        </w:rPr>
        <w:t xml:space="preserve"> that Belgium has proposed </w:t>
      </w:r>
      <w:r w:rsidRPr="0067772F">
        <w:rPr>
          <w:rFonts w:ascii="Arial" w:hAnsi="Arial" w:cs="Arial"/>
          <w:b/>
          <w:noProof/>
          <w:sz w:val="22"/>
          <w:szCs w:val="22"/>
          <w:lang w:val="en-US"/>
        </w:rPr>
        <w:t>Remembrance education and safeguarding the Last Post Ceremony at the Menin Gate Memorial in Ypres, City of Peace</w:t>
      </w:r>
      <w:r w:rsidRPr="0067772F">
        <w:rPr>
          <w:rFonts w:ascii="Arial" w:hAnsi="Arial" w:cs="Arial"/>
          <w:noProof/>
          <w:sz w:val="22"/>
          <w:szCs w:val="22"/>
          <w:lang w:val="en-US"/>
        </w:rPr>
        <w:t xml:space="preserve"> (No. 00875) for selection and promotion by the Committee as a programme, project or activity best reflecting the principles and objectives of the Convention:</w:t>
      </w:r>
    </w:p>
    <w:p w14:paraId="74851396" w14:textId="36619AD0" w:rsidR="00325E34" w:rsidRPr="0067772F" w:rsidRDefault="00325E34" w:rsidP="00325E34">
      <w:pPr>
        <w:tabs>
          <w:tab w:val="left" w:pos="1134"/>
          <w:tab w:val="left" w:pos="1701"/>
          <w:tab w:val="left" w:pos="2268"/>
        </w:tabs>
        <w:spacing w:before="120" w:after="120"/>
        <w:ind w:left="1134"/>
        <w:jc w:val="both"/>
        <w:rPr>
          <w:rFonts w:ascii="Arial" w:hAnsi="Arial" w:cs="Arial"/>
          <w:sz w:val="22"/>
          <w:szCs w:val="22"/>
          <w:lang w:val="en-US"/>
        </w:rPr>
      </w:pPr>
      <w:r w:rsidRPr="0067772F">
        <w:rPr>
          <w:rFonts w:ascii="Arial" w:hAnsi="Arial" w:cs="Arial"/>
          <w:noProof/>
          <w:sz w:val="22"/>
          <w:szCs w:val="22"/>
          <w:lang w:val="en-US"/>
        </w:rPr>
        <w:t xml:space="preserve">The Last Post Ceremony is a practice that has taken place on a daily basis since 1928, to remember the historical events of </w:t>
      </w:r>
      <w:r w:rsidR="007A0DB5" w:rsidRPr="0067772F">
        <w:rPr>
          <w:rFonts w:ascii="Arial" w:hAnsi="Arial" w:cs="Arial"/>
          <w:noProof/>
          <w:sz w:val="22"/>
          <w:szCs w:val="22"/>
          <w:lang w:val="en-US"/>
        </w:rPr>
        <w:t>the First World War (</w:t>
      </w:r>
      <w:r w:rsidRPr="0067772F">
        <w:rPr>
          <w:rFonts w:ascii="Arial" w:hAnsi="Arial" w:cs="Arial"/>
          <w:noProof/>
          <w:sz w:val="22"/>
          <w:szCs w:val="22"/>
          <w:lang w:val="en-US"/>
        </w:rPr>
        <w:t>WW1</w:t>
      </w:r>
      <w:r w:rsidR="007A0DB5" w:rsidRPr="0067772F">
        <w:rPr>
          <w:rFonts w:ascii="Arial" w:hAnsi="Arial" w:cs="Arial"/>
          <w:noProof/>
          <w:sz w:val="22"/>
          <w:szCs w:val="22"/>
          <w:lang w:val="en-US"/>
        </w:rPr>
        <w:t>)</w:t>
      </w:r>
      <w:r w:rsidRPr="0067772F">
        <w:rPr>
          <w:rFonts w:ascii="Arial" w:hAnsi="Arial" w:cs="Arial"/>
          <w:noProof/>
          <w:sz w:val="22"/>
          <w:szCs w:val="22"/>
          <w:lang w:val="en-US"/>
        </w:rPr>
        <w:t xml:space="preserve"> in the Ypres Salient. The remembrance of WW1 is a global event in which the City of Ypres and the Ypres population have assumed responsibility from the start. Remembrance visits started in 1919 and in 1927 the Menin Gate Memorial was erected. The Last Post was played for the first time at the inauguration of this monument. The fact that remembering WW1 is more alive than ever demonstrates the involvement of an active local network. The In Flanders Field Museum, the Last Post Association, the Peace Department of the City of Ypres and many other organizations have set up activities to continue to safeguard the practice. In addition, a Great War Remembered concert has been organized in the cathedral every year since 2004 and other initiatives have been started in recent years to foster continuity and public awareness, such as a website, app</w:t>
      </w:r>
      <w:r w:rsidR="00B204AA">
        <w:rPr>
          <w:rFonts w:ascii="Arial" w:hAnsi="Arial" w:cs="Arial"/>
          <w:noProof/>
          <w:sz w:val="22"/>
          <w:szCs w:val="22"/>
          <w:lang w:val="en-US"/>
        </w:rPr>
        <w:t>lication</w:t>
      </w:r>
      <w:r w:rsidRPr="0067772F">
        <w:rPr>
          <w:rFonts w:ascii="Arial" w:hAnsi="Arial" w:cs="Arial"/>
          <w:noProof/>
          <w:sz w:val="22"/>
          <w:szCs w:val="22"/>
          <w:lang w:val="en-US"/>
        </w:rPr>
        <w:t xml:space="preserve"> and social media initiatives. A cooperation platform was also recently created to coordinate the various initiatives, with special attention being given to developing information and education packages, reflections on handling sustainable tourism and dialogue on the implications of approaches</w:t>
      </w:r>
      <w:r w:rsidR="00FF32C9" w:rsidRPr="0067772F">
        <w:rPr>
          <w:rFonts w:ascii="Arial" w:hAnsi="Arial" w:cs="Arial"/>
          <w:noProof/>
          <w:sz w:val="22"/>
          <w:szCs w:val="22"/>
          <w:lang w:val="en-US"/>
        </w:rPr>
        <w:t xml:space="preserve"> to intangible cultural heritage.</w:t>
      </w:r>
    </w:p>
    <w:p w14:paraId="304D4B71" w14:textId="0F36E3F1" w:rsidR="00325E34" w:rsidRPr="0067772F" w:rsidRDefault="00325E34" w:rsidP="00325E34">
      <w:pPr>
        <w:keepNext/>
        <w:numPr>
          <w:ilvl w:val="0"/>
          <w:numId w:val="16"/>
        </w:numPr>
        <w:tabs>
          <w:tab w:val="left" w:pos="567"/>
          <w:tab w:val="left" w:pos="1134"/>
          <w:tab w:val="left" w:pos="1701"/>
          <w:tab w:val="left" w:pos="2268"/>
        </w:tabs>
        <w:spacing w:before="120" w:after="120"/>
        <w:ind w:left="1134" w:hanging="567"/>
        <w:jc w:val="both"/>
        <w:rPr>
          <w:rFonts w:ascii="Arial" w:hAnsi="Arial" w:cs="Arial"/>
          <w:sz w:val="22"/>
          <w:szCs w:val="22"/>
          <w:lang w:val="en-US"/>
        </w:rPr>
      </w:pPr>
      <w:r w:rsidRPr="0067772F">
        <w:rPr>
          <w:rFonts w:ascii="Arial" w:hAnsi="Arial" w:cs="Arial"/>
          <w:noProof/>
          <w:sz w:val="22"/>
          <w:szCs w:val="22"/>
          <w:u w:val="single"/>
          <w:lang w:val="en-US"/>
        </w:rPr>
        <w:t>Decides</w:t>
      </w:r>
      <w:r w:rsidRPr="0067772F">
        <w:rPr>
          <w:rFonts w:ascii="Arial" w:hAnsi="Arial" w:cs="Arial"/>
          <w:noProof/>
          <w:sz w:val="22"/>
          <w:szCs w:val="22"/>
          <w:lang w:val="en-US"/>
        </w:rPr>
        <w:t xml:space="preserve"> that, from the information included in the file, the programme responds as follows to the criteria for selection as a good safeguarding practice set out in paragraph</w:t>
      </w:r>
      <w:r w:rsidR="00C071C0" w:rsidRPr="0067772F">
        <w:rPr>
          <w:rFonts w:ascii="Arial" w:hAnsi="Arial" w:cs="Arial"/>
          <w:noProof/>
          <w:sz w:val="22"/>
          <w:szCs w:val="22"/>
          <w:lang w:val="en-US"/>
        </w:rPr>
        <w:t> </w:t>
      </w:r>
      <w:r w:rsidRPr="0067772F">
        <w:rPr>
          <w:rFonts w:ascii="Arial" w:hAnsi="Arial" w:cs="Arial"/>
          <w:noProof/>
          <w:sz w:val="22"/>
          <w:szCs w:val="22"/>
          <w:lang w:val="en-US"/>
        </w:rPr>
        <w:t>7 of the Operational Directives:</w:t>
      </w:r>
    </w:p>
    <w:p w14:paraId="3EA716DE" w14:textId="3AC151CF" w:rsidR="00EB6215" w:rsidRPr="0067772F" w:rsidRDefault="00EB6215" w:rsidP="00EB6215">
      <w:pPr>
        <w:tabs>
          <w:tab w:val="left" w:pos="567"/>
          <w:tab w:val="left" w:pos="1701"/>
          <w:tab w:val="left" w:pos="2268"/>
        </w:tabs>
        <w:spacing w:before="120" w:after="120"/>
        <w:ind w:left="1701" w:hanging="567"/>
        <w:jc w:val="both"/>
        <w:rPr>
          <w:rFonts w:ascii="Arial" w:hAnsi="Arial" w:cs="Arial"/>
          <w:noProof/>
          <w:sz w:val="22"/>
          <w:szCs w:val="22"/>
          <w:lang w:val="en-US"/>
        </w:rPr>
      </w:pPr>
      <w:r w:rsidRPr="0067772F">
        <w:rPr>
          <w:rFonts w:ascii="Arial" w:hAnsi="Arial" w:cs="Arial"/>
          <w:noProof/>
          <w:sz w:val="22"/>
          <w:szCs w:val="22"/>
          <w:lang w:val="en-US"/>
        </w:rPr>
        <w:t>P.1:</w:t>
      </w:r>
      <w:r w:rsidRPr="0067772F">
        <w:rPr>
          <w:rFonts w:ascii="Arial" w:hAnsi="Arial" w:cs="Arial"/>
          <w:noProof/>
          <w:sz w:val="22"/>
          <w:szCs w:val="22"/>
          <w:lang w:val="en-US"/>
        </w:rPr>
        <w:tab/>
        <w:t>The file describes a programme implemented by the In Flandres Fields Mu</w:t>
      </w:r>
      <w:r w:rsidR="00546B7F">
        <w:rPr>
          <w:rFonts w:ascii="Arial" w:hAnsi="Arial" w:cs="Arial"/>
          <w:noProof/>
          <w:sz w:val="22"/>
          <w:szCs w:val="22"/>
          <w:lang w:val="en-US"/>
        </w:rPr>
        <w:t>seum, the Last Post Association</w:t>
      </w:r>
      <w:r w:rsidRPr="0067772F">
        <w:rPr>
          <w:rFonts w:ascii="Arial" w:hAnsi="Arial" w:cs="Arial"/>
          <w:noProof/>
          <w:sz w:val="22"/>
          <w:szCs w:val="22"/>
          <w:lang w:val="en-US"/>
        </w:rPr>
        <w:t xml:space="preserve"> and various other associations and authori</w:t>
      </w:r>
      <w:r w:rsidR="00546B7F">
        <w:rPr>
          <w:rFonts w:ascii="Arial" w:hAnsi="Arial" w:cs="Arial"/>
          <w:noProof/>
          <w:sz w:val="22"/>
          <w:szCs w:val="22"/>
          <w:lang w:val="en-US"/>
        </w:rPr>
        <w:t>ties,</w:t>
      </w:r>
      <w:r w:rsidRPr="0067772F">
        <w:rPr>
          <w:rFonts w:ascii="Arial" w:hAnsi="Arial" w:cs="Arial"/>
          <w:noProof/>
          <w:sz w:val="22"/>
          <w:szCs w:val="22"/>
          <w:lang w:val="en-US"/>
        </w:rPr>
        <w:t xml:space="preserve"> dedicated to honouring the memory of the fallen and unknown soldiers of the First World War. A diverse range of measures and actions aimed at remembrance</w:t>
      </w:r>
      <w:r w:rsidR="00270F78">
        <w:rPr>
          <w:rFonts w:ascii="Arial" w:hAnsi="Arial" w:cs="Arial"/>
          <w:noProof/>
          <w:sz w:val="22"/>
          <w:szCs w:val="22"/>
          <w:lang w:val="en-US"/>
        </w:rPr>
        <w:t xml:space="preserve"> of the war</w:t>
      </w:r>
      <w:r w:rsidRPr="0067772F">
        <w:rPr>
          <w:rFonts w:ascii="Arial" w:hAnsi="Arial" w:cs="Arial"/>
          <w:noProof/>
          <w:sz w:val="22"/>
          <w:szCs w:val="22"/>
          <w:lang w:val="en-US"/>
        </w:rPr>
        <w:t xml:space="preserve"> are described</w:t>
      </w:r>
      <w:r w:rsidR="00270F78">
        <w:rPr>
          <w:rFonts w:ascii="Arial" w:hAnsi="Arial" w:cs="Arial"/>
          <w:noProof/>
          <w:sz w:val="22"/>
          <w:szCs w:val="22"/>
          <w:lang w:val="en-US"/>
        </w:rPr>
        <w:t>, such as</w:t>
      </w:r>
      <w:r w:rsidR="00BA7D01">
        <w:rPr>
          <w:rFonts w:ascii="Arial" w:hAnsi="Arial" w:cs="Arial"/>
          <w:noProof/>
          <w:sz w:val="22"/>
          <w:szCs w:val="22"/>
          <w:lang w:val="en-US"/>
        </w:rPr>
        <w:t xml:space="preserve"> </w:t>
      </w:r>
      <w:r w:rsidR="00270F78">
        <w:rPr>
          <w:rFonts w:ascii="Arial" w:hAnsi="Arial" w:cs="Arial"/>
          <w:noProof/>
          <w:sz w:val="22"/>
          <w:szCs w:val="22"/>
          <w:lang w:val="en-US"/>
        </w:rPr>
        <w:t>p</w:t>
      </w:r>
      <w:r w:rsidRPr="0067772F">
        <w:rPr>
          <w:rFonts w:ascii="Arial" w:hAnsi="Arial" w:cs="Arial"/>
          <w:noProof/>
          <w:sz w:val="22"/>
          <w:szCs w:val="22"/>
          <w:lang w:val="en-US"/>
        </w:rPr>
        <w:t>eace education initiatives</w:t>
      </w:r>
      <w:r w:rsidR="00270F78">
        <w:rPr>
          <w:rFonts w:ascii="Arial" w:hAnsi="Arial" w:cs="Arial"/>
          <w:noProof/>
          <w:sz w:val="22"/>
          <w:szCs w:val="22"/>
          <w:lang w:val="en-US"/>
        </w:rPr>
        <w:t>,</w:t>
      </w:r>
      <w:r w:rsidRPr="0067772F">
        <w:rPr>
          <w:rFonts w:ascii="Arial" w:hAnsi="Arial" w:cs="Arial"/>
          <w:noProof/>
          <w:sz w:val="22"/>
          <w:szCs w:val="22"/>
          <w:lang w:val="en-US"/>
        </w:rPr>
        <w:t xml:space="preserve"> research, documentation, transmission and awareness raising. However, </w:t>
      </w:r>
      <w:r w:rsidR="00270F78">
        <w:rPr>
          <w:rFonts w:ascii="Arial" w:hAnsi="Arial" w:cs="Arial"/>
          <w:noProof/>
          <w:sz w:val="22"/>
          <w:szCs w:val="22"/>
          <w:lang w:val="en-US"/>
        </w:rPr>
        <w:t xml:space="preserve">it is not clear whether these amount to safeguarding measures under </w:t>
      </w:r>
      <w:r w:rsidR="00AA5AF9">
        <w:rPr>
          <w:rFonts w:ascii="Arial" w:hAnsi="Arial" w:cs="Arial"/>
          <w:noProof/>
          <w:sz w:val="22"/>
          <w:szCs w:val="22"/>
          <w:lang w:val="en-US"/>
        </w:rPr>
        <w:t xml:space="preserve">Article 2.3 of </w:t>
      </w:r>
      <w:r w:rsidR="00270F78">
        <w:rPr>
          <w:rFonts w:ascii="Arial" w:hAnsi="Arial" w:cs="Arial"/>
          <w:noProof/>
          <w:sz w:val="22"/>
          <w:szCs w:val="22"/>
          <w:lang w:val="en-US"/>
        </w:rPr>
        <w:t>the Convention and what element is being safeguarded</w:t>
      </w:r>
      <w:r w:rsidRPr="0067772F">
        <w:rPr>
          <w:rFonts w:ascii="Arial" w:hAnsi="Arial" w:cs="Arial"/>
          <w:noProof/>
          <w:sz w:val="22"/>
          <w:szCs w:val="22"/>
          <w:lang w:val="en-US"/>
        </w:rPr>
        <w:t>. The definition of the safeguarding needs</w:t>
      </w:r>
      <w:r w:rsidR="00BA7D01">
        <w:rPr>
          <w:rFonts w:ascii="Arial" w:hAnsi="Arial" w:cs="Arial"/>
          <w:noProof/>
          <w:sz w:val="22"/>
          <w:szCs w:val="22"/>
          <w:lang w:val="en-US"/>
        </w:rPr>
        <w:t xml:space="preserve"> </w:t>
      </w:r>
      <w:r w:rsidRPr="0067772F">
        <w:rPr>
          <w:rFonts w:ascii="Arial" w:hAnsi="Arial" w:cs="Arial"/>
          <w:noProof/>
          <w:sz w:val="22"/>
          <w:szCs w:val="22"/>
          <w:lang w:val="en-US"/>
        </w:rPr>
        <w:t xml:space="preserve">and the modalities of implementing the safeguarding measures </w:t>
      </w:r>
      <w:r w:rsidR="0077659F">
        <w:rPr>
          <w:rFonts w:ascii="Arial" w:hAnsi="Arial" w:cs="Arial"/>
          <w:noProof/>
          <w:sz w:val="22"/>
          <w:szCs w:val="22"/>
          <w:lang w:val="en-US"/>
        </w:rPr>
        <w:t>are not specified</w:t>
      </w:r>
      <w:r w:rsidRPr="0067772F">
        <w:rPr>
          <w:rFonts w:ascii="Arial" w:hAnsi="Arial" w:cs="Arial"/>
          <w:noProof/>
          <w:sz w:val="22"/>
          <w:szCs w:val="22"/>
          <w:lang w:val="en-US"/>
        </w:rPr>
        <w:t xml:space="preserve">. </w:t>
      </w:r>
      <w:r w:rsidR="00270F78" w:rsidRPr="0029243E">
        <w:rPr>
          <w:rFonts w:ascii="Arial" w:hAnsi="Arial" w:cs="Arial"/>
          <w:noProof/>
          <w:sz w:val="22"/>
          <w:szCs w:val="22"/>
          <w:lang w:val="en-US"/>
        </w:rPr>
        <w:t xml:space="preserve">The identification </w:t>
      </w:r>
      <w:r w:rsidR="00270F78" w:rsidRPr="00C70E74">
        <w:rPr>
          <w:rFonts w:ascii="Arial" w:hAnsi="Arial" w:cs="Arial"/>
          <w:noProof/>
          <w:sz w:val="22"/>
          <w:szCs w:val="22"/>
          <w:lang w:val="en-US"/>
        </w:rPr>
        <w:t>of Last Post as intangible</w:t>
      </w:r>
      <w:r w:rsidR="00270F78" w:rsidRPr="0029243E">
        <w:rPr>
          <w:rFonts w:ascii="Arial" w:hAnsi="Arial" w:cs="Arial"/>
          <w:noProof/>
          <w:sz w:val="22"/>
          <w:szCs w:val="22"/>
          <w:lang w:val="en-US"/>
        </w:rPr>
        <w:t xml:space="preserve"> cultural heritage </w:t>
      </w:r>
      <w:r w:rsidR="00224D94" w:rsidRPr="00964C50">
        <w:rPr>
          <w:rFonts w:ascii="Arial" w:hAnsi="Arial" w:cs="Arial"/>
          <w:noProof/>
          <w:sz w:val="22"/>
          <w:szCs w:val="22"/>
          <w:lang w:val="en-US"/>
        </w:rPr>
        <w:t xml:space="preserve">could </w:t>
      </w:r>
      <w:r w:rsidR="00270F78" w:rsidRPr="0029243E">
        <w:rPr>
          <w:rFonts w:ascii="Arial" w:hAnsi="Arial" w:cs="Arial"/>
          <w:noProof/>
          <w:sz w:val="22"/>
          <w:szCs w:val="22"/>
          <w:lang w:val="en-US"/>
        </w:rPr>
        <w:t>have been made clearer.</w:t>
      </w:r>
    </w:p>
    <w:p w14:paraId="2B250D0E" w14:textId="3E0E7D08" w:rsidR="00EB6215" w:rsidRPr="0067772F" w:rsidRDefault="00EB6215" w:rsidP="00EB6215">
      <w:pPr>
        <w:tabs>
          <w:tab w:val="left" w:pos="567"/>
          <w:tab w:val="left" w:pos="1701"/>
          <w:tab w:val="left" w:pos="2268"/>
        </w:tabs>
        <w:spacing w:before="120" w:after="120"/>
        <w:ind w:left="1701" w:hanging="567"/>
        <w:jc w:val="both"/>
        <w:rPr>
          <w:rFonts w:ascii="Arial" w:hAnsi="Arial" w:cs="Arial"/>
          <w:noProof/>
          <w:sz w:val="22"/>
          <w:szCs w:val="22"/>
          <w:lang w:val="en-US"/>
        </w:rPr>
      </w:pPr>
      <w:r w:rsidRPr="0067772F">
        <w:rPr>
          <w:rFonts w:ascii="Arial" w:hAnsi="Arial" w:cs="Arial"/>
          <w:noProof/>
          <w:sz w:val="22"/>
          <w:szCs w:val="22"/>
          <w:lang w:val="en-US"/>
        </w:rPr>
        <w:t>P.2:</w:t>
      </w:r>
      <w:r w:rsidRPr="0067772F">
        <w:rPr>
          <w:rFonts w:ascii="Arial" w:hAnsi="Arial" w:cs="Arial"/>
          <w:noProof/>
          <w:sz w:val="22"/>
          <w:szCs w:val="22"/>
          <w:lang w:val="en-US"/>
        </w:rPr>
        <w:tab/>
        <w:t xml:space="preserve">The programme promotes the coordination of efforts at the regional, subregional and international levels and </w:t>
      </w:r>
      <w:r w:rsidR="00A43552">
        <w:rPr>
          <w:rFonts w:ascii="Arial" w:hAnsi="Arial" w:cs="Arial"/>
          <w:noProof/>
          <w:sz w:val="22"/>
          <w:szCs w:val="22"/>
          <w:lang w:val="en-US"/>
        </w:rPr>
        <w:t xml:space="preserve">connects a </w:t>
      </w:r>
      <w:r w:rsidRPr="0067772F">
        <w:rPr>
          <w:rFonts w:ascii="Arial" w:hAnsi="Arial" w:cs="Arial"/>
          <w:noProof/>
          <w:sz w:val="22"/>
          <w:szCs w:val="22"/>
          <w:lang w:val="en-US"/>
        </w:rPr>
        <w:t xml:space="preserve">large number of visitors. The file provides </w:t>
      </w:r>
      <w:r w:rsidR="00A43552">
        <w:rPr>
          <w:rFonts w:ascii="Arial" w:hAnsi="Arial" w:cs="Arial"/>
          <w:noProof/>
          <w:sz w:val="22"/>
          <w:szCs w:val="22"/>
          <w:lang w:val="en-US"/>
        </w:rPr>
        <w:t xml:space="preserve">information </w:t>
      </w:r>
      <w:r w:rsidR="00B204AA">
        <w:rPr>
          <w:rFonts w:ascii="Arial" w:hAnsi="Arial" w:cs="Arial"/>
          <w:noProof/>
          <w:sz w:val="22"/>
          <w:szCs w:val="22"/>
          <w:lang w:val="en-US"/>
        </w:rPr>
        <w:t>about</w:t>
      </w:r>
      <w:r w:rsidRPr="0067772F">
        <w:rPr>
          <w:rFonts w:ascii="Arial" w:hAnsi="Arial" w:cs="Arial"/>
          <w:noProof/>
          <w:sz w:val="22"/>
          <w:szCs w:val="22"/>
          <w:lang w:val="en-US"/>
        </w:rPr>
        <w:t xml:space="preserve"> active and regular contact between </w:t>
      </w:r>
      <w:r w:rsidR="00A43552">
        <w:rPr>
          <w:rFonts w:ascii="Arial" w:hAnsi="Arial" w:cs="Arial"/>
          <w:noProof/>
          <w:sz w:val="22"/>
          <w:szCs w:val="22"/>
          <w:lang w:val="en-US"/>
        </w:rPr>
        <w:t>institutions</w:t>
      </w:r>
      <w:r w:rsidRPr="0067772F">
        <w:rPr>
          <w:rFonts w:ascii="Arial" w:hAnsi="Arial" w:cs="Arial"/>
          <w:noProof/>
          <w:sz w:val="22"/>
          <w:szCs w:val="22"/>
          <w:lang w:val="en-US"/>
        </w:rPr>
        <w:t xml:space="preserve"> that form part of a worldwide network. The city of Ypres is </w:t>
      </w:r>
      <w:r w:rsidR="00A43552">
        <w:rPr>
          <w:rFonts w:ascii="Arial" w:hAnsi="Arial" w:cs="Arial"/>
          <w:noProof/>
          <w:sz w:val="22"/>
          <w:szCs w:val="22"/>
          <w:lang w:val="en-US"/>
        </w:rPr>
        <w:t xml:space="preserve">involved in </w:t>
      </w:r>
      <w:r w:rsidRPr="0067772F">
        <w:rPr>
          <w:rFonts w:ascii="Arial" w:hAnsi="Arial" w:cs="Arial"/>
          <w:noProof/>
          <w:sz w:val="22"/>
          <w:szCs w:val="22"/>
          <w:lang w:val="en-US"/>
        </w:rPr>
        <w:t xml:space="preserve">regional policies within Belgium for cultural heritage and development, and </w:t>
      </w:r>
      <w:r w:rsidR="00A43552">
        <w:rPr>
          <w:rFonts w:ascii="Arial" w:hAnsi="Arial" w:cs="Arial"/>
          <w:noProof/>
          <w:sz w:val="22"/>
          <w:szCs w:val="22"/>
          <w:lang w:val="en-US"/>
        </w:rPr>
        <w:t xml:space="preserve">participates </w:t>
      </w:r>
      <w:r w:rsidRPr="0067772F">
        <w:rPr>
          <w:rFonts w:ascii="Arial" w:hAnsi="Arial" w:cs="Arial"/>
          <w:noProof/>
          <w:sz w:val="22"/>
          <w:szCs w:val="22"/>
          <w:lang w:val="en-US"/>
        </w:rPr>
        <w:t>in this programm</w:t>
      </w:r>
      <w:r w:rsidR="00A10706">
        <w:rPr>
          <w:rFonts w:ascii="Arial" w:hAnsi="Arial" w:cs="Arial"/>
          <w:noProof/>
          <w:sz w:val="22"/>
          <w:szCs w:val="22"/>
          <w:lang w:val="en-US"/>
        </w:rPr>
        <w:t>e through various cooperations.</w:t>
      </w:r>
    </w:p>
    <w:p w14:paraId="5A36B700" w14:textId="1F3D6FAC" w:rsidR="00F92EDD" w:rsidRPr="0067772F" w:rsidRDefault="00EB6215" w:rsidP="00EB6215">
      <w:pPr>
        <w:tabs>
          <w:tab w:val="left" w:pos="567"/>
          <w:tab w:val="left" w:pos="1701"/>
          <w:tab w:val="left" w:pos="2268"/>
        </w:tabs>
        <w:spacing w:before="120" w:after="120"/>
        <w:ind w:left="1701" w:hanging="567"/>
        <w:jc w:val="both"/>
        <w:rPr>
          <w:rFonts w:ascii="Arial" w:hAnsi="Arial" w:cs="Arial"/>
          <w:noProof/>
          <w:sz w:val="22"/>
          <w:szCs w:val="22"/>
          <w:lang w:val="en-US"/>
        </w:rPr>
      </w:pPr>
      <w:r w:rsidRPr="0067772F">
        <w:rPr>
          <w:rFonts w:ascii="Arial" w:hAnsi="Arial" w:cs="Arial"/>
          <w:noProof/>
          <w:sz w:val="22"/>
          <w:szCs w:val="22"/>
          <w:lang w:val="en-US"/>
        </w:rPr>
        <w:t>P.3:</w:t>
      </w:r>
      <w:r w:rsidRPr="0067772F">
        <w:rPr>
          <w:rFonts w:ascii="Arial" w:hAnsi="Arial" w:cs="Arial"/>
          <w:noProof/>
          <w:sz w:val="22"/>
          <w:szCs w:val="22"/>
          <w:lang w:val="en-US"/>
        </w:rPr>
        <w:tab/>
      </w:r>
      <w:r w:rsidR="00F92EDD">
        <w:rPr>
          <w:rFonts w:ascii="Arial" w:hAnsi="Arial" w:cs="Arial"/>
          <w:noProof/>
          <w:sz w:val="22"/>
          <w:szCs w:val="22"/>
          <w:lang w:val="en-US"/>
        </w:rPr>
        <w:t xml:space="preserve">Although the file demonstrates a number of ways in which the activities are </w:t>
      </w:r>
      <w:r w:rsidR="00420404">
        <w:rPr>
          <w:rFonts w:ascii="Arial" w:hAnsi="Arial" w:cs="Arial"/>
          <w:noProof/>
          <w:sz w:val="22"/>
          <w:szCs w:val="22"/>
          <w:lang w:val="en-US"/>
        </w:rPr>
        <w:t xml:space="preserve">aligned </w:t>
      </w:r>
      <w:r w:rsidR="00F92EDD">
        <w:rPr>
          <w:rFonts w:ascii="Arial" w:hAnsi="Arial" w:cs="Arial"/>
          <w:noProof/>
          <w:sz w:val="22"/>
          <w:szCs w:val="22"/>
          <w:lang w:val="en-US"/>
        </w:rPr>
        <w:t>with the principles and objectives of the Convention and its Operational Directives, since the overall safeguarding measures are not identifiable</w:t>
      </w:r>
      <w:r w:rsidR="00420404">
        <w:rPr>
          <w:rFonts w:ascii="Arial" w:hAnsi="Arial" w:cs="Arial"/>
          <w:noProof/>
          <w:sz w:val="22"/>
          <w:szCs w:val="22"/>
          <w:lang w:val="en-US"/>
        </w:rPr>
        <w:t xml:space="preserve"> (as mentioned in P.1)</w:t>
      </w:r>
      <w:r w:rsidR="00F92EDD">
        <w:rPr>
          <w:rFonts w:ascii="Arial" w:hAnsi="Arial" w:cs="Arial"/>
          <w:noProof/>
          <w:sz w:val="22"/>
          <w:szCs w:val="22"/>
          <w:lang w:val="en-US"/>
        </w:rPr>
        <w:t xml:space="preserve"> it does not demonstrate the relationship of the programme to the core objective of the Convention, which is the saf</w:t>
      </w:r>
      <w:r w:rsidR="00C70E74">
        <w:rPr>
          <w:rFonts w:ascii="Arial" w:hAnsi="Arial" w:cs="Arial"/>
          <w:noProof/>
          <w:sz w:val="22"/>
          <w:szCs w:val="22"/>
          <w:lang w:val="en-US"/>
        </w:rPr>
        <w:t>e</w:t>
      </w:r>
      <w:r w:rsidR="00F92EDD">
        <w:rPr>
          <w:rFonts w:ascii="Arial" w:hAnsi="Arial" w:cs="Arial"/>
          <w:noProof/>
          <w:sz w:val="22"/>
          <w:szCs w:val="22"/>
          <w:lang w:val="en-US"/>
        </w:rPr>
        <w:t>guarding of intangible cultural heritage.</w:t>
      </w:r>
    </w:p>
    <w:p w14:paraId="1199FE8B" w14:textId="1A610CD0" w:rsidR="00EB6215" w:rsidRPr="0067772F" w:rsidRDefault="00EB6215" w:rsidP="00EB6215">
      <w:pPr>
        <w:tabs>
          <w:tab w:val="left" w:pos="567"/>
          <w:tab w:val="left" w:pos="1701"/>
          <w:tab w:val="left" w:pos="2268"/>
        </w:tabs>
        <w:spacing w:before="120" w:after="120"/>
        <w:ind w:left="1701" w:hanging="567"/>
        <w:jc w:val="both"/>
        <w:rPr>
          <w:rFonts w:ascii="Arial" w:hAnsi="Arial" w:cs="Arial"/>
          <w:noProof/>
          <w:sz w:val="22"/>
          <w:szCs w:val="22"/>
          <w:lang w:val="en-US"/>
        </w:rPr>
      </w:pPr>
      <w:r w:rsidRPr="0067772F">
        <w:rPr>
          <w:rFonts w:ascii="Arial" w:hAnsi="Arial" w:cs="Arial"/>
          <w:noProof/>
          <w:sz w:val="22"/>
          <w:szCs w:val="22"/>
          <w:lang w:val="en-US"/>
        </w:rPr>
        <w:t>P.4:</w:t>
      </w:r>
      <w:r w:rsidRPr="0067772F">
        <w:rPr>
          <w:rFonts w:ascii="Arial" w:hAnsi="Arial" w:cs="Arial"/>
          <w:noProof/>
          <w:sz w:val="22"/>
          <w:szCs w:val="22"/>
          <w:lang w:val="en-US"/>
        </w:rPr>
        <w:tab/>
        <w:t>Activities are regularly carried out to preserve memories of the First World War. Ypres is recognized as an important location devoted to historical reflections, as demonstrated by its title ‘City of peace’. Programmes dedicated to youth and children are particulary important for these purposes. The role of Ypres in safeguarding memories and knowledge related to the First World War, notably the battles in the Ypres Salient, is a structural part of the policy planning processes of the city. However, the file does not clearly explain how the programme contributes to ensuring the viability of the element. There is some confusion in the file about whether the programme strengthens the viability of the element itself or the vitality of a safeguarding practice.</w:t>
      </w:r>
    </w:p>
    <w:p w14:paraId="5BC6E845" w14:textId="7D25416E" w:rsidR="00EB6215" w:rsidRPr="0067772F" w:rsidRDefault="00EB6215" w:rsidP="00EB6215">
      <w:pPr>
        <w:tabs>
          <w:tab w:val="left" w:pos="567"/>
          <w:tab w:val="left" w:pos="1701"/>
          <w:tab w:val="left" w:pos="2268"/>
        </w:tabs>
        <w:spacing w:before="120" w:after="120"/>
        <w:ind w:left="1701" w:hanging="567"/>
        <w:jc w:val="both"/>
        <w:rPr>
          <w:rFonts w:ascii="Arial" w:hAnsi="Arial" w:cs="Arial"/>
          <w:noProof/>
          <w:sz w:val="22"/>
          <w:szCs w:val="22"/>
          <w:lang w:val="en-US"/>
        </w:rPr>
      </w:pPr>
      <w:r w:rsidRPr="0067772F">
        <w:rPr>
          <w:rFonts w:ascii="Arial" w:hAnsi="Arial" w:cs="Arial"/>
          <w:noProof/>
          <w:sz w:val="22"/>
          <w:szCs w:val="22"/>
          <w:lang w:val="en-US"/>
        </w:rPr>
        <w:t>P.5:</w:t>
      </w:r>
      <w:r w:rsidRPr="0067772F">
        <w:rPr>
          <w:rFonts w:ascii="Arial" w:hAnsi="Arial" w:cs="Arial"/>
          <w:noProof/>
          <w:sz w:val="22"/>
          <w:szCs w:val="22"/>
          <w:lang w:val="en-US"/>
        </w:rPr>
        <w:tab/>
        <w:t>The participation of the local community in the practice is described as having been very strong from the outset. The inhabitants of Ypres have been deeply moved by the events of the First World War, and have consequently been inspired to support the remembrance ceremonies. The involvement of various stakeholders and their consent to the preparation of this proposal were established through many local meetings. However, it would have been preferable to obtain consent from community members rather than from representatives of organizations and institutions. The initiative for the proposal seems to be rather institutional</w:t>
      </w:r>
      <w:r w:rsidR="00F55818">
        <w:rPr>
          <w:rFonts w:ascii="Arial" w:hAnsi="Arial" w:cs="Arial"/>
          <w:noProof/>
          <w:sz w:val="22"/>
          <w:szCs w:val="22"/>
          <w:lang w:val="en-US"/>
        </w:rPr>
        <w:t xml:space="preserve"> and the programme seems to be driven more by institutions than by bearers and community members</w:t>
      </w:r>
      <w:r w:rsidRPr="0067772F">
        <w:rPr>
          <w:rFonts w:ascii="Arial" w:hAnsi="Arial" w:cs="Arial"/>
          <w:noProof/>
          <w:sz w:val="22"/>
          <w:szCs w:val="22"/>
          <w:lang w:val="en-US"/>
        </w:rPr>
        <w:t>.</w:t>
      </w:r>
    </w:p>
    <w:p w14:paraId="78C98DBB" w14:textId="3FDFACD9" w:rsidR="00EB6215" w:rsidRPr="0067772F" w:rsidRDefault="00EB6215" w:rsidP="00EB6215">
      <w:pPr>
        <w:tabs>
          <w:tab w:val="left" w:pos="567"/>
          <w:tab w:val="left" w:pos="1701"/>
          <w:tab w:val="left" w:pos="2268"/>
        </w:tabs>
        <w:spacing w:before="120" w:after="120"/>
        <w:ind w:left="1701" w:hanging="567"/>
        <w:jc w:val="both"/>
        <w:rPr>
          <w:rFonts w:ascii="Arial" w:hAnsi="Arial" w:cs="Arial"/>
          <w:noProof/>
          <w:sz w:val="22"/>
          <w:szCs w:val="22"/>
          <w:lang w:val="en-US"/>
        </w:rPr>
      </w:pPr>
      <w:r w:rsidRPr="0067772F">
        <w:rPr>
          <w:rFonts w:ascii="Arial" w:hAnsi="Arial" w:cs="Arial"/>
          <w:noProof/>
          <w:sz w:val="22"/>
          <w:szCs w:val="22"/>
          <w:lang w:val="en-US"/>
        </w:rPr>
        <w:t>P.6:</w:t>
      </w:r>
      <w:r w:rsidRPr="0067772F">
        <w:rPr>
          <w:rFonts w:ascii="Arial" w:hAnsi="Arial" w:cs="Arial"/>
          <w:noProof/>
          <w:sz w:val="22"/>
          <w:szCs w:val="22"/>
          <w:lang w:val="en-US"/>
        </w:rPr>
        <w:tab/>
      </w:r>
      <w:r w:rsidR="007C0D60">
        <w:rPr>
          <w:rFonts w:ascii="Arial" w:hAnsi="Arial" w:cs="Arial"/>
          <w:noProof/>
          <w:sz w:val="22"/>
          <w:szCs w:val="22"/>
          <w:lang w:val="en-US"/>
        </w:rPr>
        <w:t>Although the activities described in the file could have inspired similar practices in other countries, t</w:t>
      </w:r>
      <w:r w:rsidRPr="0067772F">
        <w:rPr>
          <w:rFonts w:ascii="Arial" w:hAnsi="Arial" w:cs="Arial"/>
          <w:noProof/>
          <w:sz w:val="22"/>
          <w:szCs w:val="22"/>
          <w:lang w:val="en-US"/>
        </w:rPr>
        <w:t xml:space="preserve">he file does not sufficiently demonstrate that the programme could serve as a model for safeguarding activities in other </w:t>
      </w:r>
      <w:r w:rsidR="007C0D60" w:rsidRPr="00EA428D">
        <w:rPr>
          <w:rFonts w:ascii="Arial" w:hAnsi="Arial" w:cs="Arial"/>
          <w:noProof/>
          <w:sz w:val="22"/>
          <w:szCs w:val="22"/>
          <w:lang w:val="en-US"/>
        </w:rPr>
        <w:t>places</w:t>
      </w:r>
      <w:r w:rsidR="007C0D60">
        <w:rPr>
          <w:rFonts w:ascii="Arial" w:hAnsi="Arial" w:cs="Arial"/>
          <w:noProof/>
          <w:sz w:val="22"/>
          <w:szCs w:val="22"/>
          <w:lang w:val="en-US"/>
        </w:rPr>
        <w:t xml:space="preserve"> and communities</w:t>
      </w:r>
      <w:r w:rsidRPr="0067772F">
        <w:rPr>
          <w:rFonts w:ascii="Arial" w:hAnsi="Arial" w:cs="Arial"/>
          <w:noProof/>
          <w:sz w:val="22"/>
          <w:szCs w:val="22"/>
          <w:lang w:val="en-US"/>
        </w:rPr>
        <w:t xml:space="preserve">, and does not identify the particular components, functions and methods that </w:t>
      </w:r>
      <w:r w:rsidR="00196233" w:rsidRPr="00186BCC">
        <w:rPr>
          <w:rFonts w:ascii="Arial" w:hAnsi="Arial" w:cs="Arial"/>
          <w:noProof/>
          <w:sz w:val="22"/>
          <w:szCs w:val="22"/>
          <w:lang w:val="en-US"/>
        </w:rPr>
        <w:t>c</w:t>
      </w:r>
      <w:r w:rsidRPr="00196233">
        <w:rPr>
          <w:rFonts w:ascii="Arial" w:hAnsi="Arial" w:cs="Arial"/>
          <w:noProof/>
          <w:sz w:val="22"/>
          <w:szCs w:val="22"/>
          <w:lang w:val="en-US"/>
        </w:rPr>
        <w:t>ou</w:t>
      </w:r>
      <w:r w:rsidR="00317732" w:rsidRPr="00196233">
        <w:rPr>
          <w:rFonts w:ascii="Arial" w:hAnsi="Arial" w:cs="Arial"/>
          <w:noProof/>
          <w:sz w:val="22"/>
          <w:szCs w:val="22"/>
          <w:lang w:val="en-US"/>
        </w:rPr>
        <w:t>l</w:t>
      </w:r>
      <w:r w:rsidRPr="00196233">
        <w:rPr>
          <w:rFonts w:ascii="Arial" w:hAnsi="Arial" w:cs="Arial"/>
          <w:noProof/>
          <w:sz w:val="22"/>
          <w:szCs w:val="22"/>
          <w:lang w:val="en-US"/>
        </w:rPr>
        <w:t>d</w:t>
      </w:r>
      <w:r w:rsidRPr="0067772F">
        <w:rPr>
          <w:rFonts w:ascii="Arial" w:hAnsi="Arial" w:cs="Arial"/>
          <w:noProof/>
          <w:sz w:val="22"/>
          <w:szCs w:val="22"/>
          <w:lang w:val="en-US"/>
        </w:rPr>
        <w:t xml:space="preserve"> be </w:t>
      </w:r>
      <w:r w:rsidR="007C0D60">
        <w:rPr>
          <w:rFonts w:ascii="Arial" w:hAnsi="Arial" w:cs="Arial"/>
          <w:noProof/>
          <w:sz w:val="22"/>
          <w:szCs w:val="22"/>
          <w:lang w:val="en-US"/>
        </w:rPr>
        <w:t xml:space="preserve">applied </w:t>
      </w:r>
      <w:r w:rsidRPr="0067772F">
        <w:rPr>
          <w:rFonts w:ascii="Arial" w:hAnsi="Arial" w:cs="Arial"/>
          <w:noProof/>
          <w:sz w:val="22"/>
          <w:szCs w:val="22"/>
          <w:lang w:val="en-US"/>
        </w:rPr>
        <w:t xml:space="preserve">in other contexts. </w:t>
      </w:r>
      <w:r w:rsidR="007C0D60">
        <w:rPr>
          <w:rFonts w:ascii="Arial" w:hAnsi="Arial" w:cs="Arial"/>
          <w:noProof/>
          <w:sz w:val="22"/>
          <w:szCs w:val="22"/>
          <w:lang w:val="en-US"/>
        </w:rPr>
        <w:t>In the absence of an identifiable model of safeguarding</w:t>
      </w:r>
      <w:r w:rsidR="00317732">
        <w:rPr>
          <w:rFonts w:ascii="Arial" w:hAnsi="Arial" w:cs="Arial"/>
          <w:noProof/>
          <w:sz w:val="22"/>
          <w:szCs w:val="22"/>
          <w:lang w:val="en-US"/>
        </w:rPr>
        <w:t>,</w:t>
      </w:r>
      <w:r w:rsidR="007C0D60">
        <w:rPr>
          <w:rFonts w:ascii="Arial" w:hAnsi="Arial" w:cs="Arial"/>
          <w:noProof/>
          <w:sz w:val="22"/>
          <w:szCs w:val="22"/>
          <w:lang w:val="en-US"/>
        </w:rPr>
        <w:t xml:space="preserve"> as requested in the form, it is not possible to recommend the </w:t>
      </w:r>
      <w:r w:rsidR="00EA428D">
        <w:rPr>
          <w:rFonts w:ascii="Arial" w:hAnsi="Arial" w:cs="Arial"/>
          <w:noProof/>
          <w:sz w:val="22"/>
          <w:szCs w:val="22"/>
          <w:lang w:val="en-US"/>
        </w:rPr>
        <w:t>programme to be disseminated as a good safeguarding practice</w:t>
      </w:r>
      <w:r w:rsidR="007C0D60">
        <w:rPr>
          <w:rFonts w:ascii="Arial" w:hAnsi="Arial" w:cs="Arial"/>
          <w:noProof/>
          <w:sz w:val="22"/>
          <w:szCs w:val="22"/>
          <w:lang w:val="en-US"/>
        </w:rPr>
        <w:t>.</w:t>
      </w:r>
    </w:p>
    <w:p w14:paraId="674F4A00" w14:textId="02F6E71D" w:rsidR="00EB6215" w:rsidRPr="0067772F" w:rsidRDefault="00EB6215" w:rsidP="00EB6215">
      <w:pPr>
        <w:tabs>
          <w:tab w:val="left" w:pos="567"/>
          <w:tab w:val="left" w:pos="1701"/>
          <w:tab w:val="left" w:pos="2268"/>
        </w:tabs>
        <w:spacing w:before="120" w:after="120"/>
        <w:ind w:left="1701" w:hanging="567"/>
        <w:jc w:val="both"/>
        <w:rPr>
          <w:rFonts w:ascii="Arial" w:hAnsi="Arial" w:cs="Arial"/>
          <w:noProof/>
          <w:sz w:val="22"/>
          <w:szCs w:val="22"/>
          <w:lang w:val="en-US"/>
        </w:rPr>
      </w:pPr>
      <w:r w:rsidRPr="0067772F">
        <w:rPr>
          <w:rFonts w:ascii="Arial" w:hAnsi="Arial" w:cs="Arial"/>
          <w:noProof/>
          <w:sz w:val="22"/>
          <w:szCs w:val="22"/>
          <w:lang w:val="en-US"/>
        </w:rPr>
        <w:t>P.7:</w:t>
      </w:r>
      <w:r w:rsidRPr="0067772F">
        <w:rPr>
          <w:rFonts w:ascii="Arial" w:hAnsi="Arial" w:cs="Arial"/>
          <w:noProof/>
          <w:sz w:val="22"/>
          <w:szCs w:val="22"/>
          <w:lang w:val="en-US"/>
        </w:rPr>
        <w:tab/>
        <w:t>The file refers to dissemination measures such as remembrance ceremonies, seminars, workshops, publications, festivals and exhibitions. The dissemination efforts are clear</w:t>
      </w:r>
      <w:r w:rsidR="00155DF1">
        <w:rPr>
          <w:rFonts w:ascii="Arial" w:hAnsi="Arial" w:cs="Arial"/>
          <w:noProof/>
          <w:sz w:val="22"/>
          <w:szCs w:val="22"/>
          <w:lang w:val="en-US"/>
        </w:rPr>
        <w:t>ly described, but evidence of</w:t>
      </w:r>
      <w:r w:rsidRPr="0067772F">
        <w:rPr>
          <w:rFonts w:ascii="Arial" w:hAnsi="Arial" w:cs="Arial"/>
          <w:noProof/>
          <w:sz w:val="22"/>
          <w:szCs w:val="22"/>
          <w:lang w:val="en-US"/>
        </w:rPr>
        <w:t xml:space="preserve"> the willingness of the communities to cooperate in this regard is missing. The examples presented in the file relate to the dissemination of the element and raising awareness about war memories, rather than to the communities’ willingness to cooperate in the dissemination of the programme or to the support provided to other </w:t>
      </w:r>
      <w:r w:rsidR="00EA428D">
        <w:rPr>
          <w:rFonts w:ascii="Arial" w:hAnsi="Arial" w:cs="Arial"/>
          <w:noProof/>
          <w:sz w:val="22"/>
          <w:szCs w:val="22"/>
          <w:lang w:val="en-US"/>
        </w:rPr>
        <w:t>institutions</w:t>
      </w:r>
      <w:r w:rsidR="00EA428D" w:rsidRPr="0067772F">
        <w:rPr>
          <w:rFonts w:ascii="Arial" w:hAnsi="Arial" w:cs="Arial"/>
          <w:noProof/>
          <w:sz w:val="22"/>
          <w:szCs w:val="22"/>
          <w:lang w:val="en-US"/>
        </w:rPr>
        <w:t xml:space="preserve"> </w:t>
      </w:r>
      <w:r w:rsidRPr="0067772F">
        <w:rPr>
          <w:rFonts w:ascii="Arial" w:hAnsi="Arial" w:cs="Arial"/>
          <w:noProof/>
          <w:sz w:val="22"/>
          <w:szCs w:val="22"/>
          <w:lang w:val="en-US"/>
        </w:rPr>
        <w:t>for organizing similar activities.</w:t>
      </w:r>
    </w:p>
    <w:p w14:paraId="67D6C0A2" w14:textId="550CF4B0" w:rsidR="00EB6215" w:rsidRPr="0067772F" w:rsidRDefault="00EB6215" w:rsidP="00EB6215">
      <w:pPr>
        <w:tabs>
          <w:tab w:val="left" w:pos="567"/>
          <w:tab w:val="left" w:pos="1701"/>
          <w:tab w:val="left" w:pos="2268"/>
        </w:tabs>
        <w:spacing w:before="120" w:after="120"/>
        <w:ind w:left="1701" w:hanging="567"/>
        <w:jc w:val="both"/>
        <w:rPr>
          <w:rFonts w:ascii="Arial" w:hAnsi="Arial" w:cs="Arial"/>
          <w:noProof/>
          <w:sz w:val="22"/>
          <w:szCs w:val="22"/>
          <w:lang w:val="en-US"/>
        </w:rPr>
      </w:pPr>
      <w:r w:rsidRPr="0067772F">
        <w:rPr>
          <w:rFonts w:ascii="Arial" w:hAnsi="Arial" w:cs="Arial"/>
          <w:noProof/>
          <w:sz w:val="22"/>
          <w:szCs w:val="22"/>
          <w:lang w:val="en-US"/>
        </w:rPr>
        <w:t>P.8:</w:t>
      </w:r>
      <w:r w:rsidRPr="0067772F">
        <w:rPr>
          <w:rFonts w:ascii="Arial" w:hAnsi="Arial" w:cs="Arial"/>
          <w:noProof/>
          <w:sz w:val="22"/>
          <w:szCs w:val="22"/>
          <w:lang w:val="en-US"/>
        </w:rPr>
        <w:tab/>
        <w:t xml:space="preserve">The proposal provides a set of assessment measures related to monitoring and evaluating the activities of the major stakeholders. The </w:t>
      </w:r>
      <w:r w:rsidR="000B7E22">
        <w:rPr>
          <w:rFonts w:ascii="Arial" w:hAnsi="Arial" w:cs="Arial"/>
          <w:noProof/>
          <w:sz w:val="22"/>
          <w:szCs w:val="22"/>
          <w:lang w:val="en-US"/>
        </w:rPr>
        <w:t xml:space="preserve">file mentions that the </w:t>
      </w:r>
      <w:r w:rsidRPr="0067772F">
        <w:rPr>
          <w:rFonts w:ascii="Arial" w:hAnsi="Arial" w:cs="Arial"/>
          <w:noProof/>
          <w:sz w:val="22"/>
          <w:szCs w:val="22"/>
          <w:lang w:val="en-US"/>
        </w:rPr>
        <w:t>results of the project are included in the multi-year plan of the city of Ypres. Actions are audited through regular reports, such as the yearly progress reports submitted on the national inventory, which includes the Last Post Ceremony.</w:t>
      </w:r>
    </w:p>
    <w:p w14:paraId="34A8F080" w14:textId="1F73EDBC" w:rsidR="00EB6215" w:rsidRPr="0067772F" w:rsidRDefault="00EB6215" w:rsidP="00EB6215">
      <w:pPr>
        <w:tabs>
          <w:tab w:val="left" w:pos="567"/>
          <w:tab w:val="left" w:pos="1701"/>
          <w:tab w:val="left" w:pos="2268"/>
        </w:tabs>
        <w:spacing w:before="120" w:after="120"/>
        <w:ind w:left="1701" w:hanging="567"/>
        <w:jc w:val="both"/>
        <w:rPr>
          <w:rFonts w:ascii="Arial" w:hAnsi="Arial" w:cs="Arial"/>
          <w:noProof/>
          <w:sz w:val="22"/>
          <w:szCs w:val="22"/>
          <w:lang w:val="en-US"/>
        </w:rPr>
      </w:pPr>
      <w:r w:rsidRPr="0067772F">
        <w:rPr>
          <w:rFonts w:ascii="Arial" w:hAnsi="Arial" w:cs="Arial"/>
          <w:noProof/>
          <w:sz w:val="22"/>
          <w:szCs w:val="22"/>
          <w:lang w:val="en-US"/>
        </w:rPr>
        <w:t>P.9:</w:t>
      </w:r>
      <w:r w:rsidRPr="0067772F">
        <w:rPr>
          <w:rFonts w:ascii="Arial" w:hAnsi="Arial" w:cs="Arial"/>
          <w:noProof/>
          <w:sz w:val="22"/>
          <w:szCs w:val="22"/>
          <w:lang w:val="en-US"/>
        </w:rPr>
        <w:tab/>
        <w:t xml:space="preserve">The programme appears to be geared towards the realization of the goals of the UN 2030 Agenda for Sustainable Development since there can be no sustainable development without peace, as there can be no peace without sustainable development. </w:t>
      </w:r>
      <w:r w:rsidR="00DC331B">
        <w:rPr>
          <w:rFonts w:ascii="Arial" w:hAnsi="Arial" w:cs="Arial"/>
          <w:noProof/>
          <w:sz w:val="22"/>
          <w:szCs w:val="22"/>
          <w:lang w:val="en-US"/>
        </w:rPr>
        <w:t>However, t</w:t>
      </w:r>
      <w:r w:rsidRPr="0067772F">
        <w:rPr>
          <w:rFonts w:ascii="Arial" w:hAnsi="Arial" w:cs="Arial"/>
          <w:noProof/>
          <w:sz w:val="22"/>
          <w:szCs w:val="22"/>
          <w:lang w:val="en-US"/>
        </w:rPr>
        <w:t xml:space="preserve">here is no identification of the particular components and methods of this programme that could </w:t>
      </w:r>
      <w:r w:rsidR="00DC331B">
        <w:rPr>
          <w:rFonts w:ascii="Arial" w:hAnsi="Arial" w:cs="Arial"/>
          <w:noProof/>
          <w:sz w:val="22"/>
          <w:szCs w:val="22"/>
          <w:lang w:val="en-US"/>
        </w:rPr>
        <w:t xml:space="preserve">meet </w:t>
      </w:r>
      <w:r w:rsidRPr="0067772F">
        <w:rPr>
          <w:rFonts w:ascii="Arial" w:hAnsi="Arial" w:cs="Arial"/>
          <w:noProof/>
          <w:sz w:val="22"/>
          <w:szCs w:val="22"/>
          <w:lang w:val="en-US"/>
        </w:rPr>
        <w:t>the needs of developing countries. While the focus on sustainable development and peace in the file is relevant to the concerns</w:t>
      </w:r>
      <w:r w:rsidR="00DC331B">
        <w:rPr>
          <w:rFonts w:ascii="Arial" w:hAnsi="Arial" w:cs="Arial"/>
          <w:noProof/>
          <w:sz w:val="22"/>
          <w:szCs w:val="22"/>
          <w:lang w:val="en-US"/>
        </w:rPr>
        <w:t xml:space="preserve"> of developing countries</w:t>
      </w:r>
      <w:r w:rsidRPr="0067772F">
        <w:rPr>
          <w:rFonts w:ascii="Arial" w:hAnsi="Arial" w:cs="Arial"/>
          <w:noProof/>
          <w:sz w:val="22"/>
          <w:szCs w:val="22"/>
          <w:lang w:val="en-US"/>
        </w:rPr>
        <w:t>, the file does not demonstrate clearly how the programme could be appl</w:t>
      </w:r>
      <w:r w:rsidR="00A10706">
        <w:rPr>
          <w:rFonts w:ascii="Arial" w:hAnsi="Arial" w:cs="Arial"/>
          <w:noProof/>
          <w:sz w:val="22"/>
          <w:szCs w:val="22"/>
          <w:lang w:val="en-US"/>
        </w:rPr>
        <w:t xml:space="preserve">icable </w:t>
      </w:r>
      <w:r w:rsidR="00891D7D">
        <w:rPr>
          <w:rFonts w:ascii="Arial" w:hAnsi="Arial" w:cs="Arial"/>
          <w:noProof/>
          <w:sz w:val="22"/>
          <w:szCs w:val="22"/>
          <w:lang w:val="en-US"/>
        </w:rPr>
        <w:t xml:space="preserve">for the safeguarding of </w:t>
      </w:r>
      <w:r w:rsidR="00DC331B">
        <w:rPr>
          <w:rFonts w:ascii="Arial" w:hAnsi="Arial" w:cs="Arial"/>
          <w:noProof/>
          <w:sz w:val="22"/>
          <w:szCs w:val="22"/>
          <w:lang w:val="en-US"/>
        </w:rPr>
        <w:t xml:space="preserve">their </w:t>
      </w:r>
      <w:r w:rsidR="00891D7D">
        <w:rPr>
          <w:rFonts w:ascii="Arial" w:hAnsi="Arial" w:cs="Arial"/>
          <w:noProof/>
          <w:sz w:val="22"/>
          <w:szCs w:val="22"/>
          <w:lang w:val="en-US"/>
        </w:rPr>
        <w:t>intangible cultural heritage</w:t>
      </w:r>
      <w:r w:rsidR="00A10706">
        <w:rPr>
          <w:rFonts w:ascii="Arial" w:hAnsi="Arial" w:cs="Arial"/>
          <w:noProof/>
          <w:sz w:val="22"/>
          <w:szCs w:val="22"/>
          <w:lang w:val="en-US"/>
        </w:rPr>
        <w:t>.</w:t>
      </w:r>
    </w:p>
    <w:p w14:paraId="2CF1A90C" w14:textId="1749EA81" w:rsidR="00325E34" w:rsidRPr="0067772F" w:rsidRDefault="00325E34" w:rsidP="00325E34">
      <w:pPr>
        <w:tabs>
          <w:tab w:val="left" w:pos="567"/>
          <w:tab w:val="left" w:pos="1134"/>
          <w:tab w:val="left" w:pos="2268"/>
        </w:tabs>
        <w:spacing w:before="120" w:after="120"/>
        <w:ind w:left="1134" w:hanging="567"/>
        <w:jc w:val="both"/>
        <w:rPr>
          <w:rFonts w:ascii="Arial" w:hAnsi="Arial" w:cs="Arial"/>
          <w:noProof/>
          <w:sz w:val="22"/>
          <w:szCs w:val="22"/>
          <w:lang w:val="en-US"/>
        </w:rPr>
      </w:pPr>
      <w:r w:rsidRPr="0067772F">
        <w:rPr>
          <w:rFonts w:ascii="Arial" w:hAnsi="Arial" w:cs="Arial"/>
          <w:noProof/>
          <w:sz w:val="22"/>
          <w:szCs w:val="22"/>
          <w:lang w:val="en-US"/>
        </w:rPr>
        <w:t>3.</w:t>
      </w:r>
      <w:r w:rsidRPr="0067772F">
        <w:rPr>
          <w:rFonts w:ascii="Arial" w:hAnsi="Arial" w:cs="Arial"/>
          <w:noProof/>
          <w:sz w:val="22"/>
          <w:szCs w:val="22"/>
          <w:lang w:val="en-US"/>
        </w:rPr>
        <w:tab/>
      </w:r>
      <w:r w:rsidRPr="0067772F">
        <w:rPr>
          <w:rFonts w:ascii="Arial" w:hAnsi="Arial" w:cs="Arial"/>
          <w:noProof/>
          <w:sz w:val="22"/>
          <w:szCs w:val="22"/>
          <w:u w:val="single"/>
          <w:lang w:val="en-US"/>
        </w:rPr>
        <w:t>Decides not to select</w:t>
      </w:r>
      <w:r w:rsidRPr="0067772F">
        <w:rPr>
          <w:rFonts w:ascii="Arial" w:hAnsi="Arial" w:cs="Arial"/>
          <w:noProof/>
          <w:sz w:val="22"/>
          <w:szCs w:val="22"/>
          <w:lang w:val="en-US"/>
        </w:rPr>
        <w:t xml:space="preserve"> </w:t>
      </w:r>
      <w:r w:rsidRPr="0067772F">
        <w:rPr>
          <w:rFonts w:ascii="Arial" w:hAnsi="Arial" w:cs="Arial"/>
          <w:b/>
          <w:noProof/>
          <w:sz w:val="22"/>
          <w:szCs w:val="22"/>
          <w:lang w:val="en-US"/>
        </w:rPr>
        <w:t>Remembrance education and safeguarding the Last Post Ceremony at the Menin Gate Memorial in Ypres, City of Peace</w:t>
      </w:r>
      <w:r w:rsidRPr="0067772F">
        <w:rPr>
          <w:rFonts w:ascii="Arial" w:hAnsi="Arial" w:cs="Arial"/>
          <w:noProof/>
          <w:sz w:val="22"/>
          <w:szCs w:val="22"/>
          <w:lang w:val="en-US"/>
        </w:rPr>
        <w:t xml:space="preserve"> as a programme, project or activity best reflecting the principles and objectives of the Convention.</w:t>
      </w:r>
    </w:p>
    <w:p w14:paraId="327664F9" w14:textId="006BCDCE" w:rsidR="00516853" w:rsidRPr="0067772F" w:rsidRDefault="00516853" w:rsidP="002B5B63">
      <w:pPr>
        <w:keepNext/>
        <w:tabs>
          <w:tab w:val="left" w:pos="567"/>
          <w:tab w:val="left" w:pos="1134"/>
          <w:tab w:val="left" w:pos="1701"/>
          <w:tab w:val="left" w:pos="2268"/>
        </w:tabs>
        <w:spacing w:before="360" w:after="120"/>
        <w:ind w:left="567"/>
        <w:jc w:val="both"/>
        <w:rPr>
          <w:rFonts w:ascii="Arial" w:hAnsi="Arial" w:cs="Arial"/>
          <w:sz w:val="22"/>
          <w:szCs w:val="22"/>
          <w:lang w:val="en-GB"/>
        </w:rPr>
      </w:pPr>
      <w:bookmarkStart w:id="5" w:name="DRAFT_DECISION_12_COM_11_e_2"/>
      <w:bookmarkEnd w:id="5"/>
      <w:r w:rsidRPr="0067772F">
        <w:rPr>
          <w:rFonts w:ascii="Arial" w:hAnsi="Arial" w:cs="Arial"/>
          <w:b/>
          <w:sz w:val="22"/>
          <w:szCs w:val="22"/>
          <w:lang w:val="en-GB"/>
        </w:rPr>
        <w:t xml:space="preserve">DRAFT DECISION 12.COM </w:t>
      </w:r>
      <w:r w:rsidRPr="0067772F">
        <w:rPr>
          <w:rFonts w:ascii="Arial" w:hAnsi="Arial" w:cs="Arial"/>
          <w:b/>
          <w:noProof/>
          <w:sz w:val="22"/>
          <w:szCs w:val="22"/>
          <w:lang w:val="en-US"/>
        </w:rPr>
        <w:t>11.e.2</w:t>
      </w:r>
      <w:r w:rsidR="00C071C0" w:rsidRPr="0067772F">
        <w:rPr>
          <w:rFonts w:ascii="Arial" w:hAnsi="Arial" w:cs="Arial"/>
          <w:b/>
          <w:noProof/>
          <w:sz w:val="22"/>
          <w:szCs w:val="22"/>
          <w:lang w:val="en-US"/>
        </w:rPr>
        <w:tab/>
      </w:r>
      <w:r w:rsidR="00D01464" w:rsidRPr="002B5B63">
        <w:rPr>
          <w:rFonts w:ascii="Arial" w:hAnsi="Arial" w:cs="Arial"/>
          <w:noProof/>
          <w:sz w:val="22"/>
          <w:szCs w:val="22"/>
          <w:lang w:val="en-US" w:eastAsia="ko-KR"/>
        </w:rPr>
        <w:drawing>
          <wp:inline distT="0" distB="0" distL="0" distR="0" wp14:anchorId="15A98616" wp14:editId="019BD7BB">
            <wp:extent cx="104775" cy="104775"/>
            <wp:effectExtent l="0" t="0" r="9525" b="9525"/>
            <wp:docPr id="3" name="Picture 3">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030C6EF1" w14:textId="77777777" w:rsidR="00516853" w:rsidRPr="0067772F" w:rsidRDefault="00516853" w:rsidP="00516853">
      <w:pPr>
        <w:keepNext/>
        <w:tabs>
          <w:tab w:val="left" w:pos="567"/>
          <w:tab w:val="left" w:pos="1134"/>
          <w:tab w:val="left" w:pos="1701"/>
          <w:tab w:val="left" w:pos="2268"/>
        </w:tabs>
        <w:spacing w:before="120" w:after="120"/>
        <w:ind w:left="567"/>
        <w:jc w:val="both"/>
        <w:rPr>
          <w:rFonts w:ascii="Arial" w:eastAsia="SimSun" w:hAnsi="Arial" w:cs="Arial"/>
          <w:sz w:val="22"/>
          <w:szCs w:val="22"/>
          <w:lang w:val="en-GB" w:eastAsia="zh-CN"/>
        </w:rPr>
      </w:pPr>
      <w:r w:rsidRPr="0067772F">
        <w:rPr>
          <w:rFonts w:ascii="Arial" w:eastAsia="SimSun" w:hAnsi="Arial" w:cs="Arial"/>
          <w:sz w:val="22"/>
          <w:szCs w:val="22"/>
          <w:lang w:val="en-GB" w:eastAsia="zh-CN"/>
        </w:rPr>
        <w:t>The Committee</w:t>
      </w:r>
    </w:p>
    <w:p w14:paraId="0F08B5CC" w14:textId="77777777" w:rsidR="00516853" w:rsidRPr="0067772F" w:rsidRDefault="00516853" w:rsidP="00516853">
      <w:pPr>
        <w:numPr>
          <w:ilvl w:val="0"/>
          <w:numId w:val="37"/>
        </w:numPr>
        <w:tabs>
          <w:tab w:val="left" w:pos="1134"/>
          <w:tab w:val="left" w:pos="1701"/>
          <w:tab w:val="left" w:pos="2268"/>
        </w:tabs>
        <w:spacing w:before="120" w:after="120"/>
        <w:ind w:left="1134" w:hanging="567"/>
        <w:jc w:val="both"/>
        <w:rPr>
          <w:rFonts w:ascii="Arial" w:hAnsi="Arial" w:cs="Arial"/>
          <w:sz w:val="22"/>
          <w:szCs w:val="22"/>
          <w:lang w:val="en-GB"/>
        </w:rPr>
      </w:pPr>
      <w:r w:rsidRPr="0067772F">
        <w:rPr>
          <w:rFonts w:ascii="Arial" w:hAnsi="Arial" w:cs="Arial"/>
          <w:noProof/>
          <w:sz w:val="22"/>
          <w:szCs w:val="22"/>
          <w:u w:val="single"/>
          <w:lang w:val="en-GB"/>
        </w:rPr>
        <w:t>Takes note</w:t>
      </w:r>
      <w:r w:rsidRPr="0067772F">
        <w:rPr>
          <w:rFonts w:ascii="Arial" w:hAnsi="Arial" w:cs="Arial"/>
          <w:noProof/>
          <w:sz w:val="22"/>
          <w:szCs w:val="22"/>
          <w:lang w:val="en-GB"/>
        </w:rPr>
        <w:t xml:space="preserve"> that Bulgaria has proposed </w:t>
      </w:r>
      <w:r w:rsidRPr="0067772F">
        <w:rPr>
          <w:rFonts w:ascii="Arial" w:hAnsi="Arial" w:cs="Arial"/>
          <w:b/>
          <w:noProof/>
          <w:sz w:val="22"/>
          <w:szCs w:val="22"/>
          <w:lang w:val="en-GB"/>
        </w:rPr>
        <w:t>Bulgarian Chitalishte (Community Cultural Centre): practical experience in safeguarding the vitality of the Intangible Cultural Heritage</w:t>
      </w:r>
      <w:r w:rsidRPr="0067772F">
        <w:rPr>
          <w:rFonts w:ascii="Arial" w:hAnsi="Arial" w:cs="Arial"/>
          <w:noProof/>
          <w:sz w:val="22"/>
          <w:szCs w:val="22"/>
          <w:lang w:val="en-GB"/>
        </w:rPr>
        <w:t xml:space="preserve"> (No. 00969) for selection and promotion by the Committee as a programme, project or activity best reflecting the principles and objectives of the Convention:</w:t>
      </w:r>
    </w:p>
    <w:p w14:paraId="5C3306F6" w14:textId="08731477" w:rsidR="00516853" w:rsidRPr="0067772F" w:rsidRDefault="00516853" w:rsidP="00516853">
      <w:pPr>
        <w:tabs>
          <w:tab w:val="left" w:pos="1134"/>
          <w:tab w:val="left" w:pos="1701"/>
          <w:tab w:val="left" w:pos="2268"/>
        </w:tabs>
        <w:spacing w:before="120" w:after="120"/>
        <w:ind w:left="1134"/>
        <w:jc w:val="both"/>
        <w:rPr>
          <w:rFonts w:ascii="Arial" w:hAnsi="Arial" w:cs="Arial"/>
          <w:sz w:val="22"/>
          <w:szCs w:val="22"/>
          <w:lang w:val="en-GB"/>
        </w:rPr>
      </w:pPr>
      <w:r w:rsidRPr="0067772F">
        <w:rPr>
          <w:rFonts w:ascii="Arial" w:hAnsi="Arial" w:cs="Arial"/>
          <w:noProof/>
          <w:sz w:val="22"/>
          <w:szCs w:val="22"/>
          <w:lang w:val="en-GB"/>
        </w:rPr>
        <w:t xml:space="preserve">Bulgarian chitalishta (cultural community centres) are uniformly distributed across the whole territory of Bulgaria. They are established by communities themselves and are open to everyone irrespective of age, gender, political and religious views. The first chitalishta were established in 1856, and they have been recognized as a key organizational unit of Bulgarian society ever since. In accordance with the Chitalishta Act of 1996, chitalishta are non-governmental self-regulatory organizations. By law, they perform cultural and educational activities aimed at safeguarding the customs and traditions of Bulgarian people, ensuring access to information, distributing knowledge and familiarizing citizens with the values and achievements of science, arts and culture. Chitalishta are central to the process of transmitting </w:t>
      </w:r>
      <w:r w:rsidR="00CD07A2" w:rsidRPr="0067772F">
        <w:rPr>
          <w:rFonts w:ascii="Arial" w:hAnsi="Arial" w:cs="Arial"/>
          <w:noProof/>
          <w:sz w:val="22"/>
          <w:szCs w:val="22"/>
          <w:lang w:val="en-GB"/>
        </w:rPr>
        <w:t xml:space="preserve">intangible cultural heritage </w:t>
      </w:r>
      <w:r w:rsidRPr="0067772F">
        <w:rPr>
          <w:rFonts w:ascii="Arial" w:hAnsi="Arial" w:cs="Arial"/>
          <w:noProof/>
          <w:sz w:val="22"/>
          <w:szCs w:val="22"/>
          <w:lang w:val="en-GB"/>
        </w:rPr>
        <w:t xml:space="preserve">in the country, with elderly members playing a key role in encouraging young people to get involved. The efficiency of chitalishte is demonstrated by their increasing numbers over the years and the growing numbers of participants in their activities, representing all ages and population groups. With a view to popularizing and presenting </w:t>
      </w:r>
      <w:r w:rsidR="00CD07A2" w:rsidRPr="0067772F">
        <w:rPr>
          <w:rFonts w:ascii="Arial" w:hAnsi="Arial" w:cs="Arial"/>
          <w:noProof/>
          <w:sz w:val="22"/>
          <w:szCs w:val="22"/>
          <w:lang w:val="en-GB"/>
        </w:rPr>
        <w:t>intangible cultural heritage</w:t>
      </w:r>
      <w:r w:rsidRPr="0067772F">
        <w:rPr>
          <w:rFonts w:ascii="Arial" w:hAnsi="Arial" w:cs="Arial"/>
          <w:noProof/>
          <w:sz w:val="22"/>
          <w:szCs w:val="22"/>
          <w:lang w:val="en-GB"/>
        </w:rPr>
        <w:t>, chitalishta organize festivals, celebrations, gatherings, exhibitions and so on, and one innovative approach for developing chitalishta is the establishment of local centres for documenting, archiving and handing over knowledge and skills.</w:t>
      </w:r>
    </w:p>
    <w:p w14:paraId="2C9EF086" w14:textId="41E4DAF1" w:rsidR="00516853" w:rsidRPr="0067772F" w:rsidRDefault="00516853" w:rsidP="00516853">
      <w:pPr>
        <w:keepNext/>
        <w:numPr>
          <w:ilvl w:val="0"/>
          <w:numId w:val="37"/>
        </w:numPr>
        <w:tabs>
          <w:tab w:val="left" w:pos="567"/>
          <w:tab w:val="left" w:pos="1134"/>
          <w:tab w:val="left" w:pos="1701"/>
          <w:tab w:val="left" w:pos="2268"/>
        </w:tabs>
        <w:spacing w:before="120" w:after="120"/>
        <w:ind w:left="1134" w:hanging="567"/>
        <w:jc w:val="both"/>
        <w:rPr>
          <w:rFonts w:ascii="Arial" w:hAnsi="Arial" w:cs="Arial"/>
          <w:sz w:val="22"/>
          <w:szCs w:val="22"/>
          <w:lang w:val="en-GB"/>
        </w:rPr>
      </w:pPr>
      <w:r w:rsidRPr="0067772F">
        <w:rPr>
          <w:rFonts w:ascii="Arial" w:hAnsi="Arial" w:cs="Arial"/>
          <w:noProof/>
          <w:sz w:val="22"/>
          <w:szCs w:val="22"/>
          <w:u w:val="single"/>
          <w:lang w:val="en-GB"/>
        </w:rPr>
        <w:t>Decides</w:t>
      </w:r>
      <w:r w:rsidRPr="0067772F">
        <w:rPr>
          <w:rFonts w:ascii="Arial" w:hAnsi="Arial" w:cs="Arial"/>
          <w:noProof/>
          <w:sz w:val="22"/>
          <w:szCs w:val="22"/>
          <w:lang w:val="en-GB"/>
        </w:rPr>
        <w:t xml:space="preserve"> that, from the information included in the file, the programme responds as follows to the criteria for selection as a good safeguarding practice set out in paragraph</w:t>
      </w:r>
      <w:r w:rsidR="00C071C0" w:rsidRPr="0067772F">
        <w:rPr>
          <w:rFonts w:ascii="Arial" w:hAnsi="Arial" w:cs="Arial"/>
          <w:noProof/>
          <w:sz w:val="22"/>
          <w:szCs w:val="22"/>
          <w:lang w:val="en-GB"/>
        </w:rPr>
        <w:t> </w:t>
      </w:r>
      <w:r w:rsidRPr="0067772F">
        <w:rPr>
          <w:rFonts w:ascii="Arial" w:hAnsi="Arial" w:cs="Arial"/>
          <w:noProof/>
          <w:sz w:val="22"/>
          <w:szCs w:val="22"/>
          <w:lang w:val="en-GB"/>
        </w:rPr>
        <w:t>7 of the Operational Directives:</w:t>
      </w:r>
    </w:p>
    <w:p w14:paraId="687E0065" w14:textId="28285CF8" w:rsidR="00516853" w:rsidRPr="0067772F" w:rsidRDefault="00516853" w:rsidP="00516853">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67772F">
        <w:rPr>
          <w:rFonts w:ascii="Arial" w:hAnsi="Arial" w:cs="Arial"/>
          <w:noProof/>
          <w:sz w:val="22"/>
          <w:szCs w:val="22"/>
          <w:lang w:val="en-GB"/>
        </w:rPr>
        <w:t>P.1:</w:t>
      </w:r>
      <w:r w:rsidRPr="0067772F">
        <w:rPr>
          <w:rFonts w:ascii="Arial" w:hAnsi="Arial" w:cs="Arial"/>
          <w:noProof/>
          <w:sz w:val="22"/>
          <w:szCs w:val="22"/>
          <w:lang w:val="en-GB"/>
        </w:rPr>
        <w:tab/>
        <w:t>Although they were established as far back as in the nineteenth century, as a way to cherish traditional culture and local customs, the chitalishta have adapted their actual operations for the purpose of applying safeguarding methods pertinent to intangible cultural heritage. Community members share common values between generations while implementing social and educational activities that include the organization of cultural celebrations, festivals and exhibitions, the establishment of local centres for documentation and archiving, and raising awareness about specific elements of intangible cultural heritage.</w:t>
      </w:r>
    </w:p>
    <w:p w14:paraId="44E219FA" w14:textId="3D7412B3" w:rsidR="00516853" w:rsidRPr="0067772F" w:rsidRDefault="00516853" w:rsidP="00516853">
      <w:pPr>
        <w:tabs>
          <w:tab w:val="left" w:pos="567"/>
          <w:tab w:val="left" w:pos="1134"/>
          <w:tab w:val="left" w:pos="1701"/>
          <w:tab w:val="left" w:pos="2268"/>
        </w:tabs>
        <w:spacing w:before="120" w:after="120"/>
        <w:ind w:left="1701" w:hanging="567"/>
        <w:jc w:val="both"/>
        <w:rPr>
          <w:rFonts w:ascii="Arial" w:hAnsi="Arial" w:cs="Arial"/>
          <w:b/>
          <w:noProof/>
          <w:sz w:val="22"/>
          <w:szCs w:val="22"/>
          <w:lang w:val="en-GB"/>
        </w:rPr>
      </w:pPr>
      <w:r w:rsidRPr="0067772F">
        <w:rPr>
          <w:rFonts w:ascii="Arial" w:hAnsi="Arial" w:cs="Arial"/>
          <w:noProof/>
          <w:sz w:val="22"/>
          <w:szCs w:val="22"/>
          <w:lang w:val="en-GB"/>
        </w:rPr>
        <w:t>P.2:</w:t>
      </w:r>
      <w:r w:rsidRPr="0067772F">
        <w:rPr>
          <w:rFonts w:ascii="Arial" w:hAnsi="Arial" w:cs="Arial"/>
          <w:noProof/>
          <w:sz w:val="22"/>
          <w:szCs w:val="22"/>
          <w:lang w:val="en-GB"/>
        </w:rPr>
        <w:tab/>
        <w:t xml:space="preserve">While chitalishta centres operate as NGO structures, essentially at the local and national levels, they are also capable of operating at the regional and international levels. Cooperation with partner institutions from neighboring countries is indicated in the form, as well as with the category 2 centre </w:t>
      </w:r>
      <w:r w:rsidR="002A34EF">
        <w:rPr>
          <w:rFonts w:ascii="Arial" w:hAnsi="Arial" w:cs="Arial"/>
          <w:noProof/>
          <w:sz w:val="22"/>
          <w:szCs w:val="22"/>
          <w:lang w:val="en-GB"/>
        </w:rPr>
        <w:t xml:space="preserve">under the auspices of UNESCO based </w:t>
      </w:r>
      <w:r w:rsidRPr="0067772F">
        <w:rPr>
          <w:rFonts w:ascii="Arial" w:hAnsi="Arial" w:cs="Arial"/>
          <w:noProof/>
          <w:sz w:val="22"/>
          <w:szCs w:val="22"/>
          <w:lang w:val="en-GB"/>
        </w:rPr>
        <w:t>in Sofia</w:t>
      </w:r>
      <w:r w:rsidR="002A34EF">
        <w:rPr>
          <w:rFonts w:ascii="Arial" w:hAnsi="Arial" w:cs="Arial"/>
          <w:noProof/>
          <w:sz w:val="22"/>
          <w:szCs w:val="22"/>
          <w:lang w:val="en-GB"/>
        </w:rPr>
        <w:t xml:space="preserve"> (</w:t>
      </w:r>
      <w:r w:rsidR="002A34EF" w:rsidRPr="002A34EF">
        <w:rPr>
          <w:rFonts w:ascii="Arial" w:hAnsi="Arial" w:cs="Arial"/>
          <w:noProof/>
          <w:sz w:val="22"/>
          <w:szCs w:val="22"/>
          <w:lang w:val="en-GB"/>
        </w:rPr>
        <w:t>Regional Centre for the Safeguarding of the Intangible Cultural Heritage in South-Eastern Europe</w:t>
      </w:r>
      <w:r w:rsidR="002A34EF">
        <w:rPr>
          <w:rFonts w:ascii="Arial" w:hAnsi="Arial" w:cs="Arial"/>
          <w:noProof/>
          <w:sz w:val="22"/>
          <w:szCs w:val="22"/>
          <w:lang w:val="en-GB"/>
        </w:rPr>
        <w:t>)</w:t>
      </w:r>
      <w:r w:rsidRPr="0067772F">
        <w:rPr>
          <w:rFonts w:ascii="Arial" w:hAnsi="Arial" w:cs="Arial"/>
          <w:noProof/>
          <w:sz w:val="22"/>
          <w:szCs w:val="22"/>
          <w:lang w:val="en-GB"/>
        </w:rPr>
        <w:t>, with its regional reach.</w:t>
      </w:r>
    </w:p>
    <w:p w14:paraId="310B6C41" w14:textId="1EA4CF08" w:rsidR="00516853" w:rsidRPr="0067772F" w:rsidRDefault="00516853" w:rsidP="00516853">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67772F">
        <w:rPr>
          <w:rFonts w:ascii="Arial" w:hAnsi="Arial" w:cs="Arial"/>
          <w:noProof/>
          <w:sz w:val="22"/>
          <w:szCs w:val="22"/>
          <w:lang w:val="en-GB"/>
        </w:rPr>
        <w:t>P.3:</w:t>
      </w:r>
      <w:r w:rsidRPr="0067772F">
        <w:rPr>
          <w:rFonts w:ascii="Arial" w:hAnsi="Arial" w:cs="Arial"/>
          <w:noProof/>
          <w:sz w:val="22"/>
          <w:szCs w:val="22"/>
          <w:lang w:val="en-GB"/>
        </w:rPr>
        <w:tab/>
        <w:t>Chitalishta are inclusive and self-regulatory structures. They are established by communities and work primarily at the local level. Their objectives and activities relate to the safeguarding of local traditions and addressing cultural needs through awareness-raising and educational activities, the dissemination of related cultural values, encouraging respect for the cultural diversity of various local traditions and engaging increasingly in international cooperation. Activities for children also contri</w:t>
      </w:r>
      <w:r w:rsidR="00A10706">
        <w:rPr>
          <w:rFonts w:ascii="Arial" w:hAnsi="Arial" w:cs="Arial"/>
          <w:noProof/>
          <w:sz w:val="22"/>
          <w:szCs w:val="22"/>
          <w:lang w:val="en-GB"/>
        </w:rPr>
        <w:t>bute to transmission processes.</w:t>
      </w:r>
    </w:p>
    <w:p w14:paraId="1E44CAB0" w14:textId="28FE28DB" w:rsidR="00516853" w:rsidRPr="0067772F" w:rsidRDefault="00E56B4D" w:rsidP="00516853">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67772F">
        <w:rPr>
          <w:rFonts w:ascii="Arial" w:hAnsi="Arial" w:cs="Arial"/>
          <w:noProof/>
          <w:sz w:val="22"/>
          <w:szCs w:val="22"/>
          <w:lang w:val="en-GB"/>
        </w:rPr>
        <w:t>P</w:t>
      </w:r>
      <w:r w:rsidR="00516853" w:rsidRPr="0067772F">
        <w:rPr>
          <w:rFonts w:ascii="Arial" w:hAnsi="Arial" w:cs="Arial"/>
          <w:noProof/>
          <w:sz w:val="22"/>
          <w:szCs w:val="22"/>
          <w:lang w:val="en-GB"/>
        </w:rPr>
        <w:t>.4:</w:t>
      </w:r>
      <w:r w:rsidR="00516853" w:rsidRPr="0067772F">
        <w:rPr>
          <w:rFonts w:ascii="Arial" w:hAnsi="Arial" w:cs="Arial"/>
          <w:noProof/>
          <w:sz w:val="22"/>
          <w:szCs w:val="22"/>
          <w:lang w:val="en-GB"/>
        </w:rPr>
        <w:tab/>
        <w:t>The centres are widely supported across the country by the public authorities, institutions and various audiences. Over the years, chitalishta have contributed to the safeguarding and transmission of intangible cultural heritage through various educational programmes and the documentation and promotion of local traditions</w:t>
      </w:r>
      <w:r w:rsidR="003C7A75">
        <w:rPr>
          <w:rFonts w:ascii="Arial" w:hAnsi="Arial" w:cs="Arial"/>
          <w:noProof/>
          <w:sz w:val="22"/>
          <w:szCs w:val="22"/>
          <w:lang w:val="en-GB"/>
        </w:rPr>
        <w:t>.</w:t>
      </w:r>
      <w:r w:rsidR="00516853" w:rsidRPr="0067772F">
        <w:rPr>
          <w:rFonts w:ascii="Arial" w:hAnsi="Arial" w:cs="Arial"/>
          <w:noProof/>
          <w:sz w:val="22"/>
          <w:szCs w:val="22"/>
          <w:lang w:val="en-GB"/>
        </w:rPr>
        <w:t xml:space="preserve"> </w:t>
      </w:r>
      <w:r w:rsidR="003C7A75">
        <w:rPr>
          <w:rFonts w:ascii="Arial" w:hAnsi="Arial" w:cs="Arial"/>
          <w:noProof/>
          <w:sz w:val="22"/>
          <w:szCs w:val="22"/>
          <w:lang w:val="en-GB"/>
        </w:rPr>
        <w:t>The s</w:t>
      </w:r>
      <w:r w:rsidR="003C7A75" w:rsidRPr="0067772F">
        <w:rPr>
          <w:rFonts w:ascii="Arial" w:hAnsi="Arial" w:cs="Arial"/>
          <w:noProof/>
          <w:sz w:val="22"/>
          <w:szCs w:val="22"/>
          <w:lang w:val="en-GB"/>
        </w:rPr>
        <w:t xml:space="preserve">pecific </w:t>
      </w:r>
      <w:r w:rsidR="00516853" w:rsidRPr="0067772F">
        <w:rPr>
          <w:rFonts w:ascii="Arial" w:hAnsi="Arial" w:cs="Arial"/>
          <w:noProof/>
          <w:sz w:val="22"/>
          <w:szCs w:val="22"/>
          <w:lang w:val="en-GB"/>
        </w:rPr>
        <w:t>responsibilities of chitalishta include offering support to bearers of traditions and updating the national ‘</w:t>
      </w:r>
      <w:r w:rsidR="00A10706">
        <w:rPr>
          <w:rFonts w:ascii="Arial" w:hAnsi="Arial" w:cs="Arial"/>
          <w:noProof/>
          <w:sz w:val="22"/>
          <w:szCs w:val="22"/>
          <w:lang w:val="en-GB"/>
        </w:rPr>
        <w:t>Living Human Treasures’ system.</w:t>
      </w:r>
    </w:p>
    <w:p w14:paraId="502089F1" w14:textId="536C6DB3" w:rsidR="00516853" w:rsidRPr="0067772F" w:rsidRDefault="00E56B4D" w:rsidP="00516853">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67772F">
        <w:rPr>
          <w:rFonts w:ascii="Arial" w:hAnsi="Arial" w:cs="Arial"/>
          <w:noProof/>
          <w:sz w:val="22"/>
          <w:szCs w:val="22"/>
          <w:lang w:val="en-GB"/>
        </w:rPr>
        <w:t>P</w:t>
      </w:r>
      <w:r w:rsidR="00516853" w:rsidRPr="0067772F">
        <w:rPr>
          <w:rFonts w:ascii="Arial" w:hAnsi="Arial" w:cs="Arial"/>
          <w:noProof/>
          <w:sz w:val="22"/>
          <w:szCs w:val="22"/>
          <w:lang w:val="en-GB"/>
        </w:rPr>
        <w:t>.5:</w:t>
      </w:r>
      <w:r w:rsidR="00516853" w:rsidRPr="0067772F">
        <w:rPr>
          <w:rFonts w:ascii="Arial" w:hAnsi="Arial" w:cs="Arial"/>
          <w:noProof/>
          <w:sz w:val="22"/>
          <w:szCs w:val="22"/>
          <w:lang w:val="en-GB"/>
        </w:rPr>
        <w:tab/>
        <w:t xml:space="preserve">Wide public consultations preceded the </w:t>
      </w:r>
      <w:r w:rsidR="002904C9" w:rsidRPr="0067772F">
        <w:rPr>
          <w:rFonts w:ascii="Arial" w:hAnsi="Arial" w:cs="Arial"/>
          <w:noProof/>
          <w:sz w:val="22"/>
          <w:szCs w:val="22"/>
          <w:lang w:val="en-GB"/>
        </w:rPr>
        <w:t>proposal</w:t>
      </w:r>
      <w:r w:rsidR="00516853" w:rsidRPr="0067772F">
        <w:rPr>
          <w:rFonts w:ascii="Arial" w:hAnsi="Arial" w:cs="Arial"/>
          <w:noProof/>
          <w:sz w:val="22"/>
          <w:szCs w:val="22"/>
          <w:lang w:val="en-GB"/>
        </w:rPr>
        <w:t>, and attestations of consent from twenty-nine chitalishta and supporting organizations are provided.</w:t>
      </w:r>
      <w:r w:rsidR="00516853" w:rsidRPr="0067772F">
        <w:rPr>
          <w:rFonts w:ascii="Arial" w:hAnsi="Arial" w:cs="Arial"/>
          <w:strike/>
          <w:noProof/>
          <w:sz w:val="22"/>
          <w:szCs w:val="22"/>
          <w:lang w:val="en-GB"/>
        </w:rPr>
        <w:t xml:space="preserve"> </w:t>
      </w:r>
      <w:r w:rsidR="00516853" w:rsidRPr="0067772F">
        <w:rPr>
          <w:rFonts w:ascii="Arial" w:hAnsi="Arial" w:cs="Arial"/>
          <w:noProof/>
          <w:sz w:val="22"/>
          <w:szCs w:val="22"/>
          <w:lang w:val="en-GB"/>
        </w:rPr>
        <w:t>Community involvement is integral to the planning and operations of these local community centres, with community members participating voluntarily as organizers, participants (as the transmitters of intangible cultural heritage and learners of living traditions) and audiences, often from an early age. However, more specific descriptions of how community members are involved in the acti</w:t>
      </w:r>
      <w:r w:rsidR="00A10706">
        <w:rPr>
          <w:rFonts w:ascii="Arial" w:hAnsi="Arial" w:cs="Arial"/>
          <w:noProof/>
          <w:sz w:val="22"/>
          <w:szCs w:val="22"/>
          <w:lang w:val="en-GB"/>
        </w:rPr>
        <w:t>vities are missing in the file.</w:t>
      </w:r>
    </w:p>
    <w:p w14:paraId="0B58D1BF" w14:textId="6C222D9F" w:rsidR="00516853" w:rsidRPr="0067772F" w:rsidRDefault="00E56B4D" w:rsidP="00516853">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67772F">
        <w:rPr>
          <w:rFonts w:ascii="Arial" w:hAnsi="Arial" w:cs="Arial"/>
          <w:noProof/>
          <w:sz w:val="22"/>
          <w:szCs w:val="22"/>
          <w:lang w:val="en-GB"/>
        </w:rPr>
        <w:t>P</w:t>
      </w:r>
      <w:r w:rsidR="00516853" w:rsidRPr="0067772F">
        <w:rPr>
          <w:rFonts w:ascii="Arial" w:hAnsi="Arial" w:cs="Arial"/>
          <w:noProof/>
          <w:sz w:val="22"/>
          <w:szCs w:val="22"/>
          <w:lang w:val="en-GB"/>
        </w:rPr>
        <w:t>.6:</w:t>
      </w:r>
      <w:r w:rsidR="00516853" w:rsidRPr="0067772F">
        <w:rPr>
          <w:rFonts w:ascii="Arial" w:hAnsi="Arial" w:cs="Arial"/>
          <w:noProof/>
          <w:sz w:val="22"/>
          <w:szCs w:val="22"/>
          <w:lang w:val="en-GB"/>
        </w:rPr>
        <w:tab/>
        <w:t xml:space="preserve">The chitalishta model could be applied in different local circumstances. The system and </w:t>
      </w:r>
      <w:r w:rsidR="003C7A75" w:rsidRPr="0067772F">
        <w:rPr>
          <w:rFonts w:ascii="Arial" w:hAnsi="Arial" w:cs="Arial"/>
          <w:noProof/>
          <w:sz w:val="22"/>
          <w:szCs w:val="22"/>
          <w:lang w:val="en-GB"/>
        </w:rPr>
        <w:t>organi</w:t>
      </w:r>
      <w:r w:rsidR="003C7A75">
        <w:rPr>
          <w:rFonts w:ascii="Arial" w:hAnsi="Arial" w:cs="Arial"/>
          <w:noProof/>
          <w:sz w:val="22"/>
          <w:szCs w:val="22"/>
          <w:lang w:val="en-GB"/>
        </w:rPr>
        <w:t>z</w:t>
      </w:r>
      <w:r w:rsidR="003C7A75" w:rsidRPr="0067772F">
        <w:rPr>
          <w:rFonts w:ascii="Arial" w:hAnsi="Arial" w:cs="Arial"/>
          <w:noProof/>
          <w:sz w:val="22"/>
          <w:szCs w:val="22"/>
          <w:lang w:val="en-GB"/>
        </w:rPr>
        <w:t xml:space="preserve">ational </w:t>
      </w:r>
      <w:r w:rsidR="00516853" w:rsidRPr="0067772F">
        <w:rPr>
          <w:rFonts w:ascii="Arial" w:hAnsi="Arial" w:cs="Arial"/>
          <w:noProof/>
          <w:sz w:val="22"/>
          <w:szCs w:val="22"/>
          <w:lang w:val="en-GB"/>
        </w:rPr>
        <w:t>structure is inherently adaptable, as its many centres have proven through programmes and activities that are shaped by the aspirations and involvement of the various local communities that run them. As such, the centres can readily respond to community-based needs, while still being guided by common national regulations, and the broad support of the authorities is ensured. Chitalishta are a natural place for informal education and grassroot projects and are characterized by tolerance towards different cultural traditions, thus ensuring respect for cultural diversity at the regional, subreg</w:t>
      </w:r>
      <w:r w:rsidR="00A10706">
        <w:rPr>
          <w:rFonts w:ascii="Arial" w:hAnsi="Arial" w:cs="Arial"/>
          <w:noProof/>
          <w:sz w:val="22"/>
          <w:szCs w:val="22"/>
          <w:lang w:val="en-GB"/>
        </w:rPr>
        <w:t>ional and international levels.</w:t>
      </w:r>
    </w:p>
    <w:p w14:paraId="69735524" w14:textId="763D2804" w:rsidR="00516853" w:rsidRPr="0067772F" w:rsidRDefault="00516853" w:rsidP="00516853">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67772F">
        <w:rPr>
          <w:rFonts w:ascii="Arial" w:hAnsi="Arial" w:cs="Arial"/>
          <w:noProof/>
          <w:sz w:val="22"/>
          <w:szCs w:val="22"/>
          <w:lang w:val="en-GB"/>
        </w:rPr>
        <w:t>P.7:</w:t>
      </w:r>
      <w:r w:rsidRPr="0067772F">
        <w:rPr>
          <w:rFonts w:ascii="Arial" w:hAnsi="Arial" w:cs="Arial"/>
          <w:noProof/>
          <w:sz w:val="22"/>
          <w:szCs w:val="22"/>
          <w:lang w:val="en-GB"/>
        </w:rPr>
        <w:tab/>
        <w:t>The file demonstrates the commitment of the various stakeholders involved with the chitalishta to contributing to the dissemination of its practices and the learning accumulated. The partnerships and collaboration with various institutions attest to this; these include the Regional Cent</w:t>
      </w:r>
      <w:r w:rsidR="002904C9" w:rsidRPr="0067772F">
        <w:rPr>
          <w:rFonts w:ascii="Arial" w:hAnsi="Arial" w:cs="Arial"/>
          <w:noProof/>
          <w:sz w:val="22"/>
          <w:szCs w:val="22"/>
          <w:lang w:val="en-GB"/>
        </w:rPr>
        <w:t>re</w:t>
      </w:r>
      <w:r w:rsidRPr="0067772F">
        <w:rPr>
          <w:rFonts w:ascii="Arial" w:hAnsi="Arial" w:cs="Arial"/>
          <w:noProof/>
          <w:sz w:val="22"/>
          <w:szCs w:val="22"/>
          <w:lang w:val="en-GB"/>
        </w:rPr>
        <w:t xml:space="preserve"> for Safeguarding Intangible Cultural Heritage in South</w:t>
      </w:r>
      <w:r w:rsidR="002A34EF">
        <w:rPr>
          <w:rFonts w:ascii="Arial" w:hAnsi="Arial" w:cs="Arial"/>
          <w:noProof/>
          <w:sz w:val="22"/>
          <w:szCs w:val="22"/>
          <w:lang w:val="en-GB"/>
        </w:rPr>
        <w:t>-E</w:t>
      </w:r>
      <w:r w:rsidRPr="0067772F">
        <w:rPr>
          <w:rFonts w:ascii="Arial" w:hAnsi="Arial" w:cs="Arial"/>
          <w:noProof/>
          <w:sz w:val="22"/>
          <w:szCs w:val="22"/>
          <w:lang w:val="en-GB"/>
        </w:rPr>
        <w:t>astern Europe, Sofia, the Ethnographic Museum, the Institute for Ethnology and Folklore Studies and the National Center for Intangible Cultural Heritage. A specialized website has been establ</w:t>
      </w:r>
      <w:r w:rsidR="00A10706">
        <w:rPr>
          <w:rFonts w:ascii="Arial" w:hAnsi="Arial" w:cs="Arial"/>
          <w:noProof/>
          <w:sz w:val="22"/>
          <w:szCs w:val="22"/>
          <w:lang w:val="en-GB"/>
        </w:rPr>
        <w:t>ished to promote the programme.</w:t>
      </w:r>
    </w:p>
    <w:p w14:paraId="08962E3B" w14:textId="23351A04" w:rsidR="00516853" w:rsidRPr="0067772F" w:rsidRDefault="00E56B4D" w:rsidP="00516853">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67772F">
        <w:rPr>
          <w:rFonts w:ascii="Arial" w:hAnsi="Arial" w:cs="Arial"/>
          <w:noProof/>
          <w:sz w:val="22"/>
          <w:szCs w:val="22"/>
          <w:lang w:val="en-GB"/>
        </w:rPr>
        <w:t>P</w:t>
      </w:r>
      <w:r w:rsidR="00516853" w:rsidRPr="0067772F">
        <w:rPr>
          <w:rFonts w:ascii="Arial" w:hAnsi="Arial" w:cs="Arial"/>
          <w:noProof/>
          <w:sz w:val="22"/>
          <w:szCs w:val="22"/>
          <w:lang w:val="en-GB"/>
        </w:rPr>
        <w:t>.8:</w:t>
      </w:r>
      <w:r w:rsidR="00516853" w:rsidRPr="0067772F">
        <w:rPr>
          <w:rFonts w:ascii="Arial" w:hAnsi="Arial" w:cs="Arial"/>
          <w:noProof/>
          <w:sz w:val="22"/>
          <w:szCs w:val="22"/>
          <w:lang w:val="en-GB"/>
        </w:rPr>
        <w:tab/>
        <w:t xml:space="preserve">The Control Commission – a self-regulatory body internal to each chitalishte – carries out an assessment of the activities. As required </w:t>
      </w:r>
      <w:r w:rsidR="00360DAD">
        <w:rPr>
          <w:rFonts w:ascii="Arial" w:hAnsi="Arial" w:cs="Arial"/>
          <w:noProof/>
          <w:sz w:val="22"/>
          <w:szCs w:val="22"/>
          <w:lang w:val="en-GB"/>
        </w:rPr>
        <w:t>by</w:t>
      </w:r>
      <w:r w:rsidR="00360DAD" w:rsidRPr="0067772F">
        <w:rPr>
          <w:rFonts w:ascii="Arial" w:hAnsi="Arial" w:cs="Arial"/>
          <w:noProof/>
          <w:sz w:val="22"/>
          <w:szCs w:val="22"/>
          <w:lang w:val="en-GB"/>
        </w:rPr>
        <w:t xml:space="preserve"> </w:t>
      </w:r>
      <w:r w:rsidR="00516853" w:rsidRPr="0067772F">
        <w:rPr>
          <w:rFonts w:ascii="Arial" w:hAnsi="Arial" w:cs="Arial"/>
          <w:noProof/>
          <w:sz w:val="22"/>
          <w:szCs w:val="22"/>
          <w:lang w:val="en-GB"/>
        </w:rPr>
        <w:t>national law under the Chitalishte Act, the General Assembly of each centre submits an adopted programme to the municipal authorities. There are continuous cycles of self- and external control, and each Chitalishte is required to fill in a questionnaire from the Minist</w:t>
      </w:r>
      <w:r w:rsidR="00A10706">
        <w:rPr>
          <w:rFonts w:ascii="Arial" w:hAnsi="Arial" w:cs="Arial"/>
          <w:noProof/>
          <w:sz w:val="22"/>
          <w:szCs w:val="22"/>
          <w:lang w:val="en-GB"/>
        </w:rPr>
        <w:t>ry of Culture for that purpose.</w:t>
      </w:r>
    </w:p>
    <w:p w14:paraId="04785358" w14:textId="291EC0C7" w:rsidR="00516853" w:rsidRPr="0067772F" w:rsidRDefault="00516853" w:rsidP="00516853">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67772F">
        <w:rPr>
          <w:rFonts w:ascii="Arial" w:hAnsi="Arial" w:cs="Arial"/>
          <w:noProof/>
          <w:sz w:val="22"/>
          <w:szCs w:val="22"/>
          <w:lang w:val="en-GB"/>
        </w:rPr>
        <w:t>P.9:</w:t>
      </w:r>
      <w:r w:rsidRPr="0067772F">
        <w:rPr>
          <w:rFonts w:ascii="Arial" w:hAnsi="Arial" w:cs="Arial"/>
          <w:noProof/>
          <w:sz w:val="22"/>
          <w:szCs w:val="22"/>
          <w:lang w:val="en-GB"/>
        </w:rPr>
        <w:tab/>
        <w:t>Chitalishta not only serve as centres of intangible cultural heritage, but also address a much broader spectrum of local issues and problems. They successfully contribute to the coordination of local and national policies and resources with regard to cultural heritage, and also work in continuous collaboration with schools, which significantly expands upon the possibilities for combining formal an</w:t>
      </w:r>
      <w:r w:rsidR="00A10706">
        <w:rPr>
          <w:rFonts w:ascii="Arial" w:hAnsi="Arial" w:cs="Arial"/>
          <w:noProof/>
          <w:sz w:val="22"/>
          <w:szCs w:val="22"/>
          <w:lang w:val="en-GB"/>
        </w:rPr>
        <w:t>d informal educational methods.</w:t>
      </w:r>
    </w:p>
    <w:p w14:paraId="17221C81" w14:textId="4EFC1993" w:rsidR="00516853" w:rsidRPr="0067772F" w:rsidRDefault="00516853" w:rsidP="00516853">
      <w:pPr>
        <w:numPr>
          <w:ilvl w:val="0"/>
          <w:numId w:val="37"/>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67772F">
        <w:rPr>
          <w:rFonts w:ascii="Arial" w:hAnsi="Arial" w:cs="Arial"/>
          <w:bCs/>
          <w:noProof/>
          <w:sz w:val="22"/>
          <w:szCs w:val="22"/>
          <w:u w:val="single"/>
          <w:lang w:val="en-GB"/>
        </w:rPr>
        <w:t>Selects</w:t>
      </w:r>
      <w:r w:rsidRPr="0067772F">
        <w:rPr>
          <w:rFonts w:ascii="Arial" w:hAnsi="Arial" w:cs="Arial"/>
          <w:bCs/>
          <w:noProof/>
          <w:sz w:val="22"/>
          <w:szCs w:val="22"/>
          <w:lang w:val="en-GB"/>
        </w:rPr>
        <w:t xml:space="preserve"> </w:t>
      </w:r>
      <w:r w:rsidRPr="0067772F">
        <w:rPr>
          <w:rFonts w:ascii="Arial" w:hAnsi="Arial" w:cs="Arial"/>
          <w:b/>
          <w:bCs/>
          <w:noProof/>
          <w:sz w:val="22"/>
          <w:szCs w:val="22"/>
          <w:lang w:val="en-GB"/>
        </w:rPr>
        <w:t>Bulgarian Chitalishte (Community Cultural Centre): practical experience in safeguarding the vitality of the Intangible Cultural Heritage</w:t>
      </w:r>
      <w:r w:rsidRPr="0067772F">
        <w:rPr>
          <w:rFonts w:ascii="Arial" w:hAnsi="Arial" w:cs="Arial"/>
          <w:bCs/>
          <w:noProof/>
          <w:sz w:val="22"/>
          <w:szCs w:val="22"/>
          <w:lang w:val="en-GB"/>
        </w:rPr>
        <w:t xml:space="preserve"> as a programme, project or activity best reflecting the principles and objectives of the Convention</w:t>
      </w:r>
      <w:r w:rsidR="00522839" w:rsidRPr="0067772F">
        <w:rPr>
          <w:rFonts w:ascii="Arial" w:hAnsi="Arial" w:cs="Arial"/>
          <w:bCs/>
          <w:noProof/>
          <w:sz w:val="22"/>
          <w:szCs w:val="22"/>
          <w:lang w:val="en-GB"/>
        </w:rPr>
        <w:t>;</w:t>
      </w:r>
    </w:p>
    <w:p w14:paraId="12AC49EC" w14:textId="386E0CCC" w:rsidR="00516853" w:rsidRPr="0067772F" w:rsidRDefault="00516853" w:rsidP="00516853">
      <w:pPr>
        <w:numPr>
          <w:ilvl w:val="0"/>
          <w:numId w:val="37"/>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67772F">
        <w:rPr>
          <w:rFonts w:ascii="Arial" w:hAnsi="Arial" w:cs="Arial"/>
          <w:bCs/>
          <w:noProof/>
          <w:sz w:val="22"/>
          <w:szCs w:val="22"/>
          <w:u w:val="single"/>
          <w:lang w:val="en-GB"/>
        </w:rPr>
        <w:t>Encourages</w:t>
      </w:r>
      <w:r w:rsidRPr="0067772F">
        <w:rPr>
          <w:rFonts w:ascii="Arial" w:hAnsi="Arial" w:cs="Arial"/>
          <w:bCs/>
          <w:noProof/>
          <w:sz w:val="22"/>
          <w:szCs w:val="22"/>
          <w:lang w:val="en-GB"/>
        </w:rPr>
        <w:t xml:space="preserve"> the State </w:t>
      </w:r>
      <w:r w:rsidR="00522839" w:rsidRPr="0067772F">
        <w:rPr>
          <w:rFonts w:ascii="Arial" w:hAnsi="Arial" w:cs="Arial"/>
          <w:bCs/>
          <w:noProof/>
          <w:sz w:val="22"/>
          <w:szCs w:val="22"/>
          <w:lang w:val="en-GB"/>
        </w:rPr>
        <w:t xml:space="preserve">Party </w:t>
      </w:r>
      <w:r w:rsidRPr="0067772F">
        <w:rPr>
          <w:rFonts w:ascii="Arial" w:hAnsi="Arial" w:cs="Arial"/>
          <w:bCs/>
          <w:noProof/>
          <w:sz w:val="22"/>
          <w:szCs w:val="22"/>
          <w:lang w:val="en-GB"/>
        </w:rPr>
        <w:t>to share, via regional and international platforms, the experiences relating to the chitalishte programmes and activities, notably in relation to community participation, providing examples of specific safeguarding methodolgies and measures.</w:t>
      </w:r>
    </w:p>
    <w:p w14:paraId="70CE00B1" w14:textId="3C928116" w:rsidR="00516853" w:rsidRPr="0067772F" w:rsidRDefault="00516853" w:rsidP="002B5B63">
      <w:pPr>
        <w:keepNext/>
        <w:tabs>
          <w:tab w:val="left" w:pos="567"/>
          <w:tab w:val="left" w:pos="1134"/>
          <w:tab w:val="left" w:pos="1701"/>
          <w:tab w:val="left" w:pos="2268"/>
        </w:tabs>
        <w:spacing w:before="360" w:after="120"/>
        <w:ind w:left="567"/>
        <w:jc w:val="both"/>
        <w:rPr>
          <w:rFonts w:ascii="Arial" w:hAnsi="Arial" w:cs="Arial"/>
          <w:sz w:val="22"/>
          <w:szCs w:val="22"/>
          <w:lang w:val="en-GB"/>
        </w:rPr>
      </w:pPr>
      <w:bookmarkStart w:id="6" w:name="DRAFT_DECISION_12_COM_11_e_3"/>
      <w:bookmarkEnd w:id="6"/>
      <w:r w:rsidRPr="0067772F">
        <w:rPr>
          <w:rFonts w:ascii="Arial" w:hAnsi="Arial" w:cs="Arial"/>
          <w:b/>
          <w:sz w:val="22"/>
          <w:szCs w:val="22"/>
          <w:lang w:val="en-GB"/>
        </w:rPr>
        <w:t xml:space="preserve">DRAFT DECISION 12.COM </w:t>
      </w:r>
      <w:r w:rsidRPr="0067772F">
        <w:rPr>
          <w:rFonts w:ascii="Arial" w:hAnsi="Arial" w:cs="Arial"/>
          <w:b/>
          <w:noProof/>
          <w:sz w:val="22"/>
          <w:szCs w:val="22"/>
          <w:lang w:val="en-US"/>
        </w:rPr>
        <w:t>11.e.3</w:t>
      </w:r>
      <w:r w:rsidR="00C071C0" w:rsidRPr="0067772F">
        <w:rPr>
          <w:rFonts w:ascii="Arial" w:hAnsi="Arial" w:cs="Arial"/>
          <w:b/>
          <w:noProof/>
          <w:sz w:val="22"/>
          <w:szCs w:val="22"/>
          <w:lang w:val="en-US"/>
        </w:rPr>
        <w:tab/>
      </w:r>
      <w:r w:rsidR="00D01464" w:rsidRPr="002B5B63">
        <w:rPr>
          <w:rFonts w:ascii="Arial" w:hAnsi="Arial" w:cs="Arial"/>
          <w:noProof/>
          <w:sz w:val="22"/>
          <w:szCs w:val="22"/>
          <w:lang w:val="en-US" w:eastAsia="ko-KR"/>
        </w:rPr>
        <w:drawing>
          <wp:inline distT="0" distB="0" distL="0" distR="0" wp14:anchorId="2810A6F8" wp14:editId="70C10C66">
            <wp:extent cx="104775" cy="104775"/>
            <wp:effectExtent l="0" t="0" r="9525" b="9525"/>
            <wp:docPr id="20" name="Picture 2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29FD73C6" w14:textId="77777777" w:rsidR="00516853" w:rsidRPr="0067772F" w:rsidRDefault="00516853" w:rsidP="00516853">
      <w:pPr>
        <w:keepNext/>
        <w:tabs>
          <w:tab w:val="left" w:pos="567"/>
          <w:tab w:val="left" w:pos="1134"/>
          <w:tab w:val="left" w:pos="1701"/>
          <w:tab w:val="left" w:pos="2268"/>
        </w:tabs>
        <w:spacing w:before="120" w:after="120"/>
        <w:ind w:left="567"/>
        <w:jc w:val="both"/>
        <w:rPr>
          <w:rFonts w:ascii="Arial" w:eastAsia="SimSun" w:hAnsi="Arial" w:cs="Arial"/>
          <w:sz w:val="22"/>
          <w:szCs w:val="22"/>
          <w:lang w:val="en-GB" w:eastAsia="zh-CN"/>
        </w:rPr>
      </w:pPr>
      <w:r w:rsidRPr="0067772F">
        <w:rPr>
          <w:rFonts w:ascii="Arial" w:eastAsia="SimSun" w:hAnsi="Arial" w:cs="Arial"/>
          <w:sz w:val="22"/>
          <w:szCs w:val="22"/>
          <w:lang w:val="en-GB" w:eastAsia="zh-CN"/>
        </w:rPr>
        <w:t>The Committee</w:t>
      </w:r>
    </w:p>
    <w:p w14:paraId="7B4F34F0" w14:textId="77777777" w:rsidR="00516853" w:rsidRPr="0067772F" w:rsidRDefault="00516853" w:rsidP="00516853">
      <w:pPr>
        <w:numPr>
          <w:ilvl w:val="0"/>
          <w:numId w:val="38"/>
        </w:numPr>
        <w:tabs>
          <w:tab w:val="left" w:pos="1134"/>
          <w:tab w:val="left" w:pos="1701"/>
          <w:tab w:val="left" w:pos="2268"/>
        </w:tabs>
        <w:spacing w:before="120" w:after="120"/>
        <w:ind w:left="1134" w:hanging="567"/>
        <w:jc w:val="both"/>
        <w:rPr>
          <w:rFonts w:ascii="Arial" w:hAnsi="Arial" w:cs="Arial"/>
          <w:sz w:val="22"/>
          <w:szCs w:val="22"/>
          <w:lang w:val="en-GB"/>
        </w:rPr>
      </w:pPr>
      <w:r w:rsidRPr="0067772F">
        <w:rPr>
          <w:rFonts w:ascii="Arial" w:hAnsi="Arial" w:cs="Arial"/>
          <w:noProof/>
          <w:sz w:val="22"/>
          <w:szCs w:val="22"/>
          <w:u w:val="single"/>
          <w:lang w:val="en-GB"/>
        </w:rPr>
        <w:t>Takes note</w:t>
      </w:r>
      <w:r w:rsidRPr="0067772F">
        <w:rPr>
          <w:rFonts w:ascii="Arial" w:hAnsi="Arial" w:cs="Arial"/>
          <w:noProof/>
          <w:sz w:val="22"/>
          <w:szCs w:val="22"/>
          <w:lang w:val="en-GB"/>
        </w:rPr>
        <w:t xml:space="preserve"> that Egypt has proposed </w:t>
      </w:r>
      <w:r w:rsidRPr="0067772F">
        <w:rPr>
          <w:rFonts w:ascii="Arial" w:hAnsi="Arial" w:cs="Arial"/>
          <w:b/>
          <w:noProof/>
          <w:sz w:val="22"/>
          <w:szCs w:val="22"/>
          <w:lang w:val="en-GB"/>
        </w:rPr>
        <w:t>Documenting, preserving, training and promoting the Egyptian intangible heritage of the art and crafts of Tally in Upper Egypt</w:t>
      </w:r>
      <w:r w:rsidRPr="0067772F">
        <w:rPr>
          <w:rFonts w:ascii="Arial" w:hAnsi="Arial" w:cs="Arial"/>
          <w:noProof/>
          <w:sz w:val="22"/>
          <w:szCs w:val="22"/>
          <w:lang w:val="en-GB"/>
        </w:rPr>
        <w:t xml:space="preserve"> (No. 00963) for selection and promotion by the Committee as a programme, project or activity best reflecting the principles and objectives of the Convention:</w:t>
      </w:r>
    </w:p>
    <w:p w14:paraId="28AEDC5E" w14:textId="4733C8F8" w:rsidR="00516853" w:rsidRPr="0067772F" w:rsidRDefault="00516853" w:rsidP="00516853">
      <w:pPr>
        <w:tabs>
          <w:tab w:val="left" w:pos="1134"/>
          <w:tab w:val="left" w:pos="1701"/>
          <w:tab w:val="left" w:pos="2268"/>
        </w:tabs>
        <w:spacing w:before="120" w:after="120"/>
        <w:ind w:left="1134"/>
        <w:jc w:val="both"/>
        <w:rPr>
          <w:rFonts w:ascii="Arial" w:hAnsi="Arial" w:cs="Arial"/>
          <w:sz w:val="22"/>
          <w:szCs w:val="22"/>
          <w:lang w:val="en-GB"/>
        </w:rPr>
      </w:pPr>
      <w:r w:rsidRPr="0067772F">
        <w:rPr>
          <w:rFonts w:ascii="Arial" w:hAnsi="Arial" w:cs="Arial"/>
          <w:noProof/>
          <w:sz w:val="22"/>
          <w:szCs w:val="22"/>
          <w:lang w:val="en-GB"/>
        </w:rPr>
        <w:t xml:space="preserve">The term tally refers to an Egyptian type of tinsel embroidery created by women in Upper Egypt, traditionally used to decorate traditional dresses and veils. For centuries, the craft has been transmitted from generation to generation and is key to understanding traditional modes of behaviour in the community, with the traditional motifs reflecting the continuity of Egyptian cultural heritage. The art of tally is a major profession that has influenced the structure of the village community and the community’s engagement in this craft has led to the empowerment of its female members. However, the craft has undergone many fluctuations, nearing extinction by the </w:t>
      </w:r>
      <w:r w:rsidR="00EF2E14" w:rsidRPr="0067772F">
        <w:rPr>
          <w:rFonts w:ascii="Arial" w:hAnsi="Arial" w:cs="Arial"/>
          <w:noProof/>
          <w:sz w:val="22"/>
          <w:szCs w:val="22"/>
          <w:lang w:val="en-GB"/>
        </w:rPr>
        <w:t>19</w:t>
      </w:r>
      <w:r w:rsidRPr="0067772F">
        <w:rPr>
          <w:rFonts w:ascii="Arial" w:hAnsi="Arial" w:cs="Arial"/>
          <w:noProof/>
          <w:sz w:val="22"/>
          <w:szCs w:val="22"/>
          <w:lang w:val="en-GB"/>
        </w:rPr>
        <w:t>80s. In 2002, a programme was initiated to revitalize the art by training and encouraging more women to engage with the craft, creating employment opportunities for the women of the village. The project involved four stages: interviewing women who remember the secrets of the art and targeting those interested in learning the craft; two training programmes; an in-depth community study of the village of Gazieret Shandaweel; and the promotion of the craft nationally and internationally. At the national level, tally is now visible in many shops and galleries, and it is also starting to gain recognition internationally.</w:t>
      </w:r>
    </w:p>
    <w:p w14:paraId="5748BB51" w14:textId="1687C7FF" w:rsidR="00516853" w:rsidRPr="0067772F" w:rsidRDefault="00516853" w:rsidP="00516853">
      <w:pPr>
        <w:keepNext/>
        <w:numPr>
          <w:ilvl w:val="0"/>
          <w:numId w:val="38"/>
        </w:numPr>
        <w:tabs>
          <w:tab w:val="left" w:pos="567"/>
          <w:tab w:val="left" w:pos="1134"/>
          <w:tab w:val="left" w:pos="1701"/>
          <w:tab w:val="left" w:pos="2268"/>
        </w:tabs>
        <w:spacing w:before="120" w:after="120"/>
        <w:ind w:left="1134" w:hanging="567"/>
        <w:jc w:val="both"/>
        <w:rPr>
          <w:rFonts w:ascii="Arial" w:hAnsi="Arial" w:cs="Arial"/>
          <w:sz w:val="22"/>
          <w:szCs w:val="22"/>
          <w:lang w:val="en-GB"/>
        </w:rPr>
      </w:pPr>
      <w:r w:rsidRPr="0067772F">
        <w:rPr>
          <w:rFonts w:ascii="Arial" w:hAnsi="Arial" w:cs="Arial"/>
          <w:noProof/>
          <w:sz w:val="22"/>
          <w:szCs w:val="22"/>
          <w:u w:val="single"/>
          <w:lang w:val="en-GB"/>
        </w:rPr>
        <w:t>Decides</w:t>
      </w:r>
      <w:r w:rsidRPr="0067772F">
        <w:rPr>
          <w:rFonts w:ascii="Arial" w:hAnsi="Arial" w:cs="Arial"/>
          <w:noProof/>
          <w:sz w:val="22"/>
          <w:szCs w:val="22"/>
          <w:lang w:val="en-GB"/>
        </w:rPr>
        <w:t xml:space="preserve"> that, from the information included in the file, the programme responds as follows to the criteria for selection as a good safeguarding practice, as set out in </w:t>
      </w:r>
      <w:r w:rsidR="00C071C0" w:rsidRPr="0067772F">
        <w:rPr>
          <w:rFonts w:ascii="Arial" w:hAnsi="Arial" w:cs="Arial"/>
          <w:noProof/>
          <w:sz w:val="22"/>
          <w:szCs w:val="22"/>
          <w:lang w:val="en-GB"/>
        </w:rPr>
        <w:t>paragraph </w:t>
      </w:r>
      <w:r w:rsidRPr="0067772F">
        <w:rPr>
          <w:rFonts w:ascii="Arial" w:hAnsi="Arial" w:cs="Arial"/>
          <w:noProof/>
          <w:sz w:val="22"/>
          <w:szCs w:val="22"/>
          <w:lang w:val="en-GB"/>
        </w:rPr>
        <w:t>7 of the Operational Directives:</w:t>
      </w:r>
    </w:p>
    <w:p w14:paraId="6B49B730" w14:textId="52C0225E" w:rsidR="00516853" w:rsidRPr="0067772F" w:rsidRDefault="00E56B4D" w:rsidP="00516853">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67772F">
        <w:rPr>
          <w:rFonts w:ascii="Arial" w:hAnsi="Arial" w:cs="Arial"/>
          <w:noProof/>
          <w:sz w:val="22"/>
          <w:szCs w:val="22"/>
          <w:lang w:val="en-GB"/>
        </w:rPr>
        <w:t>P</w:t>
      </w:r>
      <w:r w:rsidR="00516853" w:rsidRPr="0067772F">
        <w:rPr>
          <w:rFonts w:ascii="Arial" w:hAnsi="Arial" w:cs="Arial"/>
          <w:noProof/>
          <w:sz w:val="22"/>
          <w:szCs w:val="22"/>
          <w:lang w:val="en-GB"/>
        </w:rPr>
        <w:t>.1:</w:t>
      </w:r>
      <w:r w:rsidR="00516853" w:rsidRPr="0067772F">
        <w:rPr>
          <w:rFonts w:ascii="Arial" w:hAnsi="Arial" w:cs="Arial"/>
          <w:noProof/>
          <w:sz w:val="22"/>
          <w:szCs w:val="22"/>
          <w:lang w:val="en-GB"/>
        </w:rPr>
        <w:tab/>
        <w:t xml:space="preserve">The safeguarding measures described – which were preceded by an in-depth anthropological study – include documenting the craft traditions, training community members to continue the practice, and promoting the project at the national and international levels. However, the file lacks clear descriptions of the methods of safeguarding, makes use of terms that go against the spirit of the Convention, including ‘the desire for vengeance’, and presents some confusion between the </w:t>
      </w:r>
      <w:r w:rsidR="00A10706">
        <w:rPr>
          <w:rFonts w:ascii="Arial" w:hAnsi="Arial" w:cs="Arial"/>
          <w:noProof/>
          <w:sz w:val="22"/>
          <w:szCs w:val="22"/>
          <w:lang w:val="en-GB"/>
        </w:rPr>
        <w:t>element and the project itself.</w:t>
      </w:r>
    </w:p>
    <w:p w14:paraId="06059724" w14:textId="67835EB1" w:rsidR="00516853" w:rsidRPr="0067772F" w:rsidRDefault="00516853" w:rsidP="00516853">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67772F">
        <w:rPr>
          <w:rFonts w:ascii="Arial" w:hAnsi="Arial" w:cs="Arial"/>
          <w:noProof/>
          <w:sz w:val="22"/>
          <w:szCs w:val="22"/>
          <w:lang w:val="en-GB"/>
        </w:rPr>
        <w:t>P.2:</w:t>
      </w:r>
      <w:r w:rsidRPr="0067772F">
        <w:rPr>
          <w:rFonts w:ascii="Arial" w:hAnsi="Arial" w:cs="Arial"/>
          <w:noProof/>
          <w:sz w:val="22"/>
          <w:szCs w:val="22"/>
          <w:lang w:val="en-GB"/>
        </w:rPr>
        <w:tab/>
        <w:t>This is an example of successful collaboration at the national and international levels, as represented by institutions, the private sector and civil society. The project’s promotion of coordination efforts is demonstrated by the various partnerships and joint efforts in place, such as that with UNESCO and international cooperation with craft fairs. The implementation of the project has contributed to reviving the element and demonstrated successful collaboration between international agencies and national organizations for the welfare</w:t>
      </w:r>
      <w:r w:rsidRPr="0067772F">
        <w:rPr>
          <w:rFonts w:ascii="Arial" w:hAnsi="Arial" w:cs="Arial"/>
          <w:b/>
          <w:noProof/>
          <w:sz w:val="22"/>
          <w:szCs w:val="22"/>
          <w:lang w:val="en-GB"/>
        </w:rPr>
        <w:t xml:space="preserve"> </w:t>
      </w:r>
      <w:r w:rsidRPr="0067772F">
        <w:rPr>
          <w:rFonts w:ascii="Arial" w:hAnsi="Arial" w:cs="Arial"/>
          <w:noProof/>
          <w:sz w:val="22"/>
          <w:szCs w:val="22"/>
          <w:lang w:val="en-GB"/>
        </w:rPr>
        <w:t>of the tradition bearers. The project has gained in international visibility and acquired a larger number of customers since the products ha</w:t>
      </w:r>
      <w:r w:rsidR="00A10706">
        <w:rPr>
          <w:rFonts w:ascii="Arial" w:hAnsi="Arial" w:cs="Arial"/>
          <w:noProof/>
          <w:sz w:val="22"/>
          <w:szCs w:val="22"/>
          <w:lang w:val="en-GB"/>
        </w:rPr>
        <w:t>ve reached international fairs.</w:t>
      </w:r>
    </w:p>
    <w:p w14:paraId="1F83E65E" w14:textId="03E1619D" w:rsidR="00516853" w:rsidRPr="0067772F" w:rsidRDefault="00516853" w:rsidP="00516853">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67772F">
        <w:rPr>
          <w:rFonts w:ascii="Arial" w:hAnsi="Arial" w:cs="Arial"/>
          <w:noProof/>
          <w:sz w:val="22"/>
          <w:szCs w:val="22"/>
          <w:lang w:val="en-GB"/>
        </w:rPr>
        <w:t>P.3:</w:t>
      </w:r>
      <w:r w:rsidRPr="0067772F">
        <w:rPr>
          <w:rFonts w:ascii="Arial" w:hAnsi="Arial" w:cs="Arial"/>
          <w:noProof/>
          <w:sz w:val="22"/>
          <w:szCs w:val="22"/>
          <w:lang w:val="en-GB"/>
        </w:rPr>
        <w:tab/>
        <w:t>The project reflects the importance of safeguarding intangible cultural heritage for community recognition and its results include raising awareness about intangible cultural heritage among the communities, as well as their involvement in international cooperation. Likewise, it entails a greater respect for women thanks to their economic achievements. However, there is still a concern over the conservative view of the role of women adopted in the communities concerned. Indeed, despite some positive impacts in terms of women’s empowerment in society, the social impact is not addressed, including the r</w:t>
      </w:r>
      <w:r w:rsidR="00A10706">
        <w:rPr>
          <w:rFonts w:ascii="Arial" w:hAnsi="Arial" w:cs="Arial"/>
          <w:noProof/>
          <w:sz w:val="22"/>
          <w:szCs w:val="22"/>
          <w:lang w:val="en-GB"/>
        </w:rPr>
        <w:t>ole of women within the family.</w:t>
      </w:r>
    </w:p>
    <w:p w14:paraId="22297705" w14:textId="04570D52" w:rsidR="00516853" w:rsidRPr="0067772F" w:rsidRDefault="00516853" w:rsidP="00516853">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67772F">
        <w:rPr>
          <w:rFonts w:ascii="Arial" w:hAnsi="Arial" w:cs="Arial"/>
          <w:noProof/>
          <w:sz w:val="22"/>
          <w:szCs w:val="22"/>
          <w:lang w:val="en-GB"/>
        </w:rPr>
        <w:t>P.4:</w:t>
      </w:r>
      <w:r w:rsidRPr="0067772F">
        <w:rPr>
          <w:rFonts w:ascii="Arial" w:hAnsi="Arial" w:cs="Arial"/>
          <w:noProof/>
          <w:sz w:val="22"/>
          <w:szCs w:val="22"/>
          <w:lang w:val="en-GB"/>
        </w:rPr>
        <w:tab/>
        <w:t>The project has provided jobs to members of the poorest sectors of the State Party. The undertaking began with 60 people, and there are now about 1000 women engaged in the production of tally, providing an income for families and contributing to a communal sense of identity. The increased number of practitioners and the growth in the production of tally has reinforced the continuity and transmission of the tradition. From an economic perspective, the quantitative data provided demonstrates the effectiveness of the project. However, the issue of how the increasing number of women involved in the practice have actually benefited, beyond earning money, is not sufficiently addressed. The possible social benefits are not described.</w:t>
      </w:r>
    </w:p>
    <w:p w14:paraId="2BC7D09C" w14:textId="136B3989" w:rsidR="00516853" w:rsidRPr="0067772F" w:rsidRDefault="00516853" w:rsidP="00516853">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67772F">
        <w:rPr>
          <w:rFonts w:ascii="Arial" w:hAnsi="Arial" w:cs="Arial"/>
          <w:noProof/>
          <w:sz w:val="22"/>
          <w:szCs w:val="22"/>
          <w:lang w:val="en-GB"/>
        </w:rPr>
        <w:t>P.5:</w:t>
      </w:r>
      <w:r w:rsidRPr="0067772F">
        <w:rPr>
          <w:rFonts w:ascii="Arial" w:hAnsi="Arial" w:cs="Arial"/>
          <w:noProof/>
          <w:sz w:val="22"/>
          <w:szCs w:val="22"/>
          <w:lang w:val="en-GB"/>
        </w:rPr>
        <w:tab/>
        <w:t xml:space="preserve">Researchers took an attentive approach to the communities. However, the file does not demonstrate whether the communities understood the objectives of the project and what this initiative was about. The approach to the activities seems to be too top-down, and thus not in line with the principles and objectives of the Convention. There is no clear evidence of whether the communities were involved in </w:t>
      </w:r>
      <w:r w:rsidR="00317645">
        <w:rPr>
          <w:rFonts w:ascii="Arial" w:hAnsi="Arial" w:cs="Arial"/>
          <w:noProof/>
          <w:sz w:val="22"/>
          <w:szCs w:val="22"/>
          <w:lang w:val="en-GB"/>
        </w:rPr>
        <w:t xml:space="preserve">the </w:t>
      </w:r>
      <w:r w:rsidRPr="0067772F">
        <w:rPr>
          <w:rFonts w:ascii="Arial" w:hAnsi="Arial" w:cs="Arial"/>
          <w:noProof/>
          <w:sz w:val="22"/>
          <w:szCs w:val="22"/>
          <w:lang w:val="en-GB"/>
        </w:rPr>
        <w:t xml:space="preserve">planning and overall execution the project, and if so how. Only two relevant bodies gave their consent to the </w:t>
      </w:r>
      <w:r w:rsidR="00AE15C6" w:rsidRPr="0067772F">
        <w:rPr>
          <w:rFonts w:ascii="Arial" w:hAnsi="Arial" w:cs="Arial"/>
          <w:noProof/>
          <w:sz w:val="22"/>
          <w:szCs w:val="22"/>
          <w:lang w:val="en-GB"/>
        </w:rPr>
        <w:t xml:space="preserve">proposal </w:t>
      </w:r>
      <w:r w:rsidRPr="0067772F">
        <w:rPr>
          <w:rFonts w:ascii="Arial" w:hAnsi="Arial" w:cs="Arial"/>
          <w:noProof/>
          <w:sz w:val="22"/>
          <w:szCs w:val="22"/>
          <w:lang w:val="en-GB"/>
        </w:rPr>
        <w:t>– and it is unclear who these bodies actually represent – while individual testimonies from the community b</w:t>
      </w:r>
      <w:r w:rsidR="00A10706">
        <w:rPr>
          <w:rFonts w:ascii="Arial" w:hAnsi="Arial" w:cs="Arial"/>
          <w:noProof/>
          <w:sz w:val="22"/>
          <w:szCs w:val="22"/>
          <w:lang w:val="en-GB"/>
        </w:rPr>
        <w:t>earers are lacking in the file.</w:t>
      </w:r>
    </w:p>
    <w:p w14:paraId="2B9AC9B0" w14:textId="54D29096" w:rsidR="00516853" w:rsidRPr="00A10706" w:rsidRDefault="00516853" w:rsidP="00516853">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67772F">
        <w:rPr>
          <w:rFonts w:ascii="Arial" w:hAnsi="Arial" w:cs="Arial"/>
          <w:noProof/>
          <w:sz w:val="22"/>
          <w:szCs w:val="22"/>
          <w:lang w:val="en-GB"/>
        </w:rPr>
        <w:t>P.6:</w:t>
      </w:r>
      <w:r w:rsidRPr="0067772F">
        <w:rPr>
          <w:rFonts w:ascii="Arial" w:hAnsi="Arial" w:cs="Arial"/>
          <w:noProof/>
          <w:sz w:val="22"/>
          <w:szCs w:val="22"/>
          <w:lang w:val="en-GB"/>
        </w:rPr>
        <w:tab/>
        <w:t>Apart from the obvious economic effects, the file states that the project contributes to gender equality and the empowerment of women, which is not clearly demonstrated through the description provided in the file. Therefore, it is not certain whether the practice could serve as a model for safeguardin</w:t>
      </w:r>
      <w:r w:rsidR="00A10706">
        <w:rPr>
          <w:rFonts w:ascii="Arial" w:hAnsi="Arial" w:cs="Arial"/>
          <w:noProof/>
          <w:sz w:val="22"/>
          <w:szCs w:val="22"/>
          <w:lang w:val="en-GB"/>
        </w:rPr>
        <w:t>g intangible cultural heritage.</w:t>
      </w:r>
    </w:p>
    <w:p w14:paraId="6C3836AF" w14:textId="57793C5B" w:rsidR="00516853" w:rsidRPr="0067772F" w:rsidRDefault="00516853" w:rsidP="00516853">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67772F">
        <w:rPr>
          <w:rFonts w:ascii="Arial" w:hAnsi="Arial" w:cs="Arial"/>
          <w:noProof/>
          <w:sz w:val="22"/>
          <w:szCs w:val="22"/>
          <w:lang w:val="en-GB"/>
        </w:rPr>
        <w:t>P.7:</w:t>
      </w:r>
      <w:r w:rsidRPr="0067772F">
        <w:rPr>
          <w:rFonts w:ascii="Arial" w:hAnsi="Arial" w:cs="Arial"/>
          <w:noProof/>
          <w:sz w:val="22"/>
          <w:szCs w:val="22"/>
          <w:lang w:val="en-GB"/>
        </w:rPr>
        <w:tab/>
        <w:t>There is some confusion in the file over whether the dissemination relates to the element itself, i.e. the tally craft, or the safeguarding programme. The file also does not demonstrate a willingness to ensure dissemination beyond the local level, whereas wider dissemination – i.e. at the subregional, regional and international levels – is one of the main goals of promoting programmes on the Register of Good Safeguarding Practices.</w:t>
      </w:r>
    </w:p>
    <w:p w14:paraId="4396B7EF" w14:textId="6FDF4041" w:rsidR="00516853" w:rsidRPr="00A10706" w:rsidRDefault="00516853" w:rsidP="00516853">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67772F">
        <w:rPr>
          <w:rFonts w:ascii="Arial" w:hAnsi="Arial" w:cs="Arial"/>
          <w:noProof/>
          <w:sz w:val="22"/>
          <w:szCs w:val="22"/>
          <w:lang w:val="en-GB"/>
        </w:rPr>
        <w:t>P.8:</w:t>
      </w:r>
      <w:r w:rsidRPr="0067772F">
        <w:rPr>
          <w:rFonts w:ascii="Arial" w:hAnsi="Arial" w:cs="Arial"/>
          <w:noProof/>
          <w:sz w:val="22"/>
          <w:szCs w:val="22"/>
          <w:lang w:val="en-GB"/>
        </w:rPr>
        <w:tab/>
        <w:t>The proposal describes the quantitative effects of the project, such as an increasing number of practitioners and leaders, more materials used and greater market demand. There is, however, limited evidence of the qualitative outcomes, such as the interest of youth in learning the tradition.</w:t>
      </w:r>
    </w:p>
    <w:p w14:paraId="081B1615" w14:textId="7139FF89" w:rsidR="00516853" w:rsidRPr="0067772F" w:rsidRDefault="00516853" w:rsidP="00516853">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67772F">
        <w:rPr>
          <w:rFonts w:ascii="Arial" w:hAnsi="Arial" w:cs="Arial"/>
          <w:noProof/>
          <w:sz w:val="22"/>
          <w:szCs w:val="22"/>
          <w:lang w:val="en-GB"/>
        </w:rPr>
        <w:t>P.9:</w:t>
      </w:r>
      <w:r w:rsidRPr="0067772F">
        <w:rPr>
          <w:rFonts w:ascii="Arial" w:hAnsi="Arial" w:cs="Arial"/>
          <w:noProof/>
          <w:sz w:val="22"/>
          <w:szCs w:val="22"/>
          <w:lang w:val="en-GB"/>
        </w:rPr>
        <w:tab/>
        <w:t>The suitability of the project as a model for developing countries can be considered on the basis of the outcome of the evaluation of criterion P.6. Moreover, the statements under P.6 are repeated in full under P.9. The submitting State did not provide any concrete explanation or example to demonstrate how the project could be applicable to the particular needs of developing countries. There is a strong reservation about the proj</w:t>
      </w:r>
      <w:r w:rsidR="00A10706">
        <w:rPr>
          <w:rFonts w:ascii="Arial" w:hAnsi="Arial" w:cs="Arial"/>
          <w:noProof/>
          <w:sz w:val="22"/>
          <w:szCs w:val="22"/>
          <w:lang w:val="en-GB"/>
        </w:rPr>
        <w:t xml:space="preserve">ect’s real effects in terms of </w:t>
      </w:r>
      <w:r w:rsidRPr="0067772F">
        <w:rPr>
          <w:rFonts w:ascii="Arial" w:hAnsi="Arial" w:cs="Arial"/>
          <w:noProof/>
          <w:sz w:val="22"/>
          <w:szCs w:val="22"/>
          <w:lang w:val="en-GB"/>
        </w:rPr>
        <w:t>women’s emancipation in the community concerned because of its potentially adverse impact on their status</w:t>
      </w:r>
      <w:r w:rsidR="00A10706">
        <w:rPr>
          <w:rFonts w:ascii="Arial" w:hAnsi="Arial" w:cs="Arial"/>
          <w:noProof/>
          <w:sz w:val="22"/>
          <w:szCs w:val="22"/>
          <w:lang w:val="en-GB"/>
        </w:rPr>
        <w:t xml:space="preserve"> and, notably, their workloads.</w:t>
      </w:r>
    </w:p>
    <w:p w14:paraId="122AD755" w14:textId="77777777" w:rsidR="00516853" w:rsidRPr="0067772F" w:rsidRDefault="00516853" w:rsidP="00516853">
      <w:pPr>
        <w:keepNext/>
        <w:numPr>
          <w:ilvl w:val="0"/>
          <w:numId w:val="38"/>
        </w:numPr>
        <w:tabs>
          <w:tab w:val="left" w:pos="567"/>
          <w:tab w:val="left" w:pos="1134"/>
          <w:tab w:val="left" w:pos="1701"/>
          <w:tab w:val="left" w:pos="2268"/>
        </w:tabs>
        <w:spacing w:before="120" w:after="120"/>
        <w:ind w:left="1134" w:hanging="567"/>
        <w:jc w:val="both"/>
        <w:rPr>
          <w:rFonts w:ascii="Arial" w:hAnsi="Arial" w:cs="Arial"/>
          <w:bCs/>
          <w:noProof/>
          <w:sz w:val="22"/>
          <w:szCs w:val="22"/>
          <w:lang w:val="en-GB"/>
        </w:rPr>
      </w:pPr>
      <w:r w:rsidRPr="0067772F">
        <w:rPr>
          <w:rFonts w:ascii="Arial" w:hAnsi="Arial" w:cs="Arial"/>
          <w:bCs/>
          <w:noProof/>
          <w:sz w:val="22"/>
          <w:szCs w:val="22"/>
          <w:u w:val="single"/>
          <w:lang w:val="en-GB"/>
        </w:rPr>
        <w:t>Decides not to select</w:t>
      </w:r>
      <w:r w:rsidRPr="0067772F">
        <w:rPr>
          <w:rFonts w:ascii="Arial" w:hAnsi="Arial" w:cs="Arial"/>
          <w:bCs/>
          <w:noProof/>
          <w:sz w:val="22"/>
          <w:szCs w:val="22"/>
          <w:lang w:val="en-GB"/>
        </w:rPr>
        <w:t xml:space="preserve"> </w:t>
      </w:r>
      <w:r w:rsidRPr="0067772F">
        <w:rPr>
          <w:rFonts w:ascii="Arial" w:hAnsi="Arial" w:cs="Arial"/>
          <w:b/>
          <w:bCs/>
          <w:noProof/>
          <w:sz w:val="22"/>
          <w:szCs w:val="22"/>
          <w:lang w:val="en-GB"/>
        </w:rPr>
        <w:t>Documenting, preserving, training and promoting the Egyptian intangible heritage of the art and crafts of Tally in Upper Egypt</w:t>
      </w:r>
      <w:r w:rsidRPr="0067772F">
        <w:rPr>
          <w:rFonts w:ascii="Arial" w:hAnsi="Arial" w:cs="Arial"/>
          <w:bCs/>
          <w:noProof/>
          <w:sz w:val="22"/>
          <w:szCs w:val="22"/>
          <w:lang w:val="en-GB"/>
        </w:rPr>
        <w:t xml:space="preserve"> as a programme, project or activity best reflecting the principles and objectives of the Convention;</w:t>
      </w:r>
    </w:p>
    <w:p w14:paraId="093E9DC0" w14:textId="1AD70346" w:rsidR="00516853" w:rsidRPr="0067772F" w:rsidRDefault="00516853" w:rsidP="00516853">
      <w:pPr>
        <w:keepNext/>
        <w:numPr>
          <w:ilvl w:val="0"/>
          <w:numId w:val="38"/>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67772F">
        <w:rPr>
          <w:rFonts w:ascii="Arial" w:hAnsi="Arial" w:cs="Arial"/>
          <w:bCs/>
          <w:sz w:val="22"/>
          <w:szCs w:val="22"/>
          <w:u w:val="single"/>
          <w:lang w:val="en-GB"/>
        </w:rPr>
        <w:t>Recommends</w:t>
      </w:r>
      <w:r w:rsidRPr="0067772F">
        <w:rPr>
          <w:rFonts w:ascii="Arial" w:hAnsi="Arial" w:cs="Arial"/>
          <w:bCs/>
          <w:sz w:val="22"/>
          <w:szCs w:val="22"/>
          <w:lang w:val="en-GB"/>
        </w:rPr>
        <w:t xml:space="preserve"> that the State Party be vigilant about the need to continuously involve the communities concerned in the conception, implementation and evaluation of the programme, thereby avoiding the adverse effects of a possible top-down approach</w:t>
      </w:r>
      <w:r w:rsidR="00522839" w:rsidRPr="0067772F">
        <w:rPr>
          <w:rFonts w:ascii="Arial" w:hAnsi="Arial" w:cs="Arial"/>
          <w:bCs/>
          <w:sz w:val="22"/>
          <w:szCs w:val="22"/>
          <w:lang w:val="en-GB"/>
        </w:rPr>
        <w:t>, as well as</w:t>
      </w:r>
      <w:r w:rsidR="007C0CD8">
        <w:rPr>
          <w:rFonts w:ascii="Arial" w:hAnsi="Arial" w:cs="Arial"/>
          <w:bCs/>
          <w:sz w:val="22"/>
          <w:szCs w:val="22"/>
          <w:lang w:val="en-GB"/>
        </w:rPr>
        <w:t xml:space="preserve"> </w:t>
      </w:r>
      <w:r w:rsidRPr="0067772F">
        <w:rPr>
          <w:rFonts w:ascii="Arial" w:hAnsi="Arial" w:cs="Arial"/>
          <w:bCs/>
          <w:sz w:val="22"/>
          <w:szCs w:val="22"/>
          <w:lang w:val="en-GB"/>
        </w:rPr>
        <w:t>about representing the role of women in a manner that is consistent with the principles of gender equality set out in the Convention.</w:t>
      </w:r>
    </w:p>
    <w:p w14:paraId="423677BC" w14:textId="40CF5396" w:rsidR="00516853" w:rsidRPr="0067772F" w:rsidRDefault="00516853" w:rsidP="002B5B63">
      <w:pPr>
        <w:keepNext/>
        <w:tabs>
          <w:tab w:val="left" w:pos="567"/>
          <w:tab w:val="left" w:pos="1134"/>
          <w:tab w:val="left" w:pos="1701"/>
          <w:tab w:val="left" w:pos="2268"/>
        </w:tabs>
        <w:spacing w:before="360" w:after="120"/>
        <w:ind w:left="567"/>
        <w:jc w:val="both"/>
        <w:rPr>
          <w:rFonts w:ascii="Arial" w:hAnsi="Arial" w:cs="Arial"/>
          <w:sz w:val="22"/>
          <w:szCs w:val="22"/>
          <w:lang w:val="en-GB"/>
        </w:rPr>
      </w:pPr>
      <w:bookmarkStart w:id="7" w:name="DRAFT_DECISION_12_COM_11_e_4"/>
      <w:bookmarkEnd w:id="7"/>
      <w:r w:rsidRPr="0067772F">
        <w:rPr>
          <w:rFonts w:ascii="Arial" w:hAnsi="Arial" w:cs="Arial"/>
          <w:b/>
          <w:sz w:val="22"/>
          <w:szCs w:val="22"/>
          <w:lang w:val="en-GB"/>
        </w:rPr>
        <w:t xml:space="preserve">DRAFT DECISION 12.COM </w:t>
      </w:r>
      <w:r w:rsidRPr="0067772F">
        <w:rPr>
          <w:rFonts w:ascii="Arial" w:hAnsi="Arial" w:cs="Arial"/>
          <w:b/>
          <w:noProof/>
          <w:sz w:val="22"/>
          <w:szCs w:val="22"/>
          <w:lang w:val="en-US"/>
        </w:rPr>
        <w:t>11.e.4</w:t>
      </w:r>
      <w:r w:rsidR="00C071C0" w:rsidRPr="0067772F">
        <w:rPr>
          <w:rFonts w:ascii="Arial" w:hAnsi="Arial" w:cs="Arial"/>
          <w:b/>
          <w:noProof/>
          <w:sz w:val="22"/>
          <w:szCs w:val="22"/>
          <w:lang w:val="en-US"/>
        </w:rPr>
        <w:tab/>
      </w:r>
      <w:r w:rsidR="00D01464" w:rsidRPr="002B5B63">
        <w:rPr>
          <w:rFonts w:ascii="Arial" w:hAnsi="Arial" w:cs="Arial"/>
          <w:noProof/>
          <w:sz w:val="22"/>
          <w:szCs w:val="22"/>
          <w:lang w:val="en-US" w:eastAsia="ko-KR"/>
        </w:rPr>
        <w:drawing>
          <wp:inline distT="0" distB="0" distL="0" distR="0" wp14:anchorId="14CA7990" wp14:editId="1C009800">
            <wp:extent cx="104775" cy="104775"/>
            <wp:effectExtent l="0" t="0" r="9525" b="9525"/>
            <wp:docPr id="21" name="Picture 21">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3E9C4ED9" w14:textId="77777777" w:rsidR="00516853" w:rsidRPr="0067772F" w:rsidRDefault="00516853" w:rsidP="00516853">
      <w:pPr>
        <w:keepNext/>
        <w:tabs>
          <w:tab w:val="left" w:pos="567"/>
          <w:tab w:val="left" w:pos="1134"/>
          <w:tab w:val="left" w:pos="1701"/>
          <w:tab w:val="left" w:pos="2268"/>
        </w:tabs>
        <w:spacing w:before="120" w:after="120"/>
        <w:ind w:left="567"/>
        <w:jc w:val="both"/>
        <w:rPr>
          <w:rFonts w:ascii="Arial" w:eastAsia="SimSun" w:hAnsi="Arial" w:cs="Arial"/>
          <w:sz w:val="22"/>
          <w:szCs w:val="22"/>
          <w:lang w:val="en-GB" w:eastAsia="zh-CN"/>
        </w:rPr>
      </w:pPr>
      <w:r w:rsidRPr="0067772F">
        <w:rPr>
          <w:rFonts w:ascii="Arial" w:eastAsia="SimSun" w:hAnsi="Arial" w:cs="Arial"/>
          <w:sz w:val="22"/>
          <w:szCs w:val="22"/>
          <w:lang w:val="en-GB" w:eastAsia="zh-CN"/>
        </w:rPr>
        <w:t>The Committee</w:t>
      </w:r>
    </w:p>
    <w:p w14:paraId="0D89B5B9" w14:textId="77777777" w:rsidR="00516853" w:rsidRPr="0067772F" w:rsidRDefault="00516853" w:rsidP="00516853">
      <w:pPr>
        <w:numPr>
          <w:ilvl w:val="0"/>
          <w:numId w:val="39"/>
        </w:numPr>
        <w:tabs>
          <w:tab w:val="left" w:pos="1134"/>
          <w:tab w:val="left" w:pos="1701"/>
          <w:tab w:val="left" w:pos="2268"/>
        </w:tabs>
        <w:spacing w:before="120" w:after="120"/>
        <w:ind w:left="1134" w:hanging="567"/>
        <w:jc w:val="both"/>
        <w:rPr>
          <w:rFonts w:ascii="Arial" w:hAnsi="Arial" w:cs="Arial"/>
          <w:sz w:val="22"/>
          <w:szCs w:val="22"/>
          <w:lang w:val="en-GB"/>
        </w:rPr>
      </w:pPr>
      <w:r w:rsidRPr="0067772F">
        <w:rPr>
          <w:rFonts w:ascii="Arial" w:hAnsi="Arial" w:cs="Arial"/>
          <w:noProof/>
          <w:sz w:val="22"/>
          <w:szCs w:val="22"/>
          <w:u w:val="single"/>
          <w:lang w:val="en-GB"/>
        </w:rPr>
        <w:t>Takes note</w:t>
      </w:r>
      <w:r w:rsidRPr="0067772F">
        <w:rPr>
          <w:rFonts w:ascii="Arial" w:hAnsi="Arial" w:cs="Arial"/>
          <w:noProof/>
          <w:sz w:val="22"/>
          <w:szCs w:val="22"/>
          <w:lang w:val="en-GB"/>
        </w:rPr>
        <w:t xml:space="preserve"> that Uzbekistan has proposed </w:t>
      </w:r>
      <w:r w:rsidRPr="0067772F">
        <w:rPr>
          <w:rFonts w:ascii="Arial" w:hAnsi="Arial" w:cs="Arial"/>
          <w:b/>
          <w:noProof/>
          <w:sz w:val="22"/>
          <w:szCs w:val="22"/>
          <w:lang w:val="en-GB"/>
        </w:rPr>
        <w:t>Margilan Crafts Development Centre, safeguarding of the atlas and adras making traditional technologies</w:t>
      </w:r>
      <w:r w:rsidRPr="0067772F">
        <w:rPr>
          <w:rFonts w:ascii="Arial" w:hAnsi="Arial" w:cs="Arial"/>
          <w:noProof/>
          <w:sz w:val="22"/>
          <w:szCs w:val="22"/>
          <w:lang w:val="en-GB"/>
        </w:rPr>
        <w:t xml:space="preserve"> (No. 01254) for selection and promotion by the Committee as a programme, project or activity best reflecting the principles and objectives of the Convention:</w:t>
      </w:r>
    </w:p>
    <w:p w14:paraId="770D3A58" w14:textId="7184A22F" w:rsidR="00516853" w:rsidRPr="0067772F" w:rsidRDefault="00516853" w:rsidP="00516853">
      <w:pPr>
        <w:tabs>
          <w:tab w:val="left" w:pos="1134"/>
          <w:tab w:val="left" w:pos="1701"/>
          <w:tab w:val="left" w:pos="2268"/>
        </w:tabs>
        <w:spacing w:before="120" w:after="120"/>
        <w:ind w:left="1134"/>
        <w:jc w:val="both"/>
        <w:rPr>
          <w:rFonts w:ascii="Arial" w:hAnsi="Arial" w:cs="Arial"/>
          <w:sz w:val="22"/>
          <w:szCs w:val="22"/>
          <w:lang w:val="en-GB"/>
        </w:rPr>
      </w:pPr>
      <w:r w:rsidRPr="0067772F">
        <w:rPr>
          <w:rFonts w:ascii="Arial" w:hAnsi="Arial" w:cs="Arial"/>
          <w:noProof/>
          <w:sz w:val="22"/>
          <w:szCs w:val="22"/>
          <w:lang w:val="en-GB"/>
        </w:rPr>
        <w:t xml:space="preserve">The history of ikat atlas and adras-making technologies in the territory of modern-day Uzbekistan dates back to the Late Antique Period. Historically, Margilan was the centre for making atlas and adras – vivid and fine traditional fabrics. Traditional crafts went through turbulent times during the Soviet period, jeopardizing some ancient handmade production technologies. Due to the acute need to revive and safeguard traditions at risk of disappearing, the local community came up with an initiative to launch the Crafts Development Centre (CDC) in 2007. The CDC’s goal is to safeguard, develop and promote the method of Uzbek traditional atlas and adras making through innovative training sessions, exhibitions and craft fairs, traditional textile festivals, and the publication of safeguarding materials and manuals. The CDC also promotes the use of natural materials, and supports the transmission of knowledge and skills about nature and the universe and their role in ensuring people’s health and wellbeing. The CDC’s success stems from its focus on </w:t>
      </w:r>
      <w:r w:rsidR="00E25F33">
        <w:rPr>
          <w:rFonts w:ascii="Arial" w:hAnsi="Arial" w:cs="Arial"/>
          <w:noProof/>
          <w:sz w:val="22"/>
          <w:szCs w:val="22"/>
          <w:lang w:val="en-GB"/>
        </w:rPr>
        <w:t xml:space="preserve">a spirit of </w:t>
      </w:r>
      <w:r w:rsidRPr="0067772F">
        <w:rPr>
          <w:rFonts w:ascii="Arial" w:hAnsi="Arial" w:cs="Arial"/>
          <w:noProof/>
          <w:sz w:val="22"/>
          <w:szCs w:val="22"/>
          <w:lang w:val="en-GB"/>
        </w:rPr>
        <w:t>partnership, and the local communities play a key role in its initiatives since there is a common understanding that atlas and adras fabrics are central to their identity.</w:t>
      </w:r>
    </w:p>
    <w:p w14:paraId="51842E64" w14:textId="20B64C9C" w:rsidR="00516853" w:rsidRPr="0067772F" w:rsidRDefault="00516853" w:rsidP="00516853">
      <w:pPr>
        <w:keepNext/>
        <w:numPr>
          <w:ilvl w:val="0"/>
          <w:numId w:val="39"/>
        </w:numPr>
        <w:tabs>
          <w:tab w:val="left" w:pos="567"/>
          <w:tab w:val="left" w:pos="1134"/>
          <w:tab w:val="left" w:pos="1701"/>
          <w:tab w:val="left" w:pos="2268"/>
        </w:tabs>
        <w:spacing w:before="120" w:after="120"/>
        <w:ind w:left="1134" w:hanging="567"/>
        <w:jc w:val="both"/>
        <w:rPr>
          <w:rFonts w:ascii="Arial" w:hAnsi="Arial" w:cs="Arial"/>
          <w:sz w:val="22"/>
          <w:szCs w:val="22"/>
          <w:lang w:val="en-GB"/>
        </w:rPr>
      </w:pPr>
      <w:r w:rsidRPr="0067772F">
        <w:rPr>
          <w:rFonts w:ascii="Arial" w:hAnsi="Arial" w:cs="Arial"/>
          <w:noProof/>
          <w:sz w:val="22"/>
          <w:szCs w:val="22"/>
          <w:u w:val="single"/>
          <w:lang w:val="en-GB"/>
        </w:rPr>
        <w:t>Decides</w:t>
      </w:r>
      <w:r w:rsidRPr="0067772F">
        <w:rPr>
          <w:rFonts w:ascii="Arial" w:hAnsi="Arial" w:cs="Arial"/>
          <w:noProof/>
          <w:sz w:val="22"/>
          <w:szCs w:val="22"/>
          <w:lang w:val="en-GB"/>
        </w:rPr>
        <w:t xml:space="preserve"> that, from the information included in the file, the programme responds as follows to the criteria for selection as a good safeguarding practice set out in </w:t>
      </w:r>
      <w:r w:rsidR="00C071C0" w:rsidRPr="0067772F">
        <w:rPr>
          <w:rFonts w:ascii="Arial" w:hAnsi="Arial" w:cs="Arial"/>
          <w:noProof/>
          <w:sz w:val="22"/>
          <w:szCs w:val="22"/>
          <w:lang w:val="en-GB"/>
        </w:rPr>
        <w:t>paragraph </w:t>
      </w:r>
      <w:r w:rsidRPr="0067772F">
        <w:rPr>
          <w:rFonts w:ascii="Arial" w:hAnsi="Arial" w:cs="Arial"/>
          <w:noProof/>
          <w:sz w:val="22"/>
          <w:szCs w:val="22"/>
          <w:lang w:val="en-GB"/>
        </w:rPr>
        <w:t>7 of the Operational Directives:</w:t>
      </w:r>
    </w:p>
    <w:p w14:paraId="56F485DF" w14:textId="4FF21F9D" w:rsidR="00516853" w:rsidRPr="0067772F" w:rsidRDefault="00516853" w:rsidP="00516853">
      <w:pPr>
        <w:tabs>
          <w:tab w:val="left" w:pos="567"/>
          <w:tab w:val="left" w:pos="1134"/>
          <w:tab w:val="left" w:pos="1701"/>
          <w:tab w:val="left" w:pos="2268"/>
        </w:tabs>
        <w:spacing w:before="120" w:after="120"/>
        <w:ind w:left="1701" w:hanging="567"/>
        <w:jc w:val="both"/>
        <w:rPr>
          <w:rFonts w:ascii="Arial" w:hAnsi="Arial" w:cs="Arial"/>
          <w:b/>
          <w:noProof/>
          <w:sz w:val="22"/>
          <w:szCs w:val="22"/>
          <w:lang w:val="en-GB"/>
        </w:rPr>
      </w:pPr>
      <w:r w:rsidRPr="0067772F">
        <w:rPr>
          <w:rFonts w:ascii="Arial" w:hAnsi="Arial" w:cs="Arial"/>
          <w:noProof/>
          <w:sz w:val="22"/>
          <w:szCs w:val="22"/>
          <w:lang w:val="en-GB"/>
        </w:rPr>
        <w:t>P.1:</w:t>
      </w:r>
      <w:r w:rsidRPr="0067772F">
        <w:rPr>
          <w:rFonts w:ascii="Arial" w:hAnsi="Arial" w:cs="Arial"/>
          <w:noProof/>
          <w:sz w:val="22"/>
          <w:szCs w:val="22"/>
          <w:lang w:val="en-GB"/>
        </w:rPr>
        <w:tab/>
        <w:t xml:space="preserve">The programme arose from the urgent need to revitalize the craft techniques and practices. Nowadays, it involves awareness-raising activities and transmission at various levels, adopting an inclusive approach for different social groups. In particular, it supports inter-generational transmission and transmission through non-formal training, with a focus on involving young people and promoting sustainable production through the use of natural fabrics and dyes as </w:t>
      </w:r>
      <w:r w:rsidR="00A10706">
        <w:rPr>
          <w:rFonts w:ascii="Arial" w:hAnsi="Arial" w:cs="Arial"/>
          <w:noProof/>
          <w:sz w:val="22"/>
          <w:szCs w:val="22"/>
          <w:lang w:val="en-GB"/>
        </w:rPr>
        <w:t>opposed to industrial products.</w:t>
      </w:r>
    </w:p>
    <w:p w14:paraId="7DC0AA27" w14:textId="1446152B" w:rsidR="00516853" w:rsidRPr="0067772F" w:rsidRDefault="00516853" w:rsidP="00516853">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67772F">
        <w:rPr>
          <w:rFonts w:ascii="Arial" w:hAnsi="Arial" w:cs="Arial"/>
          <w:noProof/>
          <w:sz w:val="22"/>
          <w:szCs w:val="22"/>
          <w:lang w:val="en-GB"/>
        </w:rPr>
        <w:t>P.2:</w:t>
      </w:r>
      <w:r w:rsidRPr="0067772F">
        <w:rPr>
          <w:rFonts w:ascii="Arial" w:hAnsi="Arial" w:cs="Arial"/>
          <w:noProof/>
          <w:sz w:val="22"/>
          <w:szCs w:val="22"/>
          <w:lang w:val="en-GB"/>
        </w:rPr>
        <w:tab/>
        <w:t>While the Margilan Crafts Development Centre mainly operates at the national level, Ikat craftsmanship is also promoted at the international level through such activities as exhibitions, craft fairs and international festivals. Moreover, the Centre also connects craftspeople with art connoisseurs, fashion designers and markets in general, thereby ensuring their promotion both nationwide and internationally.</w:t>
      </w:r>
    </w:p>
    <w:p w14:paraId="634C9AD1" w14:textId="01BAF00D" w:rsidR="00516853" w:rsidRPr="0067772F" w:rsidRDefault="00516853" w:rsidP="00516853">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67772F">
        <w:rPr>
          <w:rFonts w:ascii="Arial" w:hAnsi="Arial" w:cs="Arial"/>
          <w:noProof/>
          <w:sz w:val="22"/>
          <w:szCs w:val="22"/>
          <w:lang w:val="en-GB"/>
        </w:rPr>
        <w:t>P.3:</w:t>
      </w:r>
      <w:r w:rsidRPr="0067772F">
        <w:rPr>
          <w:rFonts w:ascii="Arial" w:hAnsi="Arial" w:cs="Arial"/>
          <w:noProof/>
          <w:sz w:val="22"/>
          <w:szCs w:val="22"/>
          <w:lang w:val="en-GB"/>
        </w:rPr>
        <w:tab/>
        <w:t xml:space="preserve">The Centre’s mission includes: safeguarding traditional atlas and adras-making as a practice of intangible cultural heritage; ensuring respect for this element of cultural heritage and its bearers; raising awareness about its importance; and promoting respect for diversity and human creativity. It also encourages sustainable development based on heritage values that boost self-employment and the generation of income, as </w:t>
      </w:r>
      <w:r w:rsidR="00A10706">
        <w:rPr>
          <w:rFonts w:ascii="Arial" w:hAnsi="Arial" w:cs="Arial"/>
          <w:noProof/>
          <w:sz w:val="22"/>
          <w:szCs w:val="22"/>
          <w:lang w:val="en-GB"/>
        </w:rPr>
        <w:t>well as the inclusion of youth.</w:t>
      </w:r>
    </w:p>
    <w:p w14:paraId="0CDC3F7C" w14:textId="70C59A38" w:rsidR="00516853" w:rsidRPr="0067772F" w:rsidRDefault="00516853" w:rsidP="00516853">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67772F">
        <w:rPr>
          <w:rFonts w:ascii="Arial" w:hAnsi="Arial" w:cs="Arial"/>
          <w:noProof/>
          <w:sz w:val="22"/>
          <w:szCs w:val="22"/>
          <w:lang w:val="en-GB"/>
        </w:rPr>
        <w:t>P.4:</w:t>
      </w:r>
      <w:r w:rsidRPr="0067772F">
        <w:rPr>
          <w:rFonts w:ascii="Arial" w:hAnsi="Arial" w:cs="Arial"/>
          <w:noProof/>
          <w:sz w:val="22"/>
          <w:szCs w:val="22"/>
          <w:lang w:val="en-GB"/>
        </w:rPr>
        <w:tab/>
        <w:t>The Centre has made a significant contribution to various safeguarding measures, all of which have an important social impact. Vast numbers of young people have taken part in training sessions, and the tradition now enjoys a growing number of participants and new bearers. The products have achieved a better position on the market, and no fewer than fifty new products have been developed by combining ancient know-how with modern design. Cooperative actions have been developed with charities and the project has addressed the most vulnerable categories of the population. The CDC’s activities also include the revitalization of the traditional processes of silk production, dyeing and other aspects of the atlas and adras production process, along with the development of non-formal master-apprentice training, master classes and the production of educational materials.</w:t>
      </w:r>
    </w:p>
    <w:p w14:paraId="787C3FAD" w14:textId="7BA24CEB" w:rsidR="00516853" w:rsidRPr="0067772F" w:rsidRDefault="00516853" w:rsidP="00516853">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67772F">
        <w:rPr>
          <w:rFonts w:ascii="Arial" w:hAnsi="Arial" w:cs="Arial"/>
          <w:noProof/>
          <w:sz w:val="22"/>
          <w:szCs w:val="22"/>
          <w:lang w:val="en-GB"/>
        </w:rPr>
        <w:t>P.5:</w:t>
      </w:r>
      <w:r w:rsidRPr="0067772F">
        <w:rPr>
          <w:rFonts w:ascii="Arial" w:hAnsi="Arial" w:cs="Arial"/>
          <w:noProof/>
          <w:sz w:val="22"/>
          <w:szCs w:val="22"/>
          <w:lang w:val="en-GB"/>
        </w:rPr>
        <w:tab/>
        <w:t xml:space="preserve">The local community first launched the campaign for the foundation of the CDC, supported by the government and civil society organizations. The process of preparing this proposal also involved the communities concerned at all stages, in particular the Craftspeople Association and the community of ikat-makers. A large number of documents are enclosed as evidence of the free, prior and informed consent obtained from the </w:t>
      </w:r>
      <w:r w:rsidR="00A10706">
        <w:rPr>
          <w:rFonts w:ascii="Arial" w:hAnsi="Arial" w:cs="Arial"/>
          <w:noProof/>
          <w:sz w:val="22"/>
          <w:szCs w:val="22"/>
          <w:lang w:val="en-GB"/>
        </w:rPr>
        <w:t>bearers and other stakeholders.</w:t>
      </w:r>
    </w:p>
    <w:p w14:paraId="51A3C290" w14:textId="12C5C3CC" w:rsidR="00516853" w:rsidRPr="0067772F" w:rsidRDefault="00516853" w:rsidP="00516853">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67772F">
        <w:rPr>
          <w:rFonts w:ascii="Arial" w:hAnsi="Arial" w:cs="Arial"/>
          <w:noProof/>
          <w:sz w:val="22"/>
          <w:szCs w:val="22"/>
          <w:lang w:val="en-GB"/>
        </w:rPr>
        <w:t>P.6:</w:t>
      </w:r>
      <w:r w:rsidRPr="0067772F">
        <w:rPr>
          <w:rFonts w:ascii="Arial" w:hAnsi="Arial" w:cs="Arial"/>
          <w:noProof/>
          <w:sz w:val="22"/>
          <w:szCs w:val="22"/>
          <w:lang w:val="en-GB"/>
        </w:rPr>
        <w:tab/>
        <w:t>The file shows how an efficient public-private partnership scheme can be established for the safeguarding of cultural heritage. The project is a community-based initiative supported by the State and other partners, which helps to revitalize an inter-generational system of transmission based on a master-apprenticeship relationship. In particular, the activities aimed at income-generation and sustainability could provide a model beyond Uzbekistan. However, there is a concern over the hierarchical nature of the working relationships between the different stakeholders within the CDC.</w:t>
      </w:r>
    </w:p>
    <w:p w14:paraId="126BEBC0" w14:textId="1474B6F8" w:rsidR="00516853" w:rsidRPr="0067772F" w:rsidRDefault="00516853" w:rsidP="00516853">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67772F">
        <w:rPr>
          <w:rFonts w:ascii="Arial" w:hAnsi="Arial" w:cs="Arial"/>
          <w:noProof/>
          <w:sz w:val="22"/>
          <w:szCs w:val="22"/>
          <w:lang w:val="en-GB"/>
        </w:rPr>
        <w:t>P.7:</w:t>
      </w:r>
      <w:r w:rsidRPr="0067772F">
        <w:rPr>
          <w:rFonts w:ascii="Arial" w:hAnsi="Arial" w:cs="Arial"/>
          <w:noProof/>
          <w:sz w:val="22"/>
          <w:szCs w:val="22"/>
          <w:lang w:val="en-GB"/>
        </w:rPr>
        <w:tab/>
        <w:t>The CDC has established professional relations with craft workshops across the country. Moreover, the masters of the CDC visit foreign countries and eagerly transmit their knowledge and organize master classes and training activities, such as the workshops held in Kabul and Issikul and other related events i</w:t>
      </w:r>
      <w:r w:rsidR="00A10706">
        <w:rPr>
          <w:rFonts w:ascii="Arial" w:hAnsi="Arial" w:cs="Arial"/>
          <w:noProof/>
          <w:sz w:val="22"/>
          <w:szCs w:val="22"/>
          <w:lang w:val="en-GB"/>
        </w:rPr>
        <w:t xml:space="preserve">n India, the USA, South Korea, </w:t>
      </w:r>
      <w:r w:rsidRPr="0067772F">
        <w:rPr>
          <w:rFonts w:ascii="Arial" w:hAnsi="Arial" w:cs="Arial"/>
          <w:noProof/>
          <w:sz w:val="22"/>
          <w:szCs w:val="22"/>
          <w:lang w:val="en-GB"/>
        </w:rPr>
        <w:t>Afghanistan, Tajikistan and Kyrgyzstan. The practice is also disseminated through festivals, exhibitions</w:t>
      </w:r>
      <w:r w:rsidR="004076B9" w:rsidRPr="0067772F">
        <w:rPr>
          <w:rFonts w:ascii="Arial" w:hAnsi="Arial" w:cs="Arial"/>
          <w:noProof/>
          <w:sz w:val="22"/>
          <w:szCs w:val="22"/>
          <w:lang w:val="en-GB"/>
        </w:rPr>
        <w:t xml:space="preserve"> and</w:t>
      </w:r>
      <w:r w:rsidR="00A10706">
        <w:rPr>
          <w:rFonts w:ascii="Arial" w:hAnsi="Arial" w:cs="Arial"/>
          <w:noProof/>
          <w:sz w:val="22"/>
          <w:szCs w:val="22"/>
          <w:lang w:val="en-GB"/>
        </w:rPr>
        <w:t xml:space="preserve"> craft fairs.</w:t>
      </w:r>
    </w:p>
    <w:p w14:paraId="513FEBA2" w14:textId="04BCA0A6" w:rsidR="00516853" w:rsidRPr="0067772F" w:rsidRDefault="00516853" w:rsidP="00516853">
      <w:pPr>
        <w:tabs>
          <w:tab w:val="left" w:pos="567"/>
          <w:tab w:val="left" w:pos="1134"/>
          <w:tab w:val="left" w:pos="1701"/>
          <w:tab w:val="left" w:pos="2268"/>
        </w:tabs>
        <w:spacing w:before="120" w:after="120"/>
        <w:ind w:left="1701" w:hanging="567"/>
        <w:jc w:val="both"/>
        <w:rPr>
          <w:rFonts w:ascii="Arial" w:hAnsi="Arial" w:cs="Arial"/>
          <w:noProof/>
          <w:sz w:val="22"/>
          <w:szCs w:val="22"/>
          <w:lang w:val="en-GB"/>
        </w:rPr>
      </w:pPr>
      <w:r w:rsidRPr="0067772F">
        <w:rPr>
          <w:rFonts w:ascii="Arial" w:hAnsi="Arial" w:cs="Arial"/>
          <w:noProof/>
          <w:sz w:val="22"/>
          <w:szCs w:val="22"/>
          <w:lang w:val="en-GB"/>
        </w:rPr>
        <w:t>P.8:</w:t>
      </w:r>
      <w:r w:rsidRPr="0067772F">
        <w:rPr>
          <w:rFonts w:ascii="Arial" w:hAnsi="Arial" w:cs="Arial"/>
          <w:noProof/>
          <w:sz w:val="22"/>
          <w:szCs w:val="22"/>
          <w:lang w:val="en-GB"/>
        </w:rPr>
        <w:tab/>
        <w:t>Regular assessments carried out – which comprise both qualitative and quantitative data – include internal monitoring, annual reporting to public agencies and specialized associations and evaluations by partnering agencies. Examples of such evaluations include the project carried out together with the Korean National Commission for UNESCO, as well as the use of questionnaires for surveys conducted periodically by the Craftspeople Association. Continual quality control standards are also applied to the CDC’s products.</w:t>
      </w:r>
    </w:p>
    <w:p w14:paraId="1C3F7940" w14:textId="7F2F8D18" w:rsidR="00516853" w:rsidRPr="0067772F" w:rsidRDefault="00516853" w:rsidP="00516853">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67772F">
        <w:rPr>
          <w:rFonts w:ascii="Arial" w:hAnsi="Arial" w:cs="Arial"/>
          <w:noProof/>
          <w:sz w:val="22"/>
          <w:szCs w:val="22"/>
          <w:lang w:val="en-GB"/>
        </w:rPr>
        <w:t>P.9:</w:t>
      </w:r>
      <w:r w:rsidRPr="0067772F">
        <w:rPr>
          <w:rFonts w:ascii="Arial" w:hAnsi="Arial" w:cs="Arial"/>
          <w:noProof/>
          <w:sz w:val="22"/>
          <w:szCs w:val="22"/>
          <w:lang w:val="en-GB"/>
        </w:rPr>
        <w:tab/>
        <w:t>The CDC has developed within a context of social transition and has addressed many issues that are often pertinent to developing countries. The project can be considered as a model for social entrepreneurship, such as in light of the inclusion of youth, assistance for vulnerable groups, the revitalization of cultural herita</w:t>
      </w:r>
      <w:r w:rsidR="00A10706">
        <w:rPr>
          <w:rFonts w:ascii="Arial" w:hAnsi="Arial" w:cs="Arial"/>
          <w:noProof/>
          <w:sz w:val="22"/>
          <w:szCs w:val="22"/>
          <w:lang w:val="en-GB"/>
        </w:rPr>
        <w:t>ge and sustainable development.</w:t>
      </w:r>
    </w:p>
    <w:p w14:paraId="4A1B4618" w14:textId="77777777" w:rsidR="00516853" w:rsidRPr="0067772F" w:rsidRDefault="00516853" w:rsidP="00516853">
      <w:pPr>
        <w:numPr>
          <w:ilvl w:val="0"/>
          <w:numId w:val="39"/>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67772F">
        <w:rPr>
          <w:rFonts w:ascii="Arial" w:hAnsi="Arial" w:cs="Arial"/>
          <w:bCs/>
          <w:noProof/>
          <w:sz w:val="22"/>
          <w:szCs w:val="22"/>
          <w:u w:val="single"/>
          <w:lang w:val="en-GB"/>
        </w:rPr>
        <w:t>Selects</w:t>
      </w:r>
      <w:r w:rsidRPr="0067772F">
        <w:rPr>
          <w:rFonts w:ascii="Arial" w:hAnsi="Arial" w:cs="Arial"/>
          <w:bCs/>
          <w:noProof/>
          <w:sz w:val="22"/>
          <w:szCs w:val="22"/>
          <w:lang w:val="en-GB"/>
        </w:rPr>
        <w:t xml:space="preserve"> </w:t>
      </w:r>
      <w:r w:rsidRPr="0067772F">
        <w:rPr>
          <w:rFonts w:ascii="Arial" w:hAnsi="Arial" w:cs="Arial"/>
          <w:b/>
          <w:bCs/>
          <w:noProof/>
          <w:sz w:val="22"/>
          <w:szCs w:val="22"/>
          <w:lang w:val="en-GB"/>
        </w:rPr>
        <w:t>Margilan Crafts Development Centre, safeguarding of the atlas and adras making traditional technologies</w:t>
      </w:r>
      <w:r w:rsidRPr="0067772F">
        <w:rPr>
          <w:rFonts w:ascii="Arial" w:hAnsi="Arial" w:cs="Arial"/>
          <w:bCs/>
          <w:noProof/>
          <w:sz w:val="22"/>
          <w:szCs w:val="22"/>
          <w:lang w:val="en-GB"/>
        </w:rPr>
        <w:t xml:space="preserve"> as a programme, project or activity best reflecting the principles and objectives of the Convention;</w:t>
      </w:r>
    </w:p>
    <w:p w14:paraId="135CE941" w14:textId="520CF129" w:rsidR="00516853" w:rsidRPr="0067772F" w:rsidRDefault="00516853" w:rsidP="00964C50">
      <w:pPr>
        <w:numPr>
          <w:ilvl w:val="0"/>
          <w:numId w:val="39"/>
        </w:numPr>
        <w:tabs>
          <w:tab w:val="left" w:pos="567"/>
          <w:tab w:val="left" w:pos="1134"/>
          <w:tab w:val="left" w:pos="1701"/>
          <w:tab w:val="left" w:pos="2268"/>
        </w:tabs>
        <w:spacing w:before="120" w:after="120"/>
        <w:ind w:left="1134" w:hanging="567"/>
        <w:jc w:val="both"/>
        <w:rPr>
          <w:rFonts w:ascii="Arial" w:hAnsi="Arial" w:cs="Arial"/>
          <w:bCs/>
          <w:sz w:val="22"/>
          <w:szCs w:val="22"/>
          <w:lang w:val="en-GB"/>
        </w:rPr>
      </w:pPr>
      <w:r w:rsidRPr="0067772F">
        <w:rPr>
          <w:rFonts w:ascii="Arial" w:hAnsi="Arial" w:cs="Arial"/>
          <w:bCs/>
          <w:noProof/>
          <w:sz w:val="22"/>
          <w:szCs w:val="22"/>
          <w:u w:val="single"/>
          <w:lang w:val="en-GB"/>
        </w:rPr>
        <w:t>Invites</w:t>
      </w:r>
      <w:r w:rsidRPr="00A10706">
        <w:rPr>
          <w:rFonts w:ascii="Arial" w:hAnsi="Arial" w:cs="Arial"/>
          <w:bCs/>
          <w:noProof/>
          <w:sz w:val="22"/>
          <w:szCs w:val="22"/>
          <w:lang w:val="en-GB"/>
        </w:rPr>
        <w:t xml:space="preserve"> </w:t>
      </w:r>
      <w:r w:rsidRPr="0067772F">
        <w:rPr>
          <w:rFonts w:ascii="Arial" w:hAnsi="Arial" w:cs="Arial"/>
          <w:bCs/>
          <w:noProof/>
          <w:sz w:val="22"/>
          <w:szCs w:val="22"/>
          <w:lang w:val="en-GB"/>
        </w:rPr>
        <w:t xml:space="preserve">the State </w:t>
      </w:r>
      <w:r w:rsidR="00522839" w:rsidRPr="0067772F">
        <w:rPr>
          <w:rFonts w:ascii="Arial" w:hAnsi="Arial" w:cs="Arial"/>
          <w:bCs/>
          <w:noProof/>
          <w:sz w:val="22"/>
          <w:szCs w:val="22"/>
          <w:lang w:val="en-GB"/>
        </w:rPr>
        <w:t xml:space="preserve">Party </w:t>
      </w:r>
      <w:r w:rsidRPr="0067772F">
        <w:rPr>
          <w:rFonts w:ascii="Arial" w:hAnsi="Arial" w:cs="Arial"/>
          <w:bCs/>
          <w:noProof/>
          <w:sz w:val="22"/>
          <w:szCs w:val="22"/>
          <w:lang w:val="en-GB"/>
        </w:rPr>
        <w:t xml:space="preserve">to ensure that the working relationships and conditions in the Margilan Crafts Development Centre are fully in line with the </w:t>
      </w:r>
      <w:r w:rsidR="006008DD" w:rsidRPr="006008DD">
        <w:rPr>
          <w:rFonts w:ascii="Arial" w:hAnsi="Arial" w:cs="Arial"/>
          <w:bCs/>
          <w:noProof/>
          <w:sz w:val="22"/>
          <w:szCs w:val="22"/>
          <w:lang w:val="en-GB"/>
        </w:rPr>
        <w:t>Ethical Principles for Safeguarding Intangible Cultural Heritage</w:t>
      </w:r>
      <w:r w:rsidR="00A10706">
        <w:rPr>
          <w:rFonts w:ascii="Arial" w:hAnsi="Arial" w:cs="Arial"/>
          <w:bCs/>
          <w:noProof/>
          <w:sz w:val="22"/>
          <w:szCs w:val="22"/>
          <w:lang w:val="en-GB"/>
        </w:rPr>
        <w:t>.</w:t>
      </w:r>
    </w:p>
    <w:sectPr w:rsidR="00516853" w:rsidRPr="0067772F" w:rsidSect="00655736">
      <w:headerReference w:type="first" r:id="rId20"/>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B9DEF" w14:textId="77777777" w:rsidR="00CB0542" w:rsidRDefault="00CB0542" w:rsidP="00655736">
      <w:r>
        <w:separator/>
      </w:r>
    </w:p>
  </w:endnote>
  <w:endnote w:type="continuationSeparator" w:id="0">
    <w:p w14:paraId="119BE381" w14:textId="77777777" w:rsidR="00CB0542" w:rsidRDefault="00CB0542"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6FE63" w14:textId="77777777" w:rsidR="00CB0542" w:rsidRDefault="00CB0542" w:rsidP="00655736">
      <w:r>
        <w:separator/>
      </w:r>
    </w:p>
  </w:footnote>
  <w:footnote w:type="continuationSeparator" w:id="0">
    <w:p w14:paraId="3C3899B6" w14:textId="77777777" w:rsidR="00CB0542" w:rsidRDefault="00CB0542"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03327" w14:textId="52A13290" w:rsidR="00D95C4C" w:rsidRPr="00C23A97" w:rsidRDefault="00CB0542">
    <w:pPr>
      <w:pStyle w:val="Header"/>
      <w:rPr>
        <w:rFonts w:ascii="Arial" w:hAnsi="Arial" w:cs="Arial"/>
        <w:lang w:val="en-GB"/>
      </w:rPr>
    </w:pPr>
    <w:r>
      <w:rPr>
        <w:rFonts w:ascii="Arial" w:hAnsi="Arial" w:cs="Arial"/>
        <w:sz w:val="20"/>
        <w:szCs w:val="20"/>
        <w:lang w:val="en-GB"/>
      </w:rPr>
      <w:t>ITH/1</w:t>
    </w:r>
    <w:r w:rsidR="00337CEB">
      <w:rPr>
        <w:rFonts w:ascii="Arial" w:eastAsiaTheme="minorEastAsia" w:hAnsi="Arial" w:cs="Arial" w:hint="eastAsia"/>
        <w:sz w:val="20"/>
        <w:szCs w:val="20"/>
        <w:lang w:val="en-GB" w:eastAsia="ko-KR"/>
      </w:rPr>
      <w:t>7</w:t>
    </w:r>
    <w:r>
      <w:rPr>
        <w:rFonts w:ascii="Arial" w:hAnsi="Arial" w:cs="Arial"/>
        <w:sz w:val="20"/>
        <w:szCs w:val="20"/>
        <w:lang w:val="en-GB"/>
      </w:rPr>
      <w:t>/1</w:t>
    </w:r>
    <w:r w:rsidR="00337CEB">
      <w:rPr>
        <w:rFonts w:ascii="Arial" w:eastAsiaTheme="minorEastAsia" w:hAnsi="Arial" w:cs="Arial" w:hint="eastAsia"/>
        <w:sz w:val="20"/>
        <w:szCs w:val="20"/>
        <w:lang w:val="en-GB" w:eastAsia="ko-KR"/>
      </w:rPr>
      <w:t>2</w:t>
    </w:r>
    <w:r w:rsidR="00EC6F8D">
      <w:rPr>
        <w:rFonts w:ascii="Arial" w:hAnsi="Arial" w:cs="Arial"/>
        <w:sz w:val="20"/>
        <w:szCs w:val="20"/>
        <w:lang w:val="en-GB"/>
      </w:rPr>
      <w:t>.COM</w:t>
    </w:r>
    <w:r w:rsidR="00D95C4C" w:rsidRPr="00C23A97">
      <w:rPr>
        <w:rFonts w:ascii="Arial" w:hAnsi="Arial" w:cs="Arial"/>
        <w:sz w:val="20"/>
        <w:szCs w:val="20"/>
        <w:lang w:val="en-GB"/>
      </w:rPr>
      <w:t>/</w:t>
    </w:r>
    <w:r w:rsidR="008328B4">
      <w:rPr>
        <w:rFonts w:ascii="Arial" w:hAnsi="Arial" w:cs="Arial"/>
        <w:sz w:val="20"/>
        <w:szCs w:val="20"/>
        <w:lang w:val="en-GB"/>
      </w:rPr>
      <w:t>11.e</w:t>
    </w:r>
    <w:r w:rsidR="00D95C4C" w:rsidRPr="00C23A97">
      <w:rPr>
        <w:rFonts w:ascii="Arial" w:hAnsi="Arial" w:cs="Arial"/>
        <w:sz w:val="20"/>
        <w:szCs w:val="20"/>
        <w:lang w:val="en-GB"/>
      </w:rPr>
      <w:t xml:space="preserve"> – page </w:t>
    </w:r>
    <w:r w:rsidR="00D95C4C" w:rsidRPr="00C23A97">
      <w:rPr>
        <w:rStyle w:val="PageNumber"/>
        <w:rFonts w:ascii="Arial" w:hAnsi="Arial" w:cs="Arial"/>
        <w:sz w:val="20"/>
        <w:szCs w:val="20"/>
        <w:lang w:val="en-GB"/>
      </w:rPr>
      <w:fldChar w:fldCharType="begin"/>
    </w:r>
    <w:r w:rsidR="00D95C4C" w:rsidRPr="00C23A97">
      <w:rPr>
        <w:rStyle w:val="PageNumber"/>
        <w:rFonts w:ascii="Arial" w:hAnsi="Arial" w:cs="Arial"/>
        <w:sz w:val="20"/>
        <w:szCs w:val="20"/>
        <w:lang w:val="en-GB"/>
      </w:rPr>
      <w:instrText xml:space="preserve"> PAGE </w:instrText>
    </w:r>
    <w:r w:rsidR="00D95C4C" w:rsidRPr="00C23A97">
      <w:rPr>
        <w:rStyle w:val="PageNumber"/>
        <w:rFonts w:ascii="Arial" w:hAnsi="Arial" w:cs="Arial"/>
        <w:sz w:val="20"/>
        <w:szCs w:val="20"/>
        <w:lang w:val="en-GB"/>
      </w:rPr>
      <w:fldChar w:fldCharType="separate"/>
    </w:r>
    <w:r w:rsidR="00994E5F">
      <w:rPr>
        <w:rStyle w:val="PageNumber"/>
        <w:rFonts w:ascii="Arial" w:hAnsi="Arial" w:cs="Arial"/>
        <w:noProof/>
        <w:sz w:val="20"/>
        <w:szCs w:val="20"/>
        <w:lang w:val="en-GB"/>
      </w:rPr>
      <w:t>10</w:t>
    </w:r>
    <w:r w:rsidR="00D95C4C"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2A1CF" w14:textId="433D8385" w:rsidR="00D95C4C" w:rsidRPr="0063300C" w:rsidRDefault="0053318C" w:rsidP="0063300C">
    <w:pPr>
      <w:pStyle w:val="Header"/>
      <w:jc w:val="right"/>
      <w:rPr>
        <w:rFonts w:ascii="Arial" w:hAnsi="Arial" w:cs="Arial"/>
        <w:lang w:val="en-GB"/>
      </w:rPr>
    </w:pPr>
    <w:r>
      <w:rPr>
        <w:rFonts w:ascii="Arial" w:hAnsi="Arial" w:cs="Arial"/>
        <w:sz w:val="20"/>
        <w:szCs w:val="20"/>
        <w:lang w:val="en-GB"/>
      </w:rPr>
      <w:t>ITH/17/12</w:t>
    </w:r>
    <w:r w:rsidR="00EC6F8D">
      <w:rPr>
        <w:rFonts w:ascii="Arial" w:hAnsi="Arial" w:cs="Arial"/>
        <w:sz w:val="20"/>
        <w:szCs w:val="20"/>
        <w:lang w:val="en-GB"/>
      </w:rPr>
      <w:t>.COM</w:t>
    </w:r>
    <w:r w:rsidR="004A34A0" w:rsidRPr="0063300C">
      <w:rPr>
        <w:rFonts w:ascii="Arial" w:hAnsi="Arial" w:cs="Arial"/>
        <w:sz w:val="20"/>
        <w:szCs w:val="20"/>
        <w:lang w:val="en-GB"/>
      </w:rPr>
      <w:t>/</w:t>
    </w:r>
    <w:r w:rsidR="008328B4">
      <w:rPr>
        <w:rFonts w:ascii="Arial" w:hAnsi="Arial" w:cs="Arial"/>
        <w:sz w:val="20"/>
        <w:szCs w:val="20"/>
        <w:lang w:val="en-GB"/>
      </w:rPr>
      <w:t>11.e</w:t>
    </w:r>
    <w:r w:rsidR="004A34A0" w:rsidRPr="0063300C">
      <w:rPr>
        <w:rFonts w:ascii="Arial" w:hAnsi="Arial" w:cs="Arial"/>
        <w:sz w:val="20"/>
        <w:szCs w:val="20"/>
        <w:lang w:val="en-GB"/>
      </w:rPr>
      <w:t xml:space="preserve"> – page </w:t>
    </w:r>
    <w:r w:rsidR="004A34A0" w:rsidRPr="0063300C">
      <w:rPr>
        <w:rStyle w:val="PageNumber"/>
        <w:rFonts w:ascii="Arial" w:hAnsi="Arial" w:cs="Arial"/>
        <w:sz w:val="20"/>
        <w:szCs w:val="20"/>
        <w:lang w:val="en-GB"/>
      </w:rPr>
      <w:fldChar w:fldCharType="begin"/>
    </w:r>
    <w:r w:rsidR="004A34A0" w:rsidRPr="0063300C">
      <w:rPr>
        <w:rStyle w:val="PageNumber"/>
        <w:rFonts w:ascii="Arial" w:hAnsi="Arial" w:cs="Arial"/>
        <w:sz w:val="20"/>
        <w:szCs w:val="20"/>
        <w:lang w:val="en-GB"/>
      </w:rPr>
      <w:instrText xml:space="preserve"> PAGE </w:instrText>
    </w:r>
    <w:r w:rsidR="004A34A0" w:rsidRPr="0063300C">
      <w:rPr>
        <w:rStyle w:val="PageNumber"/>
        <w:rFonts w:ascii="Arial" w:hAnsi="Arial" w:cs="Arial"/>
        <w:sz w:val="20"/>
        <w:szCs w:val="20"/>
        <w:lang w:val="en-GB"/>
      </w:rPr>
      <w:fldChar w:fldCharType="separate"/>
    </w:r>
    <w:r w:rsidR="00994E5F">
      <w:rPr>
        <w:rStyle w:val="PageNumber"/>
        <w:rFonts w:ascii="Arial" w:hAnsi="Arial" w:cs="Arial"/>
        <w:noProof/>
        <w:sz w:val="20"/>
        <w:szCs w:val="20"/>
        <w:lang w:val="en-GB"/>
      </w:rPr>
      <w:t>11</w:t>
    </w:r>
    <w:r w:rsidR="004A34A0"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28056" w14:textId="77777777" w:rsidR="00D95C4C" w:rsidRPr="007C0CD8" w:rsidRDefault="00955877">
    <w:pPr>
      <w:pStyle w:val="Header"/>
      <w:rPr>
        <w:lang w:val="en-GB"/>
      </w:rPr>
    </w:pPr>
    <w:r w:rsidRPr="007C0CD8">
      <w:rPr>
        <w:noProof/>
        <w:lang w:val="en-US" w:eastAsia="ko-KR"/>
      </w:rPr>
      <w:drawing>
        <wp:anchor distT="0" distB="0" distL="114300" distR="114300" simplePos="0" relativeHeight="251657728" behindDoc="0" locked="0" layoutInCell="1" allowOverlap="1" wp14:anchorId="09ADFBA0" wp14:editId="729ADA33">
          <wp:simplePos x="0" y="0"/>
          <wp:positionH relativeFrom="column">
            <wp:posOffset>-567690</wp:posOffset>
          </wp:positionH>
          <wp:positionV relativeFrom="paragraph">
            <wp:posOffset>3810</wp:posOffset>
          </wp:positionV>
          <wp:extent cx="2228215" cy="1367790"/>
          <wp:effectExtent l="0" t="0" r="635" b="3810"/>
          <wp:wrapNone/>
          <wp:docPr id="2"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524EFD" w14:textId="77777777" w:rsidR="00D95C4C" w:rsidRPr="007C0CD8" w:rsidRDefault="00337CEB" w:rsidP="00655736">
    <w:pPr>
      <w:pStyle w:val="Header"/>
      <w:spacing w:after="520"/>
      <w:jc w:val="right"/>
      <w:rPr>
        <w:rFonts w:ascii="Arial" w:hAnsi="Arial" w:cs="Arial"/>
        <w:b/>
        <w:sz w:val="44"/>
        <w:szCs w:val="44"/>
        <w:lang w:val="en-GB"/>
      </w:rPr>
    </w:pPr>
    <w:r w:rsidRPr="007C0CD8">
      <w:rPr>
        <w:rFonts w:ascii="Arial" w:hAnsi="Arial" w:cs="Arial"/>
        <w:b/>
        <w:sz w:val="44"/>
        <w:szCs w:val="44"/>
        <w:lang w:val="en-GB"/>
      </w:rPr>
      <w:t>1</w:t>
    </w:r>
    <w:r w:rsidRPr="007C0CD8">
      <w:rPr>
        <w:rFonts w:ascii="Arial" w:eastAsiaTheme="minorEastAsia" w:hAnsi="Arial" w:cs="Arial" w:hint="eastAsia"/>
        <w:b/>
        <w:sz w:val="44"/>
        <w:szCs w:val="44"/>
        <w:lang w:val="en-GB" w:eastAsia="ko-KR"/>
      </w:rPr>
      <w:t>2</w:t>
    </w:r>
    <w:r w:rsidR="00EC6F8D" w:rsidRPr="007C0CD8">
      <w:rPr>
        <w:rFonts w:ascii="Arial" w:hAnsi="Arial" w:cs="Arial"/>
        <w:b/>
        <w:sz w:val="44"/>
        <w:szCs w:val="44"/>
        <w:lang w:val="en-GB"/>
      </w:rPr>
      <w:t xml:space="preserve"> COM</w:t>
    </w:r>
  </w:p>
  <w:p w14:paraId="45AD2164" w14:textId="67024488" w:rsidR="00D95C4C" w:rsidRPr="0067772F" w:rsidRDefault="00337CEB" w:rsidP="00655736">
    <w:pPr>
      <w:jc w:val="right"/>
      <w:rPr>
        <w:rFonts w:ascii="Arial" w:hAnsi="Arial" w:cs="Arial"/>
        <w:b/>
        <w:sz w:val="22"/>
        <w:szCs w:val="22"/>
        <w:lang w:val="en-GB"/>
      </w:rPr>
    </w:pPr>
    <w:r w:rsidRPr="007C0CD8">
      <w:rPr>
        <w:rFonts w:ascii="Arial" w:hAnsi="Arial" w:cs="Arial"/>
        <w:b/>
        <w:sz w:val="22"/>
        <w:szCs w:val="22"/>
        <w:lang w:val="en-GB"/>
      </w:rPr>
      <w:t>ITH/1</w:t>
    </w:r>
    <w:r w:rsidRPr="007C0CD8">
      <w:rPr>
        <w:rFonts w:ascii="Arial" w:eastAsiaTheme="minorEastAsia" w:hAnsi="Arial" w:cs="Arial" w:hint="eastAsia"/>
        <w:b/>
        <w:sz w:val="22"/>
        <w:szCs w:val="22"/>
        <w:lang w:val="en-GB" w:eastAsia="ko-KR"/>
      </w:rPr>
      <w:t>7</w:t>
    </w:r>
    <w:r w:rsidR="00D95C4C" w:rsidRPr="007C0CD8">
      <w:rPr>
        <w:rFonts w:ascii="Arial" w:hAnsi="Arial" w:cs="Arial"/>
        <w:b/>
        <w:sz w:val="22"/>
        <w:szCs w:val="22"/>
        <w:lang w:val="en-GB"/>
      </w:rPr>
      <w:t>/</w:t>
    </w:r>
    <w:r w:rsidR="00CB0542" w:rsidRPr="007C0CD8">
      <w:rPr>
        <w:rFonts w:ascii="Arial" w:hAnsi="Arial" w:cs="Arial"/>
        <w:b/>
        <w:sz w:val="22"/>
        <w:szCs w:val="22"/>
        <w:lang w:val="en-GB"/>
      </w:rPr>
      <w:t>1</w:t>
    </w:r>
    <w:r w:rsidRPr="007C0CD8">
      <w:rPr>
        <w:rFonts w:ascii="Arial" w:eastAsiaTheme="minorEastAsia" w:hAnsi="Arial" w:cs="Arial" w:hint="eastAsia"/>
        <w:b/>
        <w:sz w:val="22"/>
        <w:szCs w:val="22"/>
        <w:lang w:val="en-GB" w:eastAsia="ko-KR"/>
      </w:rPr>
      <w:t>2</w:t>
    </w:r>
    <w:r w:rsidR="00D95C4C" w:rsidRPr="007C0CD8">
      <w:rPr>
        <w:rFonts w:ascii="Arial" w:hAnsi="Arial" w:cs="Arial"/>
        <w:b/>
        <w:sz w:val="22"/>
        <w:szCs w:val="22"/>
        <w:lang w:val="en-GB"/>
      </w:rPr>
      <w:t>.</w:t>
    </w:r>
    <w:r w:rsidR="00EC6F8D" w:rsidRPr="007C0CD8">
      <w:rPr>
        <w:rFonts w:ascii="Arial" w:hAnsi="Arial" w:cs="Arial"/>
        <w:b/>
        <w:sz w:val="22"/>
        <w:szCs w:val="22"/>
        <w:lang w:val="en-GB"/>
      </w:rPr>
      <w:t>COM</w:t>
    </w:r>
    <w:r w:rsidR="00D95C4C" w:rsidRPr="007C0CD8">
      <w:rPr>
        <w:rFonts w:ascii="Arial" w:hAnsi="Arial" w:cs="Arial"/>
        <w:b/>
        <w:sz w:val="22"/>
        <w:szCs w:val="22"/>
        <w:lang w:val="en-GB"/>
      </w:rPr>
      <w:t>/</w:t>
    </w:r>
    <w:r w:rsidR="008C4377" w:rsidRPr="002B5B63">
      <w:rPr>
        <w:rFonts w:ascii="Arial" w:hAnsi="Arial" w:cs="Arial"/>
        <w:b/>
        <w:sz w:val="22"/>
        <w:szCs w:val="22"/>
        <w:lang w:val="en-GB"/>
      </w:rPr>
      <w:t>11.e</w:t>
    </w:r>
    <w:r w:rsidR="005C32BB">
      <w:rPr>
        <w:rFonts w:ascii="Arial" w:hAnsi="Arial" w:cs="Arial"/>
        <w:b/>
        <w:sz w:val="22"/>
        <w:szCs w:val="22"/>
        <w:lang w:val="en-GB"/>
      </w:rPr>
      <w:t xml:space="preserve"> Add.</w:t>
    </w:r>
  </w:p>
  <w:p w14:paraId="1DE6DF3C" w14:textId="2D11E8DD" w:rsidR="00D95C4C" w:rsidRPr="0067772F" w:rsidRDefault="00D95C4C" w:rsidP="00655736">
    <w:pPr>
      <w:jc w:val="right"/>
      <w:rPr>
        <w:rFonts w:ascii="Arial" w:eastAsiaTheme="minorEastAsia" w:hAnsi="Arial" w:cs="Arial"/>
        <w:b/>
        <w:sz w:val="22"/>
        <w:szCs w:val="22"/>
        <w:lang w:val="en-GB" w:eastAsia="ko-KR"/>
      </w:rPr>
    </w:pPr>
    <w:r w:rsidRPr="0067772F">
      <w:rPr>
        <w:rFonts w:ascii="Arial" w:hAnsi="Arial" w:cs="Arial"/>
        <w:b/>
        <w:sz w:val="22"/>
        <w:szCs w:val="22"/>
        <w:lang w:val="en-GB"/>
      </w:rPr>
      <w:t xml:space="preserve">Paris, </w:t>
    </w:r>
    <w:r w:rsidR="00994E5F" w:rsidRPr="00994E5F">
      <w:rPr>
        <w:rFonts w:ascii="Arial" w:hAnsi="Arial" w:cs="Arial"/>
        <w:b/>
        <w:sz w:val="22"/>
        <w:szCs w:val="22"/>
        <w:lang w:val="en-GB"/>
      </w:rPr>
      <w:t>17</w:t>
    </w:r>
    <w:r w:rsidR="005C32BB" w:rsidRPr="00994E5F">
      <w:rPr>
        <w:rFonts w:ascii="Arial" w:hAnsi="Arial" w:cs="Arial"/>
        <w:b/>
        <w:sz w:val="22"/>
        <w:szCs w:val="22"/>
        <w:lang w:val="en-GB"/>
      </w:rPr>
      <w:t xml:space="preserve"> November</w:t>
    </w:r>
    <w:r w:rsidRPr="0067772F">
      <w:rPr>
        <w:rFonts w:ascii="Arial" w:hAnsi="Arial" w:cs="Arial"/>
        <w:b/>
        <w:sz w:val="22"/>
        <w:szCs w:val="22"/>
        <w:lang w:val="en-GB"/>
      </w:rPr>
      <w:t xml:space="preserve"> </w:t>
    </w:r>
    <w:r w:rsidR="00337CEB" w:rsidRPr="0067772F">
      <w:rPr>
        <w:rFonts w:ascii="Arial" w:hAnsi="Arial" w:cs="Arial"/>
        <w:b/>
        <w:sz w:val="22"/>
        <w:szCs w:val="22"/>
        <w:lang w:val="en-GB"/>
      </w:rPr>
      <w:t>201</w:t>
    </w:r>
    <w:r w:rsidR="00337CEB" w:rsidRPr="0067772F">
      <w:rPr>
        <w:rFonts w:ascii="Arial" w:eastAsiaTheme="minorEastAsia" w:hAnsi="Arial" w:cs="Arial"/>
        <w:b/>
        <w:sz w:val="22"/>
        <w:szCs w:val="22"/>
        <w:lang w:val="en-GB" w:eastAsia="ko-KR"/>
      </w:rPr>
      <w:t>7</w:t>
    </w:r>
  </w:p>
  <w:p w14:paraId="3D0EB579" w14:textId="77777777" w:rsidR="00D95C4C" w:rsidRPr="00F32C23" w:rsidRDefault="00D95C4C" w:rsidP="000048ED">
    <w:pPr>
      <w:jc w:val="right"/>
      <w:rPr>
        <w:rFonts w:ascii="Arial" w:hAnsi="Arial" w:cs="Arial"/>
        <w:b/>
        <w:sz w:val="22"/>
        <w:szCs w:val="22"/>
        <w:lang w:val="en-GB"/>
      </w:rPr>
    </w:pPr>
    <w:r w:rsidRPr="0067772F">
      <w:rPr>
        <w:rFonts w:ascii="Arial" w:hAnsi="Arial" w:cs="Arial"/>
        <w:b/>
        <w:sz w:val="22"/>
        <w:szCs w:val="22"/>
        <w:lang w:val="en-GB"/>
      </w:rPr>
      <w:t xml:space="preserve">Original: </w:t>
    </w:r>
    <w:r w:rsidR="008C4377" w:rsidRPr="0067772F">
      <w:rPr>
        <w:rFonts w:ascii="Arial" w:hAnsi="Arial" w:cs="Arial"/>
        <w:b/>
        <w:sz w:val="22"/>
        <w:szCs w:val="22"/>
        <w:lang w:val="en-GB"/>
      </w:rPr>
      <w:t>English</w:t>
    </w:r>
  </w:p>
  <w:p w14:paraId="7854B107" w14:textId="77777777" w:rsidR="00D95C4C" w:rsidRPr="00F32C23" w:rsidRDefault="00D95C4C">
    <w:pPr>
      <w:pStyle w:val="Header"/>
      <w:rPr>
        <w:lang w:val="en-G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76E7D" w14:textId="77777777" w:rsidR="00D76865" w:rsidRPr="007C0CD8" w:rsidRDefault="00D76865">
    <w:pPr>
      <w:pStyle w:val="Header"/>
      <w:rPr>
        <w:lang w:val="en-GB"/>
      </w:rPr>
    </w:pPr>
    <w:r w:rsidRPr="007C0CD8">
      <w:rPr>
        <w:noProof/>
        <w:lang w:val="en-US" w:eastAsia="ko-KR"/>
      </w:rPr>
      <w:drawing>
        <wp:anchor distT="0" distB="0" distL="114300" distR="114300" simplePos="0" relativeHeight="251659776" behindDoc="0" locked="0" layoutInCell="1" allowOverlap="1" wp14:anchorId="428FA73E" wp14:editId="1C0FDFB3">
          <wp:simplePos x="0" y="0"/>
          <wp:positionH relativeFrom="column">
            <wp:posOffset>-567690</wp:posOffset>
          </wp:positionH>
          <wp:positionV relativeFrom="paragraph">
            <wp:posOffset>3810</wp:posOffset>
          </wp:positionV>
          <wp:extent cx="2228215" cy="1367790"/>
          <wp:effectExtent l="0" t="0" r="635" b="3810"/>
          <wp:wrapNone/>
          <wp:docPr id="1"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C67691" w14:textId="77777777" w:rsidR="00D76865" w:rsidRPr="007C0CD8" w:rsidRDefault="00D76865" w:rsidP="00655736">
    <w:pPr>
      <w:pStyle w:val="Header"/>
      <w:spacing w:after="520"/>
      <w:jc w:val="right"/>
      <w:rPr>
        <w:rFonts w:ascii="Arial" w:hAnsi="Arial" w:cs="Arial"/>
        <w:b/>
        <w:sz w:val="44"/>
        <w:szCs w:val="44"/>
        <w:lang w:val="en-GB"/>
      </w:rPr>
    </w:pPr>
    <w:r w:rsidRPr="007C0CD8">
      <w:rPr>
        <w:rFonts w:ascii="Arial" w:hAnsi="Arial" w:cs="Arial"/>
        <w:b/>
        <w:sz w:val="44"/>
        <w:szCs w:val="44"/>
        <w:lang w:val="en-GB"/>
      </w:rPr>
      <w:t>1</w:t>
    </w:r>
    <w:r w:rsidRPr="007C0CD8">
      <w:rPr>
        <w:rFonts w:ascii="Arial" w:eastAsiaTheme="minorEastAsia" w:hAnsi="Arial" w:cs="Arial" w:hint="eastAsia"/>
        <w:b/>
        <w:sz w:val="44"/>
        <w:szCs w:val="44"/>
        <w:lang w:val="en-GB" w:eastAsia="ko-KR"/>
      </w:rPr>
      <w:t>2</w:t>
    </w:r>
    <w:r w:rsidRPr="007C0CD8">
      <w:rPr>
        <w:rFonts w:ascii="Arial" w:hAnsi="Arial" w:cs="Arial"/>
        <w:b/>
        <w:sz w:val="44"/>
        <w:szCs w:val="44"/>
        <w:lang w:val="en-GB"/>
      </w:rPr>
      <w:t xml:space="preserve"> COM</w:t>
    </w:r>
  </w:p>
  <w:p w14:paraId="7BBF8B9D" w14:textId="64BCD1F3" w:rsidR="00D76865" w:rsidRPr="0067772F" w:rsidRDefault="00D76865" w:rsidP="00655736">
    <w:pPr>
      <w:jc w:val="right"/>
      <w:rPr>
        <w:rFonts w:ascii="Arial" w:hAnsi="Arial" w:cs="Arial"/>
        <w:b/>
        <w:sz w:val="22"/>
        <w:szCs w:val="22"/>
        <w:lang w:val="en-GB"/>
      </w:rPr>
    </w:pPr>
    <w:r w:rsidRPr="007C0CD8">
      <w:rPr>
        <w:rFonts w:ascii="Arial" w:hAnsi="Arial" w:cs="Arial"/>
        <w:b/>
        <w:sz w:val="22"/>
        <w:szCs w:val="22"/>
        <w:lang w:val="en-GB"/>
      </w:rPr>
      <w:t>ITH/1</w:t>
    </w:r>
    <w:r w:rsidRPr="007C0CD8">
      <w:rPr>
        <w:rFonts w:ascii="Arial" w:eastAsiaTheme="minorEastAsia" w:hAnsi="Arial" w:cs="Arial" w:hint="eastAsia"/>
        <w:b/>
        <w:sz w:val="22"/>
        <w:szCs w:val="22"/>
        <w:lang w:val="en-GB" w:eastAsia="ko-KR"/>
      </w:rPr>
      <w:t>7</w:t>
    </w:r>
    <w:r w:rsidRPr="007C0CD8">
      <w:rPr>
        <w:rFonts w:ascii="Arial" w:hAnsi="Arial" w:cs="Arial"/>
        <w:b/>
        <w:sz w:val="22"/>
        <w:szCs w:val="22"/>
        <w:lang w:val="en-GB"/>
      </w:rPr>
      <w:t>/1</w:t>
    </w:r>
    <w:r w:rsidRPr="007C0CD8">
      <w:rPr>
        <w:rFonts w:ascii="Arial" w:eastAsiaTheme="minorEastAsia" w:hAnsi="Arial" w:cs="Arial" w:hint="eastAsia"/>
        <w:b/>
        <w:sz w:val="22"/>
        <w:szCs w:val="22"/>
        <w:lang w:val="en-GB" w:eastAsia="ko-KR"/>
      </w:rPr>
      <w:t>2</w:t>
    </w:r>
    <w:r w:rsidRPr="007C0CD8">
      <w:rPr>
        <w:rFonts w:ascii="Arial" w:hAnsi="Arial" w:cs="Arial"/>
        <w:b/>
        <w:sz w:val="22"/>
        <w:szCs w:val="22"/>
        <w:lang w:val="en-GB"/>
      </w:rPr>
      <w:t>.COM/</w:t>
    </w:r>
    <w:r w:rsidRPr="002B5B63">
      <w:rPr>
        <w:rFonts w:ascii="Arial" w:hAnsi="Arial" w:cs="Arial"/>
        <w:b/>
        <w:sz w:val="22"/>
        <w:szCs w:val="22"/>
        <w:lang w:val="en-GB"/>
      </w:rPr>
      <w:t>11.e</w:t>
    </w:r>
  </w:p>
  <w:p w14:paraId="7E5BF872" w14:textId="24319103" w:rsidR="00D76865" w:rsidRPr="0067772F" w:rsidRDefault="00D76865" w:rsidP="00655736">
    <w:pPr>
      <w:jc w:val="right"/>
      <w:rPr>
        <w:rFonts w:ascii="Arial" w:eastAsiaTheme="minorEastAsia" w:hAnsi="Arial" w:cs="Arial"/>
        <w:b/>
        <w:sz w:val="22"/>
        <w:szCs w:val="22"/>
        <w:lang w:val="en-GB" w:eastAsia="ko-KR"/>
      </w:rPr>
    </w:pPr>
    <w:r w:rsidRPr="0067772F">
      <w:rPr>
        <w:rFonts w:ascii="Arial" w:hAnsi="Arial" w:cs="Arial"/>
        <w:b/>
        <w:sz w:val="22"/>
        <w:szCs w:val="22"/>
        <w:lang w:val="en-GB"/>
      </w:rPr>
      <w:t>Paris,</w:t>
    </w:r>
    <w:r>
      <w:rPr>
        <w:rFonts w:ascii="Arial" w:hAnsi="Arial" w:cs="Arial"/>
        <w:b/>
        <w:sz w:val="22"/>
        <w:szCs w:val="22"/>
        <w:lang w:val="en-GB"/>
      </w:rPr>
      <w:t xml:space="preserve"> 27 October</w:t>
    </w:r>
    <w:r w:rsidRPr="0067772F">
      <w:rPr>
        <w:rFonts w:ascii="Arial" w:hAnsi="Arial" w:cs="Arial"/>
        <w:b/>
        <w:sz w:val="22"/>
        <w:szCs w:val="22"/>
        <w:lang w:val="en-GB"/>
      </w:rPr>
      <w:t xml:space="preserve"> 201</w:t>
    </w:r>
    <w:r w:rsidRPr="0067772F">
      <w:rPr>
        <w:rFonts w:ascii="Arial" w:eastAsiaTheme="minorEastAsia" w:hAnsi="Arial" w:cs="Arial"/>
        <w:b/>
        <w:sz w:val="22"/>
        <w:szCs w:val="22"/>
        <w:lang w:val="en-GB" w:eastAsia="ko-KR"/>
      </w:rPr>
      <w:t>7</w:t>
    </w:r>
  </w:p>
  <w:p w14:paraId="29573BB4" w14:textId="77777777" w:rsidR="00D76865" w:rsidRPr="00F32C23" w:rsidRDefault="00D76865" w:rsidP="000048ED">
    <w:pPr>
      <w:jc w:val="right"/>
      <w:rPr>
        <w:rFonts w:ascii="Arial" w:hAnsi="Arial" w:cs="Arial"/>
        <w:b/>
        <w:sz w:val="22"/>
        <w:szCs w:val="22"/>
        <w:lang w:val="en-GB"/>
      </w:rPr>
    </w:pPr>
    <w:r w:rsidRPr="0067772F">
      <w:rPr>
        <w:rFonts w:ascii="Arial" w:hAnsi="Arial" w:cs="Arial"/>
        <w:b/>
        <w:sz w:val="22"/>
        <w:szCs w:val="22"/>
        <w:lang w:val="en-GB"/>
      </w:rPr>
      <w:t>Original: English</w:t>
    </w:r>
  </w:p>
  <w:p w14:paraId="129A3FD6" w14:textId="77777777" w:rsidR="00D76865" w:rsidRPr="00F32C23" w:rsidRDefault="00D76865">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A070A"/>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0DF7D32"/>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367258"/>
    <w:multiLevelType w:val="hybridMultilevel"/>
    <w:tmpl w:val="C1709B6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B437FC"/>
    <w:multiLevelType w:val="hybridMultilevel"/>
    <w:tmpl w:val="2CF053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50519EC"/>
    <w:multiLevelType w:val="hybridMultilevel"/>
    <w:tmpl w:val="5DCA7C8C"/>
    <w:lvl w:ilvl="0" w:tplc="65722406">
      <w:start w:val="1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34109C"/>
    <w:multiLevelType w:val="hybridMultilevel"/>
    <w:tmpl w:val="CEA67528"/>
    <w:lvl w:ilvl="0" w:tplc="AB78B048">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8"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6607854"/>
    <w:multiLevelType w:val="hybridMultilevel"/>
    <w:tmpl w:val="752C91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6A37A5F"/>
    <w:multiLevelType w:val="hybridMultilevel"/>
    <w:tmpl w:val="4F1EB98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8DF1C0E"/>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E2A4B87"/>
    <w:multiLevelType w:val="hybridMultilevel"/>
    <w:tmpl w:val="103AEB76"/>
    <w:lvl w:ilvl="0" w:tplc="729071A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5" w15:restartNumberingAfterBreak="0">
    <w:nsid w:val="38B004D3"/>
    <w:multiLevelType w:val="hybridMultilevel"/>
    <w:tmpl w:val="6C06C10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7"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B5C714E"/>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0AF4112"/>
    <w:multiLevelType w:val="hybridMultilevel"/>
    <w:tmpl w:val="4AF294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1615619"/>
    <w:multiLevelType w:val="hybridMultilevel"/>
    <w:tmpl w:val="692E75EE"/>
    <w:lvl w:ilvl="0" w:tplc="68E6DBF2">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22" w15:restartNumberingAfterBreak="0">
    <w:nsid w:val="423653B3"/>
    <w:multiLevelType w:val="hybridMultilevel"/>
    <w:tmpl w:val="2D848F26"/>
    <w:lvl w:ilvl="0" w:tplc="D8245D64">
      <w:start w:val="1"/>
      <w:numFmt w:val="decimal"/>
      <w:lvlText w:val="%1."/>
      <w:lvlJc w:val="left"/>
      <w:pPr>
        <w:ind w:left="502" w:hanging="360"/>
      </w:pPr>
      <w:rPr>
        <w:rFonts w:ascii="Arial" w:hAnsi="Arial" w:cs="SimSun" w:hint="default"/>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4" w15:restartNumberingAfterBreak="0">
    <w:nsid w:val="453374C4"/>
    <w:multiLevelType w:val="hybridMultilevel"/>
    <w:tmpl w:val="4F1EB98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AF021EC"/>
    <w:multiLevelType w:val="hybridMultilevel"/>
    <w:tmpl w:val="025AB3C2"/>
    <w:lvl w:ilvl="0" w:tplc="436C0DEE">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D0C7EBB"/>
    <w:multiLevelType w:val="hybridMultilevel"/>
    <w:tmpl w:val="4968705E"/>
    <w:lvl w:ilvl="0" w:tplc="2D8CC142">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A639AD"/>
    <w:multiLevelType w:val="hybridMultilevel"/>
    <w:tmpl w:val="38407324"/>
    <w:lvl w:ilvl="0" w:tplc="729071A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16C5D06"/>
    <w:multiLevelType w:val="hybridMultilevel"/>
    <w:tmpl w:val="03E497A6"/>
    <w:lvl w:ilvl="0" w:tplc="F35CBEEC">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20147D4"/>
    <w:multiLevelType w:val="hybridMultilevel"/>
    <w:tmpl w:val="D54A3686"/>
    <w:lvl w:ilvl="0" w:tplc="59B27ED4">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5E90C99"/>
    <w:multiLevelType w:val="hybridMultilevel"/>
    <w:tmpl w:val="103AEB76"/>
    <w:lvl w:ilvl="0" w:tplc="729071A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BCD172C"/>
    <w:multiLevelType w:val="hybridMultilevel"/>
    <w:tmpl w:val="38407324"/>
    <w:lvl w:ilvl="0" w:tplc="729071A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BCF5277"/>
    <w:multiLevelType w:val="hybridMultilevel"/>
    <w:tmpl w:val="025AB3C2"/>
    <w:lvl w:ilvl="0" w:tplc="436C0DEE">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DA2697C"/>
    <w:multiLevelType w:val="hybridMultilevel"/>
    <w:tmpl w:val="2F1487DA"/>
    <w:lvl w:ilvl="0" w:tplc="8618C46C">
      <w:start w:val="1"/>
      <w:numFmt w:val="decimal"/>
      <w:lvlText w:val="%1."/>
      <w:lvlJc w:val="left"/>
      <w:pPr>
        <w:ind w:left="36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35" w15:restartNumberingAfterBreak="0">
    <w:nsid w:val="5ED01A0A"/>
    <w:multiLevelType w:val="hybridMultilevel"/>
    <w:tmpl w:val="03CAD052"/>
    <w:lvl w:ilvl="0" w:tplc="C81ED8EA">
      <w:start w:val="1"/>
      <w:numFmt w:val="upperLetter"/>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5F3C4C14"/>
    <w:multiLevelType w:val="hybridMultilevel"/>
    <w:tmpl w:val="57F6D5C4"/>
    <w:lvl w:ilvl="0" w:tplc="29D88F6A">
      <w:start w:val="16"/>
      <w:numFmt w:val="bullet"/>
      <w:lvlText w:val="-"/>
      <w:lvlJc w:val="left"/>
      <w:pPr>
        <w:ind w:left="720" w:hanging="360"/>
      </w:pPr>
      <w:rPr>
        <w:rFonts w:ascii="Arial" w:eastAsia="Times New Roman" w:hAnsi="Arial" w:cs="Aria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3452B39"/>
    <w:multiLevelType w:val="hybridMultilevel"/>
    <w:tmpl w:val="B22AA128"/>
    <w:lvl w:ilvl="0" w:tplc="EC7A85BC">
      <w:start w:val="1"/>
      <w:numFmt w:val="decimal"/>
      <w:lvlText w:val="%1."/>
      <w:lvlJc w:val="left"/>
      <w:pPr>
        <w:ind w:left="360" w:hanging="360"/>
      </w:pPr>
      <w:rPr>
        <w:rFonts w:ascii="Arial" w:eastAsia="Times New Roman" w:hAnsi="Arial" w:cs="Arial"/>
      </w:rPr>
    </w:lvl>
    <w:lvl w:ilvl="1" w:tplc="040C0019">
      <w:start w:val="1"/>
      <w:numFmt w:val="lowerLetter"/>
      <w:lvlText w:val="%2."/>
      <w:lvlJc w:val="left"/>
      <w:pPr>
        <w:ind w:left="765" w:hanging="360"/>
      </w:pPr>
    </w:lvl>
    <w:lvl w:ilvl="2" w:tplc="040C001B" w:tentative="1">
      <w:start w:val="1"/>
      <w:numFmt w:val="lowerRoman"/>
      <w:lvlText w:val="%3."/>
      <w:lvlJc w:val="right"/>
      <w:pPr>
        <w:ind w:left="1485" w:hanging="180"/>
      </w:pPr>
    </w:lvl>
    <w:lvl w:ilvl="3" w:tplc="040C000F" w:tentative="1">
      <w:start w:val="1"/>
      <w:numFmt w:val="decimal"/>
      <w:lvlText w:val="%4."/>
      <w:lvlJc w:val="left"/>
      <w:pPr>
        <w:ind w:left="2205" w:hanging="360"/>
      </w:pPr>
    </w:lvl>
    <w:lvl w:ilvl="4" w:tplc="040C0019" w:tentative="1">
      <w:start w:val="1"/>
      <w:numFmt w:val="lowerLetter"/>
      <w:lvlText w:val="%5."/>
      <w:lvlJc w:val="left"/>
      <w:pPr>
        <w:ind w:left="2925" w:hanging="360"/>
      </w:pPr>
    </w:lvl>
    <w:lvl w:ilvl="5" w:tplc="040C001B" w:tentative="1">
      <w:start w:val="1"/>
      <w:numFmt w:val="lowerRoman"/>
      <w:lvlText w:val="%6."/>
      <w:lvlJc w:val="right"/>
      <w:pPr>
        <w:ind w:left="3645" w:hanging="180"/>
      </w:pPr>
    </w:lvl>
    <w:lvl w:ilvl="6" w:tplc="040C000F" w:tentative="1">
      <w:start w:val="1"/>
      <w:numFmt w:val="decimal"/>
      <w:lvlText w:val="%7."/>
      <w:lvlJc w:val="left"/>
      <w:pPr>
        <w:ind w:left="4365" w:hanging="360"/>
      </w:pPr>
    </w:lvl>
    <w:lvl w:ilvl="7" w:tplc="040C0019" w:tentative="1">
      <w:start w:val="1"/>
      <w:numFmt w:val="lowerLetter"/>
      <w:lvlText w:val="%8."/>
      <w:lvlJc w:val="left"/>
      <w:pPr>
        <w:ind w:left="5085" w:hanging="360"/>
      </w:pPr>
    </w:lvl>
    <w:lvl w:ilvl="8" w:tplc="040C001B" w:tentative="1">
      <w:start w:val="1"/>
      <w:numFmt w:val="lowerRoman"/>
      <w:lvlText w:val="%9."/>
      <w:lvlJc w:val="right"/>
      <w:pPr>
        <w:ind w:left="5805" w:hanging="180"/>
      </w:pPr>
    </w:lvl>
  </w:abstractNum>
  <w:abstractNum w:abstractNumId="38" w15:restartNumberingAfterBreak="0">
    <w:nsid w:val="646C53AC"/>
    <w:multiLevelType w:val="hybridMultilevel"/>
    <w:tmpl w:val="FD229418"/>
    <w:lvl w:ilvl="0" w:tplc="93B85CA0">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6E674275"/>
    <w:multiLevelType w:val="hybridMultilevel"/>
    <w:tmpl w:val="1B0282D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6AF7507"/>
    <w:multiLevelType w:val="hybridMultilevel"/>
    <w:tmpl w:val="0AF480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B5E078B"/>
    <w:multiLevelType w:val="hybridMultilevel"/>
    <w:tmpl w:val="4F1EB98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4"/>
  </w:num>
  <w:num w:numId="2">
    <w:abstractNumId w:val="14"/>
  </w:num>
  <w:num w:numId="3">
    <w:abstractNumId w:val="7"/>
  </w:num>
  <w:num w:numId="4">
    <w:abstractNumId w:val="42"/>
  </w:num>
  <w:num w:numId="5">
    <w:abstractNumId w:val="39"/>
  </w:num>
  <w:num w:numId="6">
    <w:abstractNumId w:val="1"/>
  </w:num>
  <w:num w:numId="7">
    <w:abstractNumId w:val="8"/>
  </w:num>
  <w:num w:numId="8">
    <w:abstractNumId w:val="23"/>
  </w:num>
  <w:num w:numId="9">
    <w:abstractNumId w:val="13"/>
  </w:num>
  <w:num w:numId="10">
    <w:abstractNumId w:val="16"/>
  </w:num>
  <w:num w:numId="11">
    <w:abstractNumId w:val="21"/>
  </w:num>
  <w:num w:numId="12">
    <w:abstractNumId w:val="17"/>
  </w:num>
  <w:num w:numId="13">
    <w:abstractNumId w:val="28"/>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11"/>
  </w:num>
  <w:num w:numId="17">
    <w:abstractNumId w:val="15"/>
  </w:num>
  <w:num w:numId="18">
    <w:abstractNumId w:val="40"/>
  </w:num>
  <w:num w:numId="19">
    <w:abstractNumId w:val="33"/>
  </w:num>
  <w:num w:numId="20">
    <w:abstractNumId w:val="9"/>
  </w:num>
  <w:num w:numId="21">
    <w:abstractNumId w:val="43"/>
  </w:num>
  <w:num w:numId="22">
    <w:abstractNumId w:val="12"/>
  </w:num>
  <w:num w:numId="23">
    <w:abstractNumId w:val="10"/>
  </w:num>
  <w:num w:numId="24">
    <w:abstractNumId w:val="19"/>
  </w:num>
  <w:num w:numId="25">
    <w:abstractNumId w:val="37"/>
  </w:num>
  <w:num w:numId="26">
    <w:abstractNumId w:val="6"/>
  </w:num>
  <w:num w:numId="27">
    <w:abstractNumId w:val="25"/>
  </w:num>
  <w:num w:numId="28">
    <w:abstractNumId w:val="29"/>
  </w:num>
  <w:num w:numId="29">
    <w:abstractNumId w:val="24"/>
  </w:num>
  <w:num w:numId="30">
    <w:abstractNumId w:val="30"/>
  </w:num>
  <w:num w:numId="31">
    <w:abstractNumId w:val="32"/>
  </w:num>
  <w:num w:numId="32">
    <w:abstractNumId w:val="31"/>
  </w:num>
  <w:num w:numId="33">
    <w:abstractNumId w:val="27"/>
  </w:num>
  <w:num w:numId="34">
    <w:abstractNumId w:val="38"/>
  </w:num>
  <w:num w:numId="35">
    <w:abstractNumId w:val="20"/>
  </w:num>
  <w:num w:numId="36">
    <w:abstractNumId w:val="26"/>
  </w:num>
  <w:num w:numId="37">
    <w:abstractNumId w:val="0"/>
  </w:num>
  <w:num w:numId="38">
    <w:abstractNumId w:val="18"/>
  </w:num>
  <w:num w:numId="39">
    <w:abstractNumId w:val="2"/>
  </w:num>
  <w:num w:numId="40">
    <w:abstractNumId w:val="3"/>
  </w:num>
  <w:num w:numId="41">
    <w:abstractNumId w:val="5"/>
  </w:num>
  <w:num w:numId="42">
    <w:abstractNumId w:val="36"/>
  </w:num>
  <w:num w:numId="43">
    <w:abstractNumId w:val="41"/>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DateAndTime/>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901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48ED"/>
    <w:rsid w:val="00041A66"/>
    <w:rsid w:val="0005176E"/>
    <w:rsid w:val="000765F7"/>
    <w:rsid w:val="00077AB7"/>
    <w:rsid w:val="00081CD8"/>
    <w:rsid w:val="00083D2C"/>
    <w:rsid w:val="00087523"/>
    <w:rsid w:val="000A7F0E"/>
    <w:rsid w:val="000B1C8F"/>
    <w:rsid w:val="000B7E22"/>
    <w:rsid w:val="000C0D61"/>
    <w:rsid w:val="000F3A3F"/>
    <w:rsid w:val="00102557"/>
    <w:rsid w:val="00155DF1"/>
    <w:rsid w:val="00164D56"/>
    <w:rsid w:val="00167B10"/>
    <w:rsid w:val="0017402F"/>
    <w:rsid w:val="00186BCC"/>
    <w:rsid w:val="00196233"/>
    <w:rsid w:val="00196C1B"/>
    <w:rsid w:val="001B0F73"/>
    <w:rsid w:val="001B6187"/>
    <w:rsid w:val="001C2DB7"/>
    <w:rsid w:val="001D5C04"/>
    <w:rsid w:val="001E78B6"/>
    <w:rsid w:val="001F26CF"/>
    <w:rsid w:val="00222A2D"/>
    <w:rsid w:val="00223029"/>
    <w:rsid w:val="00224D94"/>
    <w:rsid w:val="00234745"/>
    <w:rsid w:val="002351A6"/>
    <w:rsid w:val="002407AF"/>
    <w:rsid w:val="00270F78"/>
    <w:rsid w:val="0027466B"/>
    <w:rsid w:val="002838A5"/>
    <w:rsid w:val="00285BB4"/>
    <w:rsid w:val="002904C9"/>
    <w:rsid w:val="0029243E"/>
    <w:rsid w:val="002A34EF"/>
    <w:rsid w:val="002A3804"/>
    <w:rsid w:val="002B5B63"/>
    <w:rsid w:val="002C09E3"/>
    <w:rsid w:val="003137F3"/>
    <w:rsid w:val="003148C1"/>
    <w:rsid w:val="00317645"/>
    <w:rsid w:val="00317732"/>
    <w:rsid w:val="00325E34"/>
    <w:rsid w:val="00337CEB"/>
    <w:rsid w:val="00340C12"/>
    <w:rsid w:val="00344B58"/>
    <w:rsid w:val="0034539A"/>
    <w:rsid w:val="00345CB4"/>
    <w:rsid w:val="00360DAD"/>
    <w:rsid w:val="00375D42"/>
    <w:rsid w:val="003A4C1C"/>
    <w:rsid w:val="003C7A75"/>
    <w:rsid w:val="003D069C"/>
    <w:rsid w:val="003D7646"/>
    <w:rsid w:val="003F113A"/>
    <w:rsid w:val="003F3E63"/>
    <w:rsid w:val="00406C72"/>
    <w:rsid w:val="00407480"/>
    <w:rsid w:val="004076B9"/>
    <w:rsid w:val="00414643"/>
    <w:rsid w:val="00420404"/>
    <w:rsid w:val="004421E5"/>
    <w:rsid w:val="00452284"/>
    <w:rsid w:val="00457C8E"/>
    <w:rsid w:val="004856CA"/>
    <w:rsid w:val="00487E67"/>
    <w:rsid w:val="0049705E"/>
    <w:rsid w:val="004A34A0"/>
    <w:rsid w:val="005008A8"/>
    <w:rsid w:val="00516853"/>
    <w:rsid w:val="00522839"/>
    <w:rsid w:val="00526B7B"/>
    <w:rsid w:val="0053046B"/>
    <w:rsid w:val="005308CE"/>
    <w:rsid w:val="0053318C"/>
    <w:rsid w:val="00535FCC"/>
    <w:rsid w:val="00546B7F"/>
    <w:rsid w:val="0057439C"/>
    <w:rsid w:val="00582B3E"/>
    <w:rsid w:val="005B0127"/>
    <w:rsid w:val="005B7A35"/>
    <w:rsid w:val="005C32BB"/>
    <w:rsid w:val="005C4B73"/>
    <w:rsid w:val="005E1D2B"/>
    <w:rsid w:val="005E7074"/>
    <w:rsid w:val="005F2BAF"/>
    <w:rsid w:val="006008DD"/>
    <w:rsid w:val="00600D93"/>
    <w:rsid w:val="0063300C"/>
    <w:rsid w:val="00642BB6"/>
    <w:rsid w:val="0064466C"/>
    <w:rsid w:val="00655736"/>
    <w:rsid w:val="00663B8D"/>
    <w:rsid w:val="0067772F"/>
    <w:rsid w:val="00696733"/>
    <w:rsid w:val="00696C8D"/>
    <w:rsid w:val="006A2AC2"/>
    <w:rsid w:val="006A3617"/>
    <w:rsid w:val="006E46E4"/>
    <w:rsid w:val="0071640C"/>
    <w:rsid w:val="00717DA5"/>
    <w:rsid w:val="0073792E"/>
    <w:rsid w:val="00744484"/>
    <w:rsid w:val="00747566"/>
    <w:rsid w:val="00753148"/>
    <w:rsid w:val="007708AF"/>
    <w:rsid w:val="00773188"/>
    <w:rsid w:val="0077659F"/>
    <w:rsid w:val="00783782"/>
    <w:rsid w:val="00784B8C"/>
    <w:rsid w:val="007879E1"/>
    <w:rsid w:val="00790784"/>
    <w:rsid w:val="007A0DB5"/>
    <w:rsid w:val="007B7B0B"/>
    <w:rsid w:val="007C0CD8"/>
    <w:rsid w:val="007C0D60"/>
    <w:rsid w:val="00823A11"/>
    <w:rsid w:val="008328B4"/>
    <w:rsid w:val="0085405E"/>
    <w:rsid w:val="0085414A"/>
    <w:rsid w:val="0086269D"/>
    <w:rsid w:val="0086543A"/>
    <w:rsid w:val="008724E5"/>
    <w:rsid w:val="00884A9D"/>
    <w:rsid w:val="0088512B"/>
    <w:rsid w:val="00891D7D"/>
    <w:rsid w:val="008A2B2D"/>
    <w:rsid w:val="008A4E1E"/>
    <w:rsid w:val="008C296C"/>
    <w:rsid w:val="008C4377"/>
    <w:rsid w:val="008D4305"/>
    <w:rsid w:val="008E1A85"/>
    <w:rsid w:val="009163A7"/>
    <w:rsid w:val="00926620"/>
    <w:rsid w:val="009348B5"/>
    <w:rsid w:val="00940196"/>
    <w:rsid w:val="00946D0B"/>
    <w:rsid w:val="009529A9"/>
    <w:rsid w:val="00955877"/>
    <w:rsid w:val="00964C50"/>
    <w:rsid w:val="00987E04"/>
    <w:rsid w:val="00994E5F"/>
    <w:rsid w:val="009A18CD"/>
    <w:rsid w:val="009D5428"/>
    <w:rsid w:val="00A10706"/>
    <w:rsid w:val="00A12558"/>
    <w:rsid w:val="00A13903"/>
    <w:rsid w:val="00A34ED5"/>
    <w:rsid w:val="00A43552"/>
    <w:rsid w:val="00A45DBF"/>
    <w:rsid w:val="00A755A2"/>
    <w:rsid w:val="00A77DD5"/>
    <w:rsid w:val="00AA5AF9"/>
    <w:rsid w:val="00AA6660"/>
    <w:rsid w:val="00AB2C36"/>
    <w:rsid w:val="00AB6DDE"/>
    <w:rsid w:val="00AB70B6"/>
    <w:rsid w:val="00AD1A86"/>
    <w:rsid w:val="00AE103E"/>
    <w:rsid w:val="00AE15C6"/>
    <w:rsid w:val="00AF0A07"/>
    <w:rsid w:val="00AF4AEC"/>
    <w:rsid w:val="00AF625E"/>
    <w:rsid w:val="00B204AA"/>
    <w:rsid w:val="00B35907"/>
    <w:rsid w:val="00BA7D01"/>
    <w:rsid w:val="00BB04AF"/>
    <w:rsid w:val="00BD52C9"/>
    <w:rsid w:val="00BD615E"/>
    <w:rsid w:val="00BE6354"/>
    <w:rsid w:val="00BF180E"/>
    <w:rsid w:val="00C071C0"/>
    <w:rsid w:val="00C138D1"/>
    <w:rsid w:val="00C23A97"/>
    <w:rsid w:val="00C42DFD"/>
    <w:rsid w:val="00C57E1D"/>
    <w:rsid w:val="00C64855"/>
    <w:rsid w:val="00C70E74"/>
    <w:rsid w:val="00C70EA7"/>
    <w:rsid w:val="00C7433F"/>
    <w:rsid w:val="00C7516E"/>
    <w:rsid w:val="00C75770"/>
    <w:rsid w:val="00C85080"/>
    <w:rsid w:val="00CA30A5"/>
    <w:rsid w:val="00CA56BB"/>
    <w:rsid w:val="00CB0542"/>
    <w:rsid w:val="00CD07A2"/>
    <w:rsid w:val="00D00B2B"/>
    <w:rsid w:val="00D01464"/>
    <w:rsid w:val="00D10ACD"/>
    <w:rsid w:val="00D24877"/>
    <w:rsid w:val="00D252E2"/>
    <w:rsid w:val="00D54139"/>
    <w:rsid w:val="00D76865"/>
    <w:rsid w:val="00D80327"/>
    <w:rsid w:val="00D8250F"/>
    <w:rsid w:val="00D82B14"/>
    <w:rsid w:val="00D95C4C"/>
    <w:rsid w:val="00DA12C7"/>
    <w:rsid w:val="00DA36ED"/>
    <w:rsid w:val="00DC331B"/>
    <w:rsid w:val="00DC3586"/>
    <w:rsid w:val="00DE34F1"/>
    <w:rsid w:val="00DE6160"/>
    <w:rsid w:val="00DF4942"/>
    <w:rsid w:val="00E244E1"/>
    <w:rsid w:val="00E25F33"/>
    <w:rsid w:val="00E40783"/>
    <w:rsid w:val="00E468B5"/>
    <w:rsid w:val="00E56B4D"/>
    <w:rsid w:val="00E627B1"/>
    <w:rsid w:val="00E70169"/>
    <w:rsid w:val="00E873C0"/>
    <w:rsid w:val="00E9376C"/>
    <w:rsid w:val="00EA0B32"/>
    <w:rsid w:val="00EA335E"/>
    <w:rsid w:val="00EA428D"/>
    <w:rsid w:val="00EA528C"/>
    <w:rsid w:val="00EA580C"/>
    <w:rsid w:val="00EB6215"/>
    <w:rsid w:val="00EC6D8A"/>
    <w:rsid w:val="00EC6F8D"/>
    <w:rsid w:val="00EE49F4"/>
    <w:rsid w:val="00EF2E14"/>
    <w:rsid w:val="00EF34E2"/>
    <w:rsid w:val="00F30DC6"/>
    <w:rsid w:val="00F32C23"/>
    <w:rsid w:val="00F53DE9"/>
    <w:rsid w:val="00F55818"/>
    <w:rsid w:val="00F576CB"/>
    <w:rsid w:val="00F7035D"/>
    <w:rsid w:val="00F71A02"/>
    <w:rsid w:val="00F72325"/>
    <w:rsid w:val="00F92EDD"/>
    <w:rsid w:val="00FA0D63"/>
    <w:rsid w:val="00FD1226"/>
    <w:rsid w:val="00FF32C9"/>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0C5075EA"/>
  <w15:docId w15:val="{0EDD362E-2E76-43D5-B04D-D05261A20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ind w:left="567" w:hanging="567"/>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paragraph" w:styleId="NormalWeb">
    <w:name w:val="Normal (Web)"/>
    <w:basedOn w:val="Normal"/>
    <w:uiPriority w:val="99"/>
    <w:unhideWhenUsed/>
    <w:rsid w:val="0064466C"/>
    <w:pPr>
      <w:spacing w:before="100" w:beforeAutospacing="1" w:after="100" w:afterAutospacing="1"/>
    </w:pPr>
  </w:style>
  <w:style w:type="character" w:styleId="Hyperlink">
    <w:name w:val="Hyperlink"/>
    <w:basedOn w:val="DefaultParagraphFont"/>
    <w:uiPriority w:val="99"/>
    <w:unhideWhenUsed/>
    <w:rsid w:val="0064466C"/>
    <w:rPr>
      <w:color w:val="0000FF"/>
      <w:u w:val="single"/>
    </w:rPr>
  </w:style>
  <w:style w:type="paragraph" w:customStyle="1" w:styleId="DocMain">
    <w:name w:val="Doc_Main"/>
    <w:basedOn w:val="Normal"/>
    <w:uiPriority w:val="99"/>
    <w:qFormat/>
    <w:rsid w:val="00083D2C"/>
    <w:pPr>
      <w:spacing w:before="240" w:after="240"/>
      <w:ind w:left="720" w:hanging="360"/>
      <w:jc w:val="both"/>
    </w:pPr>
    <w:rPr>
      <w:rFonts w:ascii="Arial" w:eastAsia="SimSun" w:hAnsi="Arial" w:cs="Arial"/>
      <w:sz w:val="22"/>
      <w:szCs w:val="22"/>
      <w:lang w:eastAsia="zh-CN"/>
    </w:rPr>
  </w:style>
  <w:style w:type="paragraph" w:customStyle="1" w:styleId="NoSpacing1">
    <w:name w:val="No Spacing1"/>
    <w:qFormat/>
    <w:rsid w:val="007708AF"/>
    <w:rPr>
      <w:sz w:val="22"/>
      <w:szCs w:val="22"/>
      <w:lang w:eastAsia="zh-CN"/>
    </w:rPr>
  </w:style>
  <w:style w:type="character" w:styleId="CommentReference">
    <w:name w:val="annotation reference"/>
    <w:basedOn w:val="DefaultParagraphFont"/>
    <w:uiPriority w:val="99"/>
    <w:semiHidden/>
    <w:unhideWhenUsed/>
    <w:rsid w:val="00325E34"/>
    <w:rPr>
      <w:sz w:val="16"/>
      <w:szCs w:val="16"/>
    </w:rPr>
  </w:style>
  <w:style w:type="paragraph" w:styleId="CommentText">
    <w:name w:val="annotation text"/>
    <w:basedOn w:val="Normal"/>
    <w:link w:val="CommentTextChar"/>
    <w:uiPriority w:val="99"/>
    <w:unhideWhenUsed/>
    <w:rsid w:val="00325E34"/>
    <w:rPr>
      <w:rFonts w:ascii="Arial" w:hAnsi="Arial"/>
      <w:sz w:val="20"/>
      <w:szCs w:val="20"/>
      <w:lang w:val="en-GB"/>
    </w:rPr>
  </w:style>
  <w:style w:type="character" w:customStyle="1" w:styleId="CommentTextChar">
    <w:name w:val="Comment Text Char"/>
    <w:basedOn w:val="DefaultParagraphFont"/>
    <w:link w:val="CommentText"/>
    <w:uiPriority w:val="99"/>
    <w:rsid w:val="00325E34"/>
    <w:rPr>
      <w:rFonts w:ascii="Arial" w:eastAsia="Times New Roman" w:hAnsi="Arial"/>
      <w:lang w:val="en-GB"/>
    </w:rPr>
  </w:style>
  <w:style w:type="paragraph" w:styleId="NoSpacing">
    <w:name w:val="No Spacing"/>
    <w:uiPriority w:val="1"/>
    <w:qFormat/>
    <w:rsid w:val="00325E34"/>
    <w:rPr>
      <w:sz w:val="22"/>
      <w:szCs w:val="22"/>
      <w:lang w:eastAsia="zh-CN"/>
    </w:rPr>
  </w:style>
  <w:style w:type="numbering" w:customStyle="1" w:styleId="NoList1">
    <w:name w:val="No List1"/>
    <w:next w:val="NoList"/>
    <w:uiPriority w:val="99"/>
    <w:semiHidden/>
    <w:unhideWhenUsed/>
    <w:rsid w:val="00516853"/>
  </w:style>
  <w:style w:type="paragraph" w:customStyle="1" w:styleId="Default">
    <w:name w:val="Default"/>
    <w:rsid w:val="00516853"/>
    <w:pPr>
      <w:autoSpaceDE w:val="0"/>
      <w:autoSpaceDN w:val="0"/>
      <w:adjustRightInd w:val="0"/>
    </w:pPr>
    <w:rPr>
      <w:rFonts w:ascii="Arial" w:hAnsi="Arial" w:cs="Arial"/>
      <w:color w:val="000000"/>
      <w:sz w:val="24"/>
      <w:szCs w:val="24"/>
      <w:lang w:val="en-US" w:eastAsia="zh-CN"/>
    </w:rPr>
  </w:style>
  <w:style w:type="paragraph" w:styleId="ListParagraph">
    <w:name w:val="List Paragraph"/>
    <w:basedOn w:val="Normal"/>
    <w:uiPriority w:val="34"/>
    <w:qFormat/>
    <w:rsid w:val="00516853"/>
    <w:pPr>
      <w:ind w:left="708"/>
    </w:pPr>
    <w:rPr>
      <w:lang w:val="en-US" w:eastAsia="en-US"/>
    </w:rPr>
  </w:style>
  <w:style w:type="paragraph" w:styleId="CommentSubject">
    <w:name w:val="annotation subject"/>
    <w:basedOn w:val="CommentText"/>
    <w:next w:val="CommentText"/>
    <w:link w:val="CommentSubjectChar"/>
    <w:uiPriority w:val="99"/>
    <w:semiHidden/>
    <w:unhideWhenUsed/>
    <w:rsid w:val="00516853"/>
    <w:rPr>
      <w:b/>
      <w:bCs/>
    </w:rPr>
  </w:style>
  <w:style w:type="character" w:customStyle="1" w:styleId="CommentSubjectChar">
    <w:name w:val="Comment Subject Char"/>
    <w:basedOn w:val="CommentTextChar"/>
    <w:link w:val="CommentSubject"/>
    <w:uiPriority w:val="99"/>
    <w:semiHidden/>
    <w:rsid w:val="00516853"/>
    <w:rPr>
      <w:rFonts w:ascii="Arial" w:eastAsia="Times New Roman" w:hAnsi="Arial"/>
      <w:b/>
      <w:bCs/>
      <w:lang w:val="en-GB"/>
    </w:rPr>
  </w:style>
  <w:style w:type="paragraph" w:styleId="Revision">
    <w:name w:val="Revision"/>
    <w:hidden/>
    <w:uiPriority w:val="99"/>
    <w:semiHidden/>
    <w:rsid w:val="00516853"/>
    <w:rPr>
      <w:rFonts w:ascii="Arial" w:eastAsia="Times New Roman" w:hAnsi="Arial"/>
      <w:sz w:val="24"/>
      <w:szCs w:val="24"/>
      <w:lang w:val="en-GB"/>
    </w:rPr>
  </w:style>
  <w:style w:type="character" w:styleId="FollowedHyperlink">
    <w:name w:val="FollowedHyperlink"/>
    <w:basedOn w:val="DefaultParagraphFont"/>
    <w:uiPriority w:val="99"/>
    <w:semiHidden/>
    <w:unhideWhenUsed/>
    <w:rsid w:val="00D803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11e-register-00940" TargetMode="External"/><Relationship Id="rId13" Type="http://schemas.openxmlformats.org/officeDocument/2006/relationships/hyperlink" Target="https://ich.unesco.org/en/11e-register-00940"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ch.unesco.org/doc/src/ITH-17-12.COM-11-EN.docx" TargetMode="External"/><Relationship Id="rId17" Type="http://schemas.openxmlformats.org/officeDocument/2006/relationships/hyperlink" Target="#Recommends_not_to_select"/><Relationship Id="rId2" Type="http://schemas.openxmlformats.org/officeDocument/2006/relationships/numbering" Target="numbering.xml"/><Relationship Id="rId16" Type="http://schemas.openxmlformats.org/officeDocument/2006/relationships/hyperlink" Target="https://ich.unesco.org/en/11e-register-00940"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ich.unesco.org/en/11e-register-00940" TargetMode="External"/><Relationship Id="rId10" Type="http://schemas.openxmlformats.org/officeDocument/2006/relationships/header" Target="header2.xml"/><Relationship Id="rId19" Type="http://schemas.openxmlformats.org/officeDocument/2006/relationships/hyperlink" Target="#Recommends_to_select"/><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ich.unesco.org/en/11e-register-00940"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A8FA6-E72E-40BB-833D-6FEE1B59D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4828</Words>
  <Characters>27526</Characters>
  <Application>Microsoft Office Word</Application>
  <DocSecurity>0</DocSecurity>
  <Lines>229</Lines>
  <Paragraphs>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cp:lastModifiedBy>Shin, Eunkyung</cp:lastModifiedBy>
  <cp:revision>4</cp:revision>
  <dcterms:created xsi:type="dcterms:W3CDTF">2017-11-16T18:25:00Z</dcterms:created>
  <dcterms:modified xsi:type="dcterms:W3CDTF">2017-11-17T13:33:00Z</dcterms:modified>
</cp:coreProperties>
</file>