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9AE" w:rsidRPr="00C408A6" w:rsidRDefault="00B279AE" w:rsidP="006B76F4">
      <w:pPr>
        <w:widowControl w:val="0"/>
        <w:autoSpaceDE w:val="0"/>
        <w:autoSpaceDN w:val="0"/>
        <w:adjustRightInd w:val="0"/>
        <w:spacing w:before="720" w:line="240" w:lineRule="auto"/>
        <w:jc w:val="center"/>
        <w:rPr>
          <w:rFonts w:ascii="Arial" w:hAnsi="Arial" w:cs="Arial"/>
          <w:b/>
          <w:bCs/>
          <w:lang w:eastAsia="zh-CN"/>
        </w:rPr>
      </w:pPr>
      <w:r w:rsidRPr="006B76F4">
        <w:rPr>
          <w:rFonts w:ascii="Arial" w:hAnsi="Arial" w:cs="Arial"/>
          <w:b/>
          <w:bCs/>
          <w:lang w:eastAsia="zh-CN"/>
        </w:rPr>
        <w:t>Conférence internationale de Chengdu sur le patrimoine culturel immatériel</w:t>
      </w:r>
      <w:r w:rsidRPr="006B76F4">
        <w:rPr>
          <w:rFonts w:ascii="Arial" w:hAnsi="Arial" w:cs="Arial"/>
          <w:b/>
          <w:bCs/>
          <w:lang w:eastAsia="zh-CN"/>
        </w:rPr>
        <w:br/>
        <w:t>pour la célébration du dixième anniversaire de la Convention de l’UNESCO</w:t>
      </w:r>
      <w:r w:rsidRPr="006B76F4">
        <w:rPr>
          <w:rFonts w:ascii="Arial" w:hAnsi="Arial" w:cs="Arial"/>
          <w:b/>
          <w:bCs/>
          <w:lang w:eastAsia="zh-CN"/>
        </w:rPr>
        <w:br/>
      </w:r>
      <w:r w:rsidRPr="00C408A6">
        <w:rPr>
          <w:rFonts w:ascii="Arial" w:hAnsi="Arial" w:cs="Arial"/>
          <w:b/>
          <w:bCs/>
          <w:lang w:eastAsia="zh-CN"/>
        </w:rPr>
        <w:t>pour la sauvegarde du patrimoine culturel immatériel</w:t>
      </w:r>
    </w:p>
    <w:p w:rsidR="00B279AE" w:rsidRPr="00C408A6" w:rsidRDefault="00B279AE" w:rsidP="006B76F4">
      <w:pPr>
        <w:widowControl w:val="0"/>
        <w:autoSpaceDE w:val="0"/>
        <w:autoSpaceDN w:val="0"/>
        <w:adjustRightInd w:val="0"/>
        <w:jc w:val="center"/>
        <w:rPr>
          <w:rFonts w:ascii="Arial" w:hAnsi="Arial" w:cs="Arial"/>
          <w:b/>
          <w:bCs/>
          <w:lang w:eastAsia="zh-CN"/>
        </w:rPr>
      </w:pPr>
      <w:r w:rsidRPr="00C408A6">
        <w:rPr>
          <w:rFonts w:ascii="Arial" w:hAnsi="Arial" w:cs="Arial"/>
          <w:b/>
          <w:bCs/>
          <w:lang w:eastAsia="zh-CN"/>
        </w:rPr>
        <w:t>Chengdu, Chine, du 14 au 16 juin 2013</w:t>
      </w:r>
    </w:p>
    <w:p w:rsidR="00A435C9" w:rsidRPr="00C408A6" w:rsidRDefault="00A435C9" w:rsidP="00797D20">
      <w:pPr>
        <w:suppressAutoHyphens/>
        <w:spacing w:before="720" w:after="240" w:line="240" w:lineRule="auto"/>
        <w:jc w:val="center"/>
        <w:rPr>
          <w:rFonts w:ascii="Arial" w:hAnsi="Arial" w:cs="Arial"/>
          <w:b/>
          <w:kern w:val="1"/>
          <w:lang w:eastAsia="hi-IN" w:bidi="hi-IN"/>
        </w:rPr>
      </w:pPr>
      <w:r w:rsidRPr="00C408A6">
        <w:rPr>
          <w:rFonts w:ascii="Arial" w:hAnsi="Arial" w:cs="Arial"/>
          <w:b/>
          <w:kern w:val="1"/>
          <w:lang w:eastAsia="hi-IN" w:bidi="hi-IN"/>
        </w:rPr>
        <w:t xml:space="preserve">Table ronde 3 : Univers parallèles : </w:t>
      </w:r>
      <w:r w:rsidR="00C6286E">
        <w:rPr>
          <w:rFonts w:ascii="Arial" w:hAnsi="Arial" w:cs="Arial"/>
          <w:b/>
          <w:kern w:val="1"/>
          <w:lang w:eastAsia="hi-IN" w:bidi="hi-IN"/>
        </w:rPr>
        <w:br/>
      </w:r>
      <w:r w:rsidRPr="00C408A6">
        <w:rPr>
          <w:rFonts w:ascii="Arial" w:hAnsi="Arial" w:cs="Arial"/>
          <w:b/>
          <w:kern w:val="1"/>
          <w:lang w:eastAsia="hi-IN" w:bidi="hi-IN"/>
        </w:rPr>
        <w:t>propriété intellectuelle, patrimoine mondial, biens et services culturels</w:t>
      </w:r>
    </w:p>
    <w:p w:rsidR="00A435C9" w:rsidRPr="00A435C9" w:rsidRDefault="00A435C9" w:rsidP="00A435C9">
      <w:pPr>
        <w:keepNext/>
        <w:suppressAutoHyphens/>
        <w:spacing w:before="360" w:after="240" w:line="240" w:lineRule="auto"/>
        <w:jc w:val="both"/>
        <w:rPr>
          <w:rFonts w:ascii="Arial" w:hAnsi="Arial" w:cs="Arial"/>
          <w:b/>
          <w:bCs/>
          <w:kern w:val="1"/>
          <w:lang w:eastAsia="hi-IN" w:bidi="hi-IN"/>
        </w:rPr>
      </w:pPr>
      <w:r w:rsidRPr="00A435C9">
        <w:rPr>
          <w:rFonts w:ascii="Arial" w:hAnsi="Arial" w:cs="Arial"/>
          <w:b/>
          <w:bCs/>
          <w:kern w:val="1"/>
          <w:lang w:eastAsia="hi-IN" w:bidi="hi-IN"/>
        </w:rPr>
        <w:t>Introduction</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Pendant la première décennie de la vie de la Convention pour la sauvegarde du patrimoine culturel immatériel (2003), des développements ont eu lieu simultanément dans trois sphères adjacentes de la coopération </w:t>
      </w:r>
      <w:r w:rsidR="00C6286E" w:rsidRPr="00A435C9">
        <w:rPr>
          <w:rFonts w:ascii="Arial" w:hAnsi="Arial" w:cs="Arial"/>
          <w:bCs/>
          <w:kern w:val="1"/>
          <w:lang w:eastAsia="hi-IN" w:bidi="hi-IN"/>
        </w:rPr>
        <w:t>internationale</w:t>
      </w:r>
      <w:r w:rsidR="00C6286E">
        <w:rPr>
          <w:rFonts w:ascii="Arial" w:hAnsi="Arial" w:cs="Arial"/>
          <w:bCs/>
          <w:kern w:val="1"/>
          <w:lang w:eastAsia="hi-IN" w:bidi="hi-IN"/>
        </w:rPr>
        <w:t> </w:t>
      </w:r>
      <w:r w:rsidRPr="00A435C9">
        <w:rPr>
          <w:rFonts w:ascii="Arial" w:hAnsi="Arial" w:cs="Arial"/>
          <w:bCs/>
          <w:kern w:val="1"/>
          <w:lang w:eastAsia="hi-IN" w:bidi="hi-IN"/>
        </w:rPr>
        <w:t>: a</w:t>
      </w:r>
      <w:r w:rsidR="00C6286E" w:rsidRPr="00A435C9">
        <w:rPr>
          <w:rFonts w:ascii="Arial" w:hAnsi="Arial" w:cs="Arial"/>
          <w:bCs/>
          <w:kern w:val="1"/>
          <w:lang w:eastAsia="hi-IN" w:bidi="hi-IN"/>
        </w:rPr>
        <w:t>)</w:t>
      </w:r>
      <w:r w:rsidR="00C6286E">
        <w:rPr>
          <w:rFonts w:ascii="Arial" w:hAnsi="Arial" w:cs="Arial"/>
          <w:bCs/>
          <w:kern w:val="1"/>
          <w:lang w:eastAsia="hi-IN" w:bidi="hi-IN"/>
        </w:rPr>
        <w:t> </w:t>
      </w:r>
      <w:r w:rsidRPr="00A435C9">
        <w:rPr>
          <w:rFonts w:ascii="Arial" w:hAnsi="Arial" w:cs="Arial"/>
          <w:bCs/>
          <w:kern w:val="1"/>
          <w:lang w:eastAsia="hi-IN" w:bidi="hi-IN"/>
        </w:rPr>
        <w:t>les efforts initiés par l’</w:t>
      </w:r>
      <w:hyperlink r:id="rId8" w:history="1">
        <w:r w:rsidRPr="00797D20">
          <w:rPr>
            <w:rStyle w:val="Hyperlink"/>
            <w:rFonts w:ascii="Arial" w:hAnsi="Arial" w:cs="Arial"/>
            <w:bCs/>
            <w:kern w:val="1"/>
            <w:lang w:eastAsia="hi-IN" w:bidi="hi-IN"/>
          </w:rPr>
          <w:t>Organisation mondiale de la propriété intellectuelle (OMPI)</w:t>
        </w:r>
      </w:hyperlink>
      <w:r w:rsidRPr="00A435C9">
        <w:rPr>
          <w:rFonts w:ascii="Arial" w:hAnsi="Arial" w:cs="Arial"/>
          <w:bCs/>
          <w:kern w:val="1"/>
          <w:lang w:eastAsia="hi-IN" w:bidi="hi-IN"/>
        </w:rPr>
        <w:t xml:space="preserve"> pour </w:t>
      </w:r>
      <w:r w:rsidR="00E0162E">
        <w:rPr>
          <w:rFonts w:ascii="Arial" w:hAnsi="Arial" w:cs="Arial"/>
          <w:bCs/>
          <w:kern w:val="1"/>
          <w:lang w:eastAsia="hi-IN" w:bidi="hi-IN"/>
        </w:rPr>
        <w:t xml:space="preserve">accorder une protection </w:t>
      </w:r>
      <w:r w:rsidRPr="00A435C9">
        <w:rPr>
          <w:rFonts w:ascii="Arial" w:hAnsi="Arial" w:cs="Arial"/>
          <w:bCs/>
          <w:kern w:val="1"/>
          <w:lang w:eastAsia="hi-IN" w:bidi="hi-IN"/>
        </w:rPr>
        <w:t xml:space="preserve">aux connaissances traditionnelles, aux ressources génétiques et aux expressions culturelles </w:t>
      </w:r>
      <w:r w:rsidR="00C6286E" w:rsidRPr="00A435C9">
        <w:rPr>
          <w:rFonts w:ascii="Arial" w:hAnsi="Arial" w:cs="Arial"/>
          <w:bCs/>
          <w:kern w:val="1"/>
          <w:lang w:eastAsia="hi-IN" w:bidi="hi-IN"/>
        </w:rPr>
        <w:t>traditionnelles</w:t>
      </w:r>
      <w:r w:rsidR="00E0162E">
        <w:rPr>
          <w:rFonts w:ascii="Arial" w:hAnsi="Arial" w:cs="Arial"/>
          <w:bCs/>
          <w:kern w:val="1"/>
          <w:lang w:eastAsia="hi-IN" w:bidi="hi-IN"/>
        </w:rPr>
        <w:t xml:space="preserve"> basée sur les principes de la propriété intellectuelle</w:t>
      </w:r>
      <w:r w:rsidR="00C6286E">
        <w:rPr>
          <w:rFonts w:ascii="Arial" w:hAnsi="Arial" w:cs="Arial"/>
          <w:bCs/>
          <w:kern w:val="1"/>
          <w:lang w:eastAsia="hi-IN" w:bidi="hi-IN"/>
        </w:rPr>
        <w:t> </w:t>
      </w:r>
      <w:r w:rsidRPr="00A435C9">
        <w:rPr>
          <w:rFonts w:ascii="Arial" w:hAnsi="Arial" w:cs="Arial"/>
          <w:bCs/>
          <w:kern w:val="1"/>
          <w:lang w:eastAsia="hi-IN" w:bidi="hi-IN"/>
        </w:rPr>
        <w:t>; b</w:t>
      </w:r>
      <w:r w:rsidR="00C6286E" w:rsidRPr="00A435C9">
        <w:rPr>
          <w:rFonts w:ascii="Arial" w:hAnsi="Arial" w:cs="Arial"/>
          <w:bCs/>
          <w:kern w:val="1"/>
          <w:lang w:eastAsia="hi-IN" w:bidi="hi-IN"/>
        </w:rPr>
        <w:t>)</w:t>
      </w:r>
      <w:r w:rsidR="00C6286E">
        <w:rPr>
          <w:rFonts w:ascii="Arial" w:hAnsi="Arial" w:cs="Arial"/>
          <w:bCs/>
          <w:kern w:val="1"/>
          <w:lang w:eastAsia="hi-IN" w:bidi="hi-IN"/>
        </w:rPr>
        <w:t> </w:t>
      </w:r>
      <w:r w:rsidRPr="00A435C9">
        <w:rPr>
          <w:rFonts w:ascii="Arial" w:hAnsi="Arial" w:cs="Arial"/>
          <w:bCs/>
          <w:kern w:val="1"/>
          <w:lang w:eastAsia="hi-IN" w:bidi="hi-IN"/>
        </w:rPr>
        <w:t xml:space="preserve">la mise en œuvre continue à l’échelle mondiale de la </w:t>
      </w:r>
      <w:hyperlink r:id="rId9" w:history="1">
        <w:r w:rsidRPr="00797D20">
          <w:rPr>
            <w:rStyle w:val="Hyperlink"/>
            <w:rFonts w:ascii="Arial" w:hAnsi="Arial" w:cs="Arial"/>
            <w:bCs/>
            <w:kern w:val="1"/>
            <w:lang w:eastAsia="hi-IN" w:bidi="hi-IN"/>
          </w:rPr>
          <w:t xml:space="preserve">Convention </w:t>
        </w:r>
        <w:r w:rsidR="00797D20" w:rsidRPr="00797D20">
          <w:rPr>
            <w:rStyle w:val="Hyperlink"/>
            <w:rFonts w:ascii="Arial" w:hAnsi="Arial" w:cs="Arial"/>
            <w:bCs/>
            <w:kern w:val="1"/>
            <w:lang w:eastAsia="hi-IN" w:bidi="hi-IN"/>
          </w:rPr>
          <w:t xml:space="preserve">concernant </w:t>
        </w:r>
        <w:r w:rsidRPr="00797D20">
          <w:rPr>
            <w:rStyle w:val="Hyperlink"/>
            <w:rFonts w:ascii="Arial" w:hAnsi="Arial" w:cs="Arial"/>
            <w:bCs/>
            <w:kern w:val="1"/>
            <w:lang w:eastAsia="hi-IN" w:bidi="hi-IN"/>
          </w:rPr>
          <w:t>la protection du patrimoine mondial, culturel et naturel</w:t>
        </w:r>
      </w:hyperlink>
      <w:r w:rsidRPr="00A435C9">
        <w:rPr>
          <w:rFonts w:ascii="Arial" w:hAnsi="Arial" w:cs="Arial"/>
          <w:bCs/>
          <w:kern w:val="1"/>
          <w:lang w:eastAsia="hi-IN" w:bidi="hi-IN"/>
        </w:rPr>
        <w:t xml:space="preserve"> (1972</w:t>
      </w:r>
      <w:r w:rsidR="00C6286E" w:rsidRPr="00A435C9">
        <w:rPr>
          <w:rFonts w:ascii="Arial" w:hAnsi="Arial" w:cs="Arial"/>
          <w:bCs/>
          <w:kern w:val="1"/>
          <w:lang w:eastAsia="hi-IN" w:bidi="hi-IN"/>
        </w:rPr>
        <w:t>)</w:t>
      </w:r>
      <w:r w:rsidR="00C6286E">
        <w:rPr>
          <w:rFonts w:ascii="Arial" w:hAnsi="Arial" w:cs="Arial"/>
          <w:bCs/>
          <w:kern w:val="1"/>
          <w:lang w:eastAsia="hi-IN" w:bidi="hi-IN"/>
        </w:rPr>
        <w:t> </w:t>
      </w:r>
      <w:r w:rsidRPr="00A435C9">
        <w:rPr>
          <w:rFonts w:ascii="Arial" w:hAnsi="Arial" w:cs="Arial"/>
          <w:bCs/>
          <w:kern w:val="1"/>
          <w:lang w:eastAsia="hi-IN" w:bidi="hi-IN"/>
        </w:rPr>
        <w:t>; et c</w:t>
      </w:r>
      <w:r w:rsidR="00C6286E" w:rsidRPr="00A435C9">
        <w:rPr>
          <w:rFonts w:ascii="Arial" w:hAnsi="Arial" w:cs="Arial"/>
          <w:bCs/>
          <w:kern w:val="1"/>
          <w:lang w:eastAsia="hi-IN" w:bidi="hi-IN"/>
        </w:rPr>
        <w:t>)</w:t>
      </w:r>
      <w:r w:rsidR="00B964B0">
        <w:rPr>
          <w:rFonts w:ascii="Arial" w:hAnsi="Arial" w:cs="Arial"/>
          <w:bCs/>
          <w:kern w:val="1"/>
          <w:lang w:eastAsia="hi-IN" w:bidi="hi-IN"/>
        </w:rPr>
        <w:t> </w:t>
      </w:r>
      <w:r w:rsidRPr="00A435C9">
        <w:rPr>
          <w:rFonts w:ascii="Arial" w:hAnsi="Arial" w:cs="Arial"/>
          <w:bCs/>
          <w:kern w:val="1"/>
          <w:lang w:eastAsia="hi-IN" w:bidi="hi-IN"/>
        </w:rPr>
        <w:t xml:space="preserve">l’adoption et l’entrée en vigueur de la </w:t>
      </w:r>
      <w:hyperlink r:id="rId10" w:history="1">
        <w:r w:rsidRPr="00797D20">
          <w:rPr>
            <w:rStyle w:val="Hyperlink"/>
            <w:rFonts w:ascii="Arial" w:hAnsi="Arial" w:cs="Arial"/>
            <w:bCs/>
            <w:kern w:val="1"/>
            <w:lang w:eastAsia="hi-IN" w:bidi="hi-IN"/>
          </w:rPr>
          <w:t>Convention sur la protection et la promotion de la diversité des expressions culturelles</w:t>
        </w:r>
      </w:hyperlink>
      <w:r w:rsidRPr="00A435C9">
        <w:rPr>
          <w:rFonts w:ascii="Arial" w:hAnsi="Arial" w:cs="Arial"/>
          <w:bCs/>
          <w:kern w:val="1"/>
          <w:lang w:eastAsia="hi-IN" w:bidi="hi-IN"/>
        </w:rPr>
        <w:t xml:space="preserve"> (2005). Même s’il semble parfois que ces quatre processus se déroulent dans des univers parallèles distincts, il existe en fait entre eux un certain nombre de convergences et de nombreux effets réciproques. Ce panel a pour but d’étudier les liens symbiotiques et les relations réciproques qui existent entre eux et parmi eux, en analysant de quelle façon l’évolution de chacun d’eux depuis 2003 a aussi influencé l’évolution des autres. Les brèves notes ci-dessous examinent en particulier comment deux concepts clés </w:t>
      </w:r>
      <w:r w:rsidR="00984FA1" w:rsidRPr="00A435C9">
        <w:rPr>
          <w:rFonts w:ascii="Arial" w:hAnsi="Arial" w:cs="Arial"/>
          <w:bCs/>
          <w:kern w:val="1"/>
          <w:lang w:eastAsia="hi-IN" w:bidi="hi-IN"/>
        </w:rPr>
        <w:t>sont pris en compte dans chacun de ces processus</w:t>
      </w:r>
      <w:r w:rsidR="00984FA1">
        <w:rPr>
          <w:rFonts w:ascii="Arial" w:hAnsi="Arial" w:cs="Arial"/>
          <w:bCs/>
          <w:kern w:val="1"/>
          <w:lang w:eastAsia="hi-IN" w:bidi="hi-IN"/>
        </w:rPr>
        <w:t> :</w:t>
      </w:r>
      <w:r w:rsidRPr="00A435C9">
        <w:rPr>
          <w:rFonts w:ascii="Arial" w:hAnsi="Arial" w:cs="Arial"/>
          <w:bCs/>
          <w:kern w:val="1"/>
          <w:lang w:eastAsia="hi-IN" w:bidi="hi-IN"/>
        </w:rPr>
        <w:t xml:space="preserve">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00D16234" w:rsidRPr="00A435C9">
        <w:rPr>
          <w:rFonts w:ascii="Arial" w:hAnsi="Arial" w:cs="Arial"/>
          <w:bCs/>
          <w:kern w:val="1"/>
          <w:lang w:eastAsia="hi-IN" w:bidi="hi-IN"/>
        </w:rPr>
        <w:t>communauté</w:t>
      </w:r>
      <w:r w:rsidR="00D16234">
        <w:rPr>
          <w:rFonts w:ascii="Arial" w:hAnsi="Arial" w:cs="Arial"/>
          <w:bCs/>
          <w:kern w:val="1"/>
          <w:lang w:eastAsia="hi-IN" w:bidi="hi-IN"/>
        </w:rPr>
        <w:t> </w:t>
      </w:r>
      <w:r w:rsidRPr="00A435C9">
        <w:rPr>
          <w:rFonts w:ascii="Arial" w:hAnsi="Arial" w:cs="Arial"/>
          <w:bCs/>
          <w:kern w:val="1"/>
          <w:lang w:eastAsia="hi-IN" w:bidi="hi-IN"/>
        </w:rPr>
        <w:t xml:space="preserve">» et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00D16234" w:rsidRPr="00A435C9">
        <w:rPr>
          <w:rFonts w:ascii="Arial" w:hAnsi="Arial" w:cs="Arial"/>
          <w:bCs/>
          <w:kern w:val="1"/>
          <w:lang w:eastAsia="hi-IN" w:bidi="hi-IN"/>
        </w:rPr>
        <w:t>valeur</w:t>
      </w:r>
      <w:r w:rsidR="00D16234">
        <w:rPr>
          <w:rFonts w:ascii="Arial" w:hAnsi="Arial" w:cs="Arial"/>
          <w:bCs/>
          <w:kern w:val="1"/>
          <w:lang w:eastAsia="hi-IN" w:bidi="hi-IN"/>
        </w:rPr>
        <w:t> </w:t>
      </w:r>
      <w:r w:rsidRPr="00A435C9">
        <w:rPr>
          <w:rFonts w:ascii="Arial" w:hAnsi="Arial" w:cs="Arial"/>
          <w:bCs/>
          <w:kern w:val="1"/>
          <w:lang w:eastAsia="hi-IN" w:bidi="hi-IN"/>
        </w:rPr>
        <w:t>»</w:t>
      </w:r>
      <w:r w:rsidR="00984FA1">
        <w:rPr>
          <w:rFonts w:ascii="Arial" w:hAnsi="Arial" w:cs="Arial"/>
          <w:bCs/>
          <w:kern w:val="1"/>
          <w:lang w:eastAsia="hi-IN" w:bidi="hi-IN"/>
        </w:rPr>
        <w:t>.</w:t>
      </w:r>
    </w:p>
    <w:p w:rsidR="00A435C9" w:rsidRPr="00D3685A" w:rsidRDefault="00A435C9" w:rsidP="003327B8">
      <w:pPr>
        <w:keepNext/>
        <w:suppressAutoHyphens/>
        <w:spacing w:before="360" w:after="240" w:line="240" w:lineRule="auto"/>
        <w:rPr>
          <w:rFonts w:ascii="Arial" w:hAnsi="Arial" w:cs="Arial"/>
          <w:b/>
          <w:bCs/>
          <w:kern w:val="1"/>
          <w:lang w:eastAsia="hi-IN" w:bidi="hi-IN"/>
        </w:rPr>
      </w:pPr>
      <w:r w:rsidRPr="00D3685A">
        <w:rPr>
          <w:rFonts w:ascii="Arial" w:hAnsi="Arial" w:cs="Arial"/>
          <w:b/>
          <w:bCs/>
          <w:kern w:val="1"/>
          <w:lang w:eastAsia="hi-IN" w:bidi="hi-IN"/>
        </w:rPr>
        <w:t>Développement d’un régime de propriété intellectuelle pour les connaissances traditionnelles, les ressources génétiques et les expressions culturelles traditionnelles</w:t>
      </w:r>
    </w:p>
    <w:p w:rsidR="00A435C9" w:rsidRPr="00A435C9" w:rsidRDefault="00A435C9" w:rsidP="003327B8">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Les questions relatives aux droits de la propriété intellectuelle occupent une place importante dans les débats de l’UNESCO sur la conservation de la culture depuis les années 1950. En 1973, lorsque les </w:t>
      </w:r>
      <w:r w:rsidRPr="003327B8">
        <w:t xml:space="preserve">autorités boliviennes ont proposé </w:t>
      </w:r>
      <w:r w:rsidR="00984FA1" w:rsidRPr="003327B8">
        <w:t xml:space="preserve">au </w:t>
      </w:r>
      <w:r w:rsidRPr="003327B8">
        <w:t>Direct</w:t>
      </w:r>
      <w:r w:rsidR="00984FA1" w:rsidRPr="003327B8">
        <w:t>eur</w:t>
      </w:r>
      <w:r w:rsidRPr="003327B8">
        <w:t xml:space="preserve"> général</w:t>
      </w:r>
      <w:r w:rsidRPr="00A435C9">
        <w:rPr>
          <w:rFonts w:ascii="Arial" w:hAnsi="Arial" w:cs="Arial"/>
          <w:bCs/>
          <w:kern w:val="1"/>
          <w:lang w:eastAsia="hi-IN" w:bidi="hi-IN"/>
        </w:rPr>
        <w:t xml:space="preserve"> que le Comité intergouvernemental du droit d</w:t>
      </w:r>
      <w:r w:rsidR="00D16234">
        <w:rPr>
          <w:rFonts w:ascii="Arial" w:hAnsi="Arial" w:cs="Arial"/>
          <w:bCs/>
          <w:kern w:val="1"/>
          <w:lang w:eastAsia="hi-IN" w:bidi="hi-IN"/>
        </w:rPr>
        <w:t>’</w:t>
      </w:r>
      <w:r w:rsidRPr="00A435C9">
        <w:rPr>
          <w:rFonts w:ascii="Arial" w:hAnsi="Arial" w:cs="Arial"/>
          <w:bCs/>
          <w:kern w:val="1"/>
          <w:lang w:eastAsia="hi-IN" w:bidi="hi-IN"/>
        </w:rPr>
        <w:t>auteur examine la question de l’</w:t>
      </w:r>
      <w:r w:rsidR="00984FA1">
        <w:rPr>
          <w:rFonts w:ascii="Arial" w:hAnsi="Arial" w:cs="Arial"/>
          <w:bCs/>
          <w:kern w:val="1"/>
          <w:lang w:eastAsia="hi-IN" w:bidi="hi-IN"/>
        </w:rPr>
        <w:t>« </w:t>
      </w:r>
      <w:r w:rsidRPr="00A435C9">
        <w:rPr>
          <w:rFonts w:ascii="Arial" w:hAnsi="Arial" w:cs="Arial"/>
          <w:bCs/>
          <w:kern w:val="1"/>
          <w:lang w:eastAsia="hi-IN" w:bidi="hi-IN"/>
        </w:rPr>
        <w:t>établissement d’un instrument international pour la protection du folklore</w:t>
      </w:r>
      <w:r w:rsidR="00984FA1">
        <w:rPr>
          <w:rFonts w:ascii="Arial" w:hAnsi="Arial" w:cs="Arial"/>
          <w:bCs/>
          <w:kern w:val="1"/>
          <w:lang w:eastAsia="hi-IN" w:bidi="hi-IN"/>
        </w:rPr>
        <w:t> »</w:t>
      </w:r>
      <w:r w:rsidRPr="00A435C9">
        <w:rPr>
          <w:rFonts w:ascii="Arial" w:hAnsi="Arial" w:cs="Arial"/>
          <w:bCs/>
          <w:kern w:val="1"/>
          <w:lang w:eastAsia="hi-IN" w:bidi="hi-IN"/>
        </w:rPr>
        <w:t xml:space="preserve">, les mesures qu’elles ont soumis à examen comprenaient certaines mesures relevant aujourd’hui du champ de sauvegarde de la Convention de 2003 (par exemple,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Pr="00A435C9">
        <w:rPr>
          <w:rFonts w:ascii="Arial" w:hAnsi="Arial" w:cs="Arial"/>
          <w:bCs/>
          <w:kern w:val="1"/>
          <w:lang w:eastAsia="hi-IN" w:bidi="hi-IN"/>
        </w:rPr>
        <w:t xml:space="preserve">préservation, promotion et </w:t>
      </w:r>
      <w:r w:rsidR="00D16234" w:rsidRPr="00A435C9">
        <w:rPr>
          <w:rFonts w:ascii="Arial" w:hAnsi="Arial" w:cs="Arial"/>
          <w:bCs/>
          <w:kern w:val="1"/>
          <w:lang w:eastAsia="hi-IN" w:bidi="hi-IN"/>
        </w:rPr>
        <w:t>diffusion</w:t>
      </w:r>
      <w:r w:rsidR="00D16234">
        <w:rPr>
          <w:rFonts w:ascii="Arial" w:hAnsi="Arial" w:cs="Arial"/>
          <w:bCs/>
          <w:kern w:val="1"/>
          <w:lang w:eastAsia="hi-IN" w:bidi="hi-IN"/>
        </w:rPr>
        <w:t> </w:t>
      </w:r>
      <w:r w:rsidRPr="00A435C9">
        <w:rPr>
          <w:rFonts w:ascii="Arial" w:hAnsi="Arial" w:cs="Arial"/>
          <w:bCs/>
          <w:kern w:val="1"/>
          <w:lang w:eastAsia="hi-IN" w:bidi="hi-IN"/>
        </w:rPr>
        <w:t>») et d’autres visant à protéger les expressions folkloriques en tant que propriété intellectuelle – c’est-à-</w:t>
      </w:r>
      <w:proofErr w:type="gramStart"/>
      <w:r w:rsidRPr="00A435C9">
        <w:rPr>
          <w:rFonts w:ascii="Arial" w:hAnsi="Arial" w:cs="Arial"/>
          <w:bCs/>
          <w:kern w:val="1"/>
          <w:lang w:eastAsia="hi-IN" w:bidi="hi-IN"/>
        </w:rPr>
        <w:lastRenderedPageBreak/>
        <w:t>dire</w:t>
      </w:r>
      <w:proofErr w:type="gramEnd"/>
      <w:r w:rsidRPr="00A435C9">
        <w:rPr>
          <w:rFonts w:ascii="Arial" w:hAnsi="Arial" w:cs="Arial"/>
          <w:bCs/>
          <w:kern w:val="1"/>
          <w:lang w:eastAsia="hi-IN" w:bidi="hi-IN"/>
        </w:rPr>
        <w:t>, dans la conception qui était la leur à l’époque, en tant que propriété de l’</w:t>
      </w:r>
      <w:r w:rsidR="00D16234">
        <w:rPr>
          <w:rFonts w:ascii="Arial" w:hAnsi="Arial" w:cs="Arial"/>
          <w:bCs/>
          <w:kern w:val="1"/>
          <w:lang w:eastAsia="hi-IN" w:bidi="hi-IN"/>
        </w:rPr>
        <w:t>É</w:t>
      </w:r>
      <w:r w:rsidRPr="00A435C9">
        <w:rPr>
          <w:rFonts w:ascii="Arial" w:hAnsi="Arial" w:cs="Arial"/>
          <w:bCs/>
          <w:kern w:val="1"/>
          <w:lang w:eastAsia="hi-IN" w:bidi="hi-IN"/>
        </w:rPr>
        <w:t>tat. Dans les années qui ont suivi, ces deux approches ont été de plus en plus perçues comme requérant des réponses distinctes et c’est pourquoi la question de la propriété intellectuelle a été prise en charge par l’OMPI, alors que la Convention de 2003 exclut expressément cette question de son champ.</w:t>
      </w:r>
    </w:p>
    <w:p w:rsidR="00A435C9" w:rsidRPr="00A435C9" w:rsidRDefault="00A435C9" w:rsidP="003327B8">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Créé en 2000, le </w:t>
      </w:r>
      <w:hyperlink r:id="rId11" w:history="1">
        <w:r w:rsidRPr="00D3685A">
          <w:rPr>
            <w:rStyle w:val="Hyperlink"/>
            <w:rFonts w:ascii="Arial" w:hAnsi="Arial" w:cs="Arial"/>
            <w:bCs/>
            <w:kern w:val="1"/>
            <w:lang w:eastAsia="hi-IN" w:bidi="hi-IN"/>
          </w:rPr>
          <w:t>Comité intergouvernemental de la propriété intellectuelle relative aux ressources génétiques, aux savoirs traditionnels et au folklore (CIG)</w:t>
        </w:r>
      </w:hyperlink>
      <w:r w:rsidRPr="00A435C9">
        <w:rPr>
          <w:rFonts w:ascii="Arial" w:hAnsi="Arial" w:cs="Arial"/>
          <w:bCs/>
          <w:kern w:val="1"/>
          <w:lang w:eastAsia="hi-IN" w:bidi="hi-IN"/>
        </w:rPr>
        <w:t xml:space="preserve"> de l’OMPI discute depuis des dispositions qui pourraient figurer dans un ou plusieurs instruments juridiques internationaux visant à assurer la protection effective de ces trois domaines étroitement liés mais distincts. Pour les besoins du présent document, examinons son action en ce qui concerne les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Pr="00A435C9">
        <w:rPr>
          <w:rFonts w:ascii="Arial" w:hAnsi="Arial" w:cs="Arial"/>
          <w:bCs/>
          <w:kern w:val="1"/>
          <w:lang w:eastAsia="hi-IN" w:bidi="hi-IN"/>
        </w:rPr>
        <w:t xml:space="preserve">expressions culturelles </w:t>
      </w:r>
      <w:r w:rsidR="00D16234" w:rsidRPr="00A435C9">
        <w:rPr>
          <w:rFonts w:ascii="Arial" w:hAnsi="Arial" w:cs="Arial"/>
          <w:bCs/>
          <w:kern w:val="1"/>
          <w:lang w:eastAsia="hi-IN" w:bidi="hi-IN"/>
        </w:rPr>
        <w:t>traditionnelles</w:t>
      </w:r>
      <w:r w:rsidR="00D16234">
        <w:rPr>
          <w:rFonts w:ascii="Arial" w:hAnsi="Arial" w:cs="Arial"/>
          <w:bCs/>
          <w:kern w:val="1"/>
          <w:lang w:eastAsia="hi-IN" w:bidi="hi-IN"/>
        </w:rPr>
        <w:t> </w:t>
      </w:r>
      <w:r w:rsidRPr="00A435C9">
        <w:rPr>
          <w:rFonts w:ascii="Arial" w:hAnsi="Arial" w:cs="Arial"/>
          <w:bCs/>
          <w:kern w:val="1"/>
          <w:lang w:eastAsia="hi-IN" w:bidi="hi-IN"/>
        </w:rPr>
        <w:t xml:space="preserve">» ou les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Pr="00A435C9">
        <w:rPr>
          <w:rFonts w:ascii="Arial" w:hAnsi="Arial" w:cs="Arial"/>
          <w:bCs/>
          <w:kern w:val="1"/>
          <w:lang w:eastAsia="hi-IN" w:bidi="hi-IN"/>
        </w:rPr>
        <w:t xml:space="preserve">expressions </w:t>
      </w:r>
      <w:r w:rsidR="00D16234" w:rsidRPr="00A435C9">
        <w:rPr>
          <w:rFonts w:ascii="Arial" w:hAnsi="Arial" w:cs="Arial"/>
          <w:bCs/>
          <w:kern w:val="1"/>
          <w:lang w:eastAsia="hi-IN" w:bidi="hi-IN"/>
        </w:rPr>
        <w:t>folkloriques</w:t>
      </w:r>
      <w:r w:rsidR="00D16234">
        <w:rPr>
          <w:rFonts w:ascii="Arial" w:hAnsi="Arial" w:cs="Arial"/>
          <w:bCs/>
          <w:kern w:val="1"/>
          <w:lang w:eastAsia="hi-IN" w:bidi="hi-IN"/>
        </w:rPr>
        <w:t> </w:t>
      </w:r>
      <w:r w:rsidRPr="00A435C9">
        <w:rPr>
          <w:rFonts w:ascii="Arial" w:hAnsi="Arial" w:cs="Arial"/>
          <w:bCs/>
          <w:kern w:val="1"/>
          <w:lang w:eastAsia="hi-IN" w:bidi="hi-IN"/>
        </w:rPr>
        <w:t>» (synonymes dans l’usage de l’OMPI). Dès le début s’est posé le problème de savoir comment un système international de propriété in</w:t>
      </w:r>
      <w:bookmarkStart w:id="0" w:name="_GoBack"/>
      <w:bookmarkEnd w:id="0"/>
      <w:r w:rsidRPr="00A435C9">
        <w:rPr>
          <w:rFonts w:ascii="Arial" w:hAnsi="Arial" w:cs="Arial"/>
          <w:bCs/>
          <w:kern w:val="1"/>
          <w:lang w:eastAsia="hi-IN" w:bidi="hi-IN"/>
        </w:rPr>
        <w:t xml:space="preserve">tellectuelle ayant évolué sur une durée de plusieurs siècles afin de protéger les expressions créatives uniques </w:t>
      </w:r>
      <w:r w:rsidR="002B6174" w:rsidRPr="00A435C9">
        <w:rPr>
          <w:rFonts w:ascii="Arial" w:hAnsi="Arial" w:cs="Arial"/>
          <w:bCs/>
          <w:kern w:val="1"/>
          <w:lang w:eastAsia="hi-IN" w:bidi="hi-IN"/>
        </w:rPr>
        <w:t>d</w:t>
      </w:r>
      <w:r w:rsidR="002B6174">
        <w:rPr>
          <w:rFonts w:ascii="Arial" w:hAnsi="Arial" w:cs="Arial"/>
          <w:bCs/>
          <w:kern w:val="1"/>
          <w:lang w:eastAsia="hi-IN" w:bidi="hi-IN"/>
        </w:rPr>
        <w:t>e personnes connues</w:t>
      </w:r>
      <w:r w:rsidR="002B6174" w:rsidRPr="00A435C9">
        <w:rPr>
          <w:rFonts w:ascii="Arial" w:hAnsi="Arial" w:cs="Arial"/>
          <w:bCs/>
          <w:kern w:val="1"/>
          <w:lang w:eastAsia="hi-IN" w:bidi="hi-IN"/>
        </w:rPr>
        <w:t xml:space="preserve"> </w:t>
      </w:r>
      <w:r w:rsidRPr="00A435C9">
        <w:rPr>
          <w:rFonts w:ascii="Arial" w:hAnsi="Arial" w:cs="Arial"/>
          <w:bCs/>
          <w:kern w:val="1"/>
          <w:lang w:eastAsia="hi-IN" w:bidi="hi-IN"/>
        </w:rPr>
        <w:t xml:space="preserve">pourrait </w:t>
      </w:r>
      <w:r w:rsidR="002B6174">
        <w:rPr>
          <w:rFonts w:ascii="Arial" w:hAnsi="Arial" w:cs="Arial"/>
          <w:bCs/>
          <w:kern w:val="1"/>
          <w:lang w:eastAsia="hi-IN" w:bidi="hi-IN"/>
        </w:rPr>
        <w:t>comprendre</w:t>
      </w:r>
      <w:r w:rsidRPr="00A435C9">
        <w:rPr>
          <w:rFonts w:ascii="Arial" w:hAnsi="Arial" w:cs="Arial"/>
          <w:bCs/>
          <w:kern w:val="1"/>
          <w:lang w:eastAsia="hi-IN" w:bidi="hi-IN"/>
        </w:rPr>
        <w:t xml:space="preserve"> la protection d’expressions culturelles dynamiques </w:t>
      </w:r>
      <w:r w:rsidR="002B6174">
        <w:rPr>
          <w:rFonts w:ascii="Arial" w:hAnsi="Arial" w:cs="Arial"/>
          <w:bCs/>
          <w:kern w:val="1"/>
          <w:lang w:eastAsia="hi-IN" w:bidi="hi-IN"/>
        </w:rPr>
        <w:t xml:space="preserve">ayant des racines anciennes mais </w:t>
      </w:r>
      <w:r w:rsidRPr="00A435C9">
        <w:rPr>
          <w:rFonts w:ascii="Arial" w:hAnsi="Arial" w:cs="Arial"/>
          <w:bCs/>
          <w:kern w:val="1"/>
          <w:lang w:eastAsia="hi-IN" w:bidi="hi-IN"/>
        </w:rPr>
        <w:t>créées et recréées par des communautés et des groupes</w:t>
      </w:r>
      <w:r w:rsidR="002B6174">
        <w:rPr>
          <w:rFonts w:ascii="Arial" w:hAnsi="Arial" w:cs="Arial"/>
          <w:bCs/>
          <w:kern w:val="1"/>
          <w:lang w:eastAsia="hi-IN" w:bidi="hi-IN"/>
        </w:rPr>
        <w:t xml:space="preserve"> </w:t>
      </w:r>
      <w:r w:rsidR="002B6174" w:rsidRPr="003327B8">
        <w:rPr>
          <w:rFonts w:ascii="Arial" w:hAnsi="Arial" w:cs="Arial"/>
          <w:bCs/>
          <w:kern w:val="1"/>
          <w:lang w:eastAsia="hi-IN" w:bidi="hi-IN"/>
        </w:rPr>
        <w:t>et considéré</w:t>
      </w:r>
      <w:r w:rsidR="002B6174">
        <w:rPr>
          <w:rFonts w:ascii="Arial" w:hAnsi="Arial" w:cs="Arial"/>
          <w:bCs/>
          <w:kern w:val="1"/>
          <w:lang w:eastAsia="hi-IN" w:bidi="hi-IN"/>
        </w:rPr>
        <w:t>es</w:t>
      </w:r>
      <w:r w:rsidR="002B6174" w:rsidRPr="003327B8">
        <w:rPr>
          <w:rFonts w:ascii="Arial" w:hAnsi="Arial" w:cs="Arial"/>
          <w:bCs/>
          <w:kern w:val="1"/>
          <w:lang w:eastAsia="hi-IN" w:bidi="hi-IN"/>
        </w:rPr>
        <w:t xml:space="preserve"> comme </w:t>
      </w:r>
      <w:r w:rsidR="002B6174">
        <w:rPr>
          <w:rFonts w:ascii="Arial" w:hAnsi="Arial" w:cs="Arial"/>
          <w:bCs/>
          <w:kern w:val="1"/>
          <w:lang w:eastAsia="hi-IN" w:bidi="hi-IN"/>
        </w:rPr>
        <w:t xml:space="preserve">« propriété » </w:t>
      </w:r>
      <w:r w:rsidR="002B6174" w:rsidRPr="003327B8">
        <w:rPr>
          <w:rFonts w:ascii="Arial" w:hAnsi="Arial" w:cs="Arial"/>
          <w:bCs/>
          <w:kern w:val="1"/>
          <w:lang w:eastAsia="hi-IN" w:bidi="hi-IN"/>
        </w:rPr>
        <w:t xml:space="preserve">collective. Très vite, les négociations </w:t>
      </w:r>
      <w:r w:rsidR="002B6174">
        <w:rPr>
          <w:rFonts w:ascii="Arial" w:hAnsi="Arial" w:cs="Arial"/>
          <w:bCs/>
          <w:kern w:val="1"/>
          <w:lang w:eastAsia="hi-IN" w:bidi="hi-IN"/>
        </w:rPr>
        <w:t>de l’</w:t>
      </w:r>
      <w:r w:rsidR="002B6174" w:rsidRPr="003327B8">
        <w:rPr>
          <w:rFonts w:ascii="Arial" w:hAnsi="Arial" w:cs="Arial"/>
          <w:bCs/>
          <w:kern w:val="1"/>
          <w:lang w:eastAsia="hi-IN" w:bidi="hi-IN"/>
        </w:rPr>
        <w:t xml:space="preserve">OMPI </w:t>
      </w:r>
      <w:r w:rsidR="002B6174">
        <w:rPr>
          <w:rFonts w:ascii="Arial" w:hAnsi="Arial" w:cs="Arial"/>
          <w:bCs/>
          <w:kern w:val="1"/>
          <w:lang w:eastAsia="hi-IN" w:bidi="hi-IN"/>
        </w:rPr>
        <w:t>se s</w:t>
      </w:r>
      <w:r w:rsidR="002B6174" w:rsidRPr="003327B8">
        <w:rPr>
          <w:rFonts w:ascii="Arial" w:hAnsi="Arial" w:cs="Arial"/>
          <w:bCs/>
          <w:kern w:val="1"/>
          <w:lang w:eastAsia="hi-IN" w:bidi="hi-IN"/>
        </w:rPr>
        <w:t xml:space="preserve">ont </w:t>
      </w:r>
      <w:r w:rsidR="002B6174">
        <w:rPr>
          <w:rFonts w:ascii="Arial" w:hAnsi="Arial" w:cs="Arial"/>
          <w:bCs/>
          <w:kern w:val="1"/>
          <w:lang w:eastAsia="hi-IN" w:bidi="hi-IN"/>
        </w:rPr>
        <w:t xml:space="preserve">concentrées </w:t>
      </w:r>
      <w:r w:rsidR="002B6174" w:rsidRPr="003327B8">
        <w:rPr>
          <w:rFonts w:ascii="Arial" w:hAnsi="Arial" w:cs="Arial"/>
          <w:bCs/>
          <w:kern w:val="1"/>
          <w:lang w:eastAsia="hi-IN" w:bidi="hi-IN"/>
        </w:rPr>
        <w:t xml:space="preserve">sur </w:t>
      </w:r>
      <w:r w:rsidR="002B6174" w:rsidRPr="002B6174">
        <w:rPr>
          <w:rFonts w:ascii="Arial" w:hAnsi="Arial" w:cs="Arial"/>
          <w:bCs/>
          <w:kern w:val="1"/>
          <w:lang w:eastAsia="hi-IN" w:bidi="hi-IN"/>
        </w:rPr>
        <w:t xml:space="preserve">des dispositions </w:t>
      </w:r>
      <w:r w:rsidR="002B6174" w:rsidRPr="003327B8">
        <w:rPr>
          <w:rFonts w:ascii="Arial" w:hAnsi="Arial" w:cs="Arial"/>
          <w:bCs/>
          <w:i/>
          <w:kern w:val="1"/>
          <w:lang w:eastAsia="hi-IN" w:bidi="hi-IN"/>
        </w:rPr>
        <w:t>sui generis</w:t>
      </w:r>
      <w:r w:rsidR="002B6174" w:rsidRPr="003327B8">
        <w:rPr>
          <w:rFonts w:ascii="Arial" w:hAnsi="Arial" w:cs="Arial"/>
          <w:bCs/>
          <w:kern w:val="1"/>
          <w:lang w:eastAsia="hi-IN" w:bidi="hi-IN"/>
        </w:rPr>
        <w:t xml:space="preserve"> (spécial</w:t>
      </w:r>
      <w:r w:rsidR="002B6174">
        <w:rPr>
          <w:rFonts w:ascii="Arial" w:hAnsi="Arial" w:cs="Arial"/>
          <w:bCs/>
          <w:kern w:val="1"/>
          <w:lang w:eastAsia="hi-IN" w:bidi="hi-IN"/>
        </w:rPr>
        <w:t>es</w:t>
      </w:r>
      <w:r w:rsidR="002B6174" w:rsidRPr="003327B8">
        <w:rPr>
          <w:rFonts w:ascii="Arial" w:hAnsi="Arial" w:cs="Arial"/>
          <w:bCs/>
          <w:kern w:val="1"/>
          <w:lang w:eastAsia="hi-IN" w:bidi="hi-IN"/>
        </w:rPr>
        <w:t xml:space="preserve">), fondées sur des principes de propriété intellectuelle mais adaptées </w:t>
      </w:r>
      <w:r w:rsidR="002B6174">
        <w:rPr>
          <w:rFonts w:ascii="Arial" w:hAnsi="Arial" w:cs="Arial"/>
          <w:bCs/>
          <w:kern w:val="1"/>
          <w:lang w:eastAsia="hi-IN" w:bidi="hi-IN"/>
        </w:rPr>
        <w:t>afin de</w:t>
      </w:r>
      <w:r w:rsidR="002B6174" w:rsidRPr="003327B8">
        <w:rPr>
          <w:rFonts w:ascii="Arial" w:hAnsi="Arial" w:cs="Arial"/>
          <w:bCs/>
          <w:kern w:val="1"/>
          <w:lang w:eastAsia="hi-IN" w:bidi="hi-IN"/>
        </w:rPr>
        <w:t xml:space="preserve"> répondre aux particularités des expressions culturelles traditionnelles</w:t>
      </w:r>
      <w:r w:rsidRPr="00A435C9">
        <w:rPr>
          <w:rFonts w:ascii="Arial" w:hAnsi="Arial" w:cs="Arial"/>
          <w:bCs/>
          <w:kern w:val="1"/>
          <w:lang w:eastAsia="hi-IN" w:bidi="hi-IN"/>
        </w:rPr>
        <w:t>. Dans son projet actuel de d</w:t>
      </w:r>
      <w:r w:rsidR="00D3685A">
        <w:rPr>
          <w:rFonts w:ascii="Arial" w:hAnsi="Arial" w:cs="Arial"/>
          <w:bCs/>
          <w:kern w:val="1"/>
          <w:lang w:eastAsia="hi-IN" w:bidi="hi-IN"/>
        </w:rPr>
        <w:t>ispositions, le CIG mentionne « </w:t>
      </w:r>
      <w:r w:rsidRPr="00A435C9">
        <w:rPr>
          <w:rFonts w:ascii="Arial" w:hAnsi="Arial" w:cs="Arial"/>
          <w:bCs/>
          <w:kern w:val="1"/>
          <w:lang w:eastAsia="hi-IN" w:bidi="hi-IN"/>
        </w:rPr>
        <w:t xml:space="preserve">les peuples et communautés autochtones et les communautés traditionnelles et autres communautés culturelles et leurs </w:t>
      </w:r>
      <w:r w:rsidR="00D16234" w:rsidRPr="00A435C9">
        <w:rPr>
          <w:rFonts w:ascii="Arial" w:hAnsi="Arial" w:cs="Arial"/>
          <w:bCs/>
          <w:kern w:val="1"/>
          <w:lang w:eastAsia="hi-IN" w:bidi="hi-IN"/>
        </w:rPr>
        <w:t>membres</w:t>
      </w:r>
      <w:r w:rsidR="00D16234">
        <w:rPr>
          <w:rFonts w:ascii="Arial" w:hAnsi="Arial" w:cs="Arial"/>
          <w:bCs/>
          <w:kern w:val="1"/>
          <w:lang w:eastAsia="hi-IN" w:bidi="hi-IN"/>
        </w:rPr>
        <w:t> </w:t>
      </w:r>
      <w:r w:rsidRPr="00A435C9">
        <w:rPr>
          <w:rFonts w:ascii="Arial" w:hAnsi="Arial" w:cs="Arial"/>
          <w:bCs/>
          <w:kern w:val="1"/>
          <w:lang w:eastAsia="hi-IN" w:bidi="hi-IN"/>
        </w:rPr>
        <w:t xml:space="preserve">», bien que chacun de ces termes soit contesté et que – comme avec la Convention de 2003 – il est peut-être impossible de donner une définition rigoureuse des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00D16234" w:rsidRPr="00A435C9">
        <w:rPr>
          <w:rFonts w:ascii="Arial" w:hAnsi="Arial" w:cs="Arial"/>
          <w:bCs/>
          <w:kern w:val="1"/>
          <w:lang w:eastAsia="hi-IN" w:bidi="hi-IN"/>
        </w:rPr>
        <w:t>communautés</w:t>
      </w:r>
      <w:r w:rsidR="00D16234">
        <w:rPr>
          <w:rFonts w:ascii="Arial" w:hAnsi="Arial" w:cs="Arial"/>
          <w:bCs/>
          <w:kern w:val="1"/>
          <w:lang w:eastAsia="hi-IN" w:bidi="hi-IN"/>
        </w:rPr>
        <w:t> </w:t>
      </w:r>
      <w:r w:rsidRPr="00A435C9">
        <w:rPr>
          <w:rFonts w:ascii="Arial" w:hAnsi="Arial" w:cs="Arial"/>
          <w:bCs/>
          <w:kern w:val="1"/>
          <w:lang w:eastAsia="hi-IN" w:bidi="hi-IN"/>
        </w:rPr>
        <w:t xml:space="preserve">». Ailleurs, mention est faite des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009873A4">
        <w:rPr>
          <w:rFonts w:ascii="Arial" w:hAnsi="Arial" w:cs="Arial"/>
          <w:bCs/>
          <w:kern w:val="1"/>
          <w:lang w:eastAsia="hi-IN" w:bidi="hi-IN"/>
        </w:rPr>
        <w:t>[</w:t>
      </w:r>
      <w:r w:rsidRPr="00A435C9">
        <w:rPr>
          <w:rFonts w:ascii="Arial" w:hAnsi="Arial" w:cs="Arial"/>
          <w:bCs/>
          <w:kern w:val="1"/>
          <w:lang w:eastAsia="hi-IN" w:bidi="hi-IN"/>
        </w:rPr>
        <w:t>peuples</w:t>
      </w:r>
      <w:r w:rsidR="009873A4">
        <w:rPr>
          <w:rFonts w:ascii="Arial" w:hAnsi="Arial" w:cs="Arial"/>
          <w:bCs/>
          <w:kern w:val="1"/>
          <w:lang w:eastAsia="hi-IN" w:bidi="hi-IN"/>
        </w:rPr>
        <w:t>]</w:t>
      </w:r>
      <w:r w:rsidRPr="00A435C9">
        <w:rPr>
          <w:rFonts w:ascii="Arial" w:hAnsi="Arial" w:cs="Arial"/>
          <w:bCs/>
          <w:kern w:val="1"/>
          <w:lang w:eastAsia="hi-IN" w:bidi="hi-IN"/>
        </w:rPr>
        <w:t xml:space="preserve"> autochtones et communautés </w:t>
      </w:r>
      <w:r w:rsidR="00D16234" w:rsidRPr="00A435C9">
        <w:rPr>
          <w:rFonts w:ascii="Arial" w:hAnsi="Arial" w:cs="Arial"/>
          <w:bCs/>
          <w:kern w:val="1"/>
          <w:lang w:eastAsia="hi-IN" w:bidi="hi-IN"/>
        </w:rPr>
        <w:t>locales</w:t>
      </w:r>
      <w:r w:rsidR="00D16234">
        <w:rPr>
          <w:rFonts w:ascii="Arial" w:hAnsi="Arial" w:cs="Arial"/>
          <w:bCs/>
          <w:kern w:val="1"/>
          <w:lang w:eastAsia="hi-IN" w:bidi="hi-IN"/>
        </w:rPr>
        <w:t> </w:t>
      </w:r>
      <w:r w:rsidRPr="00A435C9">
        <w:rPr>
          <w:rFonts w:ascii="Arial" w:hAnsi="Arial" w:cs="Arial"/>
          <w:bCs/>
          <w:kern w:val="1"/>
          <w:lang w:eastAsia="hi-IN" w:bidi="hi-IN"/>
        </w:rPr>
        <w:t xml:space="preserve">», les </w:t>
      </w:r>
      <w:r w:rsidR="009873A4">
        <w:rPr>
          <w:rFonts w:ascii="Arial" w:hAnsi="Arial" w:cs="Arial"/>
          <w:bCs/>
          <w:kern w:val="1"/>
          <w:lang w:eastAsia="hi-IN" w:bidi="hi-IN"/>
        </w:rPr>
        <w:t xml:space="preserve">crochets </w:t>
      </w:r>
      <w:r w:rsidRPr="00A435C9">
        <w:rPr>
          <w:rFonts w:ascii="Arial" w:hAnsi="Arial" w:cs="Arial"/>
          <w:bCs/>
          <w:kern w:val="1"/>
          <w:lang w:eastAsia="hi-IN" w:bidi="hi-IN"/>
        </w:rPr>
        <w:t>indiquant l’absence de consensus sur la terminologie.</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La question de</w:t>
      </w:r>
      <w:r w:rsidR="00517364">
        <w:rPr>
          <w:rFonts w:ascii="Arial" w:hAnsi="Arial" w:cs="Arial"/>
          <w:bCs/>
          <w:kern w:val="1"/>
          <w:lang w:eastAsia="hi-IN" w:bidi="hi-IN"/>
        </w:rPr>
        <w:t xml:space="preserve"> la</w:t>
      </w:r>
      <w:r w:rsidRPr="00A435C9">
        <w:rPr>
          <w:rFonts w:ascii="Arial" w:hAnsi="Arial" w:cs="Arial"/>
          <w:bCs/>
          <w:kern w:val="1"/>
          <w:lang w:eastAsia="hi-IN" w:bidi="hi-IN"/>
        </w:rPr>
        <w:t xml:space="preserve"> valeur occupe également une place centrale dans le travail du CIG de l’OMPI. L’expression la plus claire de sa réflexion à cet égard apparaît dans la série </w:t>
      </w:r>
      <w:r w:rsidR="00517364">
        <w:rPr>
          <w:rFonts w:ascii="Arial" w:hAnsi="Arial" w:cs="Arial"/>
          <w:bCs/>
          <w:kern w:val="1"/>
          <w:lang w:eastAsia="hi-IN" w:bidi="hi-IN"/>
        </w:rPr>
        <w:t xml:space="preserve">de projets </w:t>
      </w:r>
      <w:r w:rsidRPr="00A435C9">
        <w:rPr>
          <w:rFonts w:ascii="Arial" w:hAnsi="Arial" w:cs="Arial"/>
          <w:bCs/>
          <w:kern w:val="1"/>
          <w:lang w:eastAsia="hi-IN" w:bidi="hi-IN"/>
        </w:rPr>
        <w:t>d’</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00D16234" w:rsidRPr="00A435C9">
        <w:rPr>
          <w:rFonts w:ascii="Arial" w:hAnsi="Arial" w:cs="Arial"/>
          <w:bCs/>
          <w:kern w:val="1"/>
          <w:lang w:eastAsia="hi-IN" w:bidi="hi-IN"/>
        </w:rPr>
        <w:t>objectifs</w:t>
      </w:r>
      <w:r w:rsidR="00D16234">
        <w:rPr>
          <w:rFonts w:ascii="Arial" w:hAnsi="Arial" w:cs="Arial"/>
          <w:bCs/>
          <w:kern w:val="1"/>
          <w:lang w:eastAsia="hi-IN" w:bidi="hi-IN"/>
        </w:rPr>
        <w:t> </w:t>
      </w:r>
      <w:r w:rsidRPr="00A435C9">
        <w:rPr>
          <w:rFonts w:ascii="Arial" w:hAnsi="Arial" w:cs="Arial"/>
          <w:bCs/>
          <w:kern w:val="1"/>
          <w:lang w:eastAsia="hi-IN" w:bidi="hi-IN"/>
        </w:rPr>
        <w:t>» introduisant l’ensemble actuel de dispositions sur les expressions culturelles traditionnelles (</w:t>
      </w:r>
      <w:hyperlink r:id="rId12" w:history="1">
        <w:r w:rsidRPr="00D3685A">
          <w:rPr>
            <w:rStyle w:val="Hyperlink"/>
            <w:rFonts w:ascii="Arial" w:hAnsi="Arial" w:cs="Arial"/>
            <w:bCs/>
            <w:kern w:val="1"/>
            <w:lang w:eastAsia="hi-IN" w:bidi="hi-IN"/>
          </w:rPr>
          <w:t>WIPO/GRTKF/IC/25/4</w:t>
        </w:r>
      </w:hyperlink>
      <w:r w:rsidRPr="00A435C9">
        <w:rPr>
          <w:rFonts w:ascii="Arial" w:hAnsi="Arial" w:cs="Arial"/>
          <w:bCs/>
          <w:kern w:val="1"/>
          <w:lang w:eastAsia="hi-IN" w:bidi="hi-IN"/>
        </w:rPr>
        <w:t xml:space="preserve">), où il est stipulé que </w:t>
      </w:r>
      <w:r w:rsidR="00D16234" w:rsidRPr="00A435C9">
        <w:rPr>
          <w:rFonts w:ascii="Arial" w:hAnsi="Arial" w:cs="Arial"/>
          <w:bCs/>
          <w:kern w:val="1"/>
          <w:lang w:eastAsia="hi-IN" w:bidi="hi-IN"/>
        </w:rPr>
        <w:t>«</w:t>
      </w:r>
      <w:r w:rsidR="00D16234">
        <w:rPr>
          <w:rFonts w:ascii="Arial" w:hAnsi="Arial" w:cs="Arial"/>
          <w:bCs/>
          <w:kern w:val="1"/>
          <w:lang w:eastAsia="hi-IN" w:bidi="hi-IN"/>
        </w:rPr>
        <w:t> </w:t>
      </w:r>
      <w:r w:rsidRPr="00A435C9">
        <w:rPr>
          <w:rFonts w:ascii="Arial" w:hAnsi="Arial" w:cs="Arial"/>
          <w:bCs/>
          <w:kern w:val="1"/>
          <w:lang w:eastAsia="hi-IN" w:bidi="hi-IN"/>
        </w:rPr>
        <w:t xml:space="preserve">La protection des expressions culturelles traditionnelles devrait viser les objectifs suivants </w:t>
      </w:r>
      <w:r w:rsidR="00517364">
        <w:rPr>
          <w:rFonts w:ascii="Arial" w:hAnsi="Arial" w:cs="Arial"/>
          <w:bCs/>
          <w:kern w:val="1"/>
          <w:lang w:eastAsia="hi-IN" w:bidi="hi-IN"/>
        </w:rPr>
        <w:t>[…]</w:t>
      </w:r>
      <w:r w:rsidR="00517364" w:rsidRPr="00A435C9">
        <w:rPr>
          <w:rFonts w:ascii="Arial" w:hAnsi="Arial" w:cs="Arial"/>
          <w:bCs/>
          <w:kern w:val="1"/>
          <w:lang w:eastAsia="hi-IN" w:bidi="hi-IN"/>
        </w:rPr>
        <w:t xml:space="preserve"> </w:t>
      </w:r>
      <w:r w:rsidRPr="00A435C9">
        <w:rPr>
          <w:rFonts w:ascii="Arial" w:hAnsi="Arial" w:cs="Arial"/>
          <w:bCs/>
          <w:kern w:val="1"/>
          <w:lang w:eastAsia="hi-IN" w:bidi="hi-IN"/>
        </w:rPr>
        <w:t xml:space="preserve">reconnaître que les peuples et communautés autochtones et les communautés traditionnelles et autres communautés culturelles considèrent que leur patrimoine culturel a une valeur intrinsèque, notamment sur les plans social, culturel, spirituel, économique, scientifique, intellectuel, commercial et </w:t>
      </w:r>
      <w:r w:rsidR="00D16234" w:rsidRPr="00A435C9">
        <w:rPr>
          <w:rFonts w:ascii="Arial" w:hAnsi="Arial" w:cs="Arial"/>
          <w:bCs/>
          <w:kern w:val="1"/>
          <w:lang w:eastAsia="hi-IN" w:bidi="hi-IN"/>
        </w:rPr>
        <w:t>éducatif</w:t>
      </w:r>
      <w:r w:rsidR="00D16234">
        <w:rPr>
          <w:rFonts w:ascii="Arial" w:hAnsi="Arial" w:cs="Arial"/>
          <w:bCs/>
          <w:kern w:val="1"/>
          <w:lang w:eastAsia="hi-IN" w:bidi="hi-IN"/>
        </w:rPr>
        <w:t> </w:t>
      </w:r>
      <w:r w:rsidRPr="00A435C9">
        <w:rPr>
          <w:rFonts w:ascii="Arial" w:hAnsi="Arial" w:cs="Arial"/>
          <w:bCs/>
          <w:kern w:val="1"/>
          <w:lang w:eastAsia="hi-IN" w:bidi="hi-IN"/>
        </w:rPr>
        <w:t>»</w:t>
      </w:r>
      <w:r w:rsidR="00D3685A">
        <w:rPr>
          <w:rStyle w:val="FootnoteReference"/>
          <w:rFonts w:ascii="Arial" w:hAnsi="Arial" w:cs="Arial"/>
          <w:bCs/>
          <w:kern w:val="1"/>
          <w:lang w:eastAsia="hi-IN" w:bidi="hi-IN"/>
        </w:rPr>
        <w:footnoteReference w:id="1"/>
      </w:r>
      <w:r w:rsidR="00A93D4A">
        <w:rPr>
          <w:rFonts w:ascii="Arial" w:hAnsi="Arial" w:cs="Arial"/>
          <w:bCs/>
          <w:kern w:val="1"/>
          <w:lang w:eastAsia="hi-IN" w:bidi="hi-IN"/>
        </w:rPr>
        <w:t>.</w:t>
      </w:r>
      <w:r w:rsidRPr="00A435C9">
        <w:rPr>
          <w:rFonts w:ascii="Arial" w:hAnsi="Arial" w:cs="Arial"/>
          <w:bCs/>
          <w:kern w:val="1"/>
          <w:lang w:eastAsia="hi-IN" w:bidi="hi-IN"/>
        </w:rPr>
        <w:t xml:space="preserve"> </w:t>
      </w:r>
      <w:r w:rsidR="00517364">
        <w:rPr>
          <w:rFonts w:ascii="Arial" w:hAnsi="Arial" w:cs="Arial"/>
          <w:bCs/>
          <w:kern w:val="1"/>
          <w:lang w:eastAsia="hi-IN" w:bidi="hi-IN"/>
        </w:rPr>
        <w:t>Bien que ces objectifs en soient encore à l’étape de « premier projet », et n’ont pas encore été négociés, ils placent clairement l</w:t>
      </w:r>
      <w:r w:rsidRPr="00A435C9">
        <w:rPr>
          <w:rFonts w:ascii="Arial" w:hAnsi="Arial" w:cs="Arial"/>
          <w:bCs/>
          <w:kern w:val="1"/>
          <w:lang w:eastAsia="hi-IN" w:bidi="hi-IN"/>
        </w:rPr>
        <w:t xml:space="preserve">’accent sur la valorisation de leur patrimoine par les communautés elles-mêmes et sur son importance pour elles. Le débat plus général concerne la question de savoir comment, d’une part, garantir au mieux </w:t>
      </w:r>
      <w:r w:rsidR="00442502">
        <w:rPr>
          <w:rFonts w:ascii="Arial" w:hAnsi="Arial" w:cs="Arial"/>
          <w:bCs/>
          <w:kern w:val="1"/>
          <w:lang w:eastAsia="hi-IN" w:bidi="hi-IN"/>
        </w:rPr>
        <w:t xml:space="preserve">que les valeurs des </w:t>
      </w:r>
      <w:r w:rsidRPr="00A435C9">
        <w:rPr>
          <w:rFonts w:ascii="Arial" w:hAnsi="Arial" w:cs="Arial"/>
          <w:bCs/>
          <w:kern w:val="1"/>
          <w:lang w:eastAsia="hi-IN" w:bidi="hi-IN"/>
        </w:rPr>
        <w:t>communautés</w:t>
      </w:r>
      <w:r w:rsidR="00442502">
        <w:rPr>
          <w:rFonts w:ascii="Arial" w:hAnsi="Arial" w:cs="Arial"/>
          <w:bCs/>
          <w:kern w:val="1"/>
          <w:lang w:eastAsia="hi-IN" w:bidi="hi-IN"/>
        </w:rPr>
        <w:t xml:space="preserve"> ne sont pas violées par </w:t>
      </w:r>
      <w:r w:rsidRPr="00A435C9">
        <w:rPr>
          <w:rFonts w:ascii="Arial" w:hAnsi="Arial" w:cs="Arial"/>
          <w:bCs/>
          <w:kern w:val="1"/>
          <w:lang w:eastAsia="hi-IN" w:bidi="hi-IN"/>
        </w:rPr>
        <w:t>des usages inappropriés, et, d’autre part, assurer qu’en cas d’augmentation de la valeur de ce patrimoine grâce à la diffusion ou d’autres utilisations, les communautés en soient les bénéficiaires.</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Les négociations intergouvernementales au sein de l’OMPI anticipaient déjà nombre des préoccupations relatives aux droits des peuples autochtones qui ont finalement été exprimées formellement dans la Déclaration des Nations Unies sur les droits des peuples </w:t>
      </w:r>
      <w:r w:rsidRPr="00A435C9">
        <w:rPr>
          <w:rFonts w:ascii="Arial" w:hAnsi="Arial" w:cs="Arial"/>
          <w:bCs/>
          <w:kern w:val="1"/>
          <w:lang w:eastAsia="hi-IN" w:bidi="hi-IN"/>
        </w:rPr>
        <w:lastRenderedPageBreak/>
        <w:t>autochtones (2007</w:t>
      </w:r>
      <w:r w:rsidR="007F2971">
        <w:rPr>
          <w:rFonts w:ascii="Arial" w:hAnsi="Arial" w:cs="Arial"/>
          <w:bCs/>
          <w:kern w:val="1"/>
          <w:lang w:eastAsia="hi-IN" w:bidi="hi-IN"/>
        </w:rPr>
        <w:t>, mais elles ont</w:t>
      </w:r>
      <w:r w:rsidRPr="00A435C9">
        <w:rPr>
          <w:rFonts w:ascii="Arial" w:hAnsi="Arial" w:cs="Arial"/>
          <w:bCs/>
          <w:kern w:val="1"/>
          <w:lang w:eastAsia="hi-IN" w:bidi="hi-IN"/>
        </w:rPr>
        <w:t xml:space="preserve">, plus que les conventions préexistantes de l’UNESCO, pleinement </w:t>
      </w:r>
      <w:r w:rsidR="00913AE8">
        <w:rPr>
          <w:rFonts w:ascii="Arial" w:hAnsi="Arial" w:cs="Arial"/>
          <w:bCs/>
          <w:kern w:val="1"/>
          <w:lang w:eastAsia="hi-IN" w:bidi="hi-IN"/>
        </w:rPr>
        <w:t xml:space="preserve">intégré </w:t>
      </w:r>
      <w:r w:rsidRPr="00A435C9">
        <w:rPr>
          <w:rFonts w:ascii="Arial" w:hAnsi="Arial" w:cs="Arial"/>
          <w:bCs/>
          <w:kern w:val="1"/>
          <w:lang w:eastAsia="hi-IN" w:bidi="hi-IN"/>
        </w:rPr>
        <w:t xml:space="preserve">depuis 2007 les principes susmentionnées, notamment à l’article </w:t>
      </w:r>
      <w:r w:rsidR="00A93D4A" w:rsidRPr="00A435C9">
        <w:rPr>
          <w:rFonts w:ascii="Arial" w:hAnsi="Arial" w:cs="Arial"/>
          <w:bCs/>
          <w:kern w:val="1"/>
          <w:lang w:eastAsia="hi-IN" w:bidi="hi-IN"/>
        </w:rPr>
        <w:t>31</w:t>
      </w:r>
      <w:r w:rsidR="00A93D4A">
        <w:rPr>
          <w:rFonts w:ascii="Arial" w:hAnsi="Arial" w:cs="Arial"/>
          <w:bCs/>
          <w:kern w:val="1"/>
          <w:lang w:eastAsia="hi-IN" w:bidi="hi-IN"/>
        </w:rPr>
        <w:t> </w:t>
      </w:r>
      <w:r w:rsidRPr="00A435C9">
        <w:rPr>
          <w:rFonts w:ascii="Arial" w:hAnsi="Arial" w:cs="Arial"/>
          <w:bCs/>
          <w:kern w:val="1"/>
          <w:lang w:eastAsia="hi-IN" w:bidi="hi-IN"/>
        </w:rPr>
        <w:t xml:space="preserve">: </w:t>
      </w:r>
      <w:r w:rsidR="00A93D4A" w:rsidRPr="00A435C9">
        <w:rPr>
          <w:rFonts w:ascii="Arial" w:hAnsi="Arial" w:cs="Arial"/>
          <w:bCs/>
          <w:kern w:val="1"/>
          <w:lang w:eastAsia="hi-IN" w:bidi="hi-IN"/>
        </w:rPr>
        <w:t>«</w:t>
      </w:r>
      <w:r w:rsidR="00A93D4A">
        <w:rPr>
          <w:rFonts w:ascii="Arial" w:hAnsi="Arial" w:cs="Arial"/>
          <w:bCs/>
          <w:kern w:val="1"/>
          <w:lang w:eastAsia="hi-IN" w:bidi="hi-IN"/>
        </w:rPr>
        <w:t> </w:t>
      </w:r>
      <w:r w:rsidRPr="00A435C9">
        <w:rPr>
          <w:rFonts w:ascii="Arial" w:hAnsi="Arial" w:cs="Arial"/>
          <w:bCs/>
          <w:kern w:val="1"/>
          <w:lang w:eastAsia="hi-IN" w:bidi="hi-IN"/>
        </w:rPr>
        <w:t xml:space="preserve">Les peuples autochtones ont le droit de préserver, de contrôler, de protéger et de développer leur patrimoine culturel, leur savoir traditionnel et leurs expressions culturelles traditionnelles ainsi que les manifestations de leurs sciences, techniques et culture, y compris leurs ressources humaines et génétiques, leurs semences, leur pharmacopée, leur connaissance des propriétés de la faune et de la flore, leurs traditions orales, leur littérature, leur esthétique, leurs sports et leurs jeux traditionnels et leurs arts visuels et du spectacle. Ils ont également le droit de préserver, de contrôler, de protéger et de développer leur propriété intellectuelle collective de ce patrimoine culturel, de ce savoir traditionnel et de ces expressions culturelles </w:t>
      </w:r>
      <w:r w:rsidR="00A93D4A" w:rsidRPr="00A435C9">
        <w:rPr>
          <w:rFonts w:ascii="Arial" w:hAnsi="Arial" w:cs="Arial"/>
          <w:bCs/>
          <w:kern w:val="1"/>
          <w:lang w:eastAsia="hi-IN" w:bidi="hi-IN"/>
        </w:rPr>
        <w:t>traditionnelles</w:t>
      </w:r>
      <w:r w:rsidR="00A93D4A">
        <w:rPr>
          <w:rFonts w:ascii="Arial" w:hAnsi="Arial" w:cs="Arial"/>
          <w:bCs/>
          <w:kern w:val="1"/>
          <w:lang w:eastAsia="hi-IN" w:bidi="hi-IN"/>
        </w:rPr>
        <w:t> </w:t>
      </w:r>
      <w:r w:rsidRPr="00A435C9">
        <w:rPr>
          <w:rFonts w:ascii="Arial" w:hAnsi="Arial" w:cs="Arial"/>
          <w:bCs/>
          <w:kern w:val="1"/>
          <w:lang w:eastAsia="hi-IN" w:bidi="hi-IN"/>
        </w:rPr>
        <w:t>». La prise en compte détaillée de la Déclaration demeure un enjeu pour les trois Conventions de l’UNESCO.</w:t>
      </w:r>
    </w:p>
    <w:p w:rsidR="00A435C9" w:rsidRPr="00D3685A" w:rsidRDefault="00A435C9" w:rsidP="003327B8">
      <w:pPr>
        <w:keepNext/>
        <w:suppressAutoHyphens/>
        <w:spacing w:before="360" w:after="240" w:line="240" w:lineRule="auto"/>
        <w:rPr>
          <w:rFonts w:ascii="Arial" w:hAnsi="Arial" w:cs="Arial"/>
          <w:b/>
          <w:bCs/>
          <w:kern w:val="1"/>
          <w:lang w:eastAsia="hi-IN" w:bidi="hi-IN"/>
        </w:rPr>
      </w:pPr>
      <w:r w:rsidRPr="00D3685A">
        <w:rPr>
          <w:rFonts w:ascii="Arial" w:hAnsi="Arial" w:cs="Arial"/>
          <w:b/>
          <w:bCs/>
          <w:kern w:val="1"/>
          <w:lang w:eastAsia="hi-IN" w:bidi="hi-IN"/>
        </w:rPr>
        <w:t>Prise en compte des valeurs locales et des communautés locales dans le patrimoine mondial</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La </w:t>
      </w:r>
      <w:hyperlink r:id="rId13" w:history="1">
        <w:r w:rsidR="00D3685A" w:rsidRPr="00D3685A">
          <w:rPr>
            <w:rStyle w:val="Hyperlink"/>
            <w:rFonts w:ascii="Arial" w:hAnsi="Arial" w:cs="Arial"/>
            <w:bCs/>
            <w:kern w:val="1"/>
            <w:lang w:eastAsia="hi-IN" w:bidi="hi-IN"/>
          </w:rPr>
          <w:t>Convention concernant la protection du patrimoine mondial, culturel et naturel</w:t>
        </w:r>
      </w:hyperlink>
      <w:r w:rsidR="00D3685A" w:rsidRPr="00D3685A">
        <w:rPr>
          <w:rFonts w:ascii="Arial" w:hAnsi="Arial" w:cs="Arial"/>
          <w:bCs/>
          <w:kern w:val="1"/>
          <w:lang w:eastAsia="hi-IN" w:bidi="hi-IN"/>
        </w:rPr>
        <w:t xml:space="preserve"> </w:t>
      </w:r>
      <w:r w:rsidRPr="00A435C9">
        <w:rPr>
          <w:rFonts w:ascii="Arial" w:hAnsi="Arial" w:cs="Arial"/>
          <w:bCs/>
          <w:kern w:val="1"/>
          <w:lang w:eastAsia="hi-IN" w:bidi="hi-IN"/>
        </w:rPr>
        <w:t xml:space="preserve">de 1972 a continué à se développer durant la première décennie de la Convention de 2003, en parvenant à une ratification presque universelle par les </w:t>
      </w:r>
      <w:r w:rsidR="00A93D4A">
        <w:rPr>
          <w:rFonts w:ascii="Arial" w:hAnsi="Arial" w:cs="Arial"/>
          <w:bCs/>
          <w:kern w:val="1"/>
          <w:lang w:eastAsia="hi-IN" w:bidi="hi-IN"/>
        </w:rPr>
        <w:t>É</w:t>
      </w:r>
      <w:r w:rsidRPr="00A435C9">
        <w:rPr>
          <w:rFonts w:ascii="Arial" w:hAnsi="Arial" w:cs="Arial"/>
          <w:bCs/>
          <w:kern w:val="1"/>
          <w:lang w:eastAsia="hi-IN" w:bidi="hi-IN"/>
        </w:rPr>
        <w:t>tats du monde. Le patrimoine culturel et naturel protégé par la Convention est restreint à ce qui répond ou est apte à répondre à un ou plusieurs des critères de valeur universelle exceptionnelle, tels que spécifiés dans les Orientations de la Convention. Intrinsèque à ce type de formulation, au moment de son adoption, était l’idée que certaines formes de patrimoine sont plus importantes que d’autres eu égard à certains modes de valorisation, et que leur valeur est déterminée non par les communautés qui vivent dans un site ou qui l’utilisent mais par un processus externe d’évaluation du caractère unique et de l’importance de ce site dans une perspective mondiale.</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En 1994, le Comité du patrimoine mondial a lancé une Stratégie globale pour une Liste du patrimoine mondial représentative, équilibrée et crédible. Comme indiqué à l’époque dans le rapport d’un groupe d’experts, le Comité était appelé à </w:t>
      </w:r>
      <w:r w:rsidR="00A93D4A" w:rsidRPr="00A435C9">
        <w:rPr>
          <w:rFonts w:ascii="Arial" w:hAnsi="Arial" w:cs="Arial"/>
          <w:bCs/>
          <w:kern w:val="1"/>
          <w:lang w:eastAsia="hi-IN" w:bidi="hi-IN"/>
        </w:rPr>
        <w:t>«</w:t>
      </w:r>
      <w:r w:rsidR="00A93D4A">
        <w:rPr>
          <w:rFonts w:ascii="Arial" w:hAnsi="Arial" w:cs="Arial"/>
          <w:bCs/>
          <w:kern w:val="1"/>
          <w:lang w:eastAsia="hi-IN" w:bidi="hi-IN"/>
        </w:rPr>
        <w:t> </w:t>
      </w:r>
      <w:r w:rsidRPr="00A435C9">
        <w:rPr>
          <w:rFonts w:ascii="Arial" w:hAnsi="Arial" w:cs="Arial"/>
          <w:bCs/>
          <w:kern w:val="1"/>
          <w:lang w:eastAsia="hi-IN" w:bidi="hi-IN"/>
        </w:rPr>
        <w:t>ménager toutes les possibilités d</w:t>
      </w:r>
      <w:r w:rsidR="00255B8E">
        <w:rPr>
          <w:rFonts w:ascii="Arial" w:hAnsi="Arial" w:cs="Arial"/>
          <w:bCs/>
          <w:kern w:val="1"/>
          <w:lang w:eastAsia="hi-IN" w:bidi="hi-IN"/>
        </w:rPr>
        <w:t>’</w:t>
      </w:r>
      <w:r w:rsidRPr="00A435C9">
        <w:rPr>
          <w:rFonts w:ascii="Arial" w:hAnsi="Arial" w:cs="Arial"/>
          <w:bCs/>
          <w:kern w:val="1"/>
          <w:lang w:eastAsia="hi-IN" w:bidi="hi-IN"/>
        </w:rPr>
        <w:t>évolution et d</w:t>
      </w:r>
      <w:r w:rsidR="00255B8E">
        <w:rPr>
          <w:rFonts w:ascii="Arial" w:hAnsi="Arial" w:cs="Arial"/>
          <w:bCs/>
          <w:kern w:val="1"/>
          <w:lang w:eastAsia="hi-IN" w:bidi="hi-IN"/>
        </w:rPr>
        <w:t>’</w:t>
      </w:r>
      <w:r w:rsidRPr="00A435C9">
        <w:rPr>
          <w:rFonts w:ascii="Arial" w:hAnsi="Arial" w:cs="Arial"/>
          <w:bCs/>
          <w:kern w:val="1"/>
          <w:lang w:eastAsia="hi-IN" w:bidi="hi-IN"/>
        </w:rPr>
        <w:t xml:space="preserve">enrichissement [de la Liste] en fonction des nouveaux types de biens dont la valeur pourra se révéler au fur et à mesure de la progression des connaissances et des </w:t>
      </w:r>
      <w:r w:rsidR="00A93D4A" w:rsidRPr="00A435C9">
        <w:rPr>
          <w:rFonts w:ascii="Arial" w:hAnsi="Arial" w:cs="Arial"/>
          <w:bCs/>
          <w:kern w:val="1"/>
          <w:lang w:eastAsia="hi-IN" w:bidi="hi-IN"/>
        </w:rPr>
        <w:t>idées</w:t>
      </w:r>
      <w:r w:rsidR="00A93D4A">
        <w:rPr>
          <w:rFonts w:ascii="Arial" w:hAnsi="Arial" w:cs="Arial"/>
          <w:bCs/>
          <w:kern w:val="1"/>
          <w:lang w:eastAsia="hi-IN" w:bidi="hi-IN"/>
        </w:rPr>
        <w:t> </w:t>
      </w:r>
      <w:r w:rsidR="00A93D4A" w:rsidRPr="00A435C9">
        <w:rPr>
          <w:rFonts w:ascii="Arial" w:hAnsi="Arial" w:cs="Arial"/>
          <w:bCs/>
          <w:kern w:val="1"/>
          <w:lang w:eastAsia="hi-IN" w:bidi="hi-IN"/>
        </w:rPr>
        <w:t>»</w:t>
      </w:r>
      <w:r w:rsidR="00A93D4A">
        <w:rPr>
          <w:rFonts w:ascii="Arial" w:hAnsi="Arial" w:cs="Arial"/>
          <w:bCs/>
          <w:kern w:val="1"/>
          <w:lang w:eastAsia="hi-IN" w:bidi="hi-IN"/>
        </w:rPr>
        <w:t> </w:t>
      </w:r>
      <w:r w:rsidRPr="00A435C9">
        <w:rPr>
          <w:rFonts w:ascii="Arial" w:hAnsi="Arial" w:cs="Arial"/>
          <w:bCs/>
          <w:kern w:val="1"/>
          <w:lang w:eastAsia="hi-IN" w:bidi="hi-IN"/>
        </w:rPr>
        <w:t xml:space="preserve">; la Liste </w:t>
      </w:r>
      <w:r w:rsidR="00A93D4A" w:rsidRPr="00A435C9">
        <w:rPr>
          <w:rFonts w:ascii="Arial" w:hAnsi="Arial" w:cs="Arial"/>
          <w:bCs/>
          <w:kern w:val="1"/>
          <w:lang w:eastAsia="hi-IN" w:bidi="hi-IN"/>
        </w:rPr>
        <w:t>«</w:t>
      </w:r>
      <w:r w:rsidR="00A93D4A">
        <w:rPr>
          <w:rFonts w:ascii="Arial" w:hAnsi="Arial" w:cs="Arial"/>
          <w:bCs/>
          <w:kern w:val="1"/>
          <w:lang w:eastAsia="hi-IN" w:bidi="hi-IN"/>
        </w:rPr>
        <w:t> </w:t>
      </w:r>
      <w:r w:rsidRPr="00A435C9">
        <w:rPr>
          <w:rFonts w:ascii="Arial" w:hAnsi="Arial" w:cs="Arial"/>
          <w:bCs/>
          <w:kern w:val="1"/>
          <w:lang w:eastAsia="hi-IN" w:bidi="hi-IN"/>
        </w:rPr>
        <w:t xml:space="preserve">doit demeurer ouverte aux différentes et multiples manifestations culturelles de valeur universelle et exceptionnelle par lesquelles les cultures se sont </w:t>
      </w:r>
      <w:r w:rsidR="00A93D4A" w:rsidRPr="00A435C9">
        <w:rPr>
          <w:rFonts w:ascii="Arial" w:hAnsi="Arial" w:cs="Arial"/>
          <w:bCs/>
          <w:kern w:val="1"/>
          <w:lang w:eastAsia="hi-IN" w:bidi="hi-IN"/>
        </w:rPr>
        <w:t>exprimées</w:t>
      </w:r>
      <w:r w:rsidR="00A93D4A">
        <w:rPr>
          <w:rFonts w:ascii="Arial" w:hAnsi="Arial" w:cs="Arial"/>
          <w:bCs/>
          <w:kern w:val="1"/>
          <w:lang w:eastAsia="hi-IN" w:bidi="hi-IN"/>
        </w:rPr>
        <w:t> </w:t>
      </w:r>
      <w:r w:rsidRPr="00A435C9">
        <w:rPr>
          <w:rFonts w:ascii="Arial" w:hAnsi="Arial" w:cs="Arial"/>
          <w:bCs/>
          <w:kern w:val="1"/>
          <w:lang w:eastAsia="hi-IN" w:bidi="hi-IN"/>
        </w:rPr>
        <w:t>» (</w:t>
      </w:r>
      <w:hyperlink r:id="rId14" w:history="1">
        <w:r w:rsidRPr="00D3685A">
          <w:rPr>
            <w:rStyle w:val="Hyperlink"/>
            <w:rFonts w:ascii="Arial" w:hAnsi="Arial" w:cs="Arial"/>
            <w:bCs/>
            <w:kern w:val="1"/>
            <w:lang w:eastAsia="hi-IN" w:bidi="hi-IN"/>
          </w:rPr>
          <w:t>WHC-94/CONF.003/INF.6</w:t>
        </w:r>
      </w:hyperlink>
      <w:r w:rsidRPr="00A435C9">
        <w:rPr>
          <w:rFonts w:ascii="Arial" w:hAnsi="Arial" w:cs="Arial"/>
          <w:bCs/>
          <w:kern w:val="1"/>
          <w:lang w:eastAsia="hi-IN" w:bidi="hi-IN"/>
        </w:rPr>
        <w:t xml:space="preserve">). Pendant les années suivantes – </w:t>
      </w:r>
      <w:r w:rsidR="00255B8E">
        <w:rPr>
          <w:rFonts w:ascii="Arial" w:hAnsi="Arial" w:cs="Arial"/>
          <w:bCs/>
          <w:kern w:val="1"/>
          <w:lang w:eastAsia="hi-IN" w:bidi="hi-IN"/>
        </w:rPr>
        <w:t xml:space="preserve">et même </w:t>
      </w:r>
      <w:r w:rsidRPr="00A435C9">
        <w:rPr>
          <w:rFonts w:ascii="Arial" w:hAnsi="Arial" w:cs="Arial"/>
          <w:bCs/>
          <w:kern w:val="1"/>
          <w:lang w:eastAsia="hi-IN" w:bidi="hi-IN"/>
        </w:rPr>
        <w:t xml:space="preserve">alors que la Convention de 2003 était en cours de rédaction –, le Comité du patrimoine mondial a continué à discuter des moyens de rendre la Liste du patrimoine mondial plus inclusive et d’interpréter en un sens plus large le critère de valeur universelle exceptionnelle, comme il ressort de la conférence de 2003 et du document intitulé </w:t>
      </w:r>
      <w:r w:rsidR="00A93D4A" w:rsidRPr="00A435C9">
        <w:rPr>
          <w:rFonts w:ascii="Arial" w:hAnsi="Arial" w:cs="Arial"/>
          <w:bCs/>
          <w:kern w:val="1"/>
          <w:lang w:eastAsia="hi-IN" w:bidi="hi-IN"/>
        </w:rPr>
        <w:t>«</w:t>
      </w:r>
      <w:r w:rsidR="00A93D4A">
        <w:rPr>
          <w:rFonts w:ascii="Arial" w:hAnsi="Arial" w:cs="Arial"/>
          <w:bCs/>
          <w:kern w:val="1"/>
          <w:lang w:eastAsia="hi-IN" w:bidi="hi-IN"/>
        </w:rPr>
        <w:t> </w:t>
      </w:r>
      <w:hyperlink r:id="rId15" w:history="1">
        <w:r w:rsidRPr="00D3685A">
          <w:rPr>
            <w:rStyle w:val="Hyperlink"/>
            <w:rFonts w:ascii="Arial" w:hAnsi="Arial" w:cs="Arial"/>
            <w:bCs/>
            <w:kern w:val="1"/>
            <w:lang w:eastAsia="hi-IN" w:bidi="hi-IN"/>
          </w:rPr>
          <w:t xml:space="preserve">L’union des valeurs universelles et </w:t>
        </w:r>
        <w:r w:rsidR="00A93D4A" w:rsidRPr="00D3685A">
          <w:rPr>
            <w:rStyle w:val="Hyperlink"/>
            <w:rFonts w:ascii="Arial" w:hAnsi="Arial" w:cs="Arial"/>
            <w:bCs/>
            <w:kern w:val="1"/>
            <w:lang w:eastAsia="hi-IN" w:bidi="hi-IN"/>
          </w:rPr>
          <w:t>locales</w:t>
        </w:r>
        <w:r w:rsidR="00A93D4A">
          <w:rPr>
            <w:rStyle w:val="Hyperlink"/>
            <w:rFonts w:ascii="Arial" w:hAnsi="Arial" w:cs="Arial"/>
            <w:bCs/>
            <w:kern w:val="1"/>
            <w:lang w:eastAsia="hi-IN" w:bidi="hi-IN"/>
          </w:rPr>
          <w:t> </w:t>
        </w:r>
        <w:r w:rsidRPr="00D3685A">
          <w:rPr>
            <w:rStyle w:val="Hyperlink"/>
            <w:rFonts w:ascii="Arial" w:hAnsi="Arial" w:cs="Arial"/>
            <w:bCs/>
            <w:kern w:val="1"/>
            <w:lang w:eastAsia="hi-IN" w:bidi="hi-IN"/>
          </w:rPr>
          <w:t xml:space="preserve">: </w:t>
        </w:r>
        <w:r w:rsidR="00A93D4A">
          <w:rPr>
            <w:rStyle w:val="Hyperlink"/>
            <w:rFonts w:ascii="Arial" w:hAnsi="Arial" w:cs="Arial"/>
            <w:bCs/>
            <w:kern w:val="1"/>
            <w:lang w:eastAsia="hi-IN" w:bidi="hi-IN"/>
          </w:rPr>
          <w:t>l</w:t>
        </w:r>
        <w:r w:rsidR="00A93D4A" w:rsidRPr="00D3685A">
          <w:rPr>
            <w:rStyle w:val="Hyperlink"/>
            <w:rFonts w:ascii="Arial" w:hAnsi="Arial" w:cs="Arial"/>
            <w:bCs/>
            <w:kern w:val="1"/>
            <w:lang w:eastAsia="hi-IN" w:bidi="hi-IN"/>
          </w:rPr>
          <w:t xml:space="preserve">a </w:t>
        </w:r>
        <w:r w:rsidRPr="00D3685A">
          <w:rPr>
            <w:rStyle w:val="Hyperlink"/>
            <w:rFonts w:ascii="Arial" w:hAnsi="Arial" w:cs="Arial"/>
            <w:bCs/>
            <w:kern w:val="1"/>
            <w:lang w:eastAsia="hi-IN" w:bidi="hi-IN"/>
          </w:rPr>
          <w:t>gestion d’un avenir durable pour le patrimoine mondial</w:t>
        </w:r>
      </w:hyperlink>
      <w:r w:rsidR="00A93D4A">
        <w:rPr>
          <w:rFonts w:ascii="Arial" w:hAnsi="Arial" w:cs="Arial"/>
          <w:bCs/>
          <w:kern w:val="1"/>
          <w:lang w:eastAsia="hi-IN" w:bidi="hi-IN"/>
        </w:rPr>
        <w:t> </w:t>
      </w:r>
      <w:r w:rsidR="00474CE0">
        <w:rPr>
          <w:rFonts w:ascii="Arial" w:hAnsi="Arial" w:cs="Arial"/>
          <w:bCs/>
          <w:kern w:val="1"/>
          <w:lang w:eastAsia="hi-IN" w:bidi="hi-IN"/>
        </w:rPr>
        <w:t>»</w:t>
      </w:r>
      <w:r w:rsidRPr="00A435C9">
        <w:rPr>
          <w:rFonts w:ascii="Arial" w:hAnsi="Arial" w:cs="Arial"/>
          <w:bCs/>
          <w:kern w:val="1"/>
          <w:lang w:eastAsia="hi-IN" w:bidi="hi-IN"/>
        </w:rPr>
        <w:t>, qui ont couronné la première décennie de la Stratégie.</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L’ouverture s’est poursuivie </w:t>
      </w:r>
      <w:r w:rsidR="00255B8E">
        <w:rPr>
          <w:rFonts w:ascii="Arial" w:hAnsi="Arial" w:cs="Arial"/>
          <w:bCs/>
          <w:kern w:val="1"/>
          <w:lang w:eastAsia="hi-IN" w:bidi="hi-IN"/>
        </w:rPr>
        <w:t xml:space="preserve">en parallèle </w:t>
      </w:r>
      <w:r w:rsidRPr="00A435C9">
        <w:rPr>
          <w:rFonts w:ascii="Arial" w:hAnsi="Arial" w:cs="Arial"/>
          <w:bCs/>
          <w:kern w:val="1"/>
          <w:lang w:eastAsia="hi-IN" w:bidi="hi-IN"/>
        </w:rPr>
        <w:t xml:space="preserve">avec l’adoption de la Convention de 2003 et son entrée en vigueur. Les discussions au sein du Comité et de l’ensemble de la communauté du patrimoine mondial ont continué à mettre l’accent sur la participation la plus large possible des communautés vivant dans les sites ou à proximité d’eux, ou les utilisant à diverses fins. En 2007, le Comité a adopté la </w:t>
      </w:r>
      <w:hyperlink r:id="rId16" w:history="1">
        <w:r w:rsidRPr="00474CE0">
          <w:rPr>
            <w:rStyle w:val="Hyperlink"/>
            <w:rFonts w:ascii="Arial" w:hAnsi="Arial" w:cs="Arial"/>
            <w:bCs/>
            <w:kern w:val="1"/>
            <w:lang w:eastAsia="hi-IN" w:bidi="hi-IN"/>
          </w:rPr>
          <w:t>Décision 31 COM 13A</w:t>
        </w:r>
      </w:hyperlink>
      <w:r w:rsidRPr="00A435C9">
        <w:rPr>
          <w:rFonts w:ascii="Arial" w:hAnsi="Arial" w:cs="Arial"/>
          <w:bCs/>
          <w:kern w:val="1"/>
          <w:lang w:eastAsia="hi-IN" w:bidi="hi-IN"/>
        </w:rPr>
        <w:t xml:space="preserv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reconnaissant l</w:t>
      </w:r>
      <w:r w:rsidR="00255B8E">
        <w:rPr>
          <w:rFonts w:ascii="Arial" w:hAnsi="Arial" w:cs="Arial"/>
          <w:bCs/>
          <w:kern w:val="1"/>
          <w:lang w:eastAsia="hi-IN" w:bidi="hi-IN"/>
        </w:rPr>
        <w:t>’</w:t>
      </w:r>
      <w:r w:rsidRPr="00A435C9">
        <w:rPr>
          <w:rFonts w:ascii="Arial" w:hAnsi="Arial" w:cs="Arial"/>
          <w:bCs/>
          <w:kern w:val="1"/>
          <w:lang w:eastAsia="hi-IN" w:bidi="hi-IN"/>
        </w:rPr>
        <w:t>importance fondamentale de la participation des communautés locale</w:t>
      </w:r>
      <w:r w:rsidR="00255B8E">
        <w:rPr>
          <w:rFonts w:ascii="Arial" w:hAnsi="Arial" w:cs="Arial"/>
          <w:bCs/>
          <w:kern w:val="1"/>
          <w:lang w:eastAsia="hi-IN" w:bidi="hi-IN"/>
        </w:rPr>
        <w:t>s</w:t>
      </w:r>
      <w:r w:rsidRPr="00A435C9">
        <w:rPr>
          <w:rFonts w:ascii="Arial" w:hAnsi="Arial" w:cs="Arial"/>
          <w:bCs/>
          <w:kern w:val="1"/>
          <w:lang w:eastAsia="hi-IN" w:bidi="hi-IN"/>
        </w:rPr>
        <w:t>, traditionnelle</w:t>
      </w:r>
      <w:r w:rsidR="00255B8E">
        <w:rPr>
          <w:rFonts w:ascii="Arial" w:hAnsi="Arial" w:cs="Arial"/>
          <w:bCs/>
          <w:kern w:val="1"/>
          <w:lang w:eastAsia="hi-IN" w:bidi="hi-IN"/>
        </w:rPr>
        <w:t>s</w:t>
      </w:r>
      <w:r w:rsidRPr="00A435C9">
        <w:rPr>
          <w:rFonts w:ascii="Arial" w:hAnsi="Arial" w:cs="Arial"/>
          <w:bCs/>
          <w:kern w:val="1"/>
          <w:lang w:eastAsia="hi-IN" w:bidi="hi-IN"/>
        </w:rPr>
        <w:t xml:space="preserve"> et autochtone</w:t>
      </w:r>
      <w:r w:rsidR="00255B8E">
        <w:rPr>
          <w:rFonts w:ascii="Arial" w:hAnsi="Arial" w:cs="Arial"/>
          <w:bCs/>
          <w:kern w:val="1"/>
          <w:lang w:eastAsia="hi-IN" w:bidi="hi-IN"/>
        </w:rPr>
        <w:t>s</w:t>
      </w:r>
      <w:r w:rsidRPr="00A435C9">
        <w:rPr>
          <w:rFonts w:ascii="Arial" w:hAnsi="Arial" w:cs="Arial"/>
          <w:bCs/>
          <w:kern w:val="1"/>
          <w:lang w:eastAsia="hi-IN" w:bidi="hi-IN"/>
        </w:rPr>
        <w:t xml:space="preserve"> à la mise en œuvre de la </w:t>
      </w:r>
      <w:r w:rsidR="00A8335C" w:rsidRPr="00A435C9">
        <w:rPr>
          <w:rFonts w:ascii="Arial" w:hAnsi="Arial" w:cs="Arial"/>
          <w:bCs/>
          <w:kern w:val="1"/>
          <w:lang w:eastAsia="hi-IN" w:bidi="hi-IN"/>
        </w:rPr>
        <w:t>Convention</w:t>
      </w:r>
      <w:r w:rsidR="00A8335C">
        <w:rPr>
          <w:rFonts w:ascii="Arial" w:hAnsi="Arial" w:cs="Arial"/>
          <w:bCs/>
          <w:kern w:val="1"/>
          <w:lang w:eastAsia="hi-IN" w:bidi="hi-IN"/>
        </w:rPr>
        <w:t> </w:t>
      </w:r>
      <w:r w:rsidRPr="00A435C9">
        <w:rPr>
          <w:rFonts w:ascii="Arial" w:hAnsi="Arial" w:cs="Arial"/>
          <w:bCs/>
          <w:kern w:val="1"/>
          <w:lang w:eastAsia="hi-IN" w:bidi="hi-IN"/>
        </w:rPr>
        <w:t xml:space="preserve">» et décidé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00A8335C" w:rsidRPr="00A435C9">
        <w:rPr>
          <w:rFonts w:ascii="Arial" w:hAnsi="Arial" w:cs="Arial"/>
          <w:bCs/>
          <w:kern w:val="1"/>
          <w:lang w:eastAsia="hi-IN" w:bidi="hi-IN"/>
        </w:rPr>
        <w:t>d</w:t>
      </w:r>
      <w:r w:rsidR="00A8335C">
        <w:rPr>
          <w:rFonts w:ascii="Arial" w:hAnsi="Arial" w:cs="Arial"/>
          <w:bCs/>
          <w:kern w:val="1"/>
          <w:lang w:eastAsia="hi-IN" w:bidi="hi-IN"/>
        </w:rPr>
        <w:t>’</w:t>
      </w:r>
      <w:r w:rsidR="00A8335C" w:rsidRPr="00A435C9">
        <w:rPr>
          <w:rFonts w:ascii="Arial" w:hAnsi="Arial" w:cs="Arial"/>
          <w:bCs/>
          <w:kern w:val="1"/>
          <w:lang w:eastAsia="hi-IN" w:bidi="hi-IN"/>
        </w:rPr>
        <w:t xml:space="preserve">ajouter </w:t>
      </w:r>
      <w:r w:rsidRPr="00A435C9">
        <w:rPr>
          <w:rFonts w:ascii="Arial" w:hAnsi="Arial" w:cs="Arial"/>
          <w:bCs/>
          <w:kern w:val="1"/>
          <w:lang w:eastAsia="hi-IN" w:bidi="hi-IN"/>
        </w:rPr>
        <w:t xml:space="preserve">les </w:t>
      </w:r>
      <w:r w:rsidR="00A8335C">
        <w:rPr>
          <w:rFonts w:ascii="Arial" w:hAnsi="Arial" w:cs="Arial"/>
          <w:bCs/>
          <w:kern w:val="1"/>
          <w:lang w:eastAsia="hi-IN" w:bidi="hi-IN"/>
        </w:rPr>
        <w:t>‘</w:t>
      </w:r>
      <w:r w:rsidRPr="00A435C9">
        <w:rPr>
          <w:rFonts w:ascii="Arial" w:hAnsi="Arial" w:cs="Arial"/>
          <w:bCs/>
          <w:kern w:val="1"/>
          <w:lang w:eastAsia="hi-IN" w:bidi="hi-IN"/>
        </w:rPr>
        <w:t>communautés</w:t>
      </w:r>
      <w:r w:rsidR="00A8335C">
        <w:rPr>
          <w:rFonts w:ascii="Arial" w:hAnsi="Arial" w:cs="Arial"/>
          <w:bCs/>
          <w:kern w:val="1"/>
          <w:lang w:eastAsia="hi-IN" w:bidi="hi-IN"/>
        </w:rPr>
        <w:t>’</w:t>
      </w:r>
      <w:r w:rsidRPr="00A435C9">
        <w:rPr>
          <w:rFonts w:ascii="Arial" w:hAnsi="Arial" w:cs="Arial"/>
          <w:bCs/>
          <w:kern w:val="1"/>
          <w:lang w:eastAsia="hi-IN" w:bidi="hi-IN"/>
        </w:rPr>
        <w:t xml:space="preserve"> comme cinquième objectif </w:t>
      </w:r>
      <w:r w:rsidR="00A8335C" w:rsidRPr="00A435C9">
        <w:rPr>
          <w:rFonts w:ascii="Arial" w:hAnsi="Arial" w:cs="Arial"/>
          <w:bCs/>
          <w:kern w:val="1"/>
          <w:lang w:eastAsia="hi-IN" w:bidi="hi-IN"/>
        </w:rPr>
        <w:t>stratégique</w:t>
      </w:r>
      <w:r w:rsidR="00A8335C">
        <w:rPr>
          <w:rFonts w:ascii="Arial" w:hAnsi="Arial" w:cs="Arial"/>
          <w:bCs/>
          <w:kern w:val="1"/>
          <w:lang w:eastAsia="hi-IN" w:bidi="hi-IN"/>
        </w:rPr>
        <w:t> </w:t>
      </w:r>
      <w:r w:rsidRPr="00A435C9">
        <w:rPr>
          <w:rFonts w:ascii="Arial" w:hAnsi="Arial" w:cs="Arial"/>
          <w:bCs/>
          <w:kern w:val="1"/>
          <w:lang w:eastAsia="hi-IN" w:bidi="hi-IN"/>
        </w:rPr>
        <w:t xml:space="preserve">» en complément des quatre objectifs (crédibilité, </w:t>
      </w:r>
      <w:r w:rsidRPr="00A435C9">
        <w:rPr>
          <w:rFonts w:ascii="Arial" w:hAnsi="Arial" w:cs="Arial"/>
          <w:bCs/>
          <w:kern w:val="1"/>
          <w:lang w:eastAsia="hi-IN" w:bidi="hi-IN"/>
        </w:rPr>
        <w:lastRenderedPageBreak/>
        <w:t>conservation, développement des capacités et communication) définis en 2002 (</w:t>
      </w:r>
      <w:hyperlink r:id="rId17" w:history="1">
        <w:r w:rsidRPr="00474CE0">
          <w:rPr>
            <w:rStyle w:val="Hyperlink"/>
            <w:rFonts w:ascii="Arial" w:hAnsi="Arial" w:cs="Arial"/>
            <w:bCs/>
            <w:kern w:val="1"/>
            <w:lang w:eastAsia="hi-IN" w:bidi="hi-IN"/>
          </w:rPr>
          <w:t>Décision 26 COM 17.1</w:t>
        </w:r>
      </w:hyperlink>
      <w:r w:rsidRPr="00A435C9">
        <w:rPr>
          <w:rFonts w:ascii="Arial" w:hAnsi="Arial" w:cs="Arial"/>
          <w:bCs/>
          <w:kern w:val="1"/>
          <w:lang w:eastAsia="hi-IN" w:bidi="hi-IN"/>
        </w:rPr>
        <w:t>).</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Au fur et à mesure que progressait la reconnaissance du rôle clé des communautés dans la gestion et la conservation des sites du patrimoine mondial, leurs préoccupations et leurs problèmes ont aussi commencé à figurer en diverses places, en les rapprochant peu à peu du centre d’attention. Cette évolution a été largement évoquée à l’occasion du </w:t>
      </w:r>
      <w:r w:rsidR="00A8335C">
        <w:rPr>
          <w:rFonts w:ascii="Arial" w:hAnsi="Arial" w:cs="Arial"/>
          <w:bCs/>
          <w:kern w:val="1"/>
          <w:lang w:eastAsia="hi-IN" w:bidi="hi-IN"/>
        </w:rPr>
        <w:t>quarantième</w:t>
      </w:r>
      <w:r w:rsidR="00A8335C" w:rsidRPr="00A435C9">
        <w:rPr>
          <w:rFonts w:ascii="Arial" w:hAnsi="Arial" w:cs="Arial"/>
          <w:bCs/>
          <w:kern w:val="1"/>
          <w:lang w:eastAsia="hi-IN" w:bidi="hi-IN"/>
        </w:rPr>
        <w:t xml:space="preserve"> </w:t>
      </w:r>
      <w:r w:rsidRPr="00A435C9">
        <w:rPr>
          <w:rFonts w:ascii="Arial" w:hAnsi="Arial" w:cs="Arial"/>
          <w:bCs/>
          <w:kern w:val="1"/>
          <w:lang w:eastAsia="hi-IN" w:bidi="hi-IN"/>
        </w:rPr>
        <w:t xml:space="preserve">anniversaire de la Convention de 1972 en 2012, qui avait pour thème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Patrimoine mondial et développement </w:t>
      </w:r>
      <w:r w:rsidR="00A8335C" w:rsidRPr="00A435C9">
        <w:rPr>
          <w:rFonts w:ascii="Arial" w:hAnsi="Arial" w:cs="Arial"/>
          <w:bCs/>
          <w:kern w:val="1"/>
          <w:lang w:eastAsia="hi-IN" w:bidi="hi-IN"/>
        </w:rPr>
        <w:t>durable</w:t>
      </w:r>
      <w:r w:rsidR="00A8335C">
        <w:rPr>
          <w:rFonts w:ascii="Arial" w:hAnsi="Arial" w:cs="Arial"/>
          <w:bCs/>
          <w:kern w:val="1"/>
          <w:lang w:eastAsia="hi-IN" w:bidi="hi-IN"/>
        </w:rPr>
        <w:t> </w:t>
      </w:r>
      <w:r w:rsidRPr="00A435C9">
        <w:rPr>
          <w:rFonts w:ascii="Arial" w:hAnsi="Arial" w:cs="Arial"/>
          <w:bCs/>
          <w:kern w:val="1"/>
          <w:lang w:eastAsia="hi-IN" w:bidi="hi-IN"/>
        </w:rPr>
        <w:t xml:space="preserve">: le rôle des communautés </w:t>
      </w:r>
      <w:r w:rsidR="00A8335C" w:rsidRPr="00A435C9">
        <w:rPr>
          <w:rFonts w:ascii="Arial" w:hAnsi="Arial" w:cs="Arial"/>
          <w:bCs/>
          <w:kern w:val="1"/>
          <w:lang w:eastAsia="hi-IN" w:bidi="hi-IN"/>
        </w:rPr>
        <w:t>locales</w:t>
      </w:r>
      <w:r w:rsidR="00A8335C">
        <w:rPr>
          <w:rFonts w:ascii="Arial" w:hAnsi="Arial" w:cs="Arial"/>
          <w:bCs/>
          <w:kern w:val="1"/>
          <w:lang w:eastAsia="hi-IN" w:bidi="hi-IN"/>
        </w:rPr>
        <w:t> </w:t>
      </w:r>
      <w:r w:rsidRPr="00A435C9">
        <w:rPr>
          <w:rFonts w:ascii="Arial" w:hAnsi="Arial" w:cs="Arial"/>
          <w:bCs/>
          <w:kern w:val="1"/>
          <w:lang w:eastAsia="hi-IN" w:bidi="hi-IN"/>
        </w:rPr>
        <w:t xml:space="preserve">». Enfin, suite aux discussions menées pendant toutes les célébrations de l’année, le document final </w:t>
      </w:r>
      <w:r w:rsidR="00A8335C" w:rsidRPr="00A435C9">
        <w:rPr>
          <w:rFonts w:ascii="Arial" w:hAnsi="Arial" w:cs="Arial"/>
          <w:bCs/>
          <w:kern w:val="1"/>
          <w:lang w:eastAsia="hi-IN" w:bidi="hi-IN"/>
        </w:rPr>
        <w:t>«</w:t>
      </w:r>
      <w:r w:rsidR="00A8335C">
        <w:rPr>
          <w:rFonts w:ascii="Arial" w:hAnsi="Arial" w:cs="Arial"/>
          <w:bCs/>
          <w:kern w:val="1"/>
          <w:lang w:eastAsia="hi-IN" w:bidi="hi-IN"/>
        </w:rPr>
        <w:t> </w:t>
      </w:r>
      <w:hyperlink r:id="rId18" w:history="1">
        <w:r w:rsidR="00A8335C" w:rsidRPr="00474CE0">
          <w:rPr>
            <w:rStyle w:val="Hyperlink"/>
            <w:rFonts w:ascii="Arial" w:hAnsi="Arial" w:cs="Arial"/>
            <w:bCs/>
            <w:kern w:val="1"/>
            <w:lang w:eastAsia="hi-IN" w:bidi="hi-IN"/>
          </w:rPr>
          <w:t>La vision de Kyoto</w:t>
        </w:r>
      </w:hyperlink>
      <w:r w:rsidR="00A8335C">
        <w:rPr>
          <w:rFonts w:ascii="Arial" w:hAnsi="Arial" w:cs="Arial"/>
          <w:bCs/>
          <w:kern w:val="1"/>
          <w:lang w:eastAsia="hi-IN" w:bidi="hi-IN"/>
        </w:rPr>
        <w:t> </w:t>
      </w:r>
      <w:r w:rsidRPr="00A435C9">
        <w:rPr>
          <w:rFonts w:ascii="Arial" w:hAnsi="Arial" w:cs="Arial"/>
          <w:bCs/>
          <w:kern w:val="1"/>
          <w:lang w:eastAsia="hi-IN" w:bidi="hi-IN"/>
        </w:rPr>
        <w:t>» a encouragé la communauté internationale à s’efforcer d’assurer l’implication effective des communautés locales, des peuples autochtones, des experts et des jeunes dans tous les aspects de la conservation du patrimoine mondial.</w:t>
      </w:r>
    </w:p>
    <w:p w:rsidR="00A435C9" w:rsidRPr="00D3685A" w:rsidRDefault="00A435C9" w:rsidP="00D3685A">
      <w:pPr>
        <w:keepNext/>
        <w:suppressAutoHyphens/>
        <w:spacing w:before="360" w:after="240" w:line="240" w:lineRule="auto"/>
        <w:jc w:val="both"/>
        <w:rPr>
          <w:rFonts w:ascii="Arial" w:hAnsi="Arial" w:cs="Arial"/>
          <w:b/>
          <w:bCs/>
          <w:kern w:val="1"/>
          <w:lang w:eastAsia="hi-IN" w:bidi="hi-IN"/>
        </w:rPr>
      </w:pPr>
      <w:r w:rsidRPr="00D3685A">
        <w:rPr>
          <w:rFonts w:ascii="Arial" w:hAnsi="Arial" w:cs="Arial"/>
          <w:b/>
          <w:bCs/>
          <w:kern w:val="1"/>
          <w:lang w:eastAsia="hi-IN" w:bidi="hi-IN"/>
        </w:rPr>
        <w:t>Promotion de la diversité des expressions culturelles</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Le troisième domaine d’action parallèle </w:t>
      </w:r>
      <w:r w:rsidR="00C15003">
        <w:rPr>
          <w:rFonts w:ascii="Arial" w:hAnsi="Arial" w:cs="Arial"/>
          <w:bCs/>
          <w:kern w:val="1"/>
          <w:lang w:eastAsia="hi-IN" w:bidi="hi-IN"/>
        </w:rPr>
        <w:t>concerne</w:t>
      </w:r>
      <w:r w:rsidRPr="00A435C9">
        <w:rPr>
          <w:rFonts w:ascii="Arial" w:hAnsi="Arial" w:cs="Arial"/>
          <w:bCs/>
          <w:kern w:val="1"/>
          <w:lang w:eastAsia="hi-IN" w:bidi="hi-IN"/>
        </w:rPr>
        <w:t xml:space="preserve"> la </w:t>
      </w:r>
      <w:hyperlink r:id="rId19" w:history="1">
        <w:r w:rsidRPr="00474CE0">
          <w:rPr>
            <w:rStyle w:val="Hyperlink"/>
            <w:rFonts w:ascii="Arial" w:hAnsi="Arial" w:cs="Arial"/>
            <w:bCs/>
            <w:kern w:val="1"/>
            <w:lang w:eastAsia="hi-IN" w:bidi="hi-IN"/>
          </w:rPr>
          <w:t>Convention sur la protection et la promotion de la diversité des expressions culturelles</w:t>
        </w:r>
      </w:hyperlink>
      <w:r w:rsidRPr="00A435C9">
        <w:rPr>
          <w:rFonts w:ascii="Arial" w:hAnsi="Arial" w:cs="Arial"/>
          <w:bCs/>
          <w:kern w:val="1"/>
          <w:lang w:eastAsia="hi-IN" w:bidi="hi-IN"/>
        </w:rPr>
        <w:t xml:space="preserve"> (2005). Cette convention vise à promouvoir le développement de conditions favorables à l’épanouissement et à l’interaction des cultures et au dynamisme de la créativité culturelle, notamment à l’aide de politiques et de mesures qui reconnaissent la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nature spécifique des activités, biens et services culturels en tant que porteurs d’identité, de valeurs et de </w:t>
      </w:r>
      <w:r w:rsidR="00A8335C" w:rsidRPr="00A435C9">
        <w:rPr>
          <w:rFonts w:ascii="Arial" w:hAnsi="Arial" w:cs="Arial"/>
          <w:bCs/>
          <w:kern w:val="1"/>
          <w:lang w:eastAsia="hi-IN" w:bidi="hi-IN"/>
        </w:rPr>
        <w:t>sens</w:t>
      </w:r>
      <w:r w:rsidR="00A8335C">
        <w:rPr>
          <w:rFonts w:ascii="Arial" w:hAnsi="Arial" w:cs="Arial"/>
          <w:bCs/>
          <w:kern w:val="1"/>
          <w:lang w:eastAsia="hi-IN" w:bidi="hi-IN"/>
        </w:rPr>
        <w:t> </w:t>
      </w:r>
      <w:r w:rsidRPr="00A435C9">
        <w:rPr>
          <w:rFonts w:ascii="Arial" w:hAnsi="Arial" w:cs="Arial"/>
          <w:bCs/>
          <w:kern w:val="1"/>
          <w:lang w:eastAsia="hi-IN" w:bidi="hi-IN"/>
        </w:rPr>
        <w:t xml:space="preserve">» (article 1). La Convention distingue soigneusement la valeur sociale et culturelle de ces activités et expressions de leur valeur commerciale, trouvant à cet égard un terrain commun avec l’énumération que fait l’OMPI de la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valeur… sur les plans social, culturel, spirituel, économique, scientifique, intellectuel, commercial et </w:t>
      </w:r>
      <w:r w:rsidR="00A8335C" w:rsidRPr="00A435C9">
        <w:rPr>
          <w:rFonts w:ascii="Arial" w:hAnsi="Arial" w:cs="Arial"/>
          <w:bCs/>
          <w:kern w:val="1"/>
          <w:lang w:eastAsia="hi-IN" w:bidi="hi-IN"/>
        </w:rPr>
        <w:t>éducatif</w:t>
      </w:r>
      <w:r w:rsidR="00A8335C">
        <w:rPr>
          <w:rFonts w:ascii="Arial" w:hAnsi="Arial" w:cs="Arial"/>
          <w:bCs/>
          <w:kern w:val="1"/>
          <w:lang w:eastAsia="hi-IN" w:bidi="hi-IN"/>
        </w:rPr>
        <w:t> </w:t>
      </w:r>
      <w:r w:rsidRPr="00A435C9">
        <w:rPr>
          <w:rFonts w:ascii="Arial" w:hAnsi="Arial" w:cs="Arial"/>
          <w:bCs/>
          <w:kern w:val="1"/>
          <w:lang w:eastAsia="hi-IN" w:bidi="hi-IN"/>
        </w:rPr>
        <w:t>» (voir plus haut). Néanmoins, la Convention de 2005, en tant qu’instrument de développement durable, cherche aussi à assurer que les créateurs d’expressions culturelles tirent effectivement un bénéfice équitable lorsque des activités, des biens ou de</w:t>
      </w:r>
      <w:r w:rsidR="00C15003">
        <w:rPr>
          <w:rFonts w:ascii="Arial" w:hAnsi="Arial" w:cs="Arial"/>
          <w:bCs/>
          <w:kern w:val="1"/>
          <w:lang w:eastAsia="hi-IN" w:bidi="hi-IN"/>
        </w:rPr>
        <w:t>s</w:t>
      </w:r>
      <w:r w:rsidRPr="00A435C9">
        <w:rPr>
          <w:rFonts w:ascii="Arial" w:hAnsi="Arial" w:cs="Arial"/>
          <w:bCs/>
          <w:kern w:val="1"/>
          <w:lang w:eastAsia="hi-IN" w:bidi="hi-IN"/>
        </w:rPr>
        <w:t xml:space="preserve"> services culturels entrent dans les flux du commerce. </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Là où la Convention de 2003 mentionne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les communautés, les groupes et, le cas échéant, les </w:t>
      </w:r>
      <w:r w:rsidR="00A8335C" w:rsidRPr="00A435C9">
        <w:rPr>
          <w:rFonts w:ascii="Arial" w:hAnsi="Arial" w:cs="Arial"/>
          <w:bCs/>
          <w:kern w:val="1"/>
          <w:lang w:eastAsia="hi-IN" w:bidi="hi-IN"/>
        </w:rPr>
        <w:t>individus</w:t>
      </w:r>
      <w:r w:rsidR="00A8335C">
        <w:rPr>
          <w:rFonts w:ascii="Arial" w:hAnsi="Arial" w:cs="Arial"/>
          <w:bCs/>
          <w:kern w:val="1"/>
          <w:lang w:eastAsia="hi-IN" w:bidi="hi-IN"/>
        </w:rPr>
        <w:t> </w:t>
      </w:r>
      <w:r w:rsidRPr="00A435C9">
        <w:rPr>
          <w:rFonts w:ascii="Arial" w:hAnsi="Arial" w:cs="Arial"/>
          <w:bCs/>
          <w:kern w:val="1"/>
          <w:lang w:eastAsia="hi-IN" w:bidi="hi-IN"/>
        </w:rPr>
        <w:t xml:space="preserve">», la Convention de 2005 parle de façon symétrique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des individus, des groupes et des </w:t>
      </w:r>
      <w:r w:rsidR="00A8335C" w:rsidRPr="00A435C9">
        <w:rPr>
          <w:rFonts w:ascii="Arial" w:hAnsi="Arial" w:cs="Arial"/>
          <w:bCs/>
          <w:kern w:val="1"/>
          <w:lang w:eastAsia="hi-IN" w:bidi="hi-IN"/>
        </w:rPr>
        <w:t>sociétés</w:t>
      </w:r>
      <w:r w:rsidR="00A8335C">
        <w:rPr>
          <w:rFonts w:ascii="Arial" w:hAnsi="Arial" w:cs="Arial"/>
          <w:bCs/>
          <w:kern w:val="1"/>
          <w:lang w:eastAsia="hi-IN" w:bidi="hi-IN"/>
        </w:rPr>
        <w:t> </w:t>
      </w:r>
      <w:r w:rsidRPr="00A435C9">
        <w:rPr>
          <w:rFonts w:ascii="Arial" w:hAnsi="Arial" w:cs="Arial"/>
          <w:bCs/>
          <w:kern w:val="1"/>
          <w:lang w:eastAsia="hi-IN" w:bidi="hi-IN"/>
        </w:rPr>
        <w:t xml:space="preserve">» (article 4.3), en soulignant le rôle des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artistes ainsi que tous ceux qui sont impliqués dans la création d’expressions </w:t>
      </w:r>
      <w:r w:rsidR="00A8335C" w:rsidRPr="00A435C9">
        <w:rPr>
          <w:rFonts w:ascii="Arial" w:hAnsi="Arial" w:cs="Arial"/>
          <w:bCs/>
          <w:kern w:val="1"/>
          <w:lang w:eastAsia="hi-IN" w:bidi="hi-IN"/>
        </w:rPr>
        <w:t>culturelles</w:t>
      </w:r>
      <w:r w:rsidR="00A8335C">
        <w:rPr>
          <w:rFonts w:ascii="Arial" w:hAnsi="Arial" w:cs="Arial"/>
          <w:bCs/>
          <w:kern w:val="1"/>
          <w:lang w:eastAsia="hi-IN" w:bidi="hi-IN"/>
        </w:rPr>
        <w:t> </w:t>
      </w:r>
      <w:r w:rsidRPr="00A435C9">
        <w:rPr>
          <w:rFonts w:ascii="Arial" w:hAnsi="Arial" w:cs="Arial"/>
          <w:bCs/>
          <w:kern w:val="1"/>
          <w:lang w:eastAsia="hi-IN" w:bidi="hi-IN"/>
        </w:rPr>
        <w:t>» [article 6.2 (g)]. L’é</w:t>
      </w:r>
      <w:r w:rsidR="00C15003">
        <w:rPr>
          <w:rFonts w:ascii="Arial" w:hAnsi="Arial" w:cs="Arial"/>
          <w:bCs/>
          <w:kern w:val="1"/>
          <w:lang w:eastAsia="hi-IN" w:bidi="hi-IN"/>
        </w:rPr>
        <w:t>quivalent le</w:t>
      </w:r>
      <w:r w:rsidRPr="00A435C9">
        <w:rPr>
          <w:rFonts w:ascii="Arial" w:hAnsi="Arial" w:cs="Arial"/>
          <w:bCs/>
          <w:kern w:val="1"/>
          <w:lang w:eastAsia="hi-IN" w:bidi="hi-IN"/>
        </w:rPr>
        <w:t xml:space="preserve"> plus </w:t>
      </w:r>
      <w:r w:rsidR="00C15003">
        <w:rPr>
          <w:rFonts w:ascii="Arial" w:hAnsi="Arial" w:cs="Arial"/>
          <w:bCs/>
          <w:kern w:val="1"/>
          <w:lang w:eastAsia="hi-IN" w:bidi="hi-IN"/>
        </w:rPr>
        <w:t xml:space="preserve">proche </w:t>
      </w:r>
      <w:r w:rsidRPr="00A435C9">
        <w:rPr>
          <w:rFonts w:ascii="Arial" w:hAnsi="Arial" w:cs="Arial"/>
          <w:bCs/>
          <w:kern w:val="1"/>
          <w:lang w:eastAsia="hi-IN" w:bidi="hi-IN"/>
        </w:rPr>
        <w:t xml:space="preserve">des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00A8335C" w:rsidRPr="00A435C9">
        <w:rPr>
          <w:rFonts w:ascii="Arial" w:hAnsi="Arial" w:cs="Arial"/>
          <w:bCs/>
          <w:kern w:val="1"/>
          <w:lang w:eastAsia="hi-IN" w:bidi="hi-IN"/>
        </w:rPr>
        <w:t>communautés</w:t>
      </w:r>
      <w:r w:rsidR="00A8335C">
        <w:rPr>
          <w:rFonts w:ascii="Arial" w:hAnsi="Arial" w:cs="Arial"/>
          <w:bCs/>
          <w:kern w:val="1"/>
          <w:lang w:eastAsia="hi-IN" w:bidi="hi-IN"/>
        </w:rPr>
        <w:t> </w:t>
      </w:r>
      <w:r w:rsidRPr="00A435C9">
        <w:rPr>
          <w:rFonts w:ascii="Arial" w:hAnsi="Arial" w:cs="Arial"/>
          <w:bCs/>
          <w:kern w:val="1"/>
          <w:lang w:eastAsia="hi-IN" w:bidi="hi-IN"/>
        </w:rPr>
        <w:t xml:space="preserve">» de la Convention de 2003 est ce que la Convention de 2005 appelle les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groupes </w:t>
      </w:r>
      <w:r w:rsidR="00A8335C" w:rsidRPr="00A435C9">
        <w:rPr>
          <w:rFonts w:ascii="Arial" w:hAnsi="Arial" w:cs="Arial"/>
          <w:bCs/>
          <w:kern w:val="1"/>
          <w:lang w:eastAsia="hi-IN" w:bidi="hi-IN"/>
        </w:rPr>
        <w:t>sociaux</w:t>
      </w:r>
      <w:r w:rsidR="00A8335C">
        <w:rPr>
          <w:rFonts w:ascii="Arial" w:hAnsi="Arial" w:cs="Arial"/>
          <w:bCs/>
          <w:kern w:val="1"/>
          <w:lang w:eastAsia="hi-IN" w:bidi="hi-IN"/>
        </w:rPr>
        <w:t> </w:t>
      </w:r>
      <w:r w:rsidRPr="00A435C9">
        <w:rPr>
          <w:rFonts w:ascii="Arial" w:hAnsi="Arial" w:cs="Arial"/>
          <w:bCs/>
          <w:kern w:val="1"/>
          <w:lang w:eastAsia="hi-IN" w:bidi="hi-IN"/>
        </w:rPr>
        <w:t xml:space="preserve">» qui sont décrits – de même que les individus – comme ayant le droit de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créer, produire, diffuser et distribuer leurs propres expressions culturelles et à y avoir </w:t>
      </w:r>
      <w:r w:rsidR="00A8335C" w:rsidRPr="00A435C9">
        <w:rPr>
          <w:rFonts w:ascii="Arial" w:hAnsi="Arial" w:cs="Arial"/>
          <w:bCs/>
          <w:kern w:val="1"/>
          <w:lang w:eastAsia="hi-IN" w:bidi="hi-IN"/>
        </w:rPr>
        <w:t>accès</w:t>
      </w:r>
      <w:r w:rsidR="00A8335C">
        <w:rPr>
          <w:rFonts w:ascii="Arial" w:hAnsi="Arial" w:cs="Arial"/>
          <w:bCs/>
          <w:kern w:val="1"/>
          <w:lang w:eastAsia="hi-IN" w:bidi="hi-IN"/>
        </w:rPr>
        <w:t> </w:t>
      </w:r>
      <w:r w:rsidRPr="00A435C9">
        <w:rPr>
          <w:rFonts w:ascii="Arial" w:hAnsi="Arial" w:cs="Arial"/>
          <w:bCs/>
          <w:kern w:val="1"/>
          <w:lang w:eastAsia="hi-IN" w:bidi="hi-IN"/>
        </w:rPr>
        <w:t xml:space="preserve">» et d’avoir accès aux </w:t>
      </w:r>
      <w:r w:rsidR="00C15003">
        <w:rPr>
          <w:rFonts w:ascii="Arial" w:hAnsi="Arial" w:cs="Arial"/>
          <w:bCs/>
          <w:kern w:val="1"/>
          <w:lang w:eastAsia="hi-IN" w:bidi="hi-IN"/>
        </w:rPr>
        <w:t xml:space="preserve">diverses </w:t>
      </w:r>
      <w:r w:rsidRPr="00A435C9">
        <w:rPr>
          <w:rFonts w:ascii="Arial" w:hAnsi="Arial" w:cs="Arial"/>
          <w:bCs/>
          <w:kern w:val="1"/>
          <w:lang w:eastAsia="hi-IN" w:bidi="hi-IN"/>
        </w:rPr>
        <w:t>expressions culturelles autres que les leurs (article 7). L’accent est mis ici sur la valeur que les individus et les groupes attachent aux expressions culturelles – les leurs propres ou celles d’autres groupes ou individus – mais non sur l’idée de valeur universelle ou exceptionnelle, comme dans la Convention de 1972, ni sur l’importance première de la valeur que les communautés attribuent à leur propre patrimoine (tout en respectant le patrimoine des autres), comme dans la Convention de 2003</w:t>
      </w:r>
      <w:r w:rsidR="00C15003">
        <w:rPr>
          <w:rFonts w:ascii="Arial" w:hAnsi="Arial" w:cs="Arial"/>
          <w:bCs/>
          <w:kern w:val="1"/>
          <w:lang w:eastAsia="hi-IN" w:bidi="hi-IN"/>
        </w:rPr>
        <w:t>.</w:t>
      </w:r>
      <w:r w:rsidRPr="00A435C9">
        <w:rPr>
          <w:rFonts w:ascii="Arial" w:hAnsi="Arial" w:cs="Arial"/>
          <w:bCs/>
          <w:kern w:val="1"/>
          <w:lang w:eastAsia="hi-IN" w:bidi="hi-IN"/>
        </w:rPr>
        <w:t xml:space="preserve"> (</w:t>
      </w:r>
      <w:r w:rsidR="00C15003">
        <w:rPr>
          <w:rFonts w:ascii="Arial" w:hAnsi="Arial" w:cs="Arial"/>
          <w:bCs/>
          <w:kern w:val="1"/>
          <w:lang w:eastAsia="hi-IN" w:bidi="hi-IN"/>
        </w:rPr>
        <w:t>L</w:t>
      </w:r>
      <w:r w:rsidR="00C15003" w:rsidRPr="00A435C9">
        <w:rPr>
          <w:rFonts w:ascii="Arial" w:hAnsi="Arial" w:cs="Arial"/>
          <w:bCs/>
          <w:kern w:val="1"/>
          <w:lang w:eastAsia="hi-IN" w:bidi="hi-IN"/>
        </w:rPr>
        <w:t xml:space="preserve">a </w:t>
      </w:r>
      <w:r w:rsidRPr="00A435C9">
        <w:rPr>
          <w:rFonts w:ascii="Arial" w:hAnsi="Arial" w:cs="Arial"/>
          <w:bCs/>
          <w:kern w:val="1"/>
          <w:lang w:eastAsia="hi-IN" w:bidi="hi-IN"/>
        </w:rPr>
        <w:t>Convention de 2003 maintient notamment l’équilibre entre le but d’assurer l’accès aux expressions culturelles et celui de respecter les pratiques coutumières qui régissent cet accès, établissant ainsi un terrain commun avec les efforts de l’OMPI pour protéger les connaissances secrètes ou sacrées</w:t>
      </w:r>
      <w:r w:rsidR="00C15003">
        <w:rPr>
          <w:rFonts w:ascii="Arial" w:hAnsi="Arial" w:cs="Arial"/>
          <w:bCs/>
          <w:kern w:val="1"/>
          <w:lang w:eastAsia="hi-IN" w:bidi="hi-IN"/>
        </w:rPr>
        <w:t>.</w:t>
      </w:r>
      <w:r w:rsidRPr="00A435C9">
        <w:rPr>
          <w:rFonts w:ascii="Arial" w:hAnsi="Arial" w:cs="Arial"/>
          <w:bCs/>
          <w:kern w:val="1"/>
          <w:lang w:eastAsia="hi-IN" w:bidi="hi-IN"/>
        </w:rPr>
        <w:t>)</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La Convention de 2005 se situe aussi, en particulier dans son préambule, en conjonction étroite avec la Convention de 2003 et avec la volonté de l’OMPI de protéger les connaissances traditionnelles et les expressions culturelles traditionnelles, et avec </w:t>
      </w:r>
      <w:r w:rsidRPr="00A435C9">
        <w:rPr>
          <w:rFonts w:ascii="Arial" w:hAnsi="Arial" w:cs="Arial"/>
          <w:bCs/>
          <w:kern w:val="1"/>
          <w:lang w:eastAsia="hi-IN" w:bidi="hi-IN"/>
        </w:rPr>
        <w:lastRenderedPageBreak/>
        <w:t xml:space="preserve">l’engagement des trois à promouvoir le développement durable. Elle prend donc en compte </w:t>
      </w:r>
      <w:r w:rsidR="00A8335C" w:rsidRPr="00A435C9">
        <w:rPr>
          <w:rFonts w:ascii="Arial" w:hAnsi="Arial" w:cs="Arial"/>
          <w:bCs/>
          <w:kern w:val="1"/>
          <w:lang w:eastAsia="hi-IN" w:bidi="hi-IN"/>
        </w:rPr>
        <w:t>«</w:t>
      </w:r>
      <w:r w:rsidR="00A8335C">
        <w:rPr>
          <w:rFonts w:ascii="Arial" w:hAnsi="Arial" w:cs="Arial"/>
          <w:bCs/>
          <w:kern w:val="1"/>
          <w:lang w:eastAsia="hi-IN" w:bidi="hi-IN"/>
        </w:rPr>
        <w:t> </w:t>
      </w:r>
      <w:r w:rsidRPr="00A435C9">
        <w:rPr>
          <w:rFonts w:ascii="Arial" w:hAnsi="Arial" w:cs="Arial"/>
          <w:bCs/>
          <w:kern w:val="1"/>
          <w:lang w:eastAsia="hi-IN" w:bidi="hi-IN"/>
        </w:rPr>
        <w:t xml:space="preserve">l’importance de la vitalité des cultures pour tous, y compris pour les personnes appartenant aux minorités et pour les peuples autochtones, telle qu’elle se manifeste par leur liberté de créer, diffuser et distribuer leurs expressions culturelles traditionnelles et d’y avoir accès de manière à favoriser leur propre </w:t>
      </w:r>
      <w:r w:rsidR="00A8335C" w:rsidRPr="00A435C9">
        <w:rPr>
          <w:rFonts w:ascii="Arial" w:hAnsi="Arial" w:cs="Arial"/>
          <w:bCs/>
          <w:kern w:val="1"/>
          <w:lang w:eastAsia="hi-IN" w:bidi="hi-IN"/>
        </w:rPr>
        <w:t>développement</w:t>
      </w:r>
      <w:r w:rsidR="00A8335C">
        <w:rPr>
          <w:rFonts w:ascii="Arial" w:hAnsi="Arial" w:cs="Arial"/>
          <w:bCs/>
          <w:kern w:val="1"/>
          <w:lang w:eastAsia="hi-IN" w:bidi="hi-IN"/>
        </w:rPr>
        <w:t> </w:t>
      </w:r>
      <w:r w:rsidRPr="00A435C9">
        <w:rPr>
          <w:rFonts w:ascii="Arial" w:hAnsi="Arial" w:cs="Arial"/>
          <w:bCs/>
          <w:kern w:val="1"/>
          <w:lang w:eastAsia="hi-IN" w:bidi="hi-IN"/>
        </w:rPr>
        <w:t xml:space="preserve">» (préambule). On peut en effet imaginer d’innombrables exemples d’expressions culturelles qui relèvent simultanément du mandat de l’OMPI, de la Convention de 2005, de la Convention de 2003 et de la Convention de 1972, même si chacune d’elles aborderait une expression donnée d’un point de vue différent et avec des objectifs différents, bien que complémentaires. </w:t>
      </w:r>
    </w:p>
    <w:p w:rsidR="00A435C9" w:rsidRPr="00A435C9" w:rsidRDefault="00A435C9" w:rsidP="00797D20">
      <w:pPr>
        <w:keepNext/>
        <w:suppressAutoHyphens/>
        <w:spacing w:before="360" w:after="240" w:line="240" w:lineRule="auto"/>
        <w:jc w:val="center"/>
        <w:rPr>
          <w:rFonts w:ascii="Arial" w:hAnsi="Arial" w:cs="Arial"/>
          <w:bCs/>
          <w:kern w:val="1"/>
          <w:lang w:eastAsia="hi-IN" w:bidi="hi-IN"/>
        </w:rPr>
      </w:pPr>
      <w:r w:rsidRPr="00A435C9">
        <w:rPr>
          <w:rFonts w:ascii="Arial" w:hAnsi="Arial" w:cs="Arial"/>
          <w:bCs/>
          <w:kern w:val="1"/>
          <w:lang w:eastAsia="hi-IN" w:bidi="hi-IN"/>
        </w:rPr>
        <w:t>* * * * *</w:t>
      </w:r>
    </w:p>
    <w:p w:rsidR="00A435C9" w:rsidRPr="00A435C9" w:rsidRDefault="00A435C9" w:rsidP="00797D20">
      <w:pPr>
        <w:suppressAutoHyphens/>
        <w:spacing w:before="360" w:after="240" w:line="240" w:lineRule="auto"/>
        <w:jc w:val="both"/>
        <w:rPr>
          <w:rFonts w:ascii="Arial" w:hAnsi="Arial" w:cs="Arial"/>
          <w:bCs/>
          <w:kern w:val="1"/>
          <w:lang w:eastAsia="hi-IN" w:bidi="hi-IN"/>
        </w:rPr>
      </w:pPr>
      <w:r w:rsidRPr="00A435C9">
        <w:rPr>
          <w:rFonts w:ascii="Arial" w:hAnsi="Arial" w:cs="Arial"/>
          <w:bCs/>
          <w:kern w:val="1"/>
          <w:lang w:eastAsia="hi-IN" w:bidi="hi-IN"/>
        </w:rPr>
        <w:t xml:space="preserve">On pourrait se représenter les quatre sphères d’action décrites ci-dessus comme des planètes appartenant à un même système solaire mais se déplaçant sur des orbites elliptiques – se rapprochant de temps à autre, le champ de gravité de l’une perturbant peut-être celui d’une autre lorsqu’elles se croisent, parfois alignées sur un axe unique mais poursuivant le plus souvent un parcours orbital distinct. Dans la décennie écoulée depuis l’adoption de la Convention pour la sauvegarde du patrimoine culturel immatériel par la Conférence générale de l’UNESCO le 17 octobre 2003, chacune des quatre a continué sa propre évolution et poursuivi sa mission, en étant nécessairement influencée – à un degré plus ou moins grand – par les autres. Les </w:t>
      </w:r>
      <w:r w:rsidR="00A8335C">
        <w:rPr>
          <w:rFonts w:ascii="Arial" w:hAnsi="Arial" w:cs="Arial"/>
          <w:bCs/>
          <w:kern w:val="1"/>
          <w:lang w:eastAsia="hi-IN" w:bidi="hi-IN"/>
        </w:rPr>
        <w:t>É</w:t>
      </w:r>
      <w:r w:rsidRPr="00A435C9">
        <w:rPr>
          <w:rFonts w:ascii="Arial" w:hAnsi="Arial" w:cs="Arial"/>
          <w:bCs/>
          <w:kern w:val="1"/>
          <w:lang w:eastAsia="hi-IN" w:bidi="hi-IN"/>
        </w:rPr>
        <w:t xml:space="preserve">tats Parties à une ou plusieurs Conventions, ainsi que les </w:t>
      </w:r>
      <w:r w:rsidR="00A8335C" w:rsidRPr="00A435C9">
        <w:rPr>
          <w:rFonts w:ascii="Arial" w:hAnsi="Arial" w:cs="Arial"/>
          <w:bCs/>
          <w:kern w:val="1"/>
          <w:lang w:eastAsia="hi-IN" w:bidi="hi-IN"/>
        </w:rPr>
        <w:t>É</w:t>
      </w:r>
      <w:r w:rsidRPr="00A435C9">
        <w:rPr>
          <w:rFonts w:ascii="Arial" w:hAnsi="Arial" w:cs="Arial"/>
          <w:bCs/>
          <w:kern w:val="1"/>
          <w:lang w:eastAsia="hi-IN" w:bidi="hi-IN"/>
        </w:rPr>
        <w:t xml:space="preserve">tats membres de l’OMPI s’efforcent de trouver un équilibre entre la portée et les objectifs, parfois complémentaires et parfois différents, des unes et des autres, en intégrant chacune d’elles dans la législation et les cadres d’intervention nationaux et en se servant de l’expérience acquise avec </w:t>
      </w:r>
      <w:r w:rsidR="00C15003">
        <w:rPr>
          <w:rFonts w:ascii="Arial" w:hAnsi="Arial" w:cs="Arial"/>
          <w:bCs/>
          <w:kern w:val="1"/>
          <w:lang w:eastAsia="hi-IN" w:bidi="hi-IN"/>
        </w:rPr>
        <w:t>l’</w:t>
      </w:r>
      <w:r w:rsidRPr="00A435C9">
        <w:rPr>
          <w:rFonts w:ascii="Arial" w:hAnsi="Arial" w:cs="Arial"/>
          <w:bCs/>
          <w:kern w:val="1"/>
          <w:lang w:eastAsia="hi-IN" w:bidi="hi-IN"/>
        </w:rPr>
        <w:t xml:space="preserve">une dans la mise en œuvre d’une autre. La question de savoir si, dans les décennies à venir, les convergences seront plus fréquentes ou moins nombreuses dépendra de ces </w:t>
      </w:r>
      <w:r w:rsidR="00C6286E" w:rsidRPr="00A435C9">
        <w:rPr>
          <w:rFonts w:ascii="Arial" w:hAnsi="Arial" w:cs="Arial"/>
          <w:bCs/>
          <w:kern w:val="1"/>
          <w:lang w:eastAsia="hi-IN" w:bidi="hi-IN"/>
        </w:rPr>
        <w:t>États</w:t>
      </w:r>
      <w:r w:rsidRPr="00A435C9">
        <w:rPr>
          <w:rFonts w:ascii="Arial" w:hAnsi="Arial" w:cs="Arial"/>
          <w:bCs/>
          <w:kern w:val="1"/>
          <w:lang w:eastAsia="hi-IN" w:bidi="hi-IN"/>
        </w:rPr>
        <w:t>.</w:t>
      </w:r>
    </w:p>
    <w:sectPr w:rsidR="00A435C9" w:rsidRPr="00A435C9" w:rsidSect="004D2244">
      <w:headerReference w:type="even" r:id="rId20"/>
      <w:headerReference w:type="default" r:id="rId21"/>
      <w:footerReference w:type="even" r:id="rId22"/>
      <w:footerReference w:type="default" r:id="rId23"/>
      <w:headerReference w:type="first" r:id="rId24"/>
      <w:footerReference w:type="first" r:id="rId25"/>
      <w:pgSz w:w="11906" w:h="16838"/>
      <w:pgMar w:top="1793" w:right="1418" w:bottom="1418" w:left="1418" w:header="39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B8E" w:rsidRDefault="00255B8E" w:rsidP="00C602FD">
      <w:pPr>
        <w:spacing w:after="0" w:line="240" w:lineRule="auto"/>
        <w:rPr>
          <w:rFonts w:cs="Times New Roman"/>
        </w:rPr>
      </w:pPr>
      <w:r>
        <w:rPr>
          <w:rFonts w:cs="Times New Roman"/>
        </w:rPr>
        <w:separator/>
      </w:r>
    </w:p>
  </w:endnote>
  <w:endnote w:type="continuationSeparator" w:id="0">
    <w:p w:rsidR="00255B8E" w:rsidRDefault="00255B8E" w:rsidP="00C602FD">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8E" w:rsidRPr="006B76F4" w:rsidRDefault="00255B8E"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8E" w:rsidRPr="006B76F4" w:rsidRDefault="00255B8E"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sidRPr="00B1283E">
      <w:rPr>
        <w:rFonts w:ascii="Arial" w:hAnsi="Arial" w:cs="Arial"/>
        <w:i/>
        <w:kern w:val="1"/>
        <w:sz w:val="20"/>
        <w:lang w:eastAsia="hi-IN" w:bidi="hi-IN"/>
      </w:rPr>
      <w:t xml:space="preserve">préparé </w:t>
    </w:r>
    <w:r w:rsidRPr="006B76F4">
      <w:rPr>
        <w:rFonts w:ascii="Arial" w:hAnsi="Arial" w:cs="Arial"/>
        <w:i/>
        <w:kern w:val="1"/>
        <w:sz w:val="20"/>
        <w:lang w:eastAsia="hi-IN" w:bidi="hi-IN"/>
      </w:rPr>
      <w:t>par le Secrétariat de l’UNESCO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449" w:type="dxa"/>
      <w:tblInd w:w="-851" w:type="dxa"/>
      <w:tblLayout w:type="fixed"/>
      <w:tblLook w:val="04A0" w:firstRow="1" w:lastRow="0" w:firstColumn="1" w:lastColumn="0" w:noHBand="0" w:noVBand="1"/>
    </w:tblPr>
    <w:tblGrid>
      <w:gridCol w:w="1784"/>
      <w:gridCol w:w="1785"/>
      <w:gridCol w:w="1785"/>
      <w:gridCol w:w="3260"/>
      <w:gridCol w:w="2835"/>
    </w:tblGrid>
    <w:tr w:rsidR="00255B8E" w:rsidRPr="00E77655" w:rsidTr="00F9464A">
      <w:tc>
        <w:tcPr>
          <w:tcW w:w="1784" w:type="dxa"/>
          <w:shd w:val="clear" w:color="auto" w:fill="auto"/>
          <w:vAlign w:val="center"/>
        </w:tcPr>
        <w:p w:rsidR="00255B8E" w:rsidRPr="00ED202A" w:rsidRDefault="00255B8E" w:rsidP="004D2244">
          <w:pPr>
            <w:pStyle w:val="Footer"/>
            <w:keepNext/>
            <w:keepLines/>
            <w:spacing w:before="360"/>
            <w:jc w:val="center"/>
            <w:outlineLvl w:val="5"/>
            <w:rPr>
              <w:rFonts w:ascii="Arial" w:hAnsi="Arial" w:cs="Arial"/>
              <w:b/>
              <w:sz w:val="20"/>
              <w:szCs w:val="20"/>
            </w:rPr>
          </w:pPr>
          <w:r w:rsidRPr="007814C7">
            <w:rPr>
              <w:rFonts w:ascii="Arial" w:hAnsi="Arial" w:cs="Arial"/>
              <w:b/>
              <w:bCs/>
              <w:sz w:val="20"/>
              <w:szCs w:val="20"/>
            </w:rPr>
            <w:t>Gouvernement municipal populaire de Chengdu</w:t>
          </w:r>
        </w:p>
      </w:tc>
      <w:tc>
        <w:tcPr>
          <w:tcW w:w="1785" w:type="dxa"/>
          <w:shd w:val="clear" w:color="auto" w:fill="auto"/>
          <w:vAlign w:val="center"/>
        </w:tcPr>
        <w:p w:rsidR="00255B8E" w:rsidRDefault="00255B8E" w:rsidP="004D2244">
          <w:pPr>
            <w:pStyle w:val="Footer"/>
            <w:spacing w:before="360"/>
            <w:jc w:val="center"/>
            <w:rPr>
              <w:rFonts w:ascii="Arial" w:eastAsiaTheme="majorEastAsia" w:hAnsi="Arial" w:cs="Arial"/>
              <w:b/>
              <w:i/>
              <w:iCs/>
              <w:color w:val="243F60" w:themeColor="accent1" w:themeShade="7F"/>
              <w:sz w:val="20"/>
              <w:szCs w:val="20"/>
              <w:lang w:val="en-US"/>
            </w:rPr>
          </w:pPr>
          <w:r w:rsidRPr="00E77655">
            <w:rPr>
              <w:rFonts w:ascii="Arial" w:hAnsi="Arial" w:cs="Arial"/>
              <w:noProof/>
              <w:sz w:val="20"/>
              <w:szCs w:val="20"/>
              <w:lang w:val="en-GB" w:eastAsia="en-GB"/>
            </w:rPr>
            <w:drawing>
              <wp:inline distT="0" distB="0" distL="0" distR="0">
                <wp:extent cx="619125" cy="609600"/>
                <wp:effectExtent l="0" t="0" r="0" b="0"/>
                <wp:docPr id="4" name="Picture 4" descr="logo of China National Center for Safeguarding Intangible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China National Center for Safeguarding Intangible Cultural Herit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r>
        </w:p>
      </w:tc>
      <w:tc>
        <w:tcPr>
          <w:tcW w:w="1785" w:type="dxa"/>
          <w:shd w:val="clear" w:color="auto" w:fill="auto"/>
          <w:vAlign w:val="center"/>
        </w:tcPr>
        <w:p w:rsidR="00255B8E" w:rsidRPr="00ED202A" w:rsidRDefault="00255B8E" w:rsidP="004D2244">
          <w:pPr>
            <w:pStyle w:val="Footer"/>
            <w:spacing w:before="360"/>
            <w:jc w:val="center"/>
            <w:rPr>
              <w:rFonts w:ascii="Arial" w:hAnsi="Arial" w:cs="Arial"/>
              <w:b/>
              <w:sz w:val="20"/>
              <w:szCs w:val="20"/>
            </w:rPr>
          </w:pPr>
          <w:r w:rsidRPr="007814C7">
            <w:rPr>
              <w:rFonts w:ascii="Arial" w:hAnsi="Arial" w:cs="Arial"/>
              <w:b/>
              <w:bCs/>
              <w:sz w:val="20"/>
              <w:szCs w:val="20"/>
            </w:rPr>
            <w:t>Département culturel de la province du Sichuan</w:t>
          </w:r>
        </w:p>
      </w:tc>
      <w:tc>
        <w:tcPr>
          <w:tcW w:w="3260" w:type="dxa"/>
          <w:shd w:val="clear" w:color="auto" w:fill="auto"/>
          <w:vAlign w:val="center"/>
        </w:tcPr>
        <w:p w:rsidR="00255B8E" w:rsidRDefault="00255B8E" w:rsidP="004D2244">
          <w:pPr>
            <w:pStyle w:val="Footer"/>
            <w:spacing w:before="360"/>
            <w:jc w:val="center"/>
            <w:rPr>
              <w:rFonts w:ascii="Arial" w:hAnsi="Arial" w:cs="Arial"/>
              <w:b/>
              <w:sz w:val="20"/>
              <w:szCs w:val="20"/>
              <w:lang w:val="en-US"/>
            </w:rPr>
          </w:pPr>
          <w:r w:rsidRPr="00E77655">
            <w:rPr>
              <w:rFonts w:ascii="Arial" w:hAnsi="Arial" w:cs="Arial"/>
              <w:b/>
              <w:noProof/>
              <w:sz w:val="20"/>
              <w:szCs w:val="20"/>
              <w:lang w:val="en-GB" w:eastAsia="en-GB"/>
            </w:rPr>
            <w:drawing>
              <wp:inline distT="0" distB="0" distL="0" distR="0">
                <wp:extent cx="1876425" cy="647700"/>
                <wp:effectExtent l="0" t="0" r="0" b="0"/>
                <wp:docPr id="5" name="Picture 5" descr="CRIH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IHAP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6425" cy="647700"/>
                        </a:xfrm>
                        <a:prstGeom prst="rect">
                          <a:avLst/>
                        </a:prstGeom>
                        <a:noFill/>
                        <a:ln>
                          <a:noFill/>
                        </a:ln>
                      </pic:spPr>
                    </pic:pic>
                  </a:graphicData>
                </a:graphic>
              </wp:inline>
            </w:drawing>
          </w:r>
        </w:p>
      </w:tc>
      <w:tc>
        <w:tcPr>
          <w:tcW w:w="2835" w:type="dxa"/>
          <w:shd w:val="clear" w:color="auto" w:fill="auto"/>
          <w:vAlign w:val="center"/>
        </w:tcPr>
        <w:p w:rsidR="00255B8E" w:rsidRPr="007814C7" w:rsidRDefault="00255B8E" w:rsidP="004D2244">
          <w:pPr>
            <w:pStyle w:val="Footer"/>
            <w:spacing w:before="360"/>
            <w:jc w:val="center"/>
            <w:rPr>
              <w:rFonts w:ascii="Arial" w:hAnsi="Arial" w:cs="Arial"/>
              <w:b/>
              <w:sz w:val="20"/>
              <w:szCs w:val="20"/>
              <w:lang w:val="en-US"/>
            </w:rPr>
          </w:pPr>
          <w:r>
            <w:rPr>
              <w:rFonts w:ascii="Arial" w:hAnsi="Arial" w:cs="Arial"/>
              <w:b/>
              <w:noProof/>
              <w:sz w:val="20"/>
              <w:szCs w:val="20"/>
              <w:lang w:val="en-GB" w:eastAsia="en-GB"/>
            </w:rPr>
            <w:drawing>
              <wp:inline distT="0" distB="0" distL="0" distR="0">
                <wp:extent cx="1333500" cy="7622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fr.jpg"/>
                        <pic:cNvPicPr/>
                      </pic:nvPicPr>
                      <pic:blipFill>
                        <a:blip r:embed="rId3">
                          <a:extLst>
                            <a:ext uri="{28A0092B-C50C-407E-A947-70E740481C1C}">
                              <a14:useLocalDpi xmlns:a14="http://schemas.microsoft.com/office/drawing/2010/main" val="0"/>
                            </a:ext>
                          </a:extLst>
                        </a:blip>
                        <a:stretch>
                          <a:fillRect/>
                        </a:stretch>
                      </pic:blipFill>
                      <pic:spPr>
                        <a:xfrm>
                          <a:off x="0" y="0"/>
                          <a:ext cx="1330452" cy="760476"/>
                        </a:xfrm>
                        <a:prstGeom prst="rect">
                          <a:avLst/>
                        </a:prstGeom>
                      </pic:spPr>
                    </pic:pic>
                  </a:graphicData>
                </a:graphic>
              </wp:inline>
            </w:drawing>
          </w:r>
        </w:p>
      </w:tc>
    </w:tr>
  </w:tbl>
  <w:p w:rsidR="00255B8E" w:rsidRPr="006B76F4" w:rsidRDefault="00255B8E" w:rsidP="006B76F4">
    <w:pPr>
      <w:tabs>
        <w:tab w:val="center" w:pos="4536"/>
        <w:tab w:val="right" w:pos="9072"/>
      </w:tabs>
      <w:spacing w:before="360" w:after="0" w:line="100" w:lineRule="atLeast"/>
      <w:rPr>
        <w:rFonts w:ascii="Arial" w:hAnsi="Arial" w:cs="Arial"/>
        <w:i/>
        <w:kern w:val="1"/>
        <w:sz w:val="20"/>
        <w:lang w:eastAsia="hi-IN" w:bidi="hi-IN"/>
      </w:rPr>
    </w:pPr>
    <w:r w:rsidRPr="006B76F4">
      <w:rPr>
        <w:rFonts w:ascii="Arial" w:hAnsi="Arial" w:cs="Arial"/>
        <w:i/>
        <w:kern w:val="1"/>
        <w:sz w:val="20"/>
        <w:lang w:eastAsia="hi-IN" w:bidi="hi-IN"/>
      </w:rPr>
      <w:t xml:space="preserve">Document </w:t>
    </w:r>
    <w:r>
      <w:rPr>
        <w:rFonts w:ascii="Arial" w:hAnsi="Arial" w:cs="Arial"/>
        <w:i/>
        <w:kern w:val="1"/>
        <w:sz w:val="20"/>
        <w:lang w:eastAsia="hi-IN" w:bidi="hi-IN"/>
      </w:rPr>
      <w:t>préparé</w:t>
    </w:r>
    <w:r w:rsidRPr="006B76F4">
      <w:rPr>
        <w:rFonts w:ascii="Arial" w:hAnsi="Arial" w:cs="Arial"/>
        <w:i/>
        <w:kern w:val="1"/>
        <w:sz w:val="20"/>
        <w:lang w:eastAsia="hi-IN" w:bidi="hi-IN"/>
      </w:rPr>
      <w:t xml:space="preserve"> par le Secrétariat de l’UNESCO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B8E" w:rsidRDefault="00255B8E" w:rsidP="00C602FD">
      <w:pPr>
        <w:spacing w:after="0" w:line="240" w:lineRule="auto"/>
        <w:rPr>
          <w:rFonts w:cs="Times New Roman"/>
        </w:rPr>
      </w:pPr>
      <w:r>
        <w:rPr>
          <w:rFonts w:cs="Times New Roman"/>
        </w:rPr>
        <w:separator/>
      </w:r>
    </w:p>
  </w:footnote>
  <w:footnote w:type="continuationSeparator" w:id="0">
    <w:p w:rsidR="00255B8E" w:rsidRDefault="00255B8E" w:rsidP="00C602FD">
      <w:pPr>
        <w:spacing w:after="0" w:line="240" w:lineRule="auto"/>
        <w:rPr>
          <w:rFonts w:cs="Times New Roman"/>
        </w:rPr>
      </w:pPr>
      <w:r>
        <w:rPr>
          <w:rFonts w:cs="Times New Roman"/>
        </w:rPr>
        <w:continuationSeparator/>
      </w:r>
    </w:p>
  </w:footnote>
  <w:footnote w:id="1">
    <w:p w:rsidR="00255B8E" w:rsidRPr="00C408A6" w:rsidRDefault="00255B8E" w:rsidP="003327B8">
      <w:pPr>
        <w:pStyle w:val="FootnoteText"/>
        <w:tabs>
          <w:tab w:val="left" w:pos="284"/>
        </w:tabs>
        <w:jc w:val="both"/>
        <w:rPr>
          <w:rFonts w:ascii="Arial" w:hAnsi="Arial" w:cs="Arial"/>
        </w:rPr>
      </w:pPr>
      <w:r w:rsidRPr="00B90610">
        <w:rPr>
          <w:rStyle w:val="FootnoteReference"/>
          <w:rFonts w:ascii="Arial" w:hAnsi="Arial" w:cs="Arial"/>
          <w:vertAlign w:val="baseline"/>
        </w:rPr>
        <w:footnoteRef/>
      </w:r>
      <w:r>
        <w:rPr>
          <w:rFonts w:ascii="Arial" w:hAnsi="Arial" w:cs="Arial"/>
        </w:rPr>
        <w:t>.</w:t>
      </w:r>
      <w:r>
        <w:rPr>
          <w:rFonts w:ascii="Arial" w:hAnsi="Arial" w:cs="Arial"/>
        </w:rPr>
        <w:tab/>
      </w:r>
      <w:r w:rsidRPr="00E355D6">
        <w:rPr>
          <w:rFonts w:ascii="Arial" w:hAnsi="Arial" w:cs="Arial"/>
        </w:rPr>
        <w:t xml:space="preserve">Ces </w:t>
      </w:r>
      <w:r>
        <w:rPr>
          <w:rFonts w:ascii="Arial" w:hAnsi="Arial" w:cs="Arial"/>
        </w:rPr>
        <w:t>principes</w:t>
      </w:r>
      <w:r w:rsidRPr="00E355D6">
        <w:rPr>
          <w:rFonts w:ascii="Arial" w:hAnsi="Arial" w:cs="Arial"/>
        </w:rPr>
        <w:t xml:space="preserve"> ont été présentés à la huitième session du CIG en 2005</w:t>
      </w:r>
      <w:r>
        <w:rPr>
          <w:rFonts w:ascii="Arial" w:hAnsi="Arial" w:cs="Arial"/>
        </w:rPr>
        <w:t xml:space="preserve"> et</w:t>
      </w:r>
      <w:r w:rsidRPr="00E355D6">
        <w:rPr>
          <w:rFonts w:ascii="Arial" w:hAnsi="Arial" w:cs="Arial"/>
        </w:rPr>
        <w:t xml:space="preserve"> ont ensuite été accompagnés de la notation «</w:t>
      </w:r>
      <w:r>
        <w:rPr>
          <w:rFonts w:ascii="Arial" w:hAnsi="Arial" w:cs="Arial"/>
        </w:rPr>
        <w:t> </w:t>
      </w:r>
      <w:r w:rsidRPr="00E355D6">
        <w:rPr>
          <w:rFonts w:ascii="Arial" w:hAnsi="Arial" w:cs="Arial"/>
        </w:rPr>
        <w:t>à débattre ultérieurement</w:t>
      </w:r>
      <w:r>
        <w:rPr>
          <w:rFonts w:ascii="Arial" w:hAnsi="Arial" w:cs="Arial"/>
        </w:rPr>
        <w:t> </w:t>
      </w:r>
      <w:r w:rsidRPr="00E355D6">
        <w:rPr>
          <w:rFonts w:ascii="Arial" w:hAnsi="Arial" w:cs="Arial"/>
        </w:rPr>
        <w:t>» (</w:t>
      </w:r>
      <w:hyperlink r:id="rId1" w:history="1">
        <w:r w:rsidRPr="00E355D6">
          <w:rPr>
            <w:rStyle w:val="Hyperlink"/>
            <w:rFonts w:ascii="Arial" w:hAnsi="Arial" w:cs="Arial"/>
          </w:rPr>
          <w:t>WIPO/GRTKF/IC/25/4</w:t>
        </w:r>
      </w:hyperlink>
      <w:r w:rsidRPr="00E355D6">
        <w:rPr>
          <w:rFonts w:ascii="Arial" w:hAnsi="Arial" w:cs="Arial"/>
        </w:rPr>
        <w:t>)</w:t>
      </w:r>
      <w:r>
        <w:rPr>
          <w:rFonts w:ascii="Arial" w:hAnsi="Arial" w:cs="Arial"/>
        </w:rPr>
        <w:t> ; s</w:t>
      </w:r>
      <w:r w:rsidRPr="00E355D6">
        <w:rPr>
          <w:rFonts w:ascii="Arial" w:hAnsi="Arial" w:cs="Arial"/>
        </w:rPr>
        <w:t>’agissant de la protection des connaissances traditionnelles, la dernière version révisée des dispositions</w:t>
      </w:r>
      <w:r>
        <w:rPr>
          <w:rFonts w:ascii="Arial" w:hAnsi="Arial" w:cs="Arial"/>
        </w:rPr>
        <w:t xml:space="preserve"> place</w:t>
      </w:r>
      <w:r w:rsidRPr="00E355D6">
        <w:rPr>
          <w:rFonts w:ascii="Arial" w:hAnsi="Arial" w:cs="Arial"/>
        </w:rPr>
        <w:t xml:space="preserve"> les mots «</w:t>
      </w:r>
      <w:r>
        <w:rPr>
          <w:rFonts w:ascii="Arial" w:hAnsi="Arial" w:cs="Arial"/>
        </w:rPr>
        <w:t> </w:t>
      </w:r>
      <w:r w:rsidRPr="00E355D6">
        <w:rPr>
          <w:rFonts w:ascii="Arial" w:hAnsi="Arial" w:cs="Arial"/>
        </w:rPr>
        <w:t>économique</w:t>
      </w:r>
      <w:r>
        <w:rPr>
          <w:rFonts w:ascii="Arial" w:hAnsi="Arial" w:cs="Arial"/>
        </w:rPr>
        <w:t> </w:t>
      </w:r>
      <w:r w:rsidRPr="00E355D6">
        <w:rPr>
          <w:rFonts w:ascii="Arial" w:hAnsi="Arial" w:cs="Arial"/>
        </w:rPr>
        <w:t>» et «</w:t>
      </w:r>
      <w:r>
        <w:rPr>
          <w:rFonts w:ascii="Arial" w:hAnsi="Arial" w:cs="Arial"/>
        </w:rPr>
        <w:t> </w:t>
      </w:r>
      <w:r w:rsidRPr="00E355D6">
        <w:rPr>
          <w:rFonts w:ascii="Arial" w:hAnsi="Arial" w:cs="Arial"/>
        </w:rPr>
        <w:t>commercial</w:t>
      </w:r>
      <w:r>
        <w:rPr>
          <w:rFonts w:ascii="Arial" w:hAnsi="Arial" w:cs="Arial"/>
        </w:rPr>
        <w:t> </w:t>
      </w:r>
      <w:r w:rsidRPr="00E355D6">
        <w:rPr>
          <w:rFonts w:ascii="Arial" w:hAnsi="Arial" w:cs="Arial"/>
        </w:rPr>
        <w:t xml:space="preserve">» entre </w:t>
      </w:r>
      <w:r>
        <w:rPr>
          <w:rFonts w:ascii="Arial" w:hAnsi="Arial" w:cs="Arial"/>
        </w:rPr>
        <w:t>crochets</w:t>
      </w:r>
      <w:r w:rsidRPr="00E355D6">
        <w:rPr>
          <w:rFonts w:ascii="Arial" w:hAnsi="Arial" w:cs="Arial"/>
        </w:rPr>
        <w:t>, ce qui signale l’existence de points de vue divergents sur l’opportunité de les maintenir ou de les supprimer.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8E" w:rsidRPr="006B76F4" w:rsidRDefault="00255B8E" w:rsidP="006B76F4">
    <w:pPr>
      <w:pStyle w:val="Header"/>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5</w:t>
    </w:r>
    <w:r w:rsidRPr="00FF273B">
      <w:rPr>
        <w:rFonts w:ascii="Arial" w:hAnsi="Arial" w:cs="Arial"/>
        <w:lang w:val="en-US"/>
      </w:rPr>
      <w:t xml:space="preserve"> </w:t>
    </w:r>
    <w:r w:rsidR="00E1286B">
      <w:rPr>
        <w:rFonts w:ascii="Arial" w:hAnsi="Arial" w:cs="Arial"/>
        <w:lang w:val="en-US"/>
      </w:rPr>
      <w:t xml:space="preserve">Rev. </w:t>
    </w:r>
    <w:r w:rsidRPr="00FF273B">
      <w:rPr>
        <w:rFonts w:ascii="Arial" w:hAnsi="Arial" w:cs="Arial"/>
        <w:lang w:val="en-US"/>
      </w:rPr>
      <w:t xml:space="preserve">–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AD2809">
      <w:rPr>
        <w:rFonts w:ascii="Arial" w:hAnsi="Arial" w:cs="Arial"/>
        <w:noProof/>
        <w:lang w:val="en-US"/>
      </w:rPr>
      <w:t>2</w:t>
    </w:r>
    <w:r w:rsidRPr="00FF273B">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8E" w:rsidRPr="006B76F4" w:rsidRDefault="00255B8E" w:rsidP="006B76F4">
    <w:pPr>
      <w:pStyle w:val="Header"/>
      <w:jc w:val="right"/>
      <w:rPr>
        <w:rFonts w:ascii="Arial" w:hAnsi="Arial" w:cs="Arial"/>
        <w:lang w:val="en-US"/>
      </w:rPr>
    </w:pPr>
    <w:r w:rsidRPr="00FF273B">
      <w:rPr>
        <w:rFonts w:ascii="Arial" w:hAnsi="Arial" w:cs="Arial"/>
        <w:lang w:val="en-US"/>
      </w:rPr>
      <w:t>ITH/13/</w:t>
    </w:r>
    <w:r>
      <w:rPr>
        <w:rFonts w:ascii="Arial" w:hAnsi="Arial" w:cs="Arial"/>
        <w:lang w:val="en-US"/>
      </w:rPr>
      <w:t>EXP</w:t>
    </w:r>
    <w:r w:rsidRPr="00FF273B">
      <w:rPr>
        <w:rFonts w:ascii="Arial" w:hAnsi="Arial" w:cs="Arial"/>
        <w:lang w:val="en-US"/>
      </w:rPr>
      <w:t>/</w:t>
    </w:r>
    <w:r>
      <w:rPr>
        <w:rFonts w:ascii="Arial" w:hAnsi="Arial" w:cs="Arial"/>
        <w:lang w:val="en-US"/>
      </w:rPr>
      <w:t>5</w:t>
    </w:r>
    <w:r w:rsidR="00E1286B">
      <w:rPr>
        <w:rFonts w:ascii="Arial" w:hAnsi="Arial" w:cs="Arial"/>
        <w:lang w:val="en-US"/>
      </w:rPr>
      <w:t xml:space="preserve"> Rev.</w:t>
    </w:r>
    <w:r w:rsidRPr="00FF273B">
      <w:rPr>
        <w:rFonts w:ascii="Arial" w:hAnsi="Arial" w:cs="Arial"/>
        <w:lang w:val="en-US"/>
      </w:rPr>
      <w:t xml:space="preserve"> – page </w:t>
    </w:r>
    <w:r w:rsidRPr="00FF273B">
      <w:rPr>
        <w:rFonts w:ascii="Arial" w:hAnsi="Arial" w:cs="Arial"/>
      </w:rPr>
      <w:fldChar w:fldCharType="begin"/>
    </w:r>
    <w:r w:rsidRPr="00FF273B">
      <w:rPr>
        <w:rFonts w:ascii="Arial" w:hAnsi="Arial" w:cs="Arial"/>
        <w:lang w:val="en-US"/>
      </w:rPr>
      <w:instrText xml:space="preserve"> PAGE </w:instrText>
    </w:r>
    <w:r w:rsidRPr="00FF273B">
      <w:rPr>
        <w:rFonts w:ascii="Arial" w:hAnsi="Arial" w:cs="Arial"/>
      </w:rPr>
      <w:fldChar w:fldCharType="separate"/>
    </w:r>
    <w:r w:rsidR="003327B8">
      <w:rPr>
        <w:rFonts w:ascii="Arial" w:hAnsi="Arial" w:cs="Arial"/>
        <w:noProof/>
        <w:lang w:val="en-US"/>
      </w:rPr>
      <w:t>3</w:t>
    </w:r>
    <w:r w:rsidRPr="00FF273B">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B8E" w:rsidRPr="004D2244" w:rsidRDefault="00255B8E" w:rsidP="006B76F4">
    <w:pPr>
      <w:tabs>
        <w:tab w:val="center" w:pos="4536"/>
        <w:tab w:val="right" w:pos="9072"/>
      </w:tabs>
      <w:spacing w:after="520"/>
      <w:jc w:val="right"/>
      <w:rPr>
        <w:rFonts w:ascii="Arial" w:hAnsi="Arial" w:cs="Arial"/>
        <w:b/>
        <w:sz w:val="44"/>
        <w:szCs w:val="44"/>
      </w:rPr>
    </w:pPr>
    <w:r w:rsidRPr="004D2244">
      <w:rPr>
        <w:rFonts w:ascii="Arial" w:hAnsi="Arial" w:cs="Arial"/>
        <w:b/>
        <w:noProof/>
        <w:sz w:val="44"/>
        <w:szCs w:val="44"/>
        <w:lang w:val="en-GB" w:eastAsia="en-GB"/>
      </w:rPr>
      <w:drawing>
        <wp:anchor distT="0" distB="0" distL="114300" distR="114300" simplePos="0" relativeHeight="251658240" behindDoc="0" locked="0" layoutInCell="1" allowOverlap="1">
          <wp:simplePos x="0" y="0"/>
          <wp:positionH relativeFrom="column">
            <wp:posOffset>-257175</wp:posOffset>
          </wp:positionH>
          <wp:positionV relativeFrom="paragraph">
            <wp:posOffset>-76200</wp:posOffset>
          </wp:positionV>
          <wp:extent cx="2038350" cy="1529080"/>
          <wp:effectExtent l="0" t="0" r="0" b="0"/>
          <wp:wrapNone/>
          <wp:docPr id="3" name="Picture 3"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anchor>
      </w:drawing>
    </w:r>
    <w:r w:rsidRPr="004D2244">
      <w:rPr>
        <w:rFonts w:ascii="Arial" w:hAnsi="Arial" w:cs="Arial"/>
        <w:b/>
        <w:sz w:val="44"/>
        <w:szCs w:val="44"/>
      </w:rPr>
      <w:t>EXP</w:t>
    </w:r>
  </w:p>
  <w:p w:rsidR="00255B8E" w:rsidRPr="004D2244" w:rsidRDefault="00255B8E" w:rsidP="006B76F4">
    <w:pPr>
      <w:spacing w:after="0" w:line="240" w:lineRule="auto"/>
      <w:jc w:val="right"/>
      <w:rPr>
        <w:rFonts w:ascii="Arial" w:eastAsia="Times New Roman" w:hAnsi="Arial" w:cs="Arial"/>
        <w:b/>
        <w:lang w:eastAsia="fr-FR"/>
      </w:rPr>
    </w:pPr>
    <w:r>
      <w:rPr>
        <w:rFonts w:ascii="Arial" w:eastAsia="Times New Roman" w:hAnsi="Arial" w:cs="Arial"/>
        <w:b/>
        <w:lang w:eastAsia="fr-FR"/>
      </w:rPr>
      <w:t>ITH/13/EXP/5</w:t>
    </w:r>
    <w:r w:rsidR="00E1286B">
      <w:rPr>
        <w:rFonts w:ascii="Arial" w:eastAsia="Times New Roman" w:hAnsi="Arial" w:cs="Arial"/>
        <w:b/>
        <w:lang w:eastAsia="fr-FR"/>
      </w:rPr>
      <w:t xml:space="preserve"> </w:t>
    </w:r>
    <w:proofErr w:type="spellStart"/>
    <w:r w:rsidR="00E1286B">
      <w:rPr>
        <w:rFonts w:ascii="Arial" w:eastAsia="Times New Roman" w:hAnsi="Arial" w:cs="Arial"/>
        <w:b/>
        <w:lang w:eastAsia="fr-FR"/>
      </w:rPr>
      <w:t>Rev</w:t>
    </w:r>
    <w:proofErr w:type="spellEnd"/>
    <w:r w:rsidR="00E1286B">
      <w:rPr>
        <w:rFonts w:ascii="Arial" w:eastAsia="Times New Roman" w:hAnsi="Arial" w:cs="Arial"/>
        <w:b/>
        <w:lang w:eastAsia="fr-FR"/>
      </w:rPr>
      <w:t>.</w:t>
    </w:r>
  </w:p>
  <w:p w:rsidR="00255B8E" w:rsidRPr="004D2244" w:rsidRDefault="00255B8E" w:rsidP="006B76F4">
    <w:pPr>
      <w:spacing w:after="0" w:line="240" w:lineRule="auto"/>
      <w:jc w:val="right"/>
      <w:rPr>
        <w:rFonts w:ascii="Arial" w:eastAsia="Times New Roman" w:hAnsi="Arial" w:cs="Arial"/>
        <w:b/>
        <w:lang w:eastAsia="fr-FR"/>
      </w:rPr>
    </w:pPr>
    <w:r>
      <w:rPr>
        <w:rFonts w:ascii="Arial" w:eastAsia="Times New Roman" w:hAnsi="Arial" w:cs="Arial"/>
        <w:b/>
        <w:lang w:eastAsia="fr-FR"/>
      </w:rPr>
      <w:t>Paris, 4 juin</w:t>
    </w:r>
    <w:r w:rsidRPr="004D2244">
      <w:rPr>
        <w:rFonts w:ascii="Arial" w:eastAsia="Times New Roman" w:hAnsi="Arial" w:cs="Arial"/>
        <w:b/>
        <w:lang w:eastAsia="fr-FR"/>
      </w:rPr>
      <w:t xml:space="preserve"> 2013</w:t>
    </w:r>
  </w:p>
  <w:p w:rsidR="00255B8E" w:rsidRPr="004D2244" w:rsidRDefault="00255B8E" w:rsidP="004D2244">
    <w:pPr>
      <w:spacing w:after="0" w:line="240" w:lineRule="auto"/>
      <w:jc w:val="right"/>
      <w:rPr>
        <w:rFonts w:ascii="Arial" w:eastAsia="Times New Roman" w:hAnsi="Arial" w:cs="Arial"/>
        <w:b/>
        <w:lang w:eastAsia="fr-FR"/>
      </w:rPr>
    </w:pPr>
    <w:r w:rsidRPr="004D2244">
      <w:rPr>
        <w:rFonts w:ascii="Arial" w:eastAsia="Times New Roman" w:hAnsi="Arial" w:cs="Arial"/>
        <w:b/>
        <w:lang w:eastAsia="fr-FR"/>
      </w:rPr>
      <w:t xml:space="preserve">Original : </w:t>
    </w:r>
    <w:r>
      <w:rPr>
        <w:rFonts w:ascii="Arial" w:eastAsia="Times New Roman" w:hAnsi="Arial" w:cs="Arial"/>
        <w:b/>
        <w:lang w:eastAsia="fr-FR"/>
      </w:rPr>
      <w:t>a</w:t>
    </w:r>
    <w:r w:rsidRPr="004D2244">
      <w:rPr>
        <w:rFonts w:ascii="Arial" w:eastAsia="Times New Roman" w:hAnsi="Arial" w:cs="Arial"/>
        <w:b/>
        <w:lang w:eastAsia="fr-FR"/>
      </w:rPr>
      <w:t>nglais</w:t>
    </w:r>
  </w:p>
  <w:p w:rsidR="00255B8E" w:rsidRPr="004D2244" w:rsidRDefault="00255B8E" w:rsidP="004D2244">
    <w:pPr>
      <w:spacing w:after="0" w:line="360" w:lineRule="auto"/>
      <w:jc w:val="right"/>
      <w:rPr>
        <w:rFonts w:ascii="Arial" w:eastAsia="Times New Roman" w:hAnsi="Arial" w:cs="Arial"/>
        <w:b/>
        <w:lang w:eastAsia="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clean"/>
  <w:defaultTabStop w:val="708"/>
  <w:hyphenationZone w:val="425"/>
  <w:doNotHyphenateCaps/>
  <w:evenAndOddHeaders/>
  <w:characterSpacingControl w:val="doNotCompress"/>
  <w:noLineBreaksAfter w:lang="zh-CN" w:val="$([{£¥·‘“〈《「『【〔〖〝﹙﹛﹝＄（．［｛￡￥"/>
  <w:noLineBreaksBefore w:lang="zh-CN" w:val="!%),.:;&gt;?]}¢¨°·ˇˉ―‖’”…‰′″›℃∶、。〃〉》」』】〕〗〞︶︺︾﹀﹄﹚﹜﹞！＂％＇），．：；？］｀｜｝～￠"/>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5C9"/>
    <w:rsid w:val="00003BB6"/>
    <w:rsid w:val="00004EB7"/>
    <w:rsid w:val="000101E7"/>
    <w:rsid w:val="0001684E"/>
    <w:rsid w:val="00024C48"/>
    <w:rsid w:val="000325A3"/>
    <w:rsid w:val="00036D8F"/>
    <w:rsid w:val="00054821"/>
    <w:rsid w:val="00055836"/>
    <w:rsid w:val="00056AFC"/>
    <w:rsid w:val="0006079E"/>
    <w:rsid w:val="00075018"/>
    <w:rsid w:val="00095EFD"/>
    <w:rsid w:val="00096231"/>
    <w:rsid w:val="000A29D4"/>
    <w:rsid w:val="000A2FCF"/>
    <w:rsid w:val="000A3632"/>
    <w:rsid w:val="000B03FE"/>
    <w:rsid w:val="000B0743"/>
    <w:rsid w:val="000B0C10"/>
    <w:rsid w:val="000B4C0A"/>
    <w:rsid w:val="000C1669"/>
    <w:rsid w:val="000D1E29"/>
    <w:rsid w:val="000E2678"/>
    <w:rsid w:val="000E38F5"/>
    <w:rsid w:val="000F3794"/>
    <w:rsid w:val="000F75F1"/>
    <w:rsid w:val="001008D9"/>
    <w:rsid w:val="00101FD9"/>
    <w:rsid w:val="00106CC6"/>
    <w:rsid w:val="00115373"/>
    <w:rsid w:val="00115F74"/>
    <w:rsid w:val="0012195A"/>
    <w:rsid w:val="0012235A"/>
    <w:rsid w:val="0012648D"/>
    <w:rsid w:val="001301AF"/>
    <w:rsid w:val="001352F0"/>
    <w:rsid w:val="0014526B"/>
    <w:rsid w:val="00150CAF"/>
    <w:rsid w:val="0015169F"/>
    <w:rsid w:val="001623F4"/>
    <w:rsid w:val="00174339"/>
    <w:rsid w:val="00175854"/>
    <w:rsid w:val="00176123"/>
    <w:rsid w:val="00182326"/>
    <w:rsid w:val="001829DB"/>
    <w:rsid w:val="00194F18"/>
    <w:rsid w:val="001A32DE"/>
    <w:rsid w:val="001B3A8E"/>
    <w:rsid w:val="001C4591"/>
    <w:rsid w:val="001E23AC"/>
    <w:rsid w:val="0020035B"/>
    <w:rsid w:val="00214498"/>
    <w:rsid w:val="0022275E"/>
    <w:rsid w:val="00231424"/>
    <w:rsid w:val="00231BD0"/>
    <w:rsid w:val="00232F0B"/>
    <w:rsid w:val="00233666"/>
    <w:rsid w:val="00241E5F"/>
    <w:rsid w:val="0024546C"/>
    <w:rsid w:val="00245533"/>
    <w:rsid w:val="00255B8E"/>
    <w:rsid w:val="00260A64"/>
    <w:rsid w:val="00272923"/>
    <w:rsid w:val="00286139"/>
    <w:rsid w:val="002914C9"/>
    <w:rsid w:val="00296AE5"/>
    <w:rsid w:val="002A5266"/>
    <w:rsid w:val="002B6174"/>
    <w:rsid w:val="002C0AA1"/>
    <w:rsid w:val="002C35C0"/>
    <w:rsid w:val="002C58DD"/>
    <w:rsid w:val="002E0A77"/>
    <w:rsid w:val="002F3F97"/>
    <w:rsid w:val="00305548"/>
    <w:rsid w:val="00321FBF"/>
    <w:rsid w:val="003220F4"/>
    <w:rsid w:val="00324930"/>
    <w:rsid w:val="00325B18"/>
    <w:rsid w:val="00327A86"/>
    <w:rsid w:val="003327B8"/>
    <w:rsid w:val="00350303"/>
    <w:rsid w:val="003600EB"/>
    <w:rsid w:val="00360395"/>
    <w:rsid w:val="0037385B"/>
    <w:rsid w:val="00375339"/>
    <w:rsid w:val="00381F57"/>
    <w:rsid w:val="003874DA"/>
    <w:rsid w:val="00390112"/>
    <w:rsid w:val="003942B4"/>
    <w:rsid w:val="003A53F6"/>
    <w:rsid w:val="003A624B"/>
    <w:rsid w:val="003A6A11"/>
    <w:rsid w:val="003C063E"/>
    <w:rsid w:val="003C71A8"/>
    <w:rsid w:val="003D6112"/>
    <w:rsid w:val="003F035C"/>
    <w:rsid w:val="004023D4"/>
    <w:rsid w:val="00432C5D"/>
    <w:rsid w:val="00442502"/>
    <w:rsid w:val="00474978"/>
    <w:rsid w:val="00474CE0"/>
    <w:rsid w:val="004A4DE2"/>
    <w:rsid w:val="004C149D"/>
    <w:rsid w:val="004C2039"/>
    <w:rsid w:val="004C2242"/>
    <w:rsid w:val="004C6ABE"/>
    <w:rsid w:val="004D2244"/>
    <w:rsid w:val="004D6461"/>
    <w:rsid w:val="004F4F76"/>
    <w:rsid w:val="0050014F"/>
    <w:rsid w:val="005060BB"/>
    <w:rsid w:val="0051387F"/>
    <w:rsid w:val="00517364"/>
    <w:rsid w:val="005244D1"/>
    <w:rsid w:val="005252A9"/>
    <w:rsid w:val="005333ED"/>
    <w:rsid w:val="00537AF1"/>
    <w:rsid w:val="005439F9"/>
    <w:rsid w:val="0056318A"/>
    <w:rsid w:val="005707CD"/>
    <w:rsid w:val="00576E60"/>
    <w:rsid w:val="005857A7"/>
    <w:rsid w:val="00592228"/>
    <w:rsid w:val="005977C2"/>
    <w:rsid w:val="00597CC6"/>
    <w:rsid w:val="005A3F69"/>
    <w:rsid w:val="005A4161"/>
    <w:rsid w:val="005B06B2"/>
    <w:rsid w:val="005B3E57"/>
    <w:rsid w:val="005B4FAE"/>
    <w:rsid w:val="005B57D6"/>
    <w:rsid w:val="005B7775"/>
    <w:rsid w:val="005C24EE"/>
    <w:rsid w:val="005C631E"/>
    <w:rsid w:val="005D19CC"/>
    <w:rsid w:val="005D3ADD"/>
    <w:rsid w:val="005E1321"/>
    <w:rsid w:val="005E50AD"/>
    <w:rsid w:val="005F78C6"/>
    <w:rsid w:val="00607C98"/>
    <w:rsid w:val="00620EA8"/>
    <w:rsid w:val="00625926"/>
    <w:rsid w:val="006300F6"/>
    <w:rsid w:val="00633FE4"/>
    <w:rsid w:val="006414A2"/>
    <w:rsid w:val="00642759"/>
    <w:rsid w:val="006463DA"/>
    <w:rsid w:val="00653B47"/>
    <w:rsid w:val="006565F8"/>
    <w:rsid w:val="00660A59"/>
    <w:rsid w:val="00680525"/>
    <w:rsid w:val="006838E8"/>
    <w:rsid w:val="006916ED"/>
    <w:rsid w:val="00692A4D"/>
    <w:rsid w:val="006A4EB0"/>
    <w:rsid w:val="006B2AE9"/>
    <w:rsid w:val="006B76F4"/>
    <w:rsid w:val="006C0401"/>
    <w:rsid w:val="006C2CBC"/>
    <w:rsid w:val="006C6B23"/>
    <w:rsid w:val="006E33B5"/>
    <w:rsid w:val="006E7711"/>
    <w:rsid w:val="006F42A1"/>
    <w:rsid w:val="006F758D"/>
    <w:rsid w:val="0071239B"/>
    <w:rsid w:val="007204AB"/>
    <w:rsid w:val="007505F5"/>
    <w:rsid w:val="007609CC"/>
    <w:rsid w:val="007814C7"/>
    <w:rsid w:val="00782C5A"/>
    <w:rsid w:val="007842AD"/>
    <w:rsid w:val="007842C9"/>
    <w:rsid w:val="00795BE4"/>
    <w:rsid w:val="00797D20"/>
    <w:rsid w:val="007B33D2"/>
    <w:rsid w:val="007B5373"/>
    <w:rsid w:val="007C6A0F"/>
    <w:rsid w:val="007C741C"/>
    <w:rsid w:val="007D60A7"/>
    <w:rsid w:val="007E6C87"/>
    <w:rsid w:val="007F09A2"/>
    <w:rsid w:val="007F2971"/>
    <w:rsid w:val="007F6CF6"/>
    <w:rsid w:val="008003D0"/>
    <w:rsid w:val="00806D7D"/>
    <w:rsid w:val="0081470C"/>
    <w:rsid w:val="00816E22"/>
    <w:rsid w:val="008223EE"/>
    <w:rsid w:val="00845CBF"/>
    <w:rsid w:val="0085015A"/>
    <w:rsid w:val="0086494D"/>
    <w:rsid w:val="008703BA"/>
    <w:rsid w:val="00874433"/>
    <w:rsid w:val="00874950"/>
    <w:rsid w:val="00876150"/>
    <w:rsid w:val="008917CB"/>
    <w:rsid w:val="008A0A37"/>
    <w:rsid w:val="008A2B6A"/>
    <w:rsid w:val="008A4470"/>
    <w:rsid w:val="008B6B8A"/>
    <w:rsid w:val="008C21BD"/>
    <w:rsid w:val="008D5591"/>
    <w:rsid w:val="008E13A1"/>
    <w:rsid w:val="008E17FA"/>
    <w:rsid w:val="008E7772"/>
    <w:rsid w:val="008F16F3"/>
    <w:rsid w:val="00902609"/>
    <w:rsid w:val="00913AE8"/>
    <w:rsid w:val="00921C6D"/>
    <w:rsid w:val="00923AA9"/>
    <w:rsid w:val="00933777"/>
    <w:rsid w:val="0094378F"/>
    <w:rsid w:val="00952D51"/>
    <w:rsid w:val="00964323"/>
    <w:rsid w:val="00966835"/>
    <w:rsid w:val="009772A9"/>
    <w:rsid w:val="00984FA1"/>
    <w:rsid w:val="009873A4"/>
    <w:rsid w:val="00996CCF"/>
    <w:rsid w:val="009A670F"/>
    <w:rsid w:val="009A7A09"/>
    <w:rsid w:val="009C3FEE"/>
    <w:rsid w:val="009C5715"/>
    <w:rsid w:val="009C5F6D"/>
    <w:rsid w:val="009E4A70"/>
    <w:rsid w:val="009E7A4F"/>
    <w:rsid w:val="009F1200"/>
    <w:rsid w:val="00A0027C"/>
    <w:rsid w:val="00A345D7"/>
    <w:rsid w:val="00A34854"/>
    <w:rsid w:val="00A435C9"/>
    <w:rsid w:val="00A50A2C"/>
    <w:rsid w:val="00A5462D"/>
    <w:rsid w:val="00A57608"/>
    <w:rsid w:val="00A606EB"/>
    <w:rsid w:val="00A63A07"/>
    <w:rsid w:val="00A743D9"/>
    <w:rsid w:val="00A74E48"/>
    <w:rsid w:val="00A8215E"/>
    <w:rsid w:val="00A8335C"/>
    <w:rsid w:val="00A83AAC"/>
    <w:rsid w:val="00A84168"/>
    <w:rsid w:val="00A90EA0"/>
    <w:rsid w:val="00A93D4A"/>
    <w:rsid w:val="00AB2915"/>
    <w:rsid w:val="00AB6315"/>
    <w:rsid w:val="00AC20E8"/>
    <w:rsid w:val="00AC3A75"/>
    <w:rsid w:val="00AD2809"/>
    <w:rsid w:val="00AD7779"/>
    <w:rsid w:val="00AF176B"/>
    <w:rsid w:val="00AF5A6E"/>
    <w:rsid w:val="00AF5AD0"/>
    <w:rsid w:val="00AF5E7A"/>
    <w:rsid w:val="00B11669"/>
    <w:rsid w:val="00B1283E"/>
    <w:rsid w:val="00B17E3B"/>
    <w:rsid w:val="00B251CD"/>
    <w:rsid w:val="00B25EC3"/>
    <w:rsid w:val="00B279AE"/>
    <w:rsid w:val="00B34D45"/>
    <w:rsid w:val="00B400B4"/>
    <w:rsid w:val="00B572EB"/>
    <w:rsid w:val="00B62455"/>
    <w:rsid w:val="00B70CE6"/>
    <w:rsid w:val="00B80F0E"/>
    <w:rsid w:val="00B90610"/>
    <w:rsid w:val="00B91BA3"/>
    <w:rsid w:val="00B93EA9"/>
    <w:rsid w:val="00B964B0"/>
    <w:rsid w:val="00B96B87"/>
    <w:rsid w:val="00B96F75"/>
    <w:rsid w:val="00BA1165"/>
    <w:rsid w:val="00BB3B90"/>
    <w:rsid w:val="00BC3879"/>
    <w:rsid w:val="00BD378E"/>
    <w:rsid w:val="00BE7DB6"/>
    <w:rsid w:val="00C0266B"/>
    <w:rsid w:val="00C05B67"/>
    <w:rsid w:val="00C07E22"/>
    <w:rsid w:val="00C10B28"/>
    <w:rsid w:val="00C133F2"/>
    <w:rsid w:val="00C14EF6"/>
    <w:rsid w:val="00C15003"/>
    <w:rsid w:val="00C15550"/>
    <w:rsid w:val="00C25DA9"/>
    <w:rsid w:val="00C30E31"/>
    <w:rsid w:val="00C34C17"/>
    <w:rsid w:val="00C35409"/>
    <w:rsid w:val="00C355F0"/>
    <w:rsid w:val="00C364CA"/>
    <w:rsid w:val="00C408A6"/>
    <w:rsid w:val="00C51970"/>
    <w:rsid w:val="00C51D8C"/>
    <w:rsid w:val="00C5519B"/>
    <w:rsid w:val="00C602FD"/>
    <w:rsid w:val="00C6136D"/>
    <w:rsid w:val="00C61F2A"/>
    <w:rsid w:val="00C6286E"/>
    <w:rsid w:val="00C73EEF"/>
    <w:rsid w:val="00C90B97"/>
    <w:rsid w:val="00C90F7F"/>
    <w:rsid w:val="00C91A58"/>
    <w:rsid w:val="00CA4ADB"/>
    <w:rsid w:val="00CA7A4D"/>
    <w:rsid w:val="00CC126F"/>
    <w:rsid w:val="00CC23DE"/>
    <w:rsid w:val="00CC28FD"/>
    <w:rsid w:val="00CD0275"/>
    <w:rsid w:val="00D010EE"/>
    <w:rsid w:val="00D038EF"/>
    <w:rsid w:val="00D1160A"/>
    <w:rsid w:val="00D16234"/>
    <w:rsid w:val="00D252EC"/>
    <w:rsid w:val="00D3685A"/>
    <w:rsid w:val="00D45694"/>
    <w:rsid w:val="00D46913"/>
    <w:rsid w:val="00D5113D"/>
    <w:rsid w:val="00D6112A"/>
    <w:rsid w:val="00D72367"/>
    <w:rsid w:val="00D84D59"/>
    <w:rsid w:val="00D86D90"/>
    <w:rsid w:val="00D9320A"/>
    <w:rsid w:val="00D9772D"/>
    <w:rsid w:val="00DD201A"/>
    <w:rsid w:val="00DD52F9"/>
    <w:rsid w:val="00E0162E"/>
    <w:rsid w:val="00E0485D"/>
    <w:rsid w:val="00E1286B"/>
    <w:rsid w:val="00E1635B"/>
    <w:rsid w:val="00E23A5A"/>
    <w:rsid w:val="00E355D6"/>
    <w:rsid w:val="00E53BC7"/>
    <w:rsid w:val="00E551A0"/>
    <w:rsid w:val="00E64EDD"/>
    <w:rsid w:val="00E70E3F"/>
    <w:rsid w:val="00E80644"/>
    <w:rsid w:val="00E81666"/>
    <w:rsid w:val="00E81F2F"/>
    <w:rsid w:val="00E843B5"/>
    <w:rsid w:val="00E8535E"/>
    <w:rsid w:val="00E92C9C"/>
    <w:rsid w:val="00E9377B"/>
    <w:rsid w:val="00E947A2"/>
    <w:rsid w:val="00E9791B"/>
    <w:rsid w:val="00EA30BE"/>
    <w:rsid w:val="00EA7E05"/>
    <w:rsid w:val="00EB5B1D"/>
    <w:rsid w:val="00EC0D5F"/>
    <w:rsid w:val="00EC6877"/>
    <w:rsid w:val="00ED202A"/>
    <w:rsid w:val="00EE0F76"/>
    <w:rsid w:val="00F07216"/>
    <w:rsid w:val="00F17481"/>
    <w:rsid w:val="00F21DCE"/>
    <w:rsid w:val="00F41658"/>
    <w:rsid w:val="00F42E99"/>
    <w:rsid w:val="00F42F80"/>
    <w:rsid w:val="00F4437B"/>
    <w:rsid w:val="00F514B3"/>
    <w:rsid w:val="00F73D9A"/>
    <w:rsid w:val="00F753BF"/>
    <w:rsid w:val="00F877DD"/>
    <w:rsid w:val="00F909CF"/>
    <w:rsid w:val="00F9464A"/>
    <w:rsid w:val="00FB788B"/>
    <w:rsid w:val="00FC493D"/>
    <w:rsid w:val="00FD03EE"/>
    <w:rsid w:val="00FD65CD"/>
    <w:rsid w:val="00FD7D9A"/>
    <w:rsid w:val="00FE36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797D20"/>
    <w:rPr>
      <w:color w:val="0000FF" w:themeColor="hyperlink"/>
      <w:u w:val="single"/>
    </w:rPr>
  </w:style>
  <w:style w:type="character" w:styleId="CommentReference">
    <w:name w:val="annotation reference"/>
    <w:basedOn w:val="DefaultParagraphFont"/>
    <w:uiPriority w:val="99"/>
    <w:semiHidden/>
    <w:unhideWhenUsed/>
    <w:rsid w:val="00797D20"/>
    <w:rPr>
      <w:sz w:val="16"/>
      <w:szCs w:val="16"/>
    </w:rPr>
  </w:style>
  <w:style w:type="paragraph" w:styleId="CommentText">
    <w:name w:val="annotation text"/>
    <w:basedOn w:val="Normal"/>
    <w:link w:val="CommentTextChar"/>
    <w:uiPriority w:val="99"/>
    <w:semiHidden/>
    <w:unhideWhenUsed/>
    <w:rsid w:val="00797D20"/>
    <w:pPr>
      <w:spacing w:line="240" w:lineRule="auto"/>
    </w:pPr>
    <w:rPr>
      <w:sz w:val="20"/>
      <w:szCs w:val="20"/>
    </w:rPr>
  </w:style>
  <w:style w:type="character" w:customStyle="1" w:styleId="CommentTextChar">
    <w:name w:val="Comment Text Char"/>
    <w:basedOn w:val="DefaultParagraphFont"/>
    <w:link w:val="CommentText"/>
    <w:uiPriority w:val="99"/>
    <w:semiHidden/>
    <w:rsid w:val="00797D20"/>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797D20"/>
    <w:rPr>
      <w:b/>
      <w:bCs/>
    </w:rPr>
  </w:style>
  <w:style w:type="character" w:customStyle="1" w:styleId="CommentSubjectChar">
    <w:name w:val="Comment Subject Char"/>
    <w:basedOn w:val="CommentTextChar"/>
    <w:link w:val="CommentSubject"/>
    <w:uiPriority w:val="99"/>
    <w:semiHidden/>
    <w:rsid w:val="00797D20"/>
    <w:rPr>
      <w:rFonts w:cs="Calibri"/>
      <w:b/>
      <w:bCs/>
      <w:kern w:val="0"/>
      <w:sz w:val="20"/>
      <w:szCs w:val="20"/>
      <w:lang w:val="fr-FR" w:eastAsia="en-US"/>
    </w:rPr>
  </w:style>
  <w:style w:type="character" w:styleId="FollowedHyperlink">
    <w:name w:val="FollowedHyperlink"/>
    <w:basedOn w:val="DefaultParagraphFont"/>
    <w:uiPriority w:val="99"/>
    <w:semiHidden/>
    <w:unhideWhenUsed/>
    <w:rsid w:val="00D3685A"/>
    <w:rPr>
      <w:color w:val="800080" w:themeColor="followedHyperlink"/>
      <w:u w:val="single"/>
    </w:rPr>
  </w:style>
  <w:style w:type="paragraph" w:styleId="FootnoteText">
    <w:name w:val="footnote text"/>
    <w:basedOn w:val="Normal"/>
    <w:link w:val="FootnoteTextChar"/>
    <w:uiPriority w:val="99"/>
    <w:semiHidden/>
    <w:unhideWhenUsed/>
    <w:rsid w:val="00D368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85A"/>
    <w:rPr>
      <w:rFonts w:cs="Calibri"/>
      <w:kern w:val="0"/>
      <w:sz w:val="20"/>
      <w:szCs w:val="20"/>
      <w:lang w:val="fr-FR" w:eastAsia="en-US"/>
    </w:rPr>
  </w:style>
  <w:style w:type="character" w:styleId="FootnoteReference">
    <w:name w:val="footnote reference"/>
    <w:basedOn w:val="DefaultParagraphFont"/>
    <w:uiPriority w:val="99"/>
    <w:semiHidden/>
    <w:unhideWhenUsed/>
    <w:rsid w:val="00D3685A"/>
    <w:rPr>
      <w:vertAlign w:val="superscript"/>
    </w:rPr>
  </w:style>
  <w:style w:type="character" w:customStyle="1" w:styleId="hps">
    <w:name w:val="hps"/>
    <w:basedOn w:val="DefaultParagraphFont"/>
    <w:rsid w:val="002B61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F4"/>
    <w:pPr>
      <w:spacing w:after="200" w:line="276" w:lineRule="auto"/>
    </w:pPr>
    <w:rPr>
      <w:rFonts w:cs="Calibri"/>
      <w:kern w:val="0"/>
      <w:sz w:val="22"/>
      <w:lang w:val="fr-FR" w:eastAsia="en-US"/>
    </w:rPr>
  </w:style>
  <w:style w:type="paragraph" w:styleId="Heading1">
    <w:name w:val="heading 1"/>
    <w:basedOn w:val="Normal"/>
    <w:link w:val="Heading1Char"/>
    <w:uiPriority w:val="9"/>
    <w:qFormat/>
    <w:locked/>
    <w:rsid w:val="00720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F21DCE"/>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602FD"/>
    <w:pPr>
      <w:tabs>
        <w:tab w:val="center" w:pos="4536"/>
        <w:tab w:val="right" w:pos="9072"/>
      </w:tabs>
      <w:spacing w:after="0" w:line="240" w:lineRule="auto"/>
    </w:pPr>
  </w:style>
  <w:style w:type="character" w:customStyle="1" w:styleId="HeaderChar">
    <w:name w:val="Header Char"/>
    <w:basedOn w:val="DefaultParagraphFont"/>
    <w:link w:val="Header"/>
    <w:locked/>
    <w:rsid w:val="00C602FD"/>
  </w:style>
  <w:style w:type="paragraph" w:styleId="Footer">
    <w:name w:val="footer"/>
    <w:basedOn w:val="Normal"/>
    <w:link w:val="FooterChar"/>
    <w:uiPriority w:val="99"/>
    <w:rsid w:val="00C602F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602FD"/>
  </w:style>
  <w:style w:type="paragraph" w:styleId="ListParagraph">
    <w:name w:val="List Paragraph"/>
    <w:basedOn w:val="Normal"/>
    <w:uiPriority w:val="99"/>
    <w:qFormat/>
    <w:rsid w:val="003A6A11"/>
    <w:pPr>
      <w:ind w:left="720"/>
    </w:pPr>
  </w:style>
  <w:style w:type="paragraph" w:styleId="BalloonText">
    <w:name w:val="Balloon Text"/>
    <w:basedOn w:val="Normal"/>
    <w:link w:val="BalloonTextChar"/>
    <w:uiPriority w:val="99"/>
    <w:semiHidden/>
    <w:unhideWhenUsed/>
    <w:rsid w:val="002C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DD"/>
    <w:rPr>
      <w:rFonts w:ascii="Tahoma" w:hAnsi="Tahoma" w:cs="Tahoma"/>
      <w:kern w:val="0"/>
      <w:sz w:val="16"/>
      <w:szCs w:val="16"/>
      <w:lang w:val="fr-FR" w:eastAsia="en-US"/>
    </w:rPr>
  </w:style>
  <w:style w:type="character" w:customStyle="1" w:styleId="Heading1Char">
    <w:name w:val="Heading 1 Char"/>
    <w:basedOn w:val="DefaultParagraphFont"/>
    <w:link w:val="Heading1"/>
    <w:uiPriority w:val="9"/>
    <w:rsid w:val="007204AB"/>
    <w:rPr>
      <w:rFonts w:ascii="Times New Roman" w:eastAsia="Times New Roman" w:hAnsi="Times New Roman"/>
      <w:b/>
      <w:bCs/>
      <w:kern w:val="36"/>
      <w:sz w:val="48"/>
      <w:szCs w:val="48"/>
      <w:lang w:val="fr-FR" w:eastAsia="fr-FR"/>
    </w:rPr>
  </w:style>
  <w:style w:type="character" w:styleId="Hyperlink">
    <w:name w:val="Hyperlink"/>
    <w:basedOn w:val="DefaultParagraphFont"/>
    <w:uiPriority w:val="99"/>
    <w:unhideWhenUsed/>
    <w:rsid w:val="00797D20"/>
    <w:rPr>
      <w:color w:val="0000FF" w:themeColor="hyperlink"/>
      <w:u w:val="single"/>
    </w:rPr>
  </w:style>
  <w:style w:type="character" w:styleId="CommentReference">
    <w:name w:val="annotation reference"/>
    <w:basedOn w:val="DefaultParagraphFont"/>
    <w:uiPriority w:val="99"/>
    <w:semiHidden/>
    <w:unhideWhenUsed/>
    <w:rsid w:val="00797D20"/>
    <w:rPr>
      <w:sz w:val="16"/>
      <w:szCs w:val="16"/>
    </w:rPr>
  </w:style>
  <w:style w:type="paragraph" w:styleId="CommentText">
    <w:name w:val="annotation text"/>
    <w:basedOn w:val="Normal"/>
    <w:link w:val="CommentTextChar"/>
    <w:uiPriority w:val="99"/>
    <w:semiHidden/>
    <w:unhideWhenUsed/>
    <w:rsid w:val="00797D20"/>
    <w:pPr>
      <w:spacing w:line="240" w:lineRule="auto"/>
    </w:pPr>
    <w:rPr>
      <w:sz w:val="20"/>
      <w:szCs w:val="20"/>
    </w:rPr>
  </w:style>
  <w:style w:type="character" w:customStyle="1" w:styleId="CommentTextChar">
    <w:name w:val="Comment Text Char"/>
    <w:basedOn w:val="DefaultParagraphFont"/>
    <w:link w:val="CommentText"/>
    <w:uiPriority w:val="99"/>
    <w:semiHidden/>
    <w:rsid w:val="00797D20"/>
    <w:rPr>
      <w:rFonts w:cs="Calibri"/>
      <w:kern w:val="0"/>
      <w:sz w:val="20"/>
      <w:szCs w:val="20"/>
      <w:lang w:val="fr-FR" w:eastAsia="en-US"/>
    </w:rPr>
  </w:style>
  <w:style w:type="paragraph" w:styleId="CommentSubject">
    <w:name w:val="annotation subject"/>
    <w:basedOn w:val="CommentText"/>
    <w:next w:val="CommentText"/>
    <w:link w:val="CommentSubjectChar"/>
    <w:uiPriority w:val="99"/>
    <w:semiHidden/>
    <w:unhideWhenUsed/>
    <w:rsid w:val="00797D20"/>
    <w:rPr>
      <w:b/>
      <w:bCs/>
    </w:rPr>
  </w:style>
  <w:style w:type="character" w:customStyle="1" w:styleId="CommentSubjectChar">
    <w:name w:val="Comment Subject Char"/>
    <w:basedOn w:val="CommentTextChar"/>
    <w:link w:val="CommentSubject"/>
    <w:uiPriority w:val="99"/>
    <w:semiHidden/>
    <w:rsid w:val="00797D20"/>
    <w:rPr>
      <w:rFonts w:cs="Calibri"/>
      <w:b/>
      <w:bCs/>
      <w:kern w:val="0"/>
      <w:sz w:val="20"/>
      <w:szCs w:val="20"/>
      <w:lang w:val="fr-FR" w:eastAsia="en-US"/>
    </w:rPr>
  </w:style>
  <w:style w:type="character" w:styleId="FollowedHyperlink">
    <w:name w:val="FollowedHyperlink"/>
    <w:basedOn w:val="DefaultParagraphFont"/>
    <w:uiPriority w:val="99"/>
    <w:semiHidden/>
    <w:unhideWhenUsed/>
    <w:rsid w:val="00D3685A"/>
    <w:rPr>
      <w:color w:val="800080" w:themeColor="followedHyperlink"/>
      <w:u w:val="single"/>
    </w:rPr>
  </w:style>
  <w:style w:type="paragraph" w:styleId="FootnoteText">
    <w:name w:val="footnote text"/>
    <w:basedOn w:val="Normal"/>
    <w:link w:val="FootnoteTextChar"/>
    <w:uiPriority w:val="99"/>
    <w:semiHidden/>
    <w:unhideWhenUsed/>
    <w:rsid w:val="00D368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85A"/>
    <w:rPr>
      <w:rFonts w:cs="Calibri"/>
      <w:kern w:val="0"/>
      <w:sz w:val="20"/>
      <w:szCs w:val="20"/>
      <w:lang w:val="fr-FR" w:eastAsia="en-US"/>
    </w:rPr>
  </w:style>
  <w:style w:type="character" w:styleId="FootnoteReference">
    <w:name w:val="footnote reference"/>
    <w:basedOn w:val="DefaultParagraphFont"/>
    <w:uiPriority w:val="99"/>
    <w:semiHidden/>
    <w:unhideWhenUsed/>
    <w:rsid w:val="00D3685A"/>
    <w:rPr>
      <w:vertAlign w:val="superscript"/>
    </w:rPr>
  </w:style>
  <w:style w:type="character" w:customStyle="1" w:styleId="hps">
    <w:name w:val="hps"/>
    <w:basedOn w:val="DefaultParagraphFont"/>
    <w:rsid w:val="002B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007873">
      <w:bodyDiv w:val="1"/>
      <w:marLeft w:val="0"/>
      <w:marRight w:val="0"/>
      <w:marTop w:val="0"/>
      <w:marBottom w:val="0"/>
      <w:divBdr>
        <w:top w:val="none" w:sz="0" w:space="0" w:color="auto"/>
        <w:left w:val="none" w:sz="0" w:space="0" w:color="auto"/>
        <w:bottom w:val="none" w:sz="0" w:space="0" w:color="auto"/>
        <w:right w:val="none" w:sz="0" w:space="0" w:color="auto"/>
      </w:divBdr>
      <w:divsChild>
        <w:div w:id="747993664">
          <w:marLeft w:val="0"/>
          <w:marRight w:val="0"/>
          <w:marTop w:val="0"/>
          <w:marBottom w:val="0"/>
          <w:divBdr>
            <w:top w:val="none" w:sz="0" w:space="0" w:color="auto"/>
            <w:left w:val="none" w:sz="0" w:space="0" w:color="auto"/>
            <w:bottom w:val="none" w:sz="0" w:space="0" w:color="auto"/>
            <w:right w:val="none" w:sz="0" w:space="0" w:color="auto"/>
          </w:divBdr>
          <w:divsChild>
            <w:div w:id="405299661">
              <w:marLeft w:val="0"/>
              <w:marRight w:val="0"/>
              <w:marTop w:val="0"/>
              <w:marBottom w:val="0"/>
              <w:divBdr>
                <w:top w:val="none" w:sz="0" w:space="0" w:color="auto"/>
                <w:left w:val="none" w:sz="0" w:space="0" w:color="auto"/>
                <w:bottom w:val="none" w:sz="0" w:space="0" w:color="auto"/>
                <w:right w:val="none" w:sz="0" w:space="0" w:color="auto"/>
              </w:divBdr>
              <w:divsChild>
                <w:div w:id="1091973347">
                  <w:marLeft w:val="0"/>
                  <w:marRight w:val="0"/>
                  <w:marTop w:val="0"/>
                  <w:marBottom w:val="0"/>
                  <w:divBdr>
                    <w:top w:val="none" w:sz="0" w:space="0" w:color="auto"/>
                    <w:left w:val="none" w:sz="0" w:space="0" w:color="auto"/>
                    <w:bottom w:val="none" w:sz="0" w:space="0" w:color="auto"/>
                    <w:right w:val="none" w:sz="0" w:space="0" w:color="auto"/>
                  </w:divBdr>
                  <w:divsChild>
                    <w:div w:id="1985355066">
                      <w:marLeft w:val="0"/>
                      <w:marRight w:val="0"/>
                      <w:marTop w:val="0"/>
                      <w:marBottom w:val="0"/>
                      <w:divBdr>
                        <w:top w:val="none" w:sz="0" w:space="0" w:color="auto"/>
                        <w:left w:val="none" w:sz="0" w:space="0" w:color="auto"/>
                        <w:bottom w:val="none" w:sz="0" w:space="0" w:color="auto"/>
                        <w:right w:val="none" w:sz="0" w:space="0" w:color="auto"/>
                      </w:divBdr>
                      <w:divsChild>
                        <w:div w:id="858929176">
                          <w:marLeft w:val="0"/>
                          <w:marRight w:val="0"/>
                          <w:marTop w:val="0"/>
                          <w:marBottom w:val="0"/>
                          <w:divBdr>
                            <w:top w:val="none" w:sz="0" w:space="0" w:color="auto"/>
                            <w:left w:val="none" w:sz="0" w:space="0" w:color="auto"/>
                            <w:bottom w:val="none" w:sz="0" w:space="0" w:color="auto"/>
                            <w:right w:val="none" w:sz="0" w:space="0" w:color="auto"/>
                          </w:divBdr>
                          <w:divsChild>
                            <w:div w:id="311645745">
                              <w:marLeft w:val="0"/>
                              <w:marRight w:val="0"/>
                              <w:marTop w:val="0"/>
                              <w:marBottom w:val="0"/>
                              <w:divBdr>
                                <w:top w:val="none" w:sz="0" w:space="0" w:color="auto"/>
                                <w:left w:val="none" w:sz="0" w:space="0" w:color="auto"/>
                                <w:bottom w:val="none" w:sz="0" w:space="0" w:color="auto"/>
                                <w:right w:val="none" w:sz="0" w:space="0" w:color="auto"/>
                              </w:divBdr>
                              <w:divsChild>
                                <w:div w:id="1089542993">
                                  <w:marLeft w:val="0"/>
                                  <w:marRight w:val="0"/>
                                  <w:marTop w:val="0"/>
                                  <w:marBottom w:val="0"/>
                                  <w:divBdr>
                                    <w:top w:val="none" w:sz="0" w:space="0" w:color="auto"/>
                                    <w:left w:val="none" w:sz="0" w:space="0" w:color="auto"/>
                                    <w:bottom w:val="none" w:sz="0" w:space="0" w:color="auto"/>
                                    <w:right w:val="none" w:sz="0" w:space="0" w:color="auto"/>
                                  </w:divBdr>
                                  <w:divsChild>
                                    <w:div w:id="1731343368">
                                      <w:marLeft w:val="0"/>
                                      <w:marRight w:val="0"/>
                                      <w:marTop w:val="0"/>
                                      <w:marBottom w:val="0"/>
                                      <w:divBdr>
                                        <w:top w:val="none" w:sz="0" w:space="0" w:color="auto"/>
                                        <w:left w:val="none" w:sz="0" w:space="0" w:color="auto"/>
                                        <w:bottom w:val="none" w:sz="0" w:space="0" w:color="auto"/>
                                        <w:right w:val="none" w:sz="0" w:space="0" w:color="auto"/>
                                      </w:divBdr>
                                      <w:divsChild>
                                        <w:div w:id="6828879">
                                          <w:marLeft w:val="0"/>
                                          <w:marRight w:val="0"/>
                                          <w:marTop w:val="0"/>
                                          <w:marBottom w:val="0"/>
                                          <w:divBdr>
                                            <w:top w:val="none" w:sz="0" w:space="0" w:color="auto"/>
                                            <w:left w:val="none" w:sz="0" w:space="0" w:color="auto"/>
                                            <w:bottom w:val="none" w:sz="0" w:space="0" w:color="auto"/>
                                            <w:right w:val="none" w:sz="0" w:space="0" w:color="auto"/>
                                          </w:divBdr>
                                          <w:divsChild>
                                            <w:div w:id="642277449">
                                              <w:marLeft w:val="0"/>
                                              <w:marRight w:val="0"/>
                                              <w:marTop w:val="0"/>
                                              <w:marBottom w:val="0"/>
                                              <w:divBdr>
                                                <w:top w:val="single" w:sz="6" w:space="0" w:color="F5F5F5"/>
                                                <w:left w:val="single" w:sz="6" w:space="0" w:color="F5F5F5"/>
                                                <w:bottom w:val="single" w:sz="6" w:space="0" w:color="F5F5F5"/>
                                                <w:right w:val="single" w:sz="6" w:space="0" w:color="F5F5F5"/>
                                              </w:divBdr>
                                              <w:divsChild>
                                                <w:div w:id="2087340295">
                                                  <w:marLeft w:val="0"/>
                                                  <w:marRight w:val="0"/>
                                                  <w:marTop w:val="0"/>
                                                  <w:marBottom w:val="0"/>
                                                  <w:divBdr>
                                                    <w:top w:val="none" w:sz="0" w:space="0" w:color="auto"/>
                                                    <w:left w:val="none" w:sz="0" w:space="0" w:color="auto"/>
                                                    <w:bottom w:val="none" w:sz="0" w:space="0" w:color="auto"/>
                                                    <w:right w:val="none" w:sz="0" w:space="0" w:color="auto"/>
                                                  </w:divBdr>
                                                  <w:divsChild>
                                                    <w:div w:id="14520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2273476">
      <w:bodyDiv w:val="1"/>
      <w:marLeft w:val="0"/>
      <w:marRight w:val="0"/>
      <w:marTop w:val="0"/>
      <w:marBottom w:val="0"/>
      <w:divBdr>
        <w:top w:val="none" w:sz="0" w:space="0" w:color="auto"/>
        <w:left w:val="none" w:sz="0" w:space="0" w:color="auto"/>
        <w:bottom w:val="none" w:sz="0" w:space="0" w:color="auto"/>
        <w:right w:val="none" w:sz="0" w:space="0" w:color="auto"/>
      </w:divBdr>
      <w:divsChild>
        <w:div w:id="1868983051">
          <w:marLeft w:val="0"/>
          <w:marRight w:val="0"/>
          <w:marTop w:val="0"/>
          <w:marBottom w:val="0"/>
          <w:divBdr>
            <w:top w:val="none" w:sz="0" w:space="0" w:color="auto"/>
            <w:left w:val="none" w:sz="0" w:space="0" w:color="auto"/>
            <w:bottom w:val="none" w:sz="0" w:space="0" w:color="auto"/>
            <w:right w:val="none" w:sz="0" w:space="0" w:color="auto"/>
          </w:divBdr>
          <w:divsChild>
            <w:div w:id="1689482898">
              <w:marLeft w:val="0"/>
              <w:marRight w:val="0"/>
              <w:marTop w:val="0"/>
              <w:marBottom w:val="0"/>
              <w:divBdr>
                <w:top w:val="none" w:sz="0" w:space="0" w:color="auto"/>
                <w:left w:val="none" w:sz="0" w:space="0" w:color="auto"/>
                <w:bottom w:val="none" w:sz="0" w:space="0" w:color="auto"/>
                <w:right w:val="none" w:sz="0" w:space="0" w:color="auto"/>
              </w:divBdr>
              <w:divsChild>
                <w:div w:id="2043632616">
                  <w:marLeft w:val="0"/>
                  <w:marRight w:val="0"/>
                  <w:marTop w:val="0"/>
                  <w:marBottom w:val="0"/>
                  <w:divBdr>
                    <w:top w:val="none" w:sz="0" w:space="0" w:color="auto"/>
                    <w:left w:val="none" w:sz="0" w:space="0" w:color="auto"/>
                    <w:bottom w:val="none" w:sz="0" w:space="0" w:color="auto"/>
                    <w:right w:val="none" w:sz="0" w:space="0" w:color="auto"/>
                  </w:divBdr>
                  <w:divsChild>
                    <w:div w:id="851381302">
                      <w:marLeft w:val="0"/>
                      <w:marRight w:val="0"/>
                      <w:marTop w:val="0"/>
                      <w:marBottom w:val="0"/>
                      <w:divBdr>
                        <w:top w:val="none" w:sz="0" w:space="0" w:color="auto"/>
                        <w:left w:val="none" w:sz="0" w:space="0" w:color="auto"/>
                        <w:bottom w:val="none" w:sz="0" w:space="0" w:color="auto"/>
                        <w:right w:val="none" w:sz="0" w:space="0" w:color="auto"/>
                      </w:divBdr>
                      <w:divsChild>
                        <w:div w:id="1847018605">
                          <w:marLeft w:val="0"/>
                          <w:marRight w:val="0"/>
                          <w:marTop w:val="0"/>
                          <w:marBottom w:val="0"/>
                          <w:divBdr>
                            <w:top w:val="none" w:sz="0" w:space="0" w:color="auto"/>
                            <w:left w:val="none" w:sz="0" w:space="0" w:color="auto"/>
                            <w:bottom w:val="none" w:sz="0" w:space="0" w:color="auto"/>
                            <w:right w:val="none" w:sz="0" w:space="0" w:color="auto"/>
                          </w:divBdr>
                          <w:divsChild>
                            <w:div w:id="6237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po.int/tk/en/" TargetMode="External"/><Relationship Id="rId13" Type="http://schemas.openxmlformats.org/officeDocument/2006/relationships/hyperlink" Target="http://whc.unesco.org/fr/" TargetMode="External"/><Relationship Id="rId18" Type="http://schemas.openxmlformats.org/officeDocument/2006/relationships/hyperlink" Target="http://whc.unesco.org/uploads/news/documents/news-953-3.docx"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wipo.int/edocs/mdocs/tk/fr/wipo_grtkf_ic_25/wipo_grtkf_ic_25_4.doc" TargetMode="External"/><Relationship Id="rId17" Type="http://schemas.openxmlformats.org/officeDocument/2006/relationships/hyperlink" Target="http://whc.unesco.org/fr/decisions/814/"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hc.unesco.org/fr/documents/919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po.int/meetings/fr/topic.jsp?group_id=11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hc.unesco.org/fr/series/13/" TargetMode="External"/><Relationship Id="rId23" Type="http://schemas.openxmlformats.org/officeDocument/2006/relationships/footer" Target="footer2.xml"/><Relationship Id="rId10" Type="http://schemas.openxmlformats.org/officeDocument/2006/relationships/hyperlink" Target="http://www.unesco.org/new/fr/culture/themes/cultural-diversity/diversity-of-cultural-expressions/the-convention/" TargetMode="External"/><Relationship Id="rId19" Type="http://schemas.openxmlformats.org/officeDocument/2006/relationships/hyperlink" Target="http://www.unesco.org/new/fr/culture/themes/cultural-diversity/diversity-of-cultural-expressions/the-convention/" TargetMode="External"/><Relationship Id="rId4" Type="http://schemas.openxmlformats.org/officeDocument/2006/relationships/settings" Target="settings.xml"/><Relationship Id="rId9" Type="http://schemas.openxmlformats.org/officeDocument/2006/relationships/hyperlink" Target="http://whc.unesco.org/fr/" TargetMode="External"/><Relationship Id="rId14" Type="http://schemas.openxmlformats.org/officeDocument/2006/relationships/hyperlink" Target="http://whc.unesco.org/archive/1994/whc-94-conf003-inf6f.pdf" TargetMode="External"/><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wipo.int/edocs/mdocs/tk/fr/wipo_grtkf_ic_25/wipo_grtkf_ic_25_4.doc"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AD7F7-A22E-462F-8B2A-3CBB7A57B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2470</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2013-06-04T17:53:00Z</dcterms:created>
  <dcterms:modified xsi:type="dcterms:W3CDTF">2013-06-04T17:54:00Z</dcterms:modified>
</cp:coreProperties>
</file>