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1" w:rsidRPr="00911CD8" w:rsidRDefault="006133E1" w:rsidP="003E7291">
      <w:pPr>
        <w:bidi/>
        <w:spacing w:before="144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rtl/>
          <w:lang w:bidi="ar-QA"/>
        </w:rPr>
        <w:t>اتفاقية صون التراث الثقافي غير المادي</w:t>
      </w:r>
      <w:bookmarkStart w:id="0" w:name="_GoBack"/>
      <w:bookmarkEnd w:id="0"/>
    </w:p>
    <w:p w:rsidR="006133E1" w:rsidRPr="00911CD8" w:rsidRDefault="006133E1">
      <w:pPr>
        <w:bidi/>
        <w:spacing w:before="120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rtl/>
          <w:lang w:bidi="ar-QA"/>
        </w:rPr>
        <w:t>الجمعية العامة للدول الأطراف في الاتفاقية</w:t>
      </w:r>
    </w:p>
    <w:p w:rsidR="006133E1" w:rsidRPr="00911CD8" w:rsidRDefault="006133E1">
      <w:pPr>
        <w:bidi/>
        <w:spacing w:before="84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rtl/>
          <w:lang w:bidi="ar-QA"/>
        </w:rPr>
        <w:t xml:space="preserve">الدورة السابعة </w:t>
      </w:r>
    </w:p>
    <w:p w:rsidR="006133E1" w:rsidRPr="00911CD8" w:rsidRDefault="006133E1">
      <w:pPr>
        <w:bidi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rtl/>
          <w:lang w:bidi="ar-QA"/>
        </w:rPr>
        <w:t>مقر اليونسكو، القاعة 2</w:t>
      </w:r>
    </w:p>
    <w:p w:rsidR="006133E1" w:rsidRPr="00911CD8" w:rsidRDefault="006133E1">
      <w:pPr>
        <w:bidi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rtl/>
          <w:lang w:bidi="ar-QA"/>
        </w:rPr>
        <w:t>4-6 حزيران/يونيو 2018</w:t>
      </w:r>
    </w:p>
    <w:p w:rsidR="006133E1" w:rsidRPr="00911CD8" w:rsidRDefault="006133E1">
      <w:pPr>
        <w:pStyle w:val="Sansinterligne2"/>
        <w:bidi/>
        <w:spacing w:before="120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QA"/>
        </w:rPr>
        <w:t>البند 3 من جدول الأعمال المؤقت:</w:t>
      </w:r>
    </w:p>
    <w:p w:rsidR="006133E1" w:rsidRPr="00911CD8" w:rsidRDefault="006133E1">
      <w:pPr>
        <w:pStyle w:val="Sansinterligne2"/>
        <w:bidi/>
        <w:spacing w:after="1200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/>
          <w:bCs/>
          <w:sz w:val="28"/>
          <w:szCs w:val="28"/>
          <w:rtl/>
          <w:lang w:bidi="ar-QA"/>
        </w:rPr>
        <w:t>اعتماد جدول الأعمال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</w:tblGrid>
      <w:tr w:rsidR="006133E1" w:rsidRPr="00911CD8">
        <w:trPr>
          <w:jc w:val="center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E1" w:rsidRPr="00911CD8" w:rsidRDefault="006133E1" w:rsidP="00386FAB">
            <w:pPr>
              <w:pStyle w:val="Sansinterligne2"/>
              <w:bidi/>
              <w:spacing w:before="200" w:after="20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911CD8">
              <w:rPr>
                <w:rFonts w:ascii="Arial" w:eastAsia="Times New Roman" w:hAnsi="Arial" w:cs="Arial"/>
                <w:bCs/>
                <w:sz w:val="28"/>
                <w:szCs w:val="28"/>
                <w:rtl/>
                <w:lang w:bidi="ar-QA"/>
              </w:rPr>
              <w:t xml:space="preserve">القرار المطلوب: </w:t>
            </w:r>
            <w:r w:rsidRPr="00911CD8">
              <w:rPr>
                <w:rFonts w:ascii="Arial" w:eastAsia="Times New Roman" w:hAnsi="Arial" w:cs="Arial"/>
                <w:b/>
                <w:sz w:val="28"/>
                <w:szCs w:val="28"/>
                <w:rtl/>
                <w:lang w:bidi="ar-QA"/>
              </w:rPr>
              <w:t>الفقرة 1</w:t>
            </w:r>
          </w:p>
        </w:tc>
      </w:tr>
    </w:tbl>
    <w:p w:rsidR="006133E1" w:rsidRPr="00911CD8" w:rsidRDefault="006133E1">
      <w:pPr>
        <w:pStyle w:val="Marge"/>
        <w:numPr>
          <w:ilvl w:val="0"/>
          <w:numId w:val="9"/>
        </w:numPr>
        <w:bidi/>
        <w:spacing w:after="0"/>
        <w:ind w:left="567" w:hanging="567"/>
        <w:rPr>
          <w:rFonts w:eastAsia="Times New Roman" w:cs="Arial"/>
          <w:sz w:val="28"/>
          <w:szCs w:val="28"/>
          <w:lang w:val="en-GB"/>
        </w:rPr>
      </w:pPr>
      <w:r w:rsidRPr="00911CD8">
        <w:rPr>
          <w:rFonts w:eastAsia="Times New Roman" w:cs="Arial"/>
          <w:sz w:val="28"/>
          <w:szCs w:val="28"/>
          <w:lang w:val="en-US"/>
        </w:rPr>
        <w:br w:type="page"/>
      </w:r>
      <w:r w:rsidRPr="00911CD8">
        <w:rPr>
          <w:rFonts w:eastAsia="Times New Roman" w:cs="Arial"/>
          <w:bCs/>
          <w:sz w:val="28"/>
          <w:szCs w:val="28"/>
          <w:rtl/>
          <w:lang w:bidi="ar-QA"/>
        </w:rPr>
        <w:lastRenderedPageBreak/>
        <w:t>وقد ترغب الجمعية العامة في اعتماد القرار التالي:</w:t>
      </w:r>
    </w:p>
    <w:p w:rsidR="006133E1" w:rsidRPr="00911CD8" w:rsidRDefault="006133E1">
      <w:pPr>
        <w:pStyle w:val="GATitleResolution"/>
        <w:bidi/>
        <w:rPr>
          <w:rFonts w:eastAsia="Times New Roman"/>
          <w:sz w:val="28"/>
          <w:szCs w:val="28"/>
        </w:rPr>
      </w:pPr>
      <w:r w:rsidRPr="00911CD8">
        <w:rPr>
          <w:rFonts w:eastAsia="Times New Roman"/>
          <w:bCs/>
          <w:sz w:val="28"/>
          <w:szCs w:val="28"/>
          <w:rtl/>
          <w:lang w:bidi="ar-QA"/>
        </w:rPr>
        <w:t xml:space="preserve">مشروع القرار </w:t>
      </w:r>
      <w:r w:rsidRPr="00911CD8">
        <w:rPr>
          <w:rFonts w:eastAsia="Times New Roman"/>
          <w:bCs/>
          <w:sz w:val="28"/>
          <w:szCs w:val="28"/>
          <w:lang w:val="fr-FR" w:bidi="ar-QA"/>
        </w:rPr>
        <w:t>7.GA 3</w:t>
      </w:r>
    </w:p>
    <w:p w:rsidR="006133E1" w:rsidRPr="00911CD8" w:rsidRDefault="006133E1">
      <w:pPr>
        <w:pStyle w:val="GAPreambulaResolution"/>
        <w:bidi/>
        <w:rPr>
          <w:rFonts w:eastAsia="Times New Roman"/>
          <w:sz w:val="28"/>
          <w:szCs w:val="28"/>
        </w:rPr>
      </w:pPr>
      <w:r w:rsidRPr="00911CD8">
        <w:rPr>
          <w:rFonts w:eastAsia="Times New Roman"/>
          <w:sz w:val="28"/>
          <w:szCs w:val="28"/>
          <w:rtl/>
          <w:lang w:bidi="ar-QA"/>
        </w:rPr>
        <w:t>إنّ الجمعية العامة،</w:t>
      </w:r>
    </w:p>
    <w:p w:rsidR="006133E1" w:rsidRPr="00911CD8" w:rsidRDefault="006133E1">
      <w:pPr>
        <w:numPr>
          <w:ilvl w:val="0"/>
          <w:numId w:val="5"/>
        </w:numPr>
        <w:bidi/>
        <w:spacing w:after="120"/>
        <w:ind w:left="1134" w:hanging="567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u w:val="single"/>
          <w:rtl/>
          <w:lang w:bidi="ar-QA"/>
        </w:rPr>
        <w:t>وقد درست</w:t>
      </w: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 الوثيقة </w:t>
      </w:r>
      <w:r w:rsidRPr="00911CD8">
        <w:rPr>
          <w:rFonts w:ascii="Arial" w:eastAsia="Times New Roman" w:hAnsi="Arial" w:cs="Arial"/>
          <w:sz w:val="28"/>
          <w:szCs w:val="28"/>
          <w:lang w:bidi="ar-QA"/>
        </w:rPr>
        <w:t>ITH/18/7.GA/3</w:t>
      </w: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، </w:t>
      </w:r>
    </w:p>
    <w:p w:rsidR="006133E1" w:rsidRPr="00911CD8" w:rsidRDefault="006133E1">
      <w:pPr>
        <w:numPr>
          <w:ilvl w:val="0"/>
          <w:numId w:val="5"/>
        </w:numPr>
        <w:bidi/>
        <w:spacing w:after="120"/>
        <w:ind w:left="1134" w:hanging="567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u w:val="single"/>
          <w:rtl/>
          <w:lang w:bidi="ar-QA"/>
        </w:rPr>
        <w:t>تعتمد</w:t>
      </w: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 جدول أعمال دورتها السابعة (باريس، مقر اليونسكو، من 4 إلى 6 حزيران/يونيو 2018) على النحو التالي:</w:t>
      </w:r>
    </w:p>
    <w:p w:rsidR="006133E1" w:rsidRPr="00911CD8" w:rsidRDefault="006133E1">
      <w:pPr>
        <w:bidi/>
        <w:spacing w:before="360" w:after="240"/>
        <w:ind w:left="1134" w:hanging="567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bCs/>
          <w:sz w:val="28"/>
          <w:szCs w:val="28"/>
          <w:rtl/>
          <w:lang w:bidi="ar-QA"/>
        </w:rPr>
        <w:t>جدول الأعمال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افتتاح الدورة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انتخاب أعضاء المكتب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اعتماد جدول الأعمال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توزيع المقاعد في اللجنة بحسب المجموعات الانتخابية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تقرير اللجنة إلى الجمعية العامة</w:t>
      </w:r>
    </w:p>
    <w:p w:rsidR="006133E1" w:rsidRPr="00911CD8" w:rsidRDefault="00B22298" w:rsidP="00B22298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noProof/>
          <w:sz w:val="28"/>
          <w:szCs w:val="28"/>
          <w:rtl/>
        </w:rPr>
        <w:t>تقرير الفريق العامل المخصّص غير الرسمي التابع للجنة إلى الجمعية العامة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تقرير الأمانة بشأن أنشطتها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استخدام موارد صندوق التراث الثقافي غير المادي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مشروع الإطار الشامل للنتائج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مراجعة التوجيهات التنفيذية لتطبيق الاتفاقية</w:t>
      </w:r>
    </w:p>
    <w:p w:rsidR="006133E1" w:rsidRPr="00911CD8" w:rsidRDefault="006133E1">
      <w:pPr>
        <w:numPr>
          <w:ilvl w:val="0"/>
          <w:numId w:val="1"/>
        </w:numPr>
        <w:tabs>
          <w:tab w:val="decimal" w:pos="1134"/>
        </w:tabs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اعتماد المنظمات غير الحكومية لأغراض تقديم الخدمات الاستشارية إلى اللجنة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متابعة تنفيذ توصيات فريق العمل مفتوح العضوية المعني </w:t>
      </w:r>
      <w:proofErr w:type="spellStart"/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بالحوكمة</w:t>
      </w:r>
      <w:proofErr w:type="spellEnd"/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 وإجراءات وأساليب عمل الهيئتين الرئاسيتين لليونسكو (القرار 39 م/87) ذات الصلة.</w:t>
      </w:r>
    </w:p>
    <w:p w:rsidR="006133E1" w:rsidRPr="00911CD8" w:rsidRDefault="00547D5A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proofErr w:type="gramStart"/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مراجعة</w:t>
      </w:r>
      <w:r w:rsidRPr="00911CD8" w:rsidDel="00547D5A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 </w:t>
      </w:r>
      <w:r w:rsidR="006133E1"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 النظام</w:t>
      </w:r>
      <w:proofErr w:type="gramEnd"/>
      <w:r w:rsidR="006133E1" w:rsidRPr="00911CD8">
        <w:rPr>
          <w:rFonts w:ascii="Arial" w:eastAsia="Times New Roman" w:hAnsi="Arial" w:cs="Arial"/>
          <w:sz w:val="28"/>
          <w:szCs w:val="28"/>
          <w:rtl/>
          <w:lang w:bidi="ar-QA"/>
        </w:rPr>
        <w:t xml:space="preserve"> الداخلي للجمعية العامة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انتخاب أعضاء اللجنة الدولية الحكومية لصون التراث الثقافي غير المادي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مسائل أخرى</w:t>
      </w:r>
    </w:p>
    <w:p w:rsidR="006133E1" w:rsidRPr="00911CD8" w:rsidRDefault="006133E1">
      <w:pPr>
        <w:numPr>
          <w:ilvl w:val="0"/>
          <w:numId w:val="1"/>
        </w:numPr>
        <w:bidi/>
        <w:spacing w:after="120"/>
        <w:ind w:left="1134" w:hanging="567"/>
        <w:rPr>
          <w:rFonts w:ascii="Arial" w:eastAsia="Times New Roman" w:hAnsi="Arial" w:cs="Arial"/>
          <w:sz w:val="28"/>
          <w:szCs w:val="28"/>
          <w:lang w:val="en-GB"/>
        </w:rPr>
      </w:pPr>
      <w:r w:rsidRPr="00911CD8">
        <w:rPr>
          <w:rFonts w:ascii="Arial" w:eastAsia="Times New Roman" w:hAnsi="Arial" w:cs="Arial"/>
          <w:sz w:val="28"/>
          <w:szCs w:val="28"/>
          <w:rtl/>
          <w:lang w:bidi="ar-QA"/>
        </w:rPr>
        <w:t>اختتام الدورة</w:t>
      </w:r>
    </w:p>
    <w:sectPr w:rsidR="006133E1" w:rsidRPr="00911CD8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9C" w:rsidRDefault="00301A9C">
      <w:pPr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0">
    <w:p w:rsidR="00301A9C" w:rsidRDefault="00301A9C">
      <w:pPr>
        <w:rPr>
          <w:rFonts w:eastAsia="Times New Roman"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9C" w:rsidRDefault="00301A9C">
      <w:pPr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0">
    <w:p w:rsidR="00301A9C" w:rsidRDefault="00301A9C">
      <w:pPr>
        <w:rPr>
          <w:rFonts w:eastAsia="Times New Roman"/>
        </w:rPr>
      </w:pPr>
      <w:r>
        <w:rPr>
          <w:rFonts w:eastAsia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4E" w:rsidRPr="00C76A4E" w:rsidRDefault="00C76A4E" w:rsidP="00C76A4E">
    <w:pPr>
      <w:tabs>
        <w:tab w:val="center" w:pos="4536"/>
        <w:tab w:val="right" w:pos="9072"/>
      </w:tabs>
      <w:bidi/>
      <w:rPr>
        <w:rFonts w:ascii="Arial" w:eastAsia="Times New Roman" w:hAnsi="Arial" w:cs="Arial"/>
        <w:snapToGrid/>
      </w:rPr>
    </w:pPr>
    <w:r w:rsidRPr="00C76A4E">
      <w:rPr>
        <w:rFonts w:ascii="Arial" w:eastAsia="Times New Roman" w:hAnsi="Arial" w:cs="Arial"/>
        <w:snapToGrid/>
        <w:sz w:val="20"/>
        <w:szCs w:val="20"/>
      </w:rPr>
      <w:t>ITH/18/7.GA/</w:t>
    </w:r>
    <w:r>
      <w:rPr>
        <w:rFonts w:ascii="Arial" w:eastAsia="Times New Roman" w:hAnsi="Arial" w:cs="Arial"/>
        <w:snapToGrid/>
        <w:sz w:val="20"/>
        <w:szCs w:val="20"/>
      </w:rPr>
      <w:t>3</w:t>
    </w:r>
    <w:r w:rsidRPr="00C76A4E">
      <w:rPr>
        <w:rFonts w:ascii="Arial" w:eastAsia="Times New Roman" w:hAnsi="Arial" w:cs="Arial"/>
        <w:snapToGrid/>
        <w:sz w:val="20"/>
        <w:szCs w:val="20"/>
        <w:rtl/>
      </w:rPr>
      <w:t xml:space="preserve"> – صفحة </w:t>
    </w:r>
    <w:r w:rsidRPr="00C76A4E">
      <w:rPr>
        <w:rFonts w:ascii="Arial" w:eastAsia="Times New Roman" w:hAnsi="Arial" w:cs="Arial"/>
        <w:snapToGrid/>
        <w:sz w:val="20"/>
        <w:szCs w:val="20"/>
      </w:rPr>
      <w:fldChar w:fldCharType="begin"/>
    </w:r>
    <w:r w:rsidRPr="00C76A4E">
      <w:rPr>
        <w:rFonts w:ascii="Arial" w:eastAsia="Times New Roman" w:hAnsi="Arial" w:cs="Arial"/>
        <w:snapToGrid/>
        <w:sz w:val="20"/>
        <w:szCs w:val="20"/>
      </w:rPr>
      <w:instrText xml:space="preserve"> PAGE </w:instrText>
    </w:r>
    <w:r w:rsidRPr="00C76A4E">
      <w:rPr>
        <w:rFonts w:ascii="Arial" w:eastAsia="Times New Roman" w:hAnsi="Arial" w:cs="Arial"/>
        <w:snapToGrid/>
        <w:sz w:val="20"/>
        <w:szCs w:val="20"/>
      </w:rPr>
      <w:fldChar w:fldCharType="separate"/>
    </w:r>
    <w:r w:rsidR="00911CD8">
      <w:rPr>
        <w:rFonts w:ascii="Arial" w:eastAsia="Times New Roman" w:hAnsi="Arial" w:cs="Arial"/>
        <w:noProof/>
        <w:snapToGrid/>
        <w:sz w:val="20"/>
        <w:szCs w:val="20"/>
        <w:rtl/>
      </w:rPr>
      <w:t>2</w:t>
    </w:r>
    <w:r w:rsidRPr="00C76A4E">
      <w:rPr>
        <w:rFonts w:ascii="Arial" w:eastAsia="Times New Roman" w:hAnsi="Arial" w:cs="Arial"/>
        <w:snapToGrid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E1" w:rsidRDefault="006133E1">
    <w:pPr>
      <w:pStyle w:val="En-tte"/>
      <w:jc w:val="right"/>
      <w:rPr>
        <w:rFonts w:ascii="Times New Roman" w:eastAsia="Times New Roman" w:hAnsi="Times New Roman"/>
        <w:szCs w:val="24"/>
      </w:rPr>
    </w:pPr>
    <w:r>
      <w:rPr>
        <w:rFonts w:ascii="Times New Roman" w:eastAsia="Times New Roman" w:hAnsi="Times New Roman"/>
        <w:szCs w:val="24"/>
      </w:rPr>
      <w:t>ITH/14/5.GA/</w:t>
    </w:r>
    <w:r>
      <w:rPr>
        <w:rFonts w:ascii="Times New Roman" w:eastAsia="Times New Roman" w:hAnsi="Times New Roman"/>
        <w:szCs w:val="24"/>
        <w:highlight w:val="yellow"/>
      </w:rPr>
      <w:t>xxx</w:t>
    </w:r>
    <w:r>
      <w:rPr>
        <w:rFonts w:ascii="Times New Roman" w:eastAsia="Times New Roman" w:hAnsi="Times New Roman"/>
        <w:szCs w:val="24"/>
      </w:rPr>
      <w:t xml:space="preserve"> – page </w:t>
    </w:r>
    <w:r>
      <w:rPr>
        <w:rStyle w:val="Numrodepage"/>
        <w:rFonts w:ascii="Times New Roman" w:eastAsia="Times New Roman" w:hAnsi="Times New Roman"/>
        <w:szCs w:val="24"/>
      </w:rPr>
      <w:fldChar w:fldCharType="begin"/>
    </w:r>
    <w:r>
      <w:rPr>
        <w:rStyle w:val="Numrodepage"/>
        <w:rFonts w:ascii="Times New Roman" w:eastAsia="Times New Roman" w:hAnsi="Times New Roman"/>
        <w:szCs w:val="24"/>
      </w:rPr>
      <w:instrText xml:space="preserve"> PAGE </w:instrText>
    </w:r>
    <w:r>
      <w:rPr>
        <w:rStyle w:val="Numrodepage"/>
        <w:rFonts w:ascii="Times New Roman" w:eastAsia="Times New Roman" w:hAnsi="Times New Roman"/>
        <w:szCs w:val="24"/>
      </w:rPr>
      <w:fldChar w:fldCharType="separate"/>
    </w:r>
    <w:r>
      <w:rPr>
        <w:rStyle w:val="Numrodepage"/>
        <w:rFonts w:ascii="Times New Roman" w:eastAsia="Times New Roman" w:hAnsi="Times New Roman"/>
        <w:noProof/>
        <w:szCs w:val="24"/>
      </w:rPr>
      <w:t>3</w:t>
    </w:r>
    <w:r>
      <w:rPr>
        <w:rStyle w:val="Numrodepage"/>
        <w:rFonts w:ascii="Times New Roman" w:eastAsia="Times New Roman" w:hAnsi="Times New Roman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F2" w:rsidRPr="008217F2" w:rsidRDefault="008217F2" w:rsidP="008217F2">
    <w:pPr>
      <w:pStyle w:val="En-tte"/>
      <w:rPr>
        <w:rFonts w:asciiTheme="majorBidi" w:hAnsiTheme="majorBidi" w:cstheme="majorBidi"/>
        <w:bCs/>
        <w:sz w:val="24"/>
        <w:szCs w:val="24"/>
        <w:lang w:val="en-US"/>
      </w:rPr>
    </w:pPr>
  </w:p>
  <w:p w:rsidR="003E7291" w:rsidRPr="00427316" w:rsidRDefault="00367650" w:rsidP="003E7291">
    <w:pPr>
      <w:pStyle w:val="En-tte"/>
      <w:spacing w:after="520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4820920</wp:posOffset>
          </wp:positionH>
          <wp:positionV relativeFrom="page">
            <wp:posOffset>215900</wp:posOffset>
          </wp:positionV>
          <wp:extent cx="2552400" cy="1454400"/>
          <wp:effectExtent l="0" t="0" r="635" b="0"/>
          <wp:wrapNone/>
          <wp:docPr id="2" name="Image 2" descr="unesco_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sco_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14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291">
      <w:rPr>
        <w:rFonts w:ascii="Arial" w:hAnsi="Arial" w:cs="Arial"/>
        <w:b/>
        <w:sz w:val="44"/>
        <w:szCs w:val="44"/>
        <w:lang w:val="en-US"/>
      </w:rPr>
      <w:t>7</w:t>
    </w:r>
    <w:r w:rsidR="003E7291">
      <w:rPr>
        <w:rFonts w:ascii="Arial" w:hAnsi="Arial" w:cs="Arial"/>
        <w:b/>
        <w:sz w:val="44"/>
        <w:szCs w:val="44"/>
        <w:rtl/>
      </w:rPr>
      <w:t xml:space="preserve"> </w:t>
    </w:r>
    <w:r w:rsidR="003E7291" w:rsidRPr="00427316">
      <w:rPr>
        <w:rFonts w:ascii="Arial" w:hAnsi="Arial" w:cs="Arial"/>
        <w:b/>
        <w:sz w:val="44"/>
        <w:szCs w:val="44"/>
        <w:lang w:val="en-US"/>
      </w:rPr>
      <w:t>GA</w:t>
    </w:r>
  </w:p>
  <w:p w:rsidR="003E7291" w:rsidRPr="00911CD8" w:rsidRDefault="003E7291" w:rsidP="003E7291">
    <w:pPr>
      <w:rPr>
        <w:rFonts w:ascii="Arial" w:hAnsi="Arial" w:cs="Arial"/>
        <w:b/>
        <w:sz w:val="28"/>
        <w:szCs w:val="28"/>
        <w:lang w:val="en-US"/>
      </w:rPr>
    </w:pPr>
    <w:r w:rsidRPr="00911CD8">
      <w:rPr>
        <w:rFonts w:ascii="Arial" w:hAnsi="Arial" w:cs="Arial"/>
        <w:b/>
        <w:sz w:val="28"/>
        <w:szCs w:val="28"/>
        <w:lang w:val="en-US"/>
      </w:rPr>
      <w:t>ITH/18/7.GA/</w:t>
    </w:r>
    <w:r w:rsidR="00805C46" w:rsidRPr="00911CD8">
      <w:rPr>
        <w:rFonts w:ascii="Arial" w:hAnsi="Arial" w:cs="Arial"/>
        <w:b/>
        <w:sz w:val="28"/>
        <w:szCs w:val="28"/>
        <w:lang w:val="en-US"/>
      </w:rPr>
      <w:t>3</w:t>
    </w:r>
  </w:p>
  <w:p w:rsidR="003E7291" w:rsidRPr="00911CD8" w:rsidRDefault="003E7291" w:rsidP="00DA582C">
    <w:pPr>
      <w:rPr>
        <w:rFonts w:ascii="Arial" w:hAnsi="Arial" w:cs="Arial"/>
        <w:b/>
        <w:sz w:val="28"/>
        <w:szCs w:val="28"/>
        <w:lang w:val="en-US"/>
      </w:rPr>
    </w:pPr>
    <w:r w:rsidRPr="00911CD8">
      <w:rPr>
        <w:rFonts w:ascii="Arial" w:hAnsi="Arial" w:cs="Arial"/>
        <w:b/>
        <w:sz w:val="28"/>
        <w:szCs w:val="28"/>
        <w:lang w:val="en-US"/>
      </w:rPr>
      <w:t>2018/</w:t>
    </w:r>
    <w:r w:rsidR="00DA582C" w:rsidRPr="00911CD8">
      <w:rPr>
        <w:rFonts w:ascii="Arial" w:hAnsi="Arial" w:cs="Arial"/>
        <w:b/>
        <w:sz w:val="28"/>
        <w:szCs w:val="28"/>
        <w:lang w:val="en-US"/>
      </w:rPr>
      <w:t>03/23</w:t>
    </w:r>
    <w:r w:rsidR="00F630F3" w:rsidRPr="00911CD8">
      <w:rPr>
        <w:rFonts w:ascii="Arial" w:hAnsi="Arial" w:cs="Arial"/>
        <w:bCs/>
        <w:sz w:val="28"/>
        <w:szCs w:val="28"/>
        <w:rtl/>
      </w:rPr>
      <w:t>باريس</w:t>
    </w:r>
    <w:r w:rsidR="00F630F3" w:rsidRPr="00911CD8">
      <w:rPr>
        <w:rFonts w:ascii="Arial" w:hAnsi="Arial" w:cs="Arial" w:hint="cs"/>
        <w:bCs/>
        <w:sz w:val="28"/>
        <w:szCs w:val="28"/>
        <w:rtl/>
      </w:rPr>
      <w:t>،</w:t>
    </w:r>
    <w:r w:rsidR="00F630F3" w:rsidRPr="00911CD8">
      <w:rPr>
        <w:rFonts w:ascii="Arial" w:hAnsi="Arial" w:cs="Arial"/>
        <w:b/>
        <w:sz w:val="28"/>
        <w:szCs w:val="28"/>
        <w:rtl/>
      </w:rPr>
      <w:t xml:space="preserve"> </w:t>
    </w:r>
  </w:p>
  <w:p w:rsidR="003E7291" w:rsidRPr="00911CD8" w:rsidRDefault="003E7291" w:rsidP="00547D5A">
    <w:pPr>
      <w:rPr>
        <w:rFonts w:ascii="Arial" w:hAnsi="Arial" w:cs="Arial"/>
        <w:b/>
        <w:sz w:val="28"/>
        <w:szCs w:val="28"/>
      </w:rPr>
    </w:pPr>
    <w:r w:rsidRPr="00911CD8">
      <w:rPr>
        <w:rFonts w:ascii="Arial" w:hAnsi="Arial" w:cs="Arial"/>
        <w:b/>
        <w:sz w:val="28"/>
        <w:szCs w:val="28"/>
        <w:rtl/>
      </w:rPr>
      <w:t xml:space="preserve">الأصل: </w:t>
    </w:r>
    <w:r w:rsidR="00F630F3" w:rsidRPr="00911CD8">
      <w:rPr>
        <w:rFonts w:ascii="Arial" w:hAnsi="Arial" w:cs="Arial"/>
        <w:b/>
        <w:sz w:val="28"/>
        <w:szCs w:val="28"/>
        <w:rtl/>
      </w:rPr>
      <w:t>إنجليزي</w:t>
    </w:r>
  </w:p>
  <w:p w:rsidR="006133E1" w:rsidRDefault="006133E1">
    <w:pPr>
      <w:pStyle w:val="En-tte"/>
      <w:rPr>
        <w:rFonts w:ascii="Times New Roman" w:eastAsia="Times New Roman" w:hAnsi="Times New Roman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Times New Roman" w:hAnsi="Times New Roman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Times New Roman" w:hAnsi="Times New Roman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Times New Roman" w:hAnsi="Times New Roman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Times New Roman" w:hAnsi="Times New Roman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Times New Roman" w:hAnsi="Times New Roman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Times New Roman" w:hAnsi="Times New Roman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ar-QA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07FDD"/>
    <w:rsid w:val="00041A66"/>
    <w:rsid w:val="0005176E"/>
    <w:rsid w:val="000615F8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17B2"/>
    <w:rsid w:val="0017402F"/>
    <w:rsid w:val="00196C1B"/>
    <w:rsid w:val="001B0F73"/>
    <w:rsid w:val="001D5C04"/>
    <w:rsid w:val="001E7A6C"/>
    <w:rsid w:val="001E7F76"/>
    <w:rsid w:val="00222A2D"/>
    <w:rsid w:val="00223029"/>
    <w:rsid w:val="00234745"/>
    <w:rsid w:val="002407AF"/>
    <w:rsid w:val="002841FA"/>
    <w:rsid w:val="002952D8"/>
    <w:rsid w:val="002B10E4"/>
    <w:rsid w:val="002C09E3"/>
    <w:rsid w:val="00301A9C"/>
    <w:rsid w:val="00345CB4"/>
    <w:rsid w:val="00360D1B"/>
    <w:rsid w:val="00367650"/>
    <w:rsid w:val="00386FAB"/>
    <w:rsid w:val="003C5F01"/>
    <w:rsid w:val="003D069C"/>
    <w:rsid w:val="003D7646"/>
    <w:rsid w:val="003E7291"/>
    <w:rsid w:val="003F113A"/>
    <w:rsid w:val="004070BF"/>
    <w:rsid w:val="00414643"/>
    <w:rsid w:val="004329F7"/>
    <w:rsid w:val="004421E5"/>
    <w:rsid w:val="004473F0"/>
    <w:rsid w:val="00450A4B"/>
    <w:rsid w:val="00452284"/>
    <w:rsid w:val="0045396E"/>
    <w:rsid w:val="004856CA"/>
    <w:rsid w:val="0049705E"/>
    <w:rsid w:val="004A34A0"/>
    <w:rsid w:val="004A7109"/>
    <w:rsid w:val="004E3C7E"/>
    <w:rsid w:val="00526B7B"/>
    <w:rsid w:val="005308CE"/>
    <w:rsid w:val="00547D5A"/>
    <w:rsid w:val="0057439C"/>
    <w:rsid w:val="005B0127"/>
    <w:rsid w:val="005B7A35"/>
    <w:rsid w:val="005C016C"/>
    <w:rsid w:val="005C4B73"/>
    <w:rsid w:val="005E1D2B"/>
    <w:rsid w:val="00600D93"/>
    <w:rsid w:val="00612A48"/>
    <w:rsid w:val="006133E1"/>
    <w:rsid w:val="0063300C"/>
    <w:rsid w:val="00633CEF"/>
    <w:rsid w:val="00655736"/>
    <w:rsid w:val="006602E6"/>
    <w:rsid w:val="00663B8D"/>
    <w:rsid w:val="00676B8D"/>
    <w:rsid w:val="006816CD"/>
    <w:rsid w:val="00696C8D"/>
    <w:rsid w:val="006A2AC2"/>
    <w:rsid w:val="006A3617"/>
    <w:rsid w:val="006E46E4"/>
    <w:rsid w:val="0071136A"/>
    <w:rsid w:val="00717DA5"/>
    <w:rsid w:val="00744484"/>
    <w:rsid w:val="00751DB3"/>
    <w:rsid w:val="00763A0D"/>
    <w:rsid w:val="00773188"/>
    <w:rsid w:val="00783782"/>
    <w:rsid w:val="00784B8C"/>
    <w:rsid w:val="007F20E3"/>
    <w:rsid w:val="00805C46"/>
    <w:rsid w:val="008217F2"/>
    <w:rsid w:val="00823A11"/>
    <w:rsid w:val="00852866"/>
    <w:rsid w:val="0085414A"/>
    <w:rsid w:val="0086269D"/>
    <w:rsid w:val="00864982"/>
    <w:rsid w:val="00864B47"/>
    <w:rsid w:val="0086543A"/>
    <w:rsid w:val="008709FC"/>
    <w:rsid w:val="008724E5"/>
    <w:rsid w:val="00884A9D"/>
    <w:rsid w:val="0088512B"/>
    <w:rsid w:val="008A2B2D"/>
    <w:rsid w:val="008A4E1E"/>
    <w:rsid w:val="008B425A"/>
    <w:rsid w:val="008C296C"/>
    <w:rsid w:val="008D176C"/>
    <w:rsid w:val="008D4305"/>
    <w:rsid w:val="00911CD8"/>
    <w:rsid w:val="009163A7"/>
    <w:rsid w:val="00930901"/>
    <w:rsid w:val="00946D0B"/>
    <w:rsid w:val="00991BFF"/>
    <w:rsid w:val="009A18CD"/>
    <w:rsid w:val="009C61BC"/>
    <w:rsid w:val="00A12558"/>
    <w:rsid w:val="00A13903"/>
    <w:rsid w:val="00A17173"/>
    <w:rsid w:val="00A34ED5"/>
    <w:rsid w:val="00A45DBF"/>
    <w:rsid w:val="00A600FF"/>
    <w:rsid w:val="00A61391"/>
    <w:rsid w:val="00A70079"/>
    <w:rsid w:val="00A755A2"/>
    <w:rsid w:val="00A8702B"/>
    <w:rsid w:val="00A90640"/>
    <w:rsid w:val="00A90664"/>
    <w:rsid w:val="00A93771"/>
    <w:rsid w:val="00AA6660"/>
    <w:rsid w:val="00AB2C36"/>
    <w:rsid w:val="00AB70B6"/>
    <w:rsid w:val="00AD1A86"/>
    <w:rsid w:val="00AE103E"/>
    <w:rsid w:val="00AF0A07"/>
    <w:rsid w:val="00AF4AEC"/>
    <w:rsid w:val="00AF625E"/>
    <w:rsid w:val="00B06480"/>
    <w:rsid w:val="00B22298"/>
    <w:rsid w:val="00BB04AF"/>
    <w:rsid w:val="00BC1BA4"/>
    <w:rsid w:val="00BD28AB"/>
    <w:rsid w:val="00BD52C9"/>
    <w:rsid w:val="00BE6354"/>
    <w:rsid w:val="00C23A97"/>
    <w:rsid w:val="00C435A3"/>
    <w:rsid w:val="00C70EA7"/>
    <w:rsid w:val="00C7516E"/>
    <w:rsid w:val="00C75770"/>
    <w:rsid w:val="00C76A4E"/>
    <w:rsid w:val="00CC0479"/>
    <w:rsid w:val="00D00B2B"/>
    <w:rsid w:val="00D12766"/>
    <w:rsid w:val="00D24877"/>
    <w:rsid w:val="00D90025"/>
    <w:rsid w:val="00D95C4C"/>
    <w:rsid w:val="00DA36ED"/>
    <w:rsid w:val="00DA582C"/>
    <w:rsid w:val="00DD2C95"/>
    <w:rsid w:val="00DD723A"/>
    <w:rsid w:val="00DE34F1"/>
    <w:rsid w:val="00DF4942"/>
    <w:rsid w:val="00DF5CE9"/>
    <w:rsid w:val="00E627B1"/>
    <w:rsid w:val="00E9376C"/>
    <w:rsid w:val="00EA335E"/>
    <w:rsid w:val="00EA528C"/>
    <w:rsid w:val="00EF34E2"/>
    <w:rsid w:val="00F1191D"/>
    <w:rsid w:val="00F15959"/>
    <w:rsid w:val="00F53DE9"/>
    <w:rsid w:val="00F576CB"/>
    <w:rsid w:val="00F6222D"/>
    <w:rsid w:val="00F62680"/>
    <w:rsid w:val="00F630F3"/>
    <w:rsid w:val="00F71A02"/>
    <w:rsid w:val="00F82876"/>
    <w:rsid w:val="00FB0D58"/>
    <w:rsid w:val="00FD1226"/>
    <w:rsid w:val="00FD624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60E6553D-89EC-4F69-A448-F4322E9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napToGrid w:val="0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qFormat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semiHidden/>
    <w:locked/>
    <w:rPr>
      <w:rFonts w:ascii="Times New Roman" w:hAnsi="Times New Roman" w:cs="Times New Roman"/>
      <w:b/>
      <w:i/>
      <w:sz w:val="28"/>
    </w:rPr>
  </w:style>
  <w:style w:type="character" w:customStyle="1" w:styleId="Heading4Char">
    <w:name w:val="Heading 4 Char"/>
    <w:aliases w:val="GA Heading Char"/>
    <w:locked/>
    <w:rPr>
      <w:rFonts w:ascii="Arial" w:hAnsi="Arial" w:cs="Times New Roman"/>
      <w:b/>
      <w:snapToGrid w:val="0"/>
      <w:sz w:val="24"/>
      <w:lang w:val="x-non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/>
    </w:rPr>
  </w:style>
  <w:style w:type="character" w:customStyle="1" w:styleId="HeaderChar">
    <w:name w:val="Header Char"/>
    <w:locked/>
    <w:rPr>
      <w:rFonts w:cs="Times New Roman"/>
      <w:lang w:val="en-GB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/>
    </w:rPr>
  </w:style>
  <w:style w:type="character" w:customStyle="1" w:styleId="FooterChar">
    <w:name w:val="Footer Char"/>
    <w:locked/>
    <w:rPr>
      <w:rFonts w:cs="Times New Roman"/>
      <w:lang w:val="en-GB"/>
    </w:rPr>
  </w:style>
  <w:style w:type="paragraph" w:styleId="Textedebulles">
    <w:name w:val="Balloon Text"/>
    <w:basedOn w:val="Normal"/>
    <w:semiHidden/>
    <w:rPr>
      <w:sz w:val="16"/>
      <w:szCs w:val="16"/>
      <w:lang w:val="en-GB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16"/>
      <w:lang w:val="en-GB"/>
    </w:rPr>
  </w:style>
  <w:style w:type="paragraph" w:customStyle="1" w:styleId="Sansinterligne2">
    <w:name w:val="Sans interligne2"/>
    <w:rPr>
      <w:rFonts w:eastAsia="SimSun"/>
      <w:snapToGrid w:val="0"/>
      <w:sz w:val="24"/>
      <w:szCs w:val="24"/>
      <w:lang w:val="fr-FR" w:eastAsia="fr-FR"/>
    </w:rPr>
  </w:style>
  <w:style w:type="table" w:styleId="Grilledutableau">
    <w:name w:val="Table Grid"/>
    <w:basedOn w:val="TableauNormal"/>
    <w:rPr>
      <w:rFonts w:ascii="Calibri" w:eastAsia="SimSun" w:hAnsi="Calibri"/>
      <w:snapToGrid w:val="0"/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semiHidden/>
    <w:rPr>
      <w:rFonts w:cs="Times New Roman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b">
    <w:name w:val="(b)"/>
    <w:basedOn w:val="Normal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z w:val="22"/>
    </w:rPr>
  </w:style>
  <w:style w:type="paragraph" w:customStyle="1" w:styleId="Par">
    <w:name w:val="Par"/>
    <w:basedOn w:val="Normal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z w:val="22"/>
    </w:rPr>
  </w:style>
  <w:style w:type="paragraph" w:customStyle="1" w:styleId="Marge">
    <w:name w:val="Marge"/>
    <w:basedOn w:val="Par"/>
    <w:pPr>
      <w:ind w:firstLine="0"/>
    </w:pPr>
  </w:style>
  <w:style w:type="paragraph" w:customStyle="1" w:styleId="TIRETbul1cm">
    <w:name w:val="TIRET bul 1cm"/>
    <w:basedOn w:val="Normal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z w:val="22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Sansinterligne1">
    <w:name w:val="Sans interligne1"/>
    <w:rPr>
      <w:rFonts w:eastAsia="SimSun"/>
      <w:snapToGrid w:val="0"/>
      <w:sz w:val="24"/>
      <w:szCs w:val="24"/>
      <w:lang w:val="fr-FR" w:eastAsia="fr-FR"/>
    </w:rPr>
  </w:style>
  <w:style w:type="paragraph" w:customStyle="1" w:styleId="GAPara">
    <w:name w:val="GA Para"/>
    <w:pPr>
      <w:numPr>
        <w:numId w:val="9"/>
      </w:numPr>
      <w:spacing w:after="120"/>
      <w:ind w:left="567" w:hanging="567"/>
    </w:pPr>
    <w:rPr>
      <w:rFonts w:ascii="Arial" w:eastAsia="SimSun" w:hAnsi="Arial" w:cs="Arial"/>
      <w:snapToGrid w:val="0"/>
      <w:sz w:val="22"/>
      <w:szCs w:val="22"/>
      <w:lang w:val="en-GB" w:eastAsia="fr-FR"/>
    </w:rPr>
  </w:style>
  <w:style w:type="paragraph" w:customStyle="1" w:styleId="GATitleResolution">
    <w:name w:val="GA Title Resolution"/>
    <w:basedOn w:val="Normal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 w:cs="Times New Roman"/>
      <w:lang w:val="fr-FR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CommentSubjectChar">
    <w:name w:val="Comment Subject Char"/>
    <w:semiHidden/>
    <w:locked/>
    <w:rPr>
      <w:rFonts w:ascii="Times New Roman" w:hAnsi="Times New Roman" w:cs="Times New Roman"/>
      <w:b/>
      <w:bCs/>
      <w:lang w:val="fr-F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En-tteCar">
    <w:name w:val="En-tête Car"/>
    <w:link w:val="En-tte"/>
    <w:rsid w:val="003E7291"/>
    <w:rPr>
      <w:rFonts w:ascii="Calibri" w:eastAsia="SimSun" w:hAnsi="Calibri"/>
      <w:snapToGrid w:val="0"/>
      <w:lang w:val="en-GB"/>
    </w:rPr>
  </w:style>
  <w:style w:type="paragraph" w:styleId="Rvision">
    <w:name w:val="Revision"/>
    <w:hidden/>
    <w:uiPriority w:val="99"/>
    <w:semiHidden/>
    <w:rsid w:val="00C76A4E"/>
    <w:rPr>
      <w:rFonts w:eastAsia="SimSun"/>
      <w:snapToGrid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اتفاقية صون التراث الثقافي غير المادي</vt:lpstr>
      <vt:lpstr>اتفاقية صون التراث الثقافي غير المادي</vt:lpstr>
    </vt:vector>
  </TitlesOfParts>
  <Company>UNESCO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اتفاقية صون التراث الثقافي غير المادي</dc:title>
  <dc:subject/>
  <dc:creator>Shin, Eunkyung</dc:creator>
  <cp:keywords/>
  <dc:description/>
  <cp:lastModifiedBy>Poivre, Josiane</cp:lastModifiedBy>
  <cp:revision>6</cp:revision>
  <cp:lastPrinted>2018-04-10T09:00:00Z</cp:lastPrinted>
  <dcterms:created xsi:type="dcterms:W3CDTF">2018-03-22T17:20:00Z</dcterms:created>
  <dcterms:modified xsi:type="dcterms:W3CDTF">2018-04-10T09:02:00Z</dcterms:modified>
</cp:coreProperties>
</file>