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CB6E0" w14:textId="3A712BA1" w:rsidR="000811A4" w:rsidRPr="009426E5" w:rsidRDefault="000811A4" w:rsidP="000811A4">
      <w:pPr>
        <w:spacing w:before="1440"/>
        <w:jc w:val="center"/>
        <w:rPr>
          <w:rFonts w:ascii="Arial" w:hAnsi="Arial" w:cs="Arial"/>
          <w:b/>
          <w:sz w:val="22"/>
          <w:szCs w:val="22"/>
          <w:lang w:val="en-GB"/>
        </w:rPr>
      </w:pPr>
      <w:r w:rsidRPr="009426E5">
        <w:rPr>
          <w:rFonts w:ascii="Arial" w:hAnsi="Arial" w:cs="Arial"/>
          <w:b/>
          <w:sz w:val="22"/>
          <w:szCs w:val="22"/>
          <w:lang w:val="en-GB"/>
        </w:rPr>
        <w:t>CONVENT</w:t>
      </w:r>
      <w:r w:rsidR="0014445F">
        <w:rPr>
          <w:rFonts w:ascii="Arial" w:hAnsi="Arial" w:cs="Arial"/>
          <w:b/>
          <w:sz w:val="22"/>
          <w:szCs w:val="22"/>
          <w:lang w:val="en-GB"/>
        </w:rPr>
        <w:t>ION FOR THE SAFEGUARDING OF THE</w:t>
      </w:r>
      <w:r w:rsidRPr="009426E5">
        <w:rPr>
          <w:rFonts w:ascii="Arial" w:hAnsi="Arial" w:cs="Arial"/>
          <w:b/>
          <w:sz w:val="22"/>
          <w:szCs w:val="22"/>
          <w:lang w:val="en-GB"/>
        </w:rPr>
        <w:br/>
        <w:t>INTANGIBLE CULTURAL HERITAGE</w:t>
      </w:r>
    </w:p>
    <w:p w14:paraId="5D5079C7" w14:textId="77777777" w:rsidR="000811A4" w:rsidRPr="009426E5" w:rsidRDefault="000811A4" w:rsidP="000811A4">
      <w:pPr>
        <w:spacing w:before="1200"/>
        <w:jc w:val="center"/>
        <w:rPr>
          <w:rFonts w:ascii="Arial" w:hAnsi="Arial" w:cs="Arial"/>
          <w:b/>
          <w:sz w:val="22"/>
          <w:szCs w:val="22"/>
          <w:lang w:val="en-GB"/>
        </w:rPr>
      </w:pPr>
      <w:r w:rsidRPr="009426E5">
        <w:rPr>
          <w:rFonts w:ascii="Arial" w:hAnsi="Arial" w:cs="Arial"/>
          <w:b/>
          <w:sz w:val="22"/>
          <w:szCs w:val="22"/>
          <w:lang w:val="en-GB"/>
        </w:rPr>
        <w:t>INTERGOVERNMENTAL COMMITTEE FOR THE</w:t>
      </w:r>
      <w:r w:rsidRPr="009426E5">
        <w:rPr>
          <w:rFonts w:ascii="Arial" w:hAnsi="Arial" w:cs="Arial"/>
          <w:b/>
          <w:sz w:val="22"/>
          <w:szCs w:val="22"/>
          <w:lang w:val="en-GB"/>
        </w:rPr>
        <w:br/>
        <w:t>SAFEGUARDING OF THE INTANGIBLE CULTURAL HERITAGE</w:t>
      </w:r>
    </w:p>
    <w:p w14:paraId="735CAF4A" w14:textId="77777777" w:rsidR="000811A4" w:rsidRPr="009426E5" w:rsidRDefault="000811A4" w:rsidP="000811A4">
      <w:pPr>
        <w:spacing w:before="840"/>
        <w:jc w:val="center"/>
        <w:rPr>
          <w:rFonts w:ascii="Arial" w:hAnsi="Arial" w:cs="Arial"/>
          <w:b/>
          <w:sz w:val="22"/>
          <w:szCs w:val="22"/>
          <w:lang w:val="en-GB"/>
        </w:rPr>
      </w:pPr>
      <w:r w:rsidRPr="009426E5">
        <w:rPr>
          <w:rFonts w:ascii="Arial" w:hAnsi="Arial" w:cs="Arial"/>
          <w:b/>
          <w:sz w:val="22"/>
          <w:szCs w:val="22"/>
          <w:lang w:val="en-GB"/>
        </w:rPr>
        <w:t>Eleventh session</w:t>
      </w:r>
    </w:p>
    <w:p w14:paraId="45BDAE95" w14:textId="77777777" w:rsidR="000811A4" w:rsidRPr="009426E5" w:rsidRDefault="000811A4" w:rsidP="000811A4">
      <w:pPr>
        <w:jc w:val="center"/>
        <w:rPr>
          <w:rFonts w:ascii="Arial" w:hAnsi="Arial" w:cs="Arial"/>
          <w:b/>
          <w:sz w:val="22"/>
          <w:szCs w:val="22"/>
          <w:lang w:val="en-GB"/>
        </w:rPr>
      </w:pPr>
      <w:r w:rsidRPr="009426E5">
        <w:rPr>
          <w:rFonts w:ascii="Arial" w:hAnsi="Arial" w:cs="Arial"/>
          <w:b/>
          <w:sz w:val="22"/>
          <w:szCs w:val="22"/>
          <w:lang w:val="en-GB"/>
        </w:rPr>
        <w:t>Addis Ababa, Ethiopia</w:t>
      </w:r>
    </w:p>
    <w:p w14:paraId="18DF57FB" w14:textId="77777777" w:rsidR="000811A4" w:rsidRPr="009426E5" w:rsidRDefault="000811A4" w:rsidP="000811A4">
      <w:pPr>
        <w:jc w:val="center"/>
        <w:rPr>
          <w:rFonts w:ascii="Arial" w:hAnsi="Arial" w:cs="Arial"/>
          <w:b/>
          <w:sz w:val="22"/>
          <w:szCs w:val="22"/>
          <w:lang w:val="en-GB"/>
        </w:rPr>
      </w:pPr>
      <w:r w:rsidRPr="009426E5">
        <w:rPr>
          <w:rFonts w:ascii="Arial" w:hAnsi="Arial" w:cs="Arial"/>
          <w:b/>
          <w:sz w:val="22"/>
          <w:szCs w:val="22"/>
          <w:lang w:val="en-GB"/>
        </w:rPr>
        <w:t>28 November to 2 December 2016</w:t>
      </w:r>
    </w:p>
    <w:p w14:paraId="4B0A108A" w14:textId="4C0DF416" w:rsidR="00EC6F8D" w:rsidRPr="009426E5" w:rsidRDefault="00EC6F8D" w:rsidP="00EC6F8D">
      <w:pPr>
        <w:pStyle w:val="Sansinterligne2"/>
        <w:spacing w:before="1200"/>
        <w:jc w:val="center"/>
        <w:rPr>
          <w:rFonts w:ascii="Arial" w:hAnsi="Arial" w:cs="Arial"/>
          <w:b/>
          <w:sz w:val="22"/>
          <w:szCs w:val="22"/>
          <w:lang w:val="en-GB"/>
        </w:rPr>
      </w:pPr>
      <w:r w:rsidRPr="009426E5">
        <w:rPr>
          <w:rFonts w:ascii="Arial" w:hAnsi="Arial" w:cs="Arial"/>
          <w:b/>
          <w:sz w:val="22"/>
          <w:szCs w:val="22"/>
          <w:u w:val="single"/>
          <w:lang w:val="en-GB"/>
        </w:rPr>
        <w:t xml:space="preserve">Item </w:t>
      </w:r>
      <w:r w:rsidR="000811A4" w:rsidRPr="009426E5">
        <w:rPr>
          <w:rFonts w:ascii="Arial" w:hAnsi="Arial" w:cs="Arial"/>
          <w:b/>
          <w:sz w:val="22"/>
          <w:szCs w:val="22"/>
          <w:u w:val="single"/>
          <w:lang w:val="en-GB"/>
        </w:rPr>
        <w:t>6</w:t>
      </w:r>
      <w:r w:rsidRPr="009426E5">
        <w:rPr>
          <w:rFonts w:ascii="Arial" w:hAnsi="Arial" w:cs="Arial"/>
          <w:b/>
          <w:sz w:val="22"/>
          <w:szCs w:val="22"/>
          <w:u w:val="single"/>
          <w:lang w:val="en-GB"/>
        </w:rPr>
        <w:t xml:space="preserve"> of the Provisional Agenda</w:t>
      </w:r>
      <w:r w:rsidRPr="009426E5">
        <w:rPr>
          <w:rFonts w:ascii="Arial" w:hAnsi="Arial" w:cs="Arial"/>
          <w:b/>
          <w:sz w:val="22"/>
          <w:szCs w:val="22"/>
          <w:lang w:val="en-GB"/>
        </w:rPr>
        <w:t>:</w:t>
      </w:r>
    </w:p>
    <w:p w14:paraId="5C2966F5" w14:textId="77777777" w:rsidR="00EC6F8D" w:rsidRPr="009426E5" w:rsidRDefault="00027D32" w:rsidP="00EC6F8D">
      <w:pPr>
        <w:pStyle w:val="Sansinterligne2"/>
        <w:spacing w:after="1200"/>
        <w:jc w:val="center"/>
        <w:rPr>
          <w:rFonts w:ascii="Arial" w:hAnsi="Arial" w:cs="Arial"/>
          <w:b/>
          <w:sz w:val="22"/>
          <w:szCs w:val="22"/>
          <w:lang w:val="en-GB"/>
        </w:rPr>
      </w:pPr>
      <w:r w:rsidRPr="009426E5">
        <w:rPr>
          <w:rFonts w:ascii="Arial" w:hAnsi="Arial" w:cs="Arial"/>
          <w:b/>
          <w:sz w:val="22"/>
          <w:szCs w:val="22"/>
          <w:lang w:val="en-GB"/>
        </w:rPr>
        <w:t>Voluntary supplementary contributions to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C75E87" w14:paraId="01C291C9" w14:textId="77777777" w:rsidTr="00EC6F8D">
        <w:trPr>
          <w:jc w:val="center"/>
        </w:trPr>
        <w:tc>
          <w:tcPr>
            <w:tcW w:w="5670" w:type="dxa"/>
            <w:vAlign w:val="center"/>
          </w:tcPr>
          <w:p w14:paraId="3B5FA344" w14:textId="77777777" w:rsidR="00EC6F8D" w:rsidRPr="009426E5" w:rsidRDefault="00EC6F8D" w:rsidP="00CA56BB">
            <w:pPr>
              <w:pStyle w:val="Sansinterligne1"/>
              <w:spacing w:before="200" w:after="200"/>
              <w:jc w:val="center"/>
              <w:rPr>
                <w:rFonts w:ascii="Arial" w:hAnsi="Arial" w:cs="Arial"/>
                <w:b/>
                <w:sz w:val="22"/>
                <w:szCs w:val="22"/>
                <w:lang w:val="en-GB"/>
              </w:rPr>
            </w:pPr>
            <w:r w:rsidRPr="009426E5">
              <w:rPr>
                <w:rFonts w:ascii="Arial" w:hAnsi="Arial" w:cs="Arial"/>
                <w:b/>
                <w:sz w:val="22"/>
                <w:szCs w:val="22"/>
                <w:lang w:val="en-GB"/>
              </w:rPr>
              <w:t>Summary</w:t>
            </w:r>
          </w:p>
          <w:p w14:paraId="1F8291E7" w14:textId="709F3445" w:rsidR="00A53500" w:rsidRPr="00C75E87" w:rsidRDefault="00027D32" w:rsidP="00A53500">
            <w:pPr>
              <w:pStyle w:val="Sansinterligne1"/>
              <w:jc w:val="both"/>
              <w:rPr>
                <w:rFonts w:ascii="Arial" w:hAnsi="Arial" w:cs="Arial"/>
                <w:sz w:val="22"/>
                <w:szCs w:val="22"/>
                <w:lang w:val="en-GB"/>
              </w:rPr>
            </w:pPr>
            <w:r w:rsidRPr="009426E5">
              <w:rPr>
                <w:rFonts w:ascii="Arial" w:hAnsi="Arial" w:cs="Arial"/>
                <w:sz w:val="22"/>
                <w:szCs w:val="22"/>
                <w:lang w:val="en-GB"/>
              </w:rPr>
              <w:t xml:space="preserve">In accordance with Article 25.5 of the Convention, the Committee may accept contributions to the Fund for specific purposes relating to specific projects, provided that those projects have been approved by the Committee. The present document reports on such contributions since the Committee’s </w:t>
            </w:r>
            <w:r w:rsidR="000811A4" w:rsidRPr="009426E5">
              <w:rPr>
                <w:rFonts w:ascii="Arial" w:hAnsi="Arial" w:cs="Arial"/>
                <w:sz w:val="22"/>
                <w:szCs w:val="22"/>
                <w:lang w:val="en-GB"/>
              </w:rPr>
              <w:t>tenth</w:t>
            </w:r>
            <w:r w:rsidR="00AC3BC5" w:rsidRPr="009426E5">
              <w:rPr>
                <w:rFonts w:ascii="Arial" w:hAnsi="Arial" w:cs="Arial"/>
                <w:sz w:val="22"/>
                <w:szCs w:val="22"/>
                <w:lang w:val="en-GB"/>
              </w:rPr>
              <w:t xml:space="preserve"> session and presents an offer by </w:t>
            </w:r>
            <w:r w:rsidR="00246D36" w:rsidRPr="009426E5">
              <w:rPr>
                <w:rFonts w:ascii="Arial" w:hAnsi="Arial" w:cs="Arial"/>
                <w:sz w:val="22"/>
                <w:szCs w:val="22"/>
                <w:lang w:val="en-GB"/>
              </w:rPr>
              <w:t xml:space="preserve">the Government of </w:t>
            </w:r>
            <w:r w:rsidR="00A53500" w:rsidRPr="009426E5">
              <w:rPr>
                <w:rFonts w:ascii="Arial" w:hAnsi="Arial" w:cs="Arial"/>
                <w:sz w:val="22"/>
                <w:szCs w:val="22"/>
                <w:lang w:val="en-GB"/>
              </w:rPr>
              <w:t>the Republic of Korea</w:t>
            </w:r>
            <w:r w:rsidR="00AC3BC5" w:rsidRPr="009426E5">
              <w:rPr>
                <w:rFonts w:ascii="Arial" w:hAnsi="Arial" w:cs="Arial"/>
                <w:sz w:val="22"/>
                <w:szCs w:val="22"/>
                <w:lang w:val="en-GB"/>
              </w:rPr>
              <w:t xml:space="preserve"> </w:t>
            </w:r>
            <w:r w:rsidR="00246D36" w:rsidRPr="009426E5">
              <w:rPr>
                <w:rFonts w:ascii="Arial" w:hAnsi="Arial" w:cs="Arial"/>
                <w:sz w:val="22"/>
                <w:szCs w:val="22"/>
                <w:lang w:val="en-GB"/>
              </w:rPr>
              <w:t xml:space="preserve">in support of </w:t>
            </w:r>
            <w:r w:rsidR="00A53500" w:rsidRPr="009426E5">
              <w:rPr>
                <w:rFonts w:ascii="Arial" w:hAnsi="Arial" w:cs="Arial"/>
                <w:sz w:val="22"/>
                <w:szCs w:val="22"/>
                <w:lang w:val="en-GB"/>
              </w:rPr>
              <w:t>specific project provisionally entitled ‘Improving the periodic reporting mechanism of the 2003 Convention for the Safeguarding of the</w:t>
            </w:r>
            <w:r w:rsidR="0014445F">
              <w:rPr>
                <w:rFonts w:ascii="Arial" w:hAnsi="Arial" w:cs="Arial"/>
                <w:sz w:val="22"/>
                <w:szCs w:val="22"/>
                <w:lang w:val="en-GB"/>
              </w:rPr>
              <w:t xml:space="preserve"> Intangible Cultural Heritage’.</w:t>
            </w:r>
          </w:p>
          <w:p w14:paraId="31902405" w14:textId="126F365C" w:rsidR="00EC6F8D" w:rsidRPr="009426E5" w:rsidRDefault="00EC6F8D" w:rsidP="00BB5C94">
            <w:pPr>
              <w:pStyle w:val="Sansinterligne2"/>
              <w:spacing w:before="200" w:after="200"/>
              <w:jc w:val="both"/>
              <w:rPr>
                <w:rFonts w:ascii="Arial" w:hAnsi="Arial" w:cs="Arial"/>
                <w:b/>
                <w:sz w:val="22"/>
                <w:szCs w:val="22"/>
                <w:lang w:val="en-GB"/>
              </w:rPr>
            </w:pPr>
            <w:r w:rsidRPr="009426E5">
              <w:rPr>
                <w:rFonts w:ascii="Arial" w:hAnsi="Arial" w:cs="Arial"/>
                <w:b/>
                <w:sz w:val="22"/>
                <w:szCs w:val="22"/>
                <w:lang w:val="en-GB"/>
              </w:rPr>
              <w:t xml:space="preserve">Decision required: </w:t>
            </w:r>
            <w:r w:rsidRPr="009426E5">
              <w:rPr>
                <w:rFonts w:ascii="Arial" w:hAnsi="Arial" w:cs="Arial"/>
                <w:bCs/>
                <w:sz w:val="22"/>
                <w:szCs w:val="22"/>
                <w:lang w:val="en-GB"/>
              </w:rPr>
              <w:t xml:space="preserve">paragraph </w:t>
            </w:r>
            <w:r w:rsidR="00BB5C94" w:rsidRPr="00177E5A">
              <w:rPr>
                <w:rFonts w:ascii="Arial" w:hAnsi="Arial" w:cs="Arial"/>
                <w:bCs/>
                <w:sz w:val="22"/>
                <w:szCs w:val="22"/>
                <w:lang w:val="en-GB"/>
              </w:rPr>
              <w:t>13</w:t>
            </w:r>
          </w:p>
        </w:tc>
      </w:tr>
    </w:tbl>
    <w:p w14:paraId="205F87D1" w14:textId="63B88620" w:rsidR="00027D32" w:rsidRPr="009426E5" w:rsidRDefault="00655736" w:rsidP="00027D32">
      <w:pPr>
        <w:pStyle w:val="Paragraph"/>
        <w:tabs>
          <w:tab w:val="clear" w:pos="360"/>
          <w:tab w:val="num" w:pos="567"/>
        </w:tabs>
        <w:spacing w:after="120"/>
        <w:ind w:left="567" w:hanging="567"/>
      </w:pPr>
      <w:r w:rsidRPr="009426E5">
        <w:br w:type="page"/>
      </w:r>
      <w:r w:rsidR="00027D32" w:rsidRPr="009426E5">
        <w:lastRenderedPageBreak/>
        <w:t xml:space="preserve">Chapter VI of the Convention concerning the Intangible Cultural Heritage Fund states that States </w:t>
      </w:r>
      <w:r w:rsidR="002D5CDA" w:rsidRPr="009426E5">
        <w:t xml:space="preserve">Parties </w:t>
      </w:r>
      <w:r w:rsidR="00027D32" w:rsidRPr="009426E5">
        <w:t xml:space="preserve">may wish to provide voluntary supplementary contributions (Article 27) in addition to their assessed contributions as defined in Article 26. </w:t>
      </w:r>
      <w:r w:rsidR="00027D32" w:rsidRPr="009426E5">
        <w:rPr>
          <w:rStyle w:val="hps"/>
        </w:rPr>
        <w:t>Article 25.5</w:t>
      </w:r>
      <w:r w:rsidR="00027D32" w:rsidRPr="009426E5">
        <w:t xml:space="preserve"> </w:t>
      </w:r>
      <w:r w:rsidR="00027D32" w:rsidRPr="009426E5">
        <w:rPr>
          <w:rStyle w:val="hps"/>
        </w:rPr>
        <w:t>also provides for the</w:t>
      </w:r>
      <w:r w:rsidR="00027D32" w:rsidRPr="009426E5">
        <w:t xml:space="preserve"> </w:t>
      </w:r>
      <w:r w:rsidR="00027D32" w:rsidRPr="009426E5">
        <w:rPr>
          <w:rStyle w:val="hps"/>
        </w:rPr>
        <w:t>possibility that</w:t>
      </w:r>
      <w:r w:rsidR="00027D32" w:rsidRPr="009426E5">
        <w:t xml:space="preserve"> such </w:t>
      </w:r>
      <w:r w:rsidR="00027D32" w:rsidRPr="009426E5">
        <w:rPr>
          <w:rStyle w:val="hps"/>
        </w:rPr>
        <w:t>contributions can be</w:t>
      </w:r>
      <w:r w:rsidR="00027D32" w:rsidRPr="009426E5">
        <w:t xml:space="preserve"> </w:t>
      </w:r>
      <w:r w:rsidR="00027D32" w:rsidRPr="009426E5">
        <w:rPr>
          <w:rStyle w:val="hps"/>
        </w:rPr>
        <w:t>made in favour</w:t>
      </w:r>
      <w:r w:rsidR="00027D32" w:rsidRPr="009426E5">
        <w:t xml:space="preserve"> </w:t>
      </w:r>
      <w:r w:rsidR="00027D32" w:rsidRPr="009426E5">
        <w:rPr>
          <w:rStyle w:val="hps"/>
        </w:rPr>
        <w:t>of specific projects</w:t>
      </w:r>
      <w:r w:rsidR="00027D32" w:rsidRPr="009426E5">
        <w:t>, ‘provided that those projects have been approved by the Committee’.</w:t>
      </w:r>
    </w:p>
    <w:p w14:paraId="6FFBFE6D" w14:textId="58ED72B5" w:rsidR="00D800E3" w:rsidRPr="009426E5" w:rsidRDefault="00453DAC" w:rsidP="00D800E3">
      <w:pPr>
        <w:pStyle w:val="Paragraph"/>
        <w:tabs>
          <w:tab w:val="clear" w:pos="360"/>
          <w:tab w:val="num" w:pos="567"/>
        </w:tabs>
        <w:spacing w:after="120"/>
        <w:ind w:left="567" w:hanging="567"/>
      </w:pPr>
      <w:r w:rsidRPr="009426E5">
        <w:t xml:space="preserve">At its </w:t>
      </w:r>
      <w:r w:rsidR="00A53500" w:rsidRPr="009426E5">
        <w:t xml:space="preserve">ninth </w:t>
      </w:r>
      <w:r w:rsidRPr="009426E5">
        <w:t xml:space="preserve">session, </w:t>
      </w:r>
      <w:r w:rsidR="009972B9" w:rsidRPr="009426E5">
        <w:t xml:space="preserve">the Committee approved the Concept Note for the 2014-2017 Complementary Additional Programme entitled ‘Strengthening capacities to safeguard intangible cultural heritage for sustainable development’ </w:t>
      </w:r>
      <w:r w:rsidRPr="009426E5">
        <w:t>(</w:t>
      </w:r>
      <w:hyperlink r:id="rId9" w:history="1">
        <w:r w:rsidRPr="009426E5">
          <w:rPr>
            <w:rStyle w:val="Hyperlink"/>
          </w:rPr>
          <w:t>Decision 9.COM 7</w:t>
        </w:r>
      </w:hyperlink>
      <w:r w:rsidRPr="009426E5">
        <w:t xml:space="preserve">) </w:t>
      </w:r>
      <w:r w:rsidR="009972B9" w:rsidRPr="009426E5">
        <w:t>developed by the Secretariat to extend the reach and effectiveness of that global capacity</w:t>
      </w:r>
      <w:r w:rsidR="003F6128" w:rsidRPr="009426E5">
        <w:noBreakHyphen/>
      </w:r>
      <w:r w:rsidR="009972B9" w:rsidRPr="009426E5">
        <w:t xml:space="preserve">building strategy and to inform donors of the funding requirements of this programme. </w:t>
      </w:r>
      <w:r w:rsidR="00F97199" w:rsidRPr="009426E5">
        <w:t xml:space="preserve">Indeed, in order to ensure that the Committee – as the Convention’s governing body deciding on the use of the resources of the Intangible Cultural Heritage Fund – and the General Conference of Member States – as UNESCO’s governing body that determines the policies and the main lines of work of the Organization – shared the same </w:t>
      </w:r>
      <w:r w:rsidR="00F97199" w:rsidRPr="009426E5">
        <w:rPr>
          <w:rStyle w:val="hps"/>
        </w:rPr>
        <w:t>vision</w:t>
      </w:r>
      <w:r w:rsidR="00F97199" w:rsidRPr="009426E5">
        <w:t xml:space="preserve"> of UNESCO’s action priorities in the field of intangible cultural heritage, the Committee considered it appropriate to endorse the </w:t>
      </w:r>
      <w:r w:rsidR="001C6E03" w:rsidRPr="009426E5">
        <w:t xml:space="preserve">programmatic framework described in the </w:t>
      </w:r>
      <w:r w:rsidR="00F97199" w:rsidRPr="009426E5">
        <w:t>Complementary Additional Programme insofar as it is strictly aligned with the Regular Programme. By extension</w:t>
      </w:r>
      <w:r w:rsidR="009972B9" w:rsidRPr="009426E5">
        <w:t>, the Committee accepted</w:t>
      </w:r>
      <w:r w:rsidR="00F97199" w:rsidRPr="009426E5">
        <w:t>,</w:t>
      </w:r>
      <w:r w:rsidR="009972B9" w:rsidRPr="009426E5">
        <w:t xml:space="preserve"> </w:t>
      </w:r>
      <w:r w:rsidR="00F97199" w:rsidRPr="009426E5">
        <w:t xml:space="preserve">in that same decision, </w:t>
      </w:r>
      <w:r w:rsidR="009972B9" w:rsidRPr="009426E5">
        <w:t xml:space="preserve">any future voluntary supplementary contributions that might be made to support capacity-building activities within the scope of </w:t>
      </w:r>
      <w:r w:rsidR="001C6E03" w:rsidRPr="009426E5">
        <w:t xml:space="preserve">that programmatic framework </w:t>
      </w:r>
      <w:r w:rsidR="0070763A" w:rsidRPr="009426E5">
        <w:rPr>
          <w:rStyle w:val="hps"/>
        </w:rPr>
        <w:t>between</w:t>
      </w:r>
      <w:r w:rsidR="0070763A" w:rsidRPr="009426E5">
        <w:t xml:space="preserve"> </w:t>
      </w:r>
      <w:r w:rsidR="0070763A" w:rsidRPr="009426E5">
        <w:rPr>
          <w:rStyle w:val="hps"/>
        </w:rPr>
        <w:t>two Committee sessions</w:t>
      </w:r>
      <w:r w:rsidR="009356F8" w:rsidRPr="009426E5">
        <w:t xml:space="preserve">, </w:t>
      </w:r>
      <w:r w:rsidR="009972B9" w:rsidRPr="009426E5">
        <w:t>authorized the Secretariat to make immediate use of them</w:t>
      </w:r>
      <w:r w:rsidR="009356F8" w:rsidRPr="009426E5">
        <w:t xml:space="preserve"> and requested it to report on the progress of implementation of any voluntary supplementary contributions it may have received since its last session.</w:t>
      </w:r>
    </w:p>
    <w:p w14:paraId="77E8A05B" w14:textId="6EF487D9" w:rsidR="00547F41" w:rsidRDefault="00547F41" w:rsidP="00C75E87">
      <w:pPr>
        <w:pStyle w:val="Paragraph"/>
        <w:tabs>
          <w:tab w:val="clear" w:pos="360"/>
          <w:tab w:val="num" w:pos="567"/>
        </w:tabs>
        <w:spacing w:after="120"/>
        <w:ind w:left="567" w:hanging="567"/>
      </w:pPr>
      <w:r>
        <w:t>S</w:t>
      </w:r>
      <w:r w:rsidR="00A53500" w:rsidRPr="009426E5">
        <w:t xml:space="preserve">ince its </w:t>
      </w:r>
      <w:r w:rsidR="00F17576">
        <w:t>last</w:t>
      </w:r>
      <w:r w:rsidR="00A53500" w:rsidRPr="009426E5">
        <w:t xml:space="preserve"> session, the Intangible Cultural Heritage Fund has received </w:t>
      </w:r>
      <w:r w:rsidR="00E3749D">
        <w:t>two</w:t>
      </w:r>
      <w:r w:rsidR="00083398">
        <w:t xml:space="preserve"> </w:t>
      </w:r>
      <w:r w:rsidR="00E3749D" w:rsidRPr="009426E5">
        <w:t>contributions</w:t>
      </w:r>
      <w:r w:rsidR="00A53500" w:rsidRPr="009426E5">
        <w:t xml:space="preserve"> within the scope of the programmatic framework laid in the Complementary Additional Programme. </w:t>
      </w:r>
      <w:r w:rsidR="00083398">
        <w:t xml:space="preserve">As noted by </w:t>
      </w:r>
      <w:r w:rsidR="00F17576">
        <w:t>the Committee at its</w:t>
      </w:r>
      <w:r w:rsidR="00083398">
        <w:t xml:space="preserve"> tenth session (</w:t>
      </w:r>
      <w:hyperlink r:id="rId10" w:history="1">
        <w:r w:rsidR="00083398" w:rsidRPr="00083398">
          <w:rPr>
            <w:rStyle w:val="Hyperlink"/>
          </w:rPr>
          <w:t>Decision 10.COM 9</w:t>
        </w:r>
      </w:hyperlink>
      <w:r w:rsidR="00083398">
        <w:t xml:space="preserve">), </w:t>
      </w:r>
      <w:r w:rsidR="00083398" w:rsidRPr="00A12880">
        <w:t>the Government of Catalonia (Spain)</w:t>
      </w:r>
      <w:r w:rsidR="00083398">
        <w:t xml:space="preserve"> contributed </w:t>
      </w:r>
      <w:r w:rsidR="00083398" w:rsidRPr="00083398">
        <w:t>US$131,868</w:t>
      </w:r>
      <w:r w:rsidR="00083398">
        <w:t xml:space="preserve"> to further support a multi-year capacity-building programme in </w:t>
      </w:r>
      <w:r w:rsidR="00083398" w:rsidRPr="00A12880">
        <w:t>Mauritania, Morocco and Tunisia</w:t>
      </w:r>
      <w:r w:rsidR="0014445F">
        <w:t>.</w:t>
      </w:r>
    </w:p>
    <w:p w14:paraId="18C73B2B" w14:textId="4C10041E" w:rsidR="00A53500" w:rsidRPr="009426E5" w:rsidRDefault="00A53500" w:rsidP="00C75E87">
      <w:pPr>
        <w:pStyle w:val="Paragraph"/>
        <w:tabs>
          <w:tab w:val="clear" w:pos="360"/>
          <w:tab w:val="num" w:pos="567"/>
        </w:tabs>
        <w:spacing w:after="120"/>
        <w:ind w:left="567" w:hanging="567"/>
      </w:pPr>
      <w:r w:rsidRPr="009426E5">
        <w:t xml:space="preserve">A supplementary voluntary contribution </w:t>
      </w:r>
      <w:r w:rsidR="00E07F5C">
        <w:t xml:space="preserve">of €100,000 </w:t>
      </w:r>
      <w:r w:rsidRPr="009426E5">
        <w:t xml:space="preserve">in support of this programme </w:t>
      </w:r>
      <w:r w:rsidR="00E3749D">
        <w:t>was also received into the Intangible Cultural Heritage Fund</w:t>
      </w:r>
      <w:r w:rsidRPr="009426E5">
        <w:t xml:space="preserve"> from the Government of the Netherlands on </w:t>
      </w:r>
      <w:r w:rsidR="00342961">
        <w:t>28</w:t>
      </w:r>
      <w:r w:rsidR="00E3749D">
        <w:t> </w:t>
      </w:r>
      <w:r w:rsidR="00C22DDD">
        <w:t>October 2016</w:t>
      </w:r>
      <w:r w:rsidRPr="009426E5">
        <w:t xml:space="preserve">. </w:t>
      </w:r>
      <w:r w:rsidR="00E3749D">
        <w:t>It</w:t>
      </w:r>
      <w:r w:rsidR="00243051" w:rsidRPr="009426E5">
        <w:t xml:space="preserve"> will be used to build on the results of </w:t>
      </w:r>
      <w:r w:rsidR="00F17576">
        <w:t>the capacity-building programme</w:t>
      </w:r>
      <w:r w:rsidR="00243051" w:rsidRPr="009426E5">
        <w:t xml:space="preserve"> that reached an end in September 2016 in Suriname and the Dutch Caribbean Islands</w:t>
      </w:r>
      <w:r w:rsidR="00E3749D">
        <w:t xml:space="preserve"> and will </w:t>
      </w:r>
      <w:r w:rsidR="00243051" w:rsidRPr="009426E5">
        <w:rPr>
          <w:rStyle w:val="hps"/>
        </w:rPr>
        <w:t xml:space="preserve">complement the significant efforts that the concerned </w:t>
      </w:r>
      <w:r w:rsidR="002F520C" w:rsidRPr="009426E5">
        <w:rPr>
          <w:rStyle w:val="hps"/>
        </w:rPr>
        <w:t>beneficiaries</w:t>
      </w:r>
      <w:r w:rsidR="00243051" w:rsidRPr="009426E5">
        <w:rPr>
          <w:rStyle w:val="hps"/>
        </w:rPr>
        <w:t xml:space="preserve"> have made in recent years to take full ownership of the Convention as an operational tool to safeguard intangible cultural heritage present in their territories.</w:t>
      </w:r>
      <w:r w:rsidR="002E5A0A" w:rsidRPr="009426E5">
        <w:rPr>
          <w:rStyle w:val="hps"/>
        </w:rPr>
        <w:t xml:space="preserve"> This second phase should enable to test the framework and methodology for inventorying intangible cultural heritage developed during the first phase with </w:t>
      </w:r>
      <w:r w:rsidR="00062D40">
        <w:rPr>
          <w:rStyle w:val="hps"/>
        </w:rPr>
        <w:t>pilot inventorying activities</w:t>
      </w:r>
      <w:r w:rsidR="002E5A0A" w:rsidRPr="009426E5">
        <w:rPr>
          <w:rStyle w:val="hps"/>
        </w:rPr>
        <w:t xml:space="preserve"> in each territory.</w:t>
      </w:r>
    </w:p>
    <w:p w14:paraId="0FB1C136" w14:textId="055A67EF" w:rsidR="002F520C" w:rsidRPr="009426E5" w:rsidRDefault="002F520C" w:rsidP="00C75E87">
      <w:pPr>
        <w:pStyle w:val="Paragraph"/>
        <w:tabs>
          <w:tab w:val="clear" w:pos="360"/>
          <w:tab w:val="num" w:pos="567"/>
        </w:tabs>
        <w:spacing w:after="120"/>
        <w:ind w:left="567" w:hanging="567"/>
      </w:pPr>
      <w:r w:rsidRPr="009426E5">
        <w:t xml:space="preserve">The Cultural Heritage Administration of the Republic of Korea also expressed its wish to support the Convention </w:t>
      </w:r>
      <w:r w:rsidRPr="009426E5">
        <w:rPr>
          <w:rStyle w:val="hps"/>
        </w:rPr>
        <w:t>by contributing to the Intangible Cultural Heritage Fund</w:t>
      </w:r>
      <w:r w:rsidRPr="009426E5">
        <w:t xml:space="preserve">. </w:t>
      </w:r>
      <w:r w:rsidR="00D00CC1" w:rsidRPr="009426E5">
        <w:t xml:space="preserve">The low rate of submission of reports on the legislative, regulatory and other measures taken for the implementation of the Convention (hereafter ‘periodic reports’) continues to be of concern </w:t>
      </w:r>
      <w:r w:rsidR="003915D4">
        <w:t>to</w:t>
      </w:r>
      <w:r w:rsidR="00D00CC1" w:rsidRPr="009426E5">
        <w:t xml:space="preserve"> States Parties and the </w:t>
      </w:r>
      <w:r w:rsidR="00D00CC1" w:rsidRPr="00C75E87">
        <w:rPr>
          <w:rStyle w:val="hps"/>
        </w:rPr>
        <w:t>Convention’s</w:t>
      </w:r>
      <w:r w:rsidR="00D00CC1" w:rsidRPr="009426E5">
        <w:t xml:space="preserve"> governing bodies. </w:t>
      </w:r>
      <w:r w:rsidR="0048181C" w:rsidRPr="00C75E87">
        <w:rPr>
          <w:rFonts w:eastAsia="Arial"/>
        </w:rPr>
        <w:t xml:space="preserve">The overview of periodic reports provided in </w:t>
      </w:r>
      <w:r w:rsidR="0048181C" w:rsidRPr="009426E5">
        <w:t xml:space="preserve">document </w:t>
      </w:r>
      <w:hyperlink r:id="rId11" w:history="1">
        <w:r w:rsidR="0048181C" w:rsidRPr="00B33883">
          <w:rPr>
            <w:rStyle w:val="Hyperlink"/>
          </w:rPr>
          <w:t>ITH/16/11.COM/9.a</w:t>
        </w:r>
      </w:hyperlink>
      <w:r w:rsidR="0048181C" w:rsidRPr="009426E5">
        <w:t xml:space="preserve"> confirms this trend. </w:t>
      </w:r>
      <w:r w:rsidR="00D00CC1" w:rsidRPr="009426E5">
        <w:t>During the sixth session of the General Assembly</w:t>
      </w:r>
      <w:r w:rsidR="0048181C" w:rsidRPr="009426E5">
        <w:t xml:space="preserve"> in June 2016</w:t>
      </w:r>
      <w:r w:rsidR="00D00CC1" w:rsidRPr="009426E5">
        <w:t xml:space="preserve">, many States regretted the </w:t>
      </w:r>
      <w:r w:rsidR="00D00CC1" w:rsidRPr="00C75E87">
        <w:rPr>
          <w:rFonts w:eastAsia="Arial"/>
        </w:rPr>
        <w:t xml:space="preserve">high number of States Parties whose reports were overdue while acknowledging the difficulties faced by some </w:t>
      </w:r>
      <w:r w:rsidR="0048181C" w:rsidRPr="00C75E87">
        <w:rPr>
          <w:rFonts w:eastAsia="Arial"/>
        </w:rPr>
        <w:t>of them</w:t>
      </w:r>
      <w:r w:rsidR="00D00CC1" w:rsidRPr="00C75E87">
        <w:rPr>
          <w:rFonts w:eastAsia="Arial"/>
        </w:rPr>
        <w:t xml:space="preserve"> to </w:t>
      </w:r>
      <w:r w:rsidR="007C7B5B" w:rsidRPr="00C75E87">
        <w:rPr>
          <w:rFonts w:eastAsia="Arial"/>
        </w:rPr>
        <w:t>fulfil</w:t>
      </w:r>
      <w:r w:rsidR="00D00CC1" w:rsidRPr="00C75E87">
        <w:rPr>
          <w:rFonts w:eastAsia="Arial"/>
        </w:rPr>
        <w:t xml:space="preserve"> this </w:t>
      </w:r>
      <w:r w:rsidR="0048181C" w:rsidRPr="00C75E87">
        <w:rPr>
          <w:rFonts w:eastAsia="Arial"/>
        </w:rPr>
        <w:t xml:space="preserve">statutory </w:t>
      </w:r>
      <w:r w:rsidR="00D00CC1" w:rsidRPr="00C75E87">
        <w:rPr>
          <w:rFonts w:eastAsia="Arial"/>
        </w:rPr>
        <w:t>obligation.</w:t>
      </w:r>
      <w:r w:rsidR="0048181C" w:rsidRPr="00C75E87">
        <w:rPr>
          <w:rFonts w:eastAsia="Arial"/>
        </w:rPr>
        <w:t xml:space="preserve"> </w:t>
      </w:r>
      <w:r w:rsidR="0048181C" w:rsidRPr="009426E5">
        <w:t>The Republic of Korea, in particular, shared this concern and recalled, on that occasion, that it is the overa</w:t>
      </w:r>
      <w:r w:rsidR="00062D40">
        <w:t>ll monitoring of the Convention</w:t>
      </w:r>
      <w:r w:rsidR="0048181C" w:rsidRPr="009426E5">
        <w:t xml:space="preserve"> which is suffering from this dysfunction. Moreover, the Republic of Korea announced its will to offer financial support to help build mechanisms to encourage the submission of periodic reports. </w:t>
      </w:r>
      <w:r w:rsidRPr="009426E5">
        <w:t>Therefore, the Committee is asked at the present session to approve the Republic of Korea’s offer – as set out in the letter from the Cultural Heritage Administration</w:t>
      </w:r>
      <w:r w:rsidRPr="009426E5">
        <w:rPr>
          <w:rStyle w:val="hps"/>
        </w:rPr>
        <w:t xml:space="preserve"> </w:t>
      </w:r>
      <w:r w:rsidRPr="009426E5">
        <w:t xml:space="preserve">presented in Annex I of the present document – to </w:t>
      </w:r>
      <w:r w:rsidR="0048181C" w:rsidRPr="009426E5">
        <w:t>support the Secretariat in improving the periodic reporting mechanism under the Convention</w:t>
      </w:r>
      <w:r w:rsidRPr="009426E5">
        <w:t>.</w:t>
      </w:r>
    </w:p>
    <w:p w14:paraId="2E9A4313" w14:textId="4C16AD82" w:rsidR="00E60366" w:rsidRPr="009426E5" w:rsidRDefault="00027D32" w:rsidP="00762CD4">
      <w:pPr>
        <w:pStyle w:val="Paragraph"/>
        <w:keepLines/>
        <w:tabs>
          <w:tab w:val="clear" w:pos="360"/>
          <w:tab w:val="num" w:pos="567"/>
        </w:tabs>
        <w:spacing w:after="120"/>
        <w:ind w:left="567" w:hanging="567"/>
      </w:pPr>
      <w:r w:rsidRPr="009426E5">
        <w:lastRenderedPageBreak/>
        <w:t xml:space="preserve">In its </w:t>
      </w:r>
      <w:hyperlink r:id="rId12" w:history="1">
        <w:r w:rsidR="003845BE">
          <w:rPr>
            <w:rStyle w:val="Hyperlink"/>
          </w:rPr>
          <w:t>D</w:t>
        </w:r>
        <w:r w:rsidRPr="009426E5">
          <w:rPr>
            <w:rStyle w:val="Hyperlink"/>
          </w:rPr>
          <w:t>ecision 7.COM 20.1</w:t>
        </w:r>
      </w:hyperlink>
      <w:r w:rsidRPr="009426E5">
        <w:t xml:space="preserve">, the Committee took note that States </w:t>
      </w:r>
      <w:r w:rsidR="00E60366" w:rsidRPr="009426E5">
        <w:t xml:space="preserve">make use of different forms of support, financial and in-kind, to the 2003 Convention for the Safeguarding of the Intangible Cultural Heritage and not only </w:t>
      </w:r>
      <w:r w:rsidR="008C7C8F" w:rsidRPr="009426E5">
        <w:t xml:space="preserve">of the </w:t>
      </w:r>
      <w:r w:rsidR="00E60366" w:rsidRPr="009426E5">
        <w:t>voluntary supplementary contributions to the Intangible Cultural Heritage Fund</w:t>
      </w:r>
      <w:r w:rsidR="008C7C8F" w:rsidRPr="009426E5">
        <w:t xml:space="preserve"> set out in Article 25.5 of the Convention.</w:t>
      </w:r>
      <w:r w:rsidR="00E60366" w:rsidRPr="009426E5">
        <w:t xml:space="preserve"> It </w:t>
      </w:r>
      <w:r w:rsidRPr="009426E5">
        <w:t xml:space="preserve">requested the Secretariat to report at each session of the Committee on the receipt of </w:t>
      </w:r>
      <w:r w:rsidR="008C7C8F" w:rsidRPr="009426E5">
        <w:t>all forms of</w:t>
      </w:r>
      <w:r w:rsidRPr="009426E5">
        <w:t xml:space="preserve"> contributions since its previous session. Accordingly, the list of contributions in support of the 2003 Convention since the </w:t>
      </w:r>
      <w:r w:rsidR="00053503" w:rsidRPr="009426E5">
        <w:t xml:space="preserve">tenth </w:t>
      </w:r>
      <w:r w:rsidRPr="009426E5">
        <w:t>session of the Committee can be found in Annex </w:t>
      </w:r>
      <w:r w:rsidR="00D70E1A" w:rsidRPr="009426E5">
        <w:t xml:space="preserve">II </w:t>
      </w:r>
      <w:r w:rsidR="0003484B" w:rsidRPr="009426E5">
        <w:t>of the present document.</w:t>
      </w:r>
    </w:p>
    <w:p w14:paraId="3F389CC6" w14:textId="413EE51F" w:rsidR="00210D96" w:rsidRPr="009426E5" w:rsidRDefault="00031E76" w:rsidP="00DF61FF">
      <w:pPr>
        <w:pStyle w:val="Paragraph"/>
        <w:tabs>
          <w:tab w:val="clear" w:pos="360"/>
          <w:tab w:val="num" w:pos="567"/>
        </w:tabs>
        <w:spacing w:after="120"/>
        <w:ind w:left="567" w:hanging="567"/>
      </w:pPr>
      <w:r w:rsidRPr="009426E5">
        <w:t>Since m</w:t>
      </w:r>
      <w:r w:rsidR="008C7C8F" w:rsidRPr="009426E5">
        <w:t xml:space="preserve">ost of the support received by the Convention </w:t>
      </w:r>
      <w:r w:rsidR="003915D4">
        <w:t>benefits</w:t>
      </w:r>
      <w:r w:rsidR="003915D4" w:rsidRPr="009426E5">
        <w:t xml:space="preserve"> </w:t>
      </w:r>
      <w:r w:rsidR="00D7236A" w:rsidRPr="009426E5">
        <w:t xml:space="preserve">the </w:t>
      </w:r>
      <w:r w:rsidR="008C7C8F" w:rsidRPr="009426E5">
        <w:t xml:space="preserve">global capacity-building programme and, to a </w:t>
      </w:r>
      <w:r w:rsidR="003915D4">
        <w:t xml:space="preserve">significantly </w:t>
      </w:r>
      <w:r w:rsidR="008C7C8F" w:rsidRPr="009426E5">
        <w:t xml:space="preserve">lesser extent, the strengthening of human resources of the Secretariat, it </w:t>
      </w:r>
      <w:r w:rsidR="00DB29DB" w:rsidRPr="009426E5">
        <w:t xml:space="preserve">seems </w:t>
      </w:r>
      <w:r w:rsidR="008C7C8F" w:rsidRPr="009426E5">
        <w:t xml:space="preserve">appropriate to </w:t>
      </w:r>
      <w:r w:rsidRPr="009426E5">
        <w:t xml:space="preserve">provide an overview of the evolution of this support to the Committee </w:t>
      </w:r>
      <w:r w:rsidR="008C7C8F" w:rsidRPr="009426E5">
        <w:t>through the last three biennia.</w:t>
      </w:r>
      <w:r w:rsidR="00D7236A" w:rsidRPr="009426E5">
        <w:t xml:space="preserve"> </w:t>
      </w:r>
      <w:r w:rsidR="003F1C8D" w:rsidRPr="009426E5">
        <w:t>Figure 1</w:t>
      </w:r>
      <w:r w:rsidR="00D7236A" w:rsidRPr="009426E5">
        <w:t xml:space="preserve"> </w:t>
      </w:r>
      <w:r w:rsidR="003E281A" w:rsidRPr="009426E5">
        <w:t xml:space="preserve">confirms </w:t>
      </w:r>
      <w:r w:rsidRPr="009426E5">
        <w:t xml:space="preserve">a </w:t>
      </w:r>
      <w:r w:rsidR="000A67F3" w:rsidRPr="009426E5">
        <w:t xml:space="preserve">general </w:t>
      </w:r>
      <w:r w:rsidRPr="009426E5">
        <w:t xml:space="preserve">trend to the decline in </w:t>
      </w:r>
      <w:r w:rsidR="003E281A" w:rsidRPr="009426E5">
        <w:t>the amount of resources mobilized for the capacity-building programme.</w:t>
      </w:r>
    </w:p>
    <w:p w14:paraId="2C07BBB8" w14:textId="72BC34F5" w:rsidR="0027119A" w:rsidRDefault="006D6246" w:rsidP="0027119A">
      <w:pPr>
        <w:pStyle w:val="Paragraph"/>
        <w:numPr>
          <w:ilvl w:val="0"/>
          <w:numId w:val="0"/>
        </w:numPr>
        <w:tabs>
          <w:tab w:val="clear" w:pos="567"/>
        </w:tabs>
        <w:spacing w:after="120"/>
        <w:ind w:left="567"/>
        <w:rPr>
          <w:noProof/>
          <w:sz w:val="18"/>
          <w:szCs w:val="18"/>
        </w:rPr>
      </w:pPr>
      <w:r>
        <w:rPr>
          <w:noProof/>
          <w:lang w:val="fr-FR" w:eastAsia="ko-KR"/>
        </w:rPr>
        <w:drawing>
          <wp:inline distT="0" distB="0" distL="0" distR="0" wp14:anchorId="2E05C51E" wp14:editId="315452A3">
            <wp:extent cx="5972810" cy="5715000"/>
            <wp:effectExtent l="0" t="0" r="88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FA0379" w14:textId="0B37A3F6" w:rsidR="005E77D3" w:rsidRPr="0027119A" w:rsidRDefault="005E77D3" w:rsidP="0027119A">
      <w:pPr>
        <w:pStyle w:val="Paragraph"/>
        <w:numPr>
          <w:ilvl w:val="0"/>
          <w:numId w:val="0"/>
        </w:numPr>
        <w:tabs>
          <w:tab w:val="clear" w:pos="567"/>
        </w:tabs>
        <w:spacing w:after="120"/>
        <w:ind w:left="567"/>
        <w:rPr>
          <w:sz w:val="18"/>
          <w:szCs w:val="18"/>
        </w:rPr>
      </w:pPr>
      <w:r w:rsidRPr="0027119A">
        <w:rPr>
          <w:b/>
          <w:sz w:val="18"/>
          <w:szCs w:val="18"/>
        </w:rPr>
        <w:t xml:space="preserve">Figure </w:t>
      </w:r>
      <w:r w:rsidRPr="0027119A">
        <w:rPr>
          <w:b/>
          <w:i/>
          <w:sz w:val="18"/>
          <w:szCs w:val="18"/>
        </w:rPr>
        <w:fldChar w:fldCharType="begin"/>
      </w:r>
      <w:r w:rsidRPr="0027119A">
        <w:rPr>
          <w:b/>
          <w:sz w:val="18"/>
          <w:szCs w:val="18"/>
        </w:rPr>
        <w:instrText xml:space="preserve"> SEQ Figure \* ARABIC </w:instrText>
      </w:r>
      <w:r w:rsidRPr="0027119A">
        <w:rPr>
          <w:b/>
          <w:i/>
          <w:sz w:val="18"/>
          <w:szCs w:val="18"/>
        </w:rPr>
        <w:fldChar w:fldCharType="separate"/>
      </w:r>
      <w:r w:rsidR="00EA6F06">
        <w:rPr>
          <w:b/>
          <w:noProof/>
          <w:sz w:val="18"/>
          <w:szCs w:val="18"/>
        </w:rPr>
        <w:t>1</w:t>
      </w:r>
      <w:r w:rsidRPr="0027119A">
        <w:rPr>
          <w:b/>
          <w:i/>
          <w:sz w:val="18"/>
          <w:szCs w:val="18"/>
        </w:rPr>
        <w:fldChar w:fldCharType="end"/>
      </w:r>
      <w:r w:rsidRPr="0027119A">
        <w:rPr>
          <w:sz w:val="18"/>
          <w:szCs w:val="18"/>
        </w:rPr>
        <w:t xml:space="preserve">: </w:t>
      </w:r>
      <w:r w:rsidRPr="00243077">
        <w:rPr>
          <w:sz w:val="18"/>
          <w:szCs w:val="18"/>
        </w:rPr>
        <w:t xml:space="preserve">Evolution of </w:t>
      </w:r>
      <w:r w:rsidR="0074144E" w:rsidRPr="00243077">
        <w:rPr>
          <w:sz w:val="18"/>
          <w:szCs w:val="18"/>
        </w:rPr>
        <w:t xml:space="preserve">resources mobilized in </w:t>
      </w:r>
      <w:r w:rsidRPr="00243077">
        <w:rPr>
          <w:sz w:val="18"/>
          <w:szCs w:val="18"/>
        </w:rPr>
        <w:t xml:space="preserve">support </w:t>
      </w:r>
      <w:r w:rsidR="0074144E" w:rsidRPr="00243077">
        <w:rPr>
          <w:sz w:val="18"/>
          <w:szCs w:val="18"/>
        </w:rPr>
        <w:t xml:space="preserve">of </w:t>
      </w:r>
      <w:r w:rsidRPr="00243077">
        <w:rPr>
          <w:sz w:val="18"/>
          <w:szCs w:val="18"/>
        </w:rPr>
        <w:t>the global capacity-building programme</w:t>
      </w:r>
    </w:p>
    <w:p w14:paraId="6E5A0E5E" w14:textId="09F0AD24" w:rsidR="00E90A0B" w:rsidRPr="009426E5" w:rsidRDefault="00E90A0B" w:rsidP="008613FB">
      <w:pPr>
        <w:pStyle w:val="Paragraph"/>
        <w:tabs>
          <w:tab w:val="clear" w:pos="360"/>
          <w:tab w:val="num" w:pos="567"/>
        </w:tabs>
        <w:spacing w:after="120"/>
        <w:ind w:left="567" w:hanging="567"/>
      </w:pPr>
      <w:r w:rsidRPr="009426E5">
        <w:t>The 35 C/</w:t>
      </w:r>
      <w:r w:rsidR="006A092B" w:rsidRPr="009426E5">
        <w:t xml:space="preserve">5 biennium </w:t>
      </w:r>
      <w:r w:rsidRPr="009426E5">
        <w:t xml:space="preserve">saw the launch of the </w:t>
      </w:r>
      <w:r w:rsidR="006A092B" w:rsidRPr="009426E5">
        <w:t>global capacity-building programme</w:t>
      </w:r>
      <w:r w:rsidR="00063513" w:rsidRPr="009426E5">
        <w:t>, which</w:t>
      </w:r>
      <w:r w:rsidR="006A092B" w:rsidRPr="009426E5">
        <w:t xml:space="preserve"> </w:t>
      </w:r>
      <w:r w:rsidR="0003484B" w:rsidRPr="009426E5">
        <w:t>d</w:t>
      </w:r>
      <w:r w:rsidR="00C51889" w:rsidRPr="009426E5">
        <w:t>rew</w:t>
      </w:r>
      <w:r w:rsidRPr="009426E5">
        <w:t xml:space="preserve"> </w:t>
      </w:r>
      <w:r w:rsidR="008613FB">
        <w:t xml:space="preserve">significant </w:t>
      </w:r>
      <w:r w:rsidR="0003484B" w:rsidRPr="009426E5">
        <w:t xml:space="preserve">enthusiasm </w:t>
      </w:r>
      <w:r w:rsidRPr="009426E5">
        <w:t>f</w:t>
      </w:r>
      <w:r w:rsidR="0003484B" w:rsidRPr="009426E5">
        <w:t>rom</w:t>
      </w:r>
      <w:r w:rsidRPr="009426E5">
        <w:t xml:space="preserve"> donors. The 36C/</w:t>
      </w:r>
      <w:r w:rsidR="006A092B" w:rsidRPr="009426E5">
        <w:t xml:space="preserve">5 biennium </w:t>
      </w:r>
      <w:r w:rsidRPr="009426E5">
        <w:t xml:space="preserve">was </w:t>
      </w:r>
      <w:r w:rsidR="006A092B" w:rsidRPr="009426E5">
        <w:t>marked by the</w:t>
      </w:r>
      <w:r w:rsidR="0003484B" w:rsidRPr="009426E5">
        <w:t xml:space="preserve"> implementation of </w:t>
      </w:r>
      <w:r w:rsidRPr="009426E5">
        <w:t xml:space="preserve">resources mobilized during the previous biennium </w:t>
      </w:r>
      <w:r w:rsidR="00F8614A">
        <w:t>and</w:t>
      </w:r>
      <w:r w:rsidR="00F8614A" w:rsidRPr="009426E5">
        <w:t xml:space="preserve"> </w:t>
      </w:r>
      <w:r w:rsidR="00871325" w:rsidRPr="009426E5">
        <w:t xml:space="preserve">attracted </w:t>
      </w:r>
      <w:r w:rsidR="00F8614A">
        <w:t>comparable</w:t>
      </w:r>
      <w:r w:rsidR="00871325" w:rsidRPr="009426E5">
        <w:t xml:space="preserve"> donor interest</w:t>
      </w:r>
      <w:r w:rsidRPr="009426E5">
        <w:t>.</w:t>
      </w:r>
      <w:r w:rsidR="00210D96" w:rsidRPr="009426E5">
        <w:t xml:space="preserve"> T</w:t>
      </w:r>
      <w:r w:rsidRPr="009426E5">
        <w:t>he 37C/5</w:t>
      </w:r>
      <w:r w:rsidR="006A092B" w:rsidRPr="009426E5">
        <w:t> biennium</w:t>
      </w:r>
      <w:r w:rsidRPr="009426E5">
        <w:t xml:space="preserve"> experienced renewed funding</w:t>
      </w:r>
      <w:r w:rsidR="008613FB">
        <w:t xml:space="preserve">, coinciding with the Committee’s endorsement of the </w:t>
      </w:r>
      <w:r w:rsidR="008613FB" w:rsidRPr="009426E5">
        <w:t>Concept Note for the 2014-2017 Complementary Additional Programme</w:t>
      </w:r>
      <w:r w:rsidR="008613FB">
        <w:t xml:space="preserve">, </w:t>
      </w:r>
      <w:r w:rsidR="008613FB">
        <w:lastRenderedPageBreak/>
        <w:t xml:space="preserve">and </w:t>
      </w:r>
      <w:r w:rsidRPr="009426E5">
        <w:t xml:space="preserve">funds </w:t>
      </w:r>
      <w:r w:rsidR="008613FB" w:rsidRPr="009426E5">
        <w:t>reach</w:t>
      </w:r>
      <w:r w:rsidR="008613FB">
        <w:t>ed its mid-term objective.</w:t>
      </w:r>
      <w:r w:rsidR="008613FB" w:rsidRPr="009426E5">
        <w:t xml:space="preserve"> </w:t>
      </w:r>
      <w:r w:rsidR="00904C09">
        <w:t>However the situation for the 38C/5 is alarming as, a</w:t>
      </w:r>
      <w:r w:rsidR="00180E9E" w:rsidRPr="009426E5">
        <w:t xml:space="preserve">t the time this document is written, </w:t>
      </w:r>
      <w:r w:rsidR="00904C09">
        <w:t xml:space="preserve">mobilized </w:t>
      </w:r>
      <w:r w:rsidR="00180E9E" w:rsidRPr="009426E5">
        <w:t>resource</w:t>
      </w:r>
      <w:r w:rsidR="008613FB">
        <w:t>s</w:t>
      </w:r>
      <w:r w:rsidR="00180E9E" w:rsidRPr="009426E5">
        <w:t xml:space="preserve"> </w:t>
      </w:r>
      <w:r w:rsidR="0078238B">
        <w:t>have</w:t>
      </w:r>
      <w:r w:rsidR="008613FB">
        <w:t xml:space="preserve"> reach</w:t>
      </w:r>
      <w:r w:rsidR="0078238B">
        <w:t>ed</w:t>
      </w:r>
      <w:r w:rsidR="008613FB">
        <w:t xml:space="preserve"> </w:t>
      </w:r>
      <w:r w:rsidR="00F2702E">
        <w:t xml:space="preserve">only </w:t>
      </w:r>
      <w:r w:rsidR="008613FB">
        <w:t>1</w:t>
      </w:r>
      <w:r w:rsidR="00F2702E">
        <w:t>2</w:t>
      </w:r>
      <w:r w:rsidR="008613FB">
        <w:t>% of the mid-term objective</w:t>
      </w:r>
      <w:r w:rsidR="00C03F5F">
        <w:t xml:space="preserve">, making </w:t>
      </w:r>
      <w:r w:rsidRPr="009426E5">
        <w:t xml:space="preserve">it virtually impossible to achieve </w:t>
      </w:r>
      <w:r w:rsidR="00C03F5F">
        <w:t>the</w:t>
      </w:r>
      <w:r w:rsidR="00C03F5F" w:rsidRPr="009426E5">
        <w:t xml:space="preserve"> </w:t>
      </w:r>
      <w:r w:rsidRPr="009426E5">
        <w:t xml:space="preserve">fixed </w:t>
      </w:r>
      <w:r w:rsidR="00C03F5F">
        <w:t xml:space="preserve">target </w:t>
      </w:r>
      <w:r w:rsidRPr="009426E5">
        <w:t xml:space="preserve">for the 2014-2017 </w:t>
      </w:r>
      <w:proofErr w:type="spellStart"/>
      <w:r w:rsidRPr="009426E5">
        <w:t>quadrennium</w:t>
      </w:r>
      <w:proofErr w:type="spellEnd"/>
      <w:r w:rsidR="00653C5E" w:rsidRPr="009426E5">
        <w:rPr>
          <w:rStyle w:val="FootnoteReference"/>
        </w:rPr>
        <w:footnoteReference w:id="1"/>
      </w:r>
      <w:r w:rsidRPr="009426E5">
        <w:t>.</w:t>
      </w:r>
    </w:p>
    <w:p w14:paraId="2ACFD525" w14:textId="1F38734C" w:rsidR="00F1473A" w:rsidRPr="00BE5499" w:rsidRDefault="009D2276" w:rsidP="00BE5499">
      <w:pPr>
        <w:pStyle w:val="Paragraph"/>
        <w:tabs>
          <w:tab w:val="clear" w:pos="360"/>
          <w:tab w:val="num" w:pos="567"/>
        </w:tabs>
        <w:spacing w:after="120"/>
        <w:ind w:left="567" w:hanging="567"/>
      </w:pPr>
      <w:r w:rsidRPr="00BE5499">
        <w:t>Recognizing</w:t>
      </w:r>
      <w:r w:rsidR="004A65FE" w:rsidRPr="00BE5499">
        <w:t xml:space="preserve"> that the Secretariat’</w:t>
      </w:r>
      <w:r w:rsidRPr="00BE5499">
        <w:t xml:space="preserve">s ability to provide quality services to Member States depends largely on its human resources, many and various donors have provided support in this direction by making use of several modalities. </w:t>
      </w:r>
      <w:r w:rsidR="004A65FE" w:rsidRPr="00BE5499">
        <w:t>Yet, t</w:t>
      </w:r>
      <w:r w:rsidRPr="00BE5499">
        <w:t xml:space="preserve">he graph </w:t>
      </w:r>
      <w:r w:rsidR="004A65FE" w:rsidRPr="00BE5499">
        <w:t xml:space="preserve">below </w:t>
      </w:r>
      <w:r w:rsidRPr="00BE5499">
        <w:t>shows a</w:t>
      </w:r>
      <w:r w:rsidR="006B4898">
        <w:t xml:space="preserve">n </w:t>
      </w:r>
      <w:r w:rsidR="00FB1A36">
        <w:t>overall</w:t>
      </w:r>
      <w:r w:rsidRPr="00BE5499">
        <w:t xml:space="preserve"> decrease of such support, </w:t>
      </w:r>
      <w:r w:rsidR="006B4898">
        <w:t xml:space="preserve">with </w:t>
      </w:r>
      <w:r w:rsidR="00A24907">
        <w:t>again an alarming</w:t>
      </w:r>
      <w:r w:rsidR="006B4898">
        <w:t xml:space="preserve"> drop during the current biennium</w:t>
      </w:r>
      <w:r w:rsidRPr="00BE5499">
        <w:t xml:space="preserve">. </w:t>
      </w:r>
      <w:r w:rsidR="008B782D">
        <w:t>In particular,</w:t>
      </w:r>
      <w:r w:rsidRPr="00BE5499">
        <w:t xml:space="preserve"> support</w:t>
      </w:r>
      <w:r w:rsidR="008B782D">
        <w:t xml:space="preserve"> to the sub-fund</w:t>
      </w:r>
      <w:r w:rsidRPr="00BE5499">
        <w:t xml:space="preserve"> </w:t>
      </w:r>
      <w:r w:rsidR="008B782D" w:rsidRPr="00BE5499">
        <w:t xml:space="preserve">of the Intangible Cultural Heritage Fund to enhance the human resources of the Secretariat </w:t>
      </w:r>
      <w:r w:rsidRPr="00BE5499">
        <w:t xml:space="preserve">is far from reaching the </w:t>
      </w:r>
      <w:r w:rsidR="004A65FE" w:rsidRPr="00BE5499">
        <w:t xml:space="preserve">annual </w:t>
      </w:r>
      <w:r w:rsidRPr="00BE5499">
        <w:t xml:space="preserve">target of US$1.1 million </w:t>
      </w:r>
      <w:r w:rsidR="004A65FE" w:rsidRPr="00BE5499">
        <w:t>set by the General Assembly (</w:t>
      </w:r>
      <w:hyperlink r:id="rId14" w:history="1">
        <w:r w:rsidR="004A65FE" w:rsidRPr="00BE5499">
          <w:rPr>
            <w:rStyle w:val="Hyperlink"/>
          </w:rPr>
          <w:t>Resolution 3.GA 9</w:t>
        </w:r>
      </w:hyperlink>
      <w:r w:rsidR="004A65FE" w:rsidRPr="00BE5499">
        <w:t xml:space="preserve">). </w:t>
      </w:r>
      <w:r w:rsidR="005E77D3" w:rsidRPr="00BE5499">
        <w:t>More precisely</w:t>
      </w:r>
      <w:r w:rsidR="00451613" w:rsidRPr="00BE5499">
        <w:t>,</w:t>
      </w:r>
      <w:r w:rsidR="005E77D3" w:rsidRPr="00BE5499">
        <w:t xml:space="preserve"> it</w:t>
      </w:r>
      <w:r w:rsidR="006A02BD" w:rsidRPr="00BE5499">
        <w:t xml:space="preserve"> is worth noting that</w:t>
      </w:r>
      <w:r w:rsidR="00795C9F" w:rsidRPr="00BE5499">
        <w:t xml:space="preserve"> since the </w:t>
      </w:r>
      <w:r w:rsidR="002A733B" w:rsidRPr="00BE5499">
        <w:t xml:space="preserve">tenth </w:t>
      </w:r>
      <w:r w:rsidR="00795C9F" w:rsidRPr="00BE5499">
        <w:t xml:space="preserve">session of the Committee, the </w:t>
      </w:r>
      <w:r w:rsidR="008B782D">
        <w:t xml:space="preserve">sub-fund </w:t>
      </w:r>
      <w:r w:rsidR="00795C9F" w:rsidRPr="00BE5499">
        <w:rPr>
          <w:iCs/>
        </w:rPr>
        <w:t>received</w:t>
      </w:r>
      <w:r w:rsidR="00795C9F" w:rsidRPr="00BE5499">
        <w:t xml:space="preserve"> voluntary contributions totalling US$</w:t>
      </w:r>
      <w:r w:rsidR="00B57C44" w:rsidRPr="00BE5499">
        <w:t>114</w:t>
      </w:r>
      <w:r w:rsidR="00F25795" w:rsidRPr="00BE5499">
        <w:t>,</w:t>
      </w:r>
      <w:r w:rsidR="00B57C44" w:rsidRPr="00BE5499">
        <w:t xml:space="preserve">522 </w:t>
      </w:r>
      <w:r w:rsidR="00795C9F" w:rsidRPr="00BE5499">
        <w:t xml:space="preserve">for the period </w:t>
      </w:r>
      <w:r w:rsidR="00A24907">
        <w:t xml:space="preserve">of </w:t>
      </w:r>
      <w:r w:rsidR="00551B28" w:rsidRPr="00BE5499">
        <w:t>October</w:t>
      </w:r>
      <w:r w:rsidR="00B57C44" w:rsidRPr="00BE5499">
        <w:t xml:space="preserve"> 2015</w:t>
      </w:r>
      <w:r w:rsidR="00795C9F" w:rsidRPr="00BE5499">
        <w:t xml:space="preserve"> to October 201</w:t>
      </w:r>
      <w:r w:rsidR="00B57C44" w:rsidRPr="00BE5499">
        <w:t>6</w:t>
      </w:r>
      <w:r w:rsidR="00795C9F" w:rsidRPr="00BE5499">
        <w:t xml:space="preserve">, </w:t>
      </w:r>
      <w:r w:rsidR="00A24907">
        <w:t>only</w:t>
      </w:r>
      <w:r w:rsidR="00795C9F" w:rsidRPr="00BE5499">
        <w:t xml:space="preserve"> </w:t>
      </w:r>
      <w:r w:rsidR="008B782D">
        <w:t>a fourth</w:t>
      </w:r>
      <w:r w:rsidR="00795C9F" w:rsidRPr="00BE5499">
        <w:t xml:space="preserve"> of the amount </w:t>
      </w:r>
      <w:r w:rsidR="00A24907">
        <w:t>received</w:t>
      </w:r>
      <w:r w:rsidR="00795C9F" w:rsidRPr="00BE5499">
        <w:t xml:space="preserve"> into the sub</w:t>
      </w:r>
      <w:r w:rsidR="006A02BD" w:rsidRPr="00BE5499">
        <w:noBreakHyphen/>
      </w:r>
      <w:r w:rsidR="00795C9F" w:rsidRPr="00BE5499">
        <w:t xml:space="preserve">fund between its </w:t>
      </w:r>
      <w:r w:rsidR="00B57C44" w:rsidRPr="00BE5499">
        <w:t xml:space="preserve">ninth </w:t>
      </w:r>
      <w:r w:rsidR="00795C9F" w:rsidRPr="00BE5499">
        <w:t xml:space="preserve">and </w:t>
      </w:r>
      <w:r w:rsidR="00B57C44" w:rsidRPr="00BE5499">
        <w:t xml:space="preserve">tenth </w:t>
      </w:r>
      <w:r w:rsidR="00795C9F" w:rsidRPr="00BE5499">
        <w:t>session.</w:t>
      </w:r>
    </w:p>
    <w:p w14:paraId="51AB7988" w14:textId="0A3D4247" w:rsidR="00EC2A59" w:rsidRPr="009426E5" w:rsidRDefault="00243077" w:rsidP="00DF61FF">
      <w:pPr>
        <w:pStyle w:val="Paragraph"/>
        <w:keepNext/>
        <w:numPr>
          <w:ilvl w:val="0"/>
          <w:numId w:val="0"/>
        </w:numPr>
        <w:spacing w:after="120"/>
        <w:ind w:left="567"/>
        <w:jc w:val="left"/>
      </w:pPr>
      <w:r>
        <w:rPr>
          <w:noProof/>
          <w:lang w:val="fr-FR" w:eastAsia="ko-KR"/>
        </w:rPr>
        <w:drawing>
          <wp:inline distT="0" distB="0" distL="0" distR="0" wp14:anchorId="6B2446DA" wp14:editId="155B8D6C">
            <wp:extent cx="5448300" cy="4524375"/>
            <wp:effectExtent l="0" t="0" r="0" b="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401250" w14:textId="4994B567" w:rsidR="00EC2A59" w:rsidRPr="009426E5" w:rsidRDefault="00EC2A59" w:rsidP="00D901E2">
      <w:pPr>
        <w:pStyle w:val="Caption"/>
        <w:ind w:left="567"/>
        <w:rPr>
          <w:rFonts w:ascii="Arial" w:hAnsi="Arial" w:cs="Arial"/>
          <w:i w:val="0"/>
          <w:color w:val="auto"/>
          <w:lang w:val="en-GB"/>
        </w:rPr>
      </w:pPr>
      <w:r w:rsidRPr="009426E5">
        <w:rPr>
          <w:rFonts w:ascii="Arial" w:hAnsi="Arial" w:cs="Arial"/>
          <w:b/>
          <w:i w:val="0"/>
          <w:color w:val="auto"/>
          <w:lang w:val="en-GB"/>
        </w:rPr>
        <w:t xml:space="preserve">Figure </w:t>
      </w:r>
      <w:r w:rsidRPr="009426E5">
        <w:rPr>
          <w:rFonts w:ascii="Arial" w:hAnsi="Arial" w:cs="Arial"/>
          <w:b/>
          <w:i w:val="0"/>
          <w:color w:val="auto"/>
          <w:lang w:val="en-GB"/>
        </w:rPr>
        <w:fldChar w:fldCharType="begin"/>
      </w:r>
      <w:r w:rsidRPr="009426E5">
        <w:rPr>
          <w:rFonts w:ascii="Arial" w:hAnsi="Arial" w:cs="Arial"/>
          <w:b/>
          <w:i w:val="0"/>
          <w:color w:val="auto"/>
          <w:lang w:val="en-GB"/>
        </w:rPr>
        <w:instrText xml:space="preserve"> SEQ Figure \* ARABIC </w:instrText>
      </w:r>
      <w:r w:rsidRPr="009426E5">
        <w:rPr>
          <w:rFonts w:ascii="Arial" w:hAnsi="Arial" w:cs="Arial"/>
          <w:b/>
          <w:i w:val="0"/>
          <w:color w:val="auto"/>
          <w:lang w:val="en-GB"/>
        </w:rPr>
        <w:fldChar w:fldCharType="separate"/>
      </w:r>
      <w:r w:rsidR="00EA6F06">
        <w:rPr>
          <w:rFonts w:ascii="Arial" w:hAnsi="Arial" w:cs="Arial"/>
          <w:b/>
          <w:i w:val="0"/>
          <w:noProof/>
          <w:color w:val="auto"/>
          <w:lang w:val="en-GB"/>
        </w:rPr>
        <w:t>2</w:t>
      </w:r>
      <w:r w:rsidRPr="009426E5">
        <w:rPr>
          <w:rFonts w:ascii="Arial" w:hAnsi="Arial" w:cs="Arial"/>
          <w:b/>
          <w:i w:val="0"/>
          <w:color w:val="auto"/>
          <w:lang w:val="en-GB"/>
        </w:rPr>
        <w:fldChar w:fldCharType="end"/>
      </w:r>
      <w:r w:rsidRPr="009426E5">
        <w:rPr>
          <w:rFonts w:ascii="Arial" w:hAnsi="Arial" w:cs="Arial"/>
          <w:i w:val="0"/>
          <w:color w:val="auto"/>
          <w:lang w:val="en-GB"/>
        </w:rPr>
        <w:t xml:space="preserve">: Evolution of </w:t>
      </w:r>
      <w:r w:rsidR="00243077">
        <w:rPr>
          <w:rFonts w:ascii="Arial" w:hAnsi="Arial" w:cs="Arial"/>
          <w:i w:val="0"/>
          <w:color w:val="auto"/>
          <w:lang w:val="en-GB"/>
        </w:rPr>
        <w:t>resources mobilized in</w:t>
      </w:r>
      <w:r w:rsidR="00243077" w:rsidRPr="009426E5">
        <w:rPr>
          <w:rFonts w:ascii="Arial" w:hAnsi="Arial" w:cs="Arial"/>
          <w:i w:val="0"/>
          <w:color w:val="auto"/>
          <w:lang w:val="en-GB"/>
        </w:rPr>
        <w:t xml:space="preserve"> </w:t>
      </w:r>
      <w:r w:rsidRPr="009426E5">
        <w:rPr>
          <w:rFonts w:ascii="Arial" w:hAnsi="Arial" w:cs="Arial"/>
          <w:i w:val="0"/>
          <w:color w:val="auto"/>
          <w:lang w:val="en-GB"/>
        </w:rPr>
        <w:t xml:space="preserve">support </w:t>
      </w:r>
      <w:r w:rsidR="00243077">
        <w:rPr>
          <w:rFonts w:ascii="Arial" w:hAnsi="Arial" w:cs="Arial"/>
          <w:i w:val="0"/>
          <w:color w:val="auto"/>
          <w:lang w:val="en-GB"/>
        </w:rPr>
        <w:t>of</w:t>
      </w:r>
      <w:r w:rsidR="00243077" w:rsidRPr="009426E5">
        <w:rPr>
          <w:rFonts w:ascii="Arial" w:hAnsi="Arial" w:cs="Arial"/>
          <w:i w:val="0"/>
          <w:color w:val="auto"/>
          <w:lang w:val="en-GB"/>
        </w:rPr>
        <w:t xml:space="preserve"> </w:t>
      </w:r>
      <w:r w:rsidRPr="009426E5">
        <w:rPr>
          <w:rFonts w:ascii="Arial" w:hAnsi="Arial" w:cs="Arial"/>
          <w:i w:val="0"/>
          <w:color w:val="auto"/>
          <w:lang w:val="en-GB"/>
        </w:rPr>
        <w:t>human resources</w:t>
      </w:r>
    </w:p>
    <w:p w14:paraId="3DF052EB" w14:textId="6900193E" w:rsidR="00C31FA0" w:rsidRPr="009426E5" w:rsidRDefault="005E4F5C" w:rsidP="00243077">
      <w:pPr>
        <w:pStyle w:val="Paragraph"/>
        <w:tabs>
          <w:tab w:val="clear" w:pos="360"/>
          <w:tab w:val="num" w:pos="567"/>
        </w:tabs>
        <w:spacing w:after="120"/>
        <w:ind w:left="567" w:hanging="567"/>
      </w:pPr>
      <w:r w:rsidRPr="009426E5">
        <w:t>T</w:t>
      </w:r>
      <w:r w:rsidR="00984D8E" w:rsidRPr="009426E5">
        <w:t xml:space="preserve">he two figures </w:t>
      </w:r>
      <w:r w:rsidR="008A7B0B" w:rsidRPr="009426E5">
        <w:t xml:space="preserve">above </w:t>
      </w:r>
      <w:r w:rsidR="00984D8E" w:rsidRPr="009426E5">
        <w:t>show a</w:t>
      </w:r>
      <w:r w:rsidR="008F3003">
        <w:t>n</w:t>
      </w:r>
      <w:r w:rsidR="00984D8E" w:rsidRPr="009426E5">
        <w:t xml:space="preserve"> </w:t>
      </w:r>
      <w:r w:rsidR="008F3003" w:rsidRPr="008F3003">
        <w:t>undeniable</w:t>
      </w:r>
      <w:r w:rsidR="008F3003" w:rsidRPr="008F3003" w:rsidDel="008F3003">
        <w:t xml:space="preserve"> </w:t>
      </w:r>
      <w:r w:rsidR="00984D8E" w:rsidRPr="009426E5">
        <w:t xml:space="preserve">decline in support </w:t>
      </w:r>
      <w:r w:rsidR="00E80FEF" w:rsidRPr="009426E5">
        <w:t xml:space="preserve">to </w:t>
      </w:r>
      <w:r w:rsidR="00984D8E" w:rsidRPr="009426E5">
        <w:t xml:space="preserve">the Convention through the </w:t>
      </w:r>
      <w:r w:rsidR="008A7B0B" w:rsidRPr="009426E5">
        <w:t xml:space="preserve">Intangible Cultural Heritage </w:t>
      </w:r>
      <w:r w:rsidR="00984D8E" w:rsidRPr="009426E5">
        <w:t xml:space="preserve">Fund, </w:t>
      </w:r>
      <w:r w:rsidR="00E80FEF" w:rsidRPr="009426E5">
        <w:t xml:space="preserve">in terms of </w:t>
      </w:r>
      <w:r w:rsidR="008A7B0B" w:rsidRPr="009426E5">
        <w:t xml:space="preserve">earmarked contributions for the capacity-building programme </w:t>
      </w:r>
      <w:r w:rsidR="00E80FEF" w:rsidRPr="009426E5">
        <w:t>and of</w:t>
      </w:r>
      <w:r w:rsidR="008A7B0B" w:rsidRPr="009426E5">
        <w:t xml:space="preserve"> contributions to </w:t>
      </w:r>
      <w:r w:rsidR="00F866D7" w:rsidRPr="009426E5">
        <w:t xml:space="preserve">the </w:t>
      </w:r>
      <w:r w:rsidR="008A7B0B" w:rsidRPr="009426E5">
        <w:t xml:space="preserve">sub-fund </w:t>
      </w:r>
      <w:r w:rsidR="008A7B0B" w:rsidRPr="009426E5">
        <w:rPr>
          <w:color w:val="000000"/>
        </w:rPr>
        <w:t xml:space="preserve">for enhancing human </w:t>
      </w:r>
      <w:r w:rsidR="00F866D7" w:rsidRPr="009426E5">
        <w:rPr>
          <w:color w:val="000000"/>
        </w:rPr>
        <w:t>resource</w:t>
      </w:r>
      <w:r w:rsidR="008A7B0B" w:rsidRPr="009426E5">
        <w:rPr>
          <w:color w:val="000000"/>
        </w:rPr>
        <w:t>s of the Secretariat.</w:t>
      </w:r>
      <w:r w:rsidR="001E392E" w:rsidRPr="009426E5">
        <w:rPr>
          <w:color w:val="000000"/>
        </w:rPr>
        <w:t xml:space="preserve"> For the former, the underutilization of this </w:t>
      </w:r>
      <w:r w:rsidR="001E392E" w:rsidRPr="009426E5">
        <w:t>modality</w:t>
      </w:r>
      <w:r w:rsidR="001E392E" w:rsidRPr="009426E5">
        <w:rPr>
          <w:color w:val="000000"/>
        </w:rPr>
        <w:t xml:space="preserve"> is unfortunate since it has proven to be </w:t>
      </w:r>
      <w:r w:rsidR="001E392E" w:rsidRPr="009426E5">
        <w:t xml:space="preserve">particularly suited to the spirit of the capacity-building strategy as it allows effective use of resources by UNESCO, from a </w:t>
      </w:r>
      <w:r w:rsidR="00F866D7" w:rsidRPr="009426E5">
        <w:t>thorough</w:t>
      </w:r>
      <w:r w:rsidR="001E392E" w:rsidRPr="009426E5">
        <w:t xml:space="preserve"> needs assessment and consultation with national counterparts to project implementation. </w:t>
      </w:r>
      <w:r w:rsidR="00B45DD6" w:rsidRPr="009426E5">
        <w:t xml:space="preserve">For the latter, it is equally unfortunate </w:t>
      </w:r>
      <w:r w:rsidR="00B45DD6" w:rsidRPr="009426E5">
        <w:lastRenderedPageBreak/>
        <w:t>since</w:t>
      </w:r>
      <w:r w:rsidR="00886304" w:rsidRPr="009426E5">
        <w:t>,</w:t>
      </w:r>
      <w:r w:rsidR="00B45DD6" w:rsidRPr="009426E5">
        <w:t xml:space="preserve"> without discrediting the merits of </w:t>
      </w:r>
      <w:r w:rsidR="00B45DD6" w:rsidRPr="009426E5">
        <w:rPr>
          <w:rStyle w:val="hps"/>
        </w:rPr>
        <w:t>the</w:t>
      </w:r>
      <w:r w:rsidR="00B45DD6" w:rsidRPr="009426E5">
        <w:t xml:space="preserve"> other modalities, the sub-fund is the only mechanism that can secure a sustainable workforce adapted to the statutory functions that the Secretariat must perform.</w:t>
      </w:r>
    </w:p>
    <w:p w14:paraId="4F477540" w14:textId="3FFA8738" w:rsidR="008C7C8F" w:rsidRPr="009426E5" w:rsidRDefault="00853FBA" w:rsidP="00243077">
      <w:pPr>
        <w:pStyle w:val="Paragraph"/>
        <w:tabs>
          <w:tab w:val="clear" w:pos="360"/>
          <w:tab w:val="num" w:pos="567"/>
        </w:tabs>
        <w:spacing w:after="120"/>
        <w:ind w:left="567" w:hanging="567"/>
      </w:pPr>
      <w:r w:rsidRPr="009426E5">
        <w:t xml:space="preserve">Other </w:t>
      </w:r>
      <w:r w:rsidR="005C479C" w:rsidRPr="009426E5">
        <w:t>unfortunate circumstance</w:t>
      </w:r>
      <w:r w:rsidRPr="009426E5">
        <w:t>s</w:t>
      </w:r>
      <w:r w:rsidR="00432FC4" w:rsidRPr="009426E5">
        <w:t xml:space="preserve"> </w:t>
      </w:r>
      <w:r w:rsidRPr="009426E5">
        <w:t xml:space="preserve">need to be </w:t>
      </w:r>
      <w:r w:rsidR="00432FC4" w:rsidRPr="009426E5">
        <w:t>brought to the attention of the Committee regarding support to the Convention on a voluntary basis.</w:t>
      </w:r>
      <w:r w:rsidR="00BC1783" w:rsidRPr="009426E5">
        <w:t xml:space="preserve"> </w:t>
      </w:r>
      <w:r w:rsidR="004B6CCD" w:rsidRPr="009426E5">
        <w:rPr>
          <w:rStyle w:val="hps"/>
        </w:rPr>
        <w:t>A</w:t>
      </w:r>
      <w:r w:rsidR="003753EE" w:rsidRPr="009426E5">
        <w:t xml:space="preserve">t its eight session, the Committee approved two projects to be supported by earmarked </w:t>
      </w:r>
      <w:r w:rsidR="003753EE" w:rsidRPr="009426E5">
        <w:rPr>
          <w:rStyle w:val="hps"/>
        </w:rPr>
        <w:t>contributions</w:t>
      </w:r>
      <w:r w:rsidR="003753EE" w:rsidRPr="009426E5">
        <w:t xml:space="preserve"> to the Intangible Cultural Heritage Fund: a contribution of US$200,000 from Brazil to support a two-year programme for strengthening national capacities for safeguarding intangible cultural heritage in Paraguay and a contribution of US$48,469 from Viet Nam to support a </w:t>
      </w:r>
      <w:r w:rsidR="003753EE" w:rsidRPr="009426E5">
        <w:rPr>
          <w:rStyle w:val="hps"/>
        </w:rPr>
        <w:t>category</w:t>
      </w:r>
      <w:r w:rsidR="003753EE" w:rsidRPr="009426E5">
        <w:t xml:space="preserve"> VI expert meeting on the </w:t>
      </w:r>
      <w:r w:rsidR="00507CA5" w:rsidRPr="009426E5">
        <w:t>links</w:t>
      </w:r>
      <w:r w:rsidR="003753EE" w:rsidRPr="009426E5">
        <w:t xml:space="preserve"> between intangible cultural heritage and climate change (</w:t>
      </w:r>
      <w:hyperlink r:id="rId16" w:history="1">
        <w:r w:rsidR="003753EE" w:rsidRPr="009426E5">
          <w:rPr>
            <w:rStyle w:val="Hyperlink"/>
          </w:rPr>
          <w:t>Decision 8.COM 12</w:t>
        </w:r>
      </w:hyperlink>
      <w:r w:rsidR="003753EE" w:rsidRPr="009426E5">
        <w:t xml:space="preserve">). </w:t>
      </w:r>
      <w:r w:rsidR="00BC3488" w:rsidRPr="009426E5">
        <w:t>Following the Committee’s invitation to these two countries to inform the Secretariat of the status of their respective outstanding contributions (</w:t>
      </w:r>
      <w:hyperlink r:id="rId17" w:history="1">
        <w:r w:rsidR="00BC3488" w:rsidRPr="009426E5">
          <w:rPr>
            <w:rStyle w:val="Hyperlink"/>
          </w:rPr>
          <w:t>Decision 10.COM 9</w:t>
        </w:r>
      </w:hyperlink>
      <w:r w:rsidR="00BC3488" w:rsidRPr="009426E5">
        <w:t xml:space="preserve">), Brazil informed the Secretariat by diplomatic note on 22 February 2016 of its inability to comply with that decision due to legal and budgetary issues. </w:t>
      </w:r>
      <w:r w:rsidR="00E234B6" w:rsidRPr="00C75E87">
        <w:rPr>
          <w:rStyle w:val="shorttext"/>
        </w:rPr>
        <w:t xml:space="preserve">Concerning </w:t>
      </w:r>
      <w:r w:rsidR="00BB1958" w:rsidRPr="00C75E87">
        <w:rPr>
          <w:rStyle w:val="shorttext"/>
        </w:rPr>
        <w:t xml:space="preserve">the </w:t>
      </w:r>
      <w:r w:rsidR="00BC3488" w:rsidRPr="00C75E87">
        <w:rPr>
          <w:rStyle w:val="shorttext"/>
        </w:rPr>
        <w:t xml:space="preserve">outstanding </w:t>
      </w:r>
      <w:r w:rsidR="00BB1958" w:rsidRPr="00C75E87">
        <w:rPr>
          <w:rStyle w:val="shorttext"/>
        </w:rPr>
        <w:t>contribution of Vietnam</w:t>
      </w:r>
      <w:r w:rsidR="00BB1958" w:rsidRPr="009426E5">
        <w:t xml:space="preserve">, </w:t>
      </w:r>
      <w:r w:rsidR="00880000" w:rsidRPr="009426E5">
        <w:t xml:space="preserve">the Secretariat </w:t>
      </w:r>
      <w:r w:rsidR="00880000">
        <w:t>was informed on 18 November 2016 that, due to the budgetary difficulties faced by Vietnam, the country will not be able to pay the voluntary contribution approved by the Committee in 2013</w:t>
      </w:r>
      <w:r w:rsidR="00795C9F" w:rsidRPr="009426E5">
        <w:t>.</w:t>
      </w:r>
    </w:p>
    <w:p w14:paraId="59751B65" w14:textId="7FA9CAEE" w:rsidR="00BC3488" w:rsidRPr="009426E5" w:rsidRDefault="00062D40" w:rsidP="003845BE">
      <w:pPr>
        <w:pStyle w:val="Paragraph"/>
        <w:tabs>
          <w:tab w:val="clear" w:pos="360"/>
          <w:tab w:val="num" w:pos="567"/>
        </w:tabs>
        <w:spacing w:after="120"/>
        <w:ind w:left="567" w:hanging="567"/>
      </w:pPr>
      <w:r w:rsidRPr="009426E5">
        <w:t xml:space="preserve">Voluntary </w:t>
      </w:r>
      <w:r>
        <w:t>s</w:t>
      </w:r>
      <w:r w:rsidR="00BC3488" w:rsidRPr="009426E5">
        <w:t xml:space="preserve">upplementary contributions </w:t>
      </w:r>
      <w:r w:rsidR="00DB4E1A" w:rsidRPr="009426E5">
        <w:t xml:space="preserve">to the Intangible Cultural Heritage Fund </w:t>
      </w:r>
      <w:r w:rsidR="00BC3488" w:rsidRPr="009426E5">
        <w:t xml:space="preserve">are also the condition laid by the Committee to </w:t>
      </w:r>
      <w:r w:rsidR="00BC3488" w:rsidRPr="009426E5">
        <w:rPr>
          <w:lang w:eastAsia="en-GB"/>
        </w:rPr>
        <w:t xml:space="preserve">cover the costs of organizing two </w:t>
      </w:r>
      <w:r w:rsidR="00BC3488" w:rsidRPr="009426E5">
        <w:t>open ended intergovernmental working group</w:t>
      </w:r>
      <w:r w:rsidR="00DB4E1A" w:rsidRPr="009426E5">
        <w:t>s</w:t>
      </w:r>
      <w:r w:rsidR="00BC3488" w:rsidRPr="009426E5">
        <w:t xml:space="preserve"> on two different themes. Indeed, at its ninth session, the Committee decided to ‘convene an open ended intergovernmental working group during the course of 2016 to examine preliminary recommendations of possible directives’ (</w:t>
      </w:r>
      <w:hyperlink r:id="rId18" w:history="1">
        <w:r w:rsidR="00BC3488" w:rsidRPr="009426E5">
          <w:rPr>
            <w:rStyle w:val="Hyperlink"/>
          </w:rPr>
          <w:t>Decision 9.COM 13.e</w:t>
        </w:r>
      </w:hyperlink>
      <w:r w:rsidR="00BC3488" w:rsidRPr="009426E5">
        <w:t xml:space="preserve">) </w:t>
      </w:r>
      <w:r w:rsidR="00DB4E1A" w:rsidRPr="009426E5">
        <w:t>concerning</w:t>
      </w:r>
      <w:r w:rsidR="00BC3488" w:rsidRPr="009426E5">
        <w:t xml:space="preserve"> an overall results framework for the Convention</w:t>
      </w:r>
      <w:r w:rsidR="00DB4E1A" w:rsidRPr="009426E5">
        <w:t xml:space="preserve"> while, at its tenth session, it decided to conv</w:t>
      </w:r>
      <w:r w:rsidR="003845BE">
        <w:t>ene a similar working group on the procedure</w:t>
      </w:r>
      <w:r w:rsidR="003845BE" w:rsidRPr="003845BE">
        <w:t xml:space="preserve"> on the transfer of an element from one List to the other and the removal of an element from a List</w:t>
      </w:r>
      <w:r w:rsidR="00DB4E1A" w:rsidRPr="009426E5">
        <w:t xml:space="preserve"> (</w:t>
      </w:r>
      <w:hyperlink r:id="rId19" w:history="1">
        <w:r w:rsidR="00DB4E1A" w:rsidRPr="009426E5">
          <w:rPr>
            <w:rStyle w:val="Hyperlink"/>
          </w:rPr>
          <w:t>Decision 10.COM 19</w:t>
        </w:r>
      </w:hyperlink>
      <w:r w:rsidR="00DB4E1A" w:rsidRPr="009426E5">
        <w:t xml:space="preserve">). </w:t>
      </w:r>
      <w:r w:rsidR="003915D4">
        <w:t>At the time of writing</w:t>
      </w:r>
      <w:r w:rsidR="00657A4C">
        <w:t>,</w:t>
      </w:r>
      <w:r w:rsidR="003915D4">
        <w:t xml:space="preserve"> the Secretariat is in consultation with a State Party which has expressed interest in hosting the open ended working group on the overall results framework. </w:t>
      </w:r>
      <w:r w:rsidR="00DB4E1A" w:rsidRPr="009426E5">
        <w:t>In addition to the unfeasibility of organizing both working groups in the same year, the Secretariat will only be in a position to organize them if the required respective contributions are received at least six months before the possible date of their holding.</w:t>
      </w:r>
    </w:p>
    <w:p w14:paraId="142854BE" w14:textId="77777777" w:rsidR="00D95C4C" w:rsidRPr="009426E5" w:rsidRDefault="000B1C8F" w:rsidP="00EC2A59">
      <w:pPr>
        <w:pStyle w:val="Paragraph"/>
        <w:tabs>
          <w:tab w:val="clear" w:pos="360"/>
          <w:tab w:val="num" w:pos="567"/>
        </w:tabs>
        <w:spacing w:after="120"/>
        <w:ind w:left="567" w:hanging="567"/>
      </w:pPr>
      <w:r w:rsidRPr="009426E5">
        <w:t>The Committee may wish to adopt the following decision</w:t>
      </w:r>
      <w:r w:rsidR="00D95C4C" w:rsidRPr="009426E5">
        <w:t>:</w:t>
      </w:r>
    </w:p>
    <w:p w14:paraId="6A47B717" w14:textId="4CC1D813" w:rsidR="00D95C4C" w:rsidRPr="009426E5" w:rsidRDefault="004A34A0" w:rsidP="00041A66">
      <w:pPr>
        <w:pStyle w:val="COMTitleDecision"/>
        <w:rPr>
          <w:rFonts w:eastAsia="SimSun"/>
        </w:rPr>
      </w:pPr>
      <w:r w:rsidRPr="009426E5">
        <w:t xml:space="preserve">DRAFT </w:t>
      </w:r>
      <w:r w:rsidR="00D8250F" w:rsidRPr="009426E5">
        <w:t>DECISION 1</w:t>
      </w:r>
      <w:r w:rsidR="00F45AEE" w:rsidRPr="009426E5">
        <w:t>1</w:t>
      </w:r>
      <w:r w:rsidR="00EC6F8D" w:rsidRPr="009426E5">
        <w:t>.COM</w:t>
      </w:r>
      <w:r w:rsidR="00EC2A59" w:rsidRPr="009426E5">
        <w:t> </w:t>
      </w:r>
      <w:r w:rsidR="00F45AEE" w:rsidRPr="009426E5">
        <w:t>6</w:t>
      </w:r>
    </w:p>
    <w:p w14:paraId="5C47E4CA" w14:textId="77777777" w:rsidR="00D95C4C" w:rsidRPr="006B05BC" w:rsidRDefault="00285BB4" w:rsidP="00285BB4">
      <w:pPr>
        <w:pStyle w:val="COMPreambulaDecisions"/>
        <w:rPr>
          <w:rFonts w:eastAsia="SimSun"/>
        </w:rPr>
      </w:pPr>
      <w:r w:rsidRPr="006B05BC">
        <w:t>The Committee,</w:t>
      </w:r>
    </w:p>
    <w:p w14:paraId="4D2107C0" w14:textId="3BB6BE31" w:rsidR="0057439C" w:rsidRPr="006B05BC" w:rsidRDefault="00D95C4C" w:rsidP="00EE21D0">
      <w:pPr>
        <w:pStyle w:val="COMParaDecision"/>
        <w:ind w:left="1134" w:hanging="567"/>
        <w:jc w:val="left"/>
      </w:pPr>
      <w:r w:rsidRPr="006B05BC">
        <w:t>Having examined</w:t>
      </w:r>
      <w:r w:rsidRPr="006B05BC">
        <w:rPr>
          <w:u w:val="none"/>
        </w:rPr>
        <w:t xml:space="preserve"> doc</w:t>
      </w:r>
      <w:r w:rsidR="00D8250F" w:rsidRPr="006B05BC">
        <w:rPr>
          <w:u w:val="none"/>
        </w:rPr>
        <w:t>ument ITH/1</w:t>
      </w:r>
      <w:r w:rsidR="00F45AEE" w:rsidRPr="006B05BC">
        <w:rPr>
          <w:u w:val="none"/>
        </w:rPr>
        <w:t>6</w:t>
      </w:r>
      <w:r w:rsidR="00D8250F" w:rsidRPr="006B05BC">
        <w:rPr>
          <w:u w:val="none"/>
        </w:rPr>
        <w:t>/</w:t>
      </w:r>
      <w:r w:rsidR="00F45AEE" w:rsidRPr="006B05BC">
        <w:rPr>
          <w:u w:val="none"/>
        </w:rPr>
        <w:t>11</w:t>
      </w:r>
      <w:r w:rsidR="00EC6F8D" w:rsidRPr="006B05BC">
        <w:rPr>
          <w:u w:val="none"/>
        </w:rPr>
        <w:t>.COM</w:t>
      </w:r>
      <w:r w:rsidR="004A34A0" w:rsidRPr="006B05BC">
        <w:rPr>
          <w:u w:val="none"/>
        </w:rPr>
        <w:t>/</w:t>
      </w:r>
      <w:r w:rsidR="00F45AEE" w:rsidRPr="006B05BC">
        <w:rPr>
          <w:u w:val="none"/>
        </w:rPr>
        <w:t>6</w:t>
      </w:r>
      <w:r w:rsidR="00D3756A">
        <w:rPr>
          <w:u w:val="none"/>
        </w:rPr>
        <w:t> Rev.</w:t>
      </w:r>
      <w:r w:rsidR="00F45AEE" w:rsidRPr="006B05BC">
        <w:rPr>
          <w:u w:val="none"/>
        </w:rPr>
        <w:t xml:space="preserve"> </w:t>
      </w:r>
      <w:r w:rsidR="00EC2A59" w:rsidRPr="006B05BC">
        <w:rPr>
          <w:u w:val="none"/>
        </w:rPr>
        <w:t>and its annexes</w:t>
      </w:r>
      <w:r w:rsidRPr="006B05BC">
        <w:rPr>
          <w:u w:val="none"/>
        </w:rPr>
        <w:t>,</w:t>
      </w:r>
    </w:p>
    <w:p w14:paraId="603FB124" w14:textId="77777777" w:rsidR="00A4292F" w:rsidRPr="006B05BC" w:rsidRDefault="0057439C" w:rsidP="00EE21D0">
      <w:pPr>
        <w:pStyle w:val="COMParaDecision"/>
        <w:ind w:left="1134" w:hanging="567"/>
      </w:pPr>
      <w:r w:rsidRPr="006B05BC">
        <w:t>Recalling</w:t>
      </w:r>
      <w:r w:rsidR="005B7A35" w:rsidRPr="006B05BC">
        <w:rPr>
          <w:u w:val="none"/>
        </w:rPr>
        <w:t xml:space="preserve"> </w:t>
      </w:r>
      <w:r w:rsidR="00EC2A59" w:rsidRPr="006B05BC">
        <w:rPr>
          <w:u w:val="none"/>
        </w:rPr>
        <w:t>Article 25.5 of the Convention and Chapter II of the Operational Directives</w:t>
      </w:r>
      <w:r w:rsidR="00A4292F" w:rsidRPr="006B05BC">
        <w:rPr>
          <w:u w:val="none"/>
        </w:rPr>
        <w:t>,</w:t>
      </w:r>
    </w:p>
    <w:p w14:paraId="07333FF3" w14:textId="6296F89D" w:rsidR="0057439C" w:rsidRPr="006B05BC" w:rsidRDefault="00A4292F" w:rsidP="00C75E87">
      <w:pPr>
        <w:pStyle w:val="COMParaDecision"/>
        <w:ind w:left="1134" w:hanging="567"/>
      </w:pPr>
      <w:r w:rsidRPr="006B05BC">
        <w:t>Further recalling</w:t>
      </w:r>
      <w:r w:rsidRPr="00C75E87">
        <w:rPr>
          <w:u w:val="none"/>
        </w:rPr>
        <w:t xml:space="preserve"> Decisions 8.COM 12</w:t>
      </w:r>
      <w:r w:rsidR="00F45AEE" w:rsidRPr="00C75E87">
        <w:rPr>
          <w:u w:val="none"/>
        </w:rPr>
        <w:t>,</w:t>
      </w:r>
      <w:r w:rsidRPr="00C75E87">
        <w:rPr>
          <w:u w:val="none"/>
        </w:rPr>
        <w:t xml:space="preserve"> 9.COM 7</w:t>
      </w:r>
      <w:r w:rsidR="00EC523D" w:rsidRPr="00C75E87">
        <w:rPr>
          <w:u w:val="none"/>
        </w:rPr>
        <w:t xml:space="preserve">, </w:t>
      </w:r>
      <w:r w:rsidR="00EC523D" w:rsidRPr="006B05BC">
        <w:rPr>
          <w:u w:val="none"/>
        </w:rPr>
        <w:t>9.COM 13.e</w:t>
      </w:r>
      <w:r w:rsidR="00F45AEE" w:rsidRPr="00C75E87">
        <w:rPr>
          <w:u w:val="none"/>
        </w:rPr>
        <w:t xml:space="preserve"> and 10.COM 9</w:t>
      </w:r>
      <w:r w:rsidR="00BC3488" w:rsidRPr="00C75E87">
        <w:rPr>
          <w:u w:val="none"/>
        </w:rPr>
        <w:t>,</w:t>
      </w:r>
    </w:p>
    <w:p w14:paraId="5E8692E7" w14:textId="5C5B0525" w:rsidR="00EC2A59" w:rsidRPr="00C75E87" w:rsidRDefault="00EC2A59" w:rsidP="00EE21D0">
      <w:pPr>
        <w:pStyle w:val="COMParaDecision"/>
        <w:ind w:left="1134" w:hanging="567"/>
      </w:pPr>
      <w:r w:rsidRPr="00C75E87">
        <w:t>Commends</w:t>
      </w:r>
      <w:r w:rsidRPr="00C75E87">
        <w:rPr>
          <w:u w:val="none"/>
        </w:rPr>
        <w:t xml:space="preserve"> </w:t>
      </w:r>
      <w:r w:rsidR="00DE28AB" w:rsidRPr="00C75E87">
        <w:rPr>
          <w:u w:val="none"/>
        </w:rPr>
        <w:t xml:space="preserve">the </w:t>
      </w:r>
      <w:r w:rsidR="00DE28AB" w:rsidRPr="00C75E87">
        <w:rPr>
          <w:rStyle w:val="hps"/>
          <w:u w:val="none"/>
        </w:rPr>
        <w:t xml:space="preserve">Republic of </w:t>
      </w:r>
      <w:r w:rsidR="00DB4E1A" w:rsidRPr="00C75E87">
        <w:rPr>
          <w:rStyle w:val="hps"/>
          <w:u w:val="none"/>
        </w:rPr>
        <w:t xml:space="preserve">Korea </w:t>
      </w:r>
      <w:r w:rsidRPr="00C75E87">
        <w:rPr>
          <w:u w:val="none"/>
        </w:rPr>
        <w:t xml:space="preserve">for its generous offer of a voluntary supplementary contribution to the Intangible Cultural Heritage Fund to </w:t>
      </w:r>
      <w:r w:rsidR="00DB4E1A" w:rsidRPr="00C75E87">
        <w:rPr>
          <w:u w:val="none"/>
        </w:rPr>
        <w:t>improve the periodic reporting mechanisms under the Convention</w:t>
      </w:r>
      <w:r w:rsidR="00A4292F" w:rsidRPr="00C75E87">
        <w:rPr>
          <w:u w:val="none"/>
        </w:rPr>
        <w:t>;</w:t>
      </w:r>
    </w:p>
    <w:p w14:paraId="1399E63F" w14:textId="33471CB4" w:rsidR="00A4292F" w:rsidRPr="00C75E87" w:rsidRDefault="00A4292F" w:rsidP="00EE21D0">
      <w:pPr>
        <w:pStyle w:val="COMParaDecision"/>
        <w:ind w:left="1134" w:hanging="567"/>
      </w:pPr>
      <w:r w:rsidRPr="00C75E87">
        <w:t>Accepts with gratitude</w:t>
      </w:r>
      <w:r w:rsidRPr="00C75E87">
        <w:rPr>
          <w:u w:val="none"/>
        </w:rPr>
        <w:t xml:space="preserve"> the generous contribution of </w:t>
      </w:r>
      <w:r w:rsidR="00DE28AB" w:rsidRPr="00C75E87">
        <w:rPr>
          <w:u w:val="none"/>
        </w:rPr>
        <w:t xml:space="preserve">the </w:t>
      </w:r>
      <w:r w:rsidR="00DB4E1A" w:rsidRPr="00C75E87">
        <w:rPr>
          <w:rStyle w:val="hps"/>
          <w:u w:val="none"/>
        </w:rPr>
        <w:t>Republic of Korea</w:t>
      </w:r>
      <w:r w:rsidRPr="00C75E87">
        <w:rPr>
          <w:u w:val="none"/>
        </w:rPr>
        <w:t xml:space="preserve">, </w:t>
      </w:r>
      <w:r w:rsidRPr="00C75E87">
        <w:t>approves</w:t>
      </w:r>
      <w:r w:rsidRPr="00C75E87">
        <w:rPr>
          <w:u w:val="none"/>
        </w:rPr>
        <w:t xml:space="preserve"> its specific purpose and </w:t>
      </w:r>
      <w:r w:rsidRPr="00C75E87">
        <w:t>requests</w:t>
      </w:r>
      <w:r w:rsidRPr="00C75E87">
        <w:rPr>
          <w:u w:val="none"/>
        </w:rPr>
        <w:t xml:space="preserve"> the Secretariat to </w:t>
      </w:r>
      <w:r w:rsidRPr="00C75E87">
        <w:rPr>
          <w:rFonts w:eastAsia="Times New Roman"/>
          <w:u w:val="none"/>
        </w:rPr>
        <w:t xml:space="preserve">ensure </w:t>
      </w:r>
      <w:r w:rsidR="00C51020" w:rsidRPr="00C75E87">
        <w:rPr>
          <w:rFonts w:eastAsia="Times New Roman"/>
          <w:u w:val="none"/>
        </w:rPr>
        <w:t>its proper planning and implementation</w:t>
      </w:r>
      <w:r w:rsidRPr="00C75E87">
        <w:rPr>
          <w:rFonts w:eastAsia="Times New Roman"/>
          <w:u w:val="none"/>
        </w:rPr>
        <w:t>;</w:t>
      </w:r>
    </w:p>
    <w:p w14:paraId="582DF0D8" w14:textId="53ABEC78" w:rsidR="00707F31" w:rsidRPr="00C75E87" w:rsidRDefault="00E84CC8" w:rsidP="00C75E87">
      <w:pPr>
        <w:pStyle w:val="COMParaDecision"/>
        <w:ind w:left="1134" w:hanging="567"/>
        <w:rPr>
          <w:u w:val="none"/>
        </w:rPr>
      </w:pPr>
      <w:r w:rsidRPr="00C75E87">
        <w:t>Expresses its concern</w:t>
      </w:r>
      <w:r w:rsidRPr="00C75E87">
        <w:rPr>
          <w:u w:val="none"/>
        </w:rPr>
        <w:t xml:space="preserve"> on the </w:t>
      </w:r>
      <w:r w:rsidR="00062D40">
        <w:rPr>
          <w:u w:val="none"/>
        </w:rPr>
        <w:t>small number</w:t>
      </w:r>
      <w:r w:rsidRPr="00C75E87">
        <w:rPr>
          <w:u w:val="none"/>
        </w:rPr>
        <w:t xml:space="preserve"> of new voluntary supplementary contribution</w:t>
      </w:r>
      <w:r w:rsidR="00993A8F" w:rsidRPr="00C75E87">
        <w:rPr>
          <w:u w:val="none"/>
        </w:rPr>
        <w:t>s</w:t>
      </w:r>
      <w:r w:rsidRPr="00C75E87">
        <w:rPr>
          <w:u w:val="none"/>
        </w:rPr>
        <w:t xml:space="preserve"> to the Intangible Cultural Heritage Fund to support the </w:t>
      </w:r>
      <w:r w:rsidR="00D91ED8" w:rsidRPr="00C75E87">
        <w:rPr>
          <w:u w:val="none"/>
        </w:rPr>
        <w:t>programmatic framework of</w:t>
      </w:r>
      <w:r w:rsidR="00123244" w:rsidRPr="00C75E87">
        <w:rPr>
          <w:u w:val="none"/>
        </w:rPr>
        <w:t xml:space="preserve"> the </w:t>
      </w:r>
      <w:r w:rsidR="008F5A62" w:rsidRPr="00C75E87">
        <w:rPr>
          <w:u w:val="none"/>
        </w:rPr>
        <w:t xml:space="preserve">2014-2017 </w:t>
      </w:r>
      <w:r w:rsidRPr="00C75E87">
        <w:rPr>
          <w:u w:val="none"/>
        </w:rPr>
        <w:t xml:space="preserve">Complementary </w:t>
      </w:r>
      <w:r w:rsidRPr="00C75E87">
        <w:rPr>
          <w:rStyle w:val="hps"/>
          <w:u w:val="none"/>
        </w:rPr>
        <w:t>Additional</w:t>
      </w:r>
      <w:r w:rsidRPr="00C75E87">
        <w:rPr>
          <w:u w:val="none"/>
        </w:rPr>
        <w:t xml:space="preserve"> Programme entitled ‘Strengthening capacities to safeguard intangible cultural herita</w:t>
      </w:r>
      <w:r w:rsidR="00871325" w:rsidRPr="00C75E87">
        <w:rPr>
          <w:u w:val="none"/>
        </w:rPr>
        <w:t xml:space="preserve">ge for sustainable development’ </w:t>
      </w:r>
      <w:r w:rsidR="00993A8F" w:rsidRPr="00C75E87">
        <w:rPr>
          <w:u w:val="none"/>
        </w:rPr>
        <w:t>since its last session</w:t>
      </w:r>
      <w:r w:rsidR="00E469F4">
        <w:rPr>
          <w:u w:val="none"/>
        </w:rPr>
        <w:t>;</w:t>
      </w:r>
    </w:p>
    <w:p w14:paraId="0B1B2930" w14:textId="576ECBB5" w:rsidR="00A4292F" w:rsidRPr="00C75E87" w:rsidRDefault="00C51020" w:rsidP="00C75E87">
      <w:pPr>
        <w:pStyle w:val="COMParaDecision"/>
        <w:keepLines/>
        <w:ind w:left="1134" w:hanging="567"/>
        <w:rPr>
          <w:u w:val="none"/>
        </w:rPr>
      </w:pPr>
      <w:r w:rsidRPr="00C75E87">
        <w:lastRenderedPageBreak/>
        <w:t>Thanks</w:t>
      </w:r>
      <w:r w:rsidRPr="00C75E87">
        <w:rPr>
          <w:u w:val="none"/>
        </w:rPr>
        <w:t xml:space="preserve"> Brazil for </w:t>
      </w:r>
      <w:r w:rsidR="00DE47F7">
        <w:rPr>
          <w:u w:val="none"/>
        </w:rPr>
        <w:t>the information concerning</w:t>
      </w:r>
      <w:r w:rsidRPr="00C75E87">
        <w:rPr>
          <w:u w:val="none"/>
        </w:rPr>
        <w:t xml:space="preserve"> the outstanding voluntary supplementary contribution to the Intangible Cultural Heritage Fund, </w:t>
      </w:r>
      <w:r w:rsidR="00451613" w:rsidRPr="00C75E87">
        <w:t>regret</w:t>
      </w:r>
      <w:r w:rsidRPr="00C75E87">
        <w:t>s</w:t>
      </w:r>
      <w:r w:rsidR="00A4292F" w:rsidRPr="00C75E87">
        <w:rPr>
          <w:u w:val="none"/>
        </w:rPr>
        <w:t xml:space="preserve"> that </w:t>
      </w:r>
      <w:r w:rsidR="00EE77AD">
        <w:rPr>
          <w:u w:val="none"/>
        </w:rPr>
        <w:t>Brazil will not be</w:t>
      </w:r>
      <w:r w:rsidRPr="00C75E87">
        <w:rPr>
          <w:u w:val="none"/>
        </w:rPr>
        <w:t xml:space="preserve"> able to honour </w:t>
      </w:r>
      <w:r w:rsidR="00062D40">
        <w:rPr>
          <w:u w:val="none"/>
        </w:rPr>
        <w:t>its previous</w:t>
      </w:r>
      <w:r w:rsidRPr="00C75E87">
        <w:rPr>
          <w:u w:val="none"/>
        </w:rPr>
        <w:t xml:space="preserve"> offer and </w:t>
      </w:r>
      <w:r w:rsidRPr="006B05BC">
        <w:t>invites</w:t>
      </w:r>
      <w:r w:rsidRPr="00C75E87">
        <w:rPr>
          <w:u w:val="none"/>
        </w:rPr>
        <w:t xml:space="preserve"> other contributors to support the </w:t>
      </w:r>
      <w:r w:rsidRPr="006B05BC">
        <w:rPr>
          <w:u w:val="none"/>
        </w:rPr>
        <w:t>two-year programme for strengthening national capacities for safeguarding intangible cultural heritage in Paraguay that it approved in 2013;</w:t>
      </w:r>
    </w:p>
    <w:p w14:paraId="024DCB8F" w14:textId="5D3F66B7" w:rsidR="000D24A6" w:rsidRPr="00C75E87" w:rsidRDefault="000D24A6" w:rsidP="000D24A6">
      <w:pPr>
        <w:pStyle w:val="COMParaDecision"/>
        <w:ind w:left="1134" w:hanging="567"/>
        <w:rPr>
          <w:u w:val="none"/>
        </w:rPr>
      </w:pPr>
      <w:r>
        <w:t>Also thanks</w:t>
      </w:r>
      <w:r w:rsidRPr="00C75E87">
        <w:rPr>
          <w:u w:val="none"/>
        </w:rPr>
        <w:t xml:space="preserve"> Viet</w:t>
      </w:r>
      <w:r w:rsidR="00BF1878">
        <w:rPr>
          <w:u w:val="none"/>
        </w:rPr>
        <w:t xml:space="preserve"> Nam</w:t>
      </w:r>
      <w:r w:rsidRPr="00C75E87">
        <w:rPr>
          <w:u w:val="none"/>
        </w:rPr>
        <w:t xml:space="preserve"> for </w:t>
      </w:r>
      <w:r>
        <w:rPr>
          <w:u w:val="none"/>
        </w:rPr>
        <w:t>the information concerning</w:t>
      </w:r>
      <w:r w:rsidRPr="00C75E87">
        <w:rPr>
          <w:u w:val="none"/>
        </w:rPr>
        <w:t xml:space="preserve"> the outstanding voluntary supplementary contribution to the Intangible Cultural Heritage Fund</w:t>
      </w:r>
      <w:r>
        <w:rPr>
          <w:u w:val="none"/>
        </w:rPr>
        <w:t xml:space="preserve">, </w:t>
      </w:r>
      <w:r w:rsidRPr="007C37C4">
        <w:t>regrets</w:t>
      </w:r>
      <w:r>
        <w:rPr>
          <w:u w:val="none"/>
        </w:rPr>
        <w:t xml:space="preserve"> that Viet Nam</w:t>
      </w:r>
      <w:r w:rsidRPr="00C75E87">
        <w:rPr>
          <w:u w:val="none"/>
        </w:rPr>
        <w:t xml:space="preserve"> </w:t>
      </w:r>
      <w:r>
        <w:rPr>
          <w:u w:val="none"/>
        </w:rPr>
        <w:t>will not be</w:t>
      </w:r>
      <w:r w:rsidRPr="00C75E87">
        <w:rPr>
          <w:u w:val="none"/>
        </w:rPr>
        <w:t xml:space="preserve"> able to honour </w:t>
      </w:r>
      <w:r>
        <w:rPr>
          <w:u w:val="none"/>
        </w:rPr>
        <w:t>its previous</w:t>
      </w:r>
      <w:r w:rsidRPr="00C75E87">
        <w:rPr>
          <w:u w:val="none"/>
        </w:rPr>
        <w:t xml:space="preserve"> offer and</w:t>
      </w:r>
      <w:r>
        <w:rPr>
          <w:u w:val="none"/>
        </w:rPr>
        <w:t xml:space="preserve"> </w:t>
      </w:r>
      <w:r w:rsidRPr="006B05BC">
        <w:t>invites</w:t>
      </w:r>
      <w:r>
        <w:t xml:space="preserve"> </w:t>
      </w:r>
      <w:r w:rsidRPr="007C37C4">
        <w:rPr>
          <w:u w:val="none"/>
        </w:rPr>
        <w:t>other</w:t>
      </w:r>
      <w:r>
        <w:rPr>
          <w:u w:val="none"/>
        </w:rPr>
        <w:t xml:space="preserve"> donors to consider the possibility of supporting initiatives to further explore the </w:t>
      </w:r>
      <w:r w:rsidR="00BF1878">
        <w:rPr>
          <w:u w:val="none"/>
        </w:rPr>
        <w:t>links between</w:t>
      </w:r>
      <w:r>
        <w:rPr>
          <w:u w:val="none"/>
        </w:rPr>
        <w:t xml:space="preserve"> intangible cultural heritage</w:t>
      </w:r>
      <w:r w:rsidR="00BF1878">
        <w:rPr>
          <w:u w:val="none"/>
        </w:rPr>
        <w:t xml:space="preserve"> and climate change, as well as other</w:t>
      </w:r>
      <w:r>
        <w:rPr>
          <w:u w:val="none"/>
        </w:rPr>
        <w:t xml:space="preserve"> sustainable development</w:t>
      </w:r>
      <w:r w:rsidR="00BF1878">
        <w:rPr>
          <w:u w:val="none"/>
        </w:rPr>
        <w:t xml:space="preserve"> issues</w:t>
      </w:r>
      <w:r w:rsidRPr="007C37C4">
        <w:rPr>
          <w:u w:val="none"/>
        </w:rPr>
        <w:t>;</w:t>
      </w:r>
    </w:p>
    <w:p w14:paraId="4BD079AD" w14:textId="674E7E78" w:rsidR="00EC523D" w:rsidRPr="00C75E87" w:rsidRDefault="00451613" w:rsidP="00C75E87">
      <w:pPr>
        <w:pStyle w:val="COMParaDecision"/>
        <w:ind w:left="1134" w:hanging="567"/>
      </w:pPr>
      <w:r w:rsidRPr="00C75E87">
        <w:t>Further t</w:t>
      </w:r>
      <w:r w:rsidR="00A4292F" w:rsidRPr="00C75E87">
        <w:t>akes note</w:t>
      </w:r>
      <w:r w:rsidR="00A4292F" w:rsidRPr="00C75E87">
        <w:rPr>
          <w:u w:val="none"/>
        </w:rPr>
        <w:t xml:space="preserve"> that </w:t>
      </w:r>
      <w:r w:rsidR="00EC523D" w:rsidRPr="006B05BC">
        <w:rPr>
          <w:rFonts w:eastAsia="Times New Roman"/>
          <w:u w:val="none"/>
        </w:rPr>
        <w:t xml:space="preserve">no supplementary voluntary contributions to the Intangible Cultural Heritage Fund have </w:t>
      </w:r>
      <w:r w:rsidR="003915D4">
        <w:rPr>
          <w:rFonts w:eastAsia="Times New Roman"/>
          <w:u w:val="none"/>
        </w:rPr>
        <w:t xml:space="preserve">yet </w:t>
      </w:r>
      <w:r w:rsidR="00EC523D" w:rsidRPr="006B05BC">
        <w:rPr>
          <w:rFonts w:eastAsia="Times New Roman"/>
          <w:u w:val="none"/>
        </w:rPr>
        <w:t xml:space="preserve">been received to cover </w:t>
      </w:r>
      <w:r w:rsidR="00EC523D" w:rsidRPr="00C75E87">
        <w:rPr>
          <w:u w:val="none"/>
          <w:lang w:eastAsia="en-GB"/>
        </w:rPr>
        <w:t xml:space="preserve">all of the costs of organizing two </w:t>
      </w:r>
      <w:r w:rsidR="00EC523D" w:rsidRPr="00C75E87">
        <w:rPr>
          <w:u w:val="none"/>
        </w:rPr>
        <w:t>open ended intergovernmental working groups</w:t>
      </w:r>
      <w:r w:rsidR="002346B5" w:rsidRPr="006B05BC">
        <w:rPr>
          <w:u w:val="none"/>
        </w:rPr>
        <w:t xml:space="preserve"> to be devoted to, respectively, the </w:t>
      </w:r>
      <w:r w:rsidR="00DE47F7">
        <w:rPr>
          <w:u w:val="none"/>
        </w:rPr>
        <w:t>development</w:t>
      </w:r>
      <w:r w:rsidR="00DE47F7" w:rsidRPr="006B05BC">
        <w:rPr>
          <w:u w:val="none"/>
        </w:rPr>
        <w:t xml:space="preserve"> </w:t>
      </w:r>
      <w:r w:rsidR="002346B5" w:rsidRPr="006B05BC">
        <w:rPr>
          <w:u w:val="none"/>
        </w:rPr>
        <w:t xml:space="preserve">of </w:t>
      </w:r>
      <w:r w:rsidR="002346B5" w:rsidRPr="00C75E87">
        <w:rPr>
          <w:u w:val="none"/>
        </w:rPr>
        <w:t>an overall results framework for the Convention</w:t>
      </w:r>
      <w:r w:rsidR="002346B5" w:rsidRPr="006B05BC">
        <w:rPr>
          <w:u w:val="none"/>
        </w:rPr>
        <w:t xml:space="preserve"> and </w:t>
      </w:r>
      <w:r w:rsidR="002346B5" w:rsidRPr="00C75E87">
        <w:rPr>
          <w:u w:val="none"/>
        </w:rPr>
        <w:t xml:space="preserve">the procedure for removal of an element from a List and the transfer </w:t>
      </w:r>
      <w:r w:rsidR="00DE47F7">
        <w:rPr>
          <w:u w:val="none"/>
        </w:rPr>
        <w:t xml:space="preserve">of an element </w:t>
      </w:r>
      <w:r w:rsidR="002346B5" w:rsidRPr="00C75E87">
        <w:rPr>
          <w:u w:val="none"/>
        </w:rPr>
        <w:t>from one list to the other;</w:t>
      </w:r>
    </w:p>
    <w:p w14:paraId="7F536BB9" w14:textId="618910FF" w:rsidR="00A4292F" w:rsidRPr="00C75E87" w:rsidRDefault="00A4292F" w:rsidP="00C75E87">
      <w:pPr>
        <w:pStyle w:val="COMParaDecision"/>
        <w:ind w:left="1134" w:hanging="567"/>
        <w:rPr>
          <w:u w:val="none"/>
        </w:rPr>
      </w:pPr>
      <w:r w:rsidRPr="00C75E87">
        <w:t>Thanks</w:t>
      </w:r>
      <w:r w:rsidRPr="00C75E87">
        <w:rPr>
          <w:u w:val="none"/>
        </w:rPr>
        <w:t xml:space="preserve"> all the contributors that have </w:t>
      </w:r>
      <w:r w:rsidR="00E328CA" w:rsidRPr="00C75E87">
        <w:rPr>
          <w:u w:val="none"/>
        </w:rPr>
        <w:t xml:space="preserve">generously </w:t>
      </w:r>
      <w:r w:rsidRPr="00C75E87">
        <w:rPr>
          <w:u w:val="none"/>
        </w:rPr>
        <w:t>supported the Convention and its Secretariat, since its last session, namely Azerbaijan</w:t>
      </w:r>
      <w:r w:rsidR="009426E5" w:rsidRPr="00C75E87">
        <w:rPr>
          <w:u w:val="none"/>
        </w:rPr>
        <w:t xml:space="preserve">, </w:t>
      </w:r>
      <w:r w:rsidR="00E469F4">
        <w:rPr>
          <w:u w:val="none"/>
        </w:rPr>
        <w:t xml:space="preserve">Belgium (Flanders), </w:t>
      </w:r>
      <w:r w:rsidR="00C466FF">
        <w:rPr>
          <w:u w:val="none"/>
        </w:rPr>
        <w:t>China, Japan</w:t>
      </w:r>
      <w:r w:rsidR="00BC6468">
        <w:rPr>
          <w:u w:val="none"/>
        </w:rPr>
        <w:t xml:space="preserve">, </w:t>
      </w:r>
      <w:r w:rsidR="00E469F4">
        <w:rPr>
          <w:u w:val="none"/>
        </w:rPr>
        <w:t xml:space="preserve">the Netherlands, </w:t>
      </w:r>
      <w:r w:rsidRPr="00C75E87">
        <w:rPr>
          <w:u w:val="none"/>
        </w:rPr>
        <w:t xml:space="preserve">Norway, </w:t>
      </w:r>
      <w:r w:rsidR="00547F41" w:rsidRPr="00C75E87">
        <w:rPr>
          <w:u w:val="none"/>
        </w:rPr>
        <w:t>Spain (</w:t>
      </w:r>
      <w:r w:rsidR="003028BC">
        <w:rPr>
          <w:u w:val="none"/>
        </w:rPr>
        <w:t>Government</w:t>
      </w:r>
      <w:r w:rsidR="003028BC" w:rsidRPr="00C75E87">
        <w:rPr>
          <w:u w:val="none"/>
        </w:rPr>
        <w:t xml:space="preserve"> </w:t>
      </w:r>
      <w:r w:rsidR="00547F41" w:rsidRPr="00C75E87">
        <w:rPr>
          <w:u w:val="none"/>
        </w:rPr>
        <w:t>of Catalonia) and</w:t>
      </w:r>
      <w:r w:rsidR="00EC285D" w:rsidRPr="00C75E87">
        <w:rPr>
          <w:u w:val="none"/>
        </w:rPr>
        <w:t xml:space="preserve"> the</w:t>
      </w:r>
      <w:r w:rsidRPr="00C75E87">
        <w:rPr>
          <w:u w:val="none"/>
        </w:rPr>
        <w:t xml:space="preserve"> </w:t>
      </w:r>
      <w:r w:rsidR="009C3D10" w:rsidRPr="00C75E87">
        <w:rPr>
          <w:u w:val="none"/>
        </w:rPr>
        <w:t>United Arab Emirates</w:t>
      </w:r>
      <w:r w:rsidR="009426E5" w:rsidRPr="00C75E87">
        <w:rPr>
          <w:u w:val="none"/>
        </w:rPr>
        <w:t xml:space="preserve"> (Abu Dhabi Tourism &amp; Culture Authority and </w:t>
      </w:r>
      <w:proofErr w:type="spellStart"/>
      <w:r w:rsidR="009426E5" w:rsidRPr="00C75E87">
        <w:rPr>
          <w:u w:val="none"/>
        </w:rPr>
        <w:t>Hamdan</w:t>
      </w:r>
      <w:proofErr w:type="spellEnd"/>
      <w:r w:rsidR="009426E5" w:rsidRPr="00C75E87">
        <w:rPr>
          <w:u w:val="none"/>
        </w:rPr>
        <w:t xml:space="preserve"> Bin Mohammed Heritage Centre</w:t>
      </w:r>
      <w:r w:rsidR="009C3D10" w:rsidRPr="00C75E87">
        <w:rPr>
          <w:u w:val="none"/>
        </w:rPr>
        <w:t xml:space="preserve">) </w:t>
      </w:r>
      <w:r w:rsidR="00547F41" w:rsidRPr="00C75E87">
        <w:rPr>
          <w:u w:val="none"/>
        </w:rPr>
        <w:t>as well as the Norwegian Centre for Traditional Music and Dance</w:t>
      </w:r>
      <w:r w:rsidRPr="00C75E87">
        <w:rPr>
          <w:u w:val="none"/>
        </w:rPr>
        <w:t>;</w:t>
      </w:r>
    </w:p>
    <w:p w14:paraId="006C76F7" w14:textId="1EA9340E" w:rsidR="005F3BFA" w:rsidRPr="00C75E87" w:rsidRDefault="00A4292F" w:rsidP="005F3BFA">
      <w:pPr>
        <w:pStyle w:val="COMParaDecision"/>
        <w:ind w:left="1134" w:hanging="567"/>
        <w:rPr>
          <w:u w:val="none"/>
        </w:rPr>
      </w:pPr>
      <w:r w:rsidRPr="00C75E87">
        <w:t>Encourages</w:t>
      </w:r>
      <w:r w:rsidRPr="00C75E87">
        <w:rPr>
          <w:u w:val="none"/>
        </w:rPr>
        <w:t xml:space="preserve"> other </w:t>
      </w:r>
      <w:r w:rsidR="00EC285D" w:rsidRPr="00C75E87">
        <w:rPr>
          <w:u w:val="none"/>
        </w:rPr>
        <w:t>contributors</w:t>
      </w:r>
      <w:r w:rsidRPr="00C75E87">
        <w:rPr>
          <w:u w:val="none"/>
        </w:rPr>
        <w:t xml:space="preserve"> to consider the possibility of supporting the Convention</w:t>
      </w:r>
      <w:r w:rsidR="00E17031" w:rsidRPr="00C75E87">
        <w:rPr>
          <w:u w:val="none"/>
        </w:rPr>
        <w:t>, in particular through the Intangible Cultural Heritage Fund,</w:t>
      </w:r>
      <w:r w:rsidRPr="00C75E87">
        <w:rPr>
          <w:u w:val="none"/>
        </w:rPr>
        <w:t xml:space="preserve"> </w:t>
      </w:r>
      <w:r w:rsidR="00EC285D" w:rsidRPr="00C75E87">
        <w:rPr>
          <w:u w:val="none"/>
        </w:rPr>
        <w:t xml:space="preserve">while </w:t>
      </w:r>
      <w:r w:rsidR="00DE28AB" w:rsidRPr="00C75E87">
        <w:t>inviting</w:t>
      </w:r>
      <w:r w:rsidR="00EC285D" w:rsidRPr="00C75E87">
        <w:rPr>
          <w:u w:val="none"/>
        </w:rPr>
        <w:t xml:space="preserve"> them to </w:t>
      </w:r>
      <w:r w:rsidR="005F3BFA" w:rsidRPr="00C75E87">
        <w:rPr>
          <w:u w:val="none"/>
        </w:rPr>
        <w:t xml:space="preserve">disburse their contribution on time and therefore </w:t>
      </w:r>
      <w:r w:rsidR="00EC285D" w:rsidRPr="00C75E87">
        <w:rPr>
          <w:u w:val="none"/>
        </w:rPr>
        <w:t>shorten as much as possible the time lapse between their offer and the payment of the announced</w:t>
      </w:r>
      <w:r w:rsidR="00DE28AB" w:rsidRPr="00C75E87">
        <w:rPr>
          <w:u w:val="none"/>
        </w:rPr>
        <w:t xml:space="preserve"> contributions</w:t>
      </w:r>
      <w:r w:rsidR="005F3BFA" w:rsidRPr="00C75E87">
        <w:rPr>
          <w:u w:val="none"/>
        </w:rPr>
        <w:t>, allowing for smooth and timely implementation of activities;</w:t>
      </w:r>
    </w:p>
    <w:p w14:paraId="75E4EBF3" w14:textId="127E4CF9" w:rsidR="00A4292F" w:rsidRPr="00C75E87" w:rsidRDefault="00A4292F" w:rsidP="00C81C1D">
      <w:pPr>
        <w:pStyle w:val="COMParaDecision"/>
        <w:ind w:left="1134" w:hanging="567"/>
      </w:pPr>
      <w:r w:rsidRPr="00C75E87">
        <w:rPr>
          <w:rFonts w:eastAsia="Times New Roman"/>
        </w:rPr>
        <w:t>Requests</w:t>
      </w:r>
      <w:r w:rsidRPr="00C75E87">
        <w:rPr>
          <w:rFonts w:eastAsia="Times New Roman"/>
          <w:u w:val="none"/>
        </w:rPr>
        <w:t xml:space="preserve"> the Secretariat to report, at its </w:t>
      </w:r>
      <w:r w:rsidR="00062D40">
        <w:rPr>
          <w:rFonts w:eastAsia="Times New Roman"/>
          <w:u w:val="none"/>
        </w:rPr>
        <w:t>twelfth</w:t>
      </w:r>
      <w:r w:rsidRPr="00C75E87">
        <w:rPr>
          <w:rFonts w:eastAsia="Times New Roman"/>
          <w:u w:val="none"/>
        </w:rPr>
        <w:t xml:space="preserve"> session, on the progress of implementation of any voluntary supplementary contributions it may have </w:t>
      </w:r>
      <w:r w:rsidR="00EC285D" w:rsidRPr="00C75E87">
        <w:rPr>
          <w:rFonts w:eastAsia="Times New Roman"/>
          <w:u w:val="none"/>
        </w:rPr>
        <w:t>received since its last session.</w:t>
      </w:r>
    </w:p>
    <w:p w14:paraId="46FE9E1C" w14:textId="77777777" w:rsidR="00E60366" w:rsidRPr="009426E5" w:rsidRDefault="00E60366">
      <w:pPr>
        <w:rPr>
          <w:rFonts w:ascii="Arial" w:eastAsia="SimSun" w:hAnsi="Arial" w:cs="Arial"/>
          <w:sz w:val="22"/>
          <w:szCs w:val="22"/>
          <w:lang w:val="en-GB"/>
        </w:rPr>
      </w:pPr>
      <w:r w:rsidRPr="00C75E87">
        <w:rPr>
          <w:rFonts w:ascii="Arial" w:hAnsi="Arial" w:cs="Arial"/>
          <w:lang w:val="en-GB"/>
        </w:rPr>
        <w:br w:type="page"/>
      </w:r>
    </w:p>
    <w:p w14:paraId="6E694C35" w14:textId="5E9D0BCD" w:rsidR="00D51D7F" w:rsidRPr="009426E5" w:rsidRDefault="00D86198" w:rsidP="00854917">
      <w:pPr>
        <w:pStyle w:val="COMParaDecision"/>
        <w:keepNext/>
        <w:numPr>
          <w:ilvl w:val="0"/>
          <w:numId w:val="0"/>
        </w:numPr>
        <w:jc w:val="center"/>
        <w:rPr>
          <w:rFonts w:eastAsia="Times New Roman"/>
          <w:b/>
          <w:caps/>
          <w:snapToGrid w:val="0"/>
          <w:u w:val="none"/>
          <w:lang w:eastAsia="en-US"/>
        </w:rPr>
      </w:pPr>
      <w:r w:rsidRPr="009426E5">
        <w:rPr>
          <w:rFonts w:eastAsia="Times New Roman"/>
          <w:b/>
          <w:caps/>
          <w:snapToGrid w:val="0"/>
          <w:u w:val="none"/>
          <w:lang w:eastAsia="en-US"/>
        </w:rPr>
        <w:lastRenderedPageBreak/>
        <w:t>ANNEX I</w:t>
      </w:r>
    </w:p>
    <w:p w14:paraId="1F12E033" w14:textId="3682B1BD" w:rsidR="00D86198" w:rsidRPr="00C75E87" w:rsidRDefault="00BB5C94" w:rsidP="00F06375">
      <w:pPr>
        <w:jc w:val="center"/>
        <w:rPr>
          <w:rFonts w:ascii="Arial" w:hAnsi="Arial" w:cs="Arial"/>
          <w:b/>
          <w:caps/>
          <w:snapToGrid w:val="0"/>
          <w:lang w:val="en-GB" w:eastAsia="en-US"/>
        </w:rPr>
      </w:pPr>
      <w:r>
        <w:rPr>
          <w:noProof/>
          <w:lang w:eastAsia="ko-KR"/>
        </w:rPr>
        <w:drawing>
          <wp:inline distT="0" distB="0" distL="0" distR="0" wp14:anchorId="663AC0D1" wp14:editId="7703EDEF">
            <wp:extent cx="5895975" cy="840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95975" cy="8401050"/>
                    </a:xfrm>
                    <a:prstGeom prst="rect">
                      <a:avLst/>
                    </a:prstGeom>
                  </pic:spPr>
                </pic:pic>
              </a:graphicData>
            </a:graphic>
          </wp:inline>
        </w:drawing>
      </w:r>
      <w:r w:rsidR="00D86198" w:rsidRPr="00C75E87">
        <w:rPr>
          <w:rFonts w:ascii="Arial" w:hAnsi="Arial" w:cs="Arial"/>
          <w:b/>
          <w:caps/>
          <w:snapToGrid w:val="0"/>
          <w:lang w:val="en-GB" w:eastAsia="en-US"/>
        </w:rPr>
        <w:br w:type="page"/>
      </w:r>
    </w:p>
    <w:p w14:paraId="45734342" w14:textId="25884E6F" w:rsidR="00B12408" w:rsidRPr="00C75E87" w:rsidRDefault="00BB5C94" w:rsidP="0014445F">
      <w:pPr>
        <w:jc w:val="center"/>
        <w:rPr>
          <w:rFonts w:ascii="Arial" w:hAnsi="Arial" w:cs="Arial"/>
          <w:b/>
          <w:caps/>
          <w:snapToGrid w:val="0"/>
          <w:lang w:val="en-GB" w:eastAsia="en-US"/>
        </w:rPr>
      </w:pPr>
      <w:r>
        <w:rPr>
          <w:noProof/>
          <w:lang w:eastAsia="ko-KR"/>
        </w:rPr>
        <w:lastRenderedPageBreak/>
        <w:drawing>
          <wp:inline distT="0" distB="0" distL="0" distR="0" wp14:anchorId="57C81C15" wp14:editId="32EA368F">
            <wp:extent cx="5876925" cy="844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76925" cy="8448675"/>
                    </a:xfrm>
                    <a:prstGeom prst="rect">
                      <a:avLst/>
                    </a:prstGeom>
                  </pic:spPr>
                </pic:pic>
              </a:graphicData>
            </a:graphic>
          </wp:inline>
        </w:drawing>
      </w:r>
    </w:p>
    <w:p w14:paraId="3D5F0A5F" w14:textId="39A3F255" w:rsidR="00D86198" w:rsidRPr="00C75E87" w:rsidRDefault="00B12408" w:rsidP="00DF61FF">
      <w:pPr>
        <w:rPr>
          <w:rFonts w:ascii="Arial" w:hAnsi="Arial" w:cs="Arial"/>
          <w:b/>
          <w:caps/>
          <w:snapToGrid w:val="0"/>
          <w:lang w:val="en-GB" w:eastAsia="en-US"/>
        </w:rPr>
      </w:pPr>
      <w:r w:rsidRPr="00C75E87">
        <w:rPr>
          <w:rFonts w:ascii="Arial" w:hAnsi="Arial" w:cs="Arial"/>
          <w:b/>
          <w:caps/>
          <w:snapToGrid w:val="0"/>
          <w:lang w:val="en-GB" w:eastAsia="en-US"/>
        </w:rPr>
        <w:br w:type="page"/>
      </w:r>
    </w:p>
    <w:p w14:paraId="310460C7" w14:textId="3ECC4425" w:rsidR="00E60366" w:rsidRPr="009426E5" w:rsidRDefault="00E60366" w:rsidP="00E60366">
      <w:pPr>
        <w:pStyle w:val="COMParaDecision"/>
        <w:keepNext/>
        <w:numPr>
          <w:ilvl w:val="0"/>
          <w:numId w:val="0"/>
        </w:numPr>
        <w:jc w:val="center"/>
      </w:pPr>
      <w:r w:rsidRPr="009426E5">
        <w:rPr>
          <w:rFonts w:eastAsia="Times New Roman"/>
          <w:b/>
          <w:caps/>
          <w:snapToGrid w:val="0"/>
          <w:u w:val="none"/>
          <w:lang w:eastAsia="en-US"/>
        </w:rPr>
        <w:lastRenderedPageBreak/>
        <w:t>Annex I</w:t>
      </w:r>
      <w:r w:rsidR="00D70E1A" w:rsidRPr="009426E5">
        <w:rPr>
          <w:rFonts w:eastAsia="Times New Roman"/>
          <w:b/>
          <w:caps/>
          <w:snapToGrid w:val="0"/>
          <w:u w:val="none"/>
          <w:lang w:eastAsia="en-US"/>
        </w:rPr>
        <w:t>I</w:t>
      </w:r>
    </w:p>
    <w:p w14:paraId="10018C83" w14:textId="625DF17C" w:rsidR="00D8250F" w:rsidRPr="009426E5" w:rsidRDefault="00B24CE2" w:rsidP="004B33AC">
      <w:pPr>
        <w:pStyle w:val="COMParaDecision"/>
        <w:numPr>
          <w:ilvl w:val="0"/>
          <w:numId w:val="0"/>
        </w:numPr>
        <w:spacing w:before="240"/>
        <w:jc w:val="center"/>
        <w:rPr>
          <w:b/>
          <w:u w:val="none"/>
        </w:rPr>
      </w:pPr>
      <w:r>
        <w:rPr>
          <w:b/>
          <w:u w:val="none"/>
        </w:rPr>
        <w:t>Financial/In-kind</w:t>
      </w:r>
      <w:r w:rsidR="00E60366" w:rsidRPr="009426E5">
        <w:rPr>
          <w:b/>
          <w:u w:val="none"/>
        </w:rPr>
        <w:t xml:space="preserve"> support </w:t>
      </w:r>
      <w:r>
        <w:rPr>
          <w:b/>
          <w:u w:val="none"/>
        </w:rPr>
        <w:t>to</w:t>
      </w:r>
      <w:r w:rsidRPr="009426E5">
        <w:rPr>
          <w:b/>
          <w:u w:val="none"/>
        </w:rPr>
        <w:t xml:space="preserve"> </w:t>
      </w:r>
      <w:r w:rsidR="00E60366" w:rsidRPr="009426E5">
        <w:rPr>
          <w:b/>
          <w:u w:val="none"/>
        </w:rPr>
        <w:t>the 2003 Convention for the Safeguarding</w:t>
      </w:r>
      <w:r w:rsidR="00E60366" w:rsidRPr="009426E5">
        <w:rPr>
          <w:b/>
          <w:u w:val="none"/>
        </w:rPr>
        <w:br/>
        <w:t>of the Intangible Cultural Heritage since the ninth session of the Committee</w:t>
      </w:r>
      <w:proofErr w:type="gramStart"/>
      <w:r w:rsidR="00E60366" w:rsidRPr="009426E5">
        <w:rPr>
          <w:b/>
          <w:u w:val="none"/>
        </w:rPr>
        <w:t>,</w:t>
      </w:r>
      <w:proofErr w:type="gramEnd"/>
      <w:r w:rsidR="00E60366" w:rsidRPr="009426E5">
        <w:rPr>
          <w:b/>
          <w:u w:val="none"/>
        </w:rPr>
        <w:br/>
        <w:t>for the period October 201</w:t>
      </w:r>
      <w:r w:rsidR="00F81D3A" w:rsidRPr="009426E5">
        <w:rPr>
          <w:b/>
          <w:u w:val="none"/>
        </w:rPr>
        <w:t>5</w:t>
      </w:r>
      <w:r w:rsidR="00E60366" w:rsidRPr="009426E5">
        <w:rPr>
          <w:b/>
          <w:u w:val="none"/>
        </w:rPr>
        <w:t xml:space="preserve"> to </w:t>
      </w:r>
      <w:r w:rsidR="00342961">
        <w:rPr>
          <w:b/>
          <w:u w:val="none"/>
        </w:rPr>
        <w:t>October</w:t>
      </w:r>
      <w:r w:rsidR="00BD39BC">
        <w:rPr>
          <w:b/>
          <w:u w:val="none"/>
        </w:rPr>
        <w:t xml:space="preserve"> </w:t>
      </w:r>
      <w:r w:rsidR="00E60366" w:rsidRPr="009426E5">
        <w:rPr>
          <w:b/>
          <w:u w:val="none"/>
        </w:rPr>
        <w:t>201</w:t>
      </w:r>
      <w:r w:rsidR="00F81D3A" w:rsidRPr="009426E5">
        <w:rPr>
          <w:b/>
          <w:u w:val="none"/>
        </w:rPr>
        <w:t>6</w:t>
      </w:r>
    </w:p>
    <w:p w14:paraId="7FEA9240" w14:textId="66C35193" w:rsidR="002346B5" w:rsidRPr="009426E5" w:rsidRDefault="002346B5" w:rsidP="00C75E87">
      <w:pPr>
        <w:spacing w:before="360" w:after="60"/>
        <w:rPr>
          <w:rFonts w:ascii="Arial" w:hAnsi="Arial" w:cs="Arial"/>
          <w:b/>
          <w:color w:val="000000"/>
          <w:sz w:val="22"/>
          <w:szCs w:val="22"/>
          <w:lang w:val="en-GB"/>
        </w:rPr>
      </w:pPr>
      <w:r w:rsidRPr="009426E5">
        <w:rPr>
          <w:rFonts w:ascii="Arial" w:hAnsi="Arial" w:cs="Arial"/>
          <w:b/>
          <w:smallCaps/>
          <w:color w:val="000000"/>
          <w:sz w:val="22"/>
          <w:szCs w:val="22"/>
          <w:lang w:val="en-GB"/>
        </w:rPr>
        <w:t>Voluntary supplementary contributions to the Intangible Cultural Heritage Fund</w:t>
      </w:r>
      <w:r w:rsidR="006B4E34">
        <w:rPr>
          <w:rStyle w:val="FootnoteReference"/>
          <w:rFonts w:ascii="Arial" w:hAnsi="Arial" w:cs="Arial"/>
          <w:b/>
          <w:smallCaps/>
          <w:color w:val="000000"/>
          <w:sz w:val="22"/>
          <w:szCs w:val="22"/>
          <w:lang w:val="en-GB"/>
        </w:rPr>
        <w:footnoteReference w:id="2"/>
      </w:r>
    </w:p>
    <w:p w14:paraId="64F98B46" w14:textId="77777777" w:rsidR="002346B5" w:rsidRPr="009426E5" w:rsidRDefault="002346B5" w:rsidP="00C75E87">
      <w:pPr>
        <w:spacing w:before="120" w:after="120"/>
        <w:ind w:left="709"/>
        <w:rPr>
          <w:rFonts w:ascii="Arial" w:hAnsi="Arial" w:cs="Arial"/>
          <w:b/>
          <w:sz w:val="22"/>
          <w:szCs w:val="22"/>
          <w:lang w:val="en-GB"/>
        </w:rPr>
      </w:pPr>
      <w:r w:rsidRPr="009426E5">
        <w:rPr>
          <w:rFonts w:ascii="Arial" w:hAnsi="Arial" w:cs="Arial"/>
          <w:b/>
          <w:color w:val="000000"/>
          <w:sz w:val="22"/>
          <w:szCs w:val="22"/>
          <w:lang w:val="en-GB"/>
        </w:rPr>
        <w:t>Earmarked for capacity-building programmes</w:t>
      </w:r>
    </w:p>
    <w:tbl>
      <w:tblPr>
        <w:tblW w:w="9062" w:type="dxa"/>
        <w:tblInd w:w="709" w:type="dxa"/>
        <w:tblLook w:val="04A0" w:firstRow="1" w:lastRow="0" w:firstColumn="1" w:lastColumn="0" w:noHBand="0" w:noVBand="1"/>
      </w:tblPr>
      <w:tblGrid>
        <w:gridCol w:w="6681"/>
        <w:gridCol w:w="2381"/>
      </w:tblGrid>
      <w:tr w:rsidR="00A931CE" w:rsidRPr="006D6246" w14:paraId="3AF9CC13" w14:textId="77777777" w:rsidTr="00A931CE">
        <w:trPr>
          <w:cantSplit/>
        </w:trPr>
        <w:tc>
          <w:tcPr>
            <w:tcW w:w="6681" w:type="dxa"/>
            <w:vAlign w:val="center"/>
          </w:tcPr>
          <w:p w14:paraId="6E36F0D2" w14:textId="1C16CBAC" w:rsidR="00A931CE" w:rsidRPr="009426E5" w:rsidRDefault="00A931CE" w:rsidP="00A931CE">
            <w:pPr>
              <w:spacing w:before="60" w:after="60"/>
              <w:rPr>
                <w:rFonts w:ascii="Arial" w:hAnsi="Arial" w:cs="Arial"/>
                <w:color w:val="000000"/>
                <w:sz w:val="20"/>
                <w:szCs w:val="20"/>
                <w:lang w:val="en-GB"/>
              </w:rPr>
            </w:pPr>
            <w:r>
              <w:rPr>
                <w:rFonts w:ascii="Arial" w:hAnsi="Arial" w:cs="Arial"/>
                <w:color w:val="000000"/>
                <w:sz w:val="20"/>
                <w:szCs w:val="20"/>
                <w:lang w:val="en-GB"/>
              </w:rPr>
              <w:t>Netherlands</w:t>
            </w:r>
          </w:p>
        </w:tc>
        <w:tc>
          <w:tcPr>
            <w:tcW w:w="2381" w:type="dxa"/>
            <w:vAlign w:val="center"/>
          </w:tcPr>
          <w:p w14:paraId="4CC19EE6" w14:textId="05B9C3D9" w:rsidR="00A931CE" w:rsidRPr="009426E5" w:rsidRDefault="00A931CE" w:rsidP="00B3256F">
            <w:pPr>
              <w:spacing w:before="60" w:after="60"/>
              <w:jc w:val="right"/>
              <w:rPr>
                <w:rFonts w:ascii="Arial" w:hAnsi="Arial" w:cs="Arial"/>
                <w:color w:val="000000"/>
                <w:sz w:val="20"/>
                <w:szCs w:val="20"/>
                <w:lang w:val="en-GB"/>
              </w:rPr>
            </w:pPr>
            <w:r>
              <w:rPr>
                <w:rFonts w:ascii="Arial" w:hAnsi="Arial" w:cs="Arial"/>
                <w:color w:val="000000"/>
                <w:sz w:val="20"/>
                <w:szCs w:val="20"/>
                <w:lang w:val="en-GB"/>
              </w:rPr>
              <w:t>US$</w:t>
            </w:r>
            <w:r w:rsidR="00B3256F">
              <w:rPr>
                <w:rFonts w:ascii="Arial" w:hAnsi="Arial" w:cs="Arial"/>
                <w:color w:val="000000"/>
                <w:sz w:val="20"/>
                <w:szCs w:val="20"/>
                <w:lang w:val="en-GB"/>
              </w:rPr>
              <w:t>110,375</w:t>
            </w:r>
          </w:p>
        </w:tc>
      </w:tr>
      <w:tr w:rsidR="002346B5" w:rsidRPr="00C75E87" w14:paraId="0484C136" w14:textId="77777777" w:rsidTr="00541367">
        <w:trPr>
          <w:cantSplit/>
        </w:trPr>
        <w:tc>
          <w:tcPr>
            <w:tcW w:w="6681" w:type="dxa"/>
            <w:vAlign w:val="center"/>
          </w:tcPr>
          <w:p w14:paraId="3C9A1508" w14:textId="5128A110" w:rsidR="002346B5" w:rsidRPr="009426E5" w:rsidRDefault="002346B5" w:rsidP="00A931CE">
            <w:pPr>
              <w:spacing w:before="60" w:after="60"/>
              <w:rPr>
                <w:rFonts w:ascii="Arial" w:hAnsi="Arial" w:cs="Arial"/>
                <w:color w:val="000000"/>
                <w:sz w:val="20"/>
                <w:szCs w:val="20"/>
                <w:lang w:val="en-GB"/>
              </w:rPr>
            </w:pPr>
            <w:r w:rsidRPr="009426E5">
              <w:rPr>
                <w:rFonts w:ascii="Arial" w:hAnsi="Arial" w:cs="Arial"/>
                <w:color w:val="000000"/>
                <w:sz w:val="20"/>
                <w:szCs w:val="20"/>
                <w:lang w:val="en-GB"/>
              </w:rPr>
              <w:t xml:space="preserve">Spain </w:t>
            </w:r>
            <w:r w:rsidR="00B941B4" w:rsidRPr="009426E5">
              <w:rPr>
                <w:rFonts w:ascii="Arial" w:hAnsi="Arial" w:cs="Arial"/>
                <w:color w:val="000000"/>
                <w:sz w:val="20"/>
                <w:szCs w:val="20"/>
                <w:lang w:val="en-GB"/>
              </w:rPr>
              <w:t>(</w:t>
            </w:r>
            <w:r w:rsidR="003028BC">
              <w:rPr>
                <w:rFonts w:ascii="Arial" w:hAnsi="Arial" w:cs="Arial"/>
                <w:color w:val="000000"/>
                <w:sz w:val="20"/>
                <w:szCs w:val="20"/>
                <w:lang w:val="en-GB"/>
              </w:rPr>
              <w:t>Government</w:t>
            </w:r>
            <w:r w:rsidR="003028BC" w:rsidRPr="009426E5">
              <w:rPr>
                <w:rFonts w:ascii="Arial" w:hAnsi="Arial" w:cs="Arial"/>
                <w:color w:val="000000"/>
                <w:sz w:val="20"/>
                <w:szCs w:val="20"/>
                <w:lang w:val="en-GB"/>
              </w:rPr>
              <w:t xml:space="preserve"> </w:t>
            </w:r>
            <w:r w:rsidR="00B941B4" w:rsidRPr="009426E5">
              <w:rPr>
                <w:rFonts w:ascii="Arial" w:hAnsi="Arial" w:cs="Arial"/>
                <w:color w:val="000000"/>
                <w:sz w:val="20"/>
                <w:szCs w:val="20"/>
                <w:lang w:val="en-GB"/>
              </w:rPr>
              <w:t xml:space="preserve">of </w:t>
            </w:r>
            <w:r w:rsidR="003028BC">
              <w:rPr>
                <w:rFonts w:ascii="Arial" w:hAnsi="Arial" w:cs="Arial"/>
                <w:color w:val="000000"/>
                <w:sz w:val="20"/>
                <w:szCs w:val="20"/>
                <w:lang w:val="en-GB"/>
              </w:rPr>
              <w:t>Catalonia</w:t>
            </w:r>
            <w:r w:rsidR="00B941B4" w:rsidRPr="009426E5">
              <w:rPr>
                <w:rFonts w:ascii="Arial" w:hAnsi="Arial" w:cs="Arial"/>
                <w:color w:val="000000"/>
                <w:sz w:val="20"/>
                <w:szCs w:val="20"/>
                <w:lang w:val="en-GB"/>
              </w:rPr>
              <w:t>)</w:t>
            </w:r>
          </w:p>
        </w:tc>
        <w:tc>
          <w:tcPr>
            <w:tcW w:w="2381" w:type="dxa"/>
            <w:vAlign w:val="center"/>
          </w:tcPr>
          <w:p w14:paraId="7E25A054" w14:textId="475A6EB0" w:rsidR="002346B5" w:rsidRPr="009426E5" w:rsidRDefault="002346B5" w:rsidP="00C75E87">
            <w:pPr>
              <w:spacing w:before="60" w:after="60"/>
              <w:jc w:val="right"/>
              <w:rPr>
                <w:rFonts w:ascii="Arial" w:hAnsi="Arial" w:cs="Arial"/>
                <w:color w:val="000000"/>
                <w:sz w:val="20"/>
                <w:szCs w:val="20"/>
                <w:lang w:val="en-GB"/>
              </w:rPr>
            </w:pPr>
            <w:r w:rsidRPr="009426E5">
              <w:rPr>
                <w:rFonts w:ascii="Arial" w:hAnsi="Arial" w:cs="Arial"/>
                <w:color w:val="000000"/>
                <w:sz w:val="20"/>
                <w:szCs w:val="20"/>
                <w:lang w:val="en-GB"/>
              </w:rPr>
              <w:t>US$131,868</w:t>
            </w:r>
          </w:p>
        </w:tc>
      </w:tr>
    </w:tbl>
    <w:p w14:paraId="1DD9FA89" w14:textId="1EFD1E82" w:rsidR="00B941B4" w:rsidRPr="00DE47F7" w:rsidRDefault="00B941B4" w:rsidP="00C75E87">
      <w:pPr>
        <w:spacing w:before="120" w:after="120"/>
        <w:ind w:left="709"/>
        <w:rPr>
          <w:rFonts w:ascii="Arial" w:hAnsi="Arial" w:cs="Arial"/>
          <w:lang w:val="en-US"/>
        </w:rPr>
      </w:pPr>
      <w:r w:rsidRPr="009426E5">
        <w:rPr>
          <w:rFonts w:ascii="Arial" w:hAnsi="Arial" w:cs="Arial"/>
          <w:b/>
          <w:color w:val="000000"/>
          <w:sz w:val="22"/>
          <w:szCs w:val="22"/>
          <w:lang w:val="en-GB"/>
        </w:rPr>
        <w:t xml:space="preserve">Expert meeting </w:t>
      </w:r>
      <w:r w:rsidR="00547F41">
        <w:rPr>
          <w:rFonts w:ascii="Arial" w:hAnsi="Arial" w:cs="Arial"/>
          <w:b/>
          <w:color w:val="000000"/>
          <w:sz w:val="22"/>
          <w:szCs w:val="22"/>
          <w:lang w:val="en-GB"/>
        </w:rPr>
        <w:t>on</w:t>
      </w:r>
      <w:r w:rsidRPr="009426E5">
        <w:rPr>
          <w:rFonts w:ascii="Arial" w:hAnsi="Arial" w:cs="Arial"/>
          <w:b/>
          <w:color w:val="000000"/>
          <w:sz w:val="22"/>
          <w:szCs w:val="22"/>
          <w:lang w:val="en-GB"/>
        </w:rPr>
        <w:t xml:space="preserve"> developing an overall results framework for the Convention</w:t>
      </w:r>
    </w:p>
    <w:tbl>
      <w:tblPr>
        <w:tblW w:w="9062" w:type="dxa"/>
        <w:tblInd w:w="709" w:type="dxa"/>
        <w:tblLook w:val="04A0" w:firstRow="1" w:lastRow="0" w:firstColumn="1" w:lastColumn="0" w:noHBand="0" w:noVBand="1"/>
      </w:tblPr>
      <w:tblGrid>
        <w:gridCol w:w="6681"/>
        <w:gridCol w:w="2381"/>
      </w:tblGrid>
      <w:tr w:rsidR="00543B28" w:rsidRPr="00C75E87" w14:paraId="34D70541" w14:textId="77777777" w:rsidTr="00F10FCA">
        <w:trPr>
          <w:cantSplit/>
        </w:trPr>
        <w:tc>
          <w:tcPr>
            <w:tcW w:w="6681" w:type="dxa"/>
            <w:vAlign w:val="center"/>
          </w:tcPr>
          <w:p w14:paraId="7E0C8660" w14:textId="486CA921" w:rsidR="00543B28" w:rsidRPr="009426E5" w:rsidRDefault="00543B28" w:rsidP="00BC3A49">
            <w:pPr>
              <w:spacing w:before="60" w:after="60"/>
              <w:rPr>
                <w:rFonts w:ascii="Arial" w:hAnsi="Arial" w:cs="Arial"/>
                <w:color w:val="000000"/>
                <w:sz w:val="20"/>
                <w:szCs w:val="20"/>
                <w:lang w:val="en-GB"/>
              </w:rPr>
            </w:pPr>
            <w:r>
              <w:rPr>
                <w:rFonts w:ascii="Arial" w:hAnsi="Arial" w:cs="Arial"/>
                <w:color w:val="000000"/>
                <w:sz w:val="20"/>
                <w:szCs w:val="20"/>
                <w:lang w:val="en-GB"/>
              </w:rPr>
              <w:t>China</w:t>
            </w:r>
          </w:p>
        </w:tc>
        <w:tc>
          <w:tcPr>
            <w:tcW w:w="2381" w:type="dxa"/>
            <w:vAlign w:val="center"/>
          </w:tcPr>
          <w:p w14:paraId="418C0CE2" w14:textId="283BCA40" w:rsidR="00543B28" w:rsidRPr="009426E5" w:rsidRDefault="00543B28" w:rsidP="00543B28">
            <w:pPr>
              <w:spacing w:before="60" w:after="60"/>
              <w:jc w:val="right"/>
              <w:rPr>
                <w:rFonts w:ascii="Arial" w:hAnsi="Arial" w:cs="Arial"/>
                <w:color w:val="000000"/>
                <w:sz w:val="20"/>
                <w:szCs w:val="20"/>
                <w:lang w:val="en-GB"/>
              </w:rPr>
            </w:pPr>
            <w:r w:rsidRPr="009426E5">
              <w:rPr>
                <w:rFonts w:ascii="Arial" w:hAnsi="Arial" w:cs="Arial"/>
                <w:color w:val="000000"/>
                <w:sz w:val="20"/>
                <w:szCs w:val="20"/>
                <w:lang w:val="en-GB"/>
              </w:rPr>
              <w:t>US$</w:t>
            </w:r>
            <w:r>
              <w:rPr>
                <w:rFonts w:ascii="Arial" w:hAnsi="Arial" w:cs="Arial"/>
                <w:color w:val="000000"/>
                <w:sz w:val="20"/>
                <w:szCs w:val="20"/>
                <w:lang w:val="en-GB"/>
              </w:rPr>
              <w:t>50,000</w:t>
            </w:r>
          </w:p>
        </w:tc>
      </w:tr>
    </w:tbl>
    <w:p w14:paraId="18CAB69E" w14:textId="2F4CFAAC" w:rsidR="00543B28" w:rsidRPr="00543B28" w:rsidRDefault="00B941B4" w:rsidP="00543B28">
      <w:pPr>
        <w:spacing w:before="120" w:after="120"/>
        <w:ind w:left="709"/>
        <w:rPr>
          <w:rFonts w:ascii="Arial" w:hAnsi="Arial" w:cs="Arial"/>
          <w:b/>
          <w:color w:val="000000"/>
          <w:sz w:val="22"/>
          <w:szCs w:val="22"/>
          <w:lang w:val="en-GB"/>
        </w:rPr>
      </w:pPr>
      <w:r w:rsidRPr="009426E5">
        <w:rPr>
          <w:rFonts w:ascii="Arial" w:hAnsi="Arial" w:cs="Arial"/>
          <w:b/>
          <w:color w:val="000000"/>
          <w:sz w:val="22"/>
          <w:szCs w:val="22"/>
          <w:lang w:val="en-GB"/>
        </w:rPr>
        <w:t>Sub-fund for enhancing the human capacities of the Secretariat</w:t>
      </w:r>
    </w:p>
    <w:tbl>
      <w:tblPr>
        <w:tblW w:w="9072" w:type="dxa"/>
        <w:tblInd w:w="709" w:type="dxa"/>
        <w:tblLook w:val="04A0" w:firstRow="1" w:lastRow="0" w:firstColumn="1" w:lastColumn="0" w:noHBand="0" w:noVBand="1"/>
      </w:tblPr>
      <w:tblGrid>
        <w:gridCol w:w="6720"/>
        <w:gridCol w:w="2352"/>
      </w:tblGrid>
      <w:tr w:rsidR="00B941B4" w:rsidRPr="00620606" w14:paraId="712F1885" w14:textId="77777777" w:rsidTr="00753770">
        <w:trPr>
          <w:cantSplit/>
        </w:trPr>
        <w:tc>
          <w:tcPr>
            <w:tcW w:w="6720" w:type="dxa"/>
            <w:vAlign w:val="center"/>
          </w:tcPr>
          <w:p w14:paraId="50F4FB3D" w14:textId="77777777" w:rsidR="00B941B4" w:rsidRPr="00620606" w:rsidRDefault="00B941B4" w:rsidP="00B941B4">
            <w:pPr>
              <w:spacing w:before="60" w:after="60"/>
              <w:rPr>
                <w:rFonts w:ascii="Arial" w:hAnsi="Arial" w:cs="Arial"/>
                <w:color w:val="000000"/>
                <w:sz w:val="20"/>
                <w:szCs w:val="20"/>
                <w:lang w:val="en-GB"/>
              </w:rPr>
            </w:pPr>
            <w:r w:rsidRPr="00620606">
              <w:rPr>
                <w:rFonts w:ascii="Arial" w:hAnsi="Arial" w:cs="Arial"/>
                <w:color w:val="000000"/>
                <w:sz w:val="20"/>
                <w:szCs w:val="20"/>
                <w:lang w:val="en-GB"/>
              </w:rPr>
              <w:t>Azerbaijan</w:t>
            </w:r>
          </w:p>
        </w:tc>
        <w:tc>
          <w:tcPr>
            <w:tcW w:w="2352" w:type="dxa"/>
            <w:vAlign w:val="center"/>
          </w:tcPr>
          <w:p w14:paraId="61573A43" w14:textId="77777777" w:rsidR="00B941B4" w:rsidRPr="00620606" w:rsidRDefault="00B941B4" w:rsidP="00B941B4">
            <w:pPr>
              <w:spacing w:before="60" w:after="60"/>
              <w:jc w:val="right"/>
              <w:rPr>
                <w:rFonts w:ascii="Arial" w:hAnsi="Arial" w:cs="Arial"/>
                <w:color w:val="000000"/>
                <w:sz w:val="20"/>
                <w:szCs w:val="20"/>
                <w:lang w:val="en-GB"/>
              </w:rPr>
            </w:pPr>
            <w:r w:rsidRPr="00620606">
              <w:rPr>
                <w:rFonts w:ascii="Arial" w:hAnsi="Arial" w:cs="Arial"/>
                <w:color w:val="000000"/>
                <w:sz w:val="20"/>
                <w:szCs w:val="20"/>
                <w:lang w:val="en-GB"/>
              </w:rPr>
              <w:t>US$65,000</w:t>
            </w:r>
          </w:p>
        </w:tc>
      </w:tr>
      <w:tr w:rsidR="00B941B4" w:rsidRPr="00620606" w14:paraId="63109D68" w14:textId="77777777" w:rsidTr="00753770">
        <w:trPr>
          <w:cantSplit/>
        </w:trPr>
        <w:tc>
          <w:tcPr>
            <w:tcW w:w="6720" w:type="dxa"/>
            <w:vAlign w:val="center"/>
          </w:tcPr>
          <w:p w14:paraId="2A0C90C9" w14:textId="77777777" w:rsidR="00B941B4" w:rsidRPr="00620606" w:rsidRDefault="00B941B4" w:rsidP="00B941B4">
            <w:pPr>
              <w:spacing w:before="60" w:after="60"/>
              <w:rPr>
                <w:rFonts w:ascii="Arial" w:hAnsi="Arial" w:cs="Arial"/>
                <w:color w:val="000000"/>
                <w:sz w:val="20"/>
                <w:szCs w:val="20"/>
                <w:lang w:val="en-GB"/>
              </w:rPr>
            </w:pPr>
            <w:r w:rsidRPr="00620606">
              <w:rPr>
                <w:rFonts w:ascii="Arial" w:hAnsi="Arial" w:cs="Arial"/>
                <w:color w:val="000000"/>
                <w:sz w:val="20"/>
                <w:szCs w:val="20"/>
                <w:lang w:val="en-GB"/>
              </w:rPr>
              <w:t xml:space="preserve">Norwegian Centre for Traditional Music and Dance (Norway) </w:t>
            </w:r>
          </w:p>
        </w:tc>
        <w:tc>
          <w:tcPr>
            <w:tcW w:w="2352" w:type="dxa"/>
            <w:vAlign w:val="center"/>
          </w:tcPr>
          <w:p w14:paraId="3F1B2D96" w14:textId="77777777" w:rsidR="00B941B4" w:rsidRPr="00620606" w:rsidRDefault="00B941B4" w:rsidP="00B941B4">
            <w:pPr>
              <w:spacing w:before="60" w:after="60"/>
              <w:jc w:val="right"/>
              <w:rPr>
                <w:rFonts w:ascii="Arial" w:hAnsi="Arial" w:cs="Arial"/>
                <w:color w:val="000000"/>
                <w:sz w:val="20"/>
                <w:szCs w:val="20"/>
                <w:lang w:val="en-GB"/>
              </w:rPr>
            </w:pPr>
            <w:r w:rsidRPr="00620606">
              <w:rPr>
                <w:rFonts w:ascii="Arial" w:hAnsi="Arial" w:cs="Arial"/>
                <w:color w:val="000000"/>
                <w:sz w:val="20"/>
                <w:szCs w:val="20"/>
                <w:lang w:val="en-GB"/>
              </w:rPr>
              <w:t>US$2,470</w:t>
            </w:r>
          </w:p>
        </w:tc>
      </w:tr>
      <w:tr w:rsidR="00B941B4" w:rsidRPr="00620606" w14:paraId="24A3EEF9" w14:textId="77777777" w:rsidTr="00753770">
        <w:trPr>
          <w:cantSplit/>
          <w:trHeight w:val="509"/>
        </w:trPr>
        <w:tc>
          <w:tcPr>
            <w:tcW w:w="6720" w:type="dxa"/>
            <w:vAlign w:val="center"/>
          </w:tcPr>
          <w:p w14:paraId="5F4BC1BA" w14:textId="2F099FB2" w:rsidR="00B941B4" w:rsidRPr="00620606" w:rsidRDefault="00B941B4" w:rsidP="00B941B4">
            <w:pPr>
              <w:spacing w:before="60" w:after="60"/>
              <w:rPr>
                <w:rFonts w:ascii="Arial" w:hAnsi="Arial" w:cs="Arial"/>
                <w:color w:val="000000"/>
                <w:sz w:val="20"/>
                <w:szCs w:val="20"/>
                <w:lang w:val="en-GB"/>
              </w:rPr>
            </w:pPr>
            <w:r w:rsidRPr="00620606">
              <w:rPr>
                <w:rFonts w:ascii="Arial" w:hAnsi="Arial" w:cs="Arial"/>
                <w:bCs/>
                <w:color w:val="000000"/>
                <w:sz w:val="20"/>
                <w:szCs w:val="20"/>
                <w:lang w:val="en-GB"/>
              </w:rPr>
              <w:t>United Arab Emirates (</w:t>
            </w:r>
            <w:proofErr w:type="spellStart"/>
            <w:r w:rsidRPr="00620606">
              <w:rPr>
                <w:rFonts w:ascii="Arial" w:hAnsi="Arial" w:cs="Arial"/>
                <w:bCs/>
                <w:color w:val="000000"/>
                <w:sz w:val="20"/>
                <w:szCs w:val="20"/>
                <w:lang w:val="en-GB"/>
              </w:rPr>
              <w:t>Hamdan</w:t>
            </w:r>
            <w:proofErr w:type="spellEnd"/>
            <w:r w:rsidRPr="00620606">
              <w:rPr>
                <w:rFonts w:ascii="Arial" w:hAnsi="Arial" w:cs="Arial"/>
                <w:bCs/>
                <w:color w:val="000000"/>
                <w:sz w:val="20"/>
                <w:szCs w:val="20"/>
                <w:lang w:val="en-GB"/>
              </w:rPr>
              <w:t xml:space="preserve"> Bin Mohammed Heritage Centre)</w:t>
            </w:r>
          </w:p>
        </w:tc>
        <w:tc>
          <w:tcPr>
            <w:tcW w:w="2352" w:type="dxa"/>
            <w:vAlign w:val="center"/>
          </w:tcPr>
          <w:p w14:paraId="7853D5F5" w14:textId="77777777" w:rsidR="00B941B4" w:rsidRPr="00620606" w:rsidRDefault="00B941B4" w:rsidP="00B941B4">
            <w:pPr>
              <w:spacing w:before="60" w:after="60"/>
              <w:jc w:val="right"/>
              <w:rPr>
                <w:rFonts w:ascii="Arial" w:hAnsi="Arial" w:cs="Arial"/>
                <w:color w:val="000000"/>
                <w:sz w:val="20"/>
                <w:szCs w:val="20"/>
                <w:lang w:val="en-GB"/>
              </w:rPr>
            </w:pPr>
            <w:r w:rsidRPr="00620606">
              <w:rPr>
                <w:rFonts w:ascii="Arial" w:hAnsi="Arial" w:cs="Arial"/>
                <w:color w:val="000000"/>
                <w:sz w:val="20"/>
                <w:szCs w:val="20"/>
                <w:lang w:val="en-GB"/>
              </w:rPr>
              <w:t>US$32,878</w:t>
            </w:r>
          </w:p>
        </w:tc>
      </w:tr>
    </w:tbl>
    <w:p w14:paraId="28268CC1" w14:textId="6D5446EB" w:rsidR="00D318B2" w:rsidRDefault="00D318B2" w:rsidP="00C75E87">
      <w:pPr>
        <w:spacing w:before="360" w:after="60"/>
        <w:rPr>
          <w:rFonts w:ascii="Arial" w:hAnsi="Arial" w:cs="Arial"/>
          <w:b/>
          <w:smallCaps/>
          <w:color w:val="000000"/>
          <w:sz w:val="22"/>
          <w:szCs w:val="22"/>
          <w:lang w:val="en-GB"/>
        </w:rPr>
      </w:pPr>
      <w:r>
        <w:rPr>
          <w:rFonts w:ascii="Arial" w:hAnsi="Arial" w:cs="Arial"/>
          <w:b/>
          <w:smallCaps/>
          <w:color w:val="000000"/>
          <w:sz w:val="22"/>
          <w:szCs w:val="22"/>
          <w:lang w:val="en-GB"/>
        </w:rPr>
        <w:t>Funds-in-trust</w:t>
      </w:r>
      <w:r w:rsidR="00E1432E">
        <w:rPr>
          <w:rStyle w:val="FootnoteReference"/>
          <w:rFonts w:ascii="Arial" w:hAnsi="Arial" w:cs="Arial"/>
          <w:b/>
          <w:smallCaps/>
          <w:color w:val="000000"/>
          <w:sz w:val="22"/>
          <w:szCs w:val="22"/>
          <w:lang w:val="en-GB"/>
        </w:rPr>
        <w:footnoteReference w:id="3"/>
      </w:r>
    </w:p>
    <w:tbl>
      <w:tblPr>
        <w:tblW w:w="9062" w:type="dxa"/>
        <w:tblInd w:w="709" w:type="dxa"/>
        <w:tblLook w:val="04A0" w:firstRow="1" w:lastRow="0" w:firstColumn="1" w:lastColumn="0" w:noHBand="0" w:noVBand="1"/>
      </w:tblPr>
      <w:tblGrid>
        <w:gridCol w:w="6681"/>
        <w:gridCol w:w="2381"/>
      </w:tblGrid>
      <w:tr w:rsidR="00D318B2" w:rsidRPr="00C75E87" w14:paraId="0C688ADF" w14:textId="77777777" w:rsidTr="00F10FCA">
        <w:trPr>
          <w:cantSplit/>
        </w:trPr>
        <w:tc>
          <w:tcPr>
            <w:tcW w:w="6681" w:type="dxa"/>
            <w:vAlign w:val="center"/>
          </w:tcPr>
          <w:p w14:paraId="489D8A6C" w14:textId="4085D1BC" w:rsidR="00D318B2" w:rsidRPr="009426E5" w:rsidRDefault="00D318B2" w:rsidP="00D318B2">
            <w:pPr>
              <w:spacing w:before="60" w:after="60"/>
              <w:rPr>
                <w:rFonts w:ascii="Arial" w:hAnsi="Arial" w:cs="Arial"/>
                <w:color w:val="000000"/>
                <w:sz w:val="20"/>
                <w:szCs w:val="20"/>
                <w:lang w:val="en-GB"/>
              </w:rPr>
            </w:pPr>
            <w:r>
              <w:rPr>
                <w:rFonts w:ascii="Arial" w:hAnsi="Arial" w:cs="Arial"/>
                <w:color w:val="000000"/>
                <w:sz w:val="20"/>
                <w:szCs w:val="20"/>
                <w:lang w:val="en-GB"/>
              </w:rPr>
              <w:t>Belgium</w:t>
            </w:r>
            <w:r w:rsidRPr="009426E5">
              <w:rPr>
                <w:rFonts w:ascii="Arial" w:hAnsi="Arial" w:cs="Arial"/>
                <w:color w:val="000000"/>
                <w:sz w:val="20"/>
                <w:szCs w:val="20"/>
                <w:lang w:val="en-GB"/>
              </w:rPr>
              <w:t xml:space="preserve"> (</w:t>
            </w:r>
            <w:r>
              <w:rPr>
                <w:rFonts w:ascii="Arial" w:hAnsi="Arial" w:cs="Arial"/>
                <w:color w:val="000000"/>
                <w:sz w:val="20"/>
                <w:szCs w:val="20"/>
                <w:lang w:val="en-GB"/>
              </w:rPr>
              <w:t>Flanders</w:t>
            </w:r>
            <w:r w:rsidRPr="009426E5">
              <w:rPr>
                <w:rFonts w:ascii="Arial" w:hAnsi="Arial" w:cs="Arial"/>
                <w:color w:val="000000"/>
                <w:sz w:val="20"/>
                <w:szCs w:val="20"/>
                <w:lang w:val="en-GB"/>
              </w:rPr>
              <w:t>)</w:t>
            </w:r>
          </w:p>
        </w:tc>
        <w:tc>
          <w:tcPr>
            <w:tcW w:w="2381" w:type="dxa"/>
            <w:vAlign w:val="center"/>
          </w:tcPr>
          <w:p w14:paraId="5ED42A53" w14:textId="46D28491" w:rsidR="00D318B2" w:rsidRPr="009426E5" w:rsidRDefault="00D318B2" w:rsidP="00D318B2">
            <w:pPr>
              <w:spacing w:before="60" w:after="60"/>
              <w:jc w:val="right"/>
              <w:rPr>
                <w:rFonts w:ascii="Arial" w:hAnsi="Arial" w:cs="Arial"/>
                <w:color w:val="000000"/>
                <w:sz w:val="20"/>
                <w:szCs w:val="20"/>
                <w:lang w:val="en-GB"/>
              </w:rPr>
            </w:pPr>
            <w:r w:rsidRPr="009426E5">
              <w:rPr>
                <w:rFonts w:ascii="Arial" w:hAnsi="Arial" w:cs="Arial"/>
                <w:color w:val="000000"/>
                <w:sz w:val="20"/>
                <w:szCs w:val="20"/>
                <w:lang w:val="en-GB"/>
              </w:rPr>
              <w:t>US$</w:t>
            </w:r>
            <w:r>
              <w:rPr>
                <w:rFonts w:ascii="Arial" w:hAnsi="Arial" w:cs="Arial"/>
                <w:color w:val="000000"/>
                <w:sz w:val="20"/>
                <w:szCs w:val="20"/>
                <w:lang w:val="en-GB"/>
              </w:rPr>
              <w:t>250,000</w:t>
            </w:r>
          </w:p>
        </w:tc>
      </w:tr>
    </w:tbl>
    <w:p w14:paraId="72DCDBDF" w14:textId="7DE8218B" w:rsidR="00AB2BA7" w:rsidRPr="00C75E87" w:rsidRDefault="00AB2BA7" w:rsidP="00C75E87">
      <w:pPr>
        <w:spacing w:before="360" w:after="60"/>
        <w:rPr>
          <w:rFonts w:ascii="Arial" w:hAnsi="Arial" w:cs="Arial"/>
          <w:b/>
          <w:smallCaps/>
          <w:color w:val="000000"/>
          <w:sz w:val="22"/>
          <w:szCs w:val="22"/>
          <w:lang w:val="en-GB"/>
        </w:rPr>
      </w:pPr>
      <w:r w:rsidRPr="00C75E87">
        <w:rPr>
          <w:rFonts w:ascii="Arial" w:hAnsi="Arial" w:cs="Arial"/>
          <w:b/>
          <w:smallCaps/>
          <w:color w:val="000000"/>
          <w:sz w:val="22"/>
          <w:szCs w:val="22"/>
          <w:lang w:val="en-GB"/>
        </w:rPr>
        <w:t>Loans and Secondments</w:t>
      </w:r>
    </w:p>
    <w:tbl>
      <w:tblPr>
        <w:tblW w:w="8949" w:type="dxa"/>
        <w:tblInd w:w="709" w:type="dxa"/>
        <w:tblLook w:val="04A0" w:firstRow="1" w:lastRow="0" w:firstColumn="1" w:lastColumn="0" w:noHBand="0" w:noVBand="1"/>
      </w:tblPr>
      <w:tblGrid>
        <w:gridCol w:w="6487"/>
        <w:gridCol w:w="2462"/>
      </w:tblGrid>
      <w:tr w:rsidR="00AB2BA7" w:rsidRPr="00C75E87" w14:paraId="48AA452A" w14:textId="77777777" w:rsidTr="00543B28">
        <w:trPr>
          <w:cantSplit/>
        </w:trPr>
        <w:tc>
          <w:tcPr>
            <w:tcW w:w="6487" w:type="dxa"/>
            <w:vAlign w:val="center"/>
            <w:hideMark/>
          </w:tcPr>
          <w:p w14:paraId="1DEBDEA5" w14:textId="039A9A49" w:rsidR="00AB2BA7" w:rsidRPr="00C75E87" w:rsidRDefault="009426E5" w:rsidP="009426E5">
            <w:pPr>
              <w:spacing w:before="60" w:after="60"/>
              <w:rPr>
                <w:rFonts w:ascii="Arial" w:hAnsi="Arial" w:cs="Arial"/>
                <w:color w:val="000000"/>
                <w:sz w:val="20"/>
                <w:szCs w:val="20"/>
                <w:lang w:val="en-GB"/>
              </w:rPr>
            </w:pPr>
            <w:r>
              <w:rPr>
                <w:rFonts w:ascii="Arial" w:hAnsi="Arial" w:cs="Arial"/>
                <w:color w:val="000000"/>
                <w:sz w:val="20"/>
                <w:szCs w:val="20"/>
                <w:lang w:val="en-GB"/>
              </w:rPr>
              <w:t>United Arab Emirates (</w:t>
            </w:r>
            <w:r w:rsidR="00AB2BA7" w:rsidRPr="00C75E87">
              <w:rPr>
                <w:rFonts w:ascii="Arial" w:hAnsi="Arial" w:cs="Arial"/>
                <w:color w:val="000000"/>
                <w:sz w:val="20"/>
                <w:szCs w:val="20"/>
                <w:lang w:val="en-GB"/>
              </w:rPr>
              <w:t>Abu Dhabi Tourism &amp; Culture Authority</w:t>
            </w:r>
            <w:r>
              <w:rPr>
                <w:rFonts w:ascii="Arial" w:hAnsi="Arial" w:cs="Arial"/>
                <w:color w:val="000000"/>
                <w:sz w:val="20"/>
                <w:szCs w:val="20"/>
                <w:lang w:val="en-GB"/>
              </w:rPr>
              <w:t>)</w:t>
            </w:r>
          </w:p>
        </w:tc>
        <w:tc>
          <w:tcPr>
            <w:tcW w:w="2462" w:type="dxa"/>
            <w:vAlign w:val="center"/>
            <w:hideMark/>
          </w:tcPr>
          <w:p w14:paraId="7CC91151" w14:textId="77777777" w:rsidR="00AB2BA7" w:rsidRPr="00C75E87" w:rsidRDefault="00AB2BA7" w:rsidP="002C65DD">
            <w:pPr>
              <w:spacing w:before="60" w:after="60"/>
              <w:jc w:val="right"/>
              <w:rPr>
                <w:rFonts w:ascii="Arial" w:hAnsi="Arial" w:cs="Arial"/>
                <w:color w:val="000000"/>
                <w:sz w:val="20"/>
                <w:szCs w:val="20"/>
                <w:lang w:val="en-GB"/>
              </w:rPr>
            </w:pPr>
            <w:r w:rsidRPr="00C75E87">
              <w:rPr>
                <w:rFonts w:ascii="Arial" w:hAnsi="Arial" w:cs="Arial"/>
                <w:color w:val="000000"/>
                <w:sz w:val="20"/>
                <w:szCs w:val="20"/>
                <w:lang w:val="en-GB"/>
              </w:rPr>
              <w:t>12 months at P-2 level</w:t>
            </w:r>
          </w:p>
        </w:tc>
      </w:tr>
      <w:tr w:rsidR="00AB2BA7" w:rsidRPr="00C75E87" w14:paraId="35227B81" w14:textId="77777777" w:rsidTr="00543B28">
        <w:trPr>
          <w:cantSplit/>
        </w:trPr>
        <w:tc>
          <w:tcPr>
            <w:tcW w:w="6487" w:type="dxa"/>
            <w:vAlign w:val="center"/>
            <w:hideMark/>
          </w:tcPr>
          <w:p w14:paraId="472C3619" w14:textId="77777777" w:rsidR="00AB2BA7" w:rsidRPr="00C75E87" w:rsidRDefault="00AB2BA7" w:rsidP="002C65DD">
            <w:pPr>
              <w:spacing w:before="60" w:after="60"/>
              <w:rPr>
                <w:rFonts w:ascii="Arial" w:hAnsi="Arial" w:cs="Arial"/>
                <w:color w:val="000000"/>
                <w:sz w:val="20"/>
                <w:szCs w:val="20"/>
                <w:lang w:val="en-GB"/>
              </w:rPr>
            </w:pPr>
            <w:r w:rsidRPr="00C75E87">
              <w:rPr>
                <w:rFonts w:ascii="Arial" w:hAnsi="Arial" w:cs="Arial"/>
                <w:color w:val="000000"/>
                <w:sz w:val="20"/>
                <w:szCs w:val="20"/>
                <w:lang w:val="en-GB"/>
              </w:rPr>
              <w:t>China</w:t>
            </w:r>
          </w:p>
        </w:tc>
        <w:tc>
          <w:tcPr>
            <w:tcW w:w="2462" w:type="dxa"/>
            <w:vAlign w:val="center"/>
            <w:hideMark/>
          </w:tcPr>
          <w:p w14:paraId="06242EC2" w14:textId="77777777" w:rsidR="00AB2BA7" w:rsidRPr="00C75E87" w:rsidRDefault="00AB2BA7" w:rsidP="002C65DD">
            <w:pPr>
              <w:spacing w:before="60" w:after="60"/>
              <w:jc w:val="right"/>
              <w:rPr>
                <w:rFonts w:ascii="Arial" w:hAnsi="Arial" w:cs="Arial"/>
                <w:color w:val="000000"/>
                <w:sz w:val="20"/>
                <w:szCs w:val="20"/>
                <w:lang w:val="en-GB"/>
              </w:rPr>
            </w:pPr>
            <w:r w:rsidRPr="00C75E87">
              <w:rPr>
                <w:rFonts w:ascii="Arial" w:hAnsi="Arial" w:cs="Arial"/>
                <w:color w:val="000000"/>
                <w:sz w:val="20"/>
                <w:szCs w:val="20"/>
                <w:lang w:val="en-GB"/>
              </w:rPr>
              <w:t>12 months at P-2 level</w:t>
            </w:r>
          </w:p>
        </w:tc>
      </w:tr>
      <w:tr w:rsidR="00AB2BA7" w:rsidRPr="00C75E87" w14:paraId="57026626" w14:textId="77777777" w:rsidTr="00543B28">
        <w:trPr>
          <w:cantSplit/>
        </w:trPr>
        <w:tc>
          <w:tcPr>
            <w:tcW w:w="6487" w:type="dxa"/>
            <w:vAlign w:val="center"/>
          </w:tcPr>
          <w:p w14:paraId="06E8D218" w14:textId="77777777" w:rsidR="00AB2BA7" w:rsidRPr="00C75E87" w:rsidRDefault="00AB2BA7" w:rsidP="002C65DD">
            <w:pPr>
              <w:spacing w:before="60" w:after="60"/>
              <w:rPr>
                <w:rFonts w:ascii="Arial" w:hAnsi="Arial" w:cs="Arial"/>
                <w:color w:val="000000"/>
                <w:sz w:val="20"/>
                <w:szCs w:val="20"/>
                <w:lang w:val="en-GB"/>
              </w:rPr>
            </w:pPr>
            <w:r w:rsidRPr="00C75E87">
              <w:rPr>
                <w:rFonts w:ascii="Arial" w:hAnsi="Arial" w:cs="Arial"/>
                <w:color w:val="000000"/>
                <w:sz w:val="20"/>
                <w:szCs w:val="20"/>
                <w:lang w:val="en-GB"/>
              </w:rPr>
              <w:t>Japan</w:t>
            </w:r>
          </w:p>
        </w:tc>
        <w:tc>
          <w:tcPr>
            <w:tcW w:w="2462" w:type="dxa"/>
            <w:vAlign w:val="center"/>
          </w:tcPr>
          <w:p w14:paraId="2CD0881C" w14:textId="77777777" w:rsidR="00AB2BA7" w:rsidRPr="00C75E87" w:rsidRDefault="00AB2BA7" w:rsidP="002C65DD">
            <w:pPr>
              <w:spacing w:before="60" w:after="60"/>
              <w:jc w:val="right"/>
              <w:rPr>
                <w:rFonts w:ascii="Arial" w:hAnsi="Arial" w:cs="Arial"/>
                <w:color w:val="000000"/>
                <w:sz w:val="20"/>
                <w:szCs w:val="20"/>
                <w:lang w:val="en-GB"/>
              </w:rPr>
            </w:pPr>
            <w:r w:rsidRPr="00C75E87">
              <w:rPr>
                <w:rFonts w:ascii="Arial" w:hAnsi="Arial" w:cs="Arial"/>
                <w:color w:val="000000"/>
                <w:sz w:val="20"/>
                <w:szCs w:val="20"/>
                <w:lang w:val="en-GB"/>
              </w:rPr>
              <w:t>12 months at P-2 level</w:t>
            </w:r>
          </w:p>
        </w:tc>
      </w:tr>
    </w:tbl>
    <w:p w14:paraId="4E62F8CE" w14:textId="77777777" w:rsidR="00AB2BA7" w:rsidRPr="009255E0" w:rsidRDefault="00AB2BA7" w:rsidP="00C75E87">
      <w:pPr>
        <w:rPr>
          <w:rFonts w:ascii="Arial" w:eastAsia="Malgun Gothic" w:hAnsi="Arial" w:cs="Arial" w:hint="eastAsia"/>
          <w:sz w:val="20"/>
          <w:szCs w:val="20"/>
          <w:lang w:val="en-GB" w:eastAsia="ko-KR"/>
        </w:rPr>
      </w:pPr>
    </w:p>
    <w:sectPr w:rsidR="00AB2BA7" w:rsidRPr="009255E0" w:rsidSect="00655736">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D4BB5" w14:textId="77777777" w:rsidR="00BC1CC9" w:rsidRDefault="00BC1CC9" w:rsidP="00655736">
      <w:r>
        <w:separator/>
      </w:r>
    </w:p>
  </w:endnote>
  <w:endnote w:type="continuationSeparator" w:id="0">
    <w:p w14:paraId="225EF5F4" w14:textId="77777777" w:rsidR="00BC1CC9" w:rsidRDefault="00BC1CC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4319E" w14:textId="77777777" w:rsidR="00BC1CC9" w:rsidRDefault="00BC1CC9" w:rsidP="00655736">
      <w:r>
        <w:separator/>
      </w:r>
    </w:p>
  </w:footnote>
  <w:footnote w:type="continuationSeparator" w:id="0">
    <w:p w14:paraId="2BEE20A2" w14:textId="77777777" w:rsidR="00BC1CC9" w:rsidRDefault="00BC1CC9" w:rsidP="00655736">
      <w:r>
        <w:continuationSeparator/>
      </w:r>
    </w:p>
  </w:footnote>
  <w:footnote w:id="1">
    <w:p w14:paraId="41E9D972" w14:textId="216B88B2" w:rsidR="00C43F2C" w:rsidRPr="0014445F" w:rsidRDefault="00C43F2C" w:rsidP="006B4E34">
      <w:pPr>
        <w:pStyle w:val="FootnoteText"/>
        <w:spacing w:before="60" w:after="60"/>
        <w:ind w:left="567" w:hanging="567"/>
        <w:jc w:val="both"/>
        <w:rPr>
          <w:rFonts w:ascii="Arial" w:hAnsi="Arial" w:cs="Arial"/>
          <w:sz w:val="18"/>
          <w:lang w:val="en-GB"/>
        </w:rPr>
      </w:pPr>
      <w:r w:rsidRPr="0014445F">
        <w:rPr>
          <w:rStyle w:val="FootnoteReference"/>
          <w:rFonts w:ascii="Arial" w:hAnsi="Arial" w:cs="Arial"/>
          <w:sz w:val="18"/>
          <w:vertAlign w:val="baseline"/>
          <w:lang w:val="en-GB"/>
        </w:rPr>
        <w:footnoteRef/>
      </w:r>
      <w:r w:rsidRPr="0014445F">
        <w:rPr>
          <w:rFonts w:ascii="Arial" w:hAnsi="Arial" w:cs="Arial"/>
          <w:sz w:val="18"/>
          <w:lang w:val="en-GB"/>
        </w:rPr>
        <w:t>.</w:t>
      </w:r>
      <w:r w:rsidRPr="0014445F">
        <w:rPr>
          <w:rFonts w:ascii="Arial" w:hAnsi="Arial" w:cs="Arial"/>
          <w:sz w:val="18"/>
          <w:lang w:val="en-GB"/>
        </w:rPr>
        <w:tab/>
        <w:t xml:space="preserve">The Concept Note for the 2014-2017 Complementary Additional Programme endorsed by the Committee foresees an overall need during the </w:t>
      </w:r>
      <w:proofErr w:type="spellStart"/>
      <w:r w:rsidRPr="0014445F">
        <w:rPr>
          <w:rFonts w:ascii="Arial" w:hAnsi="Arial" w:cs="Arial"/>
          <w:sz w:val="18"/>
          <w:lang w:val="en-GB"/>
        </w:rPr>
        <w:t>quadrennium</w:t>
      </w:r>
      <w:proofErr w:type="spellEnd"/>
      <w:r w:rsidRPr="0014445F">
        <w:rPr>
          <w:rFonts w:ascii="Arial" w:hAnsi="Arial" w:cs="Arial"/>
          <w:sz w:val="18"/>
          <w:lang w:val="en-GB"/>
        </w:rPr>
        <w:t xml:space="preserve"> of US$6 million to carry out activities in some 20 countries worldwide.</w:t>
      </w:r>
    </w:p>
  </w:footnote>
  <w:footnote w:id="2">
    <w:p w14:paraId="6E1D53C9" w14:textId="5D215D08" w:rsidR="006B4E34" w:rsidRPr="0014445F" w:rsidRDefault="006B4E34" w:rsidP="00177E5A">
      <w:pPr>
        <w:pStyle w:val="FootnoteText"/>
        <w:spacing w:before="60" w:after="60"/>
        <w:rPr>
          <w:rFonts w:ascii="Arial" w:hAnsi="Arial" w:cs="Arial"/>
          <w:sz w:val="18"/>
          <w:lang w:val="en-GB"/>
        </w:rPr>
      </w:pPr>
      <w:r w:rsidRPr="0014445F">
        <w:rPr>
          <w:rFonts w:ascii="Arial" w:hAnsi="Arial" w:cs="Arial"/>
          <w:sz w:val="18"/>
          <w:lang w:val="en-GB"/>
        </w:rPr>
        <w:footnoteRef/>
      </w:r>
      <w:r w:rsidRPr="0014445F">
        <w:rPr>
          <w:rFonts w:ascii="Arial" w:hAnsi="Arial" w:cs="Arial"/>
          <w:sz w:val="18"/>
          <w:lang w:val="en-GB"/>
        </w:rPr>
        <w:t>.</w:t>
      </w:r>
      <w:r w:rsidRPr="0014445F">
        <w:rPr>
          <w:rFonts w:ascii="Arial" w:hAnsi="Arial" w:cs="Arial"/>
          <w:sz w:val="18"/>
          <w:lang w:val="en-GB"/>
        </w:rPr>
        <w:tab/>
        <w:t>Based on cash received.</w:t>
      </w:r>
      <w:bookmarkStart w:id="0" w:name="_GoBack"/>
      <w:bookmarkEnd w:id="0"/>
    </w:p>
  </w:footnote>
  <w:footnote w:id="3">
    <w:p w14:paraId="55318F52" w14:textId="434C3B8A" w:rsidR="00E1432E" w:rsidRPr="0014445F" w:rsidRDefault="00E1432E" w:rsidP="00177E5A">
      <w:pPr>
        <w:pStyle w:val="FootnoteText"/>
        <w:spacing w:before="60" w:after="60"/>
        <w:rPr>
          <w:sz w:val="18"/>
          <w:lang w:val="en-US"/>
        </w:rPr>
      </w:pPr>
      <w:r w:rsidRPr="0014445F">
        <w:rPr>
          <w:rFonts w:ascii="Arial" w:hAnsi="Arial" w:cs="Arial"/>
          <w:sz w:val="18"/>
          <w:lang w:val="en-GB"/>
        </w:rPr>
        <w:footnoteRef/>
      </w:r>
      <w:r w:rsidRPr="0014445F">
        <w:rPr>
          <w:rFonts w:ascii="Arial" w:hAnsi="Arial" w:cs="Arial"/>
          <w:sz w:val="18"/>
          <w:lang w:val="en-GB"/>
        </w:rPr>
        <w:t>.</w:t>
      </w:r>
      <w:r w:rsidRPr="0014445F">
        <w:rPr>
          <w:rFonts w:ascii="Arial" w:hAnsi="Arial" w:cs="Arial"/>
          <w:sz w:val="18"/>
          <w:lang w:val="en-GB"/>
        </w:rPr>
        <w:tab/>
        <w:t>Based on approved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F6E9A" w14:textId="355FD3DB" w:rsidR="00C43F2C" w:rsidRPr="00C23A97" w:rsidRDefault="00C43F2C">
    <w:pPr>
      <w:pStyle w:val="Header"/>
      <w:rPr>
        <w:rFonts w:ascii="Arial" w:hAnsi="Arial" w:cs="Arial"/>
        <w:lang w:val="en-GB"/>
      </w:rPr>
    </w:pPr>
    <w:r>
      <w:rPr>
        <w:rFonts w:ascii="Arial" w:hAnsi="Arial" w:cs="Arial"/>
        <w:sz w:val="20"/>
        <w:szCs w:val="20"/>
        <w:lang w:val="en-GB"/>
      </w:rPr>
      <w:t>ITH/</w:t>
    </w:r>
    <w:r w:rsidR="00883B07">
      <w:rPr>
        <w:rFonts w:ascii="Arial" w:hAnsi="Arial" w:cs="Arial"/>
        <w:sz w:val="20"/>
        <w:szCs w:val="20"/>
        <w:lang w:val="en-GB"/>
      </w:rPr>
      <w:t>16</w:t>
    </w:r>
    <w:r>
      <w:rPr>
        <w:rFonts w:ascii="Arial" w:hAnsi="Arial" w:cs="Arial"/>
        <w:sz w:val="20"/>
        <w:szCs w:val="20"/>
        <w:lang w:val="en-GB"/>
      </w:rPr>
      <w:t>/</w:t>
    </w:r>
    <w:r w:rsidR="00883B07">
      <w:rPr>
        <w:rFonts w:ascii="Arial" w:hAnsi="Arial" w:cs="Arial"/>
        <w:sz w:val="20"/>
        <w:szCs w:val="20"/>
        <w:lang w:val="en-GB"/>
      </w:rPr>
      <w:t>11</w:t>
    </w:r>
    <w:r>
      <w:rPr>
        <w:rFonts w:ascii="Arial" w:hAnsi="Arial" w:cs="Arial"/>
        <w:sz w:val="20"/>
        <w:szCs w:val="20"/>
        <w:lang w:val="en-GB"/>
      </w:rPr>
      <w:t>.COM</w:t>
    </w:r>
    <w:r w:rsidRPr="00C23A97">
      <w:rPr>
        <w:rFonts w:ascii="Arial" w:hAnsi="Arial" w:cs="Arial"/>
        <w:sz w:val="20"/>
        <w:szCs w:val="20"/>
        <w:lang w:val="en-GB"/>
      </w:rPr>
      <w:t>/</w:t>
    </w:r>
    <w:r w:rsidR="00883B07">
      <w:rPr>
        <w:rFonts w:ascii="Arial" w:hAnsi="Arial" w:cs="Arial"/>
        <w:sz w:val="20"/>
        <w:szCs w:val="20"/>
        <w:lang w:val="en-GB"/>
      </w:rPr>
      <w:t>6</w:t>
    </w:r>
    <w:r w:rsidR="00954301">
      <w:rPr>
        <w:rFonts w:ascii="Arial" w:hAnsi="Arial" w:cs="Arial"/>
        <w:sz w:val="20"/>
        <w:szCs w:val="20"/>
        <w:lang w:val="en-GB"/>
      </w:rPr>
      <w:t> Rev.</w:t>
    </w:r>
    <w:r w:rsidR="00883B07" w:rsidRPr="00C23A97">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9255E0">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989F" w14:textId="384F37F3" w:rsidR="00C43F2C" w:rsidRPr="0063300C" w:rsidRDefault="00883B07" w:rsidP="0063300C">
    <w:pPr>
      <w:pStyle w:val="Header"/>
      <w:jc w:val="right"/>
      <w:rPr>
        <w:rFonts w:ascii="Arial" w:hAnsi="Arial" w:cs="Arial"/>
        <w:lang w:val="en-GB"/>
      </w:rPr>
    </w:pPr>
    <w:r>
      <w:rPr>
        <w:rFonts w:ascii="Arial" w:hAnsi="Arial" w:cs="Arial"/>
        <w:sz w:val="20"/>
        <w:szCs w:val="20"/>
        <w:lang w:val="en-GB"/>
      </w:rPr>
      <w:t>ITH/16/11.COM</w:t>
    </w:r>
    <w:r w:rsidRPr="00C23A97">
      <w:rPr>
        <w:rFonts w:ascii="Arial" w:hAnsi="Arial" w:cs="Arial"/>
        <w:sz w:val="20"/>
        <w:szCs w:val="20"/>
        <w:lang w:val="en-GB"/>
      </w:rPr>
      <w:t>/</w:t>
    </w:r>
    <w:r>
      <w:rPr>
        <w:rFonts w:ascii="Arial" w:hAnsi="Arial" w:cs="Arial"/>
        <w:sz w:val="20"/>
        <w:szCs w:val="20"/>
        <w:lang w:val="en-GB"/>
      </w:rPr>
      <w:t>6</w:t>
    </w:r>
    <w:r w:rsidR="00954301">
      <w:rPr>
        <w:rFonts w:ascii="Arial" w:hAnsi="Arial" w:cs="Arial"/>
        <w:sz w:val="20"/>
        <w:szCs w:val="20"/>
        <w:lang w:val="en-GB"/>
      </w:rPr>
      <w:t> Rev.</w:t>
    </w:r>
    <w:r w:rsidR="00C43F2C" w:rsidRPr="0063300C">
      <w:rPr>
        <w:rFonts w:ascii="Arial" w:hAnsi="Arial" w:cs="Arial"/>
        <w:sz w:val="20"/>
        <w:szCs w:val="20"/>
        <w:lang w:val="en-GB"/>
      </w:rPr>
      <w:t xml:space="preserve"> – page </w:t>
    </w:r>
    <w:r w:rsidR="00C43F2C" w:rsidRPr="0063300C">
      <w:rPr>
        <w:rStyle w:val="PageNumber"/>
        <w:rFonts w:ascii="Arial" w:hAnsi="Arial" w:cs="Arial"/>
        <w:sz w:val="20"/>
        <w:szCs w:val="20"/>
        <w:lang w:val="en-GB"/>
      </w:rPr>
      <w:fldChar w:fldCharType="begin"/>
    </w:r>
    <w:r w:rsidR="00C43F2C" w:rsidRPr="0063300C">
      <w:rPr>
        <w:rStyle w:val="PageNumber"/>
        <w:rFonts w:ascii="Arial" w:hAnsi="Arial" w:cs="Arial"/>
        <w:sz w:val="20"/>
        <w:szCs w:val="20"/>
        <w:lang w:val="en-GB"/>
      </w:rPr>
      <w:instrText xml:space="preserve"> PAGE </w:instrText>
    </w:r>
    <w:r w:rsidR="00C43F2C" w:rsidRPr="0063300C">
      <w:rPr>
        <w:rStyle w:val="PageNumber"/>
        <w:rFonts w:ascii="Arial" w:hAnsi="Arial" w:cs="Arial"/>
        <w:sz w:val="20"/>
        <w:szCs w:val="20"/>
        <w:lang w:val="en-GB"/>
      </w:rPr>
      <w:fldChar w:fldCharType="separate"/>
    </w:r>
    <w:r w:rsidR="009255E0">
      <w:rPr>
        <w:rStyle w:val="PageNumber"/>
        <w:rFonts w:ascii="Arial" w:hAnsi="Arial" w:cs="Arial"/>
        <w:noProof/>
        <w:sz w:val="20"/>
        <w:szCs w:val="20"/>
        <w:lang w:val="en-GB"/>
      </w:rPr>
      <w:t>9</w:t>
    </w:r>
    <w:r w:rsidR="00C43F2C"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5E6" w14:textId="77777777" w:rsidR="00C43F2C" w:rsidRPr="00F32C23" w:rsidRDefault="00C43F2C" w:rsidP="000811A4">
    <w:pPr>
      <w:pStyle w:val="Header"/>
      <w:rPr>
        <w:lang w:val="en-GB"/>
      </w:rPr>
    </w:pPr>
    <w:r>
      <w:rPr>
        <w:noProof/>
        <w:lang w:eastAsia="ko-KR"/>
      </w:rPr>
      <w:drawing>
        <wp:anchor distT="0" distB="0" distL="114300" distR="114300" simplePos="0" relativeHeight="251659264" behindDoc="0" locked="0" layoutInCell="1" allowOverlap="1" wp14:anchorId="3F905301" wp14:editId="0760A08B">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7E89E" w14:textId="77777777" w:rsidR="00C43F2C" w:rsidRPr="00F30DC6" w:rsidRDefault="00C43F2C" w:rsidP="000811A4">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14:paraId="14E3DADB" w14:textId="187CA29F" w:rsidR="00C43F2C" w:rsidRPr="009D5428" w:rsidRDefault="00C43F2C" w:rsidP="000811A4">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6</w:t>
    </w:r>
    <w:r w:rsidR="00E3749D">
      <w:rPr>
        <w:rFonts w:ascii="Arial" w:hAnsi="Arial" w:cs="Arial"/>
        <w:b/>
        <w:sz w:val="22"/>
        <w:szCs w:val="22"/>
        <w:lang w:val="en-GB"/>
      </w:rPr>
      <w:t> Rev.</w:t>
    </w:r>
  </w:p>
  <w:p w14:paraId="044FB4F1" w14:textId="0829773A" w:rsidR="00C43F2C" w:rsidRPr="00F32C23" w:rsidRDefault="00C43F2C" w:rsidP="000811A4">
    <w:pPr>
      <w:jc w:val="right"/>
      <w:rPr>
        <w:rFonts w:ascii="Arial" w:hAnsi="Arial" w:cs="Arial"/>
        <w:b/>
        <w:sz w:val="22"/>
        <w:szCs w:val="22"/>
        <w:lang w:val="en-GB"/>
      </w:rPr>
    </w:pPr>
    <w:r w:rsidRPr="009D5428">
      <w:rPr>
        <w:rFonts w:ascii="Arial" w:hAnsi="Arial" w:cs="Arial"/>
        <w:b/>
        <w:sz w:val="22"/>
        <w:szCs w:val="22"/>
        <w:lang w:val="en-GB"/>
      </w:rPr>
      <w:t xml:space="preserve">Paris, </w:t>
    </w:r>
    <w:r w:rsidR="00342961">
      <w:rPr>
        <w:rFonts w:ascii="Arial" w:hAnsi="Arial" w:cs="Arial"/>
        <w:b/>
        <w:sz w:val="22"/>
        <w:szCs w:val="22"/>
        <w:lang w:val="en-GB"/>
      </w:rPr>
      <w:t>22</w:t>
    </w:r>
    <w:r w:rsidR="00E3749D">
      <w:rPr>
        <w:rFonts w:ascii="Arial" w:hAnsi="Arial" w:cs="Arial"/>
        <w:b/>
        <w:sz w:val="22"/>
        <w:szCs w:val="22"/>
        <w:lang w:val="en-GB"/>
      </w:rPr>
      <w:t> November </w:t>
    </w:r>
    <w:r>
      <w:rPr>
        <w:rFonts w:ascii="Arial" w:hAnsi="Arial" w:cs="Arial"/>
        <w:b/>
        <w:sz w:val="22"/>
        <w:szCs w:val="22"/>
        <w:lang w:val="en-GB"/>
      </w:rPr>
      <w:t>2016</w:t>
    </w:r>
  </w:p>
  <w:p w14:paraId="01DF303F" w14:textId="6F2B715E" w:rsidR="00C43F2C" w:rsidRDefault="00C43F2C" w:rsidP="0014445F">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D6"/>
    <w:rsid w:val="000048ED"/>
    <w:rsid w:val="00004E1C"/>
    <w:rsid w:val="000116E3"/>
    <w:rsid w:val="00025F00"/>
    <w:rsid w:val="00027D32"/>
    <w:rsid w:val="00031E76"/>
    <w:rsid w:val="00033737"/>
    <w:rsid w:val="0003484B"/>
    <w:rsid w:val="00041A66"/>
    <w:rsid w:val="0005176E"/>
    <w:rsid w:val="00053503"/>
    <w:rsid w:val="00062D40"/>
    <w:rsid w:val="00063513"/>
    <w:rsid w:val="00074F6C"/>
    <w:rsid w:val="00075433"/>
    <w:rsid w:val="000765F7"/>
    <w:rsid w:val="00077AB7"/>
    <w:rsid w:val="000811A4"/>
    <w:rsid w:val="00081CD8"/>
    <w:rsid w:val="00083398"/>
    <w:rsid w:val="000A0196"/>
    <w:rsid w:val="000A4F11"/>
    <w:rsid w:val="000A67F3"/>
    <w:rsid w:val="000A7F0E"/>
    <w:rsid w:val="000B0873"/>
    <w:rsid w:val="000B1C8F"/>
    <w:rsid w:val="000C0D61"/>
    <w:rsid w:val="000C60CB"/>
    <w:rsid w:val="000D0AE9"/>
    <w:rsid w:val="000D24A6"/>
    <w:rsid w:val="000D52AD"/>
    <w:rsid w:val="000E1943"/>
    <w:rsid w:val="000F3A3F"/>
    <w:rsid w:val="00102557"/>
    <w:rsid w:val="00104C26"/>
    <w:rsid w:val="00123244"/>
    <w:rsid w:val="0014445F"/>
    <w:rsid w:val="00153A2D"/>
    <w:rsid w:val="001648F9"/>
    <w:rsid w:val="00164D56"/>
    <w:rsid w:val="00167B10"/>
    <w:rsid w:val="0017402F"/>
    <w:rsid w:val="00177E5A"/>
    <w:rsid w:val="00180E9E"/>
    <w:rsid w:val="0018242B"/>
    <w:rsid w:val="001926AD"/>
    <w:rsid w:val="00196C1B"/>
    <w:rsid w:val="001974E8"/>
    <w:rsid w:val="001A2AA6"/>
    <w:rsid w:val="001A2B7C"/>
    <w:rsid w:val="001B0F73"/>
    <w:rsid w:val="001C2CB2"/>
    <w:rsid w:val="001C2DB7"/>
    <w:rsid w:val="001C6E03"/>
    <w:rsid w:val="001D31EE"/>
    <w:rsid w:val="001D526B"/>
    <w:rsid w:val="001D5C04"/>
    <w:rsid w:val="001E1B5B"/>
    <w:rsid w:val="001E392E"/>
    <w:rsid w:val="001E725A"/>
    <w:rsid w:val="00204134"/>
    <w:rsid w:val="0020465C"/>
    <w:rsid w:val="00204A76"/>
    <w:rsid w:val="00210D96"/>
    <w:rsid w:val="00220FE6"/>
    <w:rsid w:val="00222A2D"/>
    <w:rsid w:val="00223029"/>
    <w:rsid w:val="002346B5"/>
    <w:rsid w:val="00234745"/>
    <w:rsid w:val="002407AF"/>
    <w:rsid w:val="00243051"/>
    <w:rsid w:val="00243077"/>
    <w:rsid w:val="00246D36"/>
    <w:rsid w:val="00255C23"/>
    <w:rsid w:val="00257D60"/>
    <w:rsid w:val="00260CAC"/>
    <w:rsid w:val="0027119A"/>
    <w:rsid w:val="00271D74"/>
    <w:rsid w:val="0027466B"/>
    <w:rsid w:val="00276D20"/>
    <w:rsid w:val="002827DE"/>
    <w:rsid w:val="002838A5"/>
    <w:rsid w:val="00285BB4"/>
    <w:rsid w:val="002A1BA9"/>
    <w:rsid w:val="002A1DFC"/>
    <w:rsid w:val="002A733B"/>
    <w:rsid w:val="002B165F"/>
    <w:rsid w:val="002C09E3"/>
    <w:rsid w:val="002D5CDA"/>
    <w:rsid w:val="002E5734"/>
    <w:rsid w:val="002E5A0A"/>
    <w:rsid w:val="002F1F61"/>
    <w:rsid w:val="002F4A64"/>
    <w:rsid w:val="002F520C"/>
    <w:rsid w:val="002F6A93"/>
    <w:rsid w:val="00302083"/>
    <w:rsid w:val="003028BC"/>
    <w:rsid w:val="00307A06"/>
    <w:rsid w:val="00312A11"/>
    <w:rsid w:val="00342961"/>
    <w:rsid w:val="00344B58"/>
    <w:rsid w:val="00345CB4"/>
    <w:rsid w:val="00351849"/>
    <w:rsid w:val="003753EE"/>
    <w:rsid w:val="00375D42"/>
    <w:rsid w:val="00376AC9"/>
    <w:rsid w:val="003845BE"/>
    <w:rsid w:val="00390F5D"/>
    <w:rsid w:val="003915D4"/>
    <w:rsid w:val="003B25CA"/>
    <w:rsid w:val="003C02B1"/>
    <w:rsid w:val="003C69FD"/>
    <w:rsid w:val="003D069C"/>
    <w:rsid w:val="003D54A0"/>
    <w:rsid w:val="003D6DB6"/>
    <w:rsid w:val="003D7646"/>
    <w:rsid w:val="003E281A"/>
    <w:rsid w:val="003F113A"/>
    <w:rsid w:val="003F1C61"/>
    <w:rsid w:val="003F1C8D"/>
    <w:rsid w:val="003F3E63"/>
    <w:rsid w:val="003F6128"/>
    <w:rsid w:val="003F7240"/>
    <w:rsid w:val="00403B4E"/>
    <w:rsid w:val="00407480"/>
    <w:rsid w:val="00410501"/>
    <w:rsid w:val="00411715"/>
    <w:rsid w:val="00414643"/>
    <w:rsid w:val="00420316"/>
    <w:rsid w:val="00420B2E"/>
    <w:rsid w:val="00430E07"/>
    <w:rsid w:val="00432FC4"/>
    <w:rsid w:val="004421E5"/>
    <w:rsid w:val="00451613"/>
    <w:rsid w:val="00452284"/>
    <w:rsid w:val="00453DAC"/>
    <w:rsid w:val="00457C8E"/>
    <w:rsid w:val="004620AF"/>
    <w:rsid w:val="0047461B"/>
    <w:rsid w:val="0048181C"/>
    <w:rsid w:val="004856CA"/>
    <w:rsid w:val="00487E67"/>
    <w:rsid w:val="00491900"/>
    <w:rsid w:val="0049705E"/>
    <w:rsid w:val="004A34A0"/>
    <w:rsid w:val="004A65FE"/>
    <w:rsid w:val="004B33AC"/>
    <w:rsid w:val="004B6CCD"/>
    <w:rsid w:val="004C17C5"/>
    <w:rsid w:val="004C3CF2"/>
    <w:rsid w:val="004C490A"/>
    <w:rsid w:val="004C654E"/>
    <w:rsid w:val="004D1C9F"/>
    <w:rsid w:val="004E1DA7"/>
    <w:rsid w:val="004E3A1A"/>
    <w:rsid w:val="004E4FC5"/>
    <w:rsid w:val="004E721A"/>
    <w:rsid w:val="005008A8"/>
    <w:rsid w:val="00507CA5"/>
    <w:rsid w:val="00511A01"/>
    <w:rsid w:val="005145B5"/>
    <w:rsid w:val="00526B7B"/>
    <w:rsid w:val="005308CE"/>
    <w:rsid w:val="00537311"/>
    <w:rsid w:val="00541367"/>
    <w:rsid w:val="00543B28"/>
    <w:rsid w:val="00547F41"/>
    <w:rsid w:val="005519AA"/>
    <w:rsid w:val="00551B28"/>
    <w:rsid w:val="00552533"/>
    <w:rsid w:val="00556133"/>
    <w:rsid w:val="0057439C"/>
    <w:rsid w:val="00575D0E"/>
    <w:rsid w:val="00591C59"/>
    <w:rsid w:val="00592561"/>
    <w:rsid w:val="005B0127"/>
    <w:rsid w:val="005B2FB4"/>
    <w:rsid w:val="005B4250"/>
    <w:rsid w:val="005B7A35"/>
    <w:rsid w:val="005C307A"/>
    <w:rsid w:val="005C479C"/>
    <w:rsid w:val="005C4B73"/>
    <w:rsid w:val="005D218E"/>
    <w:rsid w:val="005E1D2B"/>
    <w:rsid w:val="005E3982"/>
    <w:rsid w:val="005E4F5C"/>
    <w:rsid w:val="005E7074"/>
    <w:rsid w:val="005E7606"/>
    <w:rsid w:val="005E77D3"/>
    <w:rsid w:val="005F2AB3"/>
    <w:rsid w:val="005F2BAF"/>
    <w:rsid w:val="005F34C5"/>
    <w:rsid w:val="005F3BCA"/>
    <w:rsid w:val="005F3BFA"/>
    <w:rsid w:val="005F5D05"/>
    <w:rsid w:val="00600D93"/>
    <w:rsid w:val="0060476D"/>
    <w:rsid w:val="00620606"/>
    <w:rsid w:val="006252F9"/>
    <w:rsid w:val="0063300C"/>
    <w:rsid w:val="00633521"/>
    <w:rsid w:val="00636A86"/>
    <w:rsid w:val="006515AD"/>
    <w:rsid w:val="006537C1"/>
    <w:rsid w:val="00653C5E"/>
    <w:rsid w:val="00655736"/>
    <w:rsid w:val="00656983"/>
    <w:rsid w:val="00657A4C"/>
    <w:rsid w:val="006606AC"/>
    <w:rsid w:val="00661E5A"/>
    <w:rsid w:val="00663B8D"/>
    <w:rsid w:val="006713FC"/>
    <w:rsid w:val="00675FF9"/>
    <w:rsid w:val="00686822"/>
    <w:rsid w:val="0068720E"/>
    <w:rsid w:val="00687394"/>
    <w:rsid w:val="00695187"/>
    <w:rsid w:val="00696C8D"/>
    <w:rsid w:val="006A02BD"/>
    <w:rsid w:val="006A092B"/>
    <w:rsid w:val="006A2AC2"/>
    <w:rsid w:val="006A3617"/>
    <w:rsid w:val="006B05BC"/>
    <w:rsid w:val="006B2D7D"/>
    <w:rsid w:val="006B4898"/>
    <w:rsid w:val="006B4E34"/>
    <w:rsid w:val="006C35E5"/>
    <w:rsid w:val="006C720A"/>
    <w:rsid w:val="006C76DD"/>
    <w:rsid w:val="006D026E"/>
    <w:rsid w:val="006D2A26"/>
    <w:rsid w:val="006D6246"/>
    <w:rsid w:val="006E361C"/>
    <w:rsid w:val="006E46E4"/>
    <w:rsid w:val="00703A81"/>
    <w:rsid w:val="0070763A"/>
    <w:rsid w:val="00707F31"/>
    <w:rsid w:val="00717621"/>
    <w:rsid w:val="00717DA5"/>
    <w:rsid w:val="0074144E"/>
    <w:rsid w:val="00744484"/>
    <w:rsid w:val="007455D4"/>
    <w:rsid w:val="00747566"/>
    <w:rsid w:val="00753770"/>
    <w:rsid w:val="00762CD4"/>
    <w:rsid w:val="007637DB"/>
    <w:rsid w:val="00773188"/>
    <w:rsid w:val="0078238B"/>
    <w:rsid w:val="00783011"/>
    <w:rsid w:val="00783782"/>
    <w:rsid w:val="00784B8C"/>
    <w:rsid w:val="007879E1"/>
    <w:rsid w:val="00795C9F"/>
    <w:rsid w:val="007A6D61"/>
    <w:rsid w:val="007B4A33"/>
    <w:rsid w:val="007C7B5B"/>
    <w:rsid w:val="007D1F4F"/>
    <w:rsid w:val="007E1EF8"/>
    <w:rsid w:val="007E4E81"/>
    <w:rsid w:val="007F244D"/>
    <w:rsid w:val="00803D38"/>
    <w:rsid w:val="008219D8"/>
    <w:rsid w:val="00823A11"/>
    <w:rsid w:val="008249F8"/>
    <w:rsid w:val="00825323"/>
    <w:rsid w:val="0083048A"/>
    <w:rsid w:val="0084663F"/>
    <w:rsid w:val="00853FBA"/>
    <w:rsid w:val="0085405E"/>
    <w:rsid w:val="0085414A"/>
    <w:rsid w:val="00854917"/>
    <w:rsid w:val="00857F21"/>
    <w:rsid w:val="008613FB"/>
    <w:rsid w:val="0086269D"/>
    <w:rsid w:val="0086543A"/>
    <w:rsid w:val="00865631"/>
    <w:rsid w:val="0086661A"/>
    <w:rsid w:val="00870520"/>
    <w:rsid w:val="00871325"/>
    <w:rsid w:val="0087146D"/>
    <w:rsid w:val="008724E5"/>
    <w:rsid w:val="00877012"/>
    <w:rsid w:val="00877D54"/>
    <w:rsid w:val="00880000"/>
    <w:rsid w:val="00882F25"/>
    <w:rsid w:val="00883B07"/>
    <w:rsid w:val="00884A9D"/>
    <w:rsid w:val="0088512B"/>
    <w:rsid w:val="00886304"/>
    <w:rsid w:val="0089557A"/>
    <w:rsid w:val="008A2B2D"/>
    <w:rsid w:val="008A3D1F"/>
    <w:rsid w:val="008A4E1E"/>
    <w:rsid w:val="008A7B0B"/>
    <w:rsid w:val="008B782D"/>
    <w:rsid w:val="008C296C"/>
    <w:rsid w:val="008C7C8F"/>
    <w:rsid w:val="008D0FD7"/>
    <w:rsid w:val="008D35AE"/>
    <w:rsid w:val="008D4305"/>
    <w:rsid w:val="008E1A85"/>
    <w:rsid w:val="008E29A2"/>
    <w:rsid w:val="008E7CEC"/>
    <w:rsid w:val="008F0766"/>
    <w:rsid w:val="008F3003"/>
    <w:rsid w:val="008F4BF8"/>
    <w:rsid w:val="008F5A62"/>
    <w:rsid w:val="008F6F9E"/>
    <w:rsid w:val="008F7717"/>
    <w:rsid w:val="00904C09"/>
    <w:rsid w:val="009163A7"/>
    <w:rsid w:val="009218C1"/>
    <w:rsid w:val="009255E0"/>
    <w:rsid w:val="009256B8"/>
    <w:rsid w:val="00927FF3"/>
    <w:rsid w:val="009356F8"/>
    <w:rsid w:val="00940654"/>
    <w:rsid w:val="009426E5"/>
    <w:rsid w:val="00946D0B"/>
    <w:rsid w:val="00947FC7"/>
    <w:rsid w:val="00954301"/>
    <w:rsid w:val="00954A94"/>
    <w:rsid w:val="00955877"/>
    <w:rsid w:val="00984D8E"/>
    <w:rsid w:val="00993A8F"/>
    <w:rsid w:val="009972B9"/>
    <w:rsid w:val="009979CA"/>
    <w:rsid w:val="009A18CD"/>
    <w:rsid w:val="009A3B8C"/>
    <w:rsid w:val="009A53D7"/>
    <w:rsid w:val="009C18EF"/>
    <w:rsid w:val="009C3D10"/>
    <w:rsid w:val="009C44D2"/>
    <w:rsid w:val="009C4D37"/>
    <w:rsid w:val="009C75B1"/>
    <w:rsid w:val="009D2276"/>
    <w:rsid w:val="009D5428"/>
    <w:rsid w:val="009E1502"/>
    <w:rsid w:val="009E7D44"/>
    <w:rsid w:val="009F64AF"/>
    <w:rsid w:val="009F7DE5"/>
    <w:rsid w:val="00A105DC"/>
    <w:rsid w:val="00A115CD"/>
    <w:rsid w:val="00A12558"/>
    <w:rsid w:val="00A12880"/>
    <w:rsid w:val="00A13903"/>
    <w:rsid w:val="00A1622A"/>
    <w:rsid w:val="00A17C45"/>
    <w:rsid w:val="00A22592"/>
    <w:rsid w:val="00A24907"/>
    <w:rsid w:val="00A3171A"/>
    <w:rsid w:val="00A34ED5"/>
    <w:rsid w:val="00A4210C"/>
    <w:rsid w:val="00A4292F"/>
    <w:rsid w:val="00A45DBF"/>
    <w:rsid w:val="00A5307F"/>
    <w:rsid w:val="00A53500"/>
    <w:rsid w:val="00A6365B"/>
    <w:rsid w:val="00A72BD0"/>
    <w:rsid w:val="00A755A2"/>
    <w:rsid w:val="00A83B0C"/>
    <w:rsid w:val="00A91612"/>
    <w:rsid w:val="00A931CE"/>
    <w:rsid w:val="00A94833"/>
    <w:rsid w:val="00A951ED"/>
    <w:rsid w:val="00AA3331"/>
    <w:rsid w:val="00AA487E"/>
    <w:rsid w:val="00AA6660"/>
    <w:rsid w:val="00AB2BA7"/>
    <w:rsid w:val="00AB2C36"/>
    <w:rsid w:val="00AB6DDE"/>
    <w:rsid w:val="00AB70B6"/>
    <w:rsid w:val="00AC3BC5"/>
    <w:rsid w:val="00AD1A86"/>
    <w:rsid w:val="00AE103E"/>
    <w:rsid w:val="00AF0A07"/>
    <w:rsid w:val="00AF4AEC"/>
    <w:rsid w:val="00AF625E"/>
    <w:rsid w:val="00B12408"/>
    <w:rsid w:val="00B212F4"/>
    <w:rsid w:val="00B22DEE"/>
    <w:rsid w:val="00B24CE2"/>
    <w:rsid w:val="00B24D3A"/>
    <w:rsid w:val="00B3256F"/>
    <w:rsid w:val="00B33634"/>
    <w:rsid w:val="00B33883"/>
    <w:rsid w:val="00B45DD6"/>
    <w:rsid w:val="00B57C44"/>
    <w:rsid w:val="00B6759A"/>
    <w:rsid w:val="00B70741"/>
    <w:rsid w:val="00B804D2"/>
    <w:rsid w:val="00B941B4"/>
    <w:rsid w:val="00BB04AF"/>
    <w:rsid w:val="00BB1958"/>
    <w:rsid w:val="00BB2AB7"/>
    <w:rsid w:val="00BB5C94"/>
    <w:rsid w:val="00BC1783"/>
    <w:rsid w:val="00BC1CC9"/>
    <w:rsid w:val="00BC3488"/>
    <w:rsid w:val="00BC6468"/>
    <w:rsid w:val="00BD02D9"/>
    <w:rsid w:val="00BD39BC"/>
    <w:rsid w:val="00BD3D67"/>
    <w:rsid w:val="00BD468F"/>
    <w:rsid w:val="00BD52C9"/>
    <w:rsid w:val="00BD7294"/>
    <w:rsid w:val="00BE5499"/>
    <w:rsid w:val="00BE6354"/>
    <w:rsid w:val="00BF1878"/>
    <w:rsid w:val="00C03F5F"/>
    <w:rsid w:val="00C05989"/>
    <w:rsid w:val="00C138D1"/>
    <w:rsid w:val="00C22DDD"/>
    <w:rsid w:val="00C23A97"/>
    <w:rsid w:val="00C23D11"/>
    <w:rsid w:val="00C31FA0"/>
    <w:rsid w:val="00C3403E"/>
    <w:rsid w:val="00C34427"/>
    <w:rsid w:val="00C43F2C"/>
    <w:rsid w:val="00C466FF"/>
    <w:rsid w:val="00C47856"/>
    <w:rsid w:val="00C51020"/>
    <w:rsid w:val="00C51889"/>
    <w:rsid w:val="00C54497"/>
    <w:rsid w:val="00C55D28"/>
    <w:rsid w:val="00C64855"/>
    <w:rsid w:val="00C66DE7"/>
    <w:rsid w:val="00C70EA7"/>
    <w:rsid w:val="00C7516E"/>
    <w:rsid w:val="00C75770"/>
    <w:rsid w:val="00C75E87"/>
    <w:rsid w:val="00C81C1D"/>
    <w:rsid w:val="00C91134"/>
    <w:rsid w:val="00CA1FC7"/>
    <w:rsid w:val="00CA56BB"/>
    <w:rsid w:val="00CB1C5D"/>
    <w:rsid w:val="00CC1055"/>
    <w:rsid w:val="00CC51E6"/>
    <w:rsid w:val="00CC7A25"/>
    <w:rsid w:val="00CD2978"/>
    <w:rsid w:val="00CD5DBA"/>
    <w:rsid w:val="00CE0BAC"/>
    <w:rsid w:val="00D00B2B"/>
    <w:rsid w:val="00D00CC1"/>
    <w:rsid w:val="00D02F84"/>
    <w:rsid w:val="00D06D0B"/>
    <w:rsid w:val="00D06FFA"/>
    <w:rsid w:val="00D12EDE"/>
    <w:rsid w:val="00D12F71"/>
    <w:rsid w:val="00D20115"/>
    <w:rsid w:val="00D20DE5"/>
    <w:rsid w:val="00D232C1"/>
    <w:rsid w:val="00D24877"/>
    <w:rsid w:val="00D318B2"/>
    <w:rsid w:val="00D32CBA"/>
    <w:rsid w:val="00D3756A"/>
    <w:rsid w:val="00D4542B"/>
    <w:rsid w:val="00D501F1"/>
    <w:rsid w:val="00D51D7F"/>
    <w:rsid w:val="00D55840"/>
    <w:rsid w:val="00D5742F"/>
    <w:rsid w:val="00D63EAC"/>
    <w:rsid w:val="00D70E1A"/>
    <w:rsid w:val="00D7236A"/>
    <w:rsid w:val="00D800E3"/>
    <w:rsid w:val="00D820D6"/>
    <w:rsid w:val="00D8250F"/>
    <w:rsid w:val="00D83A74"/>
    <w:rsid w:val="00D853A4"/>
    <w:rsid w:val="00D86198"/>
    <w:rsid w:val="00D901E2"/>
    <w:rsid w:val="00D91ED8"/>
    <w:rsid w:val="00D934B4"/>
    <w:rsid w:val="00D95C4C"/>
    <w:rsid w:val="00DA36ED"/>
    <w:rsid w:val="00DA5D79"/>
    <w:rsid w:val="00DB29DB"/>
    <w:rsid w:val="00DB4E1A"/>
    <w:rsid w:val="00DC4299"/>
    <w:rsid w:val="00DD769C"/>
    <w:rsid w:val="00DE28AB"/>
    <w:rsid w:val="00DE34F1"/>
    <w:rsid w:val="00DE47F7"/>
    <w:rsid w:val="00DE6160"/>
    <w:rsid w:val="00DF4942"/>
    <w:rsid w:val="00DF61FF"/>
    <w:rsid w:val="00E07F5C"/>
    <w:rsid w:val="00E1432E"/>
    <w:rsid w:val="00E17031"/>
    <w:rsid w:val="00E234B6"/>
    <w:rsid w:val="00E328CA"/>
    <w:rsid w:val="00E3749D"/>
    <w:rsid w:val="00E469F4"/>
    <w:rsid w:val="00E4766E"/>
    <w:rsid w:val="00E60366"/>
    <w:rsid w:val="00E627B1"/>
    <w:rsid w:val="00E70169"/>
    <w:rsid w:val="00E80FEF"/>
    <w:rsid w:val="00E84CC8"/>
    <w:rsid w:val="00E869A5"/>
    <w:rsid w:val="00E86A08"/>
    <w:rsid w:val="00E87F19"/>
    <w:rsid w:val="00E90A0B"/>
    <w:rsid w:val="00E9376C"/>
    <w:rsid w:val="00EA0DD3"/>
    <w:rsid w:val="00EA335E"/>
    <w:rsid w:val="00EA528C"/>
    <w:rsid w:val="00EA580C"/>
    <w:rsid w:val="00EA6EAA"/>
    <w:rsid w:val="00EA6F06"/>
    <w:rsid w:val="00EA7AED"/>
    <w:rsid w:val="00EB0CD4"/>
    <w:rsid w:val="00EB5C98"/>
    <w:rsid w:val="00EC285D"/>
    <w:rsid w:val="00EC2A59"/>
    <w:rsid w:val="00EC48FD"/>
    <w:rsid w:val="00EC523D"/>
    <w:rsid w:val="00EC6F8D"/>
    <w:rsid w:val="00EE21D0"/>
    <w:rsid w:val="00EE45E2"/>
    <w:rsid w:val="00EE4EA7"/>
    <w:rsid w:val="00EE6333"/>
    <w:rsid w:val="00EE669A"/>
    <w:rsid w:val="00EE77AD"/>
    <w:rsid w:val="00EF34E2"/>
    <w:rsid w:val="00F06375"/>
    <w:rsid w:val="00F06F33"/>
    <w:rsid w:val="00F10FCA"/>
    <w:rsid w:val="00F1473A"/>
    <w:rsid w:val="00F1717C"/>
    <w:rsid w:val="00F17576"/>
    <w:rsid w:val="00F25795"/>
    <w:rsid w:val="00F2702E"/>
    <w:rsid w:val="00F30DC6"/>
    <w:rsid w:val="00F32C23"/>
    <w:rsid w:val="00F41A50"/>
    <w:rsid w:val="00F42C01"/>
    <w:rsid w:val="00F45AEE"/>
    <w:rsid w:val="00F476A2"/>
    <w:rsid w:val="00F47872"/>
    <w:rsid w:val="00F53DE9"/>
    <w:rsid w:val="00F54574"/>
    <w:rsid w:val="00F576CB"/>
    <w:rsid w:val="00F6537D"/>
    <w:rsid w:val="00F66ED2"/>
    <w:rsid w:val="00F7035D"/>
    <w:rsid w:val="00F71A02"/>
    <w:rsid w:val="00F81D3A"/>
    <w:rsid w:val="00F8614A"/>
    <w:rsid w:val="00F866D7"/>
    <w:rsid w:val="00F9608C"/>
    <w:rsid w:val="00F97199"/>
    <w:rsid w:val="00FA0D63"/>
    <w:rsid w:val="00FA2A17"/>
    <w:rsid w:val="00FB1486"/>
    <w:rsid w:val="00FB1A36"/>
    <w:rsid w:val="00FD1226"/>
    <w:rsid w:val="00FD2F00"/>
    <w:rsid w:val="00FD3425"/>
    <w:rsid w:val="00FE76CB"/>
    <w:rsid w:val="00FF2E7B"/>
    <w:rsid w:val="00FF3F9A"/>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A1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customStyle="1" w:styleId="hps">
    <w:name w:val="hps"/>
    <w:rsid w:val="00027D32"/>
  </w:style>
  <w:style w:type="paragraph" w:customStyle="1" w:styleId="Paragraph">
    <w:name w:val="Paragraph"/>
    <w:basedOn w:val="Marge"/>
    <w:link w:val="ParagraphChar"/>
    <w:qFormat/>
    <w:rsid w:val="00027D32"/>
    <w:pPr>
      <w:numPr>
        <w:numId w:val="5"/>
      </w:numPr>
    </w:pPr>
    <w:rPr>
      <w:rFonts w:cs="Arial"/>
      <w:szCs w:val="22"/>
      <w:lang w:val="en-GB"/>
    </w:rPr>
  </w:style>
  <w:style w:type="character" w:customStyle="1" w:styleId="ParagraphChar">
    <w:name w:val="Paragraph Char"/>
    <w:link w:val="Paragraph"/>
    <w:rsid w:val="00027D32"/>
    <w:rPr>
      <w:rFonts w:ascii="Arial" w:eastAsia="Times New Roman" w:hAnsi="Arial" w:cs="Arial"/>
      <w:snapToGrid w:val="0"/>
      <w:sz w:val="22"/>
      <w:szCs w:val="22"/>
      <w:lang w:val="en-GB" w:eastAsia="en-US"/>
    </w:rPr>
  </w:style>
  <w:style w:type="paragraph" w:styleId="CommentText">
    <w:name w:val="annotation text"/>
    <w:basedOn w:val="Normal"/>
    <w:link w:val="CommentTextChar"/>
    <w:uiPriority w:val="99"/>
    <w:semiHidden/>
    <w:unhideWhenUsed/>
    <w:rsid w:val="00D55840"/>
    <w:rPr>
      <w:sz w:val="20"/>
      <w:szCs w:val="20"/>
    </w:rPr>
  </w:style>
  <w:style w:type="character" w:customStyle="1" w:styleId="CommentTextChar">
    <w:name w:val="Comment Text Char"/>
    <w:basedOn w:val="DefaultParagraphFont"/>
    <w:link w:val="CommentText"/>
    <w:uiPriority w:val="99"/>
    <w:semiHidden/>
    <w:rsid w:val="00D55840"/>
    <w:rPr>
      <w:rFonts w:ascii="Times New Roman" w:eastAsia="Times New Roman" w:hAnsi="Times New Roman"/>
    </w:rPr>
  </w:style>
  <w:style w:type="character" w:styleId="CommentReference">
    <w:name w:val="annotation reference"/>
    <w:basedOn w:val="DefaultParagraphFont"/>
    <w:uiPriority w:val="99"/>
    <w:semiHidden/>
    <w:unhideWhenUsed/>
    <w:rsid w:val="00F42C01"/>
    <w:rPr>
      <w:sz w:val="16"/>
      <w:szCs w:val="16"/>
    </w:rPr>
  </w:style>
  <w:style w:type="paragraph" w:styleId="CommentSubject">
    <w:name w:val="annotation subject"/>
    <w:basedOn w:val="CommentText"/>
    <w:next w:val="CommentText"/>
    <w:link w:val="CommentSubjectChar"/>
    <w:uiPriority w:val="99"/>
    <w:semiHidden/>
    <w:unhideWhenUsed/>
    <w:rsid w:val="00F42C01"/>
    <w:rPr>
      <w:b/>
      <w:bCs/>
    </w:rPr>
  </w:style>
  <w:style w:type="character" w:customStyle="1" w:styleId="CommentSubjectChar">
    <w:name w:val="Comment Subject Char"/>
    <w:basedOn w:val="CommentTextChar"/>
    <w:link w:val="CommentSubject"/>
    <w:uiPriority w:val="99"/>
    <w:semiHidden/>
    <w:rsid w:val="00F42C01"/>
    <w:rPr>
      <w:rFonts w:ascii="Times New Roman" w:eastAsia="Times New Roman" w:hAnsi="Times New Roman"/>
      <w:b/>
      <w:bCs/>
    </w:rPr>
  </w:style>
  <w:style w:type="paragraph" w:styleId="FootnoteText">
    <w:name w:val="footnote text"/>
    <w:basedOn w:val="Normal"/>
    <w:link w:val="FootnoteTextChar"/>
    <w:uiPriority w:val="99"/>
    <w:unhideWhenUsed/>
    <w:rsid w:val="007E4E81"/>
    <w:rPr>
      <w:sz w:val="20"/>
      <w:szCs w:val="20"/>
    </w:rPr>
  </w:style>
  <w:style w:type="character" w:customStyle="1" w:styleId="FootnoteTextChar">
    <w:name w:val="Footnote Text Char"/>
    <w:basedOn w:val="DefaultParagraphFont"/>
    <w:link w:val="FootnoteText"/>
    <w:uiPriority w:val="99"/>
    <w:rsid w:val="007E4E81"/>
    <w:rPr>
      <w:rFonts w:ascii="Times New Roman" w:eastAsia="Times New Roman" w:hAnsi="Times New Roman"/>
    </w:rPr>
  </w:style>
  <w:style w:type="character" w:styleId="FootnoteReference">
    <w:name w:val="footnote reference"/>
    <w:basedOn w:val="DefaultParagraphFont"/>
    <w:uiPriority w:val="99"/>
    <w:unhideWhenUsed/>
    <w:rsid w:val="007E4E81"/>
    <w:rPr>
      <w:vertAlign w:val="superscript"/>
    </w:rPr>
  </w:style>
  <w:style w:type="paragraph" w:styleId="Caption">
    <w:name w:val="caption"/>
    <w:basedOn w:val="Normal"/>
    <w:next w:val="Normal"/>
    <w:uiPriority w:val="35"/>
    <w:unhideWhenUsed/>
    <w:qFormat/>
    <w:rsid w:val="005E77D3"/>
    <w:pPr>
      <w:spacing w:after="200"/>
    </w:pPr>
    <w:rPr>
      <w:i/>
      <w:iCs/>
      <w:color w:val="1F497D" w:themeColor="text2"/>
      <w:sz w:val="18"/>
      <w:szCs w:val="18"/>
    </w:rPr>
  </w:style>
  <w:style w:type="paragraph" w:styleId="Revision">
    <w:name w:val="Revision"/>
    <w:hidden/>
    <w:uiPriority w:val="99"/>
    <w:semiHidden/>
    <w:rsid w:val="00556133"/>
    <w:rPr>
      <w:rFonts w:ascii="Times New Roman" w:eastAsia="Times New Roman" w:hAnsi="Times New Roman"/>
      <w:sz w:val="24"/>
      <w:szCs w:val="24"/>
    </w:rPr>
  </w:style>
  <w:style w:type="character" w:styleId="Hyperlink">
    <w:name w:val="Hyperlink"/>
    <w:basedOn w:val="DefaultParagraphFont"/>
    <w:uiPriority w:val="99"/>
    <w:unhideWhenUsed/>
    <w:rsid w:val="001C6E03"/>
    <w:rPr>
      <w:color w:val="0000FF" w:themeColor="hyperlink"/>
      <w:u w:val="single"/>
    </w:rPr>
  </w:style>
  <w:style w:type="character" w:styleId="FollowedHyperlink">
    <w:name w:val="FollowedHyperlink"/>
    <w:basedOn w:val="DefaultParagraphFont"/>
    <w:uiPriority w:val="99"/>
    <w:semiHidden/>
    <w:unhideWhenUsed/>
    <w:rsid w:val="005F34C5"/>
    <w:rPr>
      <w:color w:val="800080" w:themeColor="followedHyperlink"/>
      <w:u w:val="single"/>
    </w:rPr>
  </w:style>
  <w:style w:type="character" w:customStyle="1" w:styleId="ParaChar">
    <w:name w:val="Para Char"/>
    <w:link w:val="Para"/>
    <w:locked/>
    <w:rsid w:val="00260CAC"/>
    <w:rPr>
      <w:rFonts w:ascii="Arial" w:hAnsi="Arial"/>
    </w:rPr>
  </w:style>
  <w:style w:type="paragraph" w:customStyle="1" w:styleId="Para">
    <w:name w:val="Para"/>
    <w:basedOn w:val="Normal"/>
    <w:link w:val="ParaChar"/>
    <w:qFormat/>
    <w:rsid w:val="00260CAC"/>
    <w:pPr>
      <w:numPr>
        <w:numId w:val="6"/>
      </w:numPr>
      <w:spacing w:after="120" w:line="240" w:lineRule="exact"/>
      <w:jc w:val="both"/>
    </w:pPr>
    <w:rPr>
      <w:rFonts w:ascii="Arial" w:eastAsia="SimSun" w:hAnsi="Arial"/>
      <w:sz w:val="20"/>
      <w:szCs w:val="20"/>
    </w:rPr>
  </w:style>
  <w:style w:type="character" w:customStyle="1" w:styleId="shorttext">
    <w:name w:val="short_text"/>
    <w:basedOn w:val="DefaultParagraphFont"/>
    <w:rsid w:val="00E234B6"/>
  </w:style>
  <w:style w:type="character" w:customStyle="1" w:styleId="alt-edited1">
    <w:name w:val="alt-edited1"/>
    <w:basedOn w:val="DefaultParagraphFont"/>
    <w:rsid w:val="00E234B6"/>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customStyle="1" w:styleId="hps">
    <w:name w:val="hps"/>
    <w:rsid w:val="00027D32"/>
  </w:style>
  <w:style w:type="paragraph" w:customStyle="1" w:styleId="Paragraph">
    <w:name w:val="Paragraph"/>
    <w:basedOn w:val="Marge"/>
    <w:link w:val="ParagraphChar"/>
    <w:qFormat/>
    <w:rsid w:val="00027D32"/>
    <w:pPr>
      <w:numPr>
        <w:numId w:val="5"/>
      </w:numPr>
    </w:pPr>
    <w:rPr>
      <w:rFonts w:cs="Arial"/>
      <w:szCs w:val="22"/>
      <w:lang w:val="en-GB"/>
    </w:rPr>
  </w:style>
  <w:style w:type="character" w:customStyle="1" w:styleId="ParagraphChar">
    <w:name w:val="Paragraph Char"/>
    <w:link w:val="Paragraph"/>
    <w:rsid w:val="00027D32"/>
    <w:rPr>
      <w:rFonts w:ascii="Arial" w:eastAsia="Times New Roman" w:hAnsi="Arial" w:cs="Arial"/>
      <w:snapToGrid w:val="0"/>
      <w:sz w:val="22"/>
      <w:szCs w:val="22"/>
      <w:lang w:val="en-GB" w:eastAsia="en-US"/>
    </w:rPr>
  </w:style>
  <w:style w:type="paragraph" w:styleId="CommentText">
    <w:name w:val="annotation text"/>
    <w:basedOn w:val="Normal"/>
    <w:link w:val="CommentTextChar"/>
    <w:uiPriority w:val="99"/>
    <w:semiHidden/>
    <w:unhideWhenUsed/>
    <w:rsid w:val="00D55840"/>
    <w:rPr>
      <w:sz w:val="20"/>
      <w:szCs w:val="20"/>
    </w:rPr>
  </w:style>
  <w:style w:type="character" w:customStyle="1" w:styleId="CommentTextChar">
    <w:name w:val="Comment Text Char"/>
    <w:basedOn w:val="DefaultParagraphFont"/>
    <w:link w:val="CommentText"/>
    <w:uiPriority w:val="99"/>
    <w:semiHidden/>
    <w:rsid w:val="00D55840"/>
    <w:rPr>
      <w:rFonts w:ascii="Times New Roman" w:eastAsia="Times New Roman" w:hAnsi="Times New Roman"/>
    </w:rPr>
  </w:style>
  <w:style w:type="character" w:styleId="CommentReference">
    <w:name w:val="annotation reference"/>
    <w:basedOn w:val="DefaultParagraphFont"/>
    <w:uiPriority w:val="99"/>
    <w:semiHidden/>
    <w:unhideWhenUsed/>
    <w:rsid w:val="00F42C01"/>
    <w:rPr>
      <w:sz w:val="16"/>
      <w:szCs w:val="16"/>
    </w:rPr>
  </w:style>
  <w:style w:type="paragraph" w:styleId="CommentSubject">
    <w:name w:val="annotation subject"/>
    <w:basedOn w:val="CommentText"/>
    <w:next w:val="CommentText"/>
    <w:link w:val="CommentSubjectChar"/>
    <w:uiPriority w:val="99"/>
    <w:semiHidden/>
    <w:unhideWhenUsed/>
    <w:rsid w:val="00F42C01"/>
    <w:rPr>
      <w:b/>
      <w:bCs/>
    </w:rPr>
  </w:style>
  <w:style w:type="character" w:customStyle="1" w:styleId="CommentSubjectChar">
    <w:name w:val="Comment Subject Char"/>
    <w:basedOn w:val="CommentTextChar"/>
    <w:link w:val="CommentSubject"/>
    <w:uiPriority w:val="99"/>
    <w:semiHidden/>
    <w:rsid w:val="00F42C01"/>
    <w:rPr>
      <w:rFonts w:ascii="Times New Roman" w:eastAsia="Times New Roman" w:hAnsi="Times New Roman"/>
      <w:b/>
      <w:bCs/>
    </w:rPr>
  </w:style>
  <w:style w:type="paragraph" w:styleId="FootnoteText">
    <w:name w:val="footnote text"/>
    <w:basedOn w:val="Normal"/>
    <w:link w:val="FootnoteTextChar"/>
    <w:uiPriority w:val="99"/>
    <w:unhideWhenUsed/>
    <w:rsid w:val="007E4E81"/>
    <w:rPr>
      <w:sz w:val="20"/>
      <w:szCs w:val="20"/>
    </w:rPr>
  </w:style>
  <w:style w:type="character" w:customStyle="1" w:styleId="FootnoteTextChar">
    <w:name w:val="Footnote Text Char"/>
    <w:basedOn w:val="DefaultParagraphFont"/>
    <w:link w:val="FootnoteText"/>
    <w:uiPriority w:val="99"/>
    <w:rsid w:val="007E4E81"/>
    <w:rPr>
      <w:rFonts w:ascii="Times New Roman" w:eastAsia="Times New Roman" w:hAnsi="Times New Roman"/>
    </w:rPr>
  </w:style>
  <w:style w:type="character" w:styleId="FootnoteReference">
    <w:name w:val="footnote reference"/>
    <w:basedOn w:val="DefaultParagraphFont"/>
    <w:uiPriority w:val="99"/>
    <w:unhideWhenUsed/>
    <w:rsid w:val="007E4E81"/>
    <w:rPr>
      <w:vertAlign w:val="superscript"/>
    </w:rPr>
  </w:style>
  <w:style w:type="paragraph" w:styleId="Caption">
    <w:name w:val="caption"/>
    <w:basedOn w:val="Normal"/>
    <w:next w:val="Normal"/>
    <w:uiPriority w:val="35"/>
    <w:unhideWhenUsed/>
    <w:qFormat/>
    <w:rsid w:val="005E77D3"/>
    <w:pPr>
      <w:spacing w:after="200"/>
    </w:pPr>
    <w:rPr>
      <w:i/>
      <w:iCs/>
      <w:color w:val="1F497D" w:themeColor="text2"/>
      <w:sz w:val="18"/>
      <w:szCs w:val="18"/>
    </w:rPr>
  </w:style>
  <w:style w:type="paragraph" w:styleId="Revision">
    <w:name w:val="Revision"/>
    <w:hidden/>
    <w:uiPriority w:val="99"/>
    <w:semiHidden/>
    <w:rsid w:val="00556133"/>
    <w:rPr>
      <w:rFonts w:ascii="Times New Roman" w:eastAsia="Times New Roman" w:hAnsi="Times New Roman"/>
      <w:sz w:val="24"/>
      <w:szCs w:val="24"/>
    </w:rPr>
  </w:style>
  <w:style w:type="character" w:styleId="Hyperlink">
    <w:name w:val="Hyperlink"/>
    <w:basedOn w:val="DefaultParagraphFont"/>
    <w:uiPriority w:val="99"/>
    <w:unhideWhenUsed/>
    <w:rsid w:val="001C6E03"/>
    <w:rPr>
      <w:color w:val="0000FF" w:themeColor="hyperlink"/>
      <w:u w:val="single"/>
    </w:rPr>
  </w:style>
  <w:style w:type="character" w:styleId="FollowedHyperlink">
    <w:name w:val="FollowedHyperlink"/>
    <w:basedOn w:val="DefaultParagraphFont"/>
    <w:uiPriority w:val="99"/>
    <w:semiHidden/>
    <w:unhideWhenUsed/>
    <w:rsid w:val="005F34C5"/>
    <w:rPr>
      <w:color w:val="800080" w:themeColor="followedHyperlink"/>
      <w:u w:val="single"/>
    </w:rPr>
  </w:style>
  <w:style w:type="character" w:customStyle="1" w:styleId="ParaChar">
    <w:name w:val="Para Char"/>
    <w:link w:val="Para"/>
    <w:locked/>
    <w:rsid w:val="00260CAC"/>
    <w:rPr>
      <w:rFonts w:ascii="Arial" w:hAnsi="Arial"/>
    </w:rPr>
  </w:style>
  <w:style w:type="paragraph" w:customStyle="1" w:styleId="Para">
    <w:name w:val="Para"/>
    <w:basedOn w:val="Normal"/>
    <w:link w:val="ParaChar"/>
    <w:qFormat/>
    <w:rsid w:val="00260CAC"/>
    <w:pPr>
      <w:numPr>
        <w:numId w:val="6"/>
      </w:numPr>
      <w:spacing w:after="120" w:line="240" w:lineRule="exact"/>
      <w:jc w:val="both"/>
    </w:pPr>
    <w:rPr>
      <w:rFonts w:ascii="Arial" w:eastAsia="SimSun" w:hAnsi="Arial"/>
      <w:sz w:val="20"/>
      <w:szCs w:val="20"/>
    </w:rPr>
  </w:style>
  <w:style w:type="character" w:customStyle="1" w:styleId="shorttext">
    <w:name w:val="short_text"/>
    <w:basedOn w:val="DefaultParagraphFont"/>
    <w:rsid w:val="00E234B6"/>
  </w:style>
  <w:style w:type="character" w:customStyle="1" w:styleId="alt-edited1">
    <w:name w:val="alt-edited1"/>
    <w:basedOn w:val="DefaultParagraphFont"/>
    <w:rsid w:val="00E234B6"/>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492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0143263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113316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3471518">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unesco.org/culture/ich/en/Decisions/9.COM/13.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unesco.org/culture/ich/en/Decisions/7.COM/20.1" TargetMode="External"/><Relationship Id="rId17" Type="http://schemas.openxmlformats.org/officeDocument/2006/relationships/hyperlink" Target="http://www.unesco.org/culture/ich/en/Decisions/10.COM/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culture/ich/en/Decisions/8.COM/12"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6-11.COM-9.a-EN.doc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2.xml"/><Relationship Id="rId10" Type="http://schemas.openxmlformats.org/officeDocument/2006/relationships/hyperlink" Target="http://www.unesco.org/culture/ich/en/Decisions/10.COM/9" TargetMode="External"/><Relationship Id="rId19" Type="http://schemas.openxmlformats.org/officeDocument/2006/relationships/hyperlink" Target="http://www.unesco.org/culture/ich/en/Decisions/10.COM/19" TargetMode="External"/><Relationship Id="rId4" Type="http://schemas.microsoft.com/office/2007/relationships/stylesWithEffects" Target="stylesWithEffects.xml"/><Relationship Id="rId9" Type="http://schemas.openxmlformats.org/officeDocument/2006/relationships/hyperlink" Target="http://www.unesco.org/culture/ich/en/Decisions/9.COM/7" TargetMode="External"/><Relationship Id="rId14" Type="http://schemas.openxmlformats.org/officeDocument/2006/relationships/hyperlink" Target="http://www.unesco.org/culture/ich/en/Resolutions/3.GA/9"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hqfs\dfs\clt\CRE\02-ITH\Convention-Statutory%20Meetings\2016_STATUTORY%20MEETINGS\2016-11_11COM\Documents\06_11.COM_Voluntary%20supplementary%20contributions%20to%20the%20Fund\Drafts\Volontary%20Contibutions%20Evolution_rev_2016110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qfs\dfs\clt\CRE\02-ITH\Convention-Statutory%20Meetings\2016_STATUTORY%20MEETINGS\2016-11_11COM\Documents\06_11.COM_Voluntary%20supplementary%20contributions%20to%20the%20Fund\Drafts\Volontary%20Contibutions%20Evolution_2016102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8.4150957173629942E-2"/>
          <c:y val="9.2614326493859797E-2"/>
          <c:w val="0.57816402402956779"/>
          <c:h val="0.81346035212751688"/>
        </c:manualLayout>
      </c:layout>
      <c:barChart>
        <c:barDir val="col"/>
        <c:grouping val="stacked"/>
        <c:varyColors val="0"/>
        <c:ser>
          <c:idx val="2"/>
          <c:order val="1"/>
          <c:tx>
            <c:strRef>
              <c:f>'arranged table'!$E$8</c:f>
              <c:strCache>
                <c:ptCount val="1"/>
                <c:pt idx="0">
                  <c:v>Sub-Fund</c:v>
                </c:pt>
              </c:strCache>
            </c:strRef>
          </c:tx>
          <c:spPr>
            <a:pattFill prst="wdUpDiag">
              <a:fgClr>
                <a:schemeClr val="accent5">
                  <a:lumMod val="40000"/>
                  <a:lumOff val="60000"/>
                </a:schemeClr>
              </a:fgClr>
              <a:bgClr>
                <a:schemeClr val="bg1"/>
              </a:bgClr>
            </a:pattFill>
            <a:ln>
              <a:solidFill>
                <a:schemeClr val="accent1"/>
              </a:solidFill>
            </a:ln>
          </c:spPr>
          <c:invertIfNegative val="0"/>
          <c:cat>
            <c:multiLvlStrRef>
              <c:f>'arranged table'!$A$9:$B$12</c:f>
              <c:multiLvlStrCache>
                <c:ptCount val="4"/>
                <c:lvl>
                  <c:pt idx="0">
                    <c:v>35C/5 2010-11</c:v>
                  </c:pt>
                  <c:pt idx="1">
                    <c:v>36C/5 2012-13</c:v>
                  </c:pt>
                  <c:pt idx="2">
                    <c:v>37C/5 2014-15</c:v>
                  </c:pt>
                  <c:pt idx="3">
                    <c:v>38C/5 2016-17</c:v>
                  </c:pt>
                </c:lvl>
                <c:lvl>
                  <c:pt idx="0">
                    <c:v>Capacity-building</c:v>
                  </c:pt>
                </c:lvl>
              </c:multiLvlStrCache>
            </c:multiLvlStrRef>
          </c:cat>
          <c:val>
            <c:numRef>
              <c:f>'arranged table'!$E$9:$E$12</c:f>
              <c:numCache>
                <c:formatCode>\$##0.00,," M"</c:formatCode>
                <c:ptCount val="4"/>
                <c:pt idx="0">
                  <c:v>0</c:v>
                </c:pt>
                <c:pt idx="1">
                  <c:v>0</c:v>
                </c:pt>
                <c:pt idx="2">
                  <c:v>0</c:v>
                </c:pt>
                <c:pt idx="3">
                  <c:v>0</c:v>
                </c:pt>
              </c:numCache>
            </c:numRef>
          </c:val>
        </c:ser>
        <c:ser>
          <c:idx val="3"/>
          <c:order val="2"/>
          <c:tx>
            <c:strRef>
              <c:f>'arranged table'!$F$8</c:f>
              <c:strCache>
                <c:ptCount val="1"/>
                <c:pt idx="0">
                  <c:v>Inkind</c:v>
                </c:pt>
              </c:strCache>
            </c:strRef>
          </c:tx>
          <c:spPr>
            <a:pattFill prst="narHorz">
              <a:fgClr>
                <a:schemeClr val="bg1">
                  <a:lumMod val="65000"/>
                </a:schemeClr>
              </a:fgClr>
              <a:bgClr>
                <a:schemeClr val="bg1"/>
              </a:bgClr>
            </a:pattFill>
            <a:ln>
              <a:solidFill>
                <a:schemeClr val="accent1"/>
              </a:solidFill>
            </a:ln>
          </c:spPr>
          <c:invertIfNegative val="0"/>
          <c:cat>
            <c:multiLvlStrRef>
              <c:f>'arranged table'!$A$9:$B$12</c:f>
              <c:multiLvlStrCache>
                <c:ptCount val="4"/>
                <c:lvl>
                  <c:pt idx="0">
                    <c:v>35C/5 2010-11</c:v>
                  </c:pt>
                  <c:pt idx="1">
                    <c:v>36C/5 2012-13</c:v>
                  </c:pt>
                  <c:pt idx="2">
                    <c:v>37C/5 2014-15</c:v>
                  </c:pt>
                  <c:pt idx="3">
                    <c:v>38C/5 2016-17</c:v>
                  </c:pt>
                </c:lvl>
                <c:lvl>
                  <c:pt idx="0">
                    <c:v>Capacity-building</c:v>
                  </c:pt>
                </c:lvl>
              </c:multiLvlStrCache>
            </c:multiLvlStrRef>
          </c:cat>
          <c:val>
            <c:numRef>
              <c:f>'arranged table'!$F$9:$F$12</c:f>
              <c:numCache>
                <c:formatCode>\$##0.00,," M"</c:formatCode>
                <c:ptCount val="4"/>
                <c:pt idx="0">
                  <c:v>0</c:v>
                </c:pt>
                <c:pt idx="1">
                  <c:v>0</c:v>
                </c:pt>
                <c:pt idx="2">
                  <c:v>0</c:v>
                </c:pt>
                <c:pt idx="3">
                  <c:v>0</c:v>
                </c:pt>
              </c:numCache>
            </c:numRef>
          </c:val>
        </c:ser>
        <c:ser>
          <c:idx val="0"/>
          <c:order val="3"/>
          <c:tx>
            <c:strRef>
              <c:f>'arranged table'!$C$8</c:f>
              <c:strCache>
                <c:ptCount val="1"/>
                <c:pt idx="0">
                  <c:v>Earmarked funds</c:v>
                </c:pt>
              </c:strCache>
            </c:strRef>
          </c:tx>
          <c:spPr>
            <a:pattFill prst="pct90">
              <a:fgClr>
                <a:schemeClr val="accent2">
                  <a:lumMod val="60000"/>
                  <a:lumOff val="40000"/>
                </a:schemeClr>
              </a:fgClr>
              <a:bgClr>
                <a:schemeClr val="bg1"/>
              </a:bgClr>
            </a:pattFill>
            <a:ln>
              <a:solidFill>
                <a:schemeClr val="accent1"/>
              </a:solidFill>
            </a:ln>
          </c:spPr>
          <c:invertIfNegative val="0"/>
          <c:dLbls>
            <c:numFmt formatCode="\$##0.00,,&quot; M&quot;" sourceLinked="0"/>
            <c:spPr>
              <a:noFill/>
              <a:ln w="25400">
                <a:noFill/>
              </a:ln>
            </c:spPr>
            <c:txPr>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'arranged table'!$A$9:$B$12</c:f>
              <c:multiLvlStrCache>
                <c:ptCount val="4"/>
                <c:lvl>
                  <c:pt idx="0">
                    <c:v>35C/5 2010-11</c:v>
                  </c:pt>
                  <c:pt idx="1">
                    <c:v>36C/5 2012-13</c:v>
                  </c:pt>
                  <c:pt idx="2">
                    <c:v>37C/5 2014-15</c:v>
                  </c:pt>
                  <c:pt idx="3">
                    <c:v>38C/5 2016-17</c:v>
                  </c:pt>
                </c:lvl>
                <c:lvl>
                  <c:pt idx="0">
                    <c:v>Capacity-building</c:v>
                  </c:pt>
                </c:lvl>
              </c:multiLvlStrCache>
            </c:multiLvlStrRef>
          </c:cat>
          <c:val>
            <c:numRef>
              <c:f>'arranged table'!$C$9:$C$12</c:f>
              <c:numCache>
                <c:formatCode>\$##0.00,," M"</c:formatCode>
                <c:ptCount val="4"/>
                <c:pt idx="0">
                  <c:v>857700.49</c:v>
                </c:pt>
                <c:pt idx="1">
                  <c:v>2054561.51</c:v>
                </c:pt>
                <c:pt idx="2">
                  <c:v>1304184.82</c:v>
                </c:pt>
                <c:pt idx="3">
                  <c:v>110375</c:v>
                </c:pt>
              </c:numCache>
            </c:numRef>
          </c:val>
        </c:ser>
        <c:ser>
          <c:idx val="1"/>
          <c:order val="4"/>
          <c:tx>
            <c:strRef>
              <c:f>'arranged table'!$D$8</c:f>
              <c:strCache>
                <c:ptCount val="1"/>
                <c:pt idx="0">
                  <c:v>Funds-in-Trust</c:v>
                </c:pt>
              </c:strCache>
            </c:strRef>
          </c:tx>
          <c:spPr>
            <a:pattFill prst="pct5">
              <a:fgClr>
                <a:schemeClr val="tx2"/>
              </a:fgClr>
              <a:bgClr>
                <a:schemeClr val="bg1"/>
              </a:bgClr>
            </a:pattFill>
            <a:ln>
              <a:solidFill>
                <a:schemeClr val="accent1"/>
              </a:solidFill>
            </a:ln>
          </c:spPr>
          <c:invertIfNegative val="0"/>
          <c:dLbls>
            <c:numFmt formatCode="\$##0.00,,&quot; M&quot;" sourceLinked="0"/>
            <c:spPr>
              <a:noFill/>
              <a:ln w="25400">
                <a:noFill/>
              </a:ln>
            </c:spPr>
            <c:txPr>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'arranged table'!$A$9:$B$12</c:f>
              <c:multiLvlStrCache>
                <c:ptCount val="4"/>
                <c:lvl>
                  <c:pt idx="0">
                    <c:v>35C/5 2010-11</c:v>
                  </c:pt>
                  <c:pt idx="1">
                    <c:v>36C/5 2012-13</c:v>
                  </c:pt>
                  <c:pt idx="2">
                    <c:v>37C/5 2014-15</c:v>
                  </c:pt>
                  <c:pt idx="3">
                    <c:v>38C/5 2016-17</c:v>
                  </c:pt>
                </c:lvl>
                <c:lvl>
                  <c:pt idx="0">
                    <c:v>Capacity-building</c:v>
                  </c:pt>
                </c:lvl>
              </c:multiLvlStrCache>
            </c:multiLvlStrRef>
          </c:cat>
          <c:val>
            <c:numRef>
              <c:f>'arranged table'!$D$9:$D$12</c:f>
              <c:numCache>
                <c:formatCode>\$##0.00,," M"</c:formatCode>
                <c:ptCount val="4"/>
                <c:pt idx="0">
                  <c:v>1891168</c:v>
                </c:pt>
                <c:pt idx="1">
                  <c:v>750000</c:v>
                </c:pt>
                <c:pt idx="2">
                  <c:v>1709254</c:v>
                </c:pt>
                <c:pt idx="3">
                  <c:v>250000</c:v>
                </c:pt>
              </c:numCache>
            </c:numRef>
          </c:val>
        </c:ser>
        <c:dLbls>
          <c:showLegendKey val="0"/>
          <c:showVal val="0"/>
          <c:showCatName val="0"/>
          <c:showSerName val="0"/>
          <c:showPercent val="0"/>
          <c:showBubbleSize val="0"/>
        </c:dLbls>
        <c:gapWidth val="0"/>
        <c:overlap val="100"/>
        <c:axId val="43503104"/>
        <c:axId val="71102976"/>
      </c:barChart>
      <c:lineChart>
        <c:grouping val="standard"/>
        <c:varyColors val="0"/>
        <c:ser>
          <c:idx val="4"/>
          <c:order val="0"/>
          <c:tx>
            <c:strRef>
              <c:f>'arranged table'!$G$8</c:f>
              <c:strCache>
                <c:ptCount val="1"/>
                <c:pt idx="0">
                  <c:v>Targeted amount by biennium</c:v>
                </c:pt>
              </c:strCache>
            </c:strRef>
          </c:tx>
          <c:spPr>
            <a:ln w="19050">
              <a:solidFill>
                <a:srgbClr val="C00000"/>
              </a:solid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0.14622989955712903"/>
                  <c:y val="-7.2020793120704224E-2"/>
                </c:manualLayout>
              </c:layout>
              <c:tx>
                <c:rich>
                  <a:bodyPr/>
                  <a:lstStyle/>
                  <a:p>
                    <a:pPr>
                      <a:defRPr sz="800" b="1" i="0" u="none" strike="noStrike" baseline="0">
                        <a:solidFill>
                          <a:srgbClr val="993300"/>
                        </a:solidFill>
                        <a:latin typeface="Arial"/>
                        <a:ea typeface="Arial"/>
                        <a:cs typeface="Arial"/>
                      </a:defRPr>
                    </a:pPr>
                    <a:r>
                      <a:rPr lang="en-US"/>
                      <a:t>Target: $3.0 M
(Decision 9.COM 7) </a:t>
                    </a:r>
                  </a:p>
                </c:rich>
              </c:tx>
              <c:spPr/>
              <c:dLblPos val="r"/>
              <c:showLegendKey val="0"/>
              <c:showVal val="0"/>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0.15518367531813654"/>
                  <c:y val="-1.8376726631798762E-2"/>
                </c:manualLayout>
              </c:layout>
              <c:tx>
                <c:rich>
                  <a:bodyPr/>
                  <a:lstStyle/>
                  <a:p>
                    <a:pPr>
                      <a:defRPr sz="800" b="1" i="0" u="none" strike="noStrike" baseline="0">
                        <a:solidFill>
                          <a:srgbClr val="993300"/>
                        </a:solidFill>
                        <a:latin typeface="Arial"/>
                        <a:ea typeface="Arial"/>
                        <a:cs typeface="Arial"/>
                      </a:defRPr>
                    </a:pPr>
                    <a:r>
                      <a:t>$2.0 M (Resolution 3.GA 9)</a:t>
                    </a:r>
                  </a:p>
                </c:rich>
              </c:tx>
              <c:spPr/>
              <c:dLblPos val="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b="1" i="0" u="none" strike="noStrike" baseline="0">
                    <a:solidFill>
                      <a:srgbClr val="FF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'arranged table'!$G$9:$G$12</c:f>
              <c:numCache>
                <c:formatCode>\$##0.00,," M"</c:formatCode>
                <c:ptCount val="4"/>
                <c:pt idx="0">
                  <c:v>3000000</c:v>
                </c:pt>
                <c:pt idx="1">
                  <c:v>3000000</c:v>
                </c:pt>
                <c:pt idx="2">
                  <c:v>3000000</c:v>
                </c:pt>
                <c:pt idx="3">
                  <c:v>3000000</c:v>
                </c:pt>
              </c:numCache>
            </c:numRef>
          </c:val>
          <c:smooth val="0"/>
        </c:ser>
        <c:dLbls>
          <c:showLegendKey val="0"/>
          <c:showVal val="0"/>
          <c:showCatName val="0"/>
          <c:showSerName val="0"/>
          <c:showPercent val="0"/>
          <c:showBubbleSize val="0"/>
        </c:dLbls>
        <c:marker val="1"/>
        <c:smooth val="0"/>
        <c:axId val="43503104"/>
        <c:axId val="71102976"/>
      </c:lineChart>
      <c:catAx>
        <c:axId val="43503104"/>
        <c:scaling>
          <c:orientation val="minMax"/>
        </c:scaling>
        <c:delete val="0"/>
        <c:axPos val="b"/>
        <c:numFmt formatCode="General" sourceLinked="1"/>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fr-FR"/>
          </a:p>
        </c:txPr>
        <c:crossAx val="71102976"/>
        <c:crossesAt val="0.1"/>
        <c:auto val="1"/>
        <c:lblAlgn val="ctr"/>
        <c:lblOffset val="100"/>
        <c:tickLblSkip val="1"/>
        <c:tickMarkSkip val="100"/>
        <c:noMultiLvlLbl val="0"/>
      </c:catAx>
      <c:valAx>
        <c:axId val="71102976"/>
        <c:scaling>
          <c:orientation val="minMax"/>
          <c:max val="4500000"/>
          <c:min val="0"/>
        </c:scaling>
        <c:delete val="0"/>
        <c:axPos val="l"/>
        <c:numFmt formatCode="\$##0.0,,&quot; M&quot;" sourceLinked="0"/>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fr-FR"/>
          </a:p>
        </c:txPr>
        <c:crossAx val="43503104"/>
        <c:crosses val="autoZero"/>
        <c:crossBetween val="between"/>
        <c:majorUnit val="1000000"/>
        <c:minorUnit val="200000"/>
      </c:valAx>
      <c:spPr>
        <a:ln>
          <a:noFill/>
        </a:ln>
      </c:spPr>
    </c:plotArea>
    <c:legend>
      <c:legendPos val="r"/>
      <c:legendEntry>
        <c:idx val="2"/>
        <c:delete val="1"/>
      </c:legendEntry>
      <c:legendEntry>
        <c:idx val="3"/>
        <c:delete val="1"/>
      </c:legendEntry>
      <c:legendEntry>
        <c:idx val="4"/>
        <c:delete val="1"/>
      </c:legendEntry>
      <c:layout>
        <c:manualLayout>
          <c:xMode val="edge"/>
          <c:yMode val="edge"/>
          <c:x val="0.7151587265823367"/>
          <c:y val="0.63425371828521437"/>
          <c:w val="0.14141535634851884"/>
          <c:h val="0.20547051618547685"/>
        </c:manualLayout>
      </c:layout>
      <c:overlay val="0"/>
      <c:txPr>
        <a:bodyPr/>
        <a:lstStyle/>
        <a:p>
          <a:pPr>
            <a:defRPr sz="825" b="0" i="0" u="none" strike="noStrike" baseline="0">
              <a:solidFill>
                <a:srgbClr val="000000"/>
              </a:solidFill>
              <a:latin typeface="Arial"/>
              <a:ea typeface="Arial"/>
              <a:cs typeface="Arial"/>
            </a:defRPr>
          </a:pPr>
          <a:endParaRPr lang="fr-FR"/>
        </a:p>
      </c:txPr>
    </c:legend>
    <c:plotVisOnly val="1"/>
    <c:dispBlanksAs val="gap"/>
    <c:showDLblsOverMax val="0"/>
  </c:chart>
  <c:spPr>
    <a:ln>
      <a:noFill/>
    </a:ln>
  </c:spPr>
  <c:txPr>
    <a:bodyPr/>
    <a:lstStyle/>
    <a:p>
      <a:pPr>
        <a:defRPr sz="900"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7.4457063059425302E-2"/>
          <c:y val="2.2460475268874201E-2"/>
          <c:w val="0.63427535500370102"/>
          <c:h val="0.90105155691679395"/>
        </c:manualLayout>
      </c:layout>
      <c:barChart>
        <c:barDir val="col"/>
        <c:grouping val="stacked"/>
        <c:varyColors val="0"/>
        <c:ser>
          <c:idx val="2"/>
          <c:order val="0"/>
          <c:tx>
            <c:strRef>
              <c:f>'arranged table'!$E$8</c:f>
              <c:strCache>
                <c:ptCount val="1"/>
                <c:pt idx="0">
                  <c:v>Sub-Fund</c:v>
                </c:pt>
              </c:strCache>
            </c:strRef>
          </c:tx>
          <c:spPr>
            <a:pattFill prst="lgCheck">
              <a:fgClr>
                <a:schemeClr val="accent5">
                  <a:lumMod val="40000"/>
                  <a:lumOff val="60000"/>
                </a:schemeClr>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'arranged table'!$A$13:$B$16</c:f>
              <c:multiLvlStrCache>
                <c:ptCount val="4"/>
                <c:lvl>
                  <c:pt idx="0">
                    <c:v>35C/5 2010-11</c:v>
                  </c:pt>
                  <c:pt idx="1">
                    <c:v>36C/5 2012-13</c:v>
                  </c:pt>
                  <c:pt idx="2">
                    <c:v>37C/5 2014-15</c:v>
                  </c:pt>
                  <c:pt idx="3">
                    <c:v>38C/5 2016-17</c:v>
                  </c:pt>
                </c:lvl>
                <c:lvl>
                  <c:pt idx="0">
                    <c:v>Human Resources</c:v>
                  </c:pt>
                </c:lvl>
              </c:multiLvlStrCache>
            </c:multiLvlStrRef>
          </c:cat>
          <c:val>
            <c:numRef>
              <c:f>'arranged table'!$E$13:$E$16</c:f>
              <c:numCache>
                <c:formatCode>\$##0.00,," M"</c:formatCode>
                <c:ptCount val="4"/>
                <c:pt idx="0">
                  <c:v>511885</c:v>
                </c:pt>
                <c:pt idx="1">
                  <c:v>403181</c:v>
                </c:pt>
                <c:pt idx="2">
                  <c:v>409248.64</c:v>
                </c:pt>
                <c:pt idx="3">
                  <c:v>97878</c:v>
                </c:pt>
              </c:numCache>
            </c:numRef>
          </c:val>
          <c:extLst xmlns:c16r2="http://schemas.microsoft.com/office/drawing/2015/06/chart">
            <c:ext xmlns:c16="http://schemas.microsoft.com/office/drawing/2014/chart" uri="{C3380CC4-5D6E-409C-BE32-E72D297353CC}">
              <c16:uniqueId val="{00000000-24CE-4480-BA2E-31CC428FA918}"/>
            </c:ext>
          </c:extLst>
        </c:ser>
        <c:ser>
          <c:idx val="3"/>
          <c:order val="1"/>
          <c:tx>
            <c:strRef>
              <c:f>'arranged table'!$F$8</c:f>
              <c:strCache>
                <c:ptCount val="1"/>
                <c:pt idx="0">
                  <c:v>Inkind</c:v>
                </c:pt>
              </c:strCache>
            </c:strRef>
          </c:tx>
          <c:spPr>
            <a:pattFill prst="narHorz">
              <a:fgClr>
                <a:schemeClr val="bg1">
                  <a:lumMod val="65000"/>
                </a:schemeClr>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'arranged table'!$A$13:$B$16</c:f>
              <c:multiLvlStrCache>
                <c:ptCount val="4"/>
                <c:lvl>
                  <c:pt idx="0">
                    <c:v>35C/5 2010-11</c:v>
                  </c:pt>
                  <c:pt idx="1">
                    <c:v>36C/5 2012-13</c:v>
                  </c:pt>
                  <c:pt idx="2">
                    <c:v>37C/5 2014-15</c:v>
                  </c:pt>
                  <c:pt idx="3">
                    <c:v>38C/5 2016-17</c:v>
                  </c:pt>
                </c:lvl>
                <c:lvl>
                  <c:pt idx="0">
                    <c:v>Human Resources</c:v>
                  </c:pt>
                </c:lvl>
              </c:multiLvlStrCache>
            </c:multiLvlStrRef>
          </c:cat>
          <c:val>
            <c:numRef>
              <c:f>'arranged table'!$F$13:$F$16</c:f>
              <c:numCache>
                <c:formatCode>\$##0.00,," M"</c:formatCode>
                <c:ptCount val="4"/>
                <c:pt idx="0">
                  <c:v>406625</c:v>
                </c:pt>
                <c:pt idx="1">
                  <c:v>369250</c:v>
                </c:pt>
                <c:pt idx="2">
                  <c:v>341640</c:v>
                </c:pt>
                <c:pt idx="3">
                  <c:v>128440</c:v>
                </c:pt>
              </c:numCache>
            </c:numRef>
          </c:val>
          <c:extLst xmlns:c16r2="http://schemas.microsoft.com/office/drawing/2015/06/chart">
            <c:ext xmlns:c16="http://schemas.microsoft.com/office/drawing/2014/chart" uri="{C3380CC4-5D6E-409C-BE32-E72D297353CC}">
              <c16:uniqueId val="{00000001-24CE-4480-BA2E-31CC428FA918}"/>
            </c:ext>
          </c:extLst>
        </c:ser>
        <c:ser>
          <c:idx val="0"/>
          <c:order val="3"/>
          <c:tx>
            <c:strRef>
              <c:f>'arranged table'!$D$8</c:f>
              <c:strCache>
                <c:ptCount val="1"/>
                <c:pt idx="0">
                  <c:v>Funds-in-Trust</c:v>
                </c:pt>
              </c:strCache>
            </c:strRef>
          </c:tx>
          <c:spPr>
            <a:pattFill prst="pct5">
              <a:fgClr>
                <a:schemeClr val="accent1"/>
              </a:fgClr>
              <a:bgClr>
                <a:schemeClr val="bg1"/>
              </a:bgClr>
            </a:pattFill>
            <a:ln>
              <a:solidFill>
                <a:schemeClr val="accent1"/>
              </a:solidFill>
            </a:ln>
          </c:spPr>
          <c:invertIfNegative val="0"/>
          <c:dLbls>
            <c:dLbl>
              <c:idx val="1"/>
              <c:delete val="1"/>
              <c:extLst xmlns:c16r2="http://schemas.microsoft.com/office/drawing/2015/06/chart">
                <c:ext xmlns:c16="http://schemas.microsoft.com/office/drawing/2014/chart" uri="{C3380CC4-5D6E-409C-BE32-E72D297353CC}">
                  <c16:uniqueId val="{00000002-24CE-4480-BA2E-31CC428FA918}"/>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24CE-4480-BA2E-31CC428FA918}"/>
                </c:ext>
                <c:ext xmlns:c15="http://schemas.microsoft.com/office/drawing/2012/chart" uri="{CE6537A1-D6FC-4f65-9D91-7224C49458BB}"/>
              </c:extLst>
            </c:dLbl>
            <c:numFmt formatCode="\$##0.00,,&quot; M&quot;"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'arranged table'!$D$13:$D$16</c:f>
              <c:numCache>
                <c:formatCode>\$##0.00,," M"</c:formatCode>
                <c:ptCount val="4"/>
                <c:pt idx="0">
                  <c:v>815496</c:v>
                </c:pt>
                <c:pt idx="1">
                  <c:v>0</c:v>
                </c:pt>
                <c:pt idx="2">
                  <c:v>755698</c:v>
                </c:pt>
                <c:pt idx="3">
                  <c:v>0</c:v>
                </c:pt>
              </c:numCache>
            </c:numRef>
          </c:val>
          <c:extLst xmlns:c16r2="http://schemas.microsoft.com/office/drawing/2015/06/chart">
            <c:ext xmlns:c16="http://schemas.microsoft.com/office/drawing/2014/chart" uri="{C3380CC4-5D6E-409C-BE32-E72D297353CC}">
              <c16:uniqueId val="{00000004-24CE-4480-BA2E-31CC428FA918}"/>
            </c:ext>
          </c:extLst>
        </c:ser>
        <c:dLbls>
          <c:showLegendKey val="0"/>
          <c:showVal val="0"/>
          <c:showCatName val="0"/>
          <c:showSerName val="0"/>
          <c:showPercent val="0"/>
          <c:showBubbleSize val="0"/>
        </c:dLbls>
        <c:gapWidth val="0"/>
        <c:overlap val="100"/>
        <c:axId val="43500544"/>
        <c:axId val="71100672"/>
      </c:barChart>
      <c:lineChart>
        <c:grouping val="standard"/>
        <c:varyColors val="0"/>
        <c:ser>
          <c:idx val="4"/>
          <c:order val="2"/>
          <c:tx>
            <c:strRef>
              <c:f>'arranged table'!$G$8</c:f>
              <c:strCache>
                <c:ptCount val="1"/>
                <c:pt idx="0">
                  <c:v>Targeted amount by biennium</c:v>
                </c:pt>
              </c:strCache>
            </c:strRef>
          </c:tx>
          <c:spPr>
            <a:ln w="19050">
              <a:solidFill>
                <a:srgbClr val="C00000"/>
              </a:solidFill>
            </a:ln>
          </c:spPr>
          <c:marker>
            <c:symbol val="none"/>
          </c:marker>
          <c:dLbls>
            <c:dLbl>
              <c:idx val="0"/>
              <c:delete val="1"/>
              <c:extLst xmlns:c16r2="http://schemas.microsoft.com/office/drawing/2015/06/chart">
                <c:ext xmlns:c16="http://schemas.microsoft.com/office/drawing/2014/chart" uri="{C3380CC4-5D6E-409C-BE32-E72D297353CC}">
                  <c16:uniqueId val="{00000005-24CE-4480-BA2E-31CC428FA91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6-24CE-4480-BA2E-31CC428FA918}"/>
                </c:ext>
                <c:ext xmlns:c15="http://schemas.microsoft.com/office/drawing/2012/chart" uri="{CE6537A1-D6FC-4f65-9D91-7224C49458BB}"/>
              </c:extLst>
            </c:dLbl>
            <c:dLbl>
              <c:idx val="2"/>
              <c:layout>
                <c:manualLayout>
                  <c:x val="-0.20049710704308599"/>
                  <c:y val="-5.9321968349241201E-2"/>
                </c:manualLayout>
              </c:layout>
              <c:tx>
                <c:rich>
                  <a:bodyPr/>
                  <a:lstStyle/>
                  <a:p>
                    <a:pPr>
                      <a:defRPr sz="800" b="1" i="0" u="none" strike="noStrike" baseline="0">
                        <a:solidFill>
                          <a:srgbClr val="993300"/>
                        </a:solidFill>
                        <a:latin typeface="Arial"/>
                        <a:ea typeface="Arial"/>
                        <a:cs typeface="Arial"/>
                      </a:defRPr>
                    </a:pPr>
                    <a:r>
                      <a:rPr lang="en-US"/>
                      <a:t>Target: $2.2 M
(Resolution 3.GA 9) </a:t>
                    </a:r>
                  </a:p>
                </c:rich>
              </c:tx>
              <c:numFmt formatCode="\$##0\.0..&quot; M&quot;" sourceLinked="0"/>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24CE-4480-BA2E-31CC428FA918}"/>
                </c:ext>
                <c:ext xmlns:c15="http://schemas.microsoft.com/office/drawing/2012/chart" uri="{CE6537A1-D6FC-4f65-9D91-7224C49458BB}">
                  <c15:layout>
                    <c:manualLayout>
                      <c:w val="0.25342491822652202"/>
                      <c:h val="8.5840694274708806E-2"/>
                    </c:manualLayout>
                  </c15:layout>
                </c:ext>
              </c:extLst>
            </c:dLbl>
            <c:dLbl>
              <c:idx val="3"/>
              <c:delete val="1"/>
              <c:extLst xmlns:c16r2="http://schemas.microsoft.com/office/drawing/2015/06/chart">
                <c:ext xmlns:c16="http://schemas.microsoft.com/office/drawing/2014/chart" uri="{C3380CC4-5D6E-409C-BE32-E72D297353CC}">
                  <c16:uniqueId val="{00000008-24CE-4480-BA2E-31CC428FA918}"/>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24CE-4480-BA2E-31CC428FA918}"/>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24CE-4480-BA2E-31CC428FA918}"/>
                </c:ext>
                <c:ext xmlns:c15="http://schemas.microsoft.com/office/drawing/2012/chart" uri="{CE6537A1-D6FC-4f65-9D91-7224C49458BB}"/>
              </c:extLst>
            </c:dLbl>
            <c:dLbl>
              <c:idx val="6"/>
              <c:layout>
                <c:manualLayout>
                  <c:x val="-0.15518367531813601"/>
                  <c:y val="-1.83767266317988E-2"/>
                </c:manualLayout>
              </c:layout>
              <c:tx>
                <c:rich>
                  <a:bodyPr/>
                  <a:lstStyle/>
                  <a:p>
                    <a:pPr>
                      <a:defRPr sz="800" b="1" i="0" u="none" strike="noStrike" baseline="0">
                        <a:solidFill>
                          <a:srgbClr val="993300"/>
                        </a:solidFill>
                        <a:latin typeface="Arial"/>
                        <a:ea typeface="Arial"/>
                        <a:cs typeface="Arial"/>
                      </a:defRPr>
                    </a:pPr>
                    <a:r>
                      <a:rPr lang="fr-FR"/>
                      <a:t>$2.0 M (Resolution 3.GA 9)</a:t>
                    </a:r>
                  </a:p>
                </c:rich>
              </c:tx>
              <c:numFmt formatCode="\$##0\.0..&quot; M&quot;" sourceLinked="0"/>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24CE-4480-BA2E-31CC428FA918}"/>
                </c:ext>
                <c:ext xmlns:c15="http://schemas.microsoft.com/office/drawing/2012/chart" uri="{CE6537A1-D6FC-4f65-9D91-7224C49458BB}"/>
              </c:extLst>
            </c:dLbl>
            <c:numFmt formatCode="\$##0\.0..&quot; M&quot;" sourceLinked="0"/>
            <c:spPr>
              <a:noFill/>
              <a:ln w="25400">
                <a:noFill/>
              </a:ln>
            </c:spPr>
            <c:txPr>
              <a:bodyPr wrap="square" lIns="38100" tIns="19050" rIns="38100" bIns="19050" anchor="ctr">
                <a:spAutoFit/>
              </a:bodyPr>
              <a:lstStyle/>
              <a:p>
                <a:pPr>
                  <a:defRPr sz="800" b="1" i="0" u="none" strike="noStrike" baseline="0">
                    <a:solidFill>
                      <a:srgbClr val="FF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'arranged table'!$G$13:$G$16</c:f>
              <c:numCache>
                <c:formatCode>\$##0.00,," M"</c:formatCode>
                <c:ptCount val="4"/>
                <c:pt idx="0">
                  <c:v>2200000</c:v>
                </c:pt>
                <c:pt idx="1">
                  <c:v>2200000</c:v>
                </c:pt>
                <c:pt idx="2">
                  <c:v>2200000</c:v>
                </c:pt>
                <c:pt idx="3">
                  <c:v>2200000</c:v>
                </c:pt>
              </c:numCache>
            </c:numRef>
          </c:val>
          <c:smooth val="0"/>
          <c:extLst xmlns:c16r2="http://schemas.microsoft.com/office/drawing/2015/06/chart">
            <c:ext xmlns:c16="http://schemas.microsoft.com/office/drawing/2014/chart" uri="{C3380CC4-5D6E-409C-BE32-E72D297353CC}">
              <c16:uniqueId val="{0000000C-24CE-4480-BA2E-31CC428FA918}"/>
            </c:ext>
          </c:extLst>
        </c:ser>
        <c:dLbls>
          <c:showLegendKey val="0"/>
          <c:showVal val="0"/>
          <c:showCatName val="0"/>
          <c:showSerName val="0"/>
          <c:showPercent val="0"/>
          <c:showBubbleSize val="0"/>
        </c:dLbls>
        <c:marker val="1"/>
        <c:smooth val="0"/>
        <c:axId val="43500544"/>
        <c:axId val="71100672"/>
      </c:lineChart>
      <c:catAx>
        <c:axId val="43500544"/>
        <c:scaling>
          <c:orientation val="minMax"/>
        </c:scaling>
        <c:delete val="0"/>
        <c:axPos val="b"/>
        <c:numFmt formatCode="General" sourceLinked="1"/>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fr-FR"/>
          </a:p>
        </c:txPr>
        <c:crossAx val="71100672"/>
        <c:crossesAt val="0.1"/>
        <c:auto val="1"/>
        <c:lblAlgn val="ctr"/>
        <c:lblOffset val="100"/>
        <c:tickLblSkip val="1"/>
        <c:tickMarkSkip val="100"/>
        <c:noMultiLvlLbl val="0"/>
      </c:catAx>
      <c:valAx>
        <c:axId val="71100672"/>
        <c:scaling>
          <c:orientation val="minMax"/>
          <c:max val="3500000"/>
          <c:min val="0"/>
        </c:scaling>
        <c:delete val="0"/>
        <c:axPos val="l"/>
        <c:numFmt formatCode="\$##0.0,,&quot; M&quot;" sourceLinked="0"/>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fr-FR"/>
          </a:p>
        </c:txPr>
        <c:crossAx val="43500544"/>
        <c:crosses val="autoZero"/>
        <c:crossBetween val="between"/>
        <c:majorUnit val="1000000"/>
        <c:minorUnit val="200000"/>
      </c:valAx>
    </c:plotArea>
    <c:legend>
      <c:legendPos val="r"/>
      <c:legendEntry>
        <c:idx val="3"/>
        <c:delete val="1"/>
      </c:legendEntry>
      <c:layout>
        <c:manualLayout>
          <c:xMode val="edge"/>
          <c:yMode val="edge"/>
          <c:x val="0.76130334232696395"/>
          <c:y val="0.621095289404614"/>
          <c:w val="0.172825896762905"/>
          <c:h val="0.33140489017820202"/>
        </c:manualLayout>
      </c:layout>
      <c:overlay val="0"/>
      <c:txPr>
        <a:bodyPr/>
        <a:lstStyle/>
        <a:p>
          <a:pPr>
            <a:defRPr sz="735" b="0" i="0" u="none" strike="noStrike" baseline="0">
              <a:solidFill>
                <a:srgbClr val="000000"/>
              </a:solidFill>
              <a:latin typeface="Arial"/>
              <a:ea typeface="Arial"/>
              <a:cs typeface="Arial"/>
            </a:defRPr>
          </a:pPr>
          <a:endParaRPr lang="fr-FR"/>
        </a:p>
      </c:txPr>
    </c:legend>
    <c:plotVisOnly val="1"/>
    <c:dispBlanksAs val="gap"/>
    <c:showDLblsOverMax val="0"/>
  </c:chart>
  <c:spPr>
    <a:ln>
      <a:noFill/>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3974-BB70-4F26-AF02-21AB81CD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2016-11-22T09:54:00Z</dcterms:created>
  <dcterms:modified xsi:type="dcterms:W3CDTF">2016-11-22T11:17:00Z</dcterms:modified>
</cp:coreProperties>
</file>