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5DEE1" w14:textId="043B374B" w:rsidR="00EC6F8D" w:rsidRPr="00293C60" w:rsidRDefault="00EC6F8D" w:rsidP="003C1ECD">
      <w:pPr>
        <w:spacing w:before="1440"/>
        <w:jc w:val="center"/>
        <w:rPr>
          <w:rFonts w:ascii="Arial" w:hAnsi="Arial" w:cs="Arial"/>
          <w:b/>
          <w:sz w:val="22"/>
          <w:szCs w:val="22"/>
        </w:rPr>
      </w:pPr>
      <w:r>
        <w:rPr>
          <w:rFonts w:ascii="Arial" w:hAnsi="Arial"/>
          <w:b/>
          <w:sz w:val="22"/>
          <w:szCs w:val="22"/>
        </w:rPr>
        <w:t>CONVENTION POUR LA SAUVEGARDE</w:t>
      </w:r>
      <w:r w:rsidR="003C1ECD" w:rsidRPr="003C1ECD">
        <w:rPr>
          <w:rFonts w:ascii="Arial" w:hAnsi="Arial"/>
          <w:b/>
          <w:sz w:val="22"/>
          <w:szCs w:val="22"/>
        </w:rPr>
        <w:t xml:space="preserve"> </w:t>
      </w:r>
      <w:r w:rsidR="003C1ECD">
        <w:rPr>
          <w:rFonts w:ascii="Arial" w:hAnsi="Arial"/>
          <w:b/>
          <w:sz w:val="22"/>
          <w:szCs w:val="22"/>
        </w:rPr>
        <w:t>DU</w:t>
      </w:r>
      <w:r>
        <w:rPr>
          <w:rFonts w:ascii="Arial" w:hAnsi="Arial"/>
          <w:b/>
          <w:sz w:val="22"/>
          <w:szCs w:val="22"/>
        </w:rPr>
        <w:br/>
        <w:t>PATRIMOINE CULTUREL IMMATÉRIEL</w:t>
      </w:r>
    </w:p>
    <w:p w14:paraId="5B80DAAB" w14:textId="7FBC4416" w:rsidR="00272E27" w:rsidRPr="00272E27" w:rsidRDefault="00272E27" w:rsidP="003C1ECD">
      <w:pPr>
        <w:spacing w:before="1200"/>
        <w:jc w:val="center"/>
        <w:rPr>
          <w:rFonts w:ascii="Arial" w:hAnsi="Arial" w:cs="Arial"/>
          <w:b/>
          <w:sz w:val="22"/>
          <w:szCs w:val="22"/>
        </w:rPr>
      </w:pPr>
      <w:r>
        <w:rPr>
          <w:rFonts w:ascii="Arial" w:hAnsi="Arial"/>
          <w:b/>
          <w:sz w:val="22"/>
          <w:szCs w:val="22"/>
        </w:rPr>
        <w:t>COMITÉ IN</w:t>
      </w:r>
      <w:r w:rsidR="003C1ECD">
        <w:rPr>
          <w:rFonts w:ascii="Arial" w:hAnsi="Arial"/>
          <w:b/>
          <w:sz w:val="22"/>
          <w:szCs w:val="22"/>
        </w:rPr>
        <w:t>TERGOUVERNEMENTAL DE SAUVEGARDE</w:t>
      </w:r>
      <w:r w:rsidRPr="00272E27">
        <w:rPr>
          <w:rFonts w:ascii="Arial" w:hAnsi="Arial" w:cs="Arial"/>
          <w:b/>
          <w:sz w:val="22"/>
          <w:szCs w:val="22"/>
        </w:rPr>
        <w:br/>
      </w:r>
      <w:r w:rsidR="003C1ECD">
        <w:rPr>
          <w:rFonts w:ascii="Arial" w:hAnsi="Arial"/>
          <w:b/>
          <w:sz w:val="22"/>
          <w:szCs w:val="22"/>
        </w:rPr>
        <w:t xml:space="preserve">DU </w:t>
      </w:r>
      <w:r>
        <w:rPr>
          <w:rFonts w:ascii="Arial" w:hAnsi="Arial"/>
          <w:b/>
          <w:sz w:val="22"/>
          <w:szCs w:val="22"/>
        </w:rPr>
        <w:t>PATRIMOINE CULTUREL IMMATÉRIEL</w:t>
      </w:r>
    </w:p>
    <w:p w14:paraId="65945472" w14:textId="77777777" w:rsidR="00EC6F8D" w:rsidRPr="00293C60" w:rsidRDefault="00C7433F" w:rsidP="001D14FE">
      <w:pPr>
        <w:spacing w:before="840"/>
        <w:jc w:val="center"/>
        <w:rPr>
          <w:rFonts w:ascii="Arial" w:hAnsi="Arial" w:cs="Arial"/>
          <w:b/>
          <w:sz w:val="22"/>
          <w:szCs w:val="22"/>
        </w:rPr>
      </w:pPr>
      <w:r>
        <w:rPr>
          <w:rFonts w:ascii="Arial" w:hAnsi="Arial"/>
          <w:b/>
          <w:sz w:val="22"/>
          <w:szCs w:val="22"/>
        </w:rPr>
        <w:t>Treizième session</w:t>
      </w:r>
    </w:p>
    <w:p w14:paraId="0678902E" w14:textId="2C5F4BD0" w:rsidR="009D5428" w:rsidRPr="00337CEB" w:rsidRDefault="001D14FE" w:rsidP="003C1ECD">
      <w:pPr>
        <w:jc w:val="center"/>
        <w:rPr>
          <w:rFonts w:ascii="Arial" w:eastAsiaTheme="minorEastAsia" w:hAnsi="Arial" w:cs="Arial"/>
          <w:b/>
          <w:sz w:val="22"/>
          <w:szCs w:val="22"/>
        </w:rPr>
      </w:pPr>
      <w:r>
        <w:rPr>
          <w:rFonts w:ascii="Arial" w:hAnsi="Arial"/>
          <w:b/>
          <w:sz w:val="22"/>
          <w:szCs w:val="22"/>
        </w:rPr>
        <w:t>Port</w:t>
      </w:r>
      <w:r w:rsidR="003C1ECD">
        <w:rPr>
          <w:rFonts w:ascii="Arial" w:hAnsi="Arial"/>
          <w:b/>
          <w:sz w:val="22"/>
          <w:szCs w:val="22"/>
        </w:rPr>
        <w:t>-</w:t>
      </w:r>
      <w:r>
        <w:rPr>
          <w:rFonts w:ascii="Arial" w:hAnsi="Arial"/>
          <w:b/>
          <w:sz w:val="22"/>
          <w:szCs w:val="22"/>
        </w:rPr>
        <w:t>Louis, République de Maurice</w:t>
      </w:r>
    </w:p>
    <w:p w14:paraId="5A3FE45D" w14:textId="77777777" w:rsidR="00EC6F8D" w:rsidRPr="00337CEB" w:rsidRDefault="001D14FE" w:rsidP="001D14FE">
      <w:pPr>
        <w:jc w:val="center"/>
        <w:rPr>
          <w:rFonts w:ascii="Arial" w:eastAsiaTheme="minorEastAsia" w:hAnsi="Arial" w:cs="Arial"/>
          <w:b/>
          <w:sz w:val="22"/>
          <w:szCs w:val="22"/>
        </w:rPr>
      </w:pPr>
      <w:r>
        <w:rPr>
          <w:rFonts w:ascii="Arial" w:hAnsi="Arial"/>
          <w:b/>
          <w:sz w:val="22"/>
          <w:szCs w:val="22"/>
        </w:rPr>
        <w:t>26 novembre – 1</w:t>
      </w:r>
      <w:r w:rsidRPr="000D43D6">
        <w:rPr>
          <w:rFonts w:ascii="Arial" w:hAnsi="Arial"/>
          <w:b/>
          <w:sz w:val="22"/>
          <w:szCs w:val="22"/>
          <w:vertAlign w:val="superscript"/>
        </w:rPr>
        <w:t>er</w:t>
      </w:r>
      <w:r>
        <w:rPr>
          <w:rFonts w:ascii="Arial" w:hAnsi="Arial"/>
          <w:b/>
          <w:sz w:val="22"/>
          <w:szCs w:val="22"/>
        </w:rPr>
        <w:t xml:space="preserve"> décembre 2018</w:t>
      </w:r>
    </w:p>
    <w:p w14:paraId="6028B1B4" w14:textId="72CE21DC" w:rsidR="00EC6F8D" w:rsidRPr="00293C60" w:rsidRDefault="00EC6F8D" w:rsidP="00EC6F8D">
      <w:pPr>
        <w:pStyle w:val="Sansinterligne2"/>
        <w:spacing w:before="1200"/>
        <w:jc w:val="center"/>
        <w:rPr>
          <w:rFonts w:ascii="Arial" w:hAnsi="Arial" w:cs="Arial"/>
          <w:b/>
          <w:sz w:val="22"/>
          <w:szCs w:val="22"/>
        </w:rPr>
      </w:pPr>
      <w:r>
        <w:rPr>
          <w:rFonts w:ascii="Arial" w:hAnsi="Arial"/>
          <w:b/>
          <w:sz w:val="22"/>
          <w:szCs w:val="22"/>
          <w:u w:val="single"/>
        </w:rPr>
        <w:t>Point 13 de l</w:t>
      </w:r>
      <w:r w:rsidR="00CC62B7">
        <w:rPr>
          <w:rFonts w:ascii="Arial" w:hAnsi="Arial"/>
          <w:b/>
          <w:sz w:val="22"/>
          <w:szCs w:val="22"/>
          <w:u w:val="single"/>
        </w:rPr>
        <w:t>’</w:t>
      </w:r>
      <w:r>
        <w:rPr>
          <w:rFonts w:ascii="Arial" w:hAnsi="Arial"/>
          <w:b/>
          <w:sz w:val="22"/>
          <w:szCs w:val="22"/>
          <w:u w:val="single"/>
        </w:rPr>
        <w:t>ordre du jour provisoire</w:t>
      </w:r>
      <w:r w:rsidRPr="000D43D6">
        <w:rPr>
          <w:rFonts w:ascii="Arial" w:hAnsi="Arial"/>
          <w:b/>
          <w:sz w:val="22"/>
          <w:szCs w:val="22"/>
        </w:rPr>
        <w:t> </w:t>
      </w:r>
      <w:r>
        <w:rPr>
          <w:rFonts w:ascii="Arial" w:hAnsi="Arial"/>
          <w:b/>
          <w:sz w:val="22"/>
          <w:szCs w:val="22"/>
        </w:rPr>
        <w:t>:</w:t>
      </w:r>
    </w:p>
    <w:p w14:paraId="14363224" w14:textId="5030521C" w:rsidR="00EC6F8D" w:rsidRPr="00293C60" w:rsidRDefault="00D622F6" w:rsidP="000D43D6">
      <w:pPr>
        <w:pStyle w:val="Sansinterligne2"/>
        <w:spacing w:after="1200"/>
        <w:jc w:val="center"/>
        <w:rPr>
          <w:rFonts w:ascii="Arial" w:hAnsi="Arial" w:cs="Arial"/>
          <w:b/>
          <w:sz w:val="22"/>
          <w:szCs w:val="22"/>
        </w:rPr>
      </w:pPr>
      <w:r>
        <w:rPr>
          <w:rFonts w:ascii="Arial" w:hAnsi="Arial"/>
          <w:b/>
          <w:sz w:val="22"/>
          <w:szCs w:val="22"/>
        </w:rPr>
        <w:t xml:space="preserve">Réflexion sur </w:t>
      </w:r>
      <w:r w:rsidR="00126A11">
        <w:rPr>
          <w:rFonts w:ascii="Arial" w:hAnsi="Arial"/>
          <w:b/>
          <w:sz w:val="22"/>
          <w:szCs w:val="22"/>
        </w:rPr>
        <w:t>la participation</w:t>
      </w:r>
      <w:r>
        <w:rPr>
          <w:rFonts w:ascii="Arial" w:hAnsi="Arial"/>
          <w:b/>
          <w:sz w:val="22"/>
          <w:szCs w:val="22"/>
        </w:rPr>
        <w:t xml:space="preserve"> des ONG </w:t>
      </w:r>
      <w:r w:rsidR="00126A11">
        <w:rPr>
          <w:rFonts w:ascii="Arial" w:hAnsi="Arial"/>
          <w:b/>
          <w:sz w:val="22"/>
          <w:szCs w:val="22"/>
        </w:rPr>
        <w:t>à</w:t>
      </w:r>
      <w:r>
        <w:rPr>
          <w:rFonts w:ascii="Arial" w:hAnsi="Arial"/>
          <w:b/>
          <w:sz w:val="22"/>
          <w:szCs w:val="22"/>
        </w:rPr>
        <w:t xml:space="preserve"> la mise en œuvre de la Convention</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D622F6" w14:paraId="44856D0E" w14:textId="77777777" w:rsidTr="00EC6F8D">
        <w:trPr>
          <w:jc w:val="center"/>
        </w:trPr>
        <w:tc>
          <w:tcPr>
            <w:tcW w:w="5670" w:type="dxa"/>
            <w:vAlign w:val="center"/>
          </w:tcPr>
          <w:p w14:paraId="7E2E4A31" w14:textId="77777777" w:rsidR="00EC6F8D" w:rsidRPr="00293C60" w:rsidRDefault="00EC6F8D" w:rsidP="00CA56BB">
            <w:pPr>
              <w:pStyle w:val="Sansinterligne1"/>
              <w:spacing w:before="200" w:after="200"/>
              <w:jc w:val="center"/>
              <w:rPr>
                <w:rFonts w:ascii="Arial" w:hAnsi="Arial" w:cs="Arial"/>
                <w:b/>
                <w:sz w:val="22"/>
                <w:szCs w:val="22"/>
              </w:rPr>
            </w:pPr>
            <w:r>
              <w:rPr>
                <w:rFonts w:ascii="Arial" w:hAnsi="Arial"/>
                <w:b/>
                <w:sz w:val="22"/>
                <w:szCs w:val="22"/>
              </w:rPr>
              <w:t>Résumé</w:t>
            </w:r>
          </w:p>
          <w:p w14:paraId="2968671A" w14:textId="7F7D937B" w:rsidR="00D622F6" w:rsidRDefault="00D622F6" w:rsidP="00AD7361">
            <w:pPr>
              <w:pStyle w:val="Sansinterligne2"/>
              <w:spacing w:before="200" w:after="200"/>
              <w:jc w:val="both"/>
              <w:rPr>
                <w:rFonts w:ascii="Arial" w:hAnsi="Arial" w:cs="Arial"/>
                <w:sz w:val="22"/>
                <w:szCs w:val="22"/>
              </w:rPr>
            </w:pPr>
            <w:r>
              <w:rPr>
                <w:rFonts w:ascii="Arial" w:hAnsi="Arial"/>
                <w:sz w:val="22"/>
                <w:szCs w:val="22"/>
              </w:rPr>
              <w:t xml:space="preserve">En 2017, lors de sa douzième session, le Comité a invité le Secrétariat et le groupe de travail informel ad hoc à réfléchir, en consultation avec les ONG accréditées, aux moyens </w:t>
            </w:r>
            <w:r w:rsidR="00126A11">
              <w:rPr>
                <w:rFonts w:ascii="Arial" w:hAnsi="Arial"/>
                <w:sz w:val="22"/>
                <w:szCs w:val="22"/>
              </w:rPr>
              <w:t>de renforcer</w:t>
            </w:r>
            <w:r>
              <w:rPr>
                <w:rFonts w:ascii="Arial" w:hAnsi="Arial"/>
                <w:sz w:val="22"/>
                <w:szCs w:val="22"/>
              </w:rPr>
              <w:t xml:space="preserve"> encore davantage la participation des ONG dans le cadre de la Convention de 2003 et à la manière dont cette amélioration pourrait se refléter dans les mécanismes d</w:t>
            </w:r>
            <w:r w:rsidR="00CC62B7">
              <w:rPr>
                <w:rFonts w:ascii="Arial" w:hAnsi="Arial"/>
                <w:sz w:val="22"/>
                <w:szCs w:val="22"/>
              </w:rPr>
              <w:t>’</w:t>
            </w:r>
            <w:r>
              <w:rPr>
                <w:rFonts w:ascii="Arial" w:hAnsi="Arial"/>
                <w:sz w:val="22"/>
                <w:szCs w:val="22"/>
              </w:rPr>
              <w:t>accréditation et de renouvellement des ONG. Ce document présente les différentes étapes du processus de consultation visant à faciliter cette réflexion et ses premiers résultats.</w:t>
            </w:r>
          </w:p>
          <w:p w14:paraId="6D49D536" w14:textId="0F8FCE8C" w:rsidR="00EC6F8D" w:rsidRPr="00293C60" w:rsidRDefault="00EC6F8D">
            <w:pPr>
              <w:pStyle w:val="Sansinterligne2"/>
              <w:spacing w:before="200" w:after="200"/>
              <w:jc w:val="both"/>
              <w:rPr>
                <w:rFonts w:ascii="Arial" w:hAnsi="Arial" w:cs="Arial"/>
                <w:b/>
                <w:sz w:val="22"/>
                <w:szCs w:val="22"/>
              </w:rPr>
            </w:pPr>
            <w:r>
              <w:rPr>
                <w:rFonts w:ascii="Arial" w:hAnsi="Arial"/>
                <w:b/>
                <w:sz w:val="22"/>
                <w:szCs w:val="22"/>
              </w:rPr>
              <w:t xml:space="preserve">Décision requise : </w:t>
            </w:r>
            <w:r>
              <w:rPr>
                <w:rFonts w:ascii="Arial" w:hAnsi="Arial"/>
                <w:bCs/>
                <w:sz w:val="22"/>
                <w:szCs w:val="22"/>
              </w:rPr>
              <w:t xml:space="preserve">paragraphe </w:t>
            </w:r>
            <w:r w:rsidR="00CC5BC1">
              <w:rPr>
                <w:rFonts w:ascii="Arial" w:hAnsi="Arial"/>
                <w:bCs/>
                <w:sz w:val="22"/>
                <w:szCs w:val="22"/>
              </w:rPr>
              <w:t>9</w:t>
            </w:r>
          </w:p>
        </w:tc>
      </w:tr>
    </w:tbl>
    <w:p w14:paraId="105833ED" w14:textId="53A9788D" w:rsidR="00554242" w:rsidRPr="003C1ECD" w:rsidRDefault="00655736" w:rsidP="00FE11DF">
      <w:pPr>
        <w:pStyle w:val="COMPara"/>
        <w:numPr>
          <w:ilvl w:val="3"/>
          <w:numId w:val="2"/>
        </w:numPr>
        <w:ind w:left="567" w:hanging="567"/>
        <w:jc w:val="both"/>
        <w:rPr>
          <w:bCs/>
        </w:rPr>
      </w:pPr>
      <w:r>
        <w:br w:type="page"/>
      </w:r>
      <w:r>
        <w:lastRenderedPageBreak/>
        <w:t>Lors de sa douzième session, le Comité a invité le Secrétariat à « réfléchir, en consultation avec les ONG accréditées, aux différentes façons possibles de renforcer encore davantage la participation des ONG dans le cadre de la Convention de 2003 et à la manière dont cette amélioration pourrait se refléter dans les mécanismes d</w:t>
      </w:r>
      <w:r w:rsidR="00CC62B7">
        <w:t>’</w:t>
      </w:r>
      <w:r>
        <w:t>accréditation et de renouvellement des ONG », ainsi qu</w:t>
      </w:r>
      <w:r w:rsidR="00CC62B7">
        <w:t>’</w:t>
      </w:r>
      <w:r>
        <w:t>à transmettre les résultats de cette réflexion au Comité pour examen lors de sa treizième session (</w:t>
      </w:r>
      <w:hyperlink r:id="rId8" w:history="1">
        <w:r w:rsidR="00126A11">
          <w:rPr>
            <w:rStyle w:val="Hyperlink"/>
          </w:rPr>
          <w:t>décision 12.COM 17</w:t>
        </w:r>
      </w:hyperlink>
      <w:r>
        <w:t>). Cette demande a été formulée à la suite des débats menés lors de la même session sur l</w:t>
      </w:r>
      <w:r w:rsidR="00CC62B7">
        <w:t>’</w:t>
      </w:r>
      <w:r>
        <w:t xml:space="preserve">identification et la définition des fonctions consultatives que le Comité souhaite confier aux ONG accréditées (liste de fonctions non exhaustive </w:t>
      </w:r>
      <w:r w:rsidR="003D17A5" w:rsidRPr="003D17A5">
        <w:t>évoquées à travers l’expression «</w:t>
      </w:r>
      <w:r w:rsidR="00252A70">
        <w:t> entre autres </w:t>
      </w:r>
      <w:r w:rsidR="003D17A5" w:rsidRPr="003D17A5">
        <w:t xml:space="preserve">» </w:t>
      </w:r>
      <w:r>
        <w:t>dans le paragraphe 96 des Directives opérationnelles) et sur la pertinence du système d</w:t>
      </w:r>
      <w:r w:rsidR="00CC62B7">
        <w:t>’</w:t>
      </w:r>
      <w:r>
        <w:t xml:space="preserve">accréditation pour le travail du Comité et la mise en œuvre de la Convention. Il </w:t>
      </w:r>
      <w:r w:rsidR="00126A11">
        <w:t xml:space="preserve">est </w:t>
      </w:r>
      <w:r>
        <w:t xml:space="preserve">prévu que cette réflexion </w:t>
      </w:r>
      <w:r w:rsidR="00126A11">
        <w:t>donnera</w:t>
      </w:r>
      <w:r>
        <w:t xml:space="preserve"> une orientation pour les critères d</w:t>
      </w:r>
      <w:r w:rsidR="00CC62B7">
        <w:t>’</w:t>
      </w:r>
      <w:r>
        <w:t>accréditation et de renouvellement, le rôle et l</w:t>
      </w:r>
      <w:r w:rsidR="00CC62B7">
        <w:t>’</w:t>
      </w:r>
      <w:r>
        <w:t xml:space="preserve">organisation du </w:t>
      </w:r>
      <w:r w:rsidR="001A6A0E">
        <w:t xml:space="preserve">Forum des ONG-PCI </w:t>
      </w:r>
      <w:r>
        <w:t>et, de manière plus générale, la contribution des ONG à la sauvegarde du patr</w:t>
      </w:r>
      <w:r w:rsidR="003C1ECD">
        <w:t>imoine culturel immatériel.</w:t>
      </w:r>
    </w:p>
    <w:p w14:paraId="4A5842AA" w14:textId="139C0919" w:rsidR="00380403" w:rsidRPr="00554242" w:rsidRDefault="00200564" w:rsidP="00FE11DF">
      <w:pPr>
        <w:pStyle w:val="COMPara"/>
        <w:numPr>
          <w:ilvl w:val="0"/>
          <w:numId w:val="5"/>
        </w:numPr>
        <w:spacing w:before="240"/>
        <w:ind w:left="567" w:hanging="567"/>
        <w:jc w:val="both"/>
        <w:rPr>
          <w:b/>
        </w:rPr>
      </w:pPr>
      <w:r>
        <w:rPr>
          <w:b/>
        </w:rPr>
        <w:t>Présentation du processus de consultation</w:t>
      </w:r>
    </w:p>
    <w:p w14:paraId="7499EC3A" w14:textId="77818E30" w:rsidR="00AA0A11" w:rsidRDefault="00FE11DF" w:rsidP="00FE11DF">
      <w:pPr>
        <w:pStyle w:val="COMPara"/>
        <w:numPr>
          <w:ilvl w:val="3"/>
          <w:numId w:val="2"/>
        </w:numPr>
        <w:ind w:left="567" w:hanging="567"/>
        <w:jc w:val="both"/>
      </w:pPr>
      <w:r>
        <w:rPr>
          <w:noProof/>
          <w:snapToGrid/>
          <w:lang w:val="en-US" w:eastAsia="ko-KR"/>
        </w:rPr>
        <w:drawing>
          <wp:anchor distT="0" distB="0" distL="114300" distR="114300" simplePos="0" relativeHeight="251655680" behindDoc="0" locked="0" layoutInCell="1" allowOverlap="1" wp14:anchorId="441AB7EE" wp14:editId="1755D251">
            <wp:simplePos x="0" y="0"/>
            <wp:positionH relativeFrom="column">
              <wp:posOffset>356235</wp:posOffset>
            </wp:positionH>
            <wp:positionV relativeFrom="paragraph">
              <wp:posOffset>1366520</wp:posOffset>
            </wp:positionV>
            <wp:extent cx="5753735" cy="2700000"/>
            <wp:effectExtent l="0" t="0" r="18415" b="24765"/>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V relativeFrom="margin">
              <wp14:pctHeight>0</wp14:pctHeight>
            </wp14:sizeRelV>
          </wp:anchor>
        </w:drawing>
      </w:r>
      <w:r w:rsidR="00200564">
        <w:rPr>
          <w:noProof/>
          <w:snapToGrid/>
          <w:lang w:val="en-US" w:eastAsia="ko-KR"/>
        </w:rPr>
        <mc:AlternateContent>
          <mc:Choice Requires="wps">
            <w:drawing>
              <wp:anchor distT="0" distB="0" distL="114300" distR="114300" simplePos="0" relativeHeight="251659776" behindDoc="0" locked="0" layoutInCell="1" allowOverlap="1" wp14:anchorId="01EC918B" wp14:editId="58E52763">
                <wp:simplePos x="0" y="0"/>
                <wp:positionH relativeFrom="column">
                  <wp:posOffset>1280160</wp:posOffset>
                </wp:positionH>
                <wp:positionV relativeFrom="paragraph">
                  <wp:posOffset>1525067</wp:posOffset>
                </wp:positionV>
                <wp:extent cx="3872865" cy="499110"/>
                <wp:effectExtent l="0" t="0" r="635" b="1905"/>
                <wp:wrapTopAndBottom/>
                <wp:docPr id="4" name="Text Box 4"/>
                <wp:cNvGraphicFramePr/>
                <a:graphic xmlns:a="http://schemas.openxmlformats.org/drawingml/2006/main">
                  <a:graphicData uri="http://schemas.microsoft.com/office/word/2010/wordprocessingShape">
                    <wps:wsp>
                      <wps:cNvSpPr txBox="1"/>
                      <wps:spPr>
                        <a:xfrm>
                          <a:off x="0" y="0"/>
                          <a:ext cx="3872865" cy="499110"/>
                        </a:xfrm>
                        <a:prstGeom prst="rect">
                          <a:avLst/>
                        </a:prstGeom>
                        <a:solidFill>
                          <a:prstClr val="white"/>
                        </a:solidFill>
                        <a:ln>
                          <a:noFill/>
                        </a:ln>
                      </wps:spPr>
                      <wps:txbx>
                        <w:txbxContent>
                          <w:p w14:paraId="35F86CB8" w14:textId="5FC68FC2" w:rsidR="001F4C04" w:rsidRPr="000D43D6" w:rsidRDefault="001F4C04" w:rsidP="00FE11DF">
                            <w:pPr>
                              <w:pStyle w:val="Caption"/>
                              <w:spacing w:after="0"/>
                              <w:jc w:val="center"/>
                              <w:rPr>
                                <w:rFonts w:ascii="Arial" w:hAnsi="Arial" w:cs="Arial"/>
                                <w:b/>
                                <w:i w:val="0"/>
                                <w:snapToGrid w:val="0"/>
                                <w:color w:val="404040" w:themeColor="text1" w:themeTint="BF"/>
                                <w:sz w:val="20"/>
                                <w:szCs w:val="20"/>
                              </w:rPr>
                            </w:pPr>
                            <w:r w:rsidRPr="000D43D6">
                              <w:rPr>
                                <w:rFonts w:ascii="Arial" w:hAnsi="Arial" w:cs="Arial"/>
                                <w:b/>
                                <w:i w:val="0"/>
                                <w:color w:val="404040" w:themeColor="text1" w:themeTint="BF"/>
                                <w:sz w:val="20"/>
                                <w:szCs w:val="20"/>
                              </w:rPr>
                              <w:t xml:space="preserve">Figure </w:t>
                            </w:r>
                            <w:r w:rsidRPr="000D43D6">
                              <w:rPr>
                                <w:rFonts w:ascii="Arial" w:hAnsi="Arial" w:cs="Arial"/>
                                <w:b/>
                                <w:i w:val="0"/>
                                <w:color w:val="404040" w:themeColor="text1" w:themeTint="BF"/>
                                <w:sz w:val="20"/>
                                <w:szCs w:val="20"/>
                              </w:rPr>
                              <w:fldChar w:fldCharType="begin"/>
                            </w:r>
                            <w:r w:rsidRPr="000D43D6">
                              <w:rPr>
                                <w:rFonts w:ascii="Arial" w:hAnsi="Arial" w:cs="Arial"/>
                                <w:b/>
                                <w:i w:val="0"/>
                                <w:color w:val="404040" w:themeColor="text1" w:themeTint="BF"/>
                                <w:sz w:val="20"/>
                                <w:szCs w:val="20"/>
                              </w:rPr>
                              <w:instrText xml:space="preserve"> SEQ Figure \* ARABIC </w:instrText>
                            </w:r>
                            <w:r w:rsidRPr="000D43D6">
                              <w:rPr>
                                <w:rFonts w:ascii="Arial" w:hAnsi="Arial" w:cs="Arial"/>
                                <w:b/>
                                <w:i w:val="0"/>
                                <w:color w:val="404040" w:themeColor="text1" w:themeTint="BF"/>
                                <w:sz w:val="20"/>
                                <w:szCs w:val="20"/>
                              </w:rPr>
                              <w:fldChar w:fldCharType="separate"/>
                            </w:r>
                            <w:r w:rsidR="00CC5BC1">
                              <w:rPr>
                                <w:rFonts w:ascii="Arial" w:hAnsi="Arial" w:cs="Arial"/>
                                <w:b/>
                                <w:i w:val="0"/>
                                <w:noProof/>
                                <w:color w:val="404040" w:themeColor="text1" w:themeTint="BF"/>
                                <w:sz w:val="20"/>
                                <w:szCs w:val="20"/>
                              </w:rPr>
                              <w:t>1</w:t>
                            </w:r>
                            <w:r w:rsidRPr="000D43D6">
                              <w:rPr>
                                <w:rFonts w:ascii="Arial" w:hAnsi="Arial" w:cs="Arial"/>
                                <w:b/>
                                <w:i w:val="0"/>
                                <w:color w:val="404040" w:themeColor="text1" w:themeTint="BF"/>
                                <w:sz w:val="20"/>
                                <w:szCs w:val="20"/>
                              </w:rPr>
                              <w:fldChar w:fldCharType="end"/>
                            </w:r>
                            <w:r w:rsidRPr="000D43D6">
                              <w:rPr>
                                <w:rFonts w:ascii="Arial" w:hAnsi="Arial" w:cs="Arial"/>
                                <w:b/>
                                <w:i w:val="0"/>
                                <w:color w:val="404040" w:themeColor="text1" w:themeTint="BF"/>
                                <w:sz w:val="20"/>
                                <w:szCs w:val="20"/>
                              </w:rPr>
                              <w:t xml:space="preserve"> : </w:t>
                            </w:r>
                            <w:r w:rsidR="00126A11">
                              <w:rPr>
                                <w:rFonts w:ascii="Arial" w:hAnsi="Arial" w:cs="Arial"/>
                                <w:b/>
                                <w:i w:val="0"/>
                                <w:color w:val="404040" w:themeColor="text1" w:themeTint="BF"/>
                                <w:sz w:val="20"/>
                                <w:szCs w:val="20"/>
                              </w:rPr>
                              <w:t>Calendrier pour la</w:t>
                            </w:r>
                            <w:r w:rsidRPr="000D43D6">
                              <w:rPr>
                                <w:rFonts w:ascii="Arial" w:hAnsi="Arial" w:cs="Arial"/>
                                <w:b/>
                                <w:i w:val="0"/>
                                <w:color w:val="404040" w:themeColor="text1" w:themeTint="BF"/>
                                <w:sz w:val="20"/>
                                <w:szCs w:val="20"/>
                              </w:rPr>
                              <w:t xml:space="preserve"> réflexion sur le rôle des ONG accréditées dans le cadre de la Convention de 2003 (2018-2019)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1EC918B" id="_x0000_t202" coordsize="21600,21600" o:spt="202" path="m,l,21600r21600,l21600,xe">
                <v:stroke joinstyle="miter"/>
                <v:path gradientshapeok="t" o:connecttype="rect"/>
              </v:shapetype>
              <v:shape id="Text Box 4" o:spid="_x0000_s1026" type="#_x0000_t202" style="position:absolute;left:0;text-align:left;margin-left:100.8pt;margin-top:120.1pt;width:304.95pt;height:39.3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7owMQIAAGAEAAAOAAAAZHJzL2Uyb0RvYy54bWysVFFv2yAQfp+0/4B4X5xkWZdacaosVaZJ&#10;UVspmfpMMI6RgGNAYme/fge2067b07QXfNwdB9/33Xlx12pFzsJ5Caagk9GYEmE4lNIcC/p9v/kw&#10;p8QHZkqmwIiCXoSnd8v37xaNzcUUalClcASLGJ83tqB1CDbPMs9roZkfgRUGgxU4zQJu3TErHWuw&#10;ulbZdDy+yRpwpXXAhffove+CdJnqV5Xg4bGqvAhEFRTfFtLq0nqIa7ZcsPzomK0l75/B/uEVmkmD&#10;l15L3bPAyMnJP0ppyR14qMKIg86gqiQXCQOimYzfoNnVzIqEBcnx9kqT/39l+cP5yRFZFnRGiWEa&#10;JdqLNpAv0JJZZKexPsekncW00KIbVR78Hp0RdFs5Hb8Ih2Aceb5cuY3FODo/zj9P5zefKOEYm93e&#10;TiaJ/OzltHU+fBWgSTQK6lC7RCk7b33Al2DqkBIv86BkuZFKxU0MrJUjZ4Y6N7UMIr4RT/yWpUzM&#10;NRBPdeHoySLEDkq0Qntoe9wHKC8I20HXNt7yjcSLtsyHJ+awTxAp9n54xKVS0BQUeouSGtzPv/lj&#10;PsqHUUoa7LuC+h8n5gQl6ptBYWOTDoYbjMNgmJNeA0Kc4FRZnkw84IIazMqBfsaRWMVbMMQMx7sK&#10;GgZzHbrux5HiYrVKSdiKloWt2VkeSw+E7ttn5mwvR0AhH2DoSJa/UaXLTbrY1SkgxUmySGjHYs8z&#10;tnHSpR+5OCev9ynr5cew/AUAAP//AwBQSwMEFAAGAAgAAAAhAJxlDWXiAAAACwEAAA8AAABkcnMv&#10;ZG93bnJldi54bWxMj7FOwzAQhnck3sE6JBZEbachikKcqqpggKUidGFzYzcOxHZkO214e44Jtjvd&#10;p/++v94sdiRnHeLgnQC+YkC067waXC/g8P58XwKJSTolR++0gG8dYdNcX9WyUv7i3vS5TT3BEBcr&#10;KcCkNFWUxs5oK+PKT9rh7eSDlQnX0FMV5AXD7Ugzxgpq5eDwg5GT3hndfbWzFbDPP/bmbj49vW7z&#10;dXg5zLvis2+FuL1Zto9Akl7SHwy/+qgODTod/exUJKOAjPECURxylgFBouT8AchRwJqXJdCmpv87&#10;ND8AAAD//wMAUEsBAi0AFAAGAAgAAAAhALaDOJL+AAAA4QEAABMAAAAAAAAAAAAAAAAAAAAAAFtD&#10;b250ZW50X1R5cGVzXS54bWxQSwECLQAUAAYACAAAACEAOP0h/9YAAACUAQAACwAAAAAAAAAAAAAA&#10;AAAvAQAAX3JlbHMvLnJlbHNQSwECLQAUAAYACAAAACEAtRe6MDECAABgBAAADgAAAAAAAAAAAAAA&#10;AAAuAgAAZHJzL2Uyb0RvYy54bWxQSwECLQAUAAYACAAAACEAnGUNZeIAAAALAQAADwAAAAAAAAAA&#10;AAAAAACLBAAAZHJzL2Rvd25yZXYueG1sUEsFBgAAAAAEAAQA8wAAAJoFAAAAAA==&#10;" stroked="f">
                <v:textbox style="mso-fit-shape-to-text:t" inset="0,0,0,0">
                  <w:txbxContent>
                    <w:p w14:paraId="35F86CB8" w14:textId="5FC68FC2" w:rsidR="001F4C04" w:rsidRPr="000D43D6" w:rsidRDefault="001F4C04" w:rsidP="00FE11DF">
                      <w:pPr>
                        <w:pStyle w:val="Caption"/>
                        <w:spacing w:after="0"/>
                        <w:jc w:val="center"/>
                        <w:rPr>
                          <w:rFonts w:ascii="Arial" w:hAnsi="Arial" w:cs="Arial"/>
                          <w:b/>
                          <w:i w:val="0"/>
                          <w:snapToGrid w:val="0"/>
                          <w:color w:val="404040" w:themeColor="text1" w:themeTint="BF"/>
                          <w:sz w:val="20"/>
                          <w:szCs w:val="20"/>
                        </w:rPr>
                      </w:pPr>
                      <w:r w:rsidRPr="000D43D6">
                        <w:rPr>
                          <w:rFonts w:ascii="Arial" w:hAnsi="Arial" w:cs="Arial"/>
                          <w:b/>
                          <w:i w:val="0"/>
                          <w:color w:val="404040" w:themeColor="text1" w:themeTint="BF"/>
                          <w:sz w:val="20"/>
                          <w:szCs w:val="20"/>
                        </w:rPr>
                        <w:t xml:space="preserve">Figure </w:t>
                      </w:r>
                      <w:r w:rsidRPr="000D43D6">
                        <w:rPr>
                          <w:rFonts w:ascii="Arial" w:hAnsi="Arial" w:cs="Arial"/>
                          <w:b/>
                          <w:i w:val="0"/>
                          <w:color w:val="404040" w:themeColor="text1" w:themeTint="BF"/>
                          <w:sz w:val="20"/>
                          <w:szCs w:val="20"/>
                        </w:rPr>
                        <w:fldChar w:fldCharType="begin"/>
                      </w:r>
                      <w:r w:rsidRPr="000D43D6">
                        <w:rPr>
                          <w:rFonts w:ascii="Arial" w:hAnsi="Arial" w:cs="Arial"/>
                          <w:b/>
                          <w:i w:val="0"/>
                          <w:color w:val="404040" w:themeColor="text1" w:themeTint="BF"/>
                          <w:sz w:val="20"/>
                          <w:szCs w:val="20"/>
                        </w:rPr>
                        <w:instrText xml:space="preserve"> SEQ Figure \* ARABIC </w:instrText>
                      </w:r>
                      <w:r w:rsidRPr="000D43D6">
                        <w:rPr>
                          <w:rFonts w:ascii="Arial" w:hAnsi="Arial" w:cs="Arial"/>
                          <w:b/>
                          <w:i w:val="0"/>
                          <w:color w:val="404040" w:themeColor="text1" w:themeTint="BF"/>
                          <w:sz w:val="20"/>
                          <w:szCs w:val="20"/>
                        </w:rPr>
                        <w:fldChar w:fldCharType="separate"/>
                      </w:r>
                      <w:r w:rsidR="00CC5BC1">
                        <w:rPr>
                          <w:rFonts w:ascii="Arial" w:hAnsi="Arial" w:cs="Arial"/>
                          <w:b/>
                          <w:i w:val="0"/>
                          <w:noProof/>
                          <w:color w:val="404040" w:themeColor="text1" w:themeTint="BF"/>
                          <w:sz w:val="20"/>
                          <w:szCs w:val="20"/>
                        </w:rPr>
                        <w:t>1</w:t>
                      </w:r>
                      <w:r w:rsidRPr="000D43D6">
                        <w:rPr>
                          <w:rFonts w:ascii="Arial" w:hAnsi="Arial" w:cs="Arial"/>
                          <w:b/>
                          <w:i w:val="0"/>
                          <w:color w:val="404040" w:themeColor="text1" w:themeTint="BF"/>
                          <w:sz w:val="20"/>
                          <w:szCs w:val="20"/>
                        </w:rPr>
                        <w:fldChar w:fldCharType="end"/>
                      </w:r>
                      <w:r w:rsidRPr="000D43D6">
                        <w:rPr>
                          <w:rFonts w:ascii="Arial" w:hAnsi="Arial" w:cs="Arial"/>
                          <w:b/>
                          <w:i w:val="0"/>
                          <w:color w:val="404040" w:themeColor="text1" w:themeTint="BF"/>
                          <w:sz w:val="20"/>
                          <w:szCs w:val="20"/>
                        </w:rPr>
                        <w:t xml:space="preserve"> : </w:t>
                      </w:r>
                      <w:r w:rsidR="00126A11">
                        <w:rPr>
                          <w:rFonts w:ascii="Arial" w:hAnsi="Arial" w:cs="Arial"/>
                          <w:b/>
                          <w:i w:val="0"/>
                          <w:color w:val="404040" w:themeColor="text1" w:themeTint="BF"/>
                          <w:sz w:val="20"/>
                          <w:szCs w:val="20"/>
                        </w:rPr>
                        <w:t>Calendrier pour la</w:t>
                      </w:r>
                      <w:r w:rsidRPr="000D43D6">
                        <w:rPr>
                          <w:rFonts w:ascii="Arial" w:hAnsi="Arial" w:cs="Arial"/>
                          <w:b/>
                          <w:i w:val="0"/>
                          <w:color w:val="404040" w:themeColor="text1" w:themeTint="BF"/>
                          <w:sz w:val="20"/>
                          <w:szCs w:val="20"/>
                        </w:rPr>
                        <w:t xml:space="preserve"> réflexion sur le rôle des ONG accréditées dans le cadre de la Convention de 2003 (2018-2019)</w:t>
                      </w:r>
                    </w:p>
                  </w:txbxContent>
                </v:textbox>
                <w10:wrap type="topAndBottom"/>
              </v:shape>
            </w:pict>
          </mc:Fallback>
        </mc:AlternateContent>
      </w:r>
      <w:r w:rsidR="00200564">
        <w:t xml:space="preserve">En vertu de la </w:t>
      </w:r>
      <w:hyperlink r:id="rId14" w:history="1">
        <w:r w:rsidR="00126A11">
          <w:rPr>
            <w:rStyle w:val="Hyperlink"/>
          </w:rPr>
          <w:t>décision 12.COM 17</w:t>
        </w:r>
      </w:hyperlink>
      <w:r w:rsidR="00200564">
        <w:rPr>
          <w:rStyle w:val="Hyperlink"/>
          <w:color w:val="auto"/>
          <w:u w:val="none"/>
        </w:rPr>
        <w:t xml:space="preserve"> du Comité</w:t>
      </w:r>
      <w:r w:rsidR="00200564">
        <w:t xml:space="preserve"> et conformément à la </w:t>
      </w:r>
      <w:hyperlink r:id="rId15" w:history="1">
        <w:r w:rsidR="00126A11">
          <w:rPr>
            <w:rStyle w:val="Hyperlink"/>
          </w:rPr>
          <w:t>décision 12.COM 13</w:t>
        </w:r>
      </w:hyperlink>
      <w:r w:rsidR="00200564">
        <w:t xml:space="preserve"> établissant </w:t>
      </w:r>
      <w:r w:rsidR="00126A11">
        <w:t>le mandat</w:t>
      </w:r>
      <w:r w:rsidR="00200564">
        <w:t xml:space="preserve"> du groupe de travail informel ad hoc pour 2018, le Secrétariat a proposé de faciliter la réflexion sur le rôle des ONG accréditées </w:t>
      </w:r>
      <w:r w:rsidR="00126A11">
        <w:t>par le biais d’un</w:t>
      </w:r>
      <w:r w:rsidR="00200564">
        <w:t xml:space="preserve"> processus de consultation en plusieurs étapes décrit ci-après,</w:t>
      </w:r>
      <w:r w:rsidR="00126A11">
        <w:t xml:space="preserve"> menant</w:t>
      </w:r>
      <w:r w:rsidR="00200564">
        <w:t xml:space="preserve"> jusqu</w:t>
      </w:r>
      <w:r w:rsidR="00CC62B7">
        <w:t>’</w:t>
      </w:r>
      <w:r w:rsidR="00200564">
        <w:t xml:space="preserve">à la quatorzième session du Comité en 2019. Conformément à la </w:t>
      </w:r>
      <w:hyperlink r:id="rId16" w:history="1">
        <w:r w:rsidR="00126A11">
          <w:rPr>
            <w:rStyle w:val="Hyperlink"/>
          </w:rPr>
          <w:t>décision 13.COM 2.BUR.3</w:t>
        </w:r>
      </w:hyperlink>
      <w:r w:rsidR="00200564">
        <w:t>, ce processus est soutenu par le Fonds pour la sauvegarde du patrimoine culturel immatériel, à travers les fonds alloués aux « autres fonctions du Comité » dans le cadre du plan d</w:t>
      </w:r>
      <w:r w:rsidR="00CC62B7">
        <w:t>’</w:t>
      </w:r>
      <w:r w:rsidR="00200564">
        <w:t>utilisation des ressources du Fonds pour la sauvegarde du patrimoine culturel immatériel 2018/2019 :</w:t>
      </w:r>
    </w:p>
    <w:p w14:paraId="7C4251C5" w14:textId="37FAECFE" w:rsidR="003F5DA6" w:rsidRPr="00803E6E" w:rsidRDefault="003F5DA6" w:rsidP="00FE11DF">
      <w:pPr>
        <w:pStyle w:val="COMPara"/>
        <w:numPr>
          <w:ilvl w:val="0"/>
          <w:numId w:val="0"/>
        </w:numPr>
        <w:spacing w:before="360"/>
        <w:ind w:left="567"/>
        <w:jc w:val="both"/>
        <w:rPr>
          <w:i/>
        </w:rPr>
      </w:pPr>
      <w:r>
        <w:rPr>
          <w:b/>
          <w:i/>
        </w:rPr>
        <w:t>Lancement du processus de consultation (avril 2018)</w:t>
      </w:r>
    </w:p>
    <w:p w14:paraId="04FE95DF" w14:textId="5EEE30A7" w:rsidR="00FE67C6" w:rsidRDefault="001F4C04" w:rsidP="00FE11DF">
      <w:pPr>
        <w:pStyle w:val="COMPara"/>
        <w:numPr>
          <w:ilvl w:val="0"/>
          <w:numId w:val="0"/>
        </w:numPr>
        <w:ind w:left="567"/>
        <w:jc w:val="both"/>
      </w:pPr>
      <w:r>
        <w:t xml:space="preserve">Le 27 avril 2018, le Secrétariat a lancé le processus de consultation en informant le </w:t>
      </w:r>
      <w:r w:rsidR="00A23B12">
        <w:t xml:space="preserve">président </w:t>
      </w:r>
      <w:r>
        <w:t xml:space="preserve">de la treizième session du Comité, les deux co-présidents du groupe de travail informel ad hoc et le </w:t>
      </w:r>
      <w:r w:rsidR="001A6A0E">
        <w:t xml:space="preserve">Forum des ONG-PCI </w:t>
      </w:r>
      <w:r>
        <w:t xml:space="preserve">du processus en plusieurs étapes décrit </w:t>
      </w:r>
      <w:r w:rsidR="00A23B12">
        <w:t>ci-dessus</w:t>
      </w:r>
      <w:r w:rsidR="003C1ECD">
        <w:t xml:space="preserve"> (figure 1).</w:t>
      </w:r>
    </w:p>
    <w:p w14:paraId="2DBC86C3" w14:textId="7F298482" w:rsidR="003F5DA6" w:rsidRPr="00803E6E" w:rsidRDefault="003F5DA6" w:rsidP="00FE11DF">
      <w:pPr>
        <w:pStyle w:val="COMPara"/>
        <w:numPr>
          <w:ilvl w:val="0"/>
          <w:numId w:val="0"/>
        </w:numPr>
        <w:spacing w:before="120"/>
        <w:ind w:left="567"/>
        <w:jc w:val="both"/>
        <w:rPr>
          <w:b/>
          <w:i/>
        </w:rPr>
      </w:pPr>
      <w:r>
        <w:rPr>
          <w:b/>
          <w:i/>
        </w:rPr>
        <w:t>Consultations préliminaires (mai</w:t>
      </w:r>
      <w:r w:rsidR="005D7189">
        <w:rPr>
          <w:b/>
          <w:i/>
        </w:rPr>
        <w:t xml:space="preserve"> – </w:t>
      </w:r>
      <w:r>
        <w:rPr>
          <w:b/>
          <w:i/>
        </w:rPr>
        <w:t>août</w:t>
      </w:r>
      <w:r w:rsidR="005D7189">
        <w:rPr>
          <w:b/>
          <w:i/>
        </w:rPr>
        <w:t xml:space="preserve"> </w:t>
      </w:r>
      <w:r>
        <w:rPr>
          <w:b/>
          <w:i/>
        </w:rPr>
        <w:t>2018)</w:t>
      </w:r>
    </w:p>
    <w:p w14:paraId="7B9BBDCC" w14:textId="17AC26E1" w:rsidR="00BD3764" w:rsidRDefault="00E01FFE" w:rsidP="00FE11DF">
      <w:pPr>
        <w:pStyle w:val="COMPara"/>
        <w:numPr>
          <w:ilvl w:val="0"/>
          <w:numId w:val="0"/>
        </w:numPr>
        <w:ind w:left="567"/>
        <w:jc w:val="both"/>
      </w:pPr>
      <w:r>
        <w:t xml:space="preserve">Entre mai et août 2018, des consultations préliminaires ont été menées avec le comité </w:t>
      </w:r>
      <w:r w:rsidR="00A23B12">
        <w:t xml:space="preserve">de pilotage </w:t>
      </w:r>
      <w:r>
        <w:t xml:space="preserve">du </w:t>
      </w:r>
      <w:r w:rsidR="001A6A0E">
        <w:t xml:space="preserve">Forum des ONG-PCI </w:t>
      </w:r>
      <w:r>
        <w:t xml:space="preserve">et </w:t>
      </w:r>
      <w:r w:rsidR="00A23B12">
        <w:t>l</w:t>
      </w:r>
      <w:r>
        <w:t>es représentants du groupe de travail informel ad hoc au sujet de l</w:t>
      </w:r>
      <w:r w:rsidR="00CC62B7">
        <w:t>’</w:t>
      </w:r>
      <w:r>
        <w:t>organisation du processus de consultation et de la consultation par voie</w:t>
      </w:r>
      <w:r w:rsidR="00605E33">
        <w:t xml:space="preserve"> électronique (voir paragraphe</w:t>
      </w:r>
      <w:r>
        <w:t xml:space="preserve"> ci-après). Plus particulièrement, une réunion entre le </w:t>
      </w:r>
      <w:r w:rsidR="00A23B12">
        <w:t>comité de pilotage</w:t>
      </w:r>
      <w:r>
        <w:t xml:space="preserve"> du Forum</w:t>
      </w:r>
      <w:r w:rsidR="00A23B12">
        <w:t xml:space="preserve"> des</w:t>
      </w:r>
      <w:r>
        <w:t xml:space="preserve"> ONG-PCI, les co-présidents du groupe de travail informel ad hoc et le Secrétariat a été organisée le 5 juin 2018, en marge de la septième session de l</w:t>
      </w:r>
      <w:r w:rsidR="00CC62B7">
        <w:t>’</w:t>
      </w:r>
      <w:r>
        <w:t>Assemblée générale des États parties, afin d</w:t>
      </w:r>
      <w:r w:rsidR="00CC62B7">
        <w:t>’</w:t>
      </w:r>
      <w:r>
        <w:t xml:space="preserve">échanger des expériences concernant les réalisations et les lacunes dans </w:t>
      </w:r>
      <w:r>
        <w:lastRenderedPageBreak/>
        <w:t>la participation des ONG accréditées à la mise en œuvre de la Convention, ainsi que de premières idées pour la</w:t>
      </w:r>
      <w:r w:rsidR="003C1ECD">
        <w:t xml:space="preserve"> définition de leur rôle futur.</w:t>
      </w:r>
    </w:p>
    <w:p w14:paraId="2A020902" w14:textId="05514328" w:rsidR="003F5DA6" w:rsidRPr="00803E6E" w:rsidRDefault="003F5DA6" w:rsidP="00FE11DF">
      <w:pPr>
        <w:pStyle w:val="COMPara"/>
        <w:keepNext/>
        <w:numPr>
          <w:ilvl w:val="0"/>
          <w:numId w:val="0"/>
        </w:numPr>
        <w:spacing w:before="120"/>
        <w:ind w:left="567"/>
        <w:jc w:val="both"/>
        <w:rPr>
          <w:b/>
          <w:i/>
        </w:rPr>
      </w:pPr>
      <w:r>
        <w:rPr>
          <w:b/>
          <w:i/>
        </w:rPr>
        <w:t>Consultation par voie électronique (septembre</w:t>
      </w:r>
      <w:r w:rsidR="0027546B">
        <w:rPr>
          <w:b/>
          <w:i/>
        </w:rPr>
        <w:t>-</w:t>
      </w:r>
      <w:r>
        <w:rPr>
          <w:b/>
          <w:i/>
        </w:rPr>
        <w:t>octobre 2018)</w:t>
      </w:r>
    </w:p>
    <w:p w14:paraId="035361A2" w14:textId="79A5BD7F" w:rsidR="003F5DA6" w:rsidRDefault="00157225" w:rsidP="00FE11DF">
      <w:pPr>
        <w:pStyle w:val="COMPara"/>
        <w:numPr>
          <w:ilvl w:val="0"/>
          <w:numId w:val="0"/>
        </w:numPr>
        <w:ind w:left="567"/>
        <w:jc w:val="both"/>
      </w:pPr>
      <w:r>
        <w:t>En septembre 2018, une consultation par voie électronique sur les fonctions consultatives potentielles à remplir par les ONG accréditées et sur les diverses voies de progrès possibles pour le système d</w:t>
      </w:r>
      <w:r w:rsidR="00CC62B7">
        <w:t>’</w:t>
      </w:r>
      <w:r>
        <w:t>accréditation a été lancée, avec l</w:t>
      </w:r>
      <w:r w:rsidR="00CC62B7">
        <w:t>’</w:t>
      </w:r>
      <w:r>
        <w:t>envoi d</w:t>
      </w:r>
      <w:r w:rsidR="00CC62B7">
        <w:t>’</w:t>
      </w:r>
      <w:r>
        <w:t>une communication à l</w:t>
      </w:r>
      <w:r w:rsidR="00CC62B7">
        <w:t>’</w:t>
      </w:r>
      <w:r>
        <w:t xml:space="preserve">ensemble des 176 ONG accréditées et des 178 États parties à la Convention (voir </w:t>
      </w:r>
      <w:r w:rsidR="00A23B12">
        <w:t>s</w:t>
      </w:r>
      <w:r>
        <w:t xml:space="preserve">ection B de ce document). Les ONG accréditées et les États parties ont été invités à compléter un questionnaire en ligne initialement préparé par le Secrétariat, en consultation avec le </w:t>
      </w:r>
      <w:r w:rsidR="001A6A0E">
        <w:t xml:space="preserve">Forum des ONG-PCI </w:t>
      </w:r>
      <w:r>
        <w:t xml:space="preserve">et les co-présidents du groupe de travail informel ad hoc. Accompagné </w:t>
      </w:r>
      <w:r w:rsidR="00A23B12">
        <w:t>d’une note d’information</w:t>
      </w:r>
      <w:r>
        <w:t xml:space="preserve"> présentant la situation actuelle des ONG accréditées et les défis identifiés par le Secrétariat sur la base de son expérience et de celle du Comité depuis l</w:t>
      </w:r>
      <w:r w:rsidR="00CC62B7">
        <w:t>’</w:t>
      </w:r>
      <w:r>
        <w:t>établissement du système d</w:t>
      </w:r>
      <w:r w:rsidR="00CC62B7">
        <w:t>’</w:t>
      </w:r>
      <w:r>
        <w:t>accréditation actuel en 2010 (</w:t>
      </w:r>
      <w:r w:rsidR="003C1ECD">
        <w:t xml:space="preserve">document </w:t>
      </w:r>
      <w:hyperlink r:id="rId17" w:history="1">
        <w:r w:rsidRPr="00605E33">
          <w:rPr>
            <w:rStyle w:val="Hyperlink"/>
          </w:rPr>
          <w:t>ITH/18/NGO/1</w:t>
        </w:r>
      </w:hyperlink>
      <w:r>
        <w:t xml:space="preserve">), le questionnaire a été envoyé par </w:t>
      </w:r>
      <w:r w:rsidR="00A23B12">
        <w:t>courriel</w:t>
      </w:r>
      <w:r>
        <w:t xml:space="preserve"> en anglais et en français. Les ONG accréditées et les États parties ont été invités à compléter le questionnaire avant le 19 octobre 2018. </w:t>
      </w:r>
      <w:r w:rsidR="00A23B12">
        <w:t>D</w:t>
      </w:r>
      <w:r>
        <w:t xml:space="preserve">es rappels relatifs à la </w:t>
      </w:r>
      <w:r w:rsidRPr="00605E33">
        <w:t xml:space="preserve">soumission ont été envoyés par </w:t>
      </w:r>
      <w:r w:rsidR="00A23B12">
        <w:t>courriel</w:t>
      </w:r>
      <w:r w:rsidRPr="00605E33">
        <w:t xml:space="preserve"> aux ONG accréditées et aux États parties </w:t>
      </w:r>
      <w:r w:rsidR="00A23B12">
        <w:t>le 12 </w:t>
      </w:r>
      <w:r w:rsidR="003C1ECD">
        <w:t>octobre </w:t>
      </w:r>
      <w:r w:rsidRPr="00605E33">
        <w:t xml:space="preserve">2018 ; la date limite a également été </w:t>
      </w:r>
      <w:r w:rsidR="00A23B12">
        <w:t>rappelée</w:t>
      </w:r>
      <w:r w:rsidRPr="00605E33">
        <w:t xml:space="preserve"> dans un article publié le 15 octobre 2018 sur le site Internet de la Convention et sur celui du </w:t>
      </w:r>
      <w:r w:rsidR="00640E56">
        <w:t>Forum des ONG-PCI.</w:t>
      </w:r>
      <w:r w:rsidRPr="00605E33">
        <w:t xml:space="preserve"> À la date de rédaction du présent document, les questionnaires soumis sont actuellement en cours d</w:t>
      </w:r>
      <w:r w:rsidR="00CC62B7">
        <w:t>’</w:t>
      </w:r>
      <w:r w:rsidRPr="00605E33">
        <w:t>analyse au sein du Secrétariat</w:t>
      </w:r>
      <w:r>
        <w:t>.</w:t>
      </w:r>
    </w:p>
    <w:p w14:paraId="4B4579C5" w14:textId="2295E52D" w:rsidR="00E01FFE" w:rsidRPr="00803E6E" w:rsidRDefault="003F5DA6" w:rsidP="00FE11DF">
      <w:pPr>
        <w:pStyle w:val="COMPara"/>
        <w:keepNext/>
        <w:numPr>
          <w:ilvl w:val="0"/>
          <w:numId w:val="0"/>
        </w:numPr>
        <w:spacing w:before="120"/>
        <w:ind w:left="567"/>
        <w:jc w:val="both"/>
        <w:rPr>
          <w:b/>
          <w:i/>
        </w:rPr>
      </w:pPr>
      <w:r>
        <w:rPr>
          <w:b/>
          <w:i/>
        </w:rPr>
        <w:t>Treizième session du Comité (2</w:t>
      </w:r>
      <w:r w:rsidR="00CC5BC1">
        <w:rPr>
          <w:b/>
          <w:i/>
        </w:rPr>
        <w:t>6</w:t>
      </w:r>
      <w:r>
        <w:rPr>
          <w:b/>
          <w:i/>
        </w:rPr>
        <w:t> novembre</w:t>
      </w:r>
      <w:r w:rsidR="003C1ECD">
        <w:rPr>
          <w:b/>
          <w:i/>
        </w:rPr>
        <w:t xml:space="preserve"> – </w:t>
      </w:r>
      <w:r>
        <w:rPr>
          <w:b/>
          <w:i/>
        </w:rPr>
        <w:t>1er décembre 2018)</w:t>
      </w:r>
    </w:p>
    <w:p w14:paraId="56B6E77F" w14:textId="095784AC" w:rsidR="00803E6E" w:rsidRPr="00BE7A34" w:rsidRDefault="006429B8" w:rsidP="00FE11DF">
      <w:pPr>
        <w:tabs>
          <w:tab w:val="left" w:pos="-20"/>
        </w:tabs>
        <w:spacing w:after="120"/>
        <w:ind w:left="567"/>
        <w:jc w:val="both"/>
        <w:rPr>
          <w:rFonts w:ascii="Arial" w:hAnsi="Arial" w:cs="Arial"/>
          <w:sz w:val="22"/>
          <w:szCs w:val="22"/>
        </w:rPr>
      </w:pPr>
      <w:r>
        <w:rPr>
          <w:rFonts w:ascii="Arial" w:hAnsi="Arial"/>
          <w:sz w:val="22"/>
          <w:szCs w:val="22"/>
        </w:rPr>
        <w:t>Lors de la treizième session, le Secrétariat présentera au Comité les différentes étapes du processus de consultation, ainsi que les données et les observations initiales concernant la participation des ONG accréditées et des États parties à la consultation par voie électronique.</w:t>
      </w:r>
    </w:p>
    <w:p w14:paraId="243CDEF3" w14:textId="6A8BAA70" w:rsidR="00803E6E" w:rsidRPr="00803E6E" w:rsidRDefault="00803E6E" w:rsidP="00FE11DF">
      <w:pPr>
        <w:pStyle w:val="COMPara"/>
        <w:keepNext/>
        <w:numPr>
          <w:ilvl w:val="0"/>
          <w:numId w:val="0"/>
        </w:numPr>
        <w:spacing w:before="120"/>
        <w:ind w:left="567"/>
        <w:jc w:val="both"/>
        <w:rPr>
          <w:b/>
          <w:i/>
        </w:rPr>
      </w:pPr>
      <w:r>
        <w:rPr>
          <w:b/>
          <w:i/>
        </w:rPr>
        <w:t xml:space="preserve">Réunion </w:t>
      </w:r>
      <w:r w:rsidR="00A23B12">
        <w:rPr>
          <w:b/>
          <w:i/>
        </w:rPr>
        <w:t>de</w:t>
      </w:r>
      <w:r>
        <w:rPr>
          <w:b/>
          <w:i/>
        </w:rPr>
        <w:t xml:space="preserve"> consultation (printemps 2019)</w:t>
      </w:r>
    </w:p>
    <w:p w14:paraId="13E8A254" w14:textId="14B456FE" w:rsidR="003F5DA6" w:rsidRDefault="006429B8" w:rsidP="00FE11DF">
      <w:pPr>
        <w:pStyle w:val="COMPara"/>
        <w:numPr>
          <w:ilvl w:val="0"/>
          <w:numId w:val="0"/>
        </w:numPr>
        <w:ind w:left="567"/>
        <w:jc w:val="both"/>
      </w:pPr>
      <w:r>
        <w:t xml:space="preserve">Sur la base des résultats de la consultation par voie électronique et des débats du Comité lors de sa treizième session, une réunion </w:t>
      </w:r>
      <w:r w:rsidR="00A23B12">
        <w:t>de</w:t>
      </w:r>
      <w:r>
        <w:t xml:space="preserve"> consultation est prévue pour le printemps 2019 au siège de l</w:t>
      </w:r>
      <w:r w:rsidR="00CC62B7">
        <w:t>’</w:t>
      </w:r>
      <w:r>
        <w:t>UNESCO, dans le but de discuter de la redéfinition du système d</w:t>
      </w:r>
      <w:r w:rsidR="00CC62B7">
        <w:t>’</w:t>
      </w:r>
      <w:r>
        <w:t xml:space="preserve">accréditation actuel des ONG. Cette réunion, qui rassemblera des représentants du </w:t>
      </w:r>
      <w:r w:rsidR="001A6A0E">
        <w:t xml:space="preserve">Forum des ONG-PCI </w:t>
      </w:r>
      <w:r>
        <w:t xml:space="preserve">et du groupe de travail informel ad hoc, servira principalement à définir certaines des fonctions des ONG, qui pourraient être prises en compte dans </w:t>
      </w:r>
      <w:r w:rsidR="00A23B12">
        <w:t>d</w:t>
      </w:r>
      <w:r>
        <w:t>es critères d</w:t>
      </w:r>
      <w:r w:rsidR="00CC62B7">
        <w:t>’</w:t>
      </w:r>
      <w:r>
        <w:t>accréditation révisés et d</w:t>
      </w:r>
      <w:r w:rsidR="00CC62B7">
        <w:t>’</w:t>
      </w:r>
      <w:r>
        <w:t xml:space="preserve">éventuelles fonctions spécifiques pour le </w:t>
      </w:r>
      <w:r w:rsidR="00640E56">
        <w:t>Forum des ONG-PCI.</w:t>
      </w:r>
    </w:p>
    <w:p w14:paraId="6E097565" w14:textId="1E26624B" w:rsidR="00803E6E" w:rsidRPr="00803E6E" w:rsidRDefault="00803E6E" w:rsidP="00FE11DF">
      <w:pPr>
        <w:pStyle w:val="COMPara"/>
        <w:keepNext/>
        <w:numPr>
          <w:ilvl w:val="0"/>
          <w:numId w:val="0"/>
        </w:numPr>
        <w:spacing w:before="120"/>
        <w:ind w:left="567"/>
        <w:jc w:val="both"/>
        <w:rPr>
          <w:b/>
          <w:i/>
        </w:rPr>
      </w:pPr>
      <w:r>
        <w:rPr>
          <w:b/>
          <w:i/>
        </w:rPr>
        <w:t>Quatorzième session du Comité (novembre</w:t>
      </w:r>
      <w:r w:rsidR="003C1ECD">
        <w:rPr>
          <w:b/>
          <w:i/>
        </w:rPr>
        <w:t xml:space="preserve"> – </w:t>
      </w:r>
      <w:r>
        <w:rPr>
          <w:b/>
          <w:i/>
        </w:rPr>
        <w:t>décembre 2019)</w:t>
      </w:r>
    </w:p>
    <w:p w14:paraId="0380B461" w14:textId="7C8C3E19" w:rsidR="003F5DA6" w:rsidRPr="001F4C04" w:rsidRDefault="00CD6A0A" w:rsidP="00FE11DF">
      <w:pPr>
        <w:pStyle w:val="COMPara"/>
        <w:numPr>
          <w:ilvl w:val="0"/>
          <w:numId w:val="0"/>
        </w:numPr>
        <w:ind w:left="567"/>
        <w:jc w:val="both"/>
      </w:pPr>
      <w:r>
        <w:t xml:space="preserve">Lors de la quatorzième session du Comité </w:t>
      </w:r>
      <w:r w:rsidR="00A23B12">
        <w:t xml:space="preserve">qui se tiendra </w:t>
      </w:r>
      <w:r>
        <w:t xml:space="preserve">organisée en novembre – décembre 2019, le Secrétariat rapportera au Comité les résultats de la réunion </w:t>
      </w:r>
      <w:r w:rsidR="00A23B12">
        <w:t>de</w:t>
      </w:r>
      <w:r>
        <w:t xml:space="preserve"> consultation. Si le nouveau système d</w:t>
      </w:r>
      <w:r w:rsidR="00CC62B7">
        <w:t>’</w:t>
      </w:r>
      <w:r>
        <w:t xml:space="preserve">accréditation des ONG proposé nécessite </w:t>
      </w:r>
      <w:r w:rsidR="00A23B12">
        <w:t xml:space="preserve">une </w:t>
      </w:r>
      <w:r>
        <w:t xml:space="preserve">révision des Directives opérationnelles, le Comité souhaitera peut-être en discuter lors de </w:t>
      </w:r>
      <w:r w:rsidR="00A23B12">
        <w:t xml:space="preserve">cette </w:t>
      </w:r>
      <w:r>
        <w:t xml:space="preserve">quatorzième session, afin de soumettre éventuellement </w:t>
      </w:r>
      <w:r w:rsidR="00A23B12">
        <w:t>un projet de</w:t>
      </w:r>
      <w:r>
        <w:t xml:space="preserve"> Directives opérationnelles révisées </w:t>
      </w:r>
      <w:r w:rsidR="00A23B12">
        <w:t>à</w:t>
      </w:r>
      <w:r>
        <w:t xml:space="preserve"> la huitième session de l</w:t>
      </w:r>
      <w:r w:rsidR="00CC62B7">
        <w:t>’</w:t>
      </w:r>
      <w:r>
        <w:t>Assemblée géné</w:t>
      </w:r>
      <w:r w:rsidR="003C1ECD">
        <w:t>rale des États parties en 2020.</w:t>
      </w:r>
    </w:p>
    <w:p w14:paraId="47E43EB1" w14:textId="200957C7" w:rsidR="002322A4" w:rsidRPr="00A307C9" w:rsidRDefault="002322A4" w:rsidP="00FE11DF">
      <w:pPr>
        <w:pStyle w:val="ListParagraph"/>
        <w:numPr>
          <w:ilvl w:val="0"/>
          <w:numId w:val="5"/>
        </w:numPr>
        <w:spacing w:before="200" w:after="120"/>
        <w:ind w:left="567" w:hanging="567"/>
        <w:jc w:val="both"/>
        <w:rPr>
          <w:rFonts w:ascii="Arial" w:hAnsi="Arial" w:cs="Arial"/>
          <w:b/>
          <w:sz w:val="22"/>
          <w:szCs w:val="22"/>
        </w:rPr>
      </w:pPr>
      <w:r>
        <w:rPr>
          <w:rFonts w:ascii="Arial" w:hAnsi="Arial"/>
          <w:b/>
          <w:sz w:val="22"/>
          <w:szCs w:val="22"/>
        </w:rPr>
        <w:t>Observations initiales issues de la consultation par voie électronique concernant le rôle des ONG</w:t>
      </w:r>
      <w:r w:rsidR="003C1ECD">
        <w:rPr>
          <w:rFonts w:ascii="Arial" w:hAnsi="Arial"/>
          <w:b/>
          <w:sz w:val="22"/>
          <w:szCs w:val="22"/>
        </w:rPr>
        <w:t xml:space="preserve"> accréditées dans la Convention</w:t>
      </w:r>
    </w:p>
    <w:p w14:paraId="57D71069" w14:textId="27356D49" w:rsidR="00313585" w:rsidRDefault="00CD6A0A" w:rsidP="00FE11DF">
      <w:pPr>
        <w:pStyle w:val="COMPara"/>
        <w:numPr>
          <w:ilvl w:val="3"/>
          <w:numId w:val="2"/>
        </w:numPr>
        <w:spacing w:after="100"/>
        <w:ind w:left="567" w:hanging="567"/>
        <w:jc w:val="both"/>
      </w:pPr>
      <w:r>
        <w:t>Aux fins de la consultation par voie électronique sur le rôle des ONG accréditées dans la Convention, le questionnaire d</w:t>
      </w:r>
      <w:r w:rsidR="00CC62B7">
        <w:t>’</w:t>
      </w:r>
      <w:r>
        <w:t>enquête (</w:t>
      </w:r>
      <w:r w:rsidR="003C1ECD">
        <w:t xml:space="preserve">document </w:t>
      </w:r>
      <w:hyperlink r:id="rId18" w:history="1">
        <w:r w:rsidRPr="00605E33">
          <w:rPr>
            <w:rStyle w:val="Hyperlink"/>
          </w:rPr>
          <w:t>ITH/18/NGO/2</w:t>
        </w:r>
      </w:hyperlink>
      <w:r>
        <w:t>) envoyé à l</w:t>
      </w:r>
      <w:r w:rsidR="00CC62B7">
        <w:t>’</w:t>
      </w:r>
      <w:r>
        <w:t>ensemble des ONG accréditées et des États parties en septembre 2018 a été élaboré sur la base</w:t>
      </w:r>
      <w:r w:rsidR="00D704BC">
        <w:t xml:space="preserve"> des</w:t>
      </w:r>
      <w:r>
        <w:t> : (i) problèmes identifiés par le Secrétariat dans son rapport sur le profil des ONG accréditées pour exercer une fonction consultative auprès du Comité et sur la nature de leur travail</w:t>
      </w:r>
      <w:r w:rsidR="00D704BC">
        <w:t>,</w:t>
      </w:r>
      <w:r>
        <w:t xml:space="preserve"> présenté au Comité lors de sa huitième session en 2013 (</w:t>
      </w:r>
      <w:r w:rsidR="003C1ECD">
        <w:t xml:space="preserve">document </w:t>
      </w:r>
      <w:hyperlink r:id="rId19" w:history="1">
        <w:r>
          <w:rPr>
            <w:rStyle w:val="Hyperlink"/>
          </w:rPr>
          <w:t>ITH/13/8.COM/14.b</w:t>
        </w:r>
      </w:hyperlink>
      <w:r>
        <w:t>) et dans le document de travail sur l</w:t>
      </w:r>
      <w:r w:rsidR="00CC62B7">
        <w:t>’</w:t>
      </w:r>
      <w:r>
        <w:t>accréditation de nouvelles ONG et sur l</w:t>
      </w:r>
      <w:r w:rsidR="00CC62B7">
        <w:t>’</w:t>
      </w:r>
      <w:r>
        <w:t>examen des ONG accréditées</w:t>
      </w:r>
      <w:r w:rsidR="00D704BC">
        <w:t>,</w:t>
      </w:r>
      <w:r>
        <w:t xml:space="preserve"> présenté au Comité lors de sa douzième session en 2017 (</w:t>
      </w:r>
      <w:r w:rsidR="003C1ECD">
        <w:t>document</w:t>
      </w:r>
      <w:r w:rsidR="00F45290">
        <w:t> </w:t>
      </w:r>
      <w:hyperlink r:id="rId20" w:history="1">
        <w:r>
          <w:rPr>
            <w:rStyle w:val="Hyperlink"/>
          </w:rPr>
          <w:t>ITH/17/12.COM/17</w:t>
        </w:r>
      </w:hyperlink>
      <w:r>
        <w:t>) ; (ii) débats de l</w:t>
      </w:r>
      <w:r w:rsidR="00CC62B7">
        <w:t>’</w:t>
      </w:r>
      <w:r>
        <w:t xml:space="preserve">Assemblée générale lors de sa septième session en 2018 et du Comité lors de sa douzième session en 2017 ; (iii) discussions tenues </w:t>
      </w:r>
      <w:r>
        <w:lastRenderedPageBreak/>
        <w:t>lors d</w:t>
      </w:r>
      <w:r w:rsidR="00CC62B7">
        <w:t>’</w:t>
      </w:r>
      <w:r>
        <w:t xml:space="preserve">une réunion du </w:t>
      </w:r>
      <w:r w:rsidR="001A6A0E">
        <w:t xml:space="preserve">Forum des ONG-PCI </w:t>
      </w:r>
      <w:r>
        <w:t xml:space="preserve">sur ce sujet le 7 juin 2018 ; et (iv) des commentaires du </w:t>
      </w:r>
      <w:r w:rsidR="00A23B12">
        <w:t>comité de pilotage</w:t>
      </w:r>
      <w:r>
        <w:t xml:space="preserve"> du </w:t>
      </w:r>
      <w:r w:rsidR="001A6A0E">
        <w:t xml:space="preserve">Forum des ONG-PCI </w:t>
      </w:r>
      <w:r>
        <w:t>sur l</w:t>
      </w:r>
      <w:r w:rsidR="00D704BC">
        <w:t>e projet</w:t>
      </w:r>
      <w:r>
        <w:t xml:space="preserve"> de questionnaire fourni</w:t>
      </w:r>
      <w:r w:rsidR="00D704BC">
        <w:t>s</w:t>
      </w:r>
      <w:r>
        <w:t xml:space="preserve"> en août 2018.</w:t>
      </w:r>
    </w:p>
    <w:p w14:paraId="1C3884CF" w14:textId="60C3CBB8" w:rsidR="00E870F2" w:rsidRDefault="00CD0589" w:rsidP="004A67EC">
      <w:pPr>
        <w:pStyle w:val="COMPara"/>
        <w:numPr>
          <w:ilvl w:val="3"/>
          <w:numId w:val="2"/>
        </w:numPr>
        <w:spacing w:after="0"/>
        <w:ind w:left="567" w:hanging="567"/>
        <w:jc w:val="both"/>
      </w:pPr>
      <w:r>
        <w:t>Le questionnaire d</w:t>
      </w:r>
      <w:r w:rsidR="00CC62B7">
        <w:t>’</w:t>
      </w:r>
      <w:r>
        <w:t>enquête contient vingt-deux questions structurées autour de cinq thèmes</w:t>
      </w:r>
      <w:r w:rsidR="00D704BC" w:rsidRPr="00D704BC">
        <w:t xml:space="preserve"> </w:t>
      </w:r>
      <w:r w:rsidR="00D704BC">
        <w:t>principaux</w:t>
      </w:r>
      <w:r>
        <w:t> :</w:t>
      </w:r>
    </w:p>
    <w:p w14:paraId="47576389" w14:textId="72AB638A" w:rsidR="00811B50" w:rsidRPr="00CD0589" w:rsidRDefault="00811B50" w:rsidP="004A67EC">
      <w:pPr>
        <w:pStyle w:val="COMPara"/>
        <w:numPr>
          <w:ilvl w:val="5"/>
          <w:numId w:val="2"/>
        </w:numPr>
        <w:ind w:left="1134" w:hanging="567"/>
        <w:contextualSpacing/>
        <w:rPr>
          <w:rStyle w:val="Strong"/>
        </w:rPr>
      </w:pPr>
      <w:r>
        <w:rPr>
          <w:rStyle w:val="Strong"/>
        </w:rPr>
        <w:t>Le partage d</w:t>
      </w:r>
      <w:r w:rsidR="00CC62B7">
        <w:rPr>
          <w:rStyle w:val="Strong"/>
        </w:rPr>
        <w:t>’</w:t>
      </w:r>
      <w:r>
        <w:rPr>
          <w:rStyle w:val="Strong"/>
        </w:rPr>
        <w:t xml:space="preserve">expériences </w:t>
      </w:r>
      <w:r w:rsidR="00D704BC">
        <w:rPr>
          <w:rStyle w:val="Strong"/>
        </w:rPr>
        <w:t xml:space="preserve">concernant le </w:t>
      </w:r>
      <w:r>
        <w:rPr>
          <w:rStyle w:val="Strong"/>
        </w:rPr>
        <w:t>système d</w:t>
      </w:r>
      <w:r w:rsidR="00CC62B7">
        <w:rPr>
          <w:rStyle w:val="Strong"/>
        </w:rPr>
        <w:t>’</w:t>
      </w:r>
      <w:r>
        <w:rPr>
          <w:rStyle w:val="Strong"/>
        </w:rPr>
        <w:t>accréditation actuel des ONG</w:t>
      </w:r>
    </w:p>
    <w:p w14:paraId="0231A4B4" w14:textId="3416A33D" w:rsidR="00811B50" w:rsidRPr="00CD0589" w:rsidRDefault="00811B50" w:rsidP="004A67EC">
      <w:pPr>
        <w:pStyle w:val="COMPara"/>
        <w:numPr>
          <w:ilvl w:val="5"/>
          <w:numId w:val="2"/>
        </w:numPr>
        <w:ind w:left="1134" w:hanging="567"/>
        <w:contextualSpacing/>
        <w:rPr>
          <w:rStyle w:val="Strong"/>
        </w:rPr>
      </w:pPr>
      <w:r>
        <w:rPr>
          <w:rStyle w:val="Strong"/>
        </w:rPr>
        <w:t>L</w:t>
      </w:r>
      <w:r w:rsidR="00CC62B7">
        <w:rPr>
          <w:rStyle w:val="Strong"/>
        </w:rPr>
        <w:t>’</w:t>
      </w:r>
      <w:r>
        <w:rPr>
          <w:rStyle w:val="Strong"/>
        </w:rPr>
        <w:t>identification de fonctions consultatives potentielles des ONG au niveau international</w:t>
      </w:r>
    </w:p>
    <w:p w14:paraId="6997613B" w14:textId="6381299C" w:rsidR="00811B50" w:rsidRPr="00CD0589" w:rsidRDefault="00811B50" w:rsidP="004A67EC">
      <w:pPr>
        <w:pStyle w:val="COMPara"/>
        <w:numPr>
          <w:ilvl w:val="5"/>
          <w:numId w:val="2"/>
        </w:numPr>
        <w:ind w:left="1134" w:hanging="567"/>
        <w:contextualSpacing/>
        <w:rPr>
          <w:rStyle w:val="Strong"/>
        </w:rPr>
      </w:pPr>
      <w:r>
        <w:rPr>
          <w:rStyle w:val="Strong"/>
        </w:rPr>
        <w:t>L</w:t>
      </w:r>
      <w:r w:rsidR="00CC62B7">
        <w:rPr>
          <w:rStyle w:val="Strong"/>
        </w:rPr>
        <w:t>’</w:t>
      </w:r>
      <w:r>
        <w:rPr>
          <w:rStyle w:val="Strong"/>
        </w:rPr>
        <w:t>identification de fonctions consultatives potentielles des ONG au niveau national</w:t>
      </w:r>
    </w:p>
    <w:p w14:paraId="78A0C205" w14:textId="6D262654" w:rsidR="00811B50" w:rsidRPr="00CD0589" w:rsidRDefault="00811B50" w:rsidP="004A67EC">
      <w:pPr>
        <w:pStyle w:val="COMPara"/>
        <w:numPr>
          <w:ilvl w:val="5"/>
          <w:numId w:val="2"/>
        </w:numPr>
        <w:ind w:left="1134" w:hanging="567"/>
        <w:contextualSpacing/>
        <w:rPr>
          <w:rStyle w:val="Strong"/>
        </w:rPr>
      </w:pPr>
      <w:r>
        <w:rPr>
          <w:rStyle w:val="Strong"/>
        </w:rPr>
        <w:t>La redéfinition du système d</w:t>
      </w:r>
      <w:r w:rsidR="00CC62B7">
        <w:rPr>
          <w:rStyle w:val="Strong"/>
        </w:rPr>
        <w:t>’</w:t>
      </w:r>
      <w:r>
        <w:rPr>
          <w:rStyle w:val="Strong"/>
        </w:rPr>
        <w:t>accréditation des ONG</w:t>
      </w:r>
    </w:p>
    <w:p w14:paraId="434E915E" w14:textId="11A80DAF" w:rsidR="00811B50" w:rsidRPr="00CD0589" w:rsidRDefault="00811B50" w:rsidP="00FE11DF">
      <w:pPr>
        <w:pStyle w:val="COMPara"/>
        <w:numPr>
          <w:ilvl w:val="5"/>
          <w:numId w:val="2"/>
        </w:numPr>
        <w:spacing w:after="100"/>
        <w:ind w:left="1134" w:hanging="567"/>
      </w:pPr>
      <w:r>
        <w:rPr>
          <w:rStyle w:val="Strong"/>
        </w:rPr>
        <w:t>La définition du rôle du Forum</w:t>
      </w:r>
      <w:r w:rsidR="00D704BC">
        <w:rPr>
          <w:rStyle w:val="Strong"/>
        </w:rPr>
        <w:t xml:space="preserve"> des</w:t>
      </w:r>
      <w:r>
        <w:rPr>
          <w:rStyle w:val="Strong"/>
        </w:rPr>
        <w:t xml:space="preserve"> ONG-PCI</w:t>
      </w:r>
    </w:p>
    <w:p w14:paraId="431BA8E6" w14:textId="7DC3990A" w:rsidR="00E870F2" w:rsidRDefault="00CD0589" w:rsidP="00FE11DF">
      <w:pPr>
        <w:pStyle w:val="COMPara"/>
        <w:numPr>
          <w:ilvl w:val="3"/>
          <w:numId w:val="2"/>
        </w:numPr>
        <w:spacing w:after="100"/>
        <w:ind w:left="567" w:hanging="567"/>
        <w:jc w:val="both"/>
      </w:pPr>
      <w:r>
        <w:t xml:space="preserve">Entre le 7 septembre et le 19 octobre 2018, </w:t>
      </w:r>
      <w:r w:rsidR="00605E33">
        <w:t xml:space="preserve">65 </w:t>
      </w:r>
      <w:r>
        <w:t xml:space="preserve">ONG accréditées </w:t>
      </w:r>
      <w:r w:rsidRPr="00D704BC">
        <w:t>(</w:t>
      </w:r>
      <w:r w:rsidR="00605E33" w:rsidRPr="000D43D6">
        <w:t xml:space="preserve">37 </w:t>
      </w:r>
      <w:r w:rsidRPr="000D43D6">
        <w:t>pour cent</w:t>
      </w:r>
      <w:r w:rsidRPr="00D704BC">
        <w:t xml:space="preserve"> des ONG accréditées) et </w:t>
      </w:r>
      <w:r w:rsidR="00605E33" w:rsidRPr="00D704BC">
        <w:t xml:space="preserve">33 </w:t>
      </w:r>
      <w:r w:rsidRPr="00D704BC">
        <w:t>États parties (</w:t>
      </w:r>
      <w:r w:rsidR="00605E33" w:rsidRPr="000D43D6">
        <w:t xml:space="preserve">19 </w:t>
      </w:r>
      <w:r w:rsidRPr="000D43D6">
        <w:t>pour cent</w:t>
      </w:r>
      <w:r w:rsidRPr="00D704BC">
        <w:t xml:space="preserve"> des États parties) ont répondu à la consultation par voie électronique. Bien que les contributions soient encore en cours d</w:t>
      </w:r>
      <w:r w:rsidR="00CC62B7" w:rsidRPr="00D704BC">
        <w:t>’</w:t>
      </w:r>
      <w:r w:rsidRPr="00D704BC">
        <w:t>analyse</w:t>
      </w:r>
      <w:r>
        <w:t xml:space="preserve"> à la date de rédaction de ce document, quelques données initiales peuvent être présentées ci-après. Les autres données </w:t>
      </w:r>
      <w:r w:rsidR="00B76D8E">
        <w:t xml:space="preserve">substantielles </w:t>
      </w:r>
      <w:r>
        <w:t xml:space="preserve">recueillies lors de la consultation électronique seront </w:t>
      </w:r>
      <w:r w:rsidR="00DD14B4">
        <w:t>prises</w:t>
      </w:r>
      <w:r w:rsidR="00D704BC">
        <w:t xml:space="preserve"> en compte dans la préparation des</w:t>
      </w:r>
      <w:r>
        <w:t xml:space="preserve"> documents de travail de la réunion </w:t>
      </w:r>
      <w:r w:rsidR="00B76D8E">
        <w:t>de</w:t>
      </w:r>
      <w:r>
        <w:t xml:space="preserve"> consultation, qui aura lieu en 2019.</w:t>
      </w:r>
    </w:p>
    <w:p w14:paraId="0DD28C78" w14:textId="7C85AA1E" w:rsidR="006612D0" w:rsidRDefault="00645C52" w:rsidP="00FE11DF">
      <w:pPr>
        <w:pStyle w:val="COMPara"/>
        <w:numPr>
          <w:ilvl w:val="3"/>
          <w:numId w:val="2"/>
        </w:numPr>
        <w:spacing w:after="100"/>
        <w:ind w:left="567" w:hanging="567"/>
        <w:jc w:val="both"/>
      </w:pPr>
      <w:r>
        <w:t>La répartition géographique des ONG accréditées et des États parties participants est la suivante :</w:t>
      </w:r>
    </w:p>
    <w:p w14:paraId="29CAAD8B" w14:textId="5AEBB370" w:rsidR="000D5702" w:rsidRPr="00FE11DF" w:rsidRDefault="000D5702" w:rsidP="00FE11DF">
      <w:pPr>
        <w:pStyle w:val="COMPara"/>
        <w:numPr>
          <w:ilvl w:val="0"/>
          <w:numId w:val="0"/>
        </w:numPr>
        <w:spacing w:after="60"/>
        <w:ind w:left="567"/>
        <w:jc w:val="both"/>
      </w:pPr>
      <w:r w:rsidRPr="000D5702">
        <w:rPr>
          <w:b/>
          <w:noProof/>
          <w:color w:val="000000"/>
          <w:lang w:val="en-US" w:eastAsia="ko-KR"/>
        </w:rPr>
        <w:drawing>
          <wp:inline distT="0" distB="0" distL="0" distR="0" wp14:anchorId="1F4FA854" wp14:editId="62F5C077">
            <wp:extent cx="5762625" cy="2844000"/>
            <wp:effectExtent l="0" t="0" r="9525" b="139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02BA2BB" w14:textId="2E0A0E53" w:rsidR="000D5702" w:rsidRPr="000D5702" w:rsidRDefault="000D5702" w:rsidP="00FE11DF">
      <w:pPr>
        <w:pStyle w:val="COMPara"/>
        <w:numPr>
          <w:ilvl w:val="0"/>
          <w:numId w:val="0"/>
        </w:numPr>
        <w:ind w:left="567"/>
        <w:jc w:val="both"/>
      </w:pPr>
      <w:r w:rsidRPr="00EB65BB">
        <w:rPr>
          <w:b/>
          <w:noProof/>
          <w:lang w:val="en-US" w:eastAsia="ko-KR"/>
        </w:rPr>
        <w:drawing>
          <wp:inline distT="0" distB="0" distL="0" distR="0" wp14:anchorId="52D441B8" wp14:editId="75108C87">
            <wp:extent cx="5762625" cy="2844000"/>
            <wp:effectExtent l="0" t="0" r="9525" b="139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91FE686" w14:textId="2A4977E6" w:rsidR="00C2323C" w:rsidRDefault="00683CD8" w:rsidP="000D43D6">
      <w:pPr>
        <w:pStyle w:val="COMPara"/>
        <w:keepLines/>
        <w:numPr>
          <w:ilvl w:val="3"/>
          <w:numId w:val="2"/>
        </w:numPr>
        <w:ind w:left="567" w:hanging="567"/>
        <w:jc w:val="both"/>
      </w:pPr>
      <w:r>
        <w:lastRenderedPageBreak/>
        <w:t xml:space="preserve">Parmi toutes les ONG accréditées </w:t>
      </w:r>
      <w:r w:rsidR="00A15BD8">
        <w:t>ayant</w:t>
      </w:r>
      <w:r>
        <w:t xml:space="preserve"> participé à la consultation par voie électronique, </w:t>
      </w:r>
      <w:r w:rsidR="009F5EB7" w:rsidRPr="000D43D6">
        <w:t>82</w:t>
      </w:r>
      <w:r w:rsidR="005C5725" w:rsidRPr="000D43D6">
        <w:t> </w:t>
      </w:r>
      <w:r w:rsidRPr="000D43D6">
        <w:t>pour cent</w:t>
      </w:r>
      <w:r w:rsidRPr="00A15BD8">
        <w:t xml:space="preserve"> ont répondu que le système d</w:t>
      </w:r>
      <w:r w:rsidR="00CC62B7" w:rsidRPr="00A15BD8">
        <w:t>’</w:t>
      </w:r>
      <w:r w:rsidRPr="00A15BD8">
        <w:t xml:space="preserve">accréditation actuel les a aidées dans leur travail, </w:t>
      </w:r>
      <w:r w:rsidR="009F5EB7" w:rsidRPr="000D43D6">
        <w:t>80</w:t>
      </w:r>
      <w:r w:rsidR="005C5725" w:rsidRPr="000D43D6">
        <w:t> </w:t>
      </w:r>
      <w:r w:rsidRPr="000D43D6">
        <w:t>pour cent</w:t>
      </w:r>
      <w:r w:rsidRPr="00A15BD8">
        <w:t xml:space="preserve"> </w:t>
      </w:r>
      <w:r w:rsidR="009F5EB7" w:rsidRPr="00A15BD8">
        <w:t>affirmant</w:t>
      </w:r>
      <w:r w:rsidRPr="00A15BD8">
        <w:t xml:space="preserve"> que le système les a aidées de la façon attendue</w:t>
      </w:r>
      <w:r w:rsidR="009F5EB7" w:rsidRPr="00A15BD8">
        <w:t>.</w:t>
      </w:r>
      <w:r w:rsidRPr="00A15BD8">
        <w:t xml:space="preserve"> </w:t>
      </w:r>
      <w:r w:rsidR="009F5EB7" w:rsidRPr="000D43D6">
        <w:t>62</w:t>
      </w:r>
      <w:r w:rsidR="005C5725" w:rsidRPr="000D43D6">
        <w:t> </w:t>
      </w:r>
      <w:r w:rsidRPr="000D43D6">
        <w:t>pour cent</w:t>
      </w:r>
      <w:r w:rsidRPr="00A15BD8">
        <w:t xml:space="preserve"> </w:t>
      </w:r>
      <w:r w:rsidR="009F5EB7" w:rsidRPr="00A15BD8">
        <w:t xml:space="preserve">des ONG accréditées ayant participé à la consultation </w:t>
      </w:r>
      <w:r w:rsidRPr="00A15BD8">
        <w:t>particip</w:t>
      </w:r>
      <w:r w:rsidR="001A6A0E" w:rsidRPr="00A15BD8">
        <w:t>ent</w:t>
      </w:r>
      <w:r w:rsidRPr="00A15BD8">
        <w:t xml:space="preserve"> activement au </w:t>
      </w:r>
      <w:r w:rsidR="00640E56" w:rsidRPr="00A15BD8">
        <w:t>Forum des ONG-PCI.</w:t>
      </w:r>
      <w:r w:rsidR="005C5725" w:rsidRPr="00CF0DA6">
        <w:rPr>
          <w:bCs/>
        </w:rPr>
        <w:t xml:space="preserve"> </w:t>
      </w:r>
      <w:r w:rsidR="00FC7057" w:rsidRPr="00A15BD8">
        <w:t>E</w:t>
      </w:r>
      <w:r w:rsidR="009F5EB7" w:rsidRPr="00A15BD8">
        <w:t xml:space="preserve">nviron </w:t>
      </w:r>
      <w:r w:rsidRPr="00A15BD8">
        <w:t xml:space="preserve">la </w:t>
      </w:r>
      <w:r w:rsidR="009F5EB7" w:rsidRPr="00A15BD8">
        <w:t xml:space="preserve">moitié </w:t>
      </w:r>
      <w:r w:rsidRPr="00A15BD8">
        <w:t>des entités interrogées</w:t>
      </w:r>
      <w:r w:rsidR="005C5725" w:rsidRPr="00A15BD8">
        <w:t xml:space="preserve"> (y compris les ONG accréditées et les</w:t>
      </w:r>
      <w:r w:rsidR="005C5725">
        <w:t xml:space="preserve"> États parties)</w:t>
      </w:r>
      <w:r>
        <w:t xml:space="preserve"> considèrent que le système d</w:t>
      </w:r>
      <w:r w:rsidR="00CC62B7">
        <w:t>’</w:t>
      </w:r>
      <w:r>
        <w:t>accréditation devrait tenir compte de la disparité de taille</w:t>
      </w:r>
      <w:r w:rsidR="001A6A0E">
        <w:t>s</w:t>
      </w:r>
      <w:r>
        <w:t xml:space="preserve"> et de capacité</w:t>
      </w:r>
      <w:r w:rsidR="001A6A0E">
        <w:t>s</w:t>
      </w:r>
      <w:r>
        <w:t xml:space="preserve"> des ONG et devrait </w:t>
      </w:r>
      <w:r w:rsidR="001A6A0E">
        <w:t xml:space="preserve">prévoir </w:t>
      </w:r>
      <w:r>
        <w:t>différents types d</w:t>
      </w:r>
      <w:r w:rsidR="00CC62B7">
        <w:t>’</w:t>
      </w:r>
      <w:r>
        <w:t xml:space="preserve">accréditation. </w:t>
      </w:r>
      <w:r w:rsidR="00A15BD8">
        <w:t>U</w:t>
      </w:r>
      <w:r>
        <w:t xml:space="preserve">ne analyse plus approfondie des réponses transmises </w:t>
      </w:r>
      <w:r w:rsidR="00A15BD8">
        <w:t xml:space="preserve">serait néanmoins nécessaire </w:t>
      </w:r>
      <w:r>
        <w:t>pour déterminer le raisonnement à la base de ces opinions.</w:t>
      </w:r>
    </w:p>
    <w:p w14:paraId="5EDB13A8" w14:textId="099A2821" w:rsidR="00E870F2" w:rsidRPr="003F0D49" w:rsidRDefault="00C2323C" w:rsidP="001A6A0E">
      <w:pPr>
        <w:pStyle w:val="COMPara"/>
        <w:numPr>
          <w:ilvl w:val="3"/>
          <w:numId w:val="2"/>
        </w:numPr>
        <w:ind w:left="567" w:hanging="567"/>
        <w:jc w:val="both"/>
      </w:pPr>
      <w:r>
        <w:t>Bien que ces observations reposent uniquement sur les données initiales recueillies et puissent ne refléter que pa</w:t>
      </w:r>
      <w:bookmarkStart w:id="0" w:name="_GoBack"/>
      <w:bookmarkEnd w:id="0"/>
      <w:r>
        <w:t>rtiellement les opinions exprimées par les ONG accréditées et les États parties, elles semblent confirmer les préoccupations exprimées par l</w:t>
      </w:r>
      <w:r w:rsidR="00CC62B7">
        <w:t>’</w:t>
      </w:r>
      <w:r>
        <w:t xml:space="preserve">Assemblée générale, le Comité et le Secrétariat concernant </w:t>
      </w:r>
      <w:r w:rsidR="009F5EB7">
        <w:t xml:space="preserve">la nécessité </w:t>
      </w:r>
      <w:r w:rsidR="005529C6">
        <w:t>d</w:t>
      </w:r>
      <w:r w:rsidR="00CC62B7">
        <w:t>’</w:t>
      </w:r>
      <w:r w:rsidR="005529C6">
        <w:t>examiner</w:t>
      </w:r>
      <w:r w:rsidR="009F5EB7">
        <w:t xml:space="preserve"> et </w:t>
      </w:r>
      <w:r w:rsidR="00FC7057">
        <w:t>de</w:t>
      </w:r>
      <w:r w:rsidR="009F5EB7">
        <w:t xml:space="preserve"> redéfinir le</w:t>
      </w:r>
      <w:r>
        <w:t xml:space="preserve"> système d</w:t>
      </w:r>
      <w:r w:rsidR="00CC62B7">
        <w:t>’</w:t>
      </w:r>
      <w:r>
        <w:t>accréditation actuel. Une analyse en profondeur des données recueillies par le Secrétariat pourrait permettre d</w:t>
      </w:r>
      <w:r w:rsidR="00CC62B7">
        <w:t>’</w:t>
      </w:r>
      <w:r>
        <w:t>identifier les principaux facteurs à prendre en compte lors de la révision du système d</w:t>
      </w:r>
      <w:r w:rsidR="00CC62B7">
        <w:t>’</w:t>
      </w:r>
      <w:r>
        <w:t>accréditation. Cela fera l</w:t>
      </w:r>
      <w:r w:rsidR="00CC62B7">
        <w:t>’</w:t>
      </w:r>
      <w:r>
        <w:t>objet de</w:t>
      </w:r>
      <w:r w:rsidR="00CF0DA6">
        <w:t xml:space="preserve"> nouvelles discussions en 2019.</w:t>
      </w:r>
    </w:p>
    <w:p w14:paraId="26AB16B3" w14:textId="77777777" w:rsidR="00D95C4C" w:rsidRPr="00EA528C" w:rsidRDefault="000B1C8F" w:rsidP="00CF0DA6">
      <w:pPr>
        <w:pStyle w:val="COMPara"/>
        <w:keepNext/>
        <w:numPr>
          <w:ilvl w:val="3"/>
          <w:numId w:val="2"/>
        </w:numPr>
        <w:ind w:left="567" w:hanging="567"/>
        <w:jc w:val="both"/>
      </w:pPr>
      <w:r>
        <w:t>Le Comité souhaitera peut-être adopter la décision suivante :</w:t>
      </w:r>
    </w:p>
    <w:p w14:paraId="0C928C86" w14:textId="307A78F4" w:rsidR="00D95C4C" w:rsidRPr="00FD624F" w:rsidRDefault="004A34A0" w:rsidP="001D14FE">
      <w:pPr>
        <w:pStyle w:val="COMTitleDecision"/>
        <w:rPr>
          <w:rFonts w:eastAsia="SimSun"/>
        </w:rPr>
      </w:pPr>
      <w:r>
        <w:t>PROJET DE DÉCISION 13.COM 13</w:t>
      </w:r>
    </w:p>
    <w:p w14:paraId="6D25ACB2" w14:textId="77777777" w:rsidR="00D95C4C" w:rsidRPr="00285BB4" w:rsidRDefault="00285BB4" w:rsidP="00285BB4">
      <w:pPr>
        <w:pStyle w:val="COMPreambulaDecisions"/>
        <w:rPr>
          <w:rFonts w:eastAsia="SimSun"/>
        </w:rPr>
      </w:pPr>
      <w:r>
        <w:t>Le Comité,</w:t>
      </w:r>
    </w:p>
    <w:p w14:paraId="595F1575" w14:textId="5415A59E" w:rsidR="0057439C" w:rsidRPr="00843D02" w:rsidRDefault="00D95C4C" w:rsidP="001D14FE">
      <w:pPr>
        <w:pStyle w:val="COMParaDecision"/>
        <w:jc w:val="left"/>
      </w:pPr>
      <w:r>
        <w:t>Ayant examiné</w:t>
      </w:r>
      <w:r>
        <w:rPr>
          <w:u w:val="none"/>
        </w:rPr>
        <w:t xml:space="preserve"> le document ITH/18/13.COM/13,</w:t>
      </w:r>
    </w:p>
    <w:p w14:paraId="2FC71FD1" w14:textId="0F079F50" w:rsidR="00843D02" w:rsidRDefault="00843D02" w:rsidP="00843D02">
      <w:pPr>
        <w:pStyle w:val="COMParaDecision"/>
        <w:rPr>
          <w:u w:val="none"/>
        </w:rPr>
      </w:pPr>
      <w:r>
        <w:t>Rappelant</w:t>
      </w:r>
      <w:r>
        <w:rPr>
          <w:u w:val="none"/>
        </w:rPr>
        <w:t xml:space="preserve"> la </w:t>
      </w:r>
      <w:hyperlink r:id="rId23" w:history="1">
        <w:r w:rsidRPr="009F5EB7">
          <w:rPr>
            <w:rStyle w:val="Hyperlink"/>
          </w:rPr>
          <w:t>résolution 7.GA 11</w:t>
        </w:r>
      </w:hyperlink>
      <w:r>
        <w:rPr>
          <w:u w:val="none"/>
        </w:rPr>
        <w:t xml:space="preserve"> et la </w:t>
      </w:r>
      <w:hyperlink r:id="rId24" w:history="1">
        <w:r w:rsidR="00126A11">
          <w:rPr>
            <w:rStyle w:val="Hyperlink"/>
          </w:rPr>
          <w:t>décision 12.COM 17</w:t>
        </w:r>
      </w:hyperlink>
      <w:r>
        <w:rPr>
          <w:u w:val="none"/>
        </w:rPr>
        <w:t>,</w:t>
      </w:r>
    </w:p>
    <w:p w14:paraId="051C6780" w14:textId="1427E77F" w:rsidR="00DC0C8C" w:rsidRDefault="00DC0C8C" w:rsidP="00F372C5">
      <w:pPr>
        <w:pStyle w:val="COMParaDecision"/>
        <w:rPr>
          <w:u w:val="none"/>
        </w:rPr>
      </w:pPr>
      <w:r>
        <w:t>Rappelant en outre</w:t>
      </w:r>
      <w:r>
        <w:rPr>
          <w:u w:val="none"/>
        </w:rPr>
        <w:t xml:space="preserve"> les documents </w:t>
      </w:r>
      <w:hyperlink r:id="rId25" w:history="1">
        <w:r w:rsidRPr="009F5EB7">
          <w:rPr>
            <w:rStyle w:val="Hyperlink"/>
          </w:rPr>
          <w:t>ITH/13/8.COM/14.b</w:t>
        </w:r>
      </w:hyperlink>
      <w:r>
        <w:rPr>
          <w:u w:val="none"/>
        </w:rPr>
        <w:t xml:space="preserve"> et </w:t>
      </w:r>
      <w:hyperlink r:id="rId26" w:history="1">
        <w:r w:rsidRPr="009F5EB7">
          <w:rPr>
            <w:rStyle w:val="Hyperlink"/>
          </w:rPr>
          <w:t>ITH/17/12.COM/17</w:t>
        </w:r>
      </w:hyperlink>
      <w:r>
        <w:rPr>
          <w:u w:val="none"/>
        </w:rPr>
        <w:t xml:space="preserve">, </w:t>
      </w:r>
    </w:p>
    <w:p w14:paraId="067C1960" w14:textId="7D119FB9" w:rsidR="00843D02" w:rsidRPr="00540721" w:rsidRDefault="00843D02" w:rsidP="00DC0C8C">
      <w:pPr>
        <w:pStyle w:val="COMParaDecision"/>
      </w:pPr>
      <w:r>
        <w:t>Prend note</w:t>
      </w:r>
      <w:r>
        <w:rPr>
          <w:u w:val="none"/>
        </w:rPr>
        <w:t xml:space="preserve"> du processus participatif de consultation présenté par le Secrétariat et des observations initiales issues de la consultation par voie électronique sur le rôle des organisations non gouvernementales accréditées dans la Convention ;</w:t>
      </w:r>
    </w:p>
    <w:p w14:paraId="0466ECC6" w14:textId="2658CF92" w:rsidR="00867B2D" w:rsidRPr="00245DDC" w:rsidRDefault="00867B2D" w:rsidP="00DC0C8C">
      <w:pPr>
        <w:pStyle w:val="COMParaDecision"/>
        <w:rPr>
          <w:u w:val="none"/>
        </w:rPr>
      </w:pPr>
      <w:r>
        <w:t>Demande</w:t>
      </w:r>
      <w:r>
        <w:rPr>
          <w:u w:val="none"/>
        </w:rPr>
        <w:t xml:space="preserve"> </w:t>
      </w:r>
      <w:r w:rsidR="00CC5BC1">
        <w:rPr>
          <w:u w:val="none"/>
        </w:rPr>
        <w:t>au</w:t>
      </w:r>
      <w:r>
        <w:rPr>
          <w:u w:val="none"/>
        </w:rPr>
        <w:t xml:space="preserve"> Secrétariat </w:t>
      </w:r>
      <w:r w:rsidR="00CC5BC1">
        <w:rPr>
          <w:u w:val="none"/>
        </w:rPr>
        <w:t xml:space="preserve">de </w:t>
      </w:r>
      <w:r>
        <w:rPr>
          <w:u w:val="none"/>
        </w:rPr>
        <w:t>poursuiv</w:t>
      </w:r>
      <w:r w:rsidR="00CC5BC1">
        <w:rPr>
          <w:u w:val="none"/>
        </w:rPr>
        <w:t>r</w:t>
      </w:r>
      <w:r>
        <w:rPr>
          <w:u w:val="none"/>
        </w:rPr>
        <w:t xml:space="preserve">e la réflexion avec les organisations non gouvernementales accréditées, le </w:t>
      </w:r>
      <w:r w:rsidR="001A6A0E">
        <w:rPr>
          <w:u w:val="none"/>
        </w:rPr>
        <w:t xml:space="preserve">Forum des ONG-PCI </w:t>
      </w:r>
      <w:r>
        <w:rPr>
          <w:u w:val="none"/>
        </w:rPr>
        <w:t xml:space="preserve">et les États parties sur la définition des fonctions consultatives à remplir par les organisations non gouvernementales accréditées et </w:t>
      </w:r>
      <w:r w:rsidR="00CC5BC1">
        <w:rPr>
          <w:u w:val="none"/>
        </w:rPr>
        <w:t>de</w:t>
      </w:r>
      <w:r>
        <w:rPr>
          <w:u w:val="none"/>
        </w:rPr>
        <w:t xml:space="preserve"> présente</w:t>
      </w:r>
      <w:r w:rsidR="00CC5BC1">
        <w:rPr>
          <w:u w:val="none"/>
        </w:rPr>
        <w:t>r</w:t>
      </w:r>
      <w:r>
        <w:rPr>
          <w:u w:val="none"/>
        </w:rPr>
        <w:t xml:space="preserve"> les résultats de cette réflexion et des propositions pour la révision du système d</w:t>
      </w:r>
      <w:r w:rsidR="00CC62B7">
        <w:rPr>
          <w:u w:val="none"/>
        </w:rPr>
        <w:t>’</w:t>
      </w:r>
      <w:r>
        <w:rPr>
          <w:u w:val="none"/>
        </w:rPr>
        <w:t xml:space="preserve">accréditation </w:t>
      </w:r>
      <w:r w:rsidR="00CF0DA6">
        <w:rPr>
          <w:u w:val="none"/>
        </w:rPr>
        <w:t>lors de sa quatorzième session.</w:t>
      </w:r>
    </w:p>
    <w:sectPr w:rsidR="00867B2D" w:rsidRPr="00245DDC" w:rsidSect="00C03AAB">
      <w:headerReference w:type="even" r:id="rId27"/>
      <w:headerReference w:type="default" r:id="rId28"/>
      <w:headerReference w:type="first" r:id="rId29"/>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558E9" w14:textId="77777777" w:rsidR="00C449E1" w:rsidRDefault="00C449E1" w:rsidP="00655736">
      <w:r>
        <w:separator/>
      </w:r>
    </w:p>
  </w:endnote>
  <w:endnote w:type="continuationSeparator" w:id="0">
    <w:p w14:paraId="12E6FC4B" w14:textId="77777777" w:rsidR="00C449E1" w:rsidRDefault="00C449E1"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84271" w14:textId="77777777" w:rsidR="00C449E1" w:rsidRDefault="00C449E1" w:rsidP="00655736">
      <w:r>
        <w:separator/>
      </w:r>
    </w:p>
  </w:footnote>
  <w:footnote w:type="continuationSeparator" w:id="0">
    <w:p w14:paraId="4F927EAA" w14:textId="77777777" w:rsidR="00C449E1" w:rsidRDefault="00C449E1"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07122" w14:textId="15D022A6" w:rsidR="00D95C4C" w:rsidRPr="00C23A97" w:rsidRDefault="00CB0542" w:rsidP="001D14FE">
    <w:pPr>
      <w:pStyle w:val="Header"/>
      <w:rPr>
        <w:rFonts w:ascii="Arial" w:hAnsi="Arial" w:cs="Arial"/>
      </w:rPr>
    </w:pPr>
    <w:r>
      <w:rPr>
        <w:rFonts w:ascii="Arial" w:hAnsi="Arial"/>
        <w:sz w:val="20"/>
        <w:szCs w:val="20"/>
      </w:rPr>
      <w:t xml:space="preserve">ITH/18/13.COM/13 – page </w:t>
    </w:r>
    <w:r w:rsidR="00D95C4C" w:rsidRPr="00C23A97">
      <w:rPr>
        <w:rStyle w:val="PageNumber"/>
        <w:rFonts w:ascii="Arial" w:hAnsi="Arial" w:cs="Arial"/>
        <w:sz w:val="20"/>
        <w:szCs w:val="20"/>
      </w:rPr>
      <w:fldChar w:fldCharType="begin"/>
    </w:r>
    <w:r w:rsidR="00D95C4C" w:rsidRPr="00C23A97">
      <w:rPr>
        <w:rStyle w:val="PageNumber"/>
        <w:rFonts w:ascii="Arial" w:hAnsi="Arial" w:cs="Arial"/>
        <w:sz w:val="20"/>
        <w:szCs w:val="20"/>
      </w:rPr>
      <w:instrText xml:space="preserve"> PAGE </w:instrText>
    </w:r>
    <w:r w:rsidR="00D95C4C" w:rsidRPr="00C23A97">
      <w:rPr>
        <w:rStyle w:val="PageNumber"/>
        <w:rFonts w:ascii="Arial" w:hAnsi="Arial" w:cs="Arial"/>
        <w:sz w:val="20"/>
        <w:szCs w:val="20"/>
      </w:rPr>
      <w:fldChar w:fldCharType="separate"/>
    </w:r>
    <w:r w:rsidR="00987014">
      <w:rPr>
        <w:rStyle w:val="PageNumber"/>
        <w:rFonts w:ascii="Arial" w:hAnsi="Arial" w:cs="Arial"/>
        <w:noProof/>
        <w:sz w:val="20"/>
        <w:szCs w:val="20"/>
      </w:rPr>
      <w:t>4</w:t>
    </w:r>
    <w:r w:rsidR="00D95C4C"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C867A" w14:textId="525129F9" w:rsidR="00C03AAB" w:rsidRPr="00C03AAB" w:rsidRDefault="00C03AAB" w:rsidP="00C03AAB">
    <w:pPr>
      <w:pStyle w:val="Header"/>
      <w:jc w:val="right"/>
      <w:rPr>
        <w:rFonts w:ascii="Arial" w:hAnsi="Arial" w:cs="Arial"/>
      </w:rPr>
    </w:pPr>
    <w:r>
      <w:rPr>
        <w:rFonts w:ascii="Arial" w:hAnsi="Arial"/>
        <w:sz w:val="20"/>
        <w:szCs w:val="20"/>
      </w:rPr>
      <w:t xml:space="preserve">ITH/18/13.COM/13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987014">
      <w:rPr>
        <w:rStyle w:val="PageNumber"/>
        <w:rFonts w:ascii="Arial" w:hAnsi="Arial" w:cs="Arial"/>
        <w:noProof/>
        <w:sz w:val="20"/>
        <w:szCs w:val="20"/>
      </w:rPr>
      <w:t>3</w:t>
    </w:r>
    <w:r w:rsidRPr="00C23A97">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493AA" w14:textId="71002D5D" w:rsidR="00D95C4C" w:rsidRPr="00E95AE2" w:rsidRDefault="00BF7D62">
    <w:pPr>
      <w:pStyle w:val="Header"/>
      <w:rPr>
        <w:sz w:val="22"/>
        <w:szCs w:val="22"/>
      </w:rPr>
    </w:pPr>
    <w:r>
      <w:rPr>
        <w:noProof/>
        <w:lang w:val="en-US" w:eastAsia="ko-KR"/>
      </w:rPr>
      <w:drawing>
        <wp:anchor distT="0" distB="0" distL="114300" distR="114300" simplePos="0" relativeHeight="251661824" behindDoc="0" locked="0" layoutInCell="1" allowOverlap="1" wp14:anchorId="359EC3BC" wp14:editId="04D5DC63">
          <wp:simplePos x="0" y="0"/>
          <wp:positionH relativeFrom="page">
            <wp:posOffset>342265</wp:posOffset>
          </wp:positionH>
          <wp:positionV relativeFrom="page">
            <wp:posOffset>255905</wp:posOffset>
          </wp:positionV>
          <wp:extent cx="2037600" cy="1530000"/>
          <wp:effectExtent l="0" t="0" r="1270" b="0"/>
          <wp:wrapNone/>
          <wp:docPr id="5"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8195F5" w14:textId="77777777" w:rsidR="00D95C4C" w:rsidRPr="00272E27" w:rsidRDefault="00337CEB" w:rsidP="001D14FE">
    <w:pPr>
      <w:pStyle w:val="Header"/>
      <w:spacing w:after="520"/>
      <w:jc w:val="right"/>
      <w:rPr>
        <w:rFonts w:ascii="Arial" w:hAnsi="Arial" w:cs="Arial"/>
        <w:b/>
        <w:sz w:val="44"/>
        <w:szCs w:val="44"/>
        <w:lang w:val="en-US"/>
      </w:rPr>
    </w:pPr>
    <w:r w:rsidRPr="00272E27">
      <w:rPr>
        <w:rFonts w:ascii="Arial" w:hAnsi="Arial"/>
        <w:b/>
        <w:sz w:val="44"/>
        <w:szCs w:val="44"/>
        <w:lang w:val="en-US"/>
      </w:rPr>
      <w:t>13 COM</w:t>
    </w:r>
  </w:p>
  <w:p w14:paraId="0262B080" w14:textId="4E5E0241" w:rsidR="00D95C4C" w:rsidRPr="00272E27" w:rsidRDefault="00337CEB" w:rsidP="001D14FE">
    <w:pPr>
      <w:jc w:val="right"/>
      <w:rPr>
        <w:rFonts w:ascii="Arial" w:hAnsi="Arial" w:cs="Arial"/>
        <w:b/>
        <w:sz w:val="22"/>
        <w:szCs w:val="22"/>
        <w:lang w:val="en-US"/>
      </w:rPr>
    </w:pPr>
    <w:r w:rsidRPr="00272E27">
      <w:rPr>
        <w:rFonts w:ascii="Arial" w:hAnsi="Arial"/>
        <w:b/>
        <w:sz w:val="22"/>
        <w:szCs w:val="22"/>
        <w:lang w:val="en-US"/>
      </w:rPr>
      <w:t>ITH/18/13.COM/13</w:t>
    </w:r>
  </w:p>
  <w:p w14:paraId="1F19BF79" w14:textId="6F913093" w:rsidR="00D95C4C" w:rsidRPr="00272E27" w:rsidRDefault="00D95C4C" w:rsidP="0047660F">
    <w:pPr>
      <w:jc w:val="right"/>
      <w:rPr>
        <w:rFonts w:ascii="Arial" w:eastAsiaTheme="minorEastAsia" w:hAnsi="Arial" w:cs="Arial"/>
        <w:b/>
        <w:sz w:val="22"/>
        <w:szCs w:val="22"/>
        <w:lang w:val="en-US"/>
      </w:rPr>
    </w:pPr>
    <w:r w:rsidRPr="00272E27">
      <w:rPr>
        <w:rFonts w:ascii="Arial" w:hAnsi="Arial"/>
        <w:b/>
        <w:sz w:val="22"/>
        <w:szCs w:val="22"/>
        <w:lang w:val="en-US"/>
      </w:rPr>
      <w:t xml:space="preserve">Paris, le </w:t>
    </w:r>
    <w:r w:rsidR="0047660F">
      <w:rPr>
        <w:rFonts w:ascii="Arial" w:hAnsi="Arial"/>
        <w:b/>
        <w:sz w:val="22"/>
        <w:szCs w:val="22"/>
        <w:lang w:val="en-US"/>
      </w:rPr>
      <w:t xml:space="preserve">25 </w:t>
    </w:r>
    <w:r w:rsidR="0047660F" w:rsidRPr="0047660F">
      <w:rPr>
        <w:rFonts w:ascii="Arial" w:hAnsi="Arial"/>
        <w:b/>
        <w:sz w:val="22"/>
        <w:szCs w:val="22"/>
      </w:rPr>
      <w:t>octobre</w:t>
    </w:r>
    <w:r w:rsidRPr="00272E27">
      <w:rPr>
        <w:rFonts w:ascii="Arial" w:hAnsi="Arial"/>
        <w:b/>
        <w:sz w:val="22"/>
        <w:szCs w:val="22"/>
        <w:lang w:val="en-US"/>
      </w:rPr>
      <w:t> 2018</w:t>
    </w:r>
  </w:p>
  <w:p w14:paraId="39D33570" w14:textId="77777777" w:rsidR="00D95C4C" w:rsidRPr="00F32C23" w:rsidRDefault="00D95C4C" w:rsidP="000048ED">
    <w:pPr>
      <w:jc w:val="right"/>
      <w:rPr>
        <w:rFonts w:ascii="Arial" w:hAnsi="Arial" w:cs="Arial"/>
        <w:b/>
        <w:sz w:val="22"/>
        <w:szCs w:val="22"/>
      </w:rPr>
    </w:pPr>
    <w:r>
      <w:rPr>
        <w:rFonts w:ascii="Arial" w:hAnsi="Arial"/>
        <w:b/>
        <w:sz w:val="22"/>
        <w:szCs w:val="22"/>
      </w:rPr>
      <w:t>Original : anglais</w:t>
    </w:r>
  </w:p>
  <w:p w14:paraId="76B5E82B" w14:textId="77777777" w:rsidR="00D95C4C" w:rsidRPr="00E95AE2" w:rsidRDefault="00D95C4C">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4335"/>
    <w:multiLevelType w:val="hybridMultilevel"/>
    <w:tmpl w:val="F836EE26"/>
    <w:lvl w:ilvl="0" w:tplc="291438BC">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25B53762"/>
    <w:multiLevelType w:val="hybridMultilevel"/>
    <w:tmpl w:val="0FB6347E"/>
    <w:lvl w:ilvl="0" w:tplc="722ED5DA">
      <w:start w:val="1"/>
      <w:numFmt w:val="upperLetter"/>
      <w:lvlText w:val="%1."/>
      <w:lvlJc w:val="left"/>
      <w:pPr>
        <w:ind w:left="720" w:hanging="360"/>
      </w:pPr>
      <w:rPr>
        <w:rFonts w:ascii="Arial" w:eastAsia="Times New Roman" w:hAnsi="Arial" w:cs="Arial"/>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01">
      <w:start w:val="1"/>
      <w:numFmt w:val="bullet"/>
      <w:lvlText w:val=""/>
      <w:lvlJc w:val="left"/>
      <w:pPr>
        <w:ind w:left="3600" w:hanging="360"/>
      </w:pPr>
      <w:rPr>
        <w:rFonts w:ascii="Symbol" w:hAnsi="Symbol" w:hint="default"/>
      </w:rPr>
    </w:lvl>
    <w:lvl w:ilvl="5" w:tplc="14E02A28">
      <w:numFmt w:val="bullet"/>
      <w:lvlText w:val="-"/>
      <w:lvlJc w:val="left"/>
      <w:pPr>
        <w:ind w:left="4500" w:hanging="360"/>
      </w:pPr>
      <w:rPr>
        <w:rFonts w:ascii="Arial" w:eastAsia="SimSun" w:hAnsi="Arial" w:cs="Arial" w:hint="default"/>
      </w:r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5F07BFE"/>
    <w:multiLevelType w:val="hybridMultilevel"/>
    <w:tmpl w:val="1B608C26"/>
    <w:lvl w:ilvl="0" w:tplc="722ED5DA">
      <w:start w:val="1"/>
      <w:numFmt w:val="upperLetter"/>
      <w:pStyle w:val="COMPara"/>
      <w:lvlText w:val="%1."/>
      <w:lvlJc w:val="left"/>
      <w:pPr>
        <w:ind w:left="720" w:hanging="360"/>
      </w:pPr>
      <w:rPr>
        <w:rFonts w:ascii="Arial" w:eastAsia="Times New Roman" w:hAnsi="Arial" w:cs="Arial"/>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FEAA76F2">
      <w:start w:val="1"/>
      <w:numFmt w:val="decimal"/>
      <w:lvlText w:val="%4."/>
      <w:lvlJc w:val="left"/>
      <w:pPr>
        <w:ind w:left="2880" w:hanging="360"/>
      </w:pPr>
      <w:rPr>
        <w:b w:val="0"/>
      </w:rPr>
    </w:lvl>
    <w:lvl w:ilvl="4" w:tplc="040C0019">
      <w:start w:val="1"/>
      <w:numFmt w:val="lowerLetter"/>
      <w:lvlText w:val="%5."/>
      <w:lvlJc w:val="left"/>
      <w:pPr>
        <w:ind w:left="3600" w:hanging="360"/>
      </w:pPr>
    </w:lvl>
    <w:lvl w:ilvl="5" w:tplc="BA2CA292">
      <w:start w:val="19"/>
      <w:numFmt w:val="bullet"/>
      <w:lvlText w:val="-"/>
      <w:lvlJc w:val="left"/>
      <w:pPr>
        <w:ind w:left="4500" w:hanging="360"/>
      </w:pPr>
      <w:rPr>
        <w:rFonts w:ascii="Arial" w:eastAsia="Times New Roman" w:hAnsi="Arial" w:cs="Arial" w:hint="default"/>
      </w:r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9C718F3"/>
    <w:multiLevelType w:val="hybridMultilevel"/>
    <w:tmpl w:val="CAC8D366"/>
    <w:lvl w:ilvl="0" w:tplc="1D78C47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480728E"/>
    <w:multiLevelType w:val="hybridMultilevel"/>
    <w:tmpl w:val="E45EAEC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DE0267E"/>
    <w:multiLevelType w:val="multilevel"/>
    <w:tmpl w:val="CFCC4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9E73CB"/>
    <w:multiLevelType w:val="hybridMultilevel"/>
    <w:tmpl w:val="34B0AC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7C001C7"/>
    <w:multiLevelType w:val="hybridMultilevel"/>
    <w:tmpl w:val="0FF4496E"/>
    <w:lvl w:ilvl="0" w:tplc="87E4C068">
      <w:start w:val="7"/>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15:restartNumberingAfterBreak="0">
    <w:nsid w:val="74C57782"/>
    <w:multiLevelType w:val="hybridMultilevel"/>
    <w:tmpl w:val="103E57CC"/>
    <w:lvl w:ilvl="0" w:tplc="040C000F">
      <w:start w:val="1"/>
      <w:numFmt w:val="decimal"/>
      <w:lvlText w:val="%1."/>
      <w:lvlJc w:val="left"/>
      <w:pPr>
        <w:ind w:left="927" w:hanging="360"/>
      </w:pPr>
      <w:rPr>
        <w:b w:val="0"/>
        <w:lang w:val="fr-FR"/>
      </w:rPr>
    </w:lvl>
    <w:lvl w:ilvl="1" w:tplc="040C000F">
      <w:start w:val="1"/>
      <w:numFmt w:val="decimal"/>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1"/>
  </w:num>
  <w:num w:numId="2">
    <w:abstractNumId w:val="3"/>
  </w:num>
  <w:num w:numId="3">
    <w:abstractNumId w:val="4"/>
  </w:num>
  <w:num w:numId="4">
    <w:abstractNumId w:val="5"/>
  </w:num>
  <w:num w:numId="5">
    <w:abstractNumId w:val="7"/>
  </w:num>
  <w:num w:numId="6">
    <w:abstractNumId w:val="10"/>
  </w:num>
  <w:num w:numId="7">
    <w:abstractNumId w:val="0"/>
  </w:num>
  <w:num w:numId="8">
    <w:abstractNumId w:val="3"/>
  </w:num>
  <w:num w:numId="9">
    <w:abstractNumId w:val="3"/>
  </w:num>
  <w:num w:numId="10">
    <w:abstractNumId w:val="3"/>
  </w:num>
  <w:num w:numId="11">
    <w:abstractNumId w:val="3"/>
  </w:num>
  <w:num w:numId="12">
    <w:abstractNumId w:val="3"/>
  </w:num>
  <w:num w:numId="13">
    <w:abstractNumId w:val="3"/>
  </w:num>
  <w:num w:numId="14">
    <w:abstractNumId w:val="2"/>
  </w:num>
  <w:num w:numId="15">
    <w:abstractNumId w:val="3"/>
  </w:num>
  <w:num w:numId="16">
    <w:abstractNumId w:val="3"/>
  </w:num>
  <w:num w:numId="17">
    <w:abstractNumId w:val="3"/>
  </w:num>
  <w:num w:numId="18">
    <w:abstractNumId w:val="3"/>
  </w:num>
  <w:num w:numId="19">
    <w:abstractNumId w:val="6"/>
  </w:num>
  <w:num w:numId="20">
    <w:abstractNumId w:val="3"/>
  </w:num>
  <w:num w:numId="21">
    <w:abstractNumId w:val="11"/>
  </w:num>
  <w:num w:numId="22">
    <w:abstractNumId w:val="3"/>
  </w:num>
  <w:num w:numId="23">
    <w:abstractNumId w:val="3"/>
  </w:num>
  <w:num w:numId="24">
    <w:abstractNumId w:val="9"/>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8"/>
  </w:num>
  <w:num w:numId="4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5CF"/>
    <w:rsid w:val="000048ED"/>
    <w:rsid w:val="00013E10"/>
    <w:rsid w:val="00030798"/>
    <w:rsid w:val="00041A66"/>
    <w:rsid w:val="00042F7A"/>
    <w:rsid w:val="0005176E"/>
    <w:rsid w:val="00062BAA"/>
    <w:rsid w:val="000765F7"/>
    <w:rsid w:val="00077AB7"/>
    <w:rsid w:val="00081CD8"/>
    <w:rsid w:val="00093B2B"/>
    <w:rsid w:val="0009682D"/>
    <w:rsid w:val="000A50A1"/>
    <w:rsid w:val="000A7F0E"/>
    <w:rsid w:val="000B1C8F"/>
    <w:rsid w:val="000C0D61"/>
    <w:rsid w:val="000C2210"/>
    <w:rsid w:val="000D2FC7"/>
    <w:rsid w:val="000D43D6"/>
    <w:rsid w:val="000D5702"/>
    <w:rsid w:val="000E65DB"/>
    <w:rsid w:val="000F3A3F"/>
    <w:rsid w:val="000F6904"/>
    <w:rsid w:val="00100EFE"/>
    <w:rsid w:val="00102557"/>
    <w:rsid w:val="001039A4"/>
    <w:rsid w:val="001117F7"/>
    <w:rsid w:val="001120A3"/>
    <w:rsid w:val="00126A11"/>
    <w:rsid w:val="001314E9"/>
    <w:rsid w:val="00144F96"/>
    <w:rsid w:val="001529A4"/>
    <w:rsid w:val="00152AA3"/>
    <w:rsid w:val="001556C3"/>
    <w:rsid w:val="00155915"/>
    <w:rsid w:val="00157225"/>
    <w:rsid w:val="00164D56"/>
    <w:rsid w:val="00167B10"/>
    <w:rsid w:val="0017402F"/>
    <w:rsid w:val="00193468"/>
    <w:rsid w:val="00196C1B"/>
    <w:rsid w:val="001A6A0E"/>
    <w:rsid w:val="001B0F73"/>
    <w:rsid w:val="001B5E41"/>
    <w:rsid w:val="001B6693"/>
    <w:rsid w:val="001C2DB7"/>
    <w:rsid w:val="001C6BB3"/>
    <w:rsid w:val="001D14FE"/>
    <w:rsid w:val="001D5C04"/>
    <w:rsid w:val="001D5F51"/>
    <w:rsid w:val="001F132E"/>
    <w:rsid w:val="001F26CF"/>
    <w:rsid w:val="001F393E"/>
    <w:rsid w:val="001F3C8C"/>
    <w:rsid w:val="001F4C04"/>
    <w:rsid w:val="001F4D9C"/>
    <w:rsid w:val="0020049E"/>
    <w:rsid w:val="00200564"/>
    <w:rsid w:val="0020459C"/>
    <w:rsid w:val="00211CCC"/>
    <w:rsid w:val="00213034"/>
    <w:rsid w:val="00222A2D"/>
    <w:rsid w:val="00223029"/>
    <w:rsid w:val="00231FBC"/>
    <w:rsid w:val="002322A4"/>
    <w:rsid w:val="00234745"/>
    <w:rsid w:val="002351A6"/>
    <w:rsid w:val="002374FD"/>
    <w:rsid w:val="002407AF"/>
    <w:rsid w:val="00245C56"/>
    <w:rsid w:val="00245DDC"/>
    <w:rsid w:val="00252A70"/>
    <w:rsid w:val="00255032"/>
    <w:rsid w:val="00271000"/>
    <w:rsid w:val="00272E27"/>
    <w:rsid w:val="0027466B"/>
    <w:rsid w:val="0027546B"/>
    <w:rsid w:val="0028056E"/>
    <w:rsid w:val="00281AAD"/>
    <w:rsid w:val="002838A5"/>
    <w:rsid w:val="00285BB4"/>
    <w:rsid w:val="0028741B"/>
    <w:rsid w:val="0029254E"/>
    <w:rsid w:val="002B08B8"/>
    <w:rsid w:val="002B1198"/>
    <w:rsid w:val="002C09E3"/>
    <w:rsid w:val="002C1FDC"/>
    <w:rsid w:val="002C6654"/>
    <w:rsid w:val="002E2047"/>
    <w:rsid w:val="002E26B1"/>
    <w:rsid w:val="002F02F1"/>
    <w:rsid w:val="002F6E67"/>
    <w:rsid w:val="003115F8"/>
    <w:rsid w:val="00313585"/>
    <w:rsid w:val="00315F51"/>
    <w:rsid w:val="0033205B"/>
    <w:rsid w:val="0033793D"/>
    <w:rsid w:val="00337CEB"/>
    <w:rsid w:val="00340B86"/>
    <w:rsid w:val="00344B58"/>
    <w:rsid w:val="0034539A"/>
    <w:rsid w:val="00345CB4"/>
    <w:rsid w:val="00373BA3"/>
    <w:rsid w:val="00375D42"/>
    <w:rsid w:val="00380403"/>
    <w:rsid w:val="003A12C3"/>
    <w:rsid w:val="003A5CE3"/>
    <w:rsid w:val="003B309B"/>
    <w:rsid w:val="003C1ECD"/>
    <w:rsid w:val="003D069C"/>
    <w:rsid w:val="003D1469"/>
    <w:rsid w:val="003D17A5"/>
    <w:rsid w:val="003D56A7"/>
    <w:rsid w:val="003D7646"/>
    <w:rsid w:val="003E09B5"/>
    <w:rsid w:val="003F0BF0"/>
    <w:rsid w:val="003F0D49"/>
    <w:rsid w:val="003F113A"/>
    <w:rsid w:val="003F3E63"/>
    <w:rsid w:val="003F5DA6"/>
    <w:rsid w:val="00407480"/>
    <w:rsid w:val="00414643"/>
    <w:rsid w:val="00430103"/>
    <w:rsid w:val="00435708"/>
    <w:rsid w:val="004421E5"/>
    <w:rsid w:val="00452284"/>
    <w:rsid w:val="00457C8E"/>
    <w:rsid w:val="004601D8"/>
    <w:rsid w:val="0047660F"/>
    <w:rsid w:val="00485426"/>
    <w:rsid w:val="00485548"/>
    <w:rsid w:val="004856CA"/>
    <w:rsid w:val="00485780"/>
    <w:rsid w:val="00487E67"/>
    <w:rsid w:val="0049705E"/>
    <w:rsid w:val="004A34A0"/>
    <w:rsid w:val="004A671F"/>
    <w:rsid w:val="004A67EC"/>
    <w:rsid w:val="004B2EDA"/>
    <w:rsid w:val="004B5393"/>
    <w:rsid w:val="004B7CC1"/>
    <w:rsid w:val="004E627A"/>
    <w:rsid w:val="004F0BFC"/>
    <w:rsid w:val="004F0EC5"/>
    <w:rsid w:val="004F474D"/>
    <w:rsid w:val="005008A8"/>
    <w:rsid w:val="00501DED"/>
    <w:rsid w:val="00516097"/>
    <w:rsid w:val="005250B5"/>
    <w:rsid w:val="00526B7B"/>
    <w:rsid w:val="005308CE"/>
    <w:rsid w:val="005319C8"/>
    <w:rsid w:val="0053318C"/>
    <w:rsid w:val="00535FE1"/>
    <w:rsid w:val="00540721"/>
    <w:rsid w:val="00541284"/>
    <w:rsid w:val="00550CCE"/>
    <w:rsid w:val="005529C6"/>
    <w:rsid w:val="00554242"/>
    <w:rsid w:val="00560752"/>
    <w:rsid w:val="00566BD7"/>
    <w:rsid w:val="00572688"/>
    <w:rsid w:val="0057439C"/>
    <w:rsid w:val="00575866"/>
    <w:rsid w:val="00575ACB"/>
    <w:rsid w:val="00580131"/>
    <w:rsid w:val="005A2256"/>
    <w:rsid w:val="005B0127"/>
    <w:rsid w:val="005B7A35"/>
    <w:rsid w:val="005C4B73"/>
    <w:rsid w:val="005C55E3"/>
    <w:rsid w:val="005C5725"/>
    <w:rsid w:val="005D7189"/>
    <w:rsid w:val="005E1D2B"/>
    <w:rsid w:val="005E2289"/>
    <w:rsid w:val="005E7074"/>
    <w:rsid w:val="005F2BAF"/>
    <w:rsid w:val="00600D93"/>
    <w:rsid w:val="00605E33"/>
    <w:rsid w:val="00626954"/>
    <w:rsid w:val="0062704F"/>
    <w:rsid w:val="0063300C"/>
    <w:rsid w:val="00640E56"/>
    <w:rsid w:val="006429B8"/>
    <w:rsid w:val="0064472C"/>
    <w:rsid w:val="00645C52"/>
    <w:rsid w:val="00650598"/>
    <w:rsid w:val="00655736"/>
    <w:rsid w:val="006612D0"/>
    <w:rsid w:val="00663B8D"/>
    <w:rsid w:val="0067394B"/>
    <w:rsid w:val="00683CD8"/>
    <w:rsid w:val="00692A6D"/>
    <w:rsid w:val="00696C8D"/>
    <w:rsid w:val="00696E8C"/>
    <w:rsid w:val="006A2AC2"/>
    <w:rsid w:val="006A3617"/>
    <w:rsid w:val="006B7A7C"/>
    <w:rsid w:val="006C0115"/>
    <w:rsid w:val="006C4A44"/>
    <w:rsid w:val="006E46E4"/>
    <w:rsid w:val="006F6631"/>
    <w:rsid w:val="006F6FE5"/>
    <w:rsid w:val="006F7A8B"/>
    <w:rsid w:val="0070198F"/>
    <w:rsid w:val="007034FE"/>
    <w:rsid w:val="00717DA5"/>
    <w:rsid w:val="00725337"/>
    <w:rsid w:val="0072695C"/>
    <w:rsid w:val="007425CB"/>
    <w:rsid w:val="00742743"/>
    <w:rsid w:val="00744484"/>
    <w:rsid w:val="00747566"/>
    <w:rsid w:val="007649CE"/>
    <w:rsid w:val="00772F37"/>
    <w:rsid w:val="00773188"/>
    <w:rsid w:val="00783782"/>
    <w:rsid w:val="00784B8C"/>
    <w:rsid w:val="0078783A"/>
    <w:rsid w:val="007879E1"/>
    <w:rsid w:val="007955C4"/>
    <w:rsid w:val="007A2F1E"/>
    <w:rsid w:val="007B6FCD"/>
    <w:rsid w:val="007D6E01"/>
    <w:rsid w:val="00803E6E"/>
    <w:rsid w:val="00805340"/>
    <w:rsid w:val="00811B50"/>
    <w:rsid w:val="00822DAC"/>
    <w:rsid w:val="00823A11"/>
    <w:rsid w:val="00827BDF"/>
    <w:rsid w:val="008367E2"/>
    <w:rsid w:val="00843D02"/>
    <w:rsid w:val="008466DB"/>
    <w:rsid w:val="00852794"/>
    <w:rsid w:val="0085405E"/>
    <w:rsid w:val="0085414A"/>
    <w:rsid w:val="00860800"/>
    <w:rsid w:val="0086269D"/>
    <w:rsid w:val="0086543A"/>
    <w:rsid w:val="00866A53"/>
    <w:rsid w:val="00866DD2"/>
    <w:rsid w:val="00867B2D"/>
    <w:rsid w:val="008724E5"/>
    <w:rsid w:val="008832FA"/>
    <w:rsid w:val="00884A9D"/>
    <w:rsid w:val="0088512B"/>
    <w:rsid w:val="00893AFF"/>
    <w:rsid w:val="008A15AB"/>
    <w:rsid w:val="008A2B2D"/>
    <w:rsid w:val="008A4E1E"/>
    <w:rsid w:val="008A5F89"/>
    <w:rsid w:val="008B1791"/>
    <w:rsid w:val="008C296C"/>
    <w:rsid w:val="008C33D5"/>
    <w:rsid w:val="008D083B"/>
    <w:rsid w:val="008D11C7"/>
    <w:rsid w:val="008D151B"/>
    <w:rsid w:val="008D34B6"/>
    <w:rsid w:val="008D4305"/>
    <w:rsid w:val="008E1A85"/>
    <w:rsid w:val="008E3C48"/>
    <w:rsid w:val="008F13D1"/>
    <w:rsid w:val="008F4850"/>
    <w:rsid w:val="008F6D6E"/>
    <w:rsid w:val="009069E7"/>
    <w:rsid w:val="009115EC"/>
    <w:rsid w:val="0091331F"/>
    <w:rsid w:val="00914009"/>
    <w:rsid w:val="009163A7"/>
    <w:rsid w:val="009213FF"/>
    <w:rsid w:val="0094021B"/>
    <w:rsid w:val="00946D0B"/>
    <w:rsid w:val="00955877"/>
    <w:rsid w:val="00961EE7"/>
    <w:rsid w:val="00975B74"/>
    <w:rsid w:val="009821B3"/>
    <w:rsid w:val="00985514"/>
    <w:rsid w:val="00987014"/>
    <w:rsid w:val="00996981"/>
    <w:rsid w:val="009A18CD"/>
    <w:rsid w:val="009A5924"/>
    <w:rsid w:val="009B15DC"/>
    <w:rsid w:val="009B1E44"/>
    <w:rsid w:val="009C5464"/>
    <w:rsid w:val="009C6E70"/>
    <w:rsid w:val="009D2736"/>
    <w:rsid w:val="009D4C97"/>
    <w:rsid w:val="009D5428"/>
    <w:rsid w:val="009D624B"/>
    <w:rsid w:val="009D76D7"/>
    <w:rsid w:val="009E7E6A"/>
    <w:rsid w:val="009F5EB7"/>
    <w:rsid w:val="00A12558"/>
    <w:rsid w:val="00A135B3"/>
    <w:rsid w:val="00A13903"/>
    <w:rsid w:val="00A15BD8"/>
    <w:rsid w:val="00A23B12"/>
    <w:rsid w:val="00A24A65"/>
    <w:rsid w:val="00A2721D"/>
    <w:rsid w:val="00A307C9"/>
    <w:rsid w:val="00A34ED5"/>
    <w:rsid w:val="00A45DBF"/>
    <w:rsid w:val="00A56123"/>
    <w:rsid w:val="00A65228"/>
    <w:rsid w:val="00A67F72"/>
    <w:rsid w:val="00A70FF1"/>
    <w:rsid w:val="00A755A2"/>
    <w:rsid w:val="00A7739E"/>
    <w:rsid w:val="00A8088E"/>
    <w:rsid w:val="00A865BB"/>
    <w:rsid w:val="00AA08C3"/>
    <w:rsid w:val="00AA0A11"/>
    <w:rsid w:val="00AA5927"/>
    <w:rsid w:val="00AA6660"/>
    <w:rsid w:val="00AB2C36"/>
    <w:rsid w:val="00AB4317"/>
    <w:rsid w:val="00AB6DDE"/>
    <w:rsid w:val="00AB70B6"/>
    <w:rsid w:val="00AB7E60"/>
    <w:rsid w:val="00AD1A86"/>
    <w:rsid w:val="00AD5C62"/>
    <w:rsid w:val="00AD7361"/>
    <w:rsid w:val="00AE103E"/>
    <w:rsid w:val="00AF0A07"/>
    <w:rsid w:val="00AF102C"/>
    <w:rsid w:val="00AF4AEC"/>
    <w:rsid w:val="00AF625E"/>
    <w:rsid w:val="00B10A3C"/>
    <w:rsid w:val="00B5680C"/>
    <w:rsid w:val="00B76D8E"/>
    <w:rsid w:val="00BB04AF"/>
    <w:rsid w:val="00BC6E80"/>
    <w:rsid w:val="00BD07B1"/>
    <w:rsid w:val="00BD3764"/>
    <w:rsid w:val="00BD52C9"/>
    <w:rsid w:val="00BE29BE"/>
    <w:rsid w:val="00BE614A"/>
    <w:rsid w:val="00BE6354"/>
    <w:rsid w:val="00BE7A34"/>
    <w:rsid w:val="00BF7D62"/>
    <w:rsid w:val="00C03AAB"/>
    <w:rsid w:val="00C138D1"/>
    <w:rsid w:val="00C2323C"/>
    <w:rsid w:val="00C23A97"/>
    <w:rsid w:val="00C2608B"/>
    <w:rsid w:val="00C449E1"/>
    <w:rsid w:val="00C4657D"/>
    <w:rsid w:val="00C52058"/>
    <w:rsid w:val="00C54BA2"/>
    <w:rsid w:val="00C55C11"/>
    <w:rsid w:val="00C63EE1"/>
    <w:rsid w:val="00C64855"/>
    <w:rsid w:val="00C663F8"/>
    <w:rsid w:val="00C7037C"/>
    <w:rsid w:val="00C70EA7"/>
    <w:rsid w:val="00C7433F"/>
    <w:rsid w:val="00C7516E"/>
    <w:rsid w:val="00C75770"/>
    <w:rsid w:val="00C97F45"/>
    <w:rsid w:val="00CA092F"/>
    <w:rsid w:val="00CA2931"/>
    <w:rsid w:val="00CA56BB"/>
    <w:rsid w:val="00CB0542"/>
    <w:rsid w:val="00CC5BC1"/>
    <w:rsid w:val="00CC62B7"/>
    <w:rsid w:val="00CD0589"/>
    <w:rsid w:val="00CD11E5"/>
    <w:rsid w:val="00CD6A0A"/>
    <w:rsid w:val="00CD6AEB"/>
    <w:rsid w:val="00CE188B"/>
    <w:rsid w:val="00CE1A03"/>
    <w:rsid w:val="00CE1CF7"/>
    <w:rsid w:val="00CE1F88"/>
    <w:rsid w:val="00CF0DA6"/>
    <w:rsid w:val="00CF4814"/>
    <w:rsid w:val="00D00B2B"/>
    <w:rsid w:val="00D240C4"/>
    <w:rsid w:val="00D24877"/>
    <w:rsid w:val="00D2517E"/>
    <w:rsid w:val="00D426AC"/>
    <w:rsid w:val="00D622F6"/>
    <w:rsid w:val="00D704BC"/>
    <w:rsid w:val="00D73E3E"/>
    <w:rsid w:val="00D8250F"/>
    <w:rsid w:val="00D8705A"/>
    <w:rsid w:val="00D95C4C"/>
    <w:rsid w:val="00DA0427"/>
    <w:rsid w:val="00DA36ED"/>
    <w:rsid w:val="00DA61DC"/>
    <w:rsid w:val="00DC0C8C"/>
    <w:rsid w:val="00DD1271"/>
    <w:rsid w:val="00DD14B4"/>
    <w:rsid w:val="00DE34F1"/>
    <w:rsid w:val="00DE6160"/>
    <w:rsid w:val="00DF0F31"/>
    <w:rsid w:val="00DF176E"/>
    <w:rsid w:val="00DF4942"/>
    <w:rsid w:val="00E01FFE"/>
    <w:rsid w:val="00E154D1"/>
    <w:rsid w:val="00E244E1"/>
    <w:rsid w:val="00E2680D"/>
    <w:rsid w:val="00E30B73"/>
    <w:rsid w:val="00E343C9"/>
    <w:rsid w:val="00E54B26"/>
    <w:rsid w:val="00E56A0D"/>
    <w:rsid w:val="00E60F7E"/>
    <w:rsid w:val="00E627B1"/>
    <w:rsid w:val="00E70169"/>
    <w:rsid w:val="00E870F2"/>
    <w:rsid w:val="00E935A2"/>
    <w:rsid w:val="00E9376C"/>
    <w:rsid w:val="00E95AE2"/>
    <w:rsid w:val="00EA245E"/>
    <w:rsid w:val="00EA335E"/>
    <w:rsid w:val="00EA528C"/>
    <w:rsid w:val="00EA580C"/>
    <w:rsid w:val="00EB1C93"/>
    <w:rsid w:val="00EB538E"/>
    <w:rsid w:val="00EC6F8D"/>
    <w:rsid w:val="00ED78F3"/>
    <w:rsid w:val="00EE49F4"/>
    <w:rsid w:val="00EE7745"/>
    <w:rsid w:val="00EF0811"/>
    <w:rsid w:val="00EF34E2"/>
    <w:rsid w:val="00F25093"/>
    <w:rsid w:val="00F27C09"/>
    <w:rsid w:val="00F30DC6"/>
    <w:rsid w:val="00F315DC"/>
    <w:rsid w:val="00F32C23"/>
    <w:rsid w:val="00F34301"/>
    <w:rsid w:val="00F372C5"/>
    <w:rsid w:val="00F4161B"/>
    <w:rsid w:val="00F451D8"/>
    <w:rsid w:val="00F45290"/>
    <w:rsid w:val="00F47274"/>
    <w:rsid w:val="00F47F94"/>
    <w:rsid w:val="00F53DE9"/>
    <w:rsid w:val="00F54534"/>
    <w:rsid w:val="00F55376"/>
    <w:rsid w:val="00F56687"/>
    <w:rsid w:val="00F576CB"/>
    <w:rsid w:val="00F7035D"/>
    <w:rsid w:val="00F71A02"/>
    <w:rsid w:val="00F76D96"/>
    <w:rsid w:val="00F96BB0"/>
    <w:rsid w:val="00FA0D63"/>
    <w:rsid w:val="00FA69EA"/>
    <w:rsid w:val="00FC2F35"/>
    <w:rsid w:val="00FC5B52"/>
    <w:rsid w:val="00FC7057"/>
    <w:rsid w:val="00FD1226"/>
    <w:rsid w:val="00FE11DF"/>
    <w:rsid w:val="00FE41B3"/>
    <w:rsid w:val="00FE56E7"/>
    <w:rsid w:val="00FE67C6"/>
    <w:rsid w:val="00FF4830"/>
    <w:rsid w:val="00FF51C5"/>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270059BB"/>
  <w15:docId w15:val="{A5A1B46D-6B06-41BB-AF79-9AE8943C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rsid w:val="00380403"/>
    <w:pPr>
      <w:ind w:left="720"/>
      <w:contextualSpacing/>
    </w:pPr>
  </w:style>
  <w:style w:type="character" w:styleId="CommentReference">
    <w:name w:val="annotation reference"/>
    <w:basedOn w:val="DefaultParagraphFont"/>
    <w:uiPriority w:val="99"/>
    <w:semiHidden/>
    <w:unhideWhenUsed/>
    <w:rsid w:val="00F76D96"/>
    <w:rPr>
      <w:sz w:val="16"/>
      <w:szCs w:val="16"/>
    </w:rPr>
  </w:style>
  <w:style w:type="paragraph" w:styleId="CommentText">
    <w:name w:val="annotation text"/>
    <w:basedOn w:val="Normal"/>
    <w:link w:val="CommentTextChar"/>
    <w:uiPriority w:val="99"/>
    <w:semiHidden/>
    <w:unhideWhenUsed/>
    <w:rsid w:val="00F76D96"/>
    <w:rPr>
      <w:sz w:val="20"/>
      <w:szCs w:val="20"/>
    </w:rPr>
  </w:style>
  <w:style w:type="character" w:customStyle="1" w:styleId="CommentTextChar">
    <w:name w:val="Comment Text Char"/>
    <w:basedOn w:val="DefaultParagraphFont"/>
    <w:link w:val="CommentText"/>
    <w:uiPriority w:val="99"/>
    <w:semiHidden/>
    <w:rsid w:val="00F76D9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76D96"/>
    <w:rPr>
      <w:b/>
      <w:bCs/>
    </w:rPr>
  </w:style>
  <w:style w:type="character" w:customStyle="1" w:styleId="CommentSubjectChar">
    <w:name w:val="Comment Subject Char"/>
    <w:basedOn w:val="CommentTextChar"/>
    <w:link w:val="CommentSubject"/>
    <w:uiPriority w:val="99"/>
    <w:semiHidden/>
    <w:rsid w:val="00F76D96"/>
    <w:rPr>
      <w:rFonts w:ascii="Times New Roman" w:eastAsia="Times New Roman" w:hAnsi="Times New Roman"/>
      <w:b/>
      <w:bCs/>
    </w:rPr>
  </w:style>
  <w:style w:type="paragraph" w:styleId="FootnoteText">
    <w:name w:val="footnote text"/>
    <w:basedOn w:val="Normal"/>
    <w:link w:val="FootnoteTextChar"/>
    <w:uiPriority w:val="99"/>
    <w:semiHidden/>
    <w:unhideWhenUsed/>
    <w:rsid w:val="0033793D"/>
    <w:rPr>
      <w:sz w:val="20"/>
      <w:szCs w:val="20"/>
    </w:rPr>
  </w:style>
  <w:style w:type="character" w:customStyle="1" w:styleId="FootnoteTextChar">
    <w:name w:val="Footnote Text Char"/>
    <w:basedOn w:val="DefaultParagraphFont"/>
    <w:link w:val="FootnoteText"/>
    <w:uiPriority w:val="99"/>
    <w:semiHidden/>
    <w:rsid w:val="0033793D"/>
    <w:rPr>
      <w:rFonts w:ascii="Times New Roman" w:eastAsia="Times New Roman" w:hAnsi="Times New Roman"/>
    </w:rPr>
  </w:style>
  <w:style w:type="character" w:styleId="FootnoteReference">
    <w:name w:val="footnote reference"/>
    <w:basedOn w:val="DefaultParagraphFont"/>
    <w:uiPriority w:val="99"/>
    <w:semiHidden/>
    <w:unhideWhenUsed/>
    <w:rsid w:val="0033793D"/>
    <w:rPr>
      <w:vertAlign w:val="superscript"/>
    </w:rPr>
  </w:style>
  <w:style w:type="character" w:styleId="Hyperlink">
    <w:name w:val="Hyperlink"/>
    <w:basedOn w:val="DefaultParagraphFont"/>
    <w:uiPriority w:val="99"/>
    <w:unhideWhenUsed/>
    <w:rsid w:val="0033793D"/>
    <w:rPr>
      <w:color w:val="0000FF" w:themeColor="hyperlink"/>
      <w:u w:val="single"/>
    </w:rPr>
  </w:style>
  <w:style w:type="character" w:customStyle="1" w:styleId="UnresolvedMention1">
    <w:name w:val="Unresolved Mention1"/>
    <w:basedOn w:val="DefaultParagraphFont"/>
    <w:uiPriority w:val="99"/>
    <w:semiHidden/>
    <w:unhideWhenUsed/>
    <w:rsid w:val="0033793D"/>
    <w:rPr>
      <w:color w:val="605E5C"/>
      <w:shd w:val="clear" w:color="auto" w:fill="E1DFDD"/>
    </w:rPr>
  </w:style>
  <w:style w:type="character" w:styleId="Strong">
    <w:name w:val="Strong"/>
    <w:aliases w:val="Text"/>
    <w:uiPriority w:val="22"/>
    <w:rsid w:val="00E870F2"/>
    <w:rPr>
      <w:rFonts w:ascii="Arial" w:hAnsi="Arial" w:cs="Arial"/>
      <w:lang w:val="fr-FR"/>
    </w:rPr>
  </w:style>
  <w:style w:type="paragraph" w:customStyle="1" w:styleId="NormalText">
    <w:name w:val="Normal Text"/>
    <w:basedOn w:val="Normal"/>
    <w:link w:val="NormalTextChar"/>
    <w:qFormat/>
    <w:rsid w:val="00E870F2"/>
    <w:pPr>
      <w:spacing w:before="240" w:after="240"/>
      <w:jc w:val="both"/>
    </w:pPr>
    <w:rPr>
      <w:rFonts w:ascii="Arial" w:eastAsiaTheme="minorHAnsi" w:hAnsi="Arial" w:cstheme="minorBidi"/>
      <w:sz w:val="22"/>
      <w:szCs w:val="22"/>
      <w:lang w:eastAsia="en-US"/>
    </w:rPr>
  </w:style>
  <w:style w:type="character" w:customStyle="1" w:styleId="NormalTextChar">
    <w:name w:val="Normal Text Char"/>
    <w:basedOn w:val="DefaultParagraphFont"/>
    <w:link w:val="NormalText"/>
    <w:rsid w:val="00E870F2"/>
    <w:rPr>
      <w:rFonts w:ascii="Arial" w:eastAsiaTheme="minorHAnsi" w:hAnsi="Arial" w:cstheme="minorBidi"/>
      <w:sz w:val="22"/>
      <w:szCs w:val="22"/>
      <w:lang w:eastAsia="en-US"/>
    </w:rPr>
  </w:style>
  <w:style w:type="paragraph" w:styleId="Caption">
    <w:name w:val="caption"/>
    <w:basedOn w:val="Normal"/>
    <w:next w:val="Normal"/>
    <w:uiPriority w:val="35"/>
    <w:unhideWhenUsed/>
    <w:qFormat/>
    <w:rsid w:val="001F4C04"/>
    <w:pPr>
      <w:spacing w:after="200"/>
    </w:pPr>
    <w:rPr>
      <w:i/>
      <w:iCs/>
      <w:color w:val="1F497D" w:themeColor="text2"/>
      <w:sz w:val="18"/>
      <w:szCs w:val="18"/>
    </w:rPr>
  </w:style>
  <w:style w:type="character" w:customStyle="1" w:styleId="UnresolvedMention2">
    <w:name w:val="Unresolved Mention2"/>
    <w:basedOn w:val="DefaultParagraphFont"/>
    <w:uiPriority w:val="99"/>
    <w:semiHidden/>
    <w:unhideWhenUsed/>
    <w:rsid w:val="005250B5"/>
    <w:rPr>
      <w:color w:val="605E5C"/>
      <w:shd w:val="clear" w:color="auto" w:fill="E1DFDD"/>
    </w:rPr>
  </w:style>
  <w:style w:type="character" w:styleId="FollowedHyperlink">
    <w:name w:val="FollowedHyperlink"/>
    <w:basedOn w:val="DefaultParagraphFont"/>
    <w:uiPriority w:val="99"/>
    <w:semiHidden/>
    <w:unhideWhenUsed/>
    <w:rsid w:val="005250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879057">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299646307">
      <w:bodyDiv w:val="1"/>
      <w:marLeft w:val="0"/>
      <w:marRight w:val="0"/>
      <w:marTop w:val="0"/>
      <w:marBottom w:val="0"/>
      <w:divBdr>
        <w:top w:val="none" w:sz="0" w:space="0" w:color="auto"/>
        <w:left w:val="none" w:sz="0" w:space="0" w:color="auto"/>
        <w:bottom w:val="none" w:sz="0" w:space="0" w:color="auto"/>
        <w:right w:val="none" w:sz="0" w:space="0" w:color="auto"/>
      </w:divBdr>
    </w:div>
    <w:div w:id="1422140419">
      <w:bodyDiv w:val="1"/>
      <w:marLeft w:val="0"/>
      <w:marRight w:val="0"/>
      <w:marTop w:val="0"/>
      <w:marBottom w:val="0"/>
      <w:divBdr>
        <w:top w:val="none" w:sz="0" w:space="0" w:color="auto"/>
        <w:left w:val="none" w:sz="0" w:space="0" w:color="auto"/>
        <w:bottom w:val="none" w:sz="0" w:space="0" w:color="auto"/>
        <w:right w:val="none" w:sz="0" w:space="0" w:color="auto"/>
      </w:divBdr>
      <w:divsChild>
        <w:div w:id="2102799388">
          <w:marLeft w:val="547"/>
          <w:marRight w:val="0"/>
          <w:marTop w:val="0"/>
          <w:marBottom w:val="0"/>
          <w:divBdr>
            <w:top w:val="none" w:sz="0" w:space="0" w:color="auto"/>
            <w:left w:val="none" w:sz="0" w:space="0" w:color="auto"/>
            <w:bottom w:val="none" w:sz="0" w:space="0" w:color="auto"/>
            <w:right w:val="none" w:sz="0" w:space="0" w:color="auto"/>
          </w:divBdr>
        </w:div>
      </w:divsChild>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26265522">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12.COM/17" TargetMode="External"/><Relationship Id="rId13" Type="http://schemas.microsoft.com/office/2007/relationships/diagramDrawing" Target="diagrams/drawing1.xml"/><Relationship Id="rId18" Type="http://schemas.openxmlformats.org/officeDocument/2006/relationships/hyperlink" Target="https://ich.unesco.org/doc/src/ITH-18-NGO-2_Questionnaire_FR.pdf" TargetMode="External"/><Relationship Id="rId26" Type="http://schemas.openxmlformats.org/officeDocument/2006/relationships/hyperlink" Target="https://ich.unesco.org/doc/src/ITH-17-12.COM-17-FR.docx" TargetMode="Externa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ich.unesco.org/doc/src/ITH-18-NGO-1_Note_d'information_FR.pdf" TargetMode="External"/><Relationship Id="rId25" Type="http://schemas.openxmlformats.org/officeDocument/2006/relationships/hyperlink" Target="https://ich.unesco.org/doc/src/ITH-13-8.COM-14.b-FR_.doc" TargetMode="External"/><Relationship Id="rId2" Type="http://schemas.openxmlformats.org/officeDocument/2006/relationships/numbering" Target="numbering.xml"/><Relationship Id="rId16" Type="http://schemas.openxmlformats.org/officeDocument/2006/relationships/hyperlink" Target="https://ich.unesco.org/fr/decisions-bureau/13.COM%202.BUR/3" TargetMode="External"/><Relationship Id="rId20" Type="http://schemas.openxmlformats.org/officeDocument/2006/relationships/hyperlink" Target="https://ich.unesco.org/doc/src/ITH-17-12.COM-17-FR.doc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s://ich.unesco.org/fr/D&#233;cisions/12.COM/17" TargetMode="External"/><Relationship Id="rId5" Type="http://schemas.openxmlformats.org/officeDocument/2006/relationships/webSettings" Target="webSettings.xml"/><Relationship Id="rId15" Type="http://schemas.openxmlformats.org/officeDocument/2006/relationships/hyperlink" Target="https://ich.unesco.org/fr/Decisions/12.COM/13" TargetMode="External"/><Relationship Id="rId23" Type="http://schemas.openxmlformats.org/officeDocument/2006/relationships/hyperlink" Target="https://ich.unesco.org/fr/resolutions/7.GA/11" TargetMode="External"/><Relationship Id="rId28"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hyperlink" Target="https://ich.unesco.org/doc/src/ITH-13-8.COM-14.b-FR_.do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ich.unesco.org/fr/decisions/12.COM/17" TargetMode="External"/><Relationship Id="rId22" Type="http://schemas.openxmlformats.org/officeDocument/2006/relationships/chart" Target="charts/chart2.xml"/><Relationship Id="rId27" Type="http://schemas.openxmlformats.org/officeDocument/2006/relationships/header" Target="header1.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latin typeface="Arial" panose="020B0604020202020204" pitchFamily="34" charset="0"/>
                <a:cs typeface="Arial" panose="020B0604020202020204" pitchFamily="34" charset="0"/>
              </a:rPr>
              <a:t>Figure 2. Répartition géographique des ONG accréditées ayant participé</a:t>
            </a:r>
            <a:r>
              <a:rPr lang="en-US" sz="1000" b="1" baseline="0">
                <a:latin typeface="Arial" panose="020B0604020202020204" pitchFamily="34" charset="0"/>
                <a:cs typeface="Arial" panose="020B0604020202020204" pitchFamily="34" charset="0"/>
              </a:rPr>
              <a:t> à la consultation électronique</a:t>
            </a:r>
            <a:r>
              <a:rPr lang="en-US" sz="1000" b="1">
                <a:latin typeface="Arial" panose="020B0604020202020204" pitchFamily="34" charset="0"/>
                <a:cs typeface="Arial" panose="020B0604020202020204" pitchFamily="34" charset="0"/>
              </a:rPr>
              <a:t> (65 au total)</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3921468080952688"/>
          <c:y val="0.20095444746494673"/>
          <c:w val="0.34140517559272032"/>
          <c:h val="0.6918829764412544"/>
        </c:manualLayout>
      </c:layout>
      <c:pieChart>
        <c:varyColors val="1"/>
        <c:ser>
          <c:idx val="0"/>
          <c:order val="0"/>
          <c:tx>
            <c:strRef>
              <c:f>Sheet1!$B$1</c:f>
              <c:strCache>
                <c:ptCount val="1"/>
                <c:pt idx="0">
                  <c:v>Geographical distribution of accredited NGOs</c:v>
                </c:pt>
              </c:strCache>
            </c:strRef>
          </c:tx>
          <c:explosion val="6"/>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E84-4267-9577-5506CC8731B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E84-4267-9577-5506CC8731B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E84-4267-9577-5506CC8731B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E84-4267-9577-5506CC8731B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E84-4267-9577-5506CC8731B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E84-4267-9577-5506CC8731BE}"/>
              </c:ext>
            </c:extLst>
          </c:dPt>
          <c:dLbls>
            <c:dLbl>
              <c:idx val="0"/>
              <c:layout/>
              <c:dLblPos val="outEnd"/>
              <c:showLegendKey val="0"/>
              <c:showVal val="0"/>
              <c:showCatName val="1"/>
              <c:showSerName val="0"/>
              <c:showPercent val="1"/>
              <c:showBubbleSize val="0"/>
              <c:extLst>
                <c:ext xmlns:c15="http://schemas.microsoft.com/office/drawing/2012/chart" uri="{CE6537A1-D6FC-4f65-9D91-7224C49458BB}">
                  <c15:layout>
                    <c:manualLayout>
                      <c:w val="0.21528903928331272"/>
                      <c:h val="0.20191022448072582"/>
                    </c:manualLayout>
                  </c15:layout>
                </c:ext>
                <c:ext xmlns:c16="http://schemas.microsoft.com/office/drawing/2014/chart" uri="{C3380CC4-5D6E-409C-BE32-E72D297353CC}">
                  <c16:uniqueId val="{00000001-1E84-4267-9577-5506CC8731BE}"/>
                </c:ext>
              </c:extLst>
            </c:dLbl>
            <c:dLbl>
              <c:idx val="1"/>
              <c:layout>
                <c:manualLayout>
                  <c:x val="1.8732782369145985E-2"/>
                  <c:y val="7.6730902792305059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158170972430099"/>
                      <c:h val="0.15433003924456309"/>
                    </c:manualLayout>
                  </c15:layout>
                </c:ext>
                <c:ext xmlns:c16="http://schemas.microsoft.com/office/drawing/2014/chart" uri="{C3380CC4-5D6E-409C-BE32-E72D297353CC}">
                  <c16:uniqueId val="{00000003-1E84-4267-9577-5506CC8731BE}"/>
                </c:ext>
              </c:extLst>
            </c:dLbl>
            <c:dLbl>
              <c:idx val="2"/>
              <c:layout>
                <c:manualLayout>
                  <c:x val="-5.2892561983471073E-2"/>
                  <c:y val="2.6525060656077699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8948777683781262"/>
                      <c:h val="0.18215006629325972"/>
                    </c:manualLayout>
                  </c15:layout>
                </c:ext>
                <c:ext xmlns:c16="http://schemas.microsoft.com/office/drawing/2014/chart" uri="{C3380CC4-5D6E-409C-BE32-E72D297353CC}">
                  <c16:uniqueId val="{00000005-1E84-4267-9577-5506CC8731BE}"/>
                </c:ext>
              </c:extLst>
            </c:dLbl>
            <c:dLbl>
              <c:idx val="3"/>
              <c:layout>
                <c:manualLayout>
                  <c:x val="-1.7630853994490374E-2"/>
                  <c:y val="6.8728055513266797E-3"/>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632034012277391"/>
                      <c:h val="0.16840436182590576"/>
                    </c:manualLayout>
                  </c15:layout>
                </c:ext>
                <c:ext xmlns:c16="http://schemas.microsoft.com/office/drawing/2014/chart" uri="{C3380CC4-5D6E-409C-BE32-E72D297353CC}">
                  <c16:uniqueId val="{00000007-1E84-4267-9577-5506CC8731BE}"/>
                </c:ext>
              </c:extLst>
            </c:dLbl>
            <c:dLbl>
              <c:idx val="4"/>
              <c:layout>
                <c:manualLayout>
                  <c:x val="-3.5261707988980713E-2"/>
                  <c:y val="2.6737967914438502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1E84-4267-9577-5506CC8731BE}"/>
                </c:ext>
              </c:extLst>
            </c:dLbl>
            <c:dLbl>
              <c:idx val="5"/>
              <c:delete val="1"/>
              <c:extLst>
                <c:ext xmlns:c15="http://schemas.microsoft.com/office/drawing/2012/chart" uri="{CE6537A1-D6FC-4f65-9D91-7224C49458BB}"/>
                <c:ext xmlns:c16="http://schemas.microsoft.com/office/drawing/2014/chart" uri="{C3380CC4-5D6E-409C-BE32-E72D297353CC}">
                  <c16:uniqueId val="{0000000B-1E84-4267-9577-5506CC8731B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Sheet1!$A$2:$A$7</c:f>
              <c:strCache>
                <c:ptCount val="6"/>
                <c:pt idx="0">
                  <c:v>Europe occidentale et Amérique du Nord (GE I)</c:v>
                </c:pt>
                <c:pt idx="1">
                  <c:v>Europe orientale (GE II)</c:v>
                </c:pt>
                <c:pt idx="2">
                  <c:v>Amérique latine et Caraïbes (GE III)</c:v>
                </c:pt>
                <c:pt idx="3">
                  <c:v>Asie et Pacifique (GE IV)</c:v>
                </c:pt>
                <c:pt idx="4">
                  <c:v>Afrique (GE V(a))</c:v>
                </c:pt>
                <c:pt idx="5">
                  <c:v>États arabes (GE V(b))</c:v>
                </c:pt>
              </c:strCache>
            </c:strRef>
          </c:cat>
          <c:val>
            <c:numRef>
              <c:f>Sheet1!$B$2:$B$7</c:f>
              <c:numCache>
                <c:formatCode>General</c:formatCode>
                <c:ptCount val="6"/>
                <c:pt idx="0">
                  <c:v>40</c:v>
                </c:pt>
                <c:pt idx="1">
                  <c:v>4</c:v>
                </c:pt>
                <c:pt idx="2">
                  <c:v>2</c:v>
                </c:pt>
                <c:pt idx="3">
                  <c:v>5</c:v>
                </c:pt>
                <c:pt idx="4">
                  <c:v>4</c:v>
                </c:pt>
                <c:pt idx="5">
                  <c:v>0</c:v>
                </c:pt>
              </c:numCache>
            </c:numRef>
          </c:val>
          <c:extLst>
            <c:ext xmlns:c16="http://schemas.microsoft.com/office/drawing/2014/chart" uri="{C3380CC4-5D6E-409C-BE32-E72D297353CC}">
              <c16:uniqueId val="{0000000C-1E84-4267-9577-5506CC8731BE}"/>
            </c:ext>
          </c:extLst>
        </c:ser>
        <c:dLbls>
          <c:showLegendKey val="0"/>
          <c:showVal val="0"/>
          <c:showCatName val="0"/>
          <c:showSerName val="0"/>
          <c:showPercent val="0"/>
          <c:showBubbleSize val="0"/>
          <c:showLeaderLines val="0"/>
        </c:dLbls>
        <c:firstSliceAng val="322"/>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latin typeface="Arial" panose="020B0604020202020204" pitchFamily="34" charset="0"/>
                <a:cs typeface="Arial" panose="020B0604020202020204" pitchFamily="34" charset="0"/>
              </a:rPr>
              <a:t>Figure 3. Répartition géographique des États parties ayant participé à</a:t>
            </a:r>
            <a:r>
              <a:rPr lang="en-US" sz="1000" b="1" baseline="0">
                <a:latin typeface="Arial" panose="020B0604020202020204" pitchFamily="34" charset="0"/>
                <a:cs typeface="Arial" panose="020B0604020202020204" pitchFamily="34" charset="0"/>
              </a:rPr>
              <a:t> la consultation électronique </a:t>
            </a:r>
            <a:r>
              <a:rPr lang="en-US" sz="1000" b="1">
                <a:latin typeface="Arial" panose="020B0604020202020204" pitchFamily="34" charset="0"/>
                <a:cs typeface="Arial" panose="020B0604020202020204" pitchFamily="34" charset="0"/>
              </a:rPr>
              <a:t>(33 au total)</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3921468080952688"/>
          <c:y val="0.22328584541045812"/>
          <c:w val="0.33920131884340904"/>
          <c:h val="0.68741669685215212"/>
        </c:manualLayout>
      </c:layout>
      <c:pieChart>
        <c:varyColors val="1"/>
        <c:ser>
          <c:idx val="0"/>
          <c:order val="0"/>
          <c:tx>
            <c:strRef>
              <c:f>Sheet1!$B$1</c:f>
              <c:strCache>
                <c:ptCount val="1"/>
                <c:pt idx="0">
                  <c:v>Geographical distribution of accredited NGOs</c:v>
                </c:pt>
              </c:strCache>
            </c:strRef>
          </c:tx>
          <c:explosion val="6"/>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D86-4300-9086-B7FE05E8B6C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D86-4300-9086-B7FE05E8B6C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D86-4300-9086-B7FE05E8B6C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D86-4300-9086-B7FE05E8B6C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D86-4300-9086-B7FE05E8B6C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D86-4300-9086-B7FE05E8B6C1}"/>
              </c:ext>
            </c:extLst>
          </c:dPt>
          <c:dLbls>
            <c:dLbl>
              <c:idx val="0"/>
              <c:layout>
                <c:manualLayout>
                  <c:x val="5.5096418732782204E-2"/>
                  <c:y val="0.13920531874114214"/>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1969675278193532"/>
                      <c:h val="0.20191022448072582"/>
                    </c:manualLayout>
                  </c15:layout>
                </c:ext>
                <c:ext xmlns:c16="http://schemas.microsoft.com/office/drawing/2014/chart" uri="{C3380CC4-5D6E-409C-BE32-E72D297353CC}">
                  <c16:uniqueId val="{00000001-0D86-4300-9086-B7FE05E8B6C1}"/>
                </c:ext>
              </c:extLst>
            </c:dLbl>
            <c:dLbl>
              <c:idx val="1"/>
              <c:layout>
                <c:manualLayout>
                  <c:x val="1.3223140495867688E-2"/>
                  <c:y val="-7.0450997546875269E-3"/>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0920552699507602"/>
                      <c:h val="0.15819669600123515"/>
                    </c:manualLayout>
                  </c15:layout>
                </c:ext>
                <c:ext xmlns:c16="http://schemas.microsoft.com/office/drawing/2014/chart" uri="{C3380CC4-5D6E-409C-BE32-E72D297353CC}">
                  <c16:uniqueId val="{00000003-0D86-4300-9086-B7FE05E8B6C1}"/>
                </c:ext>
              </c:extLst>
            </c:dLbl>
            <c:dLbl>
              <c:idx val="2"/>
              <c:layout>
                <c:manualLayout>
                  <c:x val="-5.068870523415981E-2"/>
                  <c:y val="-2.3283030547072765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1813791457885945"/>
                      <c:h val="0.16773060230216319"/>
                    </c:manualLayout>
                  </c15:layout>
                </c:ext>
                <c:ext xmlns:c16="http://schemas.microsoft.com/office/drawing/2014/chart" uri="{C3380CC4-5D6E-409C-BE32-E72D297353CC}">
                  <c16:uniqueId val="{00000005-0D86-4300-9086-B7FE05E8B6C1}"/>
                </c:ext>
              </c:extLst>
            </c:dLbl>
            <c:dLbl>
              <c:idx val="3"/>
              <c:layout>
                <c:manualLayout>
                  <c:x val="-3.7465564738292018E-2"/>
                  <c:y val="-4.6858359957401646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6761111472636167"/>
                      <c:h val="0.15819669600123515"/>
                    </c:manualLayout>
                  </c15:layout>
                </c:ext>
                <c:ext xmlns:c16="http://schemas.microsoft.com/office/drawing/2014/chart" uri="{C3380CC4-5D6E-409C-BE32-E72D297353CC}">
                  <c16:uniqueId val="{00000007-0D86-4300-9086-B7FE05E8B6C1}"/>
                </c:ext>
              </c:extLst>
            </c:dLbl>
            <c:dLbl>
              <c:idx val="4"/>
              <c:layout>
                <c:manualLayout>
                  <c:x val="-4.187327823691462E-2"/>
                  <c:y val="5.6557067746723352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0D86-4300-9086-B7FE05E8B6C1}"/>
                </c:ext>
              </c:extLst>
            </c:dLbl>
            <c:dLbl>
              <c:idx val="5"/>
              <c:layout>
                <c:manualLayout>
                  <c:x val="-0.10396373180625153"/>
                  <c:y val="5.5009090813179395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0D86-4300-9086-B7FE05E8B6C1}"/>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Sheet1!$A$2:$A$7</c:f>
              <c:strCache>
                <c:ptCount val="6"/>
                <c:pt idx="0">
                  <c:v>Europe occidentale et Amérique du Nord (GE I)</c:v>
                </c:pt>
                <c:pt idx="1">
                  <c:v>Europe orientale (GE II)</c:v>
                </c:pt>
                <c:pt idx="2">
                  <c:v>Amérique latine et Caraïbes (GE III)</c:v>
                </c:pt>
                <c:pt idx="3">
                  <c:v>Asie et Pacifique (GE IV)</c:v>
                </c:pt>
                <c:pt idx="4">
                  <c:v>Afrique (GE V(a))</c:v>
                </c:pt>
                <c:pt idx="5">
                  <c:v>États arabes (GE V(b))</c:v>
                </c:pt>
              </c:strCache>
            </c:strRef>
          </c:cat>
          <c:val>
            <c:numRef>
              <c:f>Sheet1!$B$2:$B$7</c:f>
              <c:numCache>
                <c:formatCode>General</c:formatCode>
                <c:ptCount val="6"/>
                <c:pt idx="0">
                  <c:v>8</c:v>
                </c:pt>
                <c:pt idx="1">
                  <c:v>9</c:v>
                </c:pt>
                <c:pt idx="2">
                  <c:v>4</c:v>
                </c:pt>
                <c:pt idx="3">
                  <c:v>3</c:v>
                </c:pt>
                <c:pt idx="4">
                  <c:v>7</c:v>
                </c:pt>
                <c:pt idx="5">
                  <c:v>2</c:v>
                </c:pt>
              </c:numCache>
            </c:numRef>
          </c:val>
          <c:extLst>
            <c:ext xmlns:c16="http://schemas.microsoft.com/office/drawing/2014/chart" uri="{C3380CC4-5D6E-409C-BE32-E72D297353CC}">
              <c16:uniqueId val="{0000000C-0D86-4300-9086-B7FE05E8B6C1}"/>
            </c:ext>
          </c:extLst>
        </c:ser>
        <c:dLbls>
          <c:showLegendKey val="0"/>
          <c:showVal val="0"/>
          <c:showCatName val="0"/>
          <c:showSerName val="0"/>
          <c:showPercent val="0"/>
          <c:showBubbleSize val="0"/>
          <c:showLeaderLines val="0"/>
        </c:dLbls>
        <c:firstSliceAng val="36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41D099-1633-498D-9EE7-CD59D5130D8C}" type="doc">
      <dgm:prSet loTypeId="urn:microsoft.com/office/officeart/2005/8/layout/hProcess9" loCatId="process" qsTypeId="urn:microsoft.com/office/officeart/2005/8/quickstyle/simple1" qsCatId="simple" csTypeId="urn:microsoft.com/office/officeart/2005/8/colors/colorful1" csCatId="colorful" phldr="1"/>
      <dgm:spPr/>
    </dgm:pt>
    <dgm:pt modelId="{2E796318-53A7-408F-88A2-936F08B1E333}">
      <dgm:prSet phldrT="[Text]"/>
      <dgm:spPr>
        <a:xfrm>
          <a:off x="4118" y="1188719"/>
          <a:ext cx="1981051" cy="1584960"/>
        </a:xfrm>
      </dgm:spPr>
      <dgm:t>
        <a:bodyPr/>
        <a:lstStyle/>
        <a:p>
          <a:r>
            <a:rPr lang="fr-FR" b="1" dirty="0">
              <a:solidFill>
                <a:sysClr val="windowText" lastClr="000000"/>
              </a:solidFill>
              <a:latin typeface="Arial" panose="020B0604020202020204" pitchFamily="34" charset="0"/>
              <a:cs typeface="Arial" panose="020B0604020202020204" pitchFamily="34" charset="0"/>
            </a:rPr>
            <a:t>Avril 2018</a:t>
          </a:r>
        </a:p>
        <a:p>
          <a:r>
            <a:rPr lang="fr-FR" b="1" dirty="0">
              <a:latin typeface="Arial" panose="020B0604020202020204" pitchFamily="34" charset="0"/>
              <a:cs typeface="Arial" panose="020B0604020202020204" pitchFamily="34" charset="0"/>
            </a:rPr>
            <a:t>Lancement du processus de consultation</a:t>
          </a:r>
        </a:p>
      </dgm:t>
    </dgm:pt>
    <dgm:pt modelId="{C37DF8F8-6078-4246-ACD4-2ED594C41BD5}" type="parTrans" cxnId="{EAB4DA61-4F27-4E9E-9699-E9D24BBDF1BB}">
      <dgm:prSet/>
      <dgm:spPr/>
      <dgm:t>
        <a:bodyPr/>
        <a:lstStyle/>
        <a:p>
          <a:endParaRPr lang="en-ZA" b="1">
            <a:latin typeface="Arial" panose="020B0604020202020204" pitchFamily="34" charset="0"/>
            <a:cs typeface="Arial" panose="020B0604020202020204" pitchFamily="34" charset="0"/>
          </a:endParaRPr>
        </a:p>
      </dgm:t>
    </dgm:pt>
    <dgm:pt modelId="{BF5945FA-5B6D-4508-8812-00412B40BB13}" type="sibTrans" cxnId="{EAB4DA61-4F27-4E9E-9699-E9D24BBDF1BB}">
      <dgm:prSet/>
      <dgm:spPr/>
      <dgm:t>
        <a:bodyPr/>
        <a:lstStyle/>
        <a:p>
          <a:endParaRPr lang="en-ZA" b="1">
            <a:latin typeface="Arial" panose="020B0604020202020204" pitchFamily="34" charset="0"/>
            <a:cs typeface="Arial" panose="020B0604020202020204" pitchFamily="34" charset="0"/>
          </a:endParaRPr>
        </a:p>
      </dgm:t>
    </dgm:pt>
    <dgm:pt modelId="{86734FE9-1EA8-4082-A0ED-D525929EC91C}">
      <dgm:prSet phldrT="[Text]"/>
      <dgm:spPr>
        <a:xfrm>
          <a:off x="4164326" y="1188719"/>
          <a:ext cx="1981051" cy="1584960"/>
        </a:xfrm>
      </dgm:spPr>
      <dgm:t>
        <a:bodyPr/>
        <a:lstStyle/>
        <a:p>
          <a:r>
            <a:rPr lang="fr-FR" b="1" dirty="0">
              <a:solidFill>
                <a:sysClr val="windowText" lastClr="000000"/>
              </a:solidFill>
              <a:latin typeface="Arial" panose="020B0604020202020204" pitchFamily="34" charset="0"/>
              <a:cs typeface="Arial" panose="020B0604020202020204" pitchFamily="34" charset="0"/>
            </a:rPr>
            <a:t>Septembre-octobre 2018</a:t>
          </a:r>
          <a:r>
            <a:rPr lang="fr-FR" b="1" dirty="0">
              <a:latin typeface="Arial" panose="020B0604020202020204" pitchFamily="34" charset="0"/>
              <a:cs typeface="Arial" panose="020B0604020202020204" pitchFamily="34" charset="0"/>
            </a:rPr>
            <a:t/>
          </a:r>
          <a:br>
            <a:rPr lang="fr-FR" b="1" dirty="0">
              <a:latin typeface="Arial" panose="020B0604020202020204" pitchFamily="34" charset="0"/>
              <a:cs typeface="Arial" panose="020B0604020202020204" pitchFamily="34" charset="0"/>
            </a:rPr>
          </a:br>
          <a:r>
            <a:rPr lang="fr-FR" b="1" dirty="0">
              <a:latin typeface="Arial" panose="020B0604020202020204" pitchFamily="34" charset="0"/>
              <a:cs typeface="Arial" panose="020B0604020202020204" pitchFamily="34" charset="0"/>
            </a:rPr>
            <a:t>Consultation électronique pour les ONG accréditées et les États parties</a:t>
          </a:r>
        </a:p>
      </dgm:t>
    </dgm:pt>
    <dgm:pt modelId="{8D6FE73B-CE95-4375-AB6B-DA1D8170CFE6}" type="parTrans" cxnId="{14E6D1EA-DC1F-42F8-BA77-72CC559D0B25}">
      <dgm:prSet/>
      <dgm:spPr/>
      <dgm:t>
        <a:bodyPr/>
        <a:lstStyle/>
        <a:p>
          <a:endParaRPr lang="en-ZA" b="1">
            <a:latin typeface="Arial" panose="020B0604020202020204" pitchFamily="34" charset="0"/>
            <a:cs typeface="Arial" panose="020B0604020202020204" pitchFamily="34" charset="0"/>
          </a:endParaRPr>
        </a:p>
      </dgm:t>
    </dgm:pt>
    <dgm:pt modelId="{C98C9EE5-76C0-4522-98EF-0ED87E557442}" type="sibTrans" cxnId="{14E6D1EA-DC1F-42F8-BA77-72CC559D0B25}">
      <dgm:prSet/>
      <dgm:spPr/>
      <dgm:t>
        <a:bodyPr/>
        <a:lstStyle/>
        <a:p>
          <a:endParaRPr lang="en-ZA" b="1">
            <a:latin typeface="Arial" panose="020B0604020202020204" pitchFamily="34" charset="0"/>
            <a:cs typeface="Arial" panose="020B0604020202020204" pitchFamily="34" charset="0"/>
          </a:endParaRPr>
        </a:p>
      </dgm:t>
    </dgm:pt>
    <dgm:pt modelId="{083C8458-B68A-49E4-9C3A-F2BA563E3BBE}">
      <dgm:prSet phldrT="[Text]"/>
      <dgm:spPr>
        <a:xfrm>
          <a:off x="4118" y="1188719"/>
          <a:ext cx="1981051" cy="1584960"/>
        </a:xfrm>
      </dgm:spPr>
      <dgm:t>
        <a:bodyPr/>
        <a:lstStyle/>
        <a:p>
          <a:r>
            <a:rPr lang="fr-FR" b="1" dirty="0">
              <a:solidFill>
                <a:sysClr val="windowText" lastClr="000000"/>
              </a:solidFill>
              <a:latin typeface="Arial" panose="020B0604020202020204" pitchFamily="34" charset="0"/>
              <a:cs typeface="Arial" panose="020B0604020202020204" pitchFamily="34" charset="0"/>
            </a:rPr>
            <a:t>14.COM </a:t>
          </a:r>
        </a:p>
        <a:p>
          <a:r>
            <a:rPr lang="fr-FR" b="1" dirty="0">
              <a:latin typeface="Arial" panose="020B0604020202020204" pitchFamily="34" charset="0"/>
              <a:cs typeface="Arial" panose="020B0604020202020204" pitchFamily="34" charset="0"/>
            </a:rPr>
            <a:t>Rapport auprès du Comité sur les résultats du processus de consultation</a:t>
          </a:r>
        </a:p>
      </dgm:t>
    </dgm:pt>
    <dgm:pt modelId="{D9DBBC81-0509-4641-A085-D5432290D765}" type="parTrans" cxnId="{0C16E369-1049-4B12-B894-3AC45F607325}">
      <dgm:prSet/>
      <dgm:spPr/>
      <dgm:t>
        <a:bodyPr/>
        <a:lstStyle/>
        <a:p>
          <a:endParaRPr lang="en-US" b="1">
            <a:latin typeface="Arial" panose="020B0604020202020204" pitchFamily="34" charset="0"/>
            <a:cs typeface="Arial" panose="020B0604020202020204" pitchFamily="34" charset="0"/>
          </a:endParaRPr>
        </a:p>
      </dgm:t>
    </dgm:pt>
    <dgm:pt modelId="{096191AD-6ECF-4756-9F9F-6ED3B3EE3179}" type="sibTrans" cxnId="{0C16E369-1049-4B12-B894-3AC45F607325}">
      <dgm:prSet/>
      <dgm:spPr/>
      <dgm:t>
        <a:bodyPr/>
        <a:lstStyle/>
        <a:p>
          <a:endParaRPr lang="en-US" b="1">
            <a:latin typeface="Arial" panose="020B0604020202020204" pitchFamily="34" charset="0"/>
            <a:cs typeface="Arial" panose="020B0604020202020204" pitchFamily="34" charset="0"/>
          </a:endParaRPr>
        </a:p>
      </dgm:t>
    </dgm:pt>
    <dgm:pt modelId="{FC7B474C-D0CE-4406-9911-39D568DB95F3}">
      <dgm:prSet phldrT="[Text]"/>
      <dgm:spPr>
        <a:xfrm>
          <a:off x="6244430" y="1188719"/>
          <a:ext cx="1981051" cy="1584960"/>
        </a:xfrm>
      </dgm:spPr>
      <dgm:t>
        <a:bodyPr/>
        <a:lstStyle/>
        <a:p>
          <a:r>
            <a:rPr lang="fr-FR" b="1" dirty="0">
              <a:solidFill>
                <a:sysClr val="windowText" lastClr="000000"/>
              </a:solidFill>
              <a:latin typeface="Arial" panose="020B0604020202020204" pitchFamily="34" charset="0"/>
              <a:cs typeface="Arial" panose="020B0604020202020204" pitchFamily="34" charset="0"/>
            </a:rPr>
            <a:t>13.COM </a:t>
          </a:r>
        </a:p>
        <a:p>
          <a:r>
            <a:rPr lang="fr-FR" b="1" dirty="0">
              <a:latin typeface="Arial" panose="020B0604020202020204" pitchFamily="34" charset="0"/>
              <a:cs typeface="Arial" panose="020B0604020202020204" pitchFamily="34" charset="0"/>
            </a:rPr>
            <a:t>Rapport auprès du Comité sur les premiers résultats de la consultation électronique</a:t>
          </a:r>
        </a:p>
      </dgm:t>
    </dgm:pt>
    <dgm:pt modelId="{0CCFBF0D-D248-425B-B1D7-B97FC82CBFD8}" type="parTrans" cxnId="{A6618E40-AAB4-4EE3-A3F5-1F93EADFDC28}">
      <dgm:prSet/>
      <dgm:spPr/>
      <dgm:t>
        <a:bodyPr/>
        <a:lstStyle/>
        <a:p>
          <a:endParaRPr lang="en-US" b="1">
            <a:latin typeface="Arial" panose="020B0604020202020204" pitchFamily="34" charset="0"/>
            <a:cs typeface="Arial" panose="020B0604020202020204" pitchFamily="34" charset="0"/>
          </a:endParaRPr>
        </a:p>
      </dgm:t>
    </dgm:pt>
    <dgm:pt modelId="{98A9CB4A-23B2-4811-B8E9-026BFAEFD36B}" type="sibTrans" cxnId="{A6618E40-AAB4-4EE3-A3F5-1F93EADFDC28}">
      <dgm:prSet/>
      <dgm:spPr/>
      <dgm:t>
        <a:bodyPr/>
        <a:lstStyle/>
        <a:p>
          <a:endParaRPr lang="en-US" b="1">
            <a:latin typeface="Arial" panose="020B0604020202020204" pitchFamily="34" charset="0"/>
            <a:cs typeface="Arial" panose="020B0604020202020204" pitchFamily="34" charset="0"/>
          </a:endParaRPr>
        </a:p>
      </dgm:t>
    </dgm:pt>
    <dgm:pt modelId="{9BE05845-D9BF-4918-8E0C-79BC1EC92463}">
      <dgm:prSet phldrT="[Text]"/>
      <dgm:spPr>
        <a:xfrm>
          <a:off x="6244430" y="1188719"/>
          <a:ext cx="1981051" cy="1584960"/>
        </a:xfrm>
      </dgm:spPr>
      <dgm:t>
        <a:bodyPr/>
        <a:lstStyle/>
        <a:p>
          <a:r>
            <a:rPr lang="fr-FR" b="1" dirty="0">
              <a:solidFill>
                <a:sysClr val="windowText" lastClr="000000"/>
              </a:solidFill>
              <a:latin typeface="Arial" panose="020B0604020202020204" pitchFamily="34" charset="0"/>
              <a:cs typeface="Arial" panose="020B0604020202020204" pitchFamily="34" charset="0"/>
            </a:rPr>
            <a:t>Printemps 2019</a:t>
          </a:r>
          <a:r>
            <a:rPr lang="fr-FR" b="1" dirty="0">
              <a:latin typeface="Arial" panose="020B0604020202020204" pitchFamily="34" charset="0"/>
              <a:cs typeface="Arial" panose="020B0604020202020204" pitchFamily="34" charset="0"/>
            </a:rPr>
            <a:t/>
          </a:r>
          <a:br>
            <a:rPr lang="fr-FR" b="1" dirty="0">
              <a:latin typeface="Arial" panose="020B0604020202020204" pitchFamily="34" charset="0"/>
              <a:cs typeface="Arial" panose="020B0604020202020204" pitchFamily="34" charset="0"/>
            </a:rPr>
          </a:br>
          <a:r>
            <a:rPr lang="fr-FR" b="1" dirty="0">
              <a:latin typeface="Arial" panose="020B0604020202020204" pitchFamily="34" charset="0"/>
              <a:cs typeface="Arial" panose="020B0604020202020204" pitchFamily="34" charset="0"/>
            </a:rPr>
            <a:t>Réunion de consultation avec le Forum des ONG-PCI et le groupe de travail informel ad hoc </a:t>
          </a:r>
        </a:p>
      </dgm:t>
    </dgm:pt>
    <dgm:pt modelId="{9DA1AF7C-A28D-4E1C-B555-A1843D56D12B}" type="parTrans" cxnId="{FD040BF5-7B0B-475B-8258-A75D640D7021}">
      <dgm:prSet/>
      <dgm:spPr/>
      <dgm:t>
        <a:bodyPr/>
        <a:lstStyle/>
        <a:p>
          <a:endParaRPr lang="en-US" b="1">
            <a:latin typeface="Arial" panose="020B0604020202020204" pitchFamily="34" charset="0"/>
            <a:cs typeface="Arial" panose="020B0604020202020204" pitchFamily="34" charset="0"/>
          </a:endParaRPr>
        </a:p>
      </dgm:t>
    </dgm:pt>
    <dgm:pt modelId="{9EBB8855-93DA-4F01-8E90-8E49323677E3}" type="sibTrans" cxnId="{FD040BF5-7B0B-475B-8258-A75D640D7021}">
      <dgm:prSet/>
      <dgm:spPr/>
      <dgm:t>
        <a:bodyPr/>
        <a:lstStyle/>
        <a:p>
          <a:endParaRPr lang="en-US" b="1">
            <a:latin typeface="Arial" panose="020B0604020202020204" pitchFamily="34" charset="0"/>
            <a:cs typeface="Arial" panose="020B0604020202020204" pitchFamily="34" charset="0"/>
          </a:endParaRPr>
        </a:p>
      </dgm:t>
    </dgm:pt>
    <dgm:pt modelId="{8C944744-609E-4FA3-BEBF-299081EE0F87}">
      <dgm:prSet phldrT="[Text]"/>
      <dgm:spPr>
        <a:xfrm>
          <a:off x="4118" y="1188719"/>
          <a:ext cx="1981051" cy="1584960"/>
        </a:xfrm>
      </dgm:spPr>
      <dgm:t>
        <a:bodyPr/>
        <a:lstStyle/>
        <a:p>
          <a:r>
            <a:rPr lang="fr-FR" b="1" dirty="0">
              <a:solidFill>
                <a:sysClr val="windowText" lastClr="000000"/>
              </a:solidFill>
              <a:latin typeface="Arial" panose="020B0604020202020204" pitchFamily="34" charset="0"/>
              <a:cs typeface="Arial" panose="020B0604020202020204" pitchFamily="34" charset="0"/>
            </a:rPr>
            <a:t>Mai-août 2018</a:t>
          </a:r>
          <a:r>
            <a:rPr lang="fr-FR" b="1" dirty="0">
              <a:latin typeface="Arial" panose="020B0604020202020204" pitchFamily="34" charset="0"/>
              <a:cs typeface="Arial" panose="020B0604020202020204" pitchFamily="34" charset="0"/>
            </a:rPr>
            <a:t/>
          </a:r>
          <a:br>
            <a:rPr lang="fr-FR" b="1" dirty="0">
              <a:latin typeface="Arial" panose="020B0604020202020204" pitchFamily="34" charset="0"/>
              <a:cs typeface="Arial" panose="020B0604020202020204" pitchFamily="34" charset="0"/>
            </a:rPr>
          </a:br>
          <a:r>
            <a:rPr lang="fr-FR" b="1" dirty="0">
              <a:latin typeface="Arial" panose="020B0604020202020204" pitchFamily="34" charset="0"/>
              <a:cs typeface="Arial" panose="020B0604020202020204" pitchFamily="34" charset="0"/>
            </a:rPr>
            <a:t>Consultations préliminaires avec le Forum des ONG-PCI et le groupe de travail informel ad hoc</a:t>
          </a:r>
        </a:p>
      </dgm:t>
    </dgm:pt>
    <dgm:pt modelId="{4267B780-1E9D-4328-8A9F-566B4D28BF46}" type="parTrans" cxnId="{D477C481-411C-452F-98B9-8CCBF91F113C}">
      <dgm:prSet/>
      <dgm:spPr/>
      <dgm:t>
        <a:bodyPr/>
        <a:lstStyle/>
        <a:p>
          <a:endParaRPr lang="en-US" b="1">
            <a:latin typeface="Arial" panose="020B0604020202020204" pitchFamily="34" charset="0"/>
            <a:cs typeface="Arial" panose="020B0604020202020204" pitchFamily="34" charset="0"/>
          </a:endParaRPr>
        </a:p>
      </dgm:t>
    </dgm:pt>
    <dgm:pt modelId="{2B8C8B70-5B8B-4DB5-A422-7D8E19A4825B}" type="sibTrans" cxnId="{D477C481-411C-452F-98B9-8CCBF91F113C}">
      <dgm:prSet/>
      <dgm:spPr/>
      <dgm:t>
        <a:bodyPr/>
        <a:lstStyle/>
        <a:p>
          <a:endParaRPr lang="en-US" b="1">
            <a:latin typeface="Arial" panose="020B0604020202020204" pitchFamily="34" charset="0"/>
            <a:cs typeface="Arial" panose="020B0604020202020204" pitchFamily="34" charset="0"/>
          </a:endParaRPr>
        </a:p>
      </dgm:t>
    </dgm:pt>
    <dgm:pt modelId="{C6606B03-7DDD-46FB-A54F-1909C90CCC09}" type="pres">
      <dgm:prSet presAssocID="{B941D099-1633-498D-9EE7-CD59D5130D8C}" presName="CompostProcess" presStyleCnt="0">
        <dgm:presLayoutVars>
          <dgm:dir/>
          <dgm:resizeHandles val="exact"/>
        </dgm:presLayoutVars>
      </dgm:prSet>
      <dgm:spPr/>
    </dgm:pt>
    <dgm:pt modelId="{662911A4-71D6-4144-8C5C-A38BFC92E47D}" type="pres">
      <dgm:prSet presAssocID="{B941D099-1633-498D-9EE7-CD59D5130D8C}" presName="arrow" presStyleLbl="bgShp" presStyleIdx="0" presStyleCnt="1" custScaleX="117647" custScaleY="50688" custLinFactNeighborY="20793"/>
      <dgm:spPr>
        <a:xfrm>
          <a:off x="617219" y="0"/>
          <a:ext cx="6995160" cy="3962399"/>
        </a:xfrm>
        <a:prstGeom prst="rightArrow">
          <a:avLst/>
        </a:prstGeom>
      </dgm:spPr>
    </dgm:pt>
    <dgm:pt modelId="{93958B13-28E3-4F34-991F-8D543BA9B6ED}" type="pres">
      <dgm:prSet presAssocID="{B941D099-1633-498D-9EE7-CD59D5130D8C}" presName="linearProcess" presStyleCnt="0"/>
      <dgm:spPr/>
    </dgm:pt>
    <dgm:pt modelId="{B6D16306-B09C-420E-A24C-5FABF0230D2A}" type="pres">
      <dgm:prSet presAssocID="{2E796318-53A7-408F-88A2-936F08B1E333}" presName="textNode" presStyleLbl="node1" presStyleIdx="0" presStyleCnt="6" custScaleY="107865" custLinFactNeighborY="-7748">
        <dgm:presLayoutVars>
          <dgm:bulletEnabled val="1"/>
        </dgm:presLayoutVars>
      </dgm:prSet>
      <dgm:spPr/>
      <dgm:t>
        <a:bodyPr/>
        <a:lstStyle/>
        <a:p>
          <a:endParaRPr lang="en-US"/>
        </a:p>
      </dgm:t>
    </dgm:pt>
    <dgm:pt modelId="{323EEEFE-4B01-4AFD-B18A-8902802AD8FA}" type="pres">
      <dgm:prSet presAssocID="{BF5945FA-5B6D-4508-8812-00412B40BB13}" presName="sibTrans" presStyleCnt="0"/>
      <dgm:spPr/>
    </dgm:pt>
    <dgm:pt modelId="{9B758AEA-0765-41B5-B81F-B32824A4E3C5}" type="pres">
      <dgm:prSet presAssocID="{8C944744-609E-4FA3-BEBF-299081EE0F87}" presName="textNode" presStyleLbl="node1" presStyleIdx="1" presStyleCnt="6" custScaleY="107865" custLinFactNeighborY="-7748">
        <dgm:presLayoutVars>
          <dgm:bulletEnabled val="1"/>
        </dgm:presLayoutVars>
      </dgm:prSet>
      <dgm:spPr/>
      <dgm:t>
        <a:bodyPr/>
        <a:lstStyle/>
        <a:p>
          <a:endParaRPr lang="en-US"/>
        </a:p>
      </dgm:t>
    </dgm:pt>
    <dgm:pt modelId="{38CED3EB-5479-4EE4-A5BB-ADE12C69F8F7}" type="pres">
      <dgm:prSet presAssocID="{2B8C8B70-5B8B-4DB5-A422-7D8E19A4825B}" presName="sibTrans" presStyleCnt="0"/>
      <dgm:spPr/>
    </dgm:pt>
    <dgm:pt modelId="{04D6F2D0-9BB0-4BB4-B167-9B4C97C24BBA}" type="pres">
      <dgm:prSet presAssocID="{86734FE9-1EA8-4082-A0ED-D525929EC91C}" presName="textNode" presStyleLbl="node1" presStyleIdx="2" presStyleCnt="6" custScaleY="107865" custLinFactNeighborY="-7748">
        <dgm:presLayoutVars>
          <dgm:bulletEnabled val="1"/>
        </dgm:presLayoutVars>
      </dgm:prSet>
      <dgm:spPr/>
      <dgm:t>
        <a:bodyPr/>
        <a:lstStyle/>
        <a:p>
          <a:endParaRPr lang="en-US"/>
        </a:p>
      </dgm:t>
    </dgm:pt>
    <dgm:pt modelId="{DD1B22D4-5864-4658-A5FD-879468D7A331}" type="pres">
      <dgm:prSet presAssocID="{C98C9EE5-76C0-4522-98EF-0ED87E557442}" presName="sibTrans" presStyleCnt="0"/>
      <dgm:spPr/>
    </dgm:pt>
    <dgm:pt modelId="{0DF96FEA-C4A6-4901-91E5-0A6BC353CD6A}" type="pres">
      <dgm:prSet presAssocID="{FC7B474C-D0CE-4406-9911-39D568DB95F3}" presName="textNode" presStyleLbl="node1" presStyleIdx="3" presStyleCnt="6" custScaleY="107865" custLinFactNeighborY="-7748">
        <dgm:presLayoutVars>
          <dgm:bulletEnabled val="1"/>
        </dgm:presLayoutVars>
      </dgm:prSet>
      <dgm:spPr/>
      <dgm:t>
        <a:bodyPr/>
        <a:lstStyle/>
        <a:p>
          <a:endParaRPr lang="en-US"/>
        </a:p>
      </dgm:t>
    </dgm:pt>
    <dgm:pt modelId="{17EB9CB3-3BAB-47D7-97E9-44D0B9B4BB60}" type="pres">
      <dgm:prSet presAssocID="{98A9CB4A-23B2-4811-B8E9-026BFAEFD36B}" presName="sibTrans" presStyleCnt="0"/>
      <dgm:spPr/>
    </dgm:pt>
    <dgm:pt modelId="{50414D1F-8582-445F-8483-E2609AACE414}" type="pres">
      <dgm:prSet presAssocID="{9BE05845-D9BF-4918-8E0C-79BC1EC92463}" presName="textNode" presStyleLbl="node1" presStyleIdx="4" presStyleCnt="6" custScaleY="107865" custLinFactNeighborY="-7748">
        <dgm:presLayoutVars>
          <dgm:bulletEnabled val="1"/>
        </dgm:presLayoutVars>
      </dgm:prSet>
      <dgm:spPr/>
      <dgm:t>
        <a:bodyPr/>
        <a:lstStyle/>
        <a:p>
          <a:endParaRPr lang="en-US"/>
        </a:p>
      </dgm:t>
    </dgm:pt>
    <dgm:pt modelId="{9B861B86-7092-42CE-B41F-F22DA9F9F1B6}" type="pres">
      <dgm:prSet presAssocID="{9EBB8855-93DA-4F01-8E90-8E49323677E3}" presName="sibTrans" presStyleCnt="0"/>
      <dgm:spPr/>
    </dgm:pt>
    <dgm:pt modelId="{765E30AC-16F6-416D-BB4F-3E8A49167159}" type="pres">
      <dgm:prSet presAssocID="{083C8458-B68A-49E4-9C3A-F2BA563E3BBE}" presName="textNode" presStyleLbl="node1" presStyleIdx="5" presStyleCnt="6" custScaleY="107865" custLinFactNeighborY="-7748">
        <dgm:presLayoutVars>
          <dgm:bulletEnabled val="1"/>
        </dgm:presLayoutVars>
      </dgm:prSet>
      <dgm:spPr/>
      <dgm:t>
        <a:bodyPr/>
        <a:lstStyle/>
        <a:p>
          <a:endParaRPr lang="en-US"/>
        </a:p>
      </dgm:t>
    </dgm:pt>
  </dgm:ptLst>
  <dgm:cxnLst>
    <dgm:cxn modelId="{FA9D53A3-0CB9-497E-970A-7459BB408E0D}" type="presOf" srcId="{8C944744-609E-4FA3-BEBF-299081EE0F87}" destId="{9B758AEA-0765-41B5-B81F-B32824A4E3C5}" srcOrd="0" destOrd="0" presId="urn:microsoft.com/office/officeart/2005/8/layout/hProcess9"/>
    <dgm:cxn modelId="{A6618E40-AAB4-4EE3-A3F5-1F93EADFDC28}" srcId="{B941D099-1633-498D-9EE7-CD59D5130D8C}" destId="{FC7B474C-D0CE-4406-9911-39D568DB95F3}" srcOrd="3" destOrd="0" parTransId="{0CCFBF0D-D248-425B-B1D7-B97FC82CBFD8}" sibTransId="{98A9CB4A-23B2-4811-B8E9-026BFAEFD36B}"/>
    <dgm:cxn modelId="{EAB4DA61-4F27-4E9E-9699-E9D24BBDF1BB}" srcId="{B941D099-1633-498D-9EE7-CD59D5130D8C}" destId="{2E796318-53A7-408F-88A2-936F08B1E333}" srcOrd="0" destOrd="0" parTransId="{C37DF8F8-6078-4246-ACD4-2ED594C41BD5}" sibTransId="{BF5945FA-5B6D-4508-8812-00412B40BB13}"/>
    <dgm:cxn modelId="{CCC8A43A-9C04-4AFF-BB12-F4314B561210}" type="presOf" srcId="{083C8458-B68A-49E4-9C3A-F2BA563E3BBE}" destId="{765E30AC-16F6-416D-BB4F-3E8A49167159}" srcOrd="0" destOrd="0" presId="urn:microsoft.com/office/officeart/2005/8/layout/hProcess9"/>
    <dgm:cxn modelId="{14E6D1EA-DC1F-42F8-BA77-72CC559D0B25}" srcId="{B941D099-1633-498D-9EE7-CD59D5130D8C}" destId="{86734FE9-1EA8-4082-A0ED-D525929EC91C}" srcOrd="2" destOrd="0" parTransId="{8D6FE73B-CE95-4375-AB6B-DA1D8170CFE6}" sibTransId="{C98C9EE5-76C0-4522-98EF-0ED87E557442}"/>
    <dgm:cxn modelId="{8C3835CA-EFCE-443D-87E1-4F46AA077D5B}" type="presOf" srcId="{86734FE9-1EA8-4082-A0ED-D525929EC91C}" destId="{04D6F2D0-9BB0-4BB4-B167-9B4C97C24BBA}" srcOrd="0" destOrd="0" presId="urn:microsoft.com/office/officeart/2005/8/layout/hProcess9"/>
    <dgm:cxn modelId="{982BF45A-B272-40A8-B191-934CC4C6285D}" type="presOf" srcId="{9BE05845-D9BF-4918-8E0C-79BC1EC92463}" destId="{50414D1F-8582-445F-8483-E2609AACE414}" srcOrd="0" destOrd="0" presId="urn:microsoft.com/office/officeart/2005/8/layout/hProcess9"/>
    <dgm:cxn modelId="{FD040BF5-7B0B-475B-8258-A75D640D7021}" srcId="{B941D099-1633-498D-9EE7-CD59D5130D8C}" destId="{9BE05845-D9BF-4918-8E0C-79BC1EC92463}" srcOrd="4" destOrd="0" parTransId="{9DA1AF7C-A28D-4E1C-B555-A1843D56D12B}" sibTransId="{9EBB8855-93DA-4F01-8E90-8E49323677E3}"/>
    <dgm:cxn modelId="{D477C481-411C-452F-98B9-8CCBF91F113C}" srcId="{B941D099-1633-498D-9EE7-CD59D5130D8C}" destId="{8C944744-609E-4FA3-BEBF-299081EE0F87}" srcOrd="1" destOrd="0" parTransId="{4267B780-1E9D-4328-8A9F-566B4D28BF46}" sibTransId="{2B8C8B70-5B8B-4DB5-A422-7D8E19A4825B}"/>
    <dgm:cxn modelId="{0C16E369-1049-4B12-B894-3AC45F607325}" srcId="{B941D099-1633-498D-9EE7-CD59D5130D8C}" destId="{083C8458-B68A-49E4-9C3A-F2BA563E3BBE}" srcOrd="5" destOrd="0" parTransId="{D9DBBC81-0509-4641-A085-D5432290D765}" sibTransId="{096191AD-6ECF-4756-9F9F-6ED3B3EE3179}"/>
    <dgm:cxn modelId="{7BEAF388-7B96-48E1-A5DE-AEFC1BEE32B5}" type="presOf" srcId="{2E796318-53A7-408F-88A2-936F08B1E333}" destId="{B6D16306-B09C-420E-A24C-5FABF0230D2A}" srcOrd="0" destOrd="0" presId="urn:microsoft.com/office/officeart/2005/8/layout/hProcess9"/>
    <dgm:cxn modelId="{0CB6FF2D-A2FF-4893-9169-C3DB55C24223}" type="presOf" srcId="{B941D099-1633-498D-9EE7-CD59D5130D8C}" destId="{C6606B03-7DDD-46FB-A54F-1909C90CCC09}" srcOrd="0" destOrd="0" presId="urn:microsoft.com/office/officeart/2005/8/layout/hProcess9"/>
    <dgm:cxn modelId="{736DA800-B1D4-44C4-948A-8EFA94304420}" type="presOf" srcId="{FC7B474C-D0CE-4406-9911-39D568DB95F3}" destId="{0DF96FEA-C4A6-4901-91E5-0A6BC353CD6A}" srcOrd="0" destOrd="0" presId="urn:microsoft.com/office/officeart/2005/8/layout/hProcess9"/>
    <dgm:cxn modelId="{7004A173-B23F-44D7-AF38-F6F80E122514}" type="presParOf" srcId="{C6606B03-7DDD-46FB-A54F-1909C90CCC09}" destId="{662911A4-71D6-4144-8C5C-A38BFC92E47D}" srcOrd="0" destOrd="0" presId="urn:microsoft.com/office/officeart/2005/8/layout/hProcess9"/>
    <dgm:cxn modelId="{5E8D5A92-1A85-414D-902A-3EFFA2309220}" type="presParOf" srcId="{C6606B03-7DDD-46FB-A54F-1909C90CCC09}" destId="{93958B13-28E3-4F34-991F-8D543BA9B6ED}" srcOrd="1" destOrd="0" presId="urn:microsoft.com/office/officeart/2005/8/layout/hProcess9"/>
    <dgm:cxn modelId="{3881D10B-42AF-4D99-BDE3-769FBC457216}" type="presParOf" srcId="{93958B13-28E3-4F34-991F-8D543BA9B6ED}" destId="{B6D16306-B09C-420E-A24C-5FABF0230D2A}" srcOrd="0" destOrd="0" presId="urn:microsoft.com/office/officeart/2005/8/layout/hProcess9"/>
    <dgm:cxn modelId="{971F4696-7BC9-4706-8A2E-29AEEFFFF77E}" type="presParOf" srcId="{93958B13-28E3-4F34-991F-8D543BA9B6ED}" destId="{323EEEFE-4B01-4AFD-B18A-8902802AD8FA}" srcOrd="1" destOrd="0" presId="urn:microsoft.com/office/officeart/2005/8/layout/hProcess9"/>
    <dgm:cxn modelId="{C4FA4E6E-5727-4D94-B705-54BBF69E0D2B}" type="presParOf" srcId="{93958B13-28E3-4F34-991F-8D543BA9B6ED}" destId="{9B758AEA-0765-41B5-B81F-B32824A4E3C5}" srcOrd="2" destOrd="0" presId="urn:microsoft.com/office/officeart/2005/8/layout/hProcess9"/>
    <dgm:cxn modelId="{66F5B4C0-76F6-4E9D-89B2-A08CB6BB5E1F}" type="presParOf" srcId="{93958B13-28E3-4F34-991F-8D543BA9B6ED}" destId="{38CED3EB-5479-4EE4-A5BB-ADE12C69F8F7}" srcOrd="3" destOrd="0" presId="urn:microsoft.com/office/officeart/2005/8/layout/hProcess9"/>
    <dgm:cxn modelId="{9931A775-CC1E-4E94-BCED-DA04B9794A9A}" type="presParOf" srcId="{93958B13-28E3-4F34-991F-8D543BA9B6ED}" destId="{04D6F2D0-9BB0-4BB4-B167-9B4C97C24BBA}" srcOrd="4" destOrd="0" presId="urn:microsoft.com/office/officeart/2005/8/layout/hProcess9"/>
    <dgm:cxn modelId="{E9CA8696-9536-4B11-9504-3AEF6E8BB48F}" type="presParOf" srcId="{93958B13-28E3-4F34-991F-8D543BA9B6ED}" destId="{DD1B22D4-5864-4658-A5FD-879468D7A331}" srcOrd="5" destOrd="0" presId="urn:microsoft.com/office/officeart/2005/8/layout/hProcess9"/>
    <dgm:cxn modelId="{B8E45FF8-1155-47D3-A9B9-01E1AAD12B30}" type="presParOf" srcId="{93958B13-28E3-4F34-991F-8D543BA9B6ED}" destId="{0DF96FEA-C4A6-4901-91E5-0A6BC353CD6A}" srcOrd="6" destOrd="0" presId="urn:microsoft.com/office/officeart/2005/8/layout/hProcess9"/>
    <dgm:cxn modelId="{5A5DBF12-E7E3-4A6C-B3DC-4850D6558B19}" type="presParOf" srcId="{93958B13-28E3-4F34-991F-8D543BA9B6ED}" destId="{17EB9CB3-3BAB-47D7-97E9-44D0B9B4BB60}" srcOrd="7" destOrd="0" presId="urn:microsoft.com/office/officeart/2005/8/layout/hProcess9"/>
    <dgm:cxn modelId="{8EAEBC78-D63F-4113-8BD1-85C5DFA21109}" type="presParOf" srcId="{93958B13-28E3-4F34-991F-8D543BA9B6ED}" destId="{50414D1F-8582-445F-8483-E2609AACE414}" srcOrd="8" destOrd="0" presId="urn:microsoft.com/office/officeart/2005/8/layout/hProcess9"/>
    <dgm:cxn modelId="{0D65280B-15F8-42F5-B2E6-079616ABF5A5}" type="presParOf" srcId="{93958B13-28E3-4F34-991F-8D543BA9B6ED}" destId="{9B861B86-7092-42CE-B41F-F22DA9F9F1B6}" srcOrd="9" destOrd="0" presId="urn:microsoft.com/office/officeart/2005/8/layout/hProcess9"/>
    <dgm:cxn modelId="{D8E41AC3-1AA9-43AA-898C-834E751BC95E}" type="presParOf" srcId="{93958B13-28E3-4F34-991F-8D543BA9B6ED}" destId="{765E30AC-16F6-416D-BB4F-3E8A49167159}" srcOrd="10" destOrd="0" presId="urn:microsoft.com/office/officeart/2005/8/layout/hProcess9"/>
  </dgm:cxnLst>
  <dgm:bg/>
  <dgm:whole>
    <a:ln>
      <a:solidFill>
        <a:schemeClr val="bg1">
          <a:lumMod val="85000"/>
        </a:schemeClr>
      </a:solid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2911A4-71D6-4144-8C5C-A38BFC92E47D}">
      <dsp:nvSpPr>
        <dsp:cNvPr id="0" name=""/>
        <dsp:cNvSpPr/>
      </dsp:nvSpPr>
      <dsp:spPr>
        <a:xfrm>
          <a:off x="1" y="1227123"/>
          <a:ext cx="5753732" cy="1368576"/>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6D16306-B09C-420E-A24C-5FABF0230D2A}">
      <dsp:nvSpPr>
        <dsp:cNvPr id="0" name=""/>
        <dsp:cNvSpPr/>
      </dsp:nvSpPr>
      <dsp:spPr>
        <a:xfrm>
          <a:off x="1580" y="683850"/>
          <a:ext cx="920091" cy="1164941"/>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b="1" kern="1200" dirty="0">
              <a:solidFill>
                <a:sysClr val="windowText" lastClr="000000"/>
              </a:solidFill>
              <a:latin typeface="Arial" panose="020B0604020202020204" pitchFamily="34" charset="0"/>
              <a:cs typeface="Arial" panose="020B0604020202020204" pitchFamily="34" charset="0"/>
            </a:rPr>
            <a:t>Avril 2018</a:t>
          </a:r>
        </a:p>
        <a:p>
          <a:pPr lvl="0" algn="ctr" defTabSz="355600">
            <a:lnSpc>
              <a:spcPct val="90000"/>
            </a:lnSpc>
            <a:spcBef>
              <a:spcPct val="0"/>
            </a:spcBef>
            <a:spcAft>
              <a:spcPct val="35000"/>
            </a:spcAft>
          </a:pPr>
          <a:r>
            <a:rPr lang="fr-FR" sz="800" b="1" kern="1200" dirty="0">
              <a:latin typeface="Arial" panose="020B0604020202020204" pitchFamily="34" charset="0"/>
              <a:cs typeface="Arial" panose="020B0604020202020204" pitchFamily="34" charset="0"/>
            </a:rPr>
            <a:t>Lancement du processus de consultation</a:t>
          </a:r>
        </a:p>
      </dsp:txBody>
      <dsp:txXfrm>
        <a:off x="46495" y="728765"/>
        <a:ext cx="830261" cy="1075111"/>
      </dsp:txXfrm>
    </dsp:sp>
    <dsp:sp modelId="{9B758AEA-0765-41B5-B81F-B32824A4E3C5}">
      <dsp:nvSpPr>
        <dsp:cNvPr id="0" name=""/>
        <dsp:cNvSpPr/>
      </dsp:nvSpPr>
      <dsp:spPr>
        <a:xfrm>
          <a:off x="967676" y="683850"/>
          <a:ext cx="920091" cy="1164941"/>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b="1" kern="1200" dirty="0">
              <a:solidFill>
                <a:sysClr val="windowText" lastClr="000000"/>
              </a:solidFill>
              <a:latin typeface="Arial" panose="020B0604020202020204" pitchFamily="34" charset="0"/>
              <a:cs typeface="Arial" panose="020B0604020202020204" pitchFamily="34" charset="0"/>
            </a:rPr>
            <a:t>Mai-août 2018</a:t>
          </a:r>
          <a:r>
            <a:rPr lang="fr-FR" sz="800" b="1" kern="1200" dirty="0">
              <a:latin typeface="Arial" panose="020B0604020202020204" pitchFamily="34" charset="0"/>
              <a:cs typeface="Arial" panose="020B0604020202020204" pitchFamily="34" charset="0"/>
            </a:rPr>
            <a:t/>
          </a:r>
          <a:br>
            <a:rPr lang="fr-FR" sz="800" b="1" kern="1200" dirty="0">
              <a:latin typeface="Arial" panose="020B0604020202020204" pitchFamily="34" charset="0"/>
              <a:cs typeface="Arial" panose="020B0604020202020204" pitchFamily="34" charset="0"/>
            </a:rPr>
          </a:br>
          <a:r>
            <a:rPr lang="fr-FR" sz="800" b="1" kern="1200" dirty="0">
              <a:latin typeface="Arial" panose="020B0604020202020204" pitchFamily="34" charset="0"/>
              <a:cs typeface="Arial" panose="020B0604020202020204" pitchFamily="34" charset="0"/>
            </a:rPr>
            <a:t>Consultations préliminaires avec le Forum des ONG-PCI et le groupe de travail informel ad hoc</a:t>
          </a:r>
        </a:p>
      </dsp:txBody>
      <dsp:txXfrm>
        <a:off x="1012591" y="728765"/>
        <a:ext cx="830261" cy="1075111"/>
      </dsp:txXfrm>
    </dsp:sp>
    <dsp:sp modelId="{04D6F2D0-9BB0-4BB4-B167-9B4C97C24BBA}">
      <dsp:nvSpPr>
        <dsp:cNvPr id="0" name=""/>
        <dsp:cNvSpPr/>
      </dsp:nvSpPr>
      <dsp:spPr>
        <a:xfrm>
          <a:off x="1933773" y="683850"/>
          <a:ext cx="920091" cy="1164941"/>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b="1" kern="1200" dirty="0">
              <a:solidFill>
                <a:sysClr val="windowText" lastClr="000000"/>
              </a:solidFill>
              <a:latin typeface="Arial" panose="020B0604020202020204" pitchFamily="34" charset="0"/>
              <a:cs typeface="Arial" panose="020B0604020202020204" pitchFamily="34" charset="0"/>
            </a:rPr>
            <a:t>Septembre-octobre 2018</a:t>
          </a:r>
          <a:r>
            <a:rPr lang="fr-FR" sz="800" b="1" kern="1200" dirty="0">
              <a:latin typeface="Arial" panose="020B0604020202020204" pitchFamily="34" charset="0"/>
              <a:cs typeface="Arial" panose="020B0604020202020204" pitchFamily="34" charset="0"/>
            </a:rPr>
            <a:t/>
          </a:r>
          <a:br>
            <a:rPr lang="fr-FR" sz="800" b="1" kern="1200" dirty="0">
              <a:latin typeface="Arial" panose="020B0604020202020204" pitchFamily="34" charset="0"/>
              <a:cs typeface="Arial" panose="020B0604020202020204" pitchFamily="34" charset="0"/>
            </a:rPr>
          </a:br>
          <a:r>
            <a:rPr lang="fr-FR" sz="800" b="1" kern="1200" dirty="0">
              <a:latin typeface="Arial" panose="020B0604020202020204" pitchFamily="34" charset="0"/>
              <a:cs typeface="Arial" panose="020B0604020202020204" pitchFamily="34" charset="0"/>
            </a:rPr>
            <a:t>Consultation électronique pour les ONG accréditées et les États parties</a:t>
          </a:r>
        </a:p>
      </dsp:txBody>
      <dsp:txXfrm>
        <a:off x="1978688" y="728765"/>
        <a:ext cx="830261" cy="1075111"/>
      </dsp:txXfrm>
    </dsp:sp>
    <dsp:sp modelId="{0DF96FEA-C4A6-4901-91E5-0A6BC353CD6A}">
      <dsp:nvSpPr>
        <dsp:cNvPr id="0" name=""/>
        <dsp:cNvSpPr/>
      </dsp:nvSpPr>
      <dsp:spPr>
        <a:xfrm>
          <a:off x="2899869" y="683850"/>
          <a:ext cx="920091" cy="1164941"/>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b="1" kern="1200" dirty="0">
              <a:solidFill>
                <a:sysClr val="windowText" lastClr="000000"/>
              </a:solidFill>
              <a:latin typeface="Arial" panose="020B0604020202020204" pitchFamily="34" charset="0"/>
              <a:cs typeface="Arial" panose="020B0604020202020204" pitchFamily="34" charset="0"/>
            </a:rPr>
            <a:t>13.COM </a:t>
          </a:r>
        </a:p>
        <a:p>
          <a:pPr lvl="0" algn="ctr" defTabSz="355600">
            <a:lnSpc>
              <a:spcPct val="90000"/>
            </a:lnSpc>
            <a:spcBef>
              <a:spcPct val="0"/>
            </a:spcBef>
            <a:spcAft>
              <a:spcPct val="35000"/>
            </a:spcAft>
          </a:pPr>
          <a:r>
            <a:rPr lang="fr-FR" sz="800" b="1" kern="1200" dirty="0">
              <a:latin typeface="Arial" panose="020B0604020202020204" pitchFamily="34" charset="0"/>
              <a:cs typeface="Arial" panose="020B0604020202020204" pitchFamily="34" charset="0"/>
            </a:rPr>
            <a:t>Rapport auprès du Comité sur les premiers résultats de la consultation électronique</a:t>
          </a:r>
        </a:p>
      </dsp:txBody>
      <dsp:txXfrm>
        <a:off x="2944784" y="728765"/>
        <a:ext cx="830261" cy="1075111"/>
      </dsp:txXfrm>
    </dsp:sp>
    <dsp:sp modelId="{50414D1F-8582-445F-8483-E2609AACE414}">
      <dsp:nvSpPr>
        <dsp:cNvPr id="0" name=""/>
        <dsp:cNvSpPr/>
      </dsp:nvSpPr>
      <dsp:spPr>
        <a:xfrm>
          <a:off x="3865966" y="683850"/>
          <a:ext cx="920091" cy="1164941"/>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b="1" kern="1200" dirty="0">
              <a:solidFill>
                <a:sysClr val="windowText" lastClr="000000"/>
              </a:solidFill>
              <a:latin typeface="Arial" panose="020B0604020202020204" pitchFamily="34" charset="0"/>
              <a:cs typeface="Arial" panose="020B0604020202020204" pitchFamily="34" charset="0"/>
            </a:rPr>
            <a:t>Printemps 2019</a:t>
          </a:r>
          <a:r>
            <a:rPr lang="fr-FR" sz="800" b="1" kern="1200" dirty="0">
              <a:latin typeface="Arial" panose="020B0604020202020204" pitchFamily="34" charset="0"/>
              <a:cs typeface="Arial" panose="020B0604020202020204" pitchFamily="34" charset="0"/>
            </a:rPr>
            <a:t/>
          </a:r>
          <a:br>
            <a:rPr lang="fr-FR" sz="800" b="1" kern="1200" dirty="0">
              <a:latin typeface="Arial" panose="020B0604020202020204" pitchFamily="34" charset="0"/>
              <a:cs typeface="Arial" panose="020B0604020202020204" pitchFamily="34" charset="0"/>
            </a:rPr>
          </a:br>
          <a:r>
            <a:rPr lang="fr-FR" sz="800" b="1" kern="1200" dirty="0">
              <a:latin typeface="Arial" panose="020B0604020202020204" pitchFamily="34" charset="0"/>
              <a:cs typeface="Arial" panose="020B0604020202020204" pitchFamily="34" charset="0"/>
            </a:rPr>
            <a:t>Réunion de consultation avec le Forum des ONG-PCI et le groupe de travail informel ad hoc </a:t>
          </a:r>
        </a:p>
      </dsp:txBody>
      <dsp:txXfrm>
        <a:off x="3910881" y="728765"/>
        <a:ext cx="830261" cy="1075111"/>
      </dsp:txXfrm>
    </dsp:sp>
    <dsp:sp modelId="{765E30AC-16F6-416D-BB4F-3E8A49167159}">
      <dsp:nvSpPr>
        <dsp:cNvPr id="0" name=""/>
        <dsp:cNvSpPr/>
      </dsp:nvSpPr>
      <dsp:spPr>
        <a:xfrm>
          <a:off x="4832062" y="683850"/>
          <a:ext cx="920091" cy="1164941"/>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b="1" kern="1200" dirty="0">
              <a:solidFill>
                <a:sysClr val="windowText" lastClr="000000"/>
              </a:solidFill>
              <a:latin typeface="Arial" panose="020B0604020202020204" pitchFamily="34" charset="0"/>
              <a:cs typeface="Arial" panose="020B0604020202020204" pitchFamily="34" charset="0"/>
            </a:rPr>
            <a:t>14.COM </a:t>
          </a:r>
        </a:p>
        <a:p>
          <a:pPr lvl="0" algn="ctr" defTabSz="355600">
            <a:lnSpc>
              <a:spcPct val="90000"/>
            </a:lnSpc>
            <a:spcBef>
              <a:spcPct val="0"/>
            </a:spcBef>
            <a:spcAft>
              <a:spcPct val="35000"/>
            </a:spcAft>
          </a:pPr>
          <a:r>
            <a:rPr lang="fr-FR" sz="800" b="1" kern="1200" dirty="0">
              <a:latin typeface="Arial" panose="020B0604020202020204" pitchFamily="34" charset="0"/>
              <a:cs typeface="Arial" panose="020B0604020202020204" pitchFamily="34" charset="0"/>
            </a:rPr>
            <a:t>Rapport auprès du Comité sur les résultats du processus de consultation</a:t>
          </a:r>
        </a:p>
      </dsp:txBody>
      <dsp:txXfrm>
        <a:off x="4876977" y="728765"/>
        <a:ext cx="830261" cy="1075111"/>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D50D8-692C-407C-9050-3F98AA099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9</TotalTime>
  <Pages>5</Pages>
  <Words>1887</Words>
  <Characters>10756</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Shin, Eunkyung</cp:lastModifiedBy>
  <cp:revision>3</cp:revision>
  <cp:lastPrinted>2018-10-25T08:29:00Z</cp:lastPrinted>
  <dcterms:created xsi:type="dcterms:W3CDTF">2018-10-25T17:15:00Z</dcterms:created>
  <dcterms:modified xsi:type="dcterms:W3CDTF">2018-10-25T17:26:00Z</dcterms:modified>
</cp:coreProperties>
</file>