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5DEE1" w14:textId="23232E76"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w:t>
      </w:r>
      <w:r w:rsidR="00A518F9">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49D4036D"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65945472" w14:textId="77777777" w:rsidR="00EC6F8D" w:rsidRPr="00293C60" w:rsidRDefault="00C7433F" w:rsidP="001D14FE">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t>
      </w:r>
      <w:r w:rsidR="001D14FE">
        <w:rPr>
          <w:rFonts w:ascii="Arial" w:eastAsiaTheme="minorEastAsia" w:hAnsi="Arial" w:cs="Arial"/>
          <w:b/>
          <w:sz w:val="22"/>
          <w:szCs w:val="22"/>
          <w:lang w:val="en-GB" w:eastAsia="ko-KR"/>
        </w:rPr>
        <w:t>hirteen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0678902E" w14:textId="77777777" w:rsidR="009D5428"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Port Louis</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 xml:space="preserve">Republic of </w:t>
      </w:r>
      <w:r>
        <w:rPr>
          <w:rFonts w:ascii="Arial" w:eastAsiaTheme="minorEastAsia" w:hAnsi="Arial" w:cs="Arial"/>
          <w:b/>
          <w:sz w:val="22"/>
          <w:szCs w:val="22"/>
          <w:lang w:val="en-GB" w:eastAsia="ko-KR"/>
        </w:rPr>
        <w:t>Mauritius</w:t>
      </w:r>
    </w:p>
    <w:p w14:paraId="5A3FE45D" w14:textId="77777777" w:rsidR="00EC6F8D"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26 November </w:t>
      </w:r>
      <w:r w:rsidR="00EC6F8D" w:rsidRPr="00EC6F8D">
        <w:rPr>
          <w:rFonts w:ascii="Arial" w:hAnsi="Arial" w:cs="Arial"/>
          <w:b/>
          <w:sz w:val="22"/>
          <w:szCs w:val="22"/>
          <w:lang w:val="en-GB"/>
        </w:rPr>
        <w:t xml:space="preserve">to </w:t>
      </w:r>
      <w:r>
        <w:rPr>
          <w:rFonts w:ascii="Arial" w:hAnsi="Arial" w:cs="Arial"/>
          <w:b/>
          <w:sz w:val="22"/>
          <w:szCs w:val="22"/>
          <w:lang w:val="en-GB"/>
        </w:rPr>
        <w:t>1</w:t>
      </w:r>
      <w:r w:rsidR="00337CEB">
        <w:rPr>
          <w:rFonts w:ascii="Arial" w:hAnsi="Arial" w:cs="Arial"/>
          <w:b/>
          <w:sz w:val="22"/>
          <w:szCs w:val="22"/>
          <w:lang w:val="en-GB"/>
        </w:rPr>
        <w:t xml:space="preserve"> December 201</w:t>
      </w:r>
      <w:r>
        <w:rPr>
          <w:rFonts w:ascii="Arial" w:eastAsiaTheme="minorEastAsia" w:hAnsi="Arial" w:cs="Arial"/>
          <w:b/>
          <w:sz w:val="22"/>
          <w:szCs w:val="22"/>
          <w:lang w:val="en-GB" w:eastAsia="ko-KR"/>
        </w:rPr>
        <w:t>8</w:t>
      </w:r>
    </w:p>
    <w:p w14:paraId="6028B1B4"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380403">
        <w:rPr>
          <w:rFonts w:ascii="Arial" w:hAnsi="Arial" w:cs="Arial"/>
          <w:b/>
          <w:sz w:val="22"/>
          <w:szCs w:val="22"/>
          <w:u w:val="single"/>
          <w:lang w:val="en-GB"/>
        </w:rPr>
        <w:t>9</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14363224" w14:textId="77777777" w:rsidR="00EC6F8D" w:rsidRPr="00293C60" w:rsidRDefault="00380403" w:rsidP="009228DD">
      <w:pPr>
        <w:pStyle w:val="Sansinterligne2"/>
        <w:spacing w:after="1440"/>
        <w:jc w:val="center"/>
        <w:rPr>
          <w:rFonts w:ascii="Arial" w:hAnsi="Arial" w:cs="Arial"/>
          <w:b/>
          <w:sz w:val="22"/>
          <w:szCs w:val="22"/>
          <w:lang w:val="en-GB"/>
        </w:rPr>
      </w:pPr>
      <w:r w:rsidRPr="00380403">
        <w:rPr>
          <w:rFonts w:ascii="Arial" w:hAnsi="Arial" w:cs="Arial"/>
          <w:b/>
          <w:sz w:val="22"/>
          <w:szCs w:val="22"/>
          <w:lang w:val="en-GB"/>
        </w:rPr>
        <w:t>Issues concerning the follow-up of inscribed elements on the Lists of the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501DED" w14:paraId="44856D0E" w14:textId="77777777" w:rsidTr="00EC6F8D">
        <w:trPr>
          <w:jc w:val="center"/>
        </w:trPr>
        <w:tc>
          <w:tcPr>
            <w:tcW w:w="5670" w:type="dxa"/>
            <w:vAlign w:val="center"/>
          </w:tcPr>
          <w:p w14:paraId="7E2E4A31"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6CEBA0A7" w14:textId="32CA8B66" w:rsidR="00501DED" w:rsidRPr="00293C60" w:rsidRDefault="00501DED" w:rsidP="00CA56BB">
            <w:pPr>
              <w:pStyle w:val="Sansinterligne1"/>
              <w:jc w:val="both"/>
              <w:rPr>
                <w:rFonts w:ascii="Arial" w:hAnsi="Arial" w:cs="Arial"/>
                <w:bCs/>
                <w:sz w:val="22"/>
                <w:szCs w:val="22"/>
                <w:lang w:val="en-GB"/>
              </w:rPr>
            </w:pPr>
            <w:r>
              <w:rPr>
                <w:rFonts w:ascii="Arial" w:hAnsi="Arial" w:cs="Arial"/>
                <w:sz w:val="22"/>
                <w:szCs w:val="22"/>
                <w:lang w:val="en-GB"/>
              </w:rPr>
              <w:t xml:space="preserve">Since 2017, </w:t>
            </w:r>
            <w:r w:rsidR="00725337">
              <w:rPr>
                <w:rFonts w:ascii="Arial" w:hAnsi="Arial" w:cs="Arial"/>
                <w:sz w:val="22"/>
                <w:szCs w:val="22"/>
                <w:lang w:val="en-GB"/>
              </w:rPr>
              <w:t>the Secretariat has received an increasing number of correspondence</w:t>
            </w:r>
            <w:r w:rsidR="00A65228">
              <w:rPr>
                <w:rFonts w:ascii="Arial" w:hAnsi="Arial" w:cs="Arial"/>
                <w:sz w:val="22"/>
                <w:szCs w:val="22"/>
                <w:lang w:val="en-GB"/>
              </w:rPr>
              <w:t>s</w:t>
            </w:r>
            <w:r w:rsidR="00725337">
              <w:rPr>
                <w:rFonts w:ascii="Arial" w:hAnsi="Arial" w:cs="Arial"/>
                <w:sz w:val="22"/>
                <w:szCs w:val="22"/>
                <w:lang w:val="en-GB"/>
              </w:rPr>
              <w:t xml:space="preserve"> from </w:t>
            </w:r>
            <w:r w:rsidR="00A65228">
              <w:rPr>
                <w:rFonts w:ascii="Arial" w:hAnsi="Arial" w:cs="Arial"/>
                <w:sz w:val="22"/>
                <w:szCs w:val="22"/>
                <w:lang w:val="en-GB"/>
              </w:rPr>
              <w:t xml:space="preserve">communities and </w:t>
            </w:r>
            <w:r w:rsidR="00725337">
              <w:rPr>
                <w:rFonts w:ascii="Arial" w:hAnsi="Arial" w:cs="Arial"/>
                <w:sz w:val="22"/>
                <w:szCs w:val="22"/>
                <w:lang w:val="en-GB"/>
              </w:rPr>
              <w:t xml:space="preserve">third parties, </w:t>
            </w:r>
            <w:r w:rsidR="00A65228">
              <w:rPr>
                <w:rFonts w:ascii="Arial" w:hAnsi="Arial" w:cs="Arial"/>
                <w:sz w:val="22"/>
                <w:szCs w:val="22"/>
                <w:lang w:val="en-GB"/>
              </w:rPr>
              <w:t xml:space="preserve">alerting it </w:t>
            </w:r>
            <w:r w:rsidR="00826ACF">
              <w:rPr>
                <w:rFonts w:ascii="Arial" w:hAnsi="Arial" w:cs="Arial"/>
                <w:sz w:val="22"/>
                <w:szCs w:val="22"/>
                <w:lang w:val="en-GB"/>
              </w:rPr>
              <w:t>to</w:t>
            </w:r>
            <w:r w:rsidR="00725337">
              <w:rPr>
                <w:rFonts w:ascii="Arial" w:hAnsi="Arial" w:cs="Arial"/>
                <w:sz w:val="22"/>
                <w:szCs w:val="22"/>
                <w:lang w:val="en-GB"/>
              </w:rPr>
              <w:t xml:space="preserve"> the changing conditions of the status of </w:t>
            </w:r>
            <w:r w:rsidR="00485780">
              <w:rPr>
                <w:rFonts w:ascii="Arial" w:hAnsi="Arial" w:cs="Arial"/>
                <w:sz w:val="22"/>
                <w:szCs w:val="22"/>
                <w:lang w:val="en-GB"/>
              </w:rPr>
              <w:t xml:space="preserve">several </w:t>
            </w:r>
            <w:r w:rsidR="00725337">
              <w:rPr>
                <w:rFonts w:ascii="Arial" w:hAnsi="Arial" w:cs="Arial"/>
                <w:sz w:val="22"/>
                <w:szCs w:val="22"/>
                <w:lang w:val="en-GB"/>
              </w:rPr>
              <w:t>elements</w:t>
            </w:r>
            <w:r w:rsidR="00485780">
              <w:rPr>
                <w:rFonts w:ascii="Arial" w:hAnsi="Arial" w:cs="Arial"/>
                <w:sz w:val="22"/>
                <w:szCs w:val="22"/>
                <w:lang w:val="en-GB"/>
              </w:rPr>
              <w:t xml:space="preserve"> inscribed on the Lists of the Convention</w:t>
            </w:r>
            <w:r w:rsidR="00725337">
              <w:rPr>
                <w:rFonts w:ascii="Arial" w:hAnsi="Arial" w:cs="Arial"/>
                <w:sz w:val="22"/>
                <w:szCs w:val="22"/>
                <w:lang w:val="en-GB"/>
              </w:rPr>
              <w:t>. However, there is currently no mechanism allowing the Secretariat to bring such information to the attention of the Committee</w:t>
            </w:r>
            <w:r w:rsidR="00826ACF">
              <w:rPr>
                <w:rFonts w:ascii="Arial" w:hAnsi="Arial" w:cs="Arial"/>
                <w:sz w:val="22"/>
                <w:szCs w:val="22"/>
                <w:lang w:val="en-GB"/>
              </w:rPr>
              <w:t>,</w:t>
            </w:r>
            <w:r w:rsidR="00A65228">
              <w:rPr>
                <w:rFonts w:ascii="Arial" w:hAnsi="Arial" w:cs="Arial"/>
                <w:sz w:val="22"/>
                <w:szCs w:val="22"/>
                <w:lang w:val="en-GB"/>
              </w:rPr>
              <w:t xml:space="preserve"> despite the </w:t>
            </w:r>
            <w:r w:rsidR="00A27D48">
              <w:rPr>
                <w:rFonts w:ascii="Arial" w:hAnsi="Arial" w:cs="Arial"/>
                <w:sz w:val="22"/>
                <w:szCs w:val="22"/>
                <w:lang w:val="en-GB"/>
              </w:rPr>
              <w:t xml:space="preserve">seriousness </w:t>
            </w:r>
            <w:r w:rsidR="00A65228">
              <w:rPr>
                <w:rFonts w:ascii="Arial" w:hAnsi="Arial" w:cs="Arial"/>
                <w:sz w:val="22"/>
                <w:szCs w:val="22"/>
                <w:lang w:val="en-GB"/>
              </w:rPr>
              <w:t>of</w:t>
            </w:r>
            <w:r w:rsidR="00A27D48">
              <w:rPr>
                <w:rFonts w:ascii="Arial" w:hAnsi="Arial" w:cs="Arial"/>
                <w:sz w:val="22"/>
                <w:szCs w:val="22"/>
                <w:lang w:val="en-GB"/>
              </w:rPr>
              <w:t xml:space="preserve"> some </w:t>
            </w:r>
            <w:r w:rsidR="00A65228">
              <w:rPr>
                <w:rFonts w:ascii="Arial" w:hAnsi="Arial" w:cs="Arial"/>
                <w:sz w:val="22"/>
                <w:szCs w:val="22"/>
                <w:lang w:val="en-GB"/>
              </w:rPr>
              <w:t xml:space="preserve">of </w:t>
            </w:r>
            <w:r w:rsidR="00826ACF">
              <w:rPr>
                <w:rFonts w:ascii="Arial" w:hAnsi="Arial" w:cs="Arial"/>
                <w:sz w:val="22"/>
                <w:szCs w:val="22"/>
                <w:lang w:val="en-GB"/>
              </w:rPr>
              <w:t xml:space="preserve">the </w:t>
            </w:r>
            <w:r w:rsidR="00A65228">
              <w:rPr>
                <w:rFonts w:ascii="Arial" w:hAnsi="Arial" w:cs="Arial"/>
                <w:sz w:val="22"/>
                <w:szCs w:val="22"/>
                <w:lang w:val="en-GB"/>
              </w:rPr>
              <w:t>issues raised</w:t>
            </w:r>
            <w:r w:rsidR="00725337">
              <w:rPr>
                <w:rFonts w:ascii="Arial" w:hAnsi="Arial" w:cs="Arial"/>
                <w:sz w:val="22"/>
                <w:szCs w:val="22"/>
                <w:lang w:val="en-GB"/>
              </w:rPr>
              <w:t xml:space="preserve">. </w:t>
            </w:r>
            <w:r w:rsidR="00826ACF">
              <w:rPr>
                <w:rFonts w:ascii="Arial" w:hAnsi="Arial" w:cs="Arial"/>
                <w:sz w:val="22"/>
                <w:szCs w:val="22"/>
                <w:lang w:val="en-GB"/>
              </w:rPr>
              <w:t>This</w:t>
            </w:r>
            <w:r w:rsidR="00725337">
              <w:rPr>
                <w:rFonts w:ascii="Arial" w:hAnsi="Arial" w:cs="Arial"/>
                <w:sz w:val="22"/>
                <w:szCs w:val="22"/>
                <w:lang w:val="en-GB"/>
              </w:rPr>
              <w:t xml:space="preserve"> </w:t>
            </w:r>
            <w:r w:rsidR="00893AFF">
              <w:rPr>
                <w:rFonts w:ascii="Arial" w:hAnsi="Arial" w:cs="Arial"/>
                <w:sz w:val="22"/>
                <w:szCs w:val="22"/>
                <w:lang w:val="en-GB"/>
              </w:rPr>
              <w:t>document aims to initiate</w:t>
            </w:r>
            <w:r w:rsidR="00725337">
              <w:rPr>
                <w:rFonts w:ascii="Arial" w:hAnsi="Arial" w:cs="Arial"/>
                <w:sz w:val="22"/>
                <w:szCs w:val="22"/>
                <w:lang w:val="en-GB"/>
              </w:rPr>
              <w:t xml:space="preserve"> a reflection on ways in which the monitoring of inscribed elements </w:t>
            </w:r>
            <w:proofErr w:type="gramStart"/>
            <w:r w:rsidR="00725337">
              <w:rPr>
                <w:rFonts w:ascii="Arial" w:hAnsi="Arial" w:cs="Arial"/>
                <w:sz w:val="22"/>
                <w:szCs w:val="22"/>
                <w:lang w:val="en-GB"/>
              </w:rPr>
              <w:t>c</w:t>
            </w:r>
            <w:r w:rsidR="00826ACF">
              <w:rPr>
                <w:rFonts w:ascii="Arial" w:hAnsi="Arial" w:cs="Arial"/>
                <w:sz w:val="22"/>
                <w:szCs w:val="22"/>
                <w:lang w:val="en-GB"/>
              </w:rPr>
              <w:t>ould</w:t>
            </w:r>
            <w:r w:rsidR="00725337">
              <w:rPr>
                <w:rFonts w:ascii="Arial" w:hAnsi="Arial" w:cs="Arial"/>
                <w:sz w:val="22"/>
                <w:szCs w:val="22"/>
                <w:lang w:val="en-GB"/>
              </w:rPr>
              <w:t xml:space="preserve"> be carried out</w:t>
            </w:r>
            <w:proofErr w:type="gramEnd"/>
            <w:r w:rsidR="00725337">
              <w:rPr>
                <w:rFonts w:ascii="Arial" w:hAnsi="Arial" w:cs="Arial"/>
                <w:sz w:val="22"/>
                <w:szCs w:val="22"/>
                <w:lang w:val="en-GB"/>
              </w:rPr>
              <w:t xml:space="preserve"> and </w:t>
            </w:r>
            <w:r w:rsidR="00826ACF">
              <w:rPr>
                <w:rFonts w:ascii="Arial" w:hAnsi="Arial" w:cs="Arial"/>
                <w:sz w:val="22"/>
                <w:szCs w:val="22"/>
                <w:lang w:val="en-GB"/>
              </w:rPr>
              <w:t xml:space="preserve">the </w:t>
            </w:r>
            <w:r w:rsidR="00725337">
              <w:rPr>
                <w:rFonts w:ascii="Arial" w:hAnsi="Arial" w:cs="Arial"/>
                <w:sz w:val="22"/>
                <w:szCs w:val="22"/>
                <w:lang w:val="en-GB"/>
              </w:rPr>
              <w:t xml:space="preserve">issues that may arise </w:t>
            </w:r>
            <w:r w:rsidR="00826ACF">
              <w:rPr>
                <w:rFonts w:ascii="Arial" w:hAnsi="Arial" w:cs="Arial"/>
                <w:sz w:val="22"/>
                <w:szCs w:val="22"/>
                <w:lang w:val="en-GB"/>
              </w:rPr>
              <w:t>during</w:t>
            </w:r>
            <w:r w:rsidR="00725337">
              <w:rPr>
                <w:rFonts w:ascii="Arial" w:hAnsi="Arial" w:cs="Arial"/>
                <w:sz w:val="22"/>
                <w:szCs w:val="22"/>
                <w:lang w:val="en-GB"/>
              </w:rPr>
              <w:t xml:space="preserve"> this process.</w:t>
            </w:r>
          </w:p>
          <w:p w14:paraId="6D49D536" w14:textId="1F52A964" w:rsidR="00EC6F8D" w:rsidRPr="00293C60" w:rsidRDefault="00EC6F8D" w:rsidP="002401E4">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5B30B0">
              <w:rPr>
                <w:rFonts w:ascii="Arial" w:hAnsi="Arial" w:cs="Arial"/>
                <w:bCs/>
                <w:sz w:val="22"/>
                <w:szCs w:val="22"/>
                <w:lang w:val="en-GB"/>
              </w:rPr>
              <w:t>25</w:t>
            </w:r>
          </w:p>
        </w:tc>
      </w:tr>
    </w:tbl>
    <w:p w14:paraId="3041B688" w14:textId="77F642C2" w:rsidR="00E155AB" w:rsidRPr="00380403" w:rsidRDefault="00655736" w:rsidP="007215E0">
      <w:pPr>
        <w:pStyle w:val="ListParagraph"/>
        <w:spacing w:before="360" w:after="120"/>
        <w:ind w:left="567"/>
        <w:jc w:val="both"/>
        <w:rPr>
          <w:rFonts w:ascii="Arial" w:hAnsi="Arial" w:cs="Arial"/>
          <w:b/>
          <w:sz w:val="22"/>
          <w:szCs w:val="22"/>
          <w:lang w:val="en-US"/>
        </w:rPr>
      </w:pPr>
      <w:r w:rsidRPr="007215E0">
        <w:rPr>
          <w:lang w:val="en-US"/>
        </w:rPr>
        <w:br w:type="page"/>
      </w:r>
      <w:r w:rsidR="00E155AB" w:rsidRPr="00A518F9">
        <w:rPr>
          <w:rFonts w:ascii="Arial" w:hAnsi="Arial" w:cs="Arial"/>
          <w:b/>
          <w:sz w:val="22"/>
          <w:szCs w:val="22"/>
          <w:lang w:val="en-US"/>
        </w:rPr>
        <w:lastRenderedPageBreak/>
        <w:t>Introduction</w:t>
      </w:r>
    </w:p>
    <w:p w14:paraId="39F99488" w14:textId="7D16A622" w:rsidR="00231FBC" w:rsidRPr="00A67F72" w:rsidRDefault="00152AA3" w:rsidP="006F7A8B">
      <w:pPr>
        <w:pStyle w:val="COMPara"/>
        <w:numPr>
          <w:ilvl w:val="3"/>
          <w:numId w:val="2"/>
        </w:numPr>
        <w:ind w:left="567" w:hanging="567"/>
        <w:jc w:val="both"/>
      </w:pPr>
      <w:r w:rsidRPr="00E903CB">
        <w:t>Since 2008, 451 elements have been inscribed on the Lists of the Convention, including 52 on</w:t>
      </w:r>
      <w:r>
        <w:t xml:space="preserve"> the List of Intangible Cultural Heritage in Need of Urgent Safeguarding </w:t>
      </w:r>
      <w:r w:rsidR="00826ACF">
        <w:t>(here</w:t>
      </w:r>
      <w:r w:rsidR="00BB1B4B">
        <w:t>in</w:t>
      </w:r>
      <w:r w:rsidR="00826ACF">
        <w:t xml:space="preserve">after, the ‘Urgent Safeguarding List’) </w:t>
      </w:r>
      <w:r>
        <w:t>and 399 on the Representative List of the Intangible Cultural Heritage of Humanity</w:t>
      </w:r>
      <w:r w:rsidR="00826ACF">
        <w:t xml:space="preserve"> (hereinafter, ‘the Representative List’)</w:t>
      </w:r>
      <w:r>
        <w:t xml:space="preserve">. </w:t>
      </w:r>
      <w:r w:rsidR="00E155AB">
        <w:t xml:space="preserve">In addition, </w:t>
      </w:r>
      <w:r w:rsidR="00826ACF">
        <w:t>nineteen </w:t>
      </w:r>
      <w:r w:rsidR="00E155AB">
        <w:t xml:space="preserve">programmes </w:t>
      </w:r>
      <w:proofErr w:type="gramStart"/>
      <w:r w:rsidR="00E155AB">
        <w:t>have been selected</w:t>
      </w:r>
      <w:proofErr w:type="gramEnd"/>
      <w:r w:rsidR="00E155AB">
        <w:t xml:space="preserve"> for the Register of Good Safeguarding Practices. </w:t>
      </w:r>
      <w:r w:rsidR="00231FBC" w:rsidRPr="00A67F72">
        <w:t xml:space="preserve">The need to monitor the evolving status of elements after their inscription on the Lists </w:t>
      </w:r>
      <w:r w:rsidR="00E155AB">
        <w:t xml:space="preserve">and the Register </w:t>
      </w:r>
      <w:r w:rsidR="00231FBC" w:rsidRPr="00A67F72">
        <w:t xml:space="preserve">of the Convention </w:t>
      </w:r>
      <w:proofErr w:type="gramStart"/>
      <w:r w:rsidR="00231FBC" w:rsidRPr="00A67F72">
        <w:t>has been raised</w:t>
      </w:r>
      <w:proofErr w:type="gramEnd"/>
      <w:r w:rsidR="00231FBC" w:rsidRPr="00A67F72">
        <w:t xml:space="preserve"> on several occasions by the Committee and its evaluation bodies. Notably</w:t>
      </w:r>
      <w:r w:rsidR="00826ACF">
        <w:t>,</w:t>
      </w:r>
      <w:r w:rsidR="006F2225">
        <w:t xml:space="preserve"> in </w:t>
      </w:r>
      <w:r w:rsidR="00231FBC" w:rsidRPr="00A67F72">
        <w:t>2013, the Committee took note of the long-term ‘need to monitor and assess the consequences, both intended and unintended, of an element’s inscription on the Representative List and invite[d] States Parties to take full advantage of their periodic reports to provide updated, detailed information about safeguarding measures and their impacts’ (</w:t>
      </w:r>
      <w:hyperlink r:id="rId8" w:history="1">
        <w:r w:rsidR="00231FBC" w:rsidRPr="00866A53">
          <w:rPr>
            <w:rStyle w:val="Hyperlink"/>
          </w:rPr>
          <w:t>Decision 8.COM 8</w:t>
        </w:r>
      </w:hyperlink>
      <w:r w:rsidR="00231FBC" w:rsidRPr="00A67F72">
        <w:t>).</w:t>
      </w:r>
    </w:p>
    <w:p w14:paraId="41F6F0A7" w14:textId="0A25E719" w:rsidR="009069E7" w:rsidRDefault="008A15AB" w:rsidP="00827BDF">
      <w:pPr>
        <w:pStyle w:val="COMPara"/>
        <w:numPr>
          <w:ilvl w:val="3"/>
          <w:numId w:val="2"/>
        </w:numPr>
        <w:ind w:left="567" w:hanging="567"/>
        <w:jc w:val="both"/>
      </w:pPr>
      <w:r>
        <w:t>Inscriptions</w:t>
      </w:r>
      <w:r w:rsidR="00C55C11">
        <w:t xml:space="preserve"> on the Lists</w:t>
      </w:r>
      <w:r w:rsidR="000E65DB">
        <w:t xml:space="preserve"> create high expectations among </w:t>
      </w:r>
      <w:r w:rsidR="001F4D9C">
        <w:t xml:space="preserve">States Parties, </w:t>
      </w:r>
      <w:r w:rsidR="000E65DB">
        <w:t xml:space="preserve">communities </w:t>
      </w:r>
      <w:r w:rsidR="001F4D9C">
        <w:t>and the public regarding</w:t>
      </w:r>
      <w:r>
        <w:t xml:space="preserve"> their impact on the visibility and viability of elements concerned, as well as the role that the governing bodies</w:t>
      </w:r>
      <w:r w:rsidR="00C55C11">
        <w:t xml:space="preserve"> of the Convention</w:t>
      </w:r>
      <w:r w:rsidR="00152AA3">
        <w:t>, States Parties</w:t>
      </w:r>
      <w:r w:rsidR="001F4D9C">
        <w:t xml:space="preserve"> and the Secretariat c</w:t>
      </w:r>
      <w:r>
        <w:t xml:space="preserve">ould play in monitoring the status of inscribed elements. </w:t>
      </w:r>
      <w:r w:rsidR="009069E7">
        <w:t xml:space="preserve">While </w:t>
      </w:r>
      <w:r w:rsidR="00826ACF">
        <w:t>considerable</w:t>
      </w:r>
      <w:r w:rsidR="009069E7">
        <w:t xml:space="preserve"> focus </w:t>
      </w:r>
      <w:proofErr w:type="gramStart"/>
      <w:r w:rsidR="009069E7">
        <w:t>has been p</w:t>
      </w:r>
      <w:r w:rsidR="00826ACF">
        <w:t>laced</w:t>
      </w:r>
      <w:proofErr w:type="gramEnd"/>
      <w:r w:rsidR="00826ACF">
        <w:t xml:space="preserve"> on </w:t>
      </w:r>
      <w:r w:rsidR="00C55C11">
        <w:t>the</w:t>
      </w:r>
      <w:r w:rsidR="009069E7">
        <w:t xml:space="preserve"> </w:t>
      </w:r>
      <w:r w:rsidR="00C55C11">
        <w:t>nomination process for inscription</w:t>
      </w:r>
      <w:r w:rsidR="00152AA3">
        <w:t xml:space="preserve"> on the L</w:t>
      </w:r>
      <w:r w:rsidR="009069E7">
        <w:t>ists of the Convention</w:t>
      </w:r>
      <w:r w:rsidR="001F4D9C">
        <w:t xml:space="preserve"> and the role </w:t>
      </w:r>
      <w:r>
        <w:t>of the Committee</w:t>
      </w:r>
      <w:r w:rsidR="00C55C11">
        <w:t>,</w:t>
      </w:r>
      <w:r>
        <w:t xml:space="preserve"> the Evaluation Body and the Secretariat</w:t>
      </w:r>
      <w:r w:rsidR="001F4D9C">
        <w:t xml:space="preserve"> in that process</w:t>
      </w:r>
      <w:r w:rsidR="009069E7">
        <w:t>, the follow-up o</w:t>
      </w:r>
      <w:r w:rsidR="001F4D9C">
        <w:t xml:space="preserve">f inscribed elements has so far </w:t>
      </w:r>
      <w:r w:rsidR="009069E7">
        <w:t>been limited</w:t>
      </w:r>
      <w:r w:rsidR="001F4D9C">
        <w:t xml:space="preserve"> to the submission of periodic reports by States Parties</w:t>
      </w:r>
      <w:r w:rsidR="009069E7">
        <w:t>.</w:t>
      </w:r>
      <w:r>
        <w:t xml:space="preserve"> Notwithstanding this situation, an increasing number of communities, institutions and individuals</w:t>
      </w:r>
      <w:r w:rsidR="009D624B">
        <w:t xml:space="preserve"> contact the Secretariat to report </w:t>
      </w:r>
      <w:r w:rsidR="001F4D9C">
        <w:t xml:space="preserve">on </w:t>
      </w:r>
      <w:r w:rsidR="00F27C09">
        <w:t>t</w:t>
      </w:r>
      <w:r w:rsidR="00152AA3">
        <w:t>he wide range of issues that ari</w:t>
      </w:r>
      <w:r w:rsidR="00F27C09">
        <w:t xml:space="preserve">se after the inscription of an element and that </w:t>
      </w:r>
      <w:r w:rsidR="00475EE8">
        <w:t>might</w:t>
      </w:r>
      <w:r w:rsidR="00F27C09">
        <w:t xml:space="preserve"> seriously affect its</w:t>
      </w:r>
      <w:r w:rsidR="001F4D9C">
        <w:t xml:space="preserve"> viability </w:t>
      </w:r>
      <w:r w:rsidR="00F27C09">
        <w:t>or could even call into question its inscription on one of the Lists of the Convention</w:t>
      </w:r>
      <w:r w:rsidR="00271000">
        <w:t>.</w:t>
      </w:r>
    </w:p>
    <w:p w14:paraId="4A5842AA" w14:textId="731D2CAF" w:rsidR="00380403" w:rsidRPr="00380403" w:rsidRDefault="00380403" w:rsidP="00827BDF">
      <w:pPr>
        <w:pStyle w:val="ListParagraph"/>
        <w:numPr>
          <w:ilvl w:val="0"/>
          <w:numId w:val="5"/>
        </w:numPr>
        <w:spacing w:before="360" w:after="120"/>
        <w:ind w:left="567" w:hanging="567"/>
        <w:jc w:val="both"/>
        <w:rPr>
          <w:rFonts w:ascii="Arial" w:hAnsi="Arial" w:cs="Arial"/>
          <w:b/>
          <w:sz w:val="22"/>
          <w:szCs w:val="22"/>
          <w:lang w:val="en-US"/>
        </w:rPr>
      </w:pPr>
      <w:r w:rsidRPr="00380403">
        <w:rPr>
          <w:rFonts w:ascii="Arial" w:hAnsi="Arial" w:cs="Arial"/>
          <w:b/>
          <w:sz w:val="22"/>
          <w:szCs w:val="22"/>
          <w:lang w:val="en-US"/>
        </w:rPr>
        <w:t xml:space="preserve">Existing </w:t>
      </w:r>
      <w:r w:rsidR="00AB7E60">
        <w:rPr>
          <w:rFonts w:ascii="Arial" w:hAnsi="Arial" w:cs="Arial"/>
          <w:b/>
          <w:sz w:val="22"/>
          <w:szCs w:val="22"/>
          <w:lang w:val="en-US"/>
        </w:rPr>
        <w:t>provisions</w:t>
      </w:r>
      <w:r w:rsidRPr="00380403">
        <w:rPr>
          <w:rFonts w:ascii="Arial" w:hAnsi="Arial" w:cs="Arial"/>
          <w:b/>
          <w:sz w:val="22"/>
          <w:szCs w:val="22"/>
          <w:lang w:val="en-US"/>
        </w:rPr>
        <w:t xml:space="preserve"> for the follow-up of elements </w:t>
      </w:r>
      <w:r w:rsidR="00F315DC" w:rsidRPr="00380403">
        <w:rPr>
          <w:rFonts w:ascii="Arial" w:hAnsi="Arial" w:cs="Arial"/>
          <w:b/>
          <w:sz w:val="22"/>
          <w:szCs w:val="22"/>
          <w:lang w:val="en-US"/>
        </w:rPr>
        <w:t xml:space="preserve">inscribed </w:t>
      </w:r>
      <w:r w:rsidRPr="00380403">
        <w:rPr>
          <w:rFonts w:ascii="Arial" w:hAnsi="Arial" w:cs="Arial"/>
          <w:b/>
          <w:sz w:val="22"/>
          <w:szCs w:val="22"/>
          <w:lang w:val="en-US"/>
        </w:rPr>
        <w:t>on the Lists of the Convention</w:t>
      </w:r>
    </w:p>
    <w:p w14:paraId="2FA17B2E" w14:textId="063320FF" w:rsidR="00F315DC" w:rsidRDefault="00F315DC" w:rsidP="00A518F9">
      <w:pPr>
        <w:pStyle w:val="COMPara"/>
        <w:numPr>
          <w:ilvl w:val="3"/>
          <w:numId w:val="2"/>
        </w:numPr>
        <w:spacing w:after="240"/>
        <w:ind w:left="567" w:hanging="567"/>
        <w:jc w:val="both"/>
      </w:pPr>
      <w:r>
        <w:t xml:space="preserve">As of 2018, the follow-up of inscribed elements </w:t>
      </w:r>
      <w:r w:rsidR="001B6693">
        <w:t>mainly relies</w:t>
      </w:r>
      <w:r>
        <w:t xml:space="preserve"> on two existing mechanisms: </w:t>
      </w:r>
      <w:r w:rsidR="00826ACF">
        <w:t xml:space="preserve">firstly, </w:t>
      </w:r>
      <w:r>
        <w:t>the periodic reporting mechanism</w:t>
      </w:r>
      <w:r w:rsidR="00826ACF">
        <w:t>;</w:t>
      </w:r>
      <w:r>
        <w:t xml:space="preserve"> and </w:t>
      </w:r>
      <w:r w:rsidR="00826ACF">
        <w:t>secondly</w:t>
      </w:r>
      <w:r>
        <w:t xml:space="preserve"> the </w:t>
      </w:r>
      <w:r w:rsidR="000C2210">
        <w:t>g</w:t>
      </w:r>
      <w:r w:rsidR="00FA69EA" w:rsidRPr="00FA69EA">
        <w:t>uidelines for the treatment of correspondence from the public or other concerned parties with regard to nominations</w:t>
      </w:r>
      <w:r>
        <w:t xml:space="preserve"> </w:t>
      </w:r>
      <w:r w:rsidR="00FA69EA">
        <w:t>(</w:t>
      </w:r>
      <w:hyperlink r:id="rId9" w:history="1">
        <w:r w:rsidR="00FA69EA" w:rsidRPr="00866A53">
          <w:rPr>
            <w:rStyle w:val="Hyperlink"/>
          </w:rPr>
          <w:t>Decision 7.COM 15</w:t>
        </w:r>
      </w:hyperlink>
      <w:r w:rsidR="00FA69EA">
        <w:t>):</w:t>
      </w:r>
    </w:p>
    <w:p w14:paraId="1294BFD9" w14:textId="19B156BA" w:rsidR="000C2210" w:rsidRPr="00DF0F31" w:rsidRDefault="000C2210" w:rsidP="00276315">
      <w:pPr>
        <w:pStyle w:val="COMPara"/>
        <w:numPr>
          <w:ilvl w:val="0"/>
          <w:numId w:val="0"/>
        </w:numPr>
        <w:ind w:left="567"/>
        <w:jc w:val="both"/>
        <w:rPr>
          <w:b/>
          <w:i/>
        </w:rPr>
      </w:pPr>
      <w:r>
        <w:rPr>
          <w:b/>
          <w:i/>
          <w:lang w:val="en-US"/>
        </w:rPr>
        <w:t>Periodic Reporting</w:t>
      </w:r>
    </w:p>
    <w:p w14:paraId="0C68F801" w14:textId="7758CA3E" w:rsidR="008D151B" w:rsidRDefault="008D151B" w:rsidP="00CE1CF7">
      <w:pPr>
        <w:pStyle w:val="COMPara"/>
        <w:numPr>
          <w:ilvl w:val="3"/>
          <w:numId w:val="2"/>
        </w:numPr>
        <w:ind w:left="567" w:hanging="567"/>
        <w:jc w:val="both"/>
      </w:pPr>
      <w:r>
        <w:t xml:space="preserve">Periodic reporting is currently the main mechanism allowing for the regular monitoring of elements following their inscription. While the provisions of the </w:t>
      </w:r>
      <w:hyperlink r:id="rId10" w:history="1">
        <w:r w:rsidRPr="002E00BD">
          <w:rPr>
            <w:rStyle w:val="Hyperlink"/>
          </w:rPr>
          <w:t>Operational Directives</w:t>
        </w:r>
      </w:hyperlink>
      <w:r>
        <w:t xml:space="preserve"> invite governmental </w:t>
      </w:r>
      <w:r w:rsidR="00696E8C">
        <w:t>authorities to involve communities and non-governmental organizations in the preparation of their periodic reports, the initiative remains</w:t>
      </w:r>
      <w:r>
        <w:t xml:space="preserve"> with the</w:t>
      </w:r>
      <w:r w:rsidR="00826ACF">
        <w:t xml:space="preserve"> </w:t>
      </w:r>
      <w:r>
        <w:t xml:space="preserve">State Party </w:t>
      </w:r>
      <w:r w:rsidR="00826ACF">
        <w:t xml:space="preserve">concerned </w:t>
      </w:r>
      <w:r>
        <w:t>that is responsible for the</w:t>
      </w:r>
      <w:r w:rsidR="00696E8C">
        <w:t>ir submission</w:t>
      </w:r>
      <w:r>
        <w:t>.</w:t>
      </w:r>
      <w:r w:rsidR="00CE1CF7" w:rsidRPr="00CE1CF7">
        <w:t xml:space="preserve"> </w:t>
      </w:r>
      <w:r w:rsidR="00CE1CF7">
        <w:t>The possibility for the Committee to address specific requests to States Parties following the submission of their periodic reports is foreseen (Paragraphs 159 and 164).</w:t>
      </w:r>
    </w:p>
    <w:p w14:paraId="18AC6009" w14:textId="6ECCCB47" w:rsidR="002374FD" w:rsidRDefault="003B5A91" w:rsidP="003B5A91">
      <w:pPr>
        <w:pStyle w:val="COMPara"/>
        <w:numPr>
          <w:ilvl w:val="3"/>
          <w:numId w:val="2"/>
        </w:numPr>
        <w:ind w:left="567" w:hanging="567"/>
        <w:jc w:val="both"/>
      </w:pPr>
      <w:proofErr w:type="gramStart"/>
      <w:r>
        <w:t>S</w:t>
      </w:r>
      <w:r w:rsidRPr="003B5A91">
        <w:t>ub-chapter</w:t>
      </w:r>
      <w:r w:rsidR="002374FD">
        <w:t> V.1</w:t>
      </w:r>
      <w:r w:rsidR="004F0EC5">
        <w:t xml:space="preserve"> of the Operational Directives </w:t>
      </w:r>
      <w:r w:rsidR="00BD07B1">
        <w:t>provides</w:t>
      </w:r>
      <w:r w:rsidR="004F0EC5">
        <w:t xml:space="preserve"> that </w:t>
      </w:r>
      <w:r w:rsidR="002374FD">
        <w:t xml:space="preserve">States Parties shall </w:t>
      </w:r>
      <w:r w:rsidR="004F0EC5">
        <w:t>‘</w:t>
      </w:r>
      <w:r w:rsidR="002374FD">
        <w:t xml:space="preserve">report on the current status of all elements of intangible cultural heritage present in </w:t>
      </w:r>
      <w:r w:rsidR="00DA0427">
        <w:t>[their]</w:t>
      </w:r>
      <w:r w:rsidR="002374FD">
        <w:t xml:space="preserve"> territory that have been inscribed on the Representative List of the Intangible Cultural Heritage of Humanity’</w:t>
      </w:r>
      <w:r w:rsidR="00DA0427">
        <w:t>, as part of each State Party’s periodic report on the implementation of the Convention at the national level submitted to the Committee</w:t>
      </w:r>
      <w:r w:rsidR="00866A53">
        <w:t>.</w:t>
      </w:r>
      <w:proofErr w:type="gramEnd"/>
      <w:r w:rsidR="00866A53">
        <w:t xml:space="preserve"> This takes place</w:t>
      </w:r>
      <w:r w:rsidR="00DA0427">
        <w:t xml:space="preserve"> every six years</w:t>
      </w:r>
      <w:r w:rsidR="00866A53">
        <w:t xml:space="preserve"> </w:t>
      </w:r>
      <w:proofErr w:type="gramStart"/>
      <w:r w:rsidR="00866A53" w:rsidRPr="00866A53">
        <w:t>on the basis of</w:t>
      </w:r>
      <w:proofErr w:type="gramEnd"/>
      <w:r w:rsidR="00866A53" w:rsidRPr="00866A53">
        <w:t xml:space="preserve"> a </w:t>
      </w:r>
      <w:r w:rsidR="00826ACF">
        <w:t xml:space="preserve">system of </w:t>
      </w:r>
      <w:r w:rsidR="00866A53" w:rsidRPr="00866A53">
        <w:t>rotation region by region</w:t>
      </w:r>
      <w:r w:rsidR="002374FD">
        <w:t xml:space="preserve"> (Paragraphs</w:t>
      </w:r>
      <w:r w:rsidR="00BD07B1">
        <w:t> </w:t>
      </w:r>
      <w:r w:rsidR="002374FD">
        <w:t xml:space="preserve">157 to 159). This reporting mechanism also applies to States </w:t>
      </w:r>
      <w:proofErr w:type="gramStart"/>
      <w:r w:rsidR="002374FD">
        <w:t>non Party</w:t>
      </w:r>
      <w:proofErr w:type="gramEnd"/>
      <w:r w:rsidR="002374FD">
        <w:t xml:space="preserve"> to the Convention that have elements inscribed on the Representative List (</w:t>
      </w:r>
      <w:r w:rsidR="00C640A5">
        <w:t>S</w:t>
      </w:r>
      <w:r w:rsidR="00C640A5" w:rsidRPr="003B5A91">
        <w:t>ub-chapter</w:t>
      </w:r>
      <w:r w:rsidR="00BD07B1">
        <w:t> </w:t>
      </w:r>
      <w:r w:rsidR="002374FD">
        <w:t>V.4).</w:t>
      </w:r>
    </w:p>
    <w:p w14:paraId="08AFD992" w14:textId="30C1ED61" w:rsidR="00BD07B1" w:rsidRDefault="00152AA3" w:rsidP="00276315">
      <w:pPr>
        <w:pStyle w:val="COMPara"/>
        <w:keepLines/>
        <w:numPr>
          <w:ilvl w:val="3"/>
          <w:numId w:val="2"/>
        </w:numPr>
        <w:ind w:left="567" w:hanging="567"/>
        <w:jc w:val="both"/>
      </w:pPr>
      <w:r>
        <w:lastRenderedPageBreak/>
        <w:t xml:space="preserve">Furthermore, </w:t>
      </w:r>
      <w:r w:rsidR="003B5A91">
        <w:t>S</w:t>
      </w:r>
      <w:r w:rsidR="003B5A91" w:rsidRPr="003B5A91">
        <w:t>ub-chapter</w:t>
      </w:r>
      <w:r w:rsidR="003B5A91">
        <w:t> </w:t>
      </w:r>
      <w:r w:rsidR="00F47F94">
        <w:t>V.</w:t>
      </w:r>
      <w:r w:rsidR="00BD07B1">
        <w:t>2</w:t>
      </w:r>
      <w:r w:rsidR="00F47F94">
        <w:t xml:space="preserve"> of the Operational Directives </w:t>
      </w:r>
      <w:r w:rsidR="00BD07B1">
        <w:t>provides</w:t>
      </w:r>
      <w:r w:rsidR="00F47F94">
        <w:t xml:space="preserve"> that States Parties </w:t>
      </w:r>
      <w:r w:rsidR="00BD07B1">
        <w:t>‘</w:t>
      </w:r>
      <w:r w:rsidR="00F47F94">
        <w:t xml:space="preserve">shall </w:t>
      </w:r>
      <w:r w:rsidR="00BD07B1">
        <w:t xml:space="preserve">submit to the Committee reports on the status of elements of intangible cultural heritage present in </w:t>
      </w:r>
      <w:r w:rsidR="008D151B">
        <w:t>[their]</w:t>
      </w:r>
      <w:r w:rsidR="00BD07B1">
        <w:t xml:space="preserve"> territory that have been inscribed on the List of Intangible Cultural Heritage in Need of Urgent Safeguarding</w:t>
      </w:r>
      <w:r w:rsidR="008D151B">
        <w:t>’</w:t>
      </w:r>
      <w:r w:rsidR="00BD07B1" w:rsidRPr="00BD07B1">
        <w:t xml:space="preserve"> </w:t>
      </w:r>
      <w:r w:rsidR="00BD07B1">
        <w:t xml:space="preserve">(Paragraphs 160 to 164). Such reports </w:t>
      </w:r>
      <w:proofErr w:type="gramStart"/>
      <w:r w:rsidR="00BD07B1">
        <w:t>shall normally be submitted</w:t>
      </w:r>
      <w:proofErr w:type="gramEnd"/>
      <w:r w:rsidR="00BD07B1">
        <w:t xml:space="preserve"> every four years following the inscription of the element, although the Committee may establish a specific timetable for reporting on a case-by-case basis, which will take precedence over the normal four-year cycle.</w:t>
      </w:r>
    </w:p>
    <w:p w14:paraId="38371481" w14:textId="7B38F710" w:rsidR="00231FBC" w:rsidRDefault="0057664F" w:rsidP="00E624DE">
      <w:pPr>
        <w:pStyle w:val="COMPara"/>
        <w:numPr>
          <w:ilvl w:val="0"/>
          <w:numId w:val="0"/>
        </w:numPr>
        <w:pBdr>
          <w:top w:val="single" w:sz="4" w:space="1" w:color="auto"/>
          <w:left w:val="single" w:sz="4" w:space="4" w:color="auto"/>
          <w:bottom w:val="single" w:sz="4" w:space="1" w:color="auto"/>
          <w:right w:val="single" w:sz="4" w:space="4" w:color="auto"/>
        </w:pBdr>
        <w:spacing w:before="240" w:after="240"/>
        <w:ind w:left="567"/>
        <w:jc w:val="both"/>
      </w:pPr>
      <w:r>
        <w:rPr>
          <w:u w:val="single"/>
        </w:rPr>
        <w:t>Observation </w:t>
      </w:r>
      <w:r w:rsidR="005C55E3" w:rsidRPr="005C55E3">
        <w:rPr>
          <w:u w:val="single"/>
        </w:rPr>
        <w:t>1</w:t>
      </w:r>
      <w:r w:rsidR="005C55E3">
        <w:t>: The periodic reporting mechanism</w:t>
      </w:r>
      <w:r w:rsidR="00231FBC">
        <w:t xml:space="preserve"> </w:t>
      </w:r>
      <w:r w:rsidR="005C55E3">
        <w:t>encourages community involvement but remains state-driven</w:t>
      </w:r>
      <w:r w:rsidR="006B2358">
        <w:t>. It</w:t>
      </w:r>
      <w:r w:rsidR="00231FBC">
        <w:t xml:space="preserve"> only</w:t>
      </w:r>
      <w:r w:rsidR="005C55E3">
        <w:t xml:space="preserve"> takes place </w:t>
      </w:r>
      <w:r w:rsidR="009D2736">
        <w:t>every four</w:t>
      </w:r>
      <w:r w:rsidR="005C55E3">
        <w:t xml:space="preserve"> </w:t>
      </w:r>
      <w:r w:rsidR="00402453">
        <w:t xml:space="preserve">or </w:t>
      </w:r>
      <w:r w:rsidR="009D2736">
        <w:t>six</w:t>
      </w:r>
      <w:r w:rsidR="00231FBC">
        <w:t xml:space="preserve"> years</w:t>
      </w:r>
      <w:r w:rsidR="005C55E3">
        <w:t xml:space="preserve"> without </w:t>
      </w:r>
      <w:r w:rsidR="004E1D7F">
        <w:t>allowing</w:t>
      </w:r>
      <w:r w:rsidR="00A27D48">
        <w:t xml:space="preserve"> the possibility for reacting to emerging situations in between two reporting cycles</w:t>
      </w:r>
      <w:r w:rsidR="00231FBC">
        <w:t>.</w:t>
      </w:r>
    </w:p>
    <w:p w14:paraId="3C50D5D5" w14:textId="6235667B" w:rsidR="000C2210" w:rsidRPr="00DF0F31" w:rsidRDefault="000C2210" w:rsidP="00276315">
      <w:pPr>
        <w:pStyle w:val="COMPara"/>
        <w:numPr>
          <w:ilvl w:val="0"/>
          <w:numId w:val="0"/>
        </w:numPr>
        <w:ind w:left="567"/>
        <w:jc w:val="both"/>
        <w:rPr>
          <w:b/>
          <w:i/>
        </w:rPr>
      </w:pPr>
      <w:r>
        <w:rPr>
          <w:b/>
          <w:i/>
          <w:lang w:val="en-US"/>
        </w:rPr>
        <w:t>G</w:t>
      </w:r>
      <w:r w:rsidRPr="000C2210">
        <w:rPr>
          <w:b/>
          <w:i/>
          <w:lang w:val="en-US"/>
        </w:rPr>
        <w:t>uidelines for the treatment of correspondence from the public or other concerned parties</w:t>
      </w:r>
      <w:r w:rsidR="00AB1DF8">
        <w:rPr>
          <w:b/>
          <w:i/>
          <w:lang w:val="en-US"/>
        </w:rPr>
        <w:t xml:space="preserve"> </w:t>
      </w:r>
      <w:r w:rsidRPr="000C2210">
        <w:rPr>
          <w:b/>
          <w:i/>
          <w:lang w:val="en-US"/>
        </w:rPr>
        <w:t>with regard to nominations</w:t>
      </w:r>
    </w:p>
    <w:p w14:paraId="25D20499" w14:textId="2A570494" w:rsidR="0067394B" w:rsidRDefault="008D34B6" w:rsidP="00A518F9">
      <w:pPr>
        <w:pStyle w:val="COMPara"/>
        <w:numPr>
          <w:ilvl w:val="3"/>
          <w:numId w:val="2"/>
        </w:numPr>
        <w:ind w:left="567" w:hanging="567"/>
        <w:jc w:val="both"/>
      </w:pPr>
      <w:r>
        <w:t xml:space="preserve">In addition to the periodic reporting mechanism, </w:t>
      </w:r>
      <w:r w:rsidR="00826ACF">
        <w:t>in 201</w:t>
      </w:r>
      <w:r w:rsidR="000E3008">
        <w:t>2</w:t>
      </w:r>
      <w:bookmarkStart w:id="0" w:name="_GoBack"/>
      <w:bookmarkEnd w:id="0"/>
      <w:r w:rsidR="00826ACF">
        <w:t xml:space="preserve"> </w:t>
      </w:r>
      <w:r>
        <w:t xml:space="preserve">the Committee established </w:t>
      </w:r>
      <w:r w:rsidR="00CE1F88">
        <w:t>‘</w:t>
      </w:r>
      <w:r w:rsidR="0067394B" w:rsidRPr="00FA69EA">
        <w:t xml:space="preserve">Guidelines for the treatment of correspondence from the public </w:t>
      </w:r>
      <w:r w:rsidR="0067394B" w:rsidRPr="00DB6A95">
        <w:t>or other concerned parties</w:t>
      </w:r>
      <w:r w:rsidR="0067394B" w:rsidRPr="00FA69EA">
        <w:t xml:space="preserve"> with regard to nominations</w:t>
      </w:r>
      <w:r w:rsidR="00CE1F88">
        <w:t>’</w:t>
      </w:r>
      <w:r w:rsidR="0067394B">
        <w:t xml:space="preserve"> (</w:t>
      </w:r>
      <w:hyperlink r:id="rId11" w:history="1">
        <w:r w:rsidR="0067394B" w:rsidRPr="004E627A">
          <w:rPr>
            <w:rStyle w:val="Hyperlink"/>
          </w:rPr>
          <w:t>Decision 7.COM 15</w:t>
        </w:r>
      </w:hyperlink>
      <w:r w:rsidR="0067394B">
        <w:t xml:space="preserve">), including </w:t>
      </w:r>
      <w:r w:rsidR="004E627A">
        <w:t>those</w:t>
      </w:r>
      <w:r w:rsidR="00CB3372">
        <w:t xml:space="preserve"> already</w:t>
      </w:r>
      <w:r w:rsidR="0067394B">
        <w:t xml:space="preserve"> inscribed on the Lists of the Convention</w:t>
      </w:r>
      <w:r>
        <w:t xml:space="preserve">. </w:t>
      </w:r>
      <w:r w:rsidR="0067394B">
        <w:t xml:space="preserve">These guidelines </w:t>
      </w:r>
      <w:proofErr w:type="gramStart"/>
      <w:r w:rsidR="0067394B">
        <w:t xml:space="preserve">were </w:t>
      </w:r>
      <w:r w:rsidR="00826ACF">
        <w:t>developed</w:t>
      </w:r>
      <w:proofErr w:type="gramEnd"/>
      <w:r w:rsidR="00826ACF">
        <w:t xml:space="preserve"> </w:t>
      </w:r>
      <w:r w:rsidR="0067394B">
        <w:t>in t</w:t>
      </w:r>
      <w:r w:rsidR="00CE1F88">
        <w:t>he context of the wide range of</w:t>
      </w:r>
      <w:r>
        <w:t xml:space="preserve"> </w:t>
      </w:r>
      <w:r w:rsidR="0067394B" w:rsidRPr="00D375CF">
        <w:t xml:space="preserve">expressions of interest from civil society </w:t>
      </w:r>
      <w:r w:rsidR="0067394B">
        <w:t xml:space="preserve">received by the Secretariat during the 2010 cycle </w:t>
      </w:r>
      <w:r w:rsidR="00CE1F88">
        <w:t>concerning</w:t>
      </w:r>
      <w:r w:rsidR="0067394B" w:rsidRPr="00D375CF">
        <w:t xml:space="preserve"> el</w:t>
      </w:r>
      <w:r w:rsidR="00CE1F88">
        <w:t>ements proposed for inscription. The Committee</w:t>
      </w:r>
      <w:r w:rsidR="0067394B" w:rsidRPr="00D375CF">
        <w:t xml:space="preserve"> considered that transparency in the nomination process could only benefit the Convention</w:t>
      </w:r>
      <w:r w:rsidR="00CE1F88">
        <w:t xml:space="preserve"> and that </w:t>
      </w:r>
      <w:r w:rsidR="0067394B" w:rsidRPr="00D375CF">
        <w:t>the Committee</w:t>
      </w:r>
      <w:r w:rsidR="0067394B">
        <w:t>’</w:t>
      </w:r>
      <w:r w:rsidR="0067394B" w:rsidRPr="00D375CF">
        <w:t>s decisions may be better founded if they benefited from comments and opinions that are as varied as possible</w:t>
      </w:r>
      <w:r w:rsidR="0067394B">
        <w:t xml:space="preserve"> (</w:t>
      </w:r>
      <w:r w:rsidR="00A518F9">
        <w:t xml:space="preserve">Document </w:t>
      </w:r>
      <w:hyperlink r:id="rId12" w:history="1">
        <w:r w:rsidR="0067394B" w:rsidRPr="004E627A">
          <w:rPr>
            <w:rStyle w:val="Hyperlink"/>
          </w:rPr>
          <w:t>ITH/12/7.COM/15</w:t>
        </w:r>
      </w:hyperlink>
      <w:r w:rsidR="0067394B">
        <w:t>)</w:t>
      </w:r>
      <w:r w:rsidR="0067394B" w:rsidRPr="00D375CF">
        <w:t>.</w:t>
      </w:r>
    </w:p>
    <w:p w14:paraId="6E1CFB9D" w14:textId="16B84F3E" w:rsidR="00380403" w:rsidRDefault="00152AA3" w:rsidP="00827BDF">
      <w:pPr>
        <w:pStyle w:val="COMPara"/>
        <w:numPr>
          <w:ilvl w:val="3"/>
          <w:numId w:val="2"/>
        </w:numPr>
        <w:ind w:left="567" w:hanging="567"/>
        <w:jc w:val="both"/>
      </w:pPr>
      <w:r>
        <w:t>According to the g</w:t>
      </w:r>
      <w:r w:rsidR="0067394B" w:rsidRPr="0067394B">
        <w:t xml:space="preserve">uidelines for the treatment of correspondence </w:t>
      </w:r>
      <w:r w:rsidR="00380403" w:rsidRPr="0067394B">
        <w:t>(</w:t>
      </w:r>
      <w:r w:rsidR="00AC3825">
        <w:t>paragraph </w:t>
      </w:r>
      <w:r>
        <w:t>6</w:t>
      </w:r>
      <w:r w:rsidR="00380403" w:rsidRPr="0067394B">
        <w:t>)</w:t>
      </w:r>
      <w:r>
        <w:t>, ‘Any correspondence […]</w:t>
      </w:r>
      <w:r w:rsidR="0067394B" w:rsidRPr="0067394B">
        <w:t xml:space="preserve"> concerning an element already inscribed, is transmitted in the language in which it was received to the Permanent Delegation, National Commission for UNESCO, duly designated authorities and contact person responsible for the nomination of the concerned submitting State. The response of the State Party concerned, if any, is communicated to the entity that sent the correspondence.</w:t>
      </w:r>
      <w:r>
        <w:t xml:space="preserve">’ </w:t>
      </w:r>
      <w:r w:rsidR="00826ACF">
        <w:t>On this basis</w:t>
      </w:r>
      <w:r w:rsidR="0067394B">
        <w:t xml:space="preserve">, communication </w:t>
      </w:r>
      <w:proofErr w:type="gramStart"/>
      <w:r w:rsidR="0067394B">
        <w:t xml:space="preserve">is </w:t>
      </w:r>
      <w:r w:rsidR="00575ACB">
        <w:t xml:space="preserve">only </w:t>
      </w:r>
      <w:r w:rsidR="0067394B">
        <w:t>op</w:t>
      </w:r>
      <w:r w:rsidR="00575ACB">
        <w:t>erated</w:t>
      </w:r>
      <w:proofErr w:type="gramEnd"/>
      <w:r w:rsidR="00575ACB">
        <w:t xml:space="preserve"> between the State Party and </w:t>
      </w:r>
      <w:r w:rsidR="0067394B">
        <w:t xml:space="preserve">the stakeholder that initially </w:t>
      </w:r>
      <w:r w:rsidR="00575ACB">
        <w:t>sent</w:t>
      </w:r>
      <w:r w:rsidR="0067394B">
        <w:t xml:space="preserve"> the correspondence </w:t>
      </w:r>
      <w:r w:rsidR="00575ACB">
        <w:t>through</w:t>
      </w:r>
      <w:r w:rsidR="0067394B">
        <w:t xml:space="preserve"> </w:t>
      </w:r>
      <w:r w:rsidR="00255032">
        <w:t xml:space="preserve">the Secretariat. However, the guidelines do not include </w:t>
      </w:r>
      <w:r w:rsidR="00826ACF">
        <w:t xml:space="preserve">any </w:t>
      </w:r>
      <w:r w:rsidR="00255032">
        <w:t xml:space="preserve">means for the Committee to </w:t>
      </w:r>
      <w:proofErr w:type="gramStart"/>
      <w:r w:rsidR="00255032">
        <w:t>be informed</w:t>
      </w:r>
      <w:proofErr w:type="gramEnd"/>
      <w:r w:rsidR="00255032">
        <w:t xml:space="preserve"> of such correspondence</w:t>
      </w:r>
      <w:r w:rsidR="00575ACB">
        <w:t xml:space="preserve">, even though </w:t>
      </w:r>
      <w:r w:rsidR="00826ACF">
        <w:t xml:space="preserve">it </w:t>
      </w:r>
      <w:r w:rsidR="00255032">
        <w:t>may pertain to important issues affecting the status of inscribed elements.</w:t>
      </w:r>
    </w:p>
    <w:p w14:paraId="6F12B310" w14:textId="480F873A" w:rsidR="00231FBC" w:rsidRDefault="00231FBC" w:rsidP="0057664F">
      <w:pPr>
        <w:pStyle w:val="COMPara"/>
        <w:numPr>
          <w:ilvl w:val="0"/>
          <w:numId w:val="0"/>
        </w:numPr>
        <w:pBdr>
          <w:top w:val="single" w:sz="4" w:space="1" w:color="auto"/>
          <w:left w:val="single" w:sz="4" w:space="4" w:color="auto"/>
          <w:bottom w:val="single" w:sz="4" w:space="1" w:color="auto"/>
          <w:right w:val="single" w:sz="4" w:space="4" w:color="auto"/>
        </w:pBdr>
        <w:spacing w:before="240" w:after="240"/>
        <w:ind w:left="567"/>
        <w:jc w:val="both"/>
      </w:pPr>
      <w:r w:rsidRPr="005C55E3">
        <w:rPr>
          <w:u w:val="single"/>
        </w:rPr>
        <w:t>Observation</w:t>
      </w:r>
      <w:r w:rsidR="0057664F">
        <w:rPr>
          <w:u w:val="single"/>
        </w:rPr>
        <w:t> </w:t>
      </w:r>
      <w:r w:rsidRPr="005C55E3">
        <w:rPr>
          <w:u w:val="single"/>
        </w:rPr>
        <w:t>2</w:t>
      </w:r>
      <w:r w:rsidR="005C55E3">
        <w:t xml:space="preserve">: The </w:t>
      </w:r>
      <w:r w:rsidR="005C55E3" w:rsidRPr="005C55E3">
        <w:t xml:space="preserve">guidelines </w:t>
      </w:r>
      <w:r w:rsidR="005C55E3" w:rsidRPr="005C55E3">
        <w:rPr>
          <w:lang w:val="en-US"/>
        </w:rPr>
        <w:t xml:space="preserve">for the treatment of correspondence from the public or other concerned parties </w:t>
      </w:r>
      <w:r w:rsidR="00B10A3C">
        <w:rPr>
          <w:lang w:val="en-US"/>
        </w:rPr>
        <w:t>do</w:t>
      </w:r>
      <w:r w:rsidR="005C55E3">
        <w:rPr>
          <w:lang w:val="en-US"/>
        </w:rPr>
        <w:t xml:space="preserve"> not allow information</w:t>
      </w:r>
      <w:r w:rsidR="00CB3372">
        <w:rPr>
          <w:lang w:val="en-US"/>
        </w:rPr>
        <w:t xml:space="preserve"> concerning inscribed elements</w:t>
      </w:r>
      <w:r w:rsidR="005C55E3">
        <w:rPr>
          <w:lang w:val="en-US"/>
        </w:rPr>
        <w:t xml:space="preserve"> to </w:t>
      </w:r>
      <w:proofErr w:type="gramStart"/>
      <w:r w:rsidR="005C55E3">
        <w:rPr>
          <w:lang w:val="en-US"/>
        </w:rPr>
        <w:t>be</w:t>
      </w:r>
      <w:r w:rsidRPr="005C55E3">
        <w:t xml:space="preserve"> brought</w:t>
      </w:r>
      <w:proofErr w:type="gramEnd"/>
      <w:r w:rsidRPr="005C55E3">
        <w:t xml:space="preserve"> to the attention to the Committee</w:t>
      </w:r>
      <w:r w:rsidR="00575ACB">
        <w:t xml:space="preserve"> in a transparent manner</w:t>
      </w:r>
      <w:r w:rsidRPr="005C55E3">
        <w:t>.</w:t>
      </w:r>
    </w:p>
    <w:p w14:paraId="68EDADD8" w14:textId="4700033B" w:rsidR="00560752" w:rsidRDefault="004F474D" w:rsidP="00827BDF">
      <w:pPr>
        <w:pStyle w:val="ListParagraph"/>
        <w:numPr>
          <w:ilvl w:val="0"/>
          <w:numId w:val="5"/>
        </w:numPr>
        <w:spacing w:before="360" w:after="120"/>
        <w:ind w:left="567" w:hanging="567"/>
        <w:jc w:val="both"/>
        <w:rPr>
          <w:rFonts w:ascii="Arial" w:hAnsi="Arial" w:cs="Arial"/>
          <w:b/>
          <w:sz w:val="22"/>
          <w:szCs w:val="22"/>
          <w:lang w:val="en-US"/>
        </w:rPr>
      </w:pPr>
      <w:r>
        <w:rPr>
          <w:rFonts w:ascii="Arial" w:hAnsi="Arial" w:cs="Arial"/>
          <w:b/>
          <w:sz w:val="22"/>
          <w:szCs w:val="22"/>
          <w:lang w:val="en-US"/>
        </w:rPr>
        <w:t>R</w:t>
      </w:r>
      <w:r w:rsidR="00560752">
        <w:rPr>
          <w:rFonts w:ascii="Arial" w:hAnsi="Arial" w:cs="Arial"/>
          <w:b/>
          <w:sz w:val="22"/>
          <w:szCs w:val="22"/>
          <w:lang w:val="en-US"/>
        </w:rPr>
        <w:t>ecent cases of follow-up of inscribed elements on the Lists of the Convention</w:t>
      </w:r>
    </w:p>
    <w:p w14:paraId="28532918" w14:textId="065E151C" w:rsidR="00BE29BE" w:rsidRDefault="008B1791" w:rsidP="00BE29BE">
      <w:pPr>
        <w:pStyle w:val="COMPara"/>
        <w:numPr>
          <w:ilvl w:val="3"/>
          <w:numId w:val="2"/>
        </w:numPr>
        <w:ind w:left="567" w:hanging="567"/>
        <w:jc w:val="both"/>
      </w:pPr>
      <w:r>
        <w:rPr>
          <w:lang w:val="en-US"/>
        </w:rPr>
        <w:t xml:space="preserve">While </w:t>
      </w:r>
      <w:r w:rsidR="00B10A3C">
        <w:rPr>
          <w:lang w:val="en-US"/>
        </w:rPr>
        <w:t>correspondence concerning inscribed elements</w:t>
      </w:r>
      <w:r>
        <w:rPr>
          <w:lang w:val="en-US"/>
        </w:rPr>
        <w:t xml:space="preserve"> </w:t>
      </w:r>
      <w:proofErr w:type="gramStart"/>
      <w:r>
        <w:rPr>
          <w:lang w:val="en-US"/>
        </w:rPr>
        <w:t>ha</w:t>
      </w:r>
      <w:r w:rsidR="004F474D">
        <w:rPr>
          <w:lang w:val="en-US"/>
        </w:rPr>
        <w:t>d</w:t>
      </w:r>
      <w:r>
        <w:rPr>
          <w:lang w:val="en-US"/>
        </w:rPr>
        <w:t xml:space="preserve"> been received</w:t>
      </w:r>
      <w:proofErr w:type="gramEnd"/>
      <w:r>
        <w:rPr>
          <w:lang w:val="en-US"/>
        </w:rPr>
        <w:t xml:space="preserve"> in the past</w:t>
      </w:r>
      <w:r>
        <w:t xml:space="preserve">, the number of </w:t>
      </w:r>
      <w:r w:rsidR="00B10A3C">
        <w:t>letters and emails</w:t>
      </w:r>
      <w:r>
        <w:t xml:space="preserve"> received by the Secretariat regarding the status of inscribed element</w:t>
      </w:r>
      <w:r w:rsidR="00BE29BE">
        <w:t>s</w:t>
      </w:r>
      <w:r>
        <w:t xml:space="preserve"> has </w:t>
      </w:r>
      <w:r w:rsidR="00B10A3C">
        <w:t>significantly</w:t>
      </w:r>
      <w:r>
        <w:t xml:space="preserve"> increased since 2017. </w:t>
      </w:r>
      <w:r w:rsidR="00213034">
        <w:t xml:space="preserve">In the past two years, </w:t>
      </w:r>
      <w:r w:rsidR="00213034" w:rsidRPr="00112F48">
        <w:t>twelve</w:t>
      </w:r>
      <w:r w:rsidR="00213034">
        <w:t xml:space="preserve"> elements have been the </w:t>
      </w:r>
      <w:r w:rsidR="005D5039">
        <w:t xml:space="preserve">subject </w:t>
      </w:r>
      <w:r w:rsidR="00213034">
        <w:t>of such correspondence from</w:t>
      </w:r>
      <w:r w:rsidR="000A50A1">
        <w:t xml:space="preserve"> communities concerned or</w:t>
      </w:r>
      <w:r w:rsidR="00213034">
        <w:t xml:space="preserve"> third parties that expressed concern</w:t>
      </w:r>
      <w:r w:rsidR="00BE29BE">
        <w:t>s</w:t>
      </w:r>
      <w:r w:rsidR="00213034">
        <w:t xml:space="preserve"> </w:t>
      </w:r>
      <w:r w:rsidR="00213034" w:rsidRPr="00BC79A5">
        <w:t>regarding</w:t>
      </w:r>
      <w:r w:rsidR="007425CB" w:rsidRPr="00BC79A5">
        <w:t xml:space="preserve"> the</w:t>
      </w:r>
      <w:r w:rsidR="00213034" w:rsidRPr="00BC79A5">
        <w:t xml:space="preserve"> latest developments affecting the status and viability of an inscribed element</w:t>
      </w:r>
      <w:r w:rsidR="00DE6653" w:rsidRPr="00BC79A5">
        <w:t xml:space="preserve"> (</w:t>
      </w:r>
      <w:r w:rsidR="00DE6653" w:rsidRPr="009228DD">
        <w:t xml:space="preserve">see Annex for </w:t>
      </w:r>
      <w:r w:rsidR="002D216D">
        <w:t>a</w:t>
      </w:r>
      <w:r w:rsidR="00AC3825" w:rsidRPr="009228DD">
        <w:t xml:space="preserve"> </w:t>
      </w:r>
      <w:r w:rsidR="00DE6653" w:rsidRPr="009228DD">
        <w:t>list of elements concerned</w:t>
      </w:r>
      <w:r w:rsidR="00DE6653" w:rsidRPr="00BC79A5">
        <w:t>)</w:t>
      </w:r>
      <w:r w:rsidR="00213034" w:rsidRPr="00BC79A5">
        <w:t xml:space="preserve">. </w:t>
      </w:r>
      <w:r w:rsidR="00BE29BE" w:rsidRPr="00BC79A5">
        <w:t xml:space="preserve">Out of </w:t>
      </w:r>
      <w:r w:rsidR="00BE29BE" w:rsidRPr="009228DD">
        <w:t>twelve</w:t>
      </w:r>
      <w:r w:rsidR="00BE29BE" w:rsidRPr="00BC79A5">
        <w:t xml:space="preserve"> cases, </w:t>
      </w:r>
      <w:r w:rsidR="00BE29BE" w:rsidRPr="009228DD">
        <w:t>eleven</w:t>
      </w:r>
      <w:r w:rsidR="00BE29BE" w:rsidRPr="00BC79A5">
        <w:t xml:space="preserve"> pertain to elements inscribed on the Representative</w:t>
      </w:r>
      <w:r w:rsidR="00BE29BE">
        <w:t xml:space="preserve"> List, while one was about an element inscribed on the Urgent Safeguarding List. </w:t>
      </w:r>
      <w:r w:rsidR="007425CB">
        <w:t>In terms of regional distribution</w:t>
      </w:r>
      <w:r w:rsidR="00BE29BE">
        <w:t xml:space="preserve">, </w:t>
      </w:r>
      <w:r w:rsidR="0075651B">
        <w:t xml:space="preserve">the </w:t>
      </w:r>
      <w:r w:rsidR="00BE29BE">
        <w:t xml:space="preserve">elements concerned </w:t>
      </w:r>
      <w:r w:rsidR="000A50A1">
        <w:t>originate</w:t>
      </w:r>
      <w:r w:rsidR="00BE29BE">
        <w:t xml:space="preserve"> from all regions, as follows:</w:t>
      </w:r>
    </w:p>
    <w:p w14:paraId="3350E47A" w14:textId="307CAEBE" w:rsidR="00213034" w:rsidRDefault="009B1E44" w:rsidP="00213034">
      <w:pPr>
        <w:pStyle w:val="COMPara"/>
        <w:numPr>
          <w:ilvl w:val="0"/>
          <w:numId w:val="0"/>
        </w:numPr>
        <w:ind w:left="567"/>
        <w:jc w:val="both"/>
      </w:pPr>
      <w:r w:rsidRPr="00EB65BB">
        <w:rPr>
          <w:b/>
          <w:noProof/>
          <w:lang w:val="fr-FR" w:eastAsia="fr-FR"/>
        </w:rPr>
        <w:lastRenderedPageBreak/>
        <w:drawing>
          <wp:inline distT="0" distB="0" distL="0" distR="0" wp14:anchorId="3A48803F" wp14:editId="221C23CD">
            <wp:extent cx="5762625" cy="2981739"/>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A8E314" w14:textId="32F5F52E" w:rsidR="00985514" w:rsidRPr="00E155AB" w:rsidRDefault="00C421D4" w:rsidP="009243B5">
      <w:pPr>
        <w:pStyle w:val="COMPara"/>
        <w:numPr>
          <w:ilvl w:val="3"/>
          <w:numId w:val="2"/>
        </w:numPr>
        <w:spacing w:before="240"/>
        <w:ind w:left="567" w:hanging="567"/>
        <w:jc w:val="both"/>
      </w:pPr>
      <w:r>
        <w:t>The c</w:t>
      </w:r>
      <w:r w:rsidR="00BE29BE">
        <w:t xml:space="preserve">orrespondence received </w:t>
      </w:r>
      <w:r w:rsidR="0075651B">
        <w:t xml:space="preserve">has </w:t>
      </w:r>
      <w:r w:rsidR="00BE29BE">
        <w:t>raise</w:t>
      </w:r>
      <w:r w:rsidR="007425CB">
        <w:t>d</w:t>
      </w:r>
      <w:r w:rsidR="00985514">
        <w:t xml:space="preserve"> a wide range of issues that </w:t>
      </w:r>
      <w:r w:rsidR="007425CB">
        <w:t xml:space="preserve">may </w:t>
      </w:r>
      <w:r w:rsidR="000A50A1">
        <w:t>affect the status</w:t>
      </w:r>
      <w:r w:rsidR="00985514">
        <w:t xml:space="preserve"> of inscribed </w:t>
      </w:r>
      <w:r w:rsidR="00985514" w:rsidRPr="00E155AB">
        <w:t>elements</w:t>
      </w:r>
      <w:r w:rsidR="00EF0811" w:rsidRPr="00E155AB">
        <w:t xml:space="preserve">. In one case, representatives from </w:t>
      </w:r>
      <w:r w:rsidR="0075651B">
        <w:t xml:space="preserve">the </w:t>
      </w:r>
      <w:r w:rsidR="00EF0811" w:rsidRPr="00E155AB">
        <w:t xml:space="preserve">communities </w:t>
      </w:r>
      <w:r w:rsidR="0075651B">
        <w:t>in question</w:t>
      </w:r>
      <w:r w:rsidR="0075651B" w:rsidRPr="00E155AB">
        <w:t xml:space="preserve"> </w:t>
      </w:r>
      <w:r w:rsidR="00EF0811" w:rsidRPr="00E155AB">
        <w:t>expressed a deep concern over the decreasing viability</w:t>
      </w:r>
      <w:r w:rsidR="000A50A1" w:rsidRPr="00E155AB">
        <w:t xml:space="preserve"> of their intangible cultural</w:t>
      </w:r>
      <w:r w:rsidR="00BE29BE" w:rsidRPr="00E155AB">
        <w:t xml:space="preserve"> </w:t>
      </w:r>
      <w:r w:rsidR="000A50A1" w:rsidRPr="00E155AB">
        <w:t xml:space="preserve">heritage </w:t>
      </w:r>
      <w:r w:rsidR="00BE29BE" w:rsidRPr="00E155AB">
        <w:t>and considered the possibility of requesting the transfer of the element from the Representative List to the Urgent Safeguarding List. Other causes for concerns include</w:t>
      </w:r>
      <w:r w:rsidR="00985514" w:rsidRPr="00E155AB">
        <w:t>:</w:t>
      </w:r>
    </w:p>
    <w:tbl>
      <w:tblPr>
        <w:tblStyle w:val="TableGrid"/>
        <w:tblW w:w="9072" w:type="dxa"/>
        <w:tblInd w:w="567" w:type="dxa"/>
        <w:tblLook w:val="04A0" w:firstRow="1" w:lastRow="0" w:firstColumn="1" w:lastColumn="0" w:noHBand="0" w:noVBand="1"/>
      </w:tblPr>
      <w:tblGrid>
        <w:gridCol w:w="6098"/>
        <w:gridCol w:w="2974"/>
      </w:tblGrid>
      <w:tr w:rsidR="00985514" w:rsidRPr="001314E9" w14:paraId="6B0DC21C" w14:textId="77777777" w:rsidTr="00276315">
        <w:tc>
          <w:tcPr>
            <w:tcW w:w="6091" w:type="dxa"/>
          </w:tcPr>
          <w:p w14:paraId="18B14874" w14:textId="20203E5F" w:rsidR="00985514" w:rsidRPr="001314E9" w:rsidRDefault="00985514" w:rsidP="001314E9">
            <w:pPr>
              <w:pStyle w:val="COMPara"/>
              <w:numPr>
                <w:ilvl w:val="0"/>
                <w:numId w:val="0"/>
              </w:numPr>
              <w:jc w:val="center"/>
              <w:rPr>
                <w:b/>
              </w:rPr>
            </w:pPr>
            <w:r w:rsidRPr="001314E9">
              <w:rPr>
                <w:b/>
              </w:rPr>
              <w:t>Issues</w:t>
            </w:r>
          </w:p>
        </w:tc>
        <w:tc>
          <w:tcPr>
            <w:tcW w:w="2970" w:type="dxa"/>
          </w:tcPr>
          <w:p w14:paraId="643547BB" w14:textId="078F29AF" w:rsidR="00985514" w:rsidRPr="001314E9" w:rsidRDefault="00985514" w:rsidP="00D8705A">
            <w:pPr>
              <w:pStyle w:val="COMPara"/>
              <w:numPr>
                <w:ilvl w:val="0"/>
                <w:numId w:val="0"/>
              </w:numPr>
              <w:jc w:val="center"/>
              <w:rPr>
                <w:b/>
              </w:rPr>
            </w:pPr>
            <w:r w:rsidRPr="001314E9">
              <w:rPr>
                <w:b/>
              </w:rPr>
              <w:t xml:space="preserve">Number of </w:t>
            </w:r>
            <w:r w:rsidR="00D8705A">
              <w:rPr>
                <w:b/>
              </w:rPr>
              <w:t>elements concerned</w:t>
            </w:r>
          </w:p>
        </w:tc>
      </w:tr>
      <w:tr w:rsidR="00985514" w:rsidRPr="00985514" w14:paraId="1E8D0D94" w14:textId="77777777" w:rsidTr="00276315">
        <w:tc>
          <w:tcPr>
            <w:tcW w:w="6091" w:type="dxa"/>
          </w:tcPr>
          <w:p w14:paraId="09DCA75C" w14:textId="20CBB630" w:rsidR="00985514" w:rsidRDefault="00B90AFA" w:rsidP="009228DD">
            <w:pPr>
              <w:pStyle w:val="COMPara"/>
              <w:numPr>
                <w:ilvl w:val="0"/>
                <w:numId w:val="0"/>
              </w:numPr>
            </w:pPr>
            <w:r w:rsidRPr="005B30B0">
              <w:t xml:space="preserve">Issues linked </w:t>
            </w:r>
            <w:r w:rsidR="00402453">
              <w:t>to</w:t>
            </w:r>
            <w:r w:rsidRPr="005B30B0">
              <w:t xml:space="preserve"> the requirements of mutual respect among communities</w:t>
            </w:r>
            <w:r w:rsidR="001314E9">
              <w:t xml:space="preserve"> (racism, xenophobia, discrimination)</w:t>
            </w:r>
          </w:p>
        </w:tc>
        <w:tc>
          <w:tcPr>
            <w:tcW w:w="2970" w:type="dxa"/>
          </w:tcPr>
          <w:p w14:paraId="710D1936" w14:textId="3403D2A3" w:rsidR="00985514" w:rsidRDefault="00D8705A" w:rsidP="00866DD2">
            <w:pPr>
              <w:pStyle w:val="COMPara"/>
              <w:numPr>
                <w:ilvl w:val="0"/>
                <w:numId w:val="0"/>
              </w:numPr>
              <w:jc w:val="center"/>
            </w:pPr>
            <w:r>
              <w:t>4</w:t>
            </w:r>
          </w:p>
        </w:tc>
      </w:tr>
      <w:tr w:rsidR="00985514" w:rsidRPr="00985514" w14:paraId="00475AEF" w14:textId="77777777" w:rsidTr="00276315">
        <w:tc>
          <w:tcPr>
            <w:tcW w:w="6091" w:type="dxa"/>
          </w:tcPr>
          <w:p w14:paraId="244E9C0B" w14:textId="32F5D42C" w:rsidR="00985514" w:rsidRDefault="001314E9" w:rsidP="009228DD">
            <w:pPr>
              <w:pStyle w:val="COMPara"/>
              <w:numPr>
                <w:ilvl w:val="0"/>
                <w:numId w:val="0"/>
              </w:numPr>
            </w:pPr>
            <w:r>
              <w:t>Restriction on the practice of an element including through legislative and regulatory measures</w:t>
            </w:r>
          </w:p>
        </w:tc>
        <w:tc>
          <w:tcPr>
            <w:tcW w:w="2970" w:type="dxa"/>
          </w:tcPr>
          <w:p w14:paraId="76C50B17" w14:textId="01CC808D" w:rsidR="00985514" w:rsidRDefault="00866DD2" w:rsidP="00866DD2">
            <w:pPr>
              <w:pStyle w:val="COMPara"/>
              <w:numPr>
                <w:ilvl w:val="0"/>
                <w:numId w:val="0"/>
              </w:numPr>
              <w:jc w:val="center"/>
            </w:pPr>
            <w:r>
              <w:t>3</w:t>
            </w:r>
          </w:p>
        </w:tc>
      </w:tr>
      <w:tr w:rsidR="00D8705A" w:rsidRPr="00985514" w14:paraId="24764CF1" w14:textId="77777777" w:rsidTr="00276315">
        <w:tc>
          <w:tcPr>
            <w:tcW w:w="6091" w:type="dxa"/>
          </w:tcPr>
          <w:p w14:paraId="2F054E92" w14:textId="77777777" w:rsidR="00D8705A" w:rsidRDefault="00D8705A" w:rsidP="009228DD">
            <w:pPr>
              <w:pStyle w:val="COMPara"/>
              <w:numPr>
                <w:ilvl w:val="0"/>
                <w:numId w:val="0"/>
              </w:numPr>
            </w:pPr>
            <w:r>
              <w:t>Lack of community involvement in the safeguarding of an element</w:t>
            </w:r>
          </w:p>
        </w:tc>
        <w:tc>
          <w:tcPr>
            <w:tcW w:w="2970" w:type="dxa"/>
          </w:tcPr>
          <w:p w14:paraId="79A40590" w14:textId="027AFD08" w:rsidR="00D8705A" w:rsidRDefault="00866DD2" w:rsidP="00866DD2">
            <w:pPr>
              <w:pStyle w:val="COMPara"/>
              <w:numPr>
                <w:ilvl w:val="0"/>
                <w:numId w:val="0"/>
              </w:numPr>
              <w:jc w:val="center"/>
            </w:pPr>
            <w:r>
              <w:t>3</w:t>
            </w:r>
          </w:p>
        </w:tc>
      </w:tr>
      <w:tr w:rsidR="00D8705A" w:rsidRPr="00985514" w14:paraId="779C100F" w14:textId="77777777" w:rsidTr="00276315">
        <w:tc>
          <w:tcPr>
            <w:tcW w:w="6091" w:type="dxa"/>
          </w:tcPr>
          <w:p w14:paraId="39E39D00" w14:textId="2FB8F4C0" w:rsidR="00D8705A" w:rsidRDefault="00D8705A" w:rsidP="009228DD">
            <w:pPr>
              <w:pStyle w:val="COMPara"/>
              <w:numPr>
                <w:ilvl w:val="0"/>
                <w:numId w:val="0"/>
              </w:numPr>
            </w:pPr>
            <w:r>
              <w:t>Land use</w:t>
            </w:r>
            <w:r w:rsidR="00485548">
              <w:t xml:space="preserve"> affecting spaces associated with an element</w:t>
            </w:r>
          </w:p>
        </w:tc>
        <w:tc>
          <w:tcPr>
            <w:tcW w:w="2970" w:type="dxa"/>
          </w:tcPr>
          <w:p w14:paraId="6C0ADBB8" w14:textId="7AD23B24" w:rsidR="00D8705A" w:rsidRDefault="00866DD2" w:rsidP="00866DD2">
            <w:pPr>
              <w:pStyle w:val="COMPara"/>
              <w:numPr>
                <w:ilvl w:val="0"/>
                <w:numId w:val="0"/>
              </w:numPr>
              <w:jc w:val="center"/>
            </w:pPr>
            <w:r>
              <w:t>2</w:t>
            </w:r>
          </w:p>
        </w:tc>
      </w:tr>
      <w:tr w:rsidR="0072695C" w:rsidRPr="00985514" w14:paraId="6E62E7BD" w14:textId="77777777" w:rsidTr="00276315">
        <w:tc>
          <w:tcPr>
            <w:tcW w:w="6091" w:type="dxa"/>
          </w:tcPr>
          <w:p w14:paraId="376E5BFE" w14:textId="1B59FA07" w:rsidR="0072695C" w:rsidRDefault="0072695C" w:rsidP="009228DD">
            <w:pPr>
              <w:pStyle w:val="COMPara"/>
              <w:numPr>
                <w:ilvl w:val="0"/>
                <w:numId w:val="0"/>
              </w:numPr>
            </w:pPr>
            <w:r>
              <w:t>Violent unrest</w:t>
            </w:r>
            <w:r w:rsidR="00BE29BE">
              <w:t xml:space="preserve"> during the practice of an element</w:t>
            </w:r>
          </w:p>
        </w:tc>
        <w:tc>
          <w:tcPr>
            <w:tcW w:w="2970" w:type="dxa"/>
          </w:tcPr>
          <w:p w14:paraId="1FCBF42B" w14:textId="77777777" w:rsidR="0072695C" w:rsidRDefault="0072695C" w:rsidP="0079309C">
            <w:pPr>
              <w:pStyle w:val="COMPara"/>
              <w:numPr>
                <w:ilvl w:val="0"/>
                <w:numId w:val="0"/>
              </w:numPr>
              <w:jc w:val="center"/>
            </w:pPr>
            <w:r>
              <w:t>2</w:t>
            </w:r>
          </w:p>
        </w:tc>
      </w:tr>
      <w:tr w:rsidR="00985514" w:rsidRPr="00985514" w14:paraId="47B62A1E" w14:textId="77777777" w:rsidTr="00276315">
        <w:tc>
          <w:tcPr>
            <w:tcW w:w="6091" w:type="dxa"/>
          </w:tcPr>
          <w:p w14:paraId="5E1CBB24" w14:textId="5E988821" w:rsidR="00985514" w:rsidRDefault="001314E9" w:rsidP="009228DD">
            <w:pPr>
              <w:pStyle w:val="COMPara"/>
              <w:numPr>
                <w:ilvl w:val="0"/>
                <w:numId w:val="0"/>
              </w:numPr>
            </w:pPr>
            <w:r>
              <w:t>Animal rights</w:t>
            </w:r>
          </w:p>
        </w:tc>
        <w:tc>
          <w:tcPr>
            <w:tcW w:w="2970" w:type="dxa"/>
          </w:tcPr>
          <w:p w14:paraId="0F443BC8" w14:textId="400A1D5D" w:rsidR="00985514" w:rsidRDefault="00866DD2" w:rsidP="00866DD2">
            <w:pPr>
              <w:pStyle w:val="COMPara"/>
              <w:numPr>
                <w:ilvl w:val="0"/>
                <w:numId w:val="0"/>
              </w:numPr>
              <w:jc w:val="center"/>
            </w:pPr>
            <w:r>
              <w:t>1</w:t>
            </w:r>
          </w:p>
        </w:tc>
      </w:tr>
      <w:tr w:rsidR="00866DD2" w:rsidRPr="00985514" w14:paraId="6D4C2A20" w14:textId="77777777" w:rsidTr="00276315">
        <w:tc>
          <w:tcPr>
            <w:tcW w:w="6091" w:type="dxa"/>
          </w:tcPr>
          <w:p w14:paraId="481BE3F6" w14:textId="77777777" w:rsidR="00866DD2" w:rsidRDefault="00866DD2" w:rsidP="009228DD">
            <w:pPr>
              <w:pStyle w:val="COMPara"/>
              <w:numPr>
                <w:ilvl w:val="0"/>
                <w:numId w:val="0"/>
              </w:numPr>
            </w:pPr>
            <w:r>
              <w:t>Exploitation of natural resources affecting spaces associated with an element</w:t>
            </w:r>
          </w:p>
        </w:tc>
        <w:tc>
          <w:tcPr>
            <w:tcW w:w="2970" w:type="dxa"/>
          </w:tcPr>
          <w:p w14:paraId="7105243D" w14:textId="77777777" w:rsidR="00866DD2" w:rsidRDefault="00866DD2" w:rsidP="0079309C">
            <w:pPr>
              <w:pStyle w:val="COMPara"/>
              <w:numPr>
                <w:ilvl w:val="0"/>
                <w:numId w:val="0"/>
              </w:numPr>
              <w:jc w:val="center"/>
            </w:pPr>
            <w:r>
              <w:t>1</w:t>
            </w:r>
          </w:p>
        </w:tc>
      </w:tr>
      <w:tr w:rsidR="00985514" w:rsidRPr="00985514" w14:paraId="7B876D74" w14:textId="77777777" w:rsidTr="00276315">
        <w:tc>
          <w:tcPr>
            <w:tcW w:w="6091" w:type="dxa"/>
          </w:tcPr>
          <w:p w14:paraId="43D36541" w14:textId="257EA3B3" w:rsidR="00985514" w:rsidRDefault="001314E9" w:rsidP="009228DD">
            <w:pPr>
              <w:pStyle w:val="COMPara"/>
              <w:numPr>
                <w:ilvl w:val="0"/>
                <w:numId w:val="0"/>
              </w:numPr>
            </w:pPr>
            <w:r>
              <w:t>Infrastructure construction</w:t>
            </w:r>
          </w:p>
        </w:tc>
        <w:tc>
          <w:tcPr>
            <w:tcW w:w="2970" w:type="dxa"/>
          </w:tcPr>
          <w:p w14:paraId="1FE050C6" w14:textId="04889229" w:rsidR="00985514" w:rsidRDefault="00866DD2" w:rsidP="00866DD2">
            <w:pPr>
              <w:pStyle w:val="COMPara"/>
              <w:numPr>
                <w:ilvl w:val="0"/>
                <w:numId w:val="0"/>
              </w:numPr>
              <w:jc w:val="center"/>
            </w:pPr>
            <w:r>
              <w:t>1</w:t>
            </w:r>
          </w:p>
        </w:tc>
      </w:tr>
    </w:tbl>
    <w:p w14:paraId="311D596C" w14:textId="550A573F" w:rsidR="00866DD2" w:rsidRDefault="000A50A1" w:rsidP="00BC6E80">
      <w:pPr>
        <w:pStyle w:val="COMPara"/>
        <w:keepNext/>
        <w:numPr>
          <w:ilvl w:val="3"/>
          <w:numId w:val="2"/>
        </w:numPr>
        <w:spacing w:before="120"/>
        <w:ind w:left="567" w:hanging="567"/>
        <w:jc w:val="both"/>
      </w:pPr>
      <w:r>
        <w:lastRenderedPageBreak/>
        <w:t xml:space="preserve">Information pertaining to the changing status of inscribed elements </w:t>
      </w:r>
      <w:r w:rsidR="0075651B">
        <w:t xml:space="preserve">has </w:t>
      </w:r>
      <w:r>
        <w:t xml:space="preserve">been brought to the attention of the Secretariat by </w:t>
      </w:r>
      <w:r w:rsidR="00866DD2">
        <w:t xml:space="preserve">a wide </w:t>
      </w:r>
      <w:r w:rsidR="00BE29BE">
        <w:t>range of stakeholders:</w:t>
      </w:r>
    </w:p>
    <w:p w14:paraId="3108EE8E" w14:textId="022D860D" w:rsidR="00866DD2" w:rsidRDefault="00866DD2" w:rsidP="00866DD2">
      <w:pPr>
        <w:pStyle w:val="COMPara"/>
        <w:numPr>
          <w:ilvl w:val="0"/>
          <w:numId w:val="0"/>
        </w:numPr>
        <w:ind w:left="567"/>
        <w:jc w:val="both"/>
      </w:pPr>
      <w:r>
        <w:rPr>
          <w:noProof/>
          <w:snapToGrid/>
          <w:lang w:val="fr-FR" w:eastAsia="fr-FR"/>
        </w:rPr>
        <w:drawing>
          <wp:inline distT="0" distB="0" distL="0" distR="0" wp14:anchorId="277C4B5C" wp14:editId="2D42D854">
            <wp:extent cx="5760000" cy="3200400"/>
            <wp:effectExtent l="0" t="0" r="1270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5E03CD" w14:textId="7F8F2B3B" w:rsidR="00996981" w:rsidRDefault="00EF0811" w:rsidP="00A67F72">
      <w:pPr>
        <w:pStyle w:val="COMPara"/>
        <w:numPr>
          <w:ilvl w:val="3"/>
          <w:numId w:val="2"/>
        </w:numPr>
        <w:ind w:left="567" w:hanging="567"/>
        <w:jc w:val="both"/>
      </w:pPr>
      <w:r>
        <w:t xml:space="preserve">In application of the guidelines concerning the treatment of correspondence, the Secretariat forwarded </w:t>
      </w:r>
      <w:r w:rsidR="0075651B">
        <w:t xml:space="preserve">the </w:t>
      </w:r>
      <w:r>
        <w:t>letters</w:t>
      </w:r>
      <w:r w:rsidR="00485548">
        <w:t xml:space="preserve"> received</w:t>
      </w:r>
      <w:r>
        <w:t xml:space="preserve"> to the competent authorities of the </w:t>
      </w:r>
      <w:r w:rsidR="000A50A1">
        <w:t xml:space="preserve">nomination </w:t>
      </w:r>
      <w:r>
        <w:t xml:space="preserve">concerned in eight cases. In </w:t>
      </w:r>
      <w:r w:rsidRPr="009228DD">
        <w:t>three</w:t>
      </w:r>
      <w:r>
        <w:t xml:space="preserve"> of these </w:t>
      </w:r>
      <w:r w:rsidR="000A50A1">
        <w:t xml:space="preserve">cases, States Parties </w:t>
      </w:r>
      <w:r>
        <w:t xml:space="preserve">provided a response that </w:t>
      </w:r>
      <w:proofErr w:type="gramStart"/>
      <w:r>
        <w:t>was then transmitted</w:t>
      </w:r>
      <w:proofErr w:type="gramEnd"/>
      <w:r>
        <w:t xml:space="preserve"> </w:t>
      </w:r>
      <w:r w:rsidR="000A50A1">
        <w:t xml:space="preserve">back </w:t>
      </w:r>
      <w:r>
        <w:t xml:space="preserve">to the entity that </w:t>
      </w:r>
      <w:r w:rsidR="0075651B">
        <w:t xml:space="preserve">had </w:t>
      </w:r>
      <w:r>
        <w:t xml:space="preserve">sent the initial correspondence. </w:t>
      </w:r>
      <w:r w:rsidR="00485548">
        <w:t>This exchange of correspondence also led</w:t>
      </w:r>
      <w:r w:rsidR="0075651B">
        <w:t>,</w:t>
      </w:r>
      <w:r w:rsidR="00485548">
        <w:t xml:space="preserve"> in two instances</w:t>
      </w:r>
      <w:r w:rsidR="0075651B">
        <w:t>,</w:t>
      </w:r>
      <w:r w:rsidR="00485548">
        <w:t xml:space="preserve"> </w:t>
      </w:r>
      <w:r w:rsidR="0075651B">
        <w:t xml:space="preserve">to improved </w:t>
      </w:r>
      <w:r w:rsidR="00485548">
        <w:t>collaboration between governmental authorities and communities for the joint implementation of safeguarding measures.</w:t>
      </w:r>
      <w:r w:rsidR="007E04E1">
        <w:t xml:space="preserve"> However, in one of these cases, the State Party concerned seem</w:t>
      </w:r>
      <w:r w:rsidR="00CB3372">
        <w:t>ed</w:t>
      </w:r>
      <w:r w:rsidR="007E04E1">
        <w:t xml:space="preserve"> to </w:t>
      </w:r>
      <w:r w:rsidR="00B90AFA">
        <w:t xml:space="preserve">confirm </w:t>
      </w:r>
      <w:r w:rsidR="007E04E1">
        <w:t>that recent measures taken would indeed restrict the enactment of the practice.</w:t>
      </w:r>
    </w:p>
    <w:p w14:paraId="1E223D75" w14:textId="572ED47F" w:rsidR="005C55E3" w:rsidRPr="00E935A2" w:rsidRDefault="00FE41B3" w:rsidP="005C55E3">
      <w:pPr>
        <w:pStyle w:val="COMPara"/>
        <w:numPr>
          <w:ilvl w:val="3"/>
          <w:numId w:val="2"/>
        </w:numPr>
        <w:ind w:left="567" w:hanging="567"/>
        <w:jc w:val="both"/>
      </w:pPr>
      <w:r>
        <w:t xml:space="preserve">Despite </w:t>
      </w:r>
      <w:proofErr w:type="gramStart"/>
      <w:r>
        <w:t>these</w:t>
      </w:r>
      <w:proofErr w:type="gramEnd"/>
      <w:r>
        <w:t xml:space="preserve"> few cases in which the transmission of correspondence led to concrete measures, t</w:t>
      </w:r>
      <w:r w:rsidR="005C55E3" w:rsidRPr="00E935A2">
        <w:t>he current system for the follow-up of inscribed elements</w:t>
      </w:r>
      <w:r>
        <w:t xml:space="preserve"> </w:t>
      </w:r>
      <w:r w:rsidR="0033793D">
        <w:t>demonstrate</w:t>
      </w:r>
      <w:r>
        <w:t>s</w:t>
      </w:r>
      <w:r w:rsidR="0033793D">
        <w:t xml:space="preserve"> </w:t>
      </w:r>
      <w:r w:rsidR="0075651B">
        <w:t xml:space="preserve">a </w:t>
      </w:r>
      <w:r w:rsidR="0033793D">
        <w:t>limited impact</w:t>
      </w:r>
      <w:r w:rsidR="0075651B" w:rsidRPr="0075651B">
        <w:t xml:space="preserve"> </w:t>
      </w:r>
      <w:r w:rsidR="0075651B">
        <w:t>overall</w:t>
      </w:r>
      <w:r>
        <w:t xml:space="preserve">. This may </w:t>
      </w:r>
      <w:r w:rsidR="0033793D">
        <w:t xml:space="preserve">affect the credibility of the listing system of the Convention, which </w:t>
      </w:r>
      <w:proofErr w:type="gramStart"/>
      <w:r w:rsidR="0033793D">
        <w:t>is based</w:t>
      </w:r>
      <w:proofErr w:type="gramEnd"/>
      <w:r w:rsidR="0033793D">
        <w:t xml:space="preserve"> on the accountability of States Parties and communities for the safeguarding of their inscribed elements</w:t>
      </w:r>
      <w:r w:rsidR="005C55E3" w:rsidRPr="00E935A2">
        <w:t xml:space="preserve">. It appears that despite the seriousness of </w:t>
      </w:r>
      <w:r w:rsidR="0075651B">
        <w:t xml:space="preserve">the </w:t>
      </w:r>
      <w:r w:rsidR="005C55E3" w:rsidRPr="00E935A2">
        <w:t>issues raised</w:t>
      </w:r>
      <w:r w:rsidR="00E935A2" w:rsidRPr="00E935A2">
        <w:t xml:space="preserve"> in </w:t>
      </w:r>
      <w:r w:rsidR="00B90AFA">
        <w:t>some of</w:t>
      </w:r>
      <w:r w:rsidR="00E935A2" w:rsidRPr="00E935A2">
        <w:t xml:space="preserve"> the correspondence received by the Secretariat</w:t>
      </w:r>
      <w:r w:rsidR="005C55E3" w:rsidRPr="00E935A2">
        <w:t xml:space="preserve">, there is </w:t>
      </w:r>
      <w:r w:rsidR="00E935A2" w:rsidRPr="00E935A2">
        <w:t xml:space="preserve">currently </w:t>
      </w:r>
      <w:r w:rsidR="005C55E3" w:rsidRPr="00E935A2">
        <w:t xml:space="preserve">no existing mechanism allowing the Committee to </w:t>
      </w:r>
      <w:proofErr w:type="gramStart"/>
      <w:r w:rsidR="005C55E3" w:rsidRPr="00E935A2">
        <w:t>be informed</w:t>
      </w:r>
      <w:proofErr w:type="gramEnd"/>
      <w:r w:rsidR="00E935A2" w:rsidRPr="00E935A2">
        <w:t xml:space="preserve"> through the Secretariat</w:t>
      </w:r>
      <w:r w:rsidR="005C55E3" w:rsidRPr="00E935A2">
        <w:t xml:space="preserve"> and/or allowing the Secretariat to take the initiative to inform the Committee. </w:t>
      </w:r>
      <w:r w:rsidR="0033793D">
        <w:t>In other words, o</w:t>
      </w:r>
      <w:r w:rsidR="005C55E3" w:rsidRPr="00E935A2">
        <w:t xml:space="preserve">nce correspondence </w:t>
      </w:r>
      <w:proofErr w:type="gramStart"/>
      <w:r w:rsidR="0075651B">
        <w:t>has been</w:t>
      </w:r>
      <w:r w:rsidR="0075651B" w:rsidRPr="00E935A2">
        <w:t xml:space="preserve"> </w:t>
      </w:r>
      <w:r w:rsidR="005C55E3" w:rsidRPr="00E935A2">
        <w:t>received</w:t>
      </w:r>
      <w:proofErr w:type="gramEnd"/>
      <w:r w:rsidR="005C55E3" w:rsidRPr="00E935A2">
        <w:t xml:space="preserve">, the sole option for the Secretariat is to transmit </w:t>
      </w:r>
      <w:r w:rsidR="0075651B">
        <w:t>it</w:t>
      </w:r>
      <w:r w:rsidR="005C55E3" w:rsidRPr="00E935A2">
        <w:t xml:space="preserve"> to the State Party concerned without </w:t>
      </w:r>
      <w:r w:rsidR="00B90AFA">
        <w:t>the</w:t>
      </w:r>
      <w:r w:rsidR="00B90AFA" w:rsidRPr="00E935A2">
        <w:t xml:space="preserve"> </w:t>
      </w:r>
      <w:r w:rsidR="005C55E3" w:rsidRPr="00E935A2">
        <w:t xml:space="preserve">possibility </w:t>
      </w:r>
      <w:r w:rsidR="0075651B">
        <w:t>of</w:t>
      </w:r>
      <w:r w:rsidR="0075651B" w:rsidRPr="00E935A2">
        <w:t xml:space="preserve"> </w:t>
      </w:r>
      <w:r w:rsidR="005C55E3" w:rsidRPr="00E935A2">
        <w:t>inform</w:t>
      </w:r>
      <w:r w:rsidR="0075651B">
        <w:t>ing</w:t>
      </w:r>
      <w:r w:rsidR="005C55E3" w:rsidRPr="00E935A2">
        <w:t xml:space="preserve"> the Committee. While some of these issues </w:t>
      </w:r>
      <w:proofErr w:type="gramStart"/>
      <w:r w:rsidR="005C55E3" w:rsidRPr="00E935A2">
        <w:t>could have</w:t>
      </w:r>
      <w:r w:rsidR="00E935A2" w:rsidRPr="00E935A2">
        <w:t xml:space="preserve"> indeed</w:t>
      </w:r>
      <w:r w:rsidR="005C55E3" w:rsidRPr="00E935A2">
        <w:t xml:space="preserve"> been raised</w:t>
      </w:r>
      <w:proofErr w:type="gramEnd"/>
      <w:r w:rsidR="005C55E3" w:rsidRPr="00E935A2">
        <w:t xml:space="preserve"> in the periodic reports submitted by States Parties, reports</w:t>
      </w:r>
      <w:r w:rsidR="00E935A2" w:rsidRPr="00E935A2">
        <w:t xml:space="preserve"> might</w:t>
      </w:r>
      <w:r w:rsidR="005C55E3" w:rsidRPr="00E935A2">
        <w:t xml:space="preserve"> have been submitted several years after the fact and stakeholders that initiated the correspondence may not have been involved in the preparation </w:t>
      </w:r>
      <w:r w:rsidR="0033793D">
        <w:t xml:space="preserve">of </w:t>
      </w:r>
      <w:r w:rsidR="0075651B">
        <w:t xml:space="preserve">the </w:t>
      </w:r>
      <w:r w:rsidR="0033793D">
        <w:t>periodic reports concerned. These shortcomings may call for the revision of the current guidelines for the treatment of correspondence.</w:t>
      </w:r>
    </w:p>
    <w:p w14:paraId="575DAF8F" w14:textId="0569A721" w:rsidR="00380403" w:rsidRDefault="00380403" w:rsidP="00827BDF">
      <w:pPr>
        <w:pStyle w:val="ListParagraph"/>
        <w:keepNext/>
        <w:numPr>
          <w:ilvl w:val="0"/>
          <w:numId w:val="5"/>
        </w:numPr>
        <w:spacing w:before="360" w:after="120"/>
        <w:ind w:left="567" w:hanging="567"/>
        <w:jc w:val="both"/>
        <w:rPr>
          <w:rFonts w:ascii="Arial" w:hAnsi="Arial" w:cs="Arial"/>
          <w:b/>
          <w:sz w:val="22"/>
          <w:szCs w:val="22"/>
          <w:lang w:val="en-US"/>
        </w:rPr>
      </w:pPr>
      <w:r>
        <w:rPr>
          <w:rFonts w:ascii="Arial" w:hAnsi="Arial" w:cs="Arial"/>
          <w:b/>
          <w:sz w:val="22"/>
          <w:szCs w:val="22"/>
          <w:lang w:val="en-US"/>
        </w:rPr>
        <w:t xml:space="preserve">Mechanism for the follow-up of inscribed elements under </w:t>
      </w:r>
      <w:r w:rsidR="004448AA">
        <w:rPr>
          <w:rFonts w:ascii="Arial" w:hAnsi="Arial" w:cs="Arial"/>
          <w:b/>
          <w:sz w:val="22"/>
          <w:szCs w:val="22"/>
          <w:lang w:val="en-US"/>
        </w:rPr>
        <w:t>the World Heritage Convention</w:t>
      </w:r>
    </w:p>
    <w:p w14:paraId="186A7A6C" w14:textId="018EE66E" w:rsidR="00996981" w:rsidRPr="0020459C" w:rsidRDefault="00914009" w:rsidP="00914009">
      <w:pPr>
        <w:pStyle w:val="COMPara"/>
        <w:numPr>
          <w:ilvl w:val="3"/>
          <w:numId w:val="2"/>
        </w:numPr>
        <w:ind w:left="567" w:hanging="567"/>
        <w:jc w:val="both"/>
      </w:pPr>
      <w:proofErr w:type="gramStart"/>
      <w:r>
        <w:t>In addition to its own</w:t>
      </w:r>
      <w:r w:rsidR="005C55E3">
        <w:t xml:space="preserve"> sex</w:t>
      </w:r>
      <w:r>
        <w:t>ennial p</w:t>
      </w:r>
      <w:r w:rsidR="004F0BFC">
        <w:t xml:space="preserve">eriodic </w:t>
      </w:r>
      <w:r>
        <w:t>r</w:t>
      </w:r>
      <w:r w:rsidR="004F0BFC">
        <w:t>eporting mechanism, t</w:t>
      </w:r>
      <w:r w:rsidR="00996981">
        <w:t>he</w:t>
      </w:r>
      <w:r w:rsidR="0033793D">
        <w:t xml:space="preserve"> 1972 Convention </w:t>
      </w:r>
      <w:r w:rsidR="00E72460">
        <w:t>C</w:t>
      </w:r>
      <w:r w:rsidR="0033793D">
        <w:t xml:space="preserve">oncerning </w:t>
      </w:r>
      <w:r w:rsidR="00996981" w:rsidRPr="00996981">
        <w:t>the Protection of the World Cultural and Natural Heritage</w:t>
      </w:r>
      <w:r w:rsidR="00F56687">
        <w:t xml:space="preserve"> (hereinafter</w:t>
      </w:r>
      <w:r w:rsidR="0075651B">
        <w:t xml:space="preserve">, </w:t>
      </w:r>
      <w:r w:rsidR="00F56687">
        <w:t>the ‘World Heritage Convention’)</w:t>
      </w:r>
      <w:r w:rsidR="00996981" w:rsidRPr="00996981">
        <w:t xml:space="preserve"> </w:t>
      </w:r>
      <w:r w:rsidR="00996981">
        <w:t xml:space="preserve">established a Reactive Monitoring mechanism, defined in </w:t>
      </w:r>
      <w:r w:rsidR="00AC3825">
        <w:t>paragraph </w:t>
      </w:r>
      <w:r w:rsidR="00996981">
        <w:t xml:space="preserve">169 of the Operational Guidelines for the implementation of the World Heritage Convention as ‘the reporting by the </w:t>
      </w:r>
      <w:r w:rsidR="006D5C79">
        <w:t>Secretariat</w:t>
      </w:r>
      <w:r w:rsidR="00996981">
        <w:t>, other sectors of UNESCO and the Advisory Bodies to the World Heritage Committee on the state of conservation of specific World Heritage properties that are under threat’.</w:t>
      </w:r>
      <w:proofErr w:type="gramEnd"/>
      <w:r w:rsidR="00996981">
        <w:t xml:space="preserve"> </w:t>
      </w:r>
      <w:r>
        <w:t>It</w:t>
      </w:r>
      <w:r w:rsidR="0009682D">
        <w:t xml:space="preserve"> provides ways for States Parties and sources</w:t>
      </w:r>
      <w:r w:rsidR="00AD5C62">
        <w:t xml:space="preserve"> other than </w:t>
      </w:r>
      <w:r w:rsidR="00AD5C62">
        <w:lastRenderedPageBreak/>
        <w:t xml:space="preserve">the State Party concerned to inform the Committee, through the World Heritage Centre, of the serious deterioration of the conditions of an inscribed property and of any action that may affect </w:t>
      </w:r>
      <w:r w:rsidR="0075651B">
        <w:t xml:space="preserve">its </w:t>
      </w:r>
      <w:r w:rsidR="00996981">
        <w:t xml:space="preserve">Outstanding Universal Value. </w:t>
      </w:r>
      <w:r w:rsidR="00AD5C62">
        <w:t>In the case of information from third parties, the Secretariat, a</w:t>
      </w:r>
      <w:r w:rsidR="00996981">
        <w:t xml:space="preserve">s far as possible, </w:t>
      </w:r>
      <w:r w:rsidR="0075651B">
        <w:t>‘</w:t>
      </w:r>
      <w:proofErr w:type="spellStart"/>
      <w:r w:rsidR="00996981">
        <w:t>verif</w:t>
      </w:r>
      <w:proofErr w:type="spellEnd"/>
      <w:r w:rsidR="00AD5C62">
        <w:t>[</w:t>
      </w:r>
      <w:proofErr w:type="spellStart"/>
      <w:r w:rsidR="00AD5C62">
        <w:t>ies</w:t>
      </w:r>
      <w:proofErr w:type="spellEnd"/>
      <w:r w:rsidR="00AD5C62">
        <w:t>]</w:t>
      </w:r>
      <w:r w:rsidR="00996981">
        <w:t xml:space="preserve"> the source and the contents of the information in consultation with the State Party concerned and request</w:t>
      </w:r>
      <w:r w:rsidR="0033793D">
        <w:t>[s]</w:t>
      </w:r>
      <w:r w:rsidR="00996981">
        <w:t xml:space="preserve"> its comments</w:t>
      </w:r>
      <w:r w:rsidR="0075651B">
        <w:t>’</w:t>
      </w:r>
      <w:r w:rsidR="00AD5C62">
        <w:t xml:space="preserve"> (Paragraph 174 of the Operational Guidelines)</w:t>
      </w:r>
      <w:r w:rsidR="00996981">
        <w:t>.</w:t>
      </w:r>
      <w:r w:rsidR="00AD5C62">
        <w:t xml:space="preserve"> </w:t>
      </w:r>
      <w:r w:rsidR="0009682D" w:rsidRPr="0020459C">
        <w:t>The information received</w:t>
      </w:r>
      <w:r w:rsidR="00F96BB0" w:rsidRPr="0020459C">
        <w:t xml:space="preserve"> by the Secretariat</w:t>
      </w:r>
      <w:r w:rsidR="0009682D" w:rsidRPr="0020459C">
        <w:t xml:space="preserve">, together with the comments of the State Party and the Advisory Bodies, </w:t>
      </w:r>
      <w:proofErr w:type="gramStart"/>
      <w:r w:rsidR="00F96BB0" w:rsidRPr="0020459C">
        <w:t>is</w:t>
      </w:r>
      <w:r w:rsidR="0009682D" w:rsidRPr="0020459C">
        <w:t xml:space="preserve"> brought</w:t>
      </w:r>
      <w:proofErr w:type="gramEnd"/>
      <w:r w:rsidR="0009682D" w:rsidRPr="0020459C">
        <w:t xml:space="preserve"> to the attention of the </w:t>
      </w:r>
      <w:r w:rsidR="00F96BB0" w:rsidRPr="0020459C">
        <w:t xml:space="preserve">World Heritage </w:t>
      </w:r>
      <w:r w:rsidR="0009682D" w:rsidRPr="0020459C">
        <w:t>Committee in the form of a state of conservation report for each property</w:t>
      </w:r>
      <w:r w:rsidR="0033793D">
        <w:rPr>
          <w:rStyle w:val="FootnoteReference"/>
        </w:rPr>
        <w:footnoteReference w:id="2"/>
      </w:r>
      <w:r w:rsidR="0009682D" w:rsidRPr="0020459C">
        <w:t>.</w:t>
      </w:r>
    </w:p>
    <w:p w14:paraId="3B9249B8" w14:textId="5C36EA76" w:rsidR="00CD6AEB" w:rsidRDefault="00CD6AEB" w:rsidP="00456D30">
      <w:pPr>
        <w:pStyle w:val="COMPara"/>
        <w:numPr>
          <w:ilvl w:val="3"/>
          <w:numId w:val="2"/>
        </w:numPr>
        <w:ind w:left="567" w:hanging="567"/>
        <w:jc w:val="both"/>
      </w:pPr>
      <w:r>
        <w:t xml:space="preserve">As the </w:t>
      </w:r>
      <w:r w:rsidR="00456D30">
        <w:t xml:space="preserve">World Heritage Convention </w:t>
      </w:r>
      <w:r>
        <w:t xml:space="preserve">and 2003 Convention </w:t>
      </w:r>
      <w:proofErr w:type="gramStart"/>
      <w:r w:rsidR="0075651B">
        <w:t>are based</w:t>
      </w:r>
      <w:proofErr w:type="gramEnd"/>
      <w:r w:rsidR="0075651B">
        <w:t xml:space="preserve"> </w:t>
      </w:r>
      <w:r>
        <w:t xml:space="preserve">on </w:t>
      </w:r>
      <w:r w:rsidR="0033793D">
        <w:t xml:space="preserve">different </w:t>
      </w:r>
      <w:r w:rsidR="00CA2931">
        <w:t>purposes</w:t>
      </w:r>
      <w:r w:rsidR="0033793D">
        <w:t xml:space="preserve"> and their L</w:t>
      </w:r>
      <w:r>
        <w:t xml:space="preserve">ists on different </w:t>
      </w:r>
      <w:r w:rsidR="00ED78F3">
        <w:t>criteria, it seems</w:t>
      </w:r>
      <w:r>
        <w:t xml:space="preserve"> clear that the Reactive Monitoring mechanism, as developed for the World Heritage Convention, is not entirely </w:t>
      </w:r>
      <w:r w:rsidR="00ED78F3">
        <w:t xml:space="preserve">and directly </w:t>
      </w:r>
      <w:r>
        <w:t>transferrable to the 2003 Convention.</w:t>
      </w:r>
      <w:r w:rsidR="00ED78F3">
        <w:t xml:space="preserve"> However, considering it</w:t>
      </w:r>
      <w:r w:rsidR="0033793D">
        <w:t>s long existence, it may constitute</w:t>
      </w:r>
      <w:r w:rsidR="00ED78F3">
        <w:t xml:space="preserve"> </w:t>
      </w:r>
      <w:r w:rsidR="0075651B">
        <w:t xml:space="preserve">a source of </w:t>
      </w:r>
      <w:r w:rsidR="00ED78F3">
        <w:t>inspiration in a number of aspects, such as the accountability of States Parties concerning inscribed elements and ways for stakeholders other than the State Party to provide information to the Committee through the Secretariat, for the development of a follow-up mechanism for inscribed elements under the 2003 Convention.</w:t>
      </w:r>
      <w:r w:rsidR="00F451D8">
        <w:t xml:space="preserve"> In this regard, the results of the </w:t>
      </w:r>
      <w:r w:rsidR="00F451D8" w:rsidRPr="00F451D8">
        <w:t>Online Consultation on the Reactive Monitoring process with all key stakeholders of the World Heritage Convention</w:t>
      </w:r>
      <w:r w:rsidR="00F451D8">
        <w:t xml:space="preserve"> – ongoing at the time of writing</w:t>
      </w:r>
      <w:r w:rsidR="0033793D">
        <w:t xml:space="preserve"> of</w:t>
      </w:r>
      <w:r w:rsidR="00F451D8">
        <w:t xml:space="preserve"> the present document – may also provide some indications</w:t>
      </w:r>
      <w:r w:rsidR="0033793D">
        <w:t xml:space="preserve"> and orientations</w:t>
      </w:r>
      <w:r w:rsidR="00F451D8">
        <w:t xml:space="preserve"> on the </w:t>
      </w:r>
      <w:r w:rsidR="00C421D4">
        <w:t>relevance</w:t>
      </w:r>
      <w:r w:rsidR="00F451D8">
        <w:t xml:space="preserve"> of such</w:t>
      </w:r>
      <w:r w:rsidR="00C421D4">
        <w:t xml:space="preserve"> a</w:t>
      </w:r>
      <w:r w:rsidR="00F451D8">
        <w:t xml:space="preserve"> system.</w:t>
      </w:r>
    </w:p>
    <w:p w14:paraId="6206DC40" w14:textId="77777777" w:rsidR="00975B74" w:rsidRDefault="00AB7E60" w:rsidP="00827BDF">
      <w:pPr>
        <w:pStyle w:val="ListParagraph"/>
        <w:numPr>
          <w:ilvl w:val="0"/>
          <w:numId w:val="5"/>
        </w:numPr>
        <w:spacing w:before="360" w:after="120"/>
        <w:ind w:left="567" w:hanging="567"/>
        <w:jc w:val="both"/>
        <w:rPr>
          <w:rFonts w:ascii="Arial" w:hAnsi="Arial" w:cs="Arial"/>
          <w:b/>
          <w:sz w:val="22"/>
          <w:szCs w:val="22"/>
          <w:lang w:val="en-US"/>
        </w:rPr>
      </w:pPr>
      <w:r w:rsidRPr="00AB7E60">
        <w:rPr>
          <w:rFonts w:ascii="Arial" w:hAnsi="Arial" w:cs="Arial"/>
          <w:b/>
          <w:sz w:val="22"/>
          <w:szCs w:val="22"/>
          <w:lang w:val="en-US"/>
        </w:rPr>
        <w:t>Considerations in a larger context</w:t>
      </w:r>
      <w:r w:rsidR="00650598">
        <w:rPr>
          <w:rFonts w:ascii="Arial" w:hAnsi="Arial" w:cs="Arial"/>
          <w:b/>
          <w:sz w:val="22"/>
          <w:szCs w:val="22"/>
          <w:lang w:val="en-US"/>
        </w:rPr>
        <w:t xml:space="preserve"> and ongoing reflections</w:t>
      </w:r>
    </w:p>
    <w:p w14:paraId="40BA7D43" w14:textId="7EC75E89" w:rsidR="00A67F72" w:rsidRPr="00A67F72" w:rsidRDefault="00A67F72" w:rsidP="00A518F9">
      <w:pPr>
        <w:pStyle w:val="COMPara"/>
        <w:numPr>
          <w:ilvl w:val="3"/>
          <w:numId w:val="2"/>
        </w:numPr>
        <w:spacing w:after="240"/>
        <w:ind w:left="567" w:hanging="567"/>
        <w:jc w:val="both"/>
      </w:pPr>
      <w:r w:rsidRPr="00A67F72">
        <w:t xml:space="preserve">The reflection around the </w:t>
      </w:r>
      <w:r w:rsidR="0033793D">
        <w:t xml:space="preserve">need for a </w:t>
      </w:r>
      <w:r>
        <w:t>follow-up of inscribed elements is linked to a number of broader issues that the Committee may wish to take into consideration in its debates:</w:t>
      </w:r>
    </w:p>
    <w:p w14:paraId="5A54796A" w14:textId="77777777" w:rsidR="00DA61DC" w:rsidRPr="00F60C75" w:rsidRDefault="00DA61DC" w:rsidP="00DA61DC">
      <w:pPr>
        <w:pStyle w:val="COMPara"/>
        <w:keepNext/>
        <w:numPr>
          <w:ilvl w:val="0"/>
          <w:numId w:val="0"/>
        </w:numPr>
        <w:ind w:left="567"/>
        <w:jc w:val="both"/>
        <w:rPr>
          <w:b/>
          <w:i/>
        </w:rPr>
      </w:pPr>
      <w:r w:rsidRPr="0029254E">
        <w:rPr>
          <w:b/>
          <w:i/>
        </w:rPr>
        <w:t>Periodic reporting</w:t>
      </w:r>
    </w:p>
    <w:p w14:paraId="75C2BF81" w14:textId="03124E24" w:rsidR="00DA61DC" w:rsidRDefault="00DA61DC" w:rsidP="00A518F9">
      <w:pPr>
        <w:pStyle w:val="COMPara"/>
        <w:numPr>
          <w:ilvl w:val="3"/>
          <w:numId w:val="2"/>
        </w:numPr>
        <w:spacing w:after="240"/>
        <w:ind w:left="567" w:hanging="567"/>
        <w:jc w:val="both"/>
      </w:pPr>
      <w:r>
        <w:t xml:space="preserve">As summarized in Section A of the present document, periodic reporting is currently the main mechanism </w:t>
      </w:r>
      <w:r w:rsidR="005A27DE">
        <w:t>directed at</w:t>
      </w:r>
      <w:r>
        <w:t xml:space="preserve"> monitor</w:t>
      </w:r>
      <w:r w:rsidR="005A27DE">
        <w:t>ing</w:t>
      </w:r>
      <w:r>
        <w:t xml:space="preserve"> the status of inscribed elements. At its seventh session in 2018, the General Assembly of States Parties approved the revisions of the Operational Directives </w:t>
      </w:r>
      <w:r w:rsidRPr="0029254E">
        <w:t>to reform the periodic reporting mechanism by moving towards a regional cycle of national reporting</w:t>
      </w:r>
      <w:r>
        <w:t>, including reporting on the status of elements inscribed on the Representative List. However, this change did not affect the procedure for reporting on the status of elements inscribed on the Urgent Safeguarding List (</w:t>
      </w:r>
      <w:hyperlink r:id="rId15" w:history="1">
        <w:r w:rsidRPr="00013E10">
          <w:rPr>
            <w:rStyle w:val="Hyperlink"/>
          </w:rPr>
          <w:t>Resolution 7.GA 10</w:t>
        </w:r>
      </w:hyperlink>
      <w:r>
        <w:t>). Any development in the establishment of a follow-up mechanism would need to take into consideration the ongoing reform of the periodic reporting mechanism.</w:t>
      </w:r>
    </w:p>
    <w:p w14:paraId="3096EE67" w14:textId="5C97D92E" w:rsidR="00DF0F31" w:rsidRPr="00DF0F31" w:rsidRDefault="00DF0F31" w:rsidP="00DF0F31">
      <w:pPr>
        <w:pStyle w:val="COMPara"/>
        <w:numPr>
          <w:ilvl w:val="0"/>
          <w:numId w:val="0"/>
        </w:numPr>
        <w:ind w:left="567"/>
        <w:jc w:val="both"/>
        <w:rPr>
          <w:b/>
          <w:i/>
        </w:rPr>
      </w:pPr>
      <w:r w:rsidRPr="0070198F">
        <w:rPr>
          <w:b/>
          <w:i/>
        </w:rPr>
        <w:t xml:space="preserve">Transfer </w:t>
      </w:r>
      <w:r w:rsidR="00FE56E7" w:rsidRPr="0070198F">
        <w:rPr>
          <w:b/>
          <w:i/>
        </w:rPr>
        <w:t xml:space="preserve">of an element from one List to the other </w:t>
      </w:r>
      <w:r w:rsidRPr="0070198F">
        <w:rPr>
          <w:b/>
          <w:i/>
        </w:rPr>
        <w:t>and removal of</w:t>
      </w:r>
      <w:r w:rsidR="00FE56E7" w:rsidRPr="0070198F">
        <w:rPr>
          <w:b/>
          <w:i/>
        </w:rPr>
        <w:t xml:space="preserve"> an element from a List</w:t>
      </w:r>
    </w:p>
    <w:p w14:paraId="00BE2F2C" w14:textId="0D514BCD" w:rsidR="00DF0F31" w:rsidRPr="0070198F" w:rsidRDefault="00742743" w:rsidP="00A518F9">
      <w:pPr>
        <w:pStyle w:val="COMPara"/>
        <w:numPr>
          <w:ilvl w:val="3"/>
          <w:numId w:val="2"/>
        </w:numPr>
        <w:ind w:left="567" w:hanging="567"/>
        <w:jc w:val="both"/>
      </w:pPr>
      <w:r w:rsidRPr="0070198F">
        <w:t xml:space="preserve">The need for a follow-up mechanism for inscribed elements could also be relevant in the context of the removal and transfer of elements (Paragraphs 38 to 40 of the Operational Directives). </w:t>
      </w:r>
      <w:r w:rsidR="008E3C48" w:rsidRPr="0070198F">
        <w:t>In</w:t>
      </w:r>
      <w:r w:rsidR="00093B2B" w:rsidRPr="0070198F">
        <w:t xml:space="preserve"> 2017, the Committee </w:t>
      </w:r>
      <w:proofErr w:type="gramStart"/>
      <w:r w:rsidR="00093B2B" w:rsidRPr="0070198F">
        <w:t>was asked</w:t>
      </w:r>
      <w:proofErr w:type="gramEnd"/>
      <w:r w:rsidR="00093B2B" w:rsidRPr="0070198F">
        <w:t xml:space="preserve"> to examine for the first time a request from a State Party to remove an element from a List and transfer the same element onto another List (</w:t>
      </w:r>
      <w:r w:rsidR="008E6EE8">
        <w:t xml:space="preserve">removing from the Urgent Safeguarding List and transferring onto </w:t>
      </w:r>
      <w:r w:rsidR="00093B2B" w:rsidRPr="0070198F">
        <w:t>the Representative List in that case).</w:t>
      </w:r>
      <w:r w:rsidR="008E3C48" w:rsidRPr="0070198F">
        <w:t xml:space="preserve"> </w:t>
      </w:r>
      <w:r w:rsidR="00DF0F31" w:rsidRPr="0070198F">
        <w:t>Concerning the removal of the element from the Urgent Safeguarding List,</w:t>
      </w:r>
      <w:r w:rsidR="0070198F" w:rsidRPr="0070198F">
        <w:t xml:space="preserve"> </w:t>
      </w:r>
      <w:r w:rsidR="00013E10">
        <w:t>the Evaluation Body</w:t>
      </w:r>
      <w:r w:rsidR="0070198F" w:rsidRPr="0070198F">
        <w:t xml:space="preserve"> considered that the periodic </w:t>
      </w:r>
      <w:r w:rsidR="0070198F">
        <w:t>report – in its current form – was</w:t>
      </w:r>
      <w:r w:rsidR="0070198F" w:rsidRPr="0070198F">
        <w:t xml:space="preserve"> not an adequate tool for examining a removal request</w:t>
      </w:r>
      <w:r w:rsidR="00C4657D">
        <w:t xml:space="preserve"> and assessing whether a safeguarding plan had been successful</w:t>
      </w:r>
      <w:r w:rsidR="0033793D">
        <w:t xml:space="preserve">. </w:t>
      </w:r>
      <w:r w:rsidR="00013E10">
        <w:t>It therefore</w:t>
      </w:r>
      <w:r w:rsidR="0033793D">
        <w:t xml:space="preserve"> recommended </w:t>
      </w:r>
      <w:r w:rsidR="0033793D" w:rsidRPr="0070198F">
        <w:t xml:space="preserve">the </w:t>
      </w:r>
      <w:r w:rsidR="00F54534">
        <w:t xml:space="preserve">creation of </w:t>
      </w:r>
      <w:r w:rsidR="0033793D" w:rsidRPr="0070198F">
        <w:t>new form</w:t>
      </w:r>
      <w:r w:rsidR="00F54534">
        <w:t>s</w:t>
      </w:r>
      <w:r w:rsidR="0033793D" w:rsidRPr="0070198F">
        <w:t xml:space="preserve"> dedicated to the transfer and removal procedures</w:t>
      </w:r>
      <w:r w:rsidR="0070198F" w:rsidRPr="0070198F">
        <w:t xml:space="preserve"> </w:t>
      </w:r>
      <w:r w:rsidR="00F54534">
        <w:t xml:space="preserve">that </w:t>
      </w:r>
      <w:r w:rsidR="005A27DE">
        <w:t xml:space="preserve">would be </w:t>
      </w:r>
      <w:r w:rsidR="00F54534">
        <w:t xml:space="preserve">better suited to the evaluation of the status of an element </w:t>
      </w:r>
      <w:r w:rsidRPr="0070198F">
        <w:t>(</w:t>
      </w:r>
      <w:r w:rsidR="00A518F9">
        <w:t xml:space="preserve">Document </w:t>
      </w:r>
      <w:hyperlink r:id="rId16" w:history="1">
        <w:r w:rsidRPr="00013E10">
          <w:rPr>
            <w:rStyle w:val="Hyperlink"/>
          </w:rPr>
          <w:t>ITH/17/12.COM/11</w:t>
        </w:r>
      </w:hyperlink>
      <w:r w:rsidRPr="0070198F">
        <w:t>)</w:t>
      </w:r>
      <w:r w:rsidR="00DF0F31" w:rsidRPr="0070198F">
        <w:t>.</w:t>
      </w:r>
      <w:r w:rsidR="003A5CE3" w:rsidRPr="0070198F">
        <w:t xml:space="preserve"> </w:t>
      </w:r>
      <w:proofErr w:type="gramStart"/>
      <w:r w:rsidR="00C4657D" w:rsidRPr="007215E0">
        <w:t xml:space="preserve">In the context of the potential removal of an element from a List, </w:t>
      </w:r>
      <w:r w:rsidR="005A27DE">
        <w:t>making it possible</w:t>
      </w:r>
      <w:r w:rsidR="003A5CE3" w:rsidRPr="007215E0">
        <w:t xml:space="preserve"> for communities and third parties to provide information that </w:t>
      </w:r>
      <w:r w:rsidR="005A27DE">
        <w:t>is</w:t>
      </w:r>
      <w:r w:rsidR="005A27DE" w:rsidRPr="007215E0">
        <w:t xml:space="preserve"> </w:t>
      </w:r>
      <w:r w:rsidR="003A5CE3" w:rsidRPr="007215E0">
        <w:t xml:space="preserve">relevant to the assessment of the effectiveness of a safeguarding plan may allow the Evaluation Body and the Committee to benefit from a wide range of </w:t>
      </w:r>
      <w:r w:rsidR="005A27DE">
        <w:t>information, which would enable them</w:t>
      </w:r>
      <w:r w:rsidR="003A5CE3" w:rsidRPr="007215E0">
        <w:t xml:space="preserve"> to take a fully informed decision.</w:t>
      </w:r>
      <w:proofErr w:type="gramEnd"/>
    </w:p>
    <w:p w14:paraId="463B0819" w14:textId="35EABED1" w:rsidR="00DF0F31" w:rsidRDefault="00DF0F31" w:rsidP="00A518F9">
      <w:pPr>
        <w:pStyle w:val="COMPara"/>
        <w:numPr>
          <w:ilvl w:val="3"/>
          <w:numId w:val="2"/>
        </w:numPr>
        <w:spacing w:after="240"/>
        <w:ind w:left="567" w:hanging="567"/>
        <w:jc w:val="both"/>
      </w:pPr>
      <w:r>
        <w:lastRenderedPageBreak/>
        <w:t xml:space="preserve">Another consideration </w:t>
      </w:r>
      <w:proofErr w:type="gramStart"/>
      <w:r>
        <w:t>should be made</w:t>
      </w:r>
      <w:proofErr w:type="gramEnd"/>
      <w:r>
        <w:t xml:space="preserve"> as to how the transfer and removal procedure </w:t>
      </w:r>
      <w:r w:rsidR="005A27DE">
        <w:t xml:space="preserve">could </w:t>
      </w:r>
      <w:r>
        <w:t>be initiated</w:t>
      </w:r>
      <w:r w:rsidR="00742743">
        <w:t xml:space="preserve"> (</w:t>
      </w:r>
      <w:r w:rsidR="00A518F9">
        <w:t xml:space="preserve">Document </w:t>
      </w:r>
      <w:hyperlink r:id="rId17" w:history="1">
        <w:r w:rsidR="00742743" w:rsidRPr="00013E10">
          <w:rPr>
            <w:rStyle w:val="Hyperlink"/>
          </w:rPr>
          <w:t>ITH/17/12.COM/14</w:t>
        </w:r>
      </w:hyperlink>
      <w:r w:rsidR="00742743">
        <w:t>)</w:t>
      </w:r>
      <w:r>
        <w:t>. According to paragraph 38</w:t>
      </w:r>
      <w:r w:rsidR="00677E93">
        <w:t xml:space="preserve"> of the Operational Directives</w:t>
      </w:r>
      <w:r>
        <w:t xml:space="preserve">, </w:t>
      </w:r>
      <w:proofErr w:type="gramStart"/>
      <w:r>
        <w:t>it is a State Party that</w:t>
      </w:r>
      <w:proofErr w:type="gramEnd"/>
      <w:r>
        <w:t xml:space="preserve"> may request that an element be transferred from one List to the other. In the case of a removal</w:t>
      </w:r>
      <w:r w:rsidR="003A5CE3">
        <w:t xml:space="preserve"> (paragraphs 39 and 40)</w:t>
      </w:r>
      <w:r>
        <w:t xml:space="preserve">, </w:t>
      </w:r>
      <w:r w:rsidR="003A5CE3">
        <w:t xml:space="preserve">while it is </w:t>
      </w:r>
      <w:r>
        <w:t xml:space="preserve">the Committee </w:t>
      </w:r>
      <w:r w:rsidR="003A5CE3">
        <w:t>that</w:t>
      </w:r>
      <w:r>
        <w:t xml:space="preserve"> decides</w:t>
      </w:r>
      <w:r w:rsidR="003A5CE3">
        <w:t>, the Operational Directives do not specify how the process would be initiated</w:t>
      </w:r>
      <w:r>
        <w:t>.</w:t>
      </w:r>
      <w:r w:rsidR="003A5CE3">
        <w:t xml:space="preserve"> In both cases, the establishment of a follow-up mechanism may constitute a way for communities and third parties to provide information that </w:t>
      </w:r>
      <w:proofErr w:type="gramStart"/>
      <w:r w:rsidR="003A5CE3">
        <w:t>could be taken</w:t>
      </w:r>
      <w:proofErr w:type="gramEnd"/>
      <w:r w:rsidR="003A5CE3">
        <w:t xml:space="preserve"> into consideration in initiating a transfer or removal procedure</w:t>
      </w:r>
      <w:r w:rsidR="00013E10">
        <w:t xml:space="preserve"> or in examining such request</w:t>
      </w:r>
      <w:r w:rsidR="003A5CE3">
        <w:t>.</w:t>
      </w:r>
    </w:p>
    <w:p w14:paraId="074E5F3A" w14:textId="57FF92FD" w:rsidR="002E2047" w:rsidRPr="00F60C75" w:rsidRDefault="00FE56E7" w:rsidP="00742743">
      <w:pPr>
        <w:pStyle w:val="COMPara"/>
        <w:keepNext/>
        <w:numPr>
          <w:ilvl w:val="0"/>
          <w:numId w:val="0"/>
        </w:numPr>
        <w:ind w:left="567"/>
        <w:jc w:val="both"/>
        <w:rPr>
          <w:b/>
          <w:i/>
        </w:rPr>
      </w:pPr>
      <w:r w:rsidRPr="0029254E">
        <w:rPr>
          <w:b/>
          <w:i/>
        </w:rPr>
        <w:t xml:space="preserve">Reflection on the </w:t>
      </w:r>
      <w:r w:rsidR="00C4657D">
        <w:rPr>
          <w:b/>
          <w:i/>
        </w:rPr>
        <w:t>nature of</w:t>
      </w:r>
      <w:r w:rsidRPr="0029254E">
        <w:rPr>
          <w:b/>
          <w:i/>
        </w:rPr>
        <w:t xml:space="preserve"> the </w:t>
      </w:r>
      <w:r w:rsidR="002E2047" w:rsidRPr="0029254E">
        <w:rPr>
          <w:b/>
          <w:i/>
        </w:rPr>
        <w:t>Urgent Safeguarding List and Representative List</w:t>
      </w:r>
    </w:p>
    <w:p w14:paraId="6F71C1DF" w14:textId="5D4C9785" w:rsidR="00FE56E7" w:rsidRPr="00FE56E7" w:rsidRDefault="00742743" w:rsidP="00A518F9">
      <w:pPr>
        <w:pStyle w:val="COMPara"/>
        <w:numPr>
          <w:ilvl w:val="3"/>
          <w:numId w:val="2"/>
        </w:numPr>
        <w:spacing w:after="240"/>
        <w:ind w:left="567" w:hanging="567"/>
        <w:jc w:val="both"/>
      </w:pPr>
      <w:r>
        <w:t>In the context of examining the first request for the transfer of an element from one List to the other</w:t>
      </w:r>
      <w:r w:rsidR="003A5CE3">
        <w:t xml:space="preserve"> in 2017</w:t>
      </w:r>
      <w:r>
        <w:t>, the Committee</w:t>
      </w:r>
      <w:r w:rsidR="00FE56E7">
        <w:t xml:space="preserve"> </w:t>
      </w:r>
      <w:r w:rsidR="003A5CE3">
        <w:t>affirmed the need for</w:t>
      </w:r>
      <w:r w:rsidR="00FE56E7">
        <w:t xml:space="preserve"> a reflection on the future of inscription processes</w:t>
      </w:r>
      <w:r w:rsidR="007034FE">
        <w:t xml:space="preserve"> and on whether these processes</w:t>
      </w:r>
      <w:r w:rsidR="005A27DE">
        <w:t xml:space="preserve"> do</w:t>
      </w:r>
      <w:r w:rsidR="007034FE">
        <w:t xml:space="preserve"> indeed fulfil the </w:t>
      </w:r>
      <w:r w:rsidR="00DA61DC">
        <w:t>intended purposes of both Lists</w:t>
      </w:r>
      <w:r w:rsidR="002E2047">
        <w:t>.</w:t>
      </w:r>
      <w:r w:rsidR="007034FE">
        <w:t xml:space="preserve"> </w:t>
      </w:r>
      <w:proofErr w:type="gramStart"/>
      <w:r w:rsidR="007034FE">
        <w:t>At the same session,</w:t>
      </w:r>
      <w:r w:rsidR="00FE56E7" w:rsidRPr="00FE56E7">
        <w:t xml:space="preserve"> the Committee decided</w:t>
      </w:r>
      <w:r w:rsidR="0001151D">
        <w:t xml:space="preserve"> </w:t>
      </w:r>
      <w:r w:rsidR="00FE56E7" w:rsidRPr="00FE56E7">
        <w:t xml:space="preserve">to </w:t>
      </w:r>
      <w:r w:rsidR="0001151D">
        <w:t>‘</w:t>
      </w:r>
      <w:r w:rsidR="00FE56E7" w:rsidRPr="00FE56E7">
        <w:t xml:space="preserve">convene an open-ended intergovernmental working group </w:t>
      </w:r>
      <w:r w:rsidR="0001151D">
        <w:t xml:space="preserve">[…] </w:t>
      </w:r>
      <w:r w:rsidR="00FE56E7" w:rsidRPr="00FE56E7">
        <w:t>to reflect </w:t>
      </w:r>
      <w:r w:rsidR="00FE56E7" w:rsidRPr="007034FE">
        <w:rPr>
          <w:i/>
        </w:rPr>
        <w:t>inter alia</w:t>
      </w:r>
      <w:r w:rsidR="00FE56E7" w:rsidRPr="00FE56E7">
        <w:t> on the procedures for the removal of an element from a List and the transfer from one List to the other, on the nature and purposes of the Lists and the Register established under the Convention and on the relevance of the various criteria for each of these mechanisms</w:t>
      </w:r>
      <w:r w:rsidR="0001151D">
        <w:t>’</w:t>
      </w:r>
      <w:r w:rsidR="00FE56E7">
        <w:t xml:space="preserve"> (</w:t>
      </w:r>
      <w:hyperlink r:id="rId18" w:history="1">
        <w:r w:rsidR="00FE56E7" w:rsidRPr="002B187F">
          <w:rPr>
            <w:rStyle w:val="Hyperlink"/>
          </w:rPr>
          <w:t>Decision 12.COM 14</w:t>
        </w:r>
      </w:hyperlink>
      <w:r w:rsidR="00FE56E7">
        <w:t>)</w:t>
      </w:r>
      <w:r w:rsidR="00FE56E7" w:rsidRPr="00FE56E7">
        <w:t>.</w:t>
      </w:r>
      <w:proofErr w:type="gramEnd"/>
      <w:r w:rsidR="00FE56E7" w:rsidRPr="00FE56E7">
        <w:t xml:space="preserve"> </w:t>
      </w:r>
      <w:r w:rsidR="007034FE">
        <w:t>Beyond the inscription process, a reflection on the nature of the listing system should include a discussion on the possible need</w:t>
      </w:r>
      <w:r w:rsidR="00FE56E7" w:rsidRPr="00FE56E7">
        <w:t xml:space="preserve"> </w:t>
      </w:r>
      <w:r w:rsidR="005A27DE">
        <w:t>for</w:t>
      </w:r>
      <w:r w:rsidR="005A27DE" w:rsidRPr="00FE56E7">
        <w:t xml:space="preserve"> </w:t>
      </w:r>
      <w:r w:rsidR="00FE56E7" w:rsidRPr="00FE56E7">
        <w:t xml:space="preserve">a follow-up mechanism for inscribed </w:t>
      </w:r>
      <w:proofErr w:type="gramStart"/>
      <w:r w:rsidR="00FE56E7" w:rsidRPr="00FE56E7">
        <w:t>elements</w:t>
      </w:r>
      <w:r w:rsidR="007034FE">
        <w:t>,</w:t>
      </w:r>
      <w:proofErr w:type="gramEnd"/>
      <w:r w:rsidR="007034FE">
        <w:t xml:space="preserve"> as such </w:t>
      </w:r>
      <w:r w:rsidR="00C421D4">
        <w:t xml:space="preserve">a </w:t>
      </w:r>
      <w:r w:rsidR="007034FE">
        <w:t xml:space="preserve">mechanism appears </w:t>
      </w:r>
      <w:r w:rsidR="005A27DE">
        <w:t xml:space="preserve">to be </w:t>
      </w:r>
      <w:r w:rsidR="007034FE">
        <w:t>crucial to guarantee the credibility of the Lists</w:t>
      </w:r>
      <w:r w:rsidR="00C421D4">
        <w:t xml:space="preserve">, and to allow the Committee to </w:t>
      </w:r>
      <w:r w:rsidR="00B90AFA">
        <w:t>properly fulfil its mandate</w:t>
      </w:r>
      <w:r w:rsidR="00C421D4">
        <w:t>.</w:t>
      </w:r>
    </w:p>
    <w:p w14:paraId="057B23F4" w14:textId="278584F2" w:rsidR="002E2047" w:rsidRDefault="006C0115" w:rsidP="00827BDF">
      <w:pPr>
        <w:pStyle w:val="COMPara"/>
        <w:keepNext/>
        <w:numPr>
          <w:ilvl w:val="0"/>
          <w:numId w:val="0"/>
        </w:numPr>
        <w:ind w:left="567"/>
        <w:jc w:val="both"/>
        <w:rPr>
          <w:b/>
          <w:i/>
          <w:lang w:val="en-US"/>
        </w:rPr>
      </w:pPr>
      <w:r>
        <w:rPr>
          <w:b/>
          <w:i/>
          <w:lang w:val="en-US"/>
        </w:rPr>
        <w:t xml:space="preserve">Involvement of </w:t>
      </w:r>
      <w:r w:rsidR="003D56A7">
        <w:rPr>
          <w:b/>
          <w:i/>
          <w:lang w:val="en-US"/>
        </w:rPr>
        <w:t>stakeholders and third parties in the follow-up of inscribed elements</w:t>
      </w:r>
    </w:p>
    <w:p w14:paraId="7890E182" w14:textId="53762AD5" w:rsidR="001120A3" w:rsidRPr="006D7960" w:rsidRDefault="00827BDF" w:rsidP="006D7960">
      <w:pPr>
        <w:pStyle w:val="COMPara"/>
        <w:numPr>
          <w:ilvl w:val="3"/>
          <w:numId w:val="2"/>
        </w:numPr>
        <w:ind w:left="567" w:hanging="567"/>
        <w:jc w:val="both"/>
      </w:pPr>
      <w:r w:rsidRPr="006D7960">
        <w:t>The reflection on the follow-up of inscribed element</w:t>
      </w:r>
      <w:r w:rsidR="006C0115" w:rsidRPr="006D7960">
        <w:t>s</w:t>
      </w:r>
      <w:r w:rsidRPr="006D7960">
        <w:t xml:space="preserve"> also raises the</w:t>
      </w:r>
      <w:r w:rsidR="006C0115" w:rsidRPr="006D7960">
        <w:t xml:space="preserve"> question of </w:t>
      </w:r>
      <w:r w:rsidR="007955C4" w:rsidRPr="006D7960">
        <w:t>the</w:t>
      </w:r>
      <w:r w:rsidR="006C0115" w:rsidRPr="006D7960">
        <w:t xml:space="preserve"> involvement</w:t>
      </w:r>
      <w:r w:rsidR="007955C4" w:rsidRPr="006D7960">
        <w:t xml:space="preserve"> of stakeholders</w:t>
      </w:r>
      <w:r w:rsidR="005A27DE">
        <w:t xml:space="preserve"> concerned</w:t>
      </w:r>
      <w:r w:rsidR="001F3C8C" w:rsidRPr="006D7960">
        <w:t xml:space="preserve">, in line with the </w:t>
      </w:r>
      <w:r w:rsidR="001F3C8C" w:rsidRPr="006D7960">
        <w:rPr>
          <w:color w:val="000000"/>
          <w:shd w:val="clear" w:color="auto" w:fill="FFFFFF"/>
        </w:rPr>
        <w:t>Ethical Principles for Safeguarding Intangible Cultural Heritage</w:t>
      </w:r>
      <w:r w:rsidR="008367E2" w:rsidRPr="006D7960">
        <w:rPr>
          <w:rStyle w:val="FootnoteReference"/>
          <w:color w:val="000000"/>
          <w:shd w:val="clear" w:color="auto" w:fill="FFFFFF"/>
        </w:rPr>
        <w:footnoteReference w:id="3"/>
      </w:r>
      <w:r w:rsidR="001F3C8C" w:rsidRPr="006D7960">
        <w:rPr>
          <w:color w:val="000000"/>
          <w:shd w:val="clear" w:color="auto" w:fill="FFFFFF"/>
        </w:rPr>
        <w:t xml:space="preserve"> (Principles 9 and 10)</w:t>
      </w:r>
      <w:r w:rsidR="007955C4" w:rsidRPr="006D7960">
        <w:t>. These may include communities, groups and individual</w:t>
      </w:r>
      <w:r w:rsidR="00DA61DC" w:rsidRPr="006D7960">
        <w:t>s</w:t>
      </w:r>
      <w:r w:rsidR="007955C4" w:rsidRPr="006D7960">
        <w:t xml:space="preserve"> concerned, non-governmental organizations – accredited to provide advisory services to the Committee or not – and </w:t>
      </w:r>
      <w:r w:rsidR="00301219" w:rsidRPr="006D7960">
        <w:t>third-party</w:t>
      </w:r>
      <w:r w:rsidR="007955C4" w:rsidRPr="006D7960">
        <w:t xml:space="preserve"> sou</w:t>
      </w:r>
      <w:r w:rsidR="00DA61DC" w:rsidRPr="006D7960">
        <w:t>rces</w:t>
      </w:r>
      <w:r w:rsidR="007955C4" w:rsidRPr="006D7960">
        <w:t>. While</w:t>
      </w:r>
      <w:r w:rsidR="00DA61DC" w:rsidRPr="006D7960">
        <w:t xml:space="preserve"> communities and non-governmental organizations concerned </w:t>
      </w:r>
      <w:r w:rsidR="00F34301" w:rsidRPr="006D7960">
        <w:t>shall</w:t>
      </w:r>
      <w:r w:rsidR="007955C4" w:rsidRPr="006D7960">
        <w:t xml:space="preserve"> be involved </w:t>
      </w:r>
      <w:r w:rsidR="00F34301" w:rsidRPr="006D7960">
        <w:t>in the preparation of periodic reports on the status of inscribed elements</w:t>
      </w:r>
      <w:r w:rsidR="007955C4" w:rsidRPr="006D7960">
        <w:t xml:space="preserve"> (Paragraphs 157 and 160</w:t>
      </w:r>
      <w:r w:rsidR="002B187F">
        <w:t xml:space="preserve"> of the Operational Directives</w:t>
      </w:r>
      <w:r w:rsidR="007955C4" w:rsidRPr="006D7960">
        <w:t>)</w:t>
      </w:r>
      <w:r w:rsidR="001120A3" w:rsidRPr="006D7960">
        <w:t xml:space="preserve">, there </w:t>
      </w:r>
      <w:r w:rsidR="005A27DE">
        <w:t xml:space="preserve">is </w:t>
      </w:r>
      <w:r w:rsidR="001120A3" w:rsidRPr="006D7960">
        <w:t xml:space="preserve">currently no possibility for them to provide information directly </w:t>
      </w:r>
      <w:r w:rsidR="005A27DE">
        <w:t>for</w:t>
      </w:r>
      <w:r w:rsidR="005A27DE" w:rsidRPr="006D7960">
        <w:t xml:space="preserve"> </w:t>
      </w:r>
      <w:r w:rsidR="001120A3" w:rsidRPr="006D7960">
        <w:t xml:space="preserve">the attention of the Committee, nor do </w:t>
      </w:r>
      <w:r w:rsidR="00355E78" w:rsidRPr="006D7960">
        <w:t>third</w:t>
      </w:r>
      <w:r w:rsidR="00355E78">
        <w:t>-</w:t>
      </w:r>
      <w:r w:rsidR="001120A3" w:rsidRPr="006D7960">
        <w:t xml:space="preserve">party sources have any means </w:t>
      </w:r>
      <w:r w:rsidR="005A27DE">
        <w:t>of</w:t>
      </w:r>
      <w:r w:rsidR="005A27DE" w:rsidRPr="006D7960">
        <w:t xml:space="preserve"> </w:t>
      </w:r>
      <w:r w:rsidR="001120A3" w:rsidRPr="006D7960">
        <w:t>provid</w:t>
      </w:r>
      <w:r w:rsidR="005A27DE">
        <w:t>ing</w:t>
      </w:r>
      <w:r w:rsidR="001120A3" w:rsidRPr="006D7960">
        <w:t xml:space="preserve"> relevant information</w:t>
      </w:r>
      <w:r w:rsidR="007955C4" w:rsidRPr="006D7960">
        <w:t>.</w:t>
      </w:r>
    </w:p>
    <w:p w14:paraId="7CADCDAF" w14:textId="4CD7301C" w:rsidR="006D7960" w:rsidRPr="009243B5" w:rsidRDefault="00245C56" w:rsidP="00827BDF">
      <w:pPr>
        <w:pStyle w:val="COMPara"/>
        <w:numPr>
          <w:ilvl w:val="3"/>
          <w:numId w:val="2"/>
        </w:numPr>
        <w:ind w:left="567" w:hanging="567"/>
        <w:jc w:val="both"/>
      </w:pPr>
      <w:r w:rsidRPr="00A02FEB">
        <w:t xml:space="preserve">In addition, </w:t>
      </w:r>
      <w:r w:rsidR="006D7960" w:rsidRPr="009243B5">
        <w:t xml:space="preserve">the Committee may also wish to consider the role that the Evaluation Body could play in the monitoring of inscribed elements and/or in the screening of correspondence received by the Secretariat concerning inscribed elements. As the Evaluation Body </w:t>
      </w:r>
      <w:proofErr w:type="gramStart"/>
      <w:r w:rsidR="006D7960" w:rsidRPr="009243B5">
        <w:t>is established</w:t>
      </w:r>
      <w:proofErr w:type="gramEnd"/>
      <w:r w:rsidR="006D7960" w:rsidRPr="009243B5">
        <w:t xml:space="preserve"> every year</w:t>
      </w:r>
      <w:r w:rsidR="00A02FEB" w:rsidRPr="009243B5">
        <w:t xml:space="preserve"> by the Committee, </w:t>
      </w:r>
      <w:r w:rsidR="00355E78">
        <w:t xml:space="preserve">and considering </w:t>
      </w:r>
      <w:r w:rsidR="00A02FEB" w:rsidRPr="009243B5">
        <w:t>its composition respecting equitable geographical distribution and its diverse range of expertise and experience</w:t>
      </w:r>
      <w:r w:rsidR="00355E78">
        <w:t>s</w:t>
      </w:r>
      <w:r w:rsidR="00A02FEB" w:rsidRPr="009243B5">
        <w:t xml:space="preserve">, the Evaluation Body may be in a position to </w:t>
      </w:r>
      <w:r w:rsidR="00470B6D">
        <w:t>carry out</w:t>
      </w:r>
      <w:r w:rsidR="00A02FEB" w:rsidRPr="009243B5">
        <w:t xml:space="preserve"> an initial assessment of the correspondence received. However, </w:t>
      </w:r>
      <w:r w:rsidR="00470B6D">
        <w:t>if</w:t>
      </w:r>
      <w:r w:rsidR="00A02FEB">
        <w:t xml:space="preserve"> the Evaluation Body</w:t>
      </w:r>
      <w:r w:rsidR="00355E78">
        <w:t xml:space="preserve"> </w:t>
      </w:r>
      <w:proofErr w:type="gramStart"/>
      <w:r w:rsidR="00470B6D">
        <w:t>were</w:t>
      </w:r>
      <w:r w:rsidR="00355E78">
        <w:t xml:space="preserve"> entrusted</w:t>
      </w:r>
      <w:proofErr w:type="gramEnd"/>
      <w:r w:rsidR="00355E78">
        <w:t xml:space="preserve"> with</w:t>
      </w:r>
      <w:r w:rsidR="00A02FEB">
        <w:t xml:space="preserve"> this additional responsibility</w:t>
      </w:r>
      <w:r w:rsidR="0086531D">
        <w:t>,</w:t>
      </w:r>
      <w:r w:rsidR="0086531D" w:rsidRPr="009243B5">
        <w:t xml:space="preserve"> </w:t>
      </w:r>
      <w:r w:rsidR="00A02FEB" w:rsidRPr="009243B5">
        <w:t xml:space="preserve">the Committee may </w:t>
      </w:r>
      <w:r w:rsidR="0086531D">
        <w:t xml:space="preserve">need to take into </w:t>
      </w:r>
      <w:r w:rsidR="00A02FEB" w:rsidRPr="009243B5">
        <w:t>consider</w:t>
      </w:r>
      <w:r w:rsidR="0086531D">
        <w:t>ation the time constraints already imposed on the Body. It may also consider</w:t>
      </w:r>
      <w:r w:rsidR="00A02FEB" w:rsidRPr="009243B5">
        <w:t xml:space="preserve"> </w:t>
      </w:r>
      <w:r w:rsidR="00AB1DF8">
        <w:t xml:space="preserve">it </w:t>
      </w:r>
      <w:proofErr w:type="gramStart"/>
      <w:r w:rsidR="00AB1DF8">
        <w:t xml:space="preserve">to be </w:t>
      </w:r>
      <w:r w:rsidR="00A02FEB" w:rsidRPr="009243B5">
        <w:t>us</w:t>
      </w:r>
      <w:r w:rsidR="00A02FEB">
        <w:t>eful</w:t>
      </w:r>
      <w:proofErr w:type="gramEnd"/>
      <w:r w:rsidR="00A02FEB">
        <w:t xml:space="preserve"> to provide guiding instructions</w:t>
      </w:r>
      <w:r w:rsidR="0086531D">
        <w:t xml:space="preserve"> for the Body to </w:t>
      </w:r>
      <w:r w:rsidR="00AB1DF8">
        <w:t>undertake</w:t>
      </w:r>
      <w:r w:rsidR="0086531D">
        <w:t xml:space="preserve"> these tasks</w:t>
      </w:r>
      <w:r w:rsidR="00A02FEB">
        <w:t>.</w:t>
      </w:r>
    </w:p>
    <w:p w14:paraId="10E57D25" w14:textId="77777777" w:rsidR="00975B74" w:rsidRDefault="00C2608B" w:rsidP="009243B5">
      <w:pPr>
        <w:pStyle w:val="ListParagraph"/>
        <w:numPr>
          <w:ilvl w:val="0"/>
          <w:numId w:val="5"/>
        </w:numPr>
        <w:spacing w:before="360" w:after="120"/>
        <w:ind w:left="567" w:hanging="567"/>
        <w:contextualSpacing w:val="0"/>
        <w:jc w:val="both"/>
        <w:rPr>
          <w:rFonts w:ascii="Arial" w:hAnsi="Arial" w:cs="Arial"/>
          <w:b/>
          <w:sz w:val="22"/>
          <w:szCs w:val="22"/>
          <w:lang w:val="en-US"/>
        </w:rPr>
      </w:pPr>
      <w:r>
        <w:rPr>
          <w:rFonts w:ascii="Arial" w:hAnsi="Arial" w:cs="Arial"/>
          <w:b/>
          <w:sz w:val="22"/>
          <w:szCs w:val="22"/>
          <w:lang w:val="en-US"/>
        </w:rPr>
        <w:t>Way forward</w:t>
      </w:r>
    </w:p>
    <w:p w14:paraId="6EFFB3D0" w14:textId="473A88C2" w:rsidR="002C6654" w:rsidRDefault="00F451D8">
      <w:pPr>
        <w:pStyle w:val="COMPara"/>
        <w:numPr>
          <w:ilvl w:val="3"/>
          <w:numId w:val="2"/>
        </w:numPr>
        <w:ind w:left="567" w:hanging="567"/>
        <w:jc w:val="both"/>
      </w:pPr>
      <w:r>
        <w:t>Should it consider that the current provisions guiding the follow-up of inscribed elements are too limited</w:t>
      </w:r>
      <w:r w:rsidR="002C018E">
        <w:t xml:space="preserve"> and that</w:t>
      </w:r>
      <w:r w:rsidR="002C018E" w:rsidRPr="00FC2F35">
        <w:t xml:space="preserve"> </w:t>
      </w:r>
      <w:r w:rsidR="009A25E2">
        <w:t xml:space="preserve">a follow-up mechanism </w:t>
      </w:r>
      <w:r w:rsidR="005A27DE">
        <w:t xml:space="preserve">would be </w:t>
      </w:r>
      <w:r w:rsidR="002C018E" w:rsidRPr="00FC2F35">
        <w:t>useful for communities, the Committee and States Parties</w:t>
      </w:r>
      <w:r>
        <w:t xml:space="preserve">, the </w:t>
      </w:r>
      <w:r w:rsidR="00F34301">
        <w:t xml:space="preserve">Committee may wish to </w:t>
      </w:r>
      <w:r>
        <w:t xml:space="preserve">discuss the ways in which it </w:t>
      </w:r>
      <w:proofErr w:type="gramStart"/>
      <w:r>
        <w:t>could be informed</w:t>
      </w:r>
      <w:proofErr w:type="gramEnd"/>
      <w:r>
        <w:t xml:space="preserve"> of changing factors affecting the status of an inscribed element</w:t>
      </w:r>
      <w:r w:rsidR="00F34301">
        <w:t xml:space="preserve">. </w:t>
      </w:r>
      <w:r w:rsidR="002C6654">
        <w:t>To this end, the following aspects</w:t>
      </w:r>
      <w:r w:rsidR="009A25E2">
        <w:t xml:space="preserve"> are important </w:t>
      </w:r>
      <w:r w:rsidR="002C6654">
        <w:t xml:space="preserve">to determine how </w:t>
      </w:r>
      <w:r w:rsidR="009A25E2">
        <w:t xml:space="preserve">the Committee </w:t>
      </w:r>
      <w:r w:rsidR="002C6654">
        <w:t>wishes to be informed of correspondence</w:t>
      </w:r>
      <w:r w:rsidR="002B187F">
        <w:t xml:space="preserve"> and information concerning inscribed elements</w:t>
      </w:r>
      <w:r w:rsidR="002C018E">
        <w:t xml:space="preserve"> and</w:t>
      </w:r>
      <w:r w:rsidR="002B187F">
        <w:t xml:space="preserve"> how it envisions the possible </w:t>
      </w:r>
      <w:r w:rsidR="002C018E" w:rsidRPr="00FC2F35">
        <w:t>establish</w:t>
      </w:r>
      <w:r w:rsidR="002B187F">
        <w:t xml:space="preserve">ment of </w:t>
      </w:r>
      <w:r w:rsidR="002C018E">
        <w:t xml:space="preserve">a full-fledged follow-up </w:t>
      </w:r>
      <w:r w:rsidR="002C018E" w:rsidRPr="00FC2F35">
        <w:t>mechanism</w:t>
      </w:r>
      <w:r w:rsidR="002C6654">
        <w:t>:</w:t>
      </w:r>
    </w:p>
    <w:p w14:paraId="10E98AE0" w14:textId="22C07390" w:rsidR="00975BA4" w:rsidRPr="00203542" w:rsidRDefault="00975BA4" w:rsidP="007215E0">
      <w:pPr>
        <w:pStyle w:val="COMPara"/>
        <w:numPr>
          <w:ilvl w:val="0"/>
          <w:numId w:val="47"/>
        </w:numPr>
        <w:ind w:left="1134" w:hanging="567"/>
        <w:jc w:val="both"/>
      </w:pPr>
      <w:r w:rsidRPr="009243B5">
        <w:rPr>
          <w:b/>
        </w:rPr>
        <w:lastRenderedPageBreak/>
        <w:t>Purposes of a follow-up mechanism</w:t>
      </w:r>
      <w:r w:rsidR="002B187F">
        <w:t xml:space="preserve">. </w:t>
      </w:r>
      <w:r w:rsidR="005A27DE">
        <w:t xml:space="preserve">One of the primary objectives of a </w:t>
      </w:r>
      <w:r w:rsidR="008D4D7F">
        <w:t xml:space="preserve">follow-up mechanism may </w:t>
      </w:r>
      <w:r w:rsidR="005A27DE">
        <w:t>be</w:t>
      </w:r>
      <w:r w:rsidR="008D4D7F" w:rsidRPr="008D4D7F">
        <w:t xml:space="preserve"> </w:t>
      </w:r>
      <w:r w:rsidR="008D4D7F">
        <w:t xml:space="preserve">to assess whether elements continue </w:t>
      </w:r>
      <w:r w:rsidR="005A27DE">
        <w:t xml:space="preserve">to meet </w:t>
      </w:r>
      <w:r w:rsidR="008D4D7F">
        <w:t xml:space="preserve">the criteria of the Lists </w:t>
      </w:r>
      <w:r w:rsidR="005A27DE">
        <w:t xml:space="preserve">on </w:t>
      </w:r>
      <w:r w:rsidR="008D4D7F">
        <w:t xml:space="preserve">which they </w:t>
      </w:r>
      <w:r w:rsidR="005A27DE">
        <w:t>were</w:t>
      </w:r>
      <w:r w:rsidR="008D4D7F">
        <w:t xml:space="preserve"> inscribed and whether their safeguarding </w:t>
      </w:r>
      <w:proofErr w:type="gramStart"/>
      <w:r w:rsidR="008D4D7F">
        <w:t>is ensured</w:t>
      </w:r>
      <w:proofErr w:type="gramEnd"/>
      <w:r w:rsidR="008D4D7F">
        <w:t xml:space="preserve"> in accordance with the measures described in the nomination files and subsequent reports. In this regard, its complementarity with the periodic reporting exercises could be underlined. </w:t>
      </w:r>
      <w:r w:rsidR="009A25E2">
        <w:t>It may</w:t>
      </w:r>
      <w:r w:rsidR="008D4D7F">
        <w:t xml:space="preserve"> also</w:t>
      </w:r>
      <w:r w:rsidR="009A25E2">
        <w:t xml:space="preserve"> </w:t>
      </w:r>
      <w:r w:rsidR="00203542">
        <w:t>constitute a tool for the examination of requests for the t</w:t>
      </w:r>
      <w:r w:rsidR="00203542" w:rsidRPr="00203542">
        <w:t>ransfer of an elemen</w:t>
      </w:r>
      <w:r w:rsidR="00203542">
        <w:t>t from one List to the other or for the</w:t>
      </w:r>
      <w:r w:rsidR="00203542" w:rsidRPr="00203542">
        <w:t xml:space="preserve"> removal of an element from a List</w:t>
      </w:r>
      <w:r w:rsidR="00203542">
        <w:t>.</w:t>
      </w:r>
      <w:r w:rsidR="008D4D7F">
        <w:t xml:space="preserve"> </w:t>
      </w:r>
      <w:r w:rsidR="00897F35">
        <w:t>Moreover</w:t>
      </w:r>
      <w:r w:rsidR="00203542">
        <w:t>, a follow</w:t>
      </w:r>
      <w:r w:rsidR="00A17A3C">
        <w:noBreakHyphen/>
      </w:r>
      <w:r w:rsidR="00203542">
        <w:t>up mechanism may also contribute to reinforcing community involvement in the safeguarding of their living heritage.</w:t>
      </w:r>
    </w:p>
    <w:p w14:paraId="4FC42BE7" w14:textId="08EE011D" w:rsidR="00CB7225" w:rsidRDefault="00CB7225" w:rsidP="007215E0">
      <w:pPr>
        <w:pStyle w:val="COMPara"/>
        <w:numPr>
          <w:ilvl w:val="0"/>
          <w:numId w:val="47"/>
        </w:numPr>
        <w:ind w:left="1134" w:hanging="567"/>
        <w:jc w:val="both"/>
      </w:pPr>
      <w:r w:rsidRPr="00F561A0">
        <w:rPr>
          <w:b/>
        </w:rPr>
        <w:t>Initiative of the follow-up mechanism</w:t>
      </w:r>
      <w:r>
        <w:t xml:space="preserve">. </w:t>
      </w:r>
      <w:r w:rsidR="005A27DE">
        <w:t xml:space="preserve">The ways </w:t>
      </w:r>
      <w:r>
        <w:t>in which the follow-up</w:t>
      </w:r>
      <w:r w:rsidRPr="00FC2F35">
        <w:t xml:space="preserve"> mechanism </w:t>
      </w:r>
      <w:proofErr w:type="gramStart"/>
      <w:r w:rsidRPr="00FC2F35">
        <w:t>could be triggered</w:t>
      </w:r>
      <w:proofErr w:type="gramEnd"/>
      <w:r w:rsidR="00C343F6">
        <w:t xml:space="preserve"> may </w:t>
      </w:r>
      <w:r>
        <w:t>need to be</w:t>
      </w:r>
      <w:r w:rsidR="00C343F6">
        <w:t xml:space="preserve"> clearly defined</w:t>
      </w:r>
      <w:r>
        <w:t xml:space="preserve">. This would involve defining </w:t>
      </w:r>
      <w:r w:rsidR="005A27DE">
        <w:t xml:space="preserve">the </w:t>
      </w:r>
      <w:r>
        <w:t xml:space="preserve">entities (for example the Committee and/or the Secretariat) that are in a position to request the specific follow-up of an inscribed element or whether any correspondence received by the Secretariat would lead to a follow-up on the status of an inscribed element. This could prove particularly important in cases where information on an inscribed element </w:t>
      </w:r>
      <w:proofErr w:type="gramStart"/>
      <w:r>
        <w:t>is brought</w:t>
      </w:r>
      <w:proofErr w:type="gramEnd"/>
      <w:r>
        <w:t xml:space="preserve"> to the attention of the Secretariat without any written correspondence addressed to it.</w:t>
      </w:r>
    </w:p>
    <w:p w14:paraId="7CDAE361" w14:textId="19E9F4BD" w:rsidR="001D10A5" w:rsidRDefault="001D10A5" w:rsidP="007215E0">
      <w:pPr>
        <w:pStyle w:val="COMPara"/>
        <w:numPr>
          <w:ilvl w:val="0"/>
          <w:numId w:val="47"/>
        </w:numPr>
        <w:ind w:left="1134" w:hanging="567"/>
        <w:jc w:val="both"/>
      </w:pPr>
      <w:r w:rsidRPr="004A5463">
        <w:rPr>
          <w:b/>
        </w:rPr>
        <w:t>Treatment of correspondence prior to the session of the Committee</w:t>
      </w:r>
      <w:r>
        <w:t xml:space="preserve">. Once information </w:t>
      </w:r>
      <w:r w:rsidR="005A27DE">
        <w:t xml:space="preserve">has been </w:t>
      </w:r>
      <w:r>
        <w:t xml:space="preserve">received by the Secretariat, </w:t>
      </w:r>
      <w:r w:rsidR="005A27DE">
        <w:t xml:space="preserve">the </w:t>
      </w:r>
      <w:r>
        <w:t>correspondence could be directly transmitted to the State Party concerned and then onto the Committee at its next session. However, the Committee may also wish</w:t>
      </w:r>
      <w:r w:rsidR="00B87CD5">
        <w:t xml:space="preserve"> to restrict the type of correspondence brought to its attention, and/or</w:t>
      </w:r>
      <w:r>
        <w:t xml:space="preserve"> </w:t>
      </w:r>
      <w:r w:rsidR="00285E3E">
        <w:t xml:space="preserve">may request </w:t>
      </w:r>
      <w:r w:rsidR="005A27DE">
        <w:t xml:space="preserve">that </w:t>
      </w:r>
      <w:r>
        <w:t>the Secretariat or another entity</w:t>
      </w:r>
      <w:r w:rsidRPr="008362A1">
        <w:t xml:space="preserve"> verify the source and contents of the information in consultation with the State Party concerned</w:t>
      </w:r>
      <w:r w:rsidR="003B4949">
        <w:t>,</w:t>
      </w:r>
      <w:r w:rsidRPr="008362A1">
        <w:t xml:space="preserve"> </w:t>
      </w:r>
      <w:r>
        <w:t xml:space="preserve">prior to the session of the Committee. </w:t>
      </w:r>
      <w:r w:rsidR="005B30B0">
        <w:t xml:space="preserve">Considering the wide diversity of issues raised in correspondence concerning inscribed elements, the Committee may consider prudent to </w:t>
      </w:r>
      <w:r w:rsidR="00200998">
        <w:t xml:space="preserve">allow for the screening of correspondence received. </w:t>
      </w:r>
      <w:r w:rsidR="00285E3E">
        <w:t>If</w:t>
      </w:r>
      <w:r w:rsidR="003B4949">
        <w:t xml:space="preserve"> such</w:t>
      </w:r>
      <w:r w:rsidR="00285E3E">
        <w:t xml:space="preserve"> a screening </w:t>
      </w:r>
      <w:r w:rsidR="0086531D">
        <w:t>process</w:t>
      </w:r>
      <w:r w:rsidR="00200998">
        <w:t xml:space="preserve"> </w:t>
      </w:r>
      <w:r w:rsidR="00285E3E">
        <w:t>is introduced,</w:t>
      </w:r>
      <w:r>
        <w:t xml:space="preserve"> </w:t>
      </w:r>
      <w:r w:rsidR="005A27DE">
        <w:t xml:space="preserve">the </w:t>
      </w:r>
      <w:r>
        <w:t xml:space="preserve">implications in terms of </w:t>
      </w:r>
      <w:r w:rsidR="005A27DE">
        <w:t xml:space="preserve">the </w:t>
      </w:r>
      <w:r>
        <w:t xml:space="preserve">expertise required, </w:t>
      </w:r>
      <w:r w:rsidR="005A27DE">
        <w:t xml:space="preserve">the </w:t>
      </w:r>
      <w:r>
        <w:t xml:space="preserve">budget and human resources </w:t>
      </w:r>
      <w:proofErr w:type="gramStart"/>
      <w:r>
        <w:t>may</w:t>
      </w:r>
      <w:proofErr w:type="gramEnd"/>
      <w:r>
        <w:t xml:space="preserve"> need to be </w:t>
      </w:r>
      <w:r w:rsidR="00285E3E">
        <w:t xml:space="preserve">carefully </w:t>
      </w:r>
      <w:r>
        <w:t>considered.</w:t>
      </w:r>
    </w:p>
    <w:p w14:paraId="22A4FC04" w14:textId="1A83BC70" w:rsidR="00975BA4" w:rsidRDefault="00975BA4" w:rsidP="007215E0">
      <w:pPr>
        <w:pStyle w:val="COMPara"/>
        <w:numPr>
          <w:ilvl w:val="0"/>
          <w:numId w:val="47"/>
        </w:numPr>
        <w:ind w:left="1134" w:hanging="567"/>
        <w:jc w:val="both"/>
      </w:pPr>
      <w:r w:rsidRPr="009243B5">
        <w:rPr>
          <w:b/>
        </w:rPr>
        <w:t xml:space="preserve">Role of the </w:t>
      </w:r>
      <w:r w:rsidR="005A27DE" w:rsidRPr="009243B5">
        <w:rPr>
          <w:b/>
        </w:rPr>
        <w:t>divers</w:t>
      </w:r>
      <w:r w:rsidR="005A27DE">
        <w:rPr>
          <w:b/>
        </w:rPr>
        <w:t>e range</w:t>
      </w:r>
      <w:r w:rsidR="005A27DE" w:rsidRPr="009243B5">
        <w:rPr>
          <w:b/>
        </w:rPr>
        <w:t xml:space="preserve"> </w:t>
      </w:r>
      <w:r w:rsidRPr="009243B5">
        <w:rPr>
          <w:b/>
        </w:rPr>
        <w:t>of stakeholders</w:t>
      </w:r>
      <w:r w:rsidR="002B187F">
        <w:t>.</w:t>
      </w:r>
      <w:r w:rsidRPr="00FC2F35">
        <w:t xml:space="preserve"> </w:t>
      </w:r>
      <w:r w:rsidR="00C70962">
        <w:t>A divers</w:t>
      </w:r>
      <w:r w:rsidR="005A27DE">
        <w:t>e range</w:t>
      </w:r>
      <w:r w:rsidR="00C70962">
        <w:t xml:space="preserve"> of entity and individuals </w:t>
      </w:r>
      <w:r>
        <w:t xml:space="preserve">– including communities, governmental authorities, </w:t>
      </w:r>
      <w:r w:rsidR="005A27DE">
        <w:t xml:space="preserve">the </w:t>
      </w:r>
      <w:r w:rsidR="0079309C">
        <w:t xml:space="preserve">Evaluation Body, </w:t>
      </w:r>
      <w:r>
        <w:t xml:space="preserve">accredited NGOs, universities, experts and the Secretariat – </w:t>
      </w:r>
      <w:r w:rsidRPr="00FC2F35">
        <w:t xml:space="preserve">could </w:t>
      </w:r>
      <w:r>
        <w:t xml:space="preserve">contribute to the </w:t>
      </w:r>
      <w:r w:rsidRPr="00FC2F35">
        <w:t>follow-up of inscribed elements.</w:t>
      </w:r>
      <w:r w:rsidR="00C70962">
        <w:t xml:space="preserve"> </w:t>
      </w:r>
      <w:r w:rsidR="00A3600E">
        <w:t>Specifically</w:t>
      </w:r>
      <w:r w:rsidR="00C70962">
        <w:t>,</w:t>
      </w:r>
      <w:r>
        <w:t xml:space="preserve"> </w:t>
      </w:r>
      <w:r w:rsidR="00C70962">
        <w:t>the role of the Evaluation Body</w:t>
      </w:r>
      <w:r w:rsidR="008D4D7F">
        <w:t xml:space="preserve"> </w:t>
      </w:r>
      <w:proofErr w:type="gramStart"/>
      <w:r w:rsidR="008D4D7F">
        <w:t xml:space="preserve">could be </w:t>
      </w:r>
      <w:r w:rsidR="00C70962">
        <w:t>explored</w:t>
      </w:r>
      <w:proofErr w:type="gramEnd"/>
      <w:r w:rsidR="00C70962">
        <w:t xml:space="preserve">, in particular if the Committee wishes to introduce a </w:t>
      </w:r>
      <w:r w:rsidR="005A27DE">
        <w:t xml:space="preserve">system for </w:t>
      </w:r>
      <w:r w:rsidR="00C70962">
        <w:t>screening</w:t>
      </w:r>
      <w:r w:rsidR="008B6B47">
        <w:t xml:space="preserve"> </w:t>
      </w:r>
      <w:r w:rsidR="00C70962">
        <w:t>information received</w:t>
      </w:r>
      <w:r w:rsidR="0079309C">
        <w:t xml:space="preserve"> before it is brought to its attention</w:t>
      </w:r>
      <w:r w:rsidR="00C70962">
        <w:t>. In addition</w:t>
      </w:r>
      <w:r w:rsidR="008D4D7F">
        <w:t xml:space="preserve">, the possibility of </w:t>
      </w:r>
      <w:r w:rsidR="00C70962">
        <w:t xml:space="preserve">establishing a dedicated </w:t>
      </w:r>
      <w:r w:rsidR="00C70962" w:rsidRPr="009228DD">
        <w:t>ad hoc</w:t>
      </w:r>
      <w:r w:rsidR="00C70962">
        <w:t xml:space="preserve"> monitoring body, in lieu of or in </w:t>
      </w:r>
      <w:r w:rsidR="008D4D7F">
        <w:t>conjunction with</w:t>
      </w:r>
      <w:r w:rsidR="00C70962">
        <w:t xml:space="preserve"> the Evaluation Body, may also be </w:t>
      </w:r>
      <w:r w:rsidR="008B6B47">
        <w:t>considered</w:t>
      </w:r>
      <w:r w:rsidR="00C70962">
        <w:t>.</w:t>
      </w:r>
    </w:p>
    <w:p w14:paraId="2B1D05D5" w14:textId="2C6EA4CD" w:rsidR="0079309C" w:rsidRDefault="0079309C" w:rsidP="007215E0">
      <w:pPr>
        <w:pStyle w:val="COMPara"/>
        <w:numPr>
          <w:ilvl w:val="0"/>
          <w:numId w:val="47"/>
        </w:numPr>
        <w:ind w:left="1134" w:hanging="567"/>
        <w:jc w:val="both"/>
      </w:pPr>
      <w:r w:rsidRPr="006635F0">
        <w:rPr>
          <w:b/>
        </w:rPr>
        <w:t>Definition of monitoring actions</w:t>
      </w:r>
      <w:r>
        <w:t xml:space="preserve">. </w:t>
      </w:r>
      <w:r w:rsidR="00371377">
        <w:t>T</w:t>
      </w:r>
      <w:r w:rsidR="008362A1">
        <w:t xml:space="preserve">he range of monitoring actions </w:t>
      </w:r>
      <w:r>
        <w:t>that</w:t>
      </w:r>
      <w:r w:rsidR="00371377">
        <w:t xml:space="preserve"> the Committee</w:t>
      </w:r>
      <w:r>
        <w:t xml:space="preserve"> could </w:t>
      </w:r>
      <w:r w:rsidR="008362A1">
        <w:t>request</w:t>
      </w:r>
      <w:r w:rsidR="005A27DE">
        <w:t>,</w:t>
      </w:r>
      <w:r w:rsidRPr="00FC2F35">
        <w:t xml:space="preserve"> </w:t>
      </w:r>
      <w:r w:rsidR="00371377">
        <w:t xml:space="preserve">once informed of the </w:t>
      </w:r>
      <w:r w:rsidR="008B6B47">
        <w:t>changing</w:t>
      </w:r>
      <w:r w:rsidR="00371377">
        <w:t xml:space="preserve"> status of an inscribed element, may also need to </w:t>
      </w:r>
      <w:proofErr w:type="gramStart"/>
      <w:r w:rsidR="00371377">
        <w:t>be clarified</w:t>
      </w:r>
      <w:proofErr w:type="gramEnd"/>
      <w:r w:rsidR="008362A1">
        <w:t xml:space="preserve">. </w:t>
      </w:r>
      <w:r w:rsidR="005A27DE">
        <w:t xml:space="preserve">Such actions </w:t>
      </w:r>
      <w:r>
        <w:t>could range from a request addressed to a State Party for further information on a specific issue to the possibility of initiating a procedure for the removal of an element from a List</w:t>
      </w:r>
      <w:r w:rsidR="008362A1">
        <w:t>.</w:t>
      </w:r>
    </w:p>
    <w:p w14:paraId="6E679A3A" w14:textId="0F4F7481" w:rsidR="002C6654" w:rsidRDefault="008C33D5" w:rsidP="007215E0">
      <w:pPr>
        <w:pStyle w:val="COMPara"/>
        <w:numPr>
          <w:ilvl w:val="0"/>
          <w:numId w:val="47"/>
        </w:numPr>
        <w:ind w:left="1134" w:hanging="567"/>
        <w:jc w:val="both"/>
      </w:pPr>
      <w:r>
        <w:rPr>
          <w:b/>
        </w:rPr>
        <w:t>Place in</w:t>
      </w:r>
      <w:r w:rsidR="002C6654" w:rsidRPr="008C33D5">
        <w:rPr>
          <w:b/>
        </w:rPr>
        <w:t xml:space="preserve"> the agenda</w:t>
      </w:r>
      <w:r w:rsidR="002B187F">
        <w:rPr>
          <w:b/>
        </w:rPr>
        <w:t xml:space="preserve"> of the Committee</w:t>
      </w:r>
      <w:r w:rsidR="003115F8">
        <w:t xml:space="preserve">. </w:t>
      </w:r>
      <w:r w:rsidR="00F34301">
        <w:t>T</w:t>
      </w:r>
      <w:r w:rsidR="003115F8">
        <w:t xml:space="preserve">here is currently no specific item on the agenda of the session of the Committee that could cover the correspondence received </w:t>
      </w:r>
      <w:r w:rsidR="005A27DE">
        <w:t>regarding</w:t>
      </w:r>
      <w:r w:rsidR="003115F8">
        <w:t xml:space="preserve"> elements already inscribed. Considering </w:t>
      </w:r>
      <w:r w:rsidR="007A2F1E">
        <w:t xml:space="preserve">the impact on the workload of its own session, </w:t>
      </w:r>
      <w:r w:rsidR="00BE614A">
        <w:t xml:space="preserve">the Committee </w:t>
      </w:r>
      <w:r w:rsidR="00566BD7">
        <w:t>may wish to consider whether</w:t>
      </w:r>
      <w:r w:rsidR="005A27DE">
        <w:t xml:space="preserve"> </w:t>
      </w:r>
      <w:r w:rsidR="00566BD7">
        <w:t>a ded</w:t>
      </w:r>
      <w:r w:rsidR="008832FA">
        <w:t xml:space="preserve">icated item </w:t>
      </w:r>
      <w:proofErr w:type="gramStart"/>
      <w:r w:rsidR="008832FA">
        <w:t>should be added</w:t>
      </w:r>
      <w:proofErr w:type="gramEnd"/>
      <w:r w:rsidR="008832FA">
        <w:t xml:space="preserve"> to its</w:t>
      </w:r>
      <w:r w:rsidR="00566BD7">
        <w:t xml:space="preserve"> agenda</w:t>
      </w:r>
      <w:r w:rsidR="005A27DE" w:rsidRPr="005A27DE">
        <w:t xml:space="preserve"> </w:t>
      </w:r>
      <w:r w:rsidR="005A27DE">
        <w:t>in the event that relevant correspondence needs to be brought to its attention</w:t>
      </w:r>
      <w:r w:rsidR="00566BD7">
        <w:t>.</w:t>
      </w:r>
    </w:p>
    <w:p w14:paraId="64483781" w14:textId="4C1E2EA2" w:rsidR="001D10A5" w:rsidRDefault="001D10A5" w:rsidP="007215E0">
      <w:pPr>
        <w:pStyle w:val="COMPara"/>
        <w:numPr>
          <w:ilvl w:val="0"/>
          <w:numId w:val="47"/>
        </w:numPr>
        <w:ind w:left="1134" w:hanging="567"/>
        <w:jc w:val="both"/>
      </w:pPr>
      <w:r w:rsidRPr="004A5463">
        <w:rPr>
          <w:b/>
        </w:rPr>
        <w:t>Budgetary implications of a follow-up mechanism</w:t>
      </w:r>
      <w:r>
        <w:t>. Many of the aspects mentioned above would imply an additional workload for several entities, including the Committee, the Secretariat and possibly the Evaluation Body</w:t>
      </w:r>
      <w:r w:rsidR="009E506C">
        <w:t>.</w:t>
      </w:r>
      <w:r>
        <w:t xml:space="preserve"> In its debates, the Committee may therefore need to keep in mind the financial implications of the establishment of a follow</w:t>
      </w:r>
      <w:r w:rsidR="00A17A3C">
        <w:noBreakHyphen/>
      </w:r>
      <w:r>
        <w:t>up mechanism.</w:t>
      </w:r>
    </w:p>
    <w:p w14:paraId="21FB0999" w14:textId="5080A48C" w:rsidR="00C00E51" w:rsidRDefault="00C00E51" w:rsidP="0057664F">
      <w:pPr>
        <w:pStyle w:val="COMPara"/>
        <w:numPr>
          <w:ilvl w:val="3"/>
          <w:numId w:val="2"/>
        </w:numPr>
        <w:ind w:left="567" w:hanging="567"/>
        <w:jc w:val="both"/>
      </w:pPr>
      <w:r>
        <w:lastRenderedPageBreak/>
        <w:t xml:space="preserve">As </w:t>
      </w:r>
      <w:r w:rsidR="004C2D68">
        <w:t xml:space="preserve">described in Section </w:t>
      </w:r>
      <w:r w:rsidR="00712908">
        <w:t>D</w:t>
      </w:r>
      <w:r w:rsidR="004C2D68">
        <w:t xml:space="preserve"> of the present document, the establishment of a follow-up mechanism </w:t>
      </w:r>
      <w:proofErr w:type="gramStart"/>
      <w:r w:rsidR="004C2D68">
        <w:t>is linked</w:t>
      </w:r>
      <w:proofErr w:type="gramEnd"/>
      <w:r w:rsidR="004C2D68">
        <w:t xml:space="preserve"> to a number of broader issues </w:t>
      </w:r>
      <w:r>
        <w:t xml:space="preserve">and ongoing reflections </w:t>
      </w:r>
      <w:r w:rsidR="004C2D68">
        <w:t>that are crucial for</w:t>
      </w:r>
      <w:r>
        <w:t xml:space="preserve"> the future of the Convention. </w:t>
      </w:r>
      <w:proofErr w:type="gramStart"/>
      <w:r>
        <w:t>Th</w:t>
      </w:r>
      <w:r w:rsidR="00712908">
        <w:t>ese</w:t>
      </w:r>
      <w:r>
        <w:t xml:space="preserve"> include</w:t>
      </w:r>
      <w:r w:rsidR="004C2D68">
        <w:t xml:space="preserve"> </w:t>
      </w:r>
      <w:r>
        <w:t xml:space="preserve">the </w:t>
      </w:r>
      <w:r w:rsidR="004C2D68">
        <w:t xml:space="preserve">reflection </w:t>
      </w:r>
      <w:r w:rsidR="00712908">
        <w:t xml:space="preserve">launched by the Committee in 2017 </w:t>
      </w:r>
      <w:r w:rsidR="004C2D68" w:rsidRPr="004C2D68">
        <w:t>on the procedures for the removal of an element from a List and the transfer</w:t>
      </w:r>
      <w:r w:rsidR="005A27DE">
        <w:t xml:space="preserve"> of an element</w:t>
      </w:r>
      <w:r w:rsidR="004C2D68" w:rsidRPr="004C2D68">
        <w:t xml:space="preserve"> from one List to the other, on the nature and purposes of the Lists and the Register established under the Convention and on the relevance of the various criteria for each of these mechanisms</w:t>
      </w:r>
      <w:r w:rsidR="004C2D68">
        <w:t>.</w:t>
      </w:r>
      <w:proofErr w:type="gramEnd"/>
      <w:r w:rsidR="004C2D68">
        <w:t xml:space="preserve"> It </w:t>
      </w:r>
      <w:proofErr w:type="gramStart"/>
      <w:r w:rsidR="004C2D68">
        <w:t>may therefore be considered</w:t>
      </w:r>
      <w:proofErr w:type="gramEnd"/>
      <w:r w:rsidR="004C2D68">
        <w:t xml:space="preserve"> pertinent to integrate the reflection on the establishment of a full-fledged follow-up mechanism in</w:t>
      </w:r>
      <w:r w:rsidR="00143349">
        <w:t>to</w:t>
      </w:r>
      <w:r w:rsidR="004C2D68">
        <w:t xml:space="preserve"> this broader reflection and in</w:t>
      </w:r>
      <w:r w:rsidR="00143349">
        <w:t>to</w:t>
      </w:r>
      <w:r w:rsidR="004C2D68">
        <w:t xml:space="preserve"> the mandate of the </w:t>
      </w:r>
      <w:r w:rsidR="004C2D68" w:rsidRPr="004C2D68">
        <w:t>open-ended intergovernmental working group</w:t>
      </w:r>
      <w:r w:rsidR="004C2D68">
        <w:t xml:space="preserve"> that the Committee decided to convene</w:t>
      </w:r>
      <w:r w:rsidR="004C2D68" w:rsidRPr="004C2D68">
        <w:t xml:space="preserve"> </w:t>
      </w:r>
      <w:r w:rsidR="004C2D68">
        <w:t>in 2017 (</w:t>
      </w:r>
      <w:hyperlink r:id="rId19" w:history="1">
        <w:r w:rsidR="0057664F">
          <w:rPr>
            <w:rStyle w:val="Hyperlink"/>
          </w:rPr>
          <w:t>Decision </w:t>
        </w:r>
        <w:r w:rsidR="004C2D68" w:rsidRPr="0051798E">
          <w:rPr>
            <w:rStyle w:val="Hyperlink"/>
          </w:rPr>
          <w:t>12.COM</w:t>
        </w:r>
        <w:r w:rsidR="0057664F">
          <w:rPr>
            <w:rStyle w:val="Hyperlink"/>
          </w:rPr>
          <w:t> </w:t>
        </w:r>
        <w:r w:rsidR="004C2D68" w:rsidRPr="0051798E">
          <w:rPr>
            <w:rStyle w:val="Hyperlink"/>
          </w:rPr>
          <w:t>14</w:t>
        </w:r>
      </w:hyperlink>
      <w:r w:rsidR="004C2D68">
        <w:t>)</w:t>
      </w:r>
      <w:r w:rsidR="00246B27">
        <w:t>.</w:t>
      </w:r>
    </w:p>
    <w:p w14:paraId="26AB16B3" w14:textId="48036D4B" w:rsidR="00D95C4C" w:rsidRPr="00EA528C" w:rsidRDefault="000B1C8F" w:rsidP="00827BDF">
      <w:pPr>
        <w:pStyle w:val="COMPara"/>
        <w:numPr>
          <w:ilvl w:val="3"/>
          <w:numId w:val="2"/>
        </w:numPr>
        <w:ind w:left="567" w:hanging="567"/>
        <w:jc w:val="both"/>
      </w:pPr>
      <w:r w:rsidRPr="000B1C8F">
        <w:t xml:space="preserve">The Committee may wish </w:t>
      </w:r>
      <w:r>
        <w:t>to adopt the following decision</w:t>
      </w:r>
      <w:r w:rsidR="00D95C4C" w:rsidRPr="00EA528C">
        <w:t>:</w:t>
      </w:r>
    </w:p>
    <w:p w14:paraId="0C928C86" w14:textId="77777777" w:rsidR="00D95C4C" w:rsidRPr="00FD624F" w:rsidRDefault="004A34A0" w:rsidP="001D14FE">
      <w:pPr>
        <w:pStyle w:val="COMTitleDecision"/>
        <w:rPr>
          <w:rFonts w:eastAsia="SimSun"/>
        </w:rPr>
      </w:pPr>
      <w:r>
        <w:t xml:space="preserve">DRAFT </w:t>
      </w:r>
      <w:r w:rsidR="00CB0542">
        <w:t>DECISION 1</w:t>
      </w:r>
      <w:r w:rsidR="001D14FE">
        <w:t>3</w:t>
      </w:r>
      <w:r w:rsidR="00EC6F8D">
        <w:t>.COM</w:t>
      </w:r>
      <w:r w:rsidR="00D95C4C" w:rsidRPr="00FD624F">
        <w:t xml:space="preserve"> </w:t>
      </w:r>
      <w:r w:rsidR="00380403">
        <w:t>9</w:t>
      </w:r>
    </w:p>
    <w:p w14:paraId="6D25ACB2" w14:textId="77777777" w:rsidR="00D95C4C" w:rsidRPr="00285BB4" w:rsidRDefault="00285BB4" w:rsidP="00285BB4">
      <w:pPr>
        <w:pStyle w:val="COMPreambulaDecisions"/>
        <w:rPr>
          <w:rFonts w:eastAsia="SimSun"/>
        </w:rPr>
      </w:pPr>
      <w:r w:rsidRPr="00285BB4">
        <w:t>The Committee,</w:t>
      </w:r>
    </w:p>
    <w:p w14:paraId="595F1575" w14:textId="77777777" w:rsidR="0057439C" w:rsidRPr="00843D02" w:rsidRDefault="00D95C4C" w:rsidP="00A518F9">
      <w:pPr>
        <w:pStyle w:val="COMParaDecision"/>
        <w:ind w:left="1134" w:hanging="567"/>
        <w:jc w:val="left"/>
      </w:pPr>
      <w:r w:rsidRPr="00345CB4">
        <w:t>Having examined</w:t>
      </w:r>
      <w:r w:rsidRPr="00F32C23">
        <w:rPr>
          <w:u w:val="none"/>
        </w:rPr>
        <w:t xml:space="preserve"> doc</w:t>
      </w:r>
      <w:r w:rsidR="00CB0542">
        <w:rPr>
          <w:u w:val="none"/>
        </w:rPr>
        <w:t>ument ITH/1</w:t>
      </w:r>
      <w:r w:rsidR="001D14FE">
        <w:rPr>
          <w:u w:val="none"/>
        </w:rPr>
        <w:t>8</w:t>
      </w:r>
      <w:r w:rsidR="00337CEB">
        <w:rPr>
          <w:u w:val="none"/>
        </w:rPr>
        <w:t>/1</w:t>
      </w:r>
      <w:r w:rsidR="001D14FE">
        <w:rPr>
          <w:u w:val="none"/>
        </w:rPr>
        <w:t>3</w:t>
      </w:r>
      <w:r w:rsidR="00EC6F8D" w:rsidRPr="00F32C23">
        <w:rPr>
          <w:u w:val="none"/>
        </w:rPr>
        <w:t>.COM</w:t>
      </w:r>
      <w:r w:rsidR="004A34A0" w:rsidRPr="00F32C23">
        <w:rPr>
          <w:u w:val="none"/>
        </w:rPr>
        <w:t>/</w:t>
      </w:r>
      <w:r w:rsidR="00380403">
        <w:rPr>
          <w:u w:val="none"/>
        </w:rPr>
        <w:t>9</w:t>
      </w:r>
      <w:r w:rsidRPr="00F32C23">
        <w:rPr>
          <w:u w:val="none"/>
        </w:rPr>
        <w:t>,</w:t>
      </w:r>
    </w:p>
    <w:p w14:paraId="2FC71FD1" w14:textId="2E136910" w:rsidR="00843D02" w:rsidRDefault="00843D02" w:rsidP="00A518F9">
      <w:pPr>
        <w:pStyle w:val="COMParaDecision"/>
        <w:ind w:left="1134" w:hanging="567"/>
        <w:rPr>
          <w:u w:val="none"/>
        </w:rPr>
      </w:pPr>
      <w:r w:rsidRPr="002912E3">
        <w:t>Recalling</w:t>
      </w:r>
      <w:r w:rsidR="00DC0C8C" w:rsidRPr="00DC0C8C">
        <w:rPr>
          <w:u w:val="none"/>
        </w:rPr>
        <w:t xml:space="preserve"> </w:t>
      </w:r>
      <w:r w:rsidR="00DC0C8C">
        <w:rPr>
          <w:u w:val="none"/>
        </w:rPr>
        <w:t>Chapter V</w:t>
      </w:r>
      <w:r w:rsidRPr="00DC0C8C">
        <w:rPr>
          <w:u w:val="none"/>
        </w:rPr>
        <w:t xml:space="preserve"> of the Operational Directives</w:t>
      </w:r>
      <w:r w:rsidR="00F34301">
        <w:rPr>
          <w:u w:val="none"/>
        </w:rPr>
        <w:t xml:space="preserve"> concerning periodic reporting</w:t>
      </w:r>
      <w:r w:rsidR="008832FA">
        <w:rPr>
          <w:u w:val="none"/>
        </w:rPr>
        <w:t xml:space="preserve"> and</w:t>
      </w:r>
      <w:r w:rsidR="008832FA" w:rsidRPr="008832FA">
        <w:rPr>
          <w:u w:val="none"/>
        </w:rPr>
        <w:t xml:space="preserve"> </w:t>
      </w:r>
      <w:hyperlink r:id="rId20" w:history="1">
        <w:r w:rsidR="0057664F">
          <w:rPr>
            <w:rStyle w:val="Hyperlink"/>
          </w:rPr>
          <w:t>Decision </w:t>
        </w:r>
        <w:r w:rsidR="008832FA" w:rsidRPr="000B48DB">
          <w:rPr>
            <w:rStyle w:val="Hyperlink"/>
          </w:rPr>
          <w:t>7.COM 15</w:t>
        </w:r>
      </w:hyperlink>
      <w:r w:rsidR="008832FA">
        <w:rPr>
          <w:u w:val="none"/>
        </w:rPr>
        <w:t xml:space="preserve"> concerning the g</w:t>
      </w:r>
      <w:r w:rsidR="008832FA" w:rsidRPr="00F372C5">
        <w:rPr>
          <w:u w:val="none"/>
        </w:rPr>
        <w:t>uidelines for the treatment of correspondence from the public or other concerned parties with regard to nominations</w:t>
      </w:r>
      <w:r w:rsidR="008832FA">
        <w:rPr>
          <w:u w:val="none"/>
        </w:rPr>
        <w:t>,</w:t>
      </w:r>
    </w:p>
    <w:p w14:paraId="051C6780" w14:textId="2B474105" w:rsidR="00DC0C8C" w:rsidRDefault="00DC0C8C" w:rsidP="00A518F9">
      <w:pPr>
        <w:pStyle w:val="COMParaDecision"/>
        <w:ind w:left="1134" w:hanging="567"/>
        <w:rPr>
          <w:u w:val="none"/>
        </w:rPr>
      </w:pPr>
      <w:r>
        <w:t>Further recalling</w:t>
      </w:r>
      <w:r w:rsidR="008832FA">
        <w:rPr>
          <w:u w:val="none"/>
        </w:rPr>
        <w:t xml:space="preserve"> the Ethical Principles for the Safeguarding of Intangible Cultural Heritage,</w:t>
      </w:r>
    </w:p>
    <w:p w14:paraId="067C1960" w14:textId="67961FA6" w:rsidR="00843D02" w:rsidRPr="00843D02" w:rsidRDefault="00843D02" w:rsidP="00A518F9">
      <w:pPr>
        <w:pStyle w:val="COMParaDecision"/>
        <w:ind w:left="1134" w:hanging="567"/>
      </w:pPr>
      <w:r>
        <w:t>Takes note</w:t>
      </w:r>
      <w:r w:rsidRPr="00843D02">
        <w:rPr>
          <w:u w:val="none"/>
        </w:rPr>
        <w:t xml:space="preserve"> of the increasing number of cases that </w:t>
      </w:r>
      <w:r w:rsidR="00F34301">
        <w:rPr>
          <w:u w:val="none"/>
        </w:rPr>
        <w:t>are</w:t>
      </w:r>
      <w:r w:rsidRPr="00843D02">
        <w:rPr>
          <w:u w:val="none"/>
        </w:rPr>
        <w:t xml:space="preserve"> brought </w:t>
      </w:r>
      <w:r w:rsidR="00143349">
        <w:rPr>
          <w:u w:val="none"/>
        </w:rPr>
        <w:t>to</w:t>
      </w:r>
      <w:r w:rsidRPr="00843D02">
        <w:rPr>
          <w:u w:val="none"/>
        </w:rPr>
        <w:t xml:space="preserve"> the attention of the Secretariat regarding</w:t>
      </w:r>
      <w:r w:rsidR="00F34301">
        <w:rPr>
          <w:u w:val="none"/>
        </w:rPr>
        <w:t xml:space="preserve"> the changing status of </w:t>
      </w:r>
      <w:r w:rsidRPr="00843D02">
        <w:rPr>
          <w:u w:val="none"/>
        </w:rPr>
        <w:t>elements</w:t>
      </w:r>
      <w:r w:rsidR="00F34301">
        <w:rPr>
          <w:u w:val="none"/>
        </w:rPr>
        <w:t xml:space="preserve"> inscribed on the Lists of the Convention</w:t>
      </w:r>
      <w:r w:rsidRPr="00843D02">
        <w:rPr>
          <w:u w:val="none"/>
        </w:rPr>
        <w:t>;</w:t>
      </w:r>
    </w:p>
    <w:p w14:paraId="61E621C2" w14:textId="2EC35EA2" w:rsidR="00843D02" w:rsidRDefault="00843D02" w:rsidP="00A518F9">
      <w:pPr>
        <w:pStyle w:val="COMParaDecision"/>
        <w:ind w:left="1134" w:hanging="567"/>
        <w:rPr>
          <w:u w:val="none"/>
        </w:rPr>
      </w:pPr>
      <w:r>
        <w:t>Recognizes</w:t>
      </w:r>
      <w:r w:rsidRPr="00843D02">
        <w:rPr>
          <w:u w:val="none"/>
        </w:rPr>
        <w:t xml:space="preserve"> the</w:t>
      </w:r>
      <w:r>
        <w:rPr>
          <w:u w:val="none"/>
        </w:rPr>
        <w:t xml:space="preserve"> need to strengthen the </w:t>
      </w:r>
      <w:r w:rsidRPr="00843D02">
        <w:rPr>
          <w:u w:val="none"/>
        </w:rPr>
        <w:t xml:space="preserve">follow-up of inscribed elements </w:t>
      </w:r>
      <w:r w:rsidR="00DC0C8C">
        <w:rPr>
          <w:u w:val="none"/>
        </w:rPr>
        <w:t xml:space="preserve">and to provide </w:t>
      </w:r>
      <w:r w:rsidR="00EB2352">
        <w:rPr>
          <w:u w:val="none"/>
        </w:rPr>
        <w:t xml:space="preserve">ways </w:t>
      </w:r>
      <w:r w:rsidR="00DC0C8C">
        <w:rPr>
          <w:u w:val="none"/>
        </w:rPr>
        <w:t xml:space="preserve">for communities and civil society to participate </w:t>
      </w:r>
      <w:r w:rsidR="004B2EDA">
        <w:rPr>
          <w:u w:val="none"/>
        </w:rPr>
        <w:t xml:space="preserve">more </w:t>
      </w:r>
      <w:r w:rsidR="00DC0C8C">
        <w:rPr>
          <w:u w:val="none"/>
        </w:rPr>
        <w:t>directly in the monitoring of inscribed elements</w:t>
      </w:r>
      <w:r>
        <w:rPr>
          <w:u w:val="none"/>
        </w:rPr>
        <w:t>;</w:t>
      </w:r>
    </w:p>
    <w:p w14:paraId="27CAE0A3" w14:textId="014760C5" w:rsidR="0057633E" w:rsidRDefault="00C74E9E" w:rsidP="00A518F9">
      <w:pPr>
        <w:pStyle w:val="COMParaDecision"/>
        <w:ind w:left="1134" w:hanging="567"/>
      </w:pPr>
      <w:r>
        <w:t>Acknowledges</w:t>
      </w:r>
      <w:r>
        <w:rPr>
          <w:u w:val="none"/>
        </w:rPr>
        <w:t xml:space="preserve"> the link between the follow-up of inscribed elements and the ongoing reflection on </w:t>
      </w:r>
      <w:r w:rsidRPr="00FF49B3">
        <w:rPr>
          <w:u w:val="none"/>
        </w:rPr>
        <w:t>the nature and purposes of the Lists</w:t>
      </w:r>
      <w:r>
        <w:rPr>
          <w:u w:val="none"/>
        </w:rPr>
        <w:t xml:space="preserve"> of the Convention</w:t>
      </w:r>
      <w:r w:rsidRPr="00F93829">
        <w:rPr>
          <w:u w:val="none"/>
        </w:rPr>
        <w:t>,</w:t>
      </w:r>
      <w:r>
        <w:rPr>
          <w:u w:val="none"/>
        </w:rPr>
        <w:t xml:space="preserve"> </w:t>
      </w:r>
      <w:r w:rsidRPr="009243B5">
        <w:t>r</w:t>
      </w:r>
      <w:r w:rsidRPr="00F93829">
        <w:t>e</w:t>
      </w:r>
      <w:r w:rsidRPr="006B3D44">
        <w:t>calls</w:t>
      </w:r>
      <w:r w:rsidR="006C6FC8" w:rsidRPr="009243B5">
        <w:rPr>
          <w:u w:val="none"/>
        </w:rPr>
        <w:t xml:space="preserve"> its </w:t>
      </w:r>
      <w:hyperlink r:id="rId21" w:history="1">
        <w:r w:rsidR="006C6FC8" w:rsidRPr="00FF49B3">
          <w:rPr>
            <w:rStyle w:val="Hyperlink"/>
          </w:rPr>
          <w:t>Decision</w:t>
        </w:r>
        <w:r w:rsidR="0057664F">
          <w:rPr>
            <w:rStyle w:val="Hyperlink"/>
          </w:rPr>
          <w:t> </w:t>
        </w:r>
        <w:r w:rsidR="0057664F">
          <w:rPr>
            <w:rStyle w:val="Hyperlink"/>
            <w:lang w:val="en-US"/>
          </w:rPr>
          <w:t>12.COM </w:t>
        </w:r>
        <w:r w:rsidR="006C6FC8" w:rsidRPr="00A9371E">
          <w:rPr>
            <w:rStyle w:val="Hyperlink"/>
            <w:lang w:val="en-US"/>
          </w:rPr>
          <w:t>14</w:t>
        </w:r>
      </w:hyperlink>
      <w:r w:rsidR="006C6FC8" w:rsidRPr="009243B5">
        <w:rPr>
          <w:u w:val="none"/>
        </w:rPr>
        <w:t xml:space="preserve"> to convene an open-ended intergovernmental working group</w:t>
      </w:r>
      <w:r w:rsidR="00172014">
        <w:rPr>
          <w:u w:val="none"/>
        </w:rPr>
        <w:t xml:space="preserve"> on these topics</w:t>
      </w:r>
      <w:r w:rsidR="006C6FC8" w:rsidRPr="009243B5">
        <w:rPr>
          <w:u w:val="none"/>
        </w:rPr>
        <w:t xml:space="preserve"> and </w:t>
      </w:r>
      <w:r w:rsidR="006C6FC8" w:rsidRPr="0057633E">
        <w:t>welcomes</w:t>
      </w:r>
      <w:r w:rsidR="003E7E88" w:rsidRPr="009243B5">
        <w:rPr>
          <w:u w:val="none"/>
        </w:rPr>
        <w:t xml:space="preserve"> </w:t>
      </w:r>
      <w:r w:rsidR="00172014">
        <w:rPr>
          <w:u w:val="none"/>
        </w:rPr>
        <w:t xml:space="preserve">the </w:t>
      </w:r>
      <w:r w:rsidR="00172014" w:rsidRPr="004032FA">
        <w:rPr>
          <w:u w:val="none"/>
          <w:lang w:val="en-US"/>
        </w:rPr>
        <w:t xml:space="preserve">generous voluntary supplementary contribution of the Government of Japan to the Intangible Cultural </w:t>
      </w:r>
      <w:r w:rsidR="00A17A3C">
        <w:rPr>
          <w:u w:val="none"/>
          <w:lang w:val="en-US"/>
        </w:rPr>
        <w:t xml:space="preserve">Heritage </w:t>
      </w:r>
      <w:r w:rsidR="00172014" w:rsidRPr="004032FA">
        <w:rPr>
          <w:u w:val="none"/>
          <w:lang w:val="en-US"/>
        </w:rPr>
        <w:t xml:space="preserve">Fund </w:t>
      </w:r>
      <w:r w:rsidR="0057633E" w:rsidRPr="009243B5">
        <w:rPr>
          <w:u w:val="none"/>
        </w:rPr>
        <w:t>to</w:t>
      </w:r>
      <w:r w:rsidR="00172014">
        <w:rPr>
          <w:u w:val="none"/>
        </w:rPr>
        <w:t xml:space="preserve"> </w:t>
      </w:r>
      <w:r w:rsidR="00420349">
        <w:rPr>
          <w:u w:val="none"/>
        </w:rPr>
        <w:t>organize</w:t>
      </w:r>
      <w:r w:rsidR="00172014">
        <w:rPr>
          <w:u w:val="none"/>
        </w:rPr>
        <w:t xml:space="preserve"> a preliminary meeting of experts and</w:t>
      </w:r>
      <w:r w:rsidR="0057633E" w:rsidRPr="009243B5">
        <w:rPr>
          <w:u w:val="none"/>
        </w:rPr>
        <w:t xml:space="preserve"> support the </w:t>
      </w:r>
      <w:r w:rsidR="00420349">
        <w:rPr>
          <w:u w:val="none"/>
        </w:rPr>
        <w:t>convening</w:t>
      </w:r>
      <w:r w:rsidR="0057633E" w:rsidRPr="009243B5">
        <w:rPr>
          <w:u w:val="none"/>
        </w:rPr>
        <w:t xml:space="preserve"> of the above</w:t>
      </w:r>
      <w:r w:rsidR="00AC3825">
        <w:rPr>
          <w:u w:val="none"/>
        </w:rPr>
        <w:t>-</w:t>
      </w:r>
      <w:r w:rsidR="0057633E" w:rsidRPr="009243B5">
        <w:rPr>
          <w:u w:val="none"/>
        </w:rPr>
        <w:t>mentioned open-ended intergovernmental working group;</w:t>
      </w:r>
    </w:p>
    <w:p w14:paraId="064BFFF9" w14:textId="77777777" w:rsidR="00A518F9" w:rsidRPr="00A518F9" w:rsidRDefault="00CF28E4" w:rsidP="00A518F9">
      <w:pPr>
        <w:pStyle w:val="COMParaDecision"/>
        <w:ind w:left="1134" w:hanging="567"/>
      </w:pPr>
      <w:r>
        <w:t>Decides</w:t>
      </w:r>
      <w:r w:rsidRPr="009228DD">
        <w:rPr>
          <w:u w:val="none"/>
        </w:rPr>
        <w:t xml:space="preserve"> to include a reflection on the establishment of a follow-up mechanism for inscribed elements </w:t>
      </w:r>
      <w:r w:rsidR="00143349" w:rsidRPr="009228DD">
        <w:rPr>
          <w:u w:val="none"/>
        </w:rPr>
        <w:t xml:space="preserve">in the mandate of </w:t>
      </w:r>
      <w:r w:rsidR="009309B6">
        <w:rPr>
          <w:u w:val="none"/>
        </w:rPr>
        <w:t xml:space="preserve">the </w:t>
      </w:r>
      <w:r w:rsidR="009309B6" w:rsidRPr="009228DD">
        <w:rPr>
          <w:u w:val="none"/>
        </w:rPr>
        <w:t xml:space="preserve">above-mentioned preliminary meeting of experts </w:t>
      </w:r>
      <w:r w:rsidR="009309B6">
        <w:rPr>
          <w:u w:val="none"/>
        </w:rPr>
        <w:t xml:space="preserve">and </w:t>
      </w:r>
      <w:r w:rsidR="00143349" w:rsidRPr="009228DD">
        <w:rPr>
          <w:u w:val="none"/>
        </w:rPr>
        <w:t>the open-ended intergovernmental working group</w:t>
      </w:r>
      <w:r w:rsidR="000177A1" w:rsidRPr="009228DD">
        <w:rPr>
          <w:u w:val="none"/>
        </w:rPr>
        <w:t>.</w:t>
      </w:r>
    </w:p>
    <w:p w14:paraId="1F5F24BF" w14:textId="294990FD" w:rsidR="00893AFF" w:rsidRDefault="00893AFF" w:rsidP="00A518F9">
      <w:pPr>
        <w:pStyle w:val="COMParaDecision"/>
        <w:numPr>
          <w:ilvl w:val="0"/>
          <w:numId w:val="0"/>
        </w:numPr>
      </w:pPr>
      <w:r w:rsidRPr="00893AFF">
        <w:br w:type="page"/>
      </w:r>
    </w:p>
    <w:p w14:paraId="5862D68D" w14:textId="77777777" w:rsidR="00897F35" w:rsidRPr="0057664F" w:rsidRDefault="008D11C7" w:rsidP="009228DD">
      <w:pPr>
        <w:pStyle w:val="COMParaDecision"/>
        <w:numPr>
          <w:ilvl w:val="0"/>
          <w:numId w:val="0"/>
        </w:numPr>
        <w:jc w:val="center"/>
        <w:rPr>
          <w:b/>
        </w:rPr>
      </w:pPr>
      <w:r w:rsidRPr="0057664F">
        <w:rPr>
          <w:b/>
        </w:rPr>
        <w:lastRenderedPageBreak/>
        <w:t>ANNEX</w:t>
      </w:r>
    </w:p>
    <w:p w14:paraId="21066510" w14:textId="542D335E" w:rsidR="008D11C7" w:rsidRPr="009228DD" w:rsidRDefault="008D11C7" w:rsidP="001B6F33">
      <w:pPr>
        <w:pStyle w:val="COMParaDecision"/>
        <w:numPr>
          <w:ilvl w:val="0"/>
          <w:numId w:val="0"/>
        </w:numPr>
        <w:spacing w:after="480"/>
        <w:contextualSpacing/>
        <w:jc w:val="center"/>
        <w:rPr>
          <w:b/>
          <w:u w:val="none"/>
        </w:rPr>
      </w:pPr>
      <w:r w:rsidRPr="009228DD">
        <w:rPr>
          <w:b/>
          <w:u w:val="none"/>
        </w:rPr>
        <w:t>Recent cases brought to the attention of the Secretariat</w:t>
      </w:r>
      <w:r w:rsidR="001B6F33">
        <w:rPr>
          <w:b/>
          <w:u w:val="none"/>
        </w:rPr>
        <w:br/>
      </w:r>
      <w:r w:rsidR="0016543C">
        <w:rPr>
          <w:b/>
          <w:u w:val="none"/>
        </w:rPr>
        <w:t xml:space="preserve">between </w:t>
      </w:r>
      <w:r w:rsidR="005B30B0" w:rsidRPr="009228DD">
        <w:rPr>
          <w:b/>
          <w:u w:val="none"/>
        </w:rPr>
        <w:t>January</w:t>
      </w:r>
      <w:r w:rsidR="005B30B0">
        <w:rPr>
          <w:b/>
          <w:u w:val="none"/>
        </w:rPr>
        <w:t> </w:t>
      </w:r>
      <w:r w:rsidRPr="009228DD">
        <w:rPr>
          <w:b/>
          <w:u w:val="none"/>
        </w:rPr>
        <w:t xml:space="preserve">2017 </w:t>
      </w:r>
      <w:r w:rsidR="0016543C">
        <w:rPr>
          <w:b/>
          <w:u w:val="none"/>
        </w:rPr>
        <w:t>and</w:t>
      </w:r>
      <w:r w:rsidR="005B30B0" w:rsidRPr="009228DD">
        <w:rPr>
          <w:b/>
          <w:u w:val="none"/>
        </w:rPr>
        <w:t xml:space="preserve"> </w:t>
      </w:r>
      <w:r w:rsidRPr="009228DD">
        <w:rPr>
          <w:b/>
          <w:u w:val="none"/>
        </w:rPr>
        <w:t>August</w:t>
      </w:r>
      <w:r w:rsidR="005B30B0">
        <w:rPr>
          <w:b/>
          <w:u w:val="none"/>
        </w:rPr>
        <w:t> </w:t>
      </w:r>
      <w:r w:rsidRPr="009228DD">
        <w:rPr>
          <w:b/>
          <w:u w:val="none"/>
        </w:rPr>
        <w:t>2018</w:t>
      </w:r>
    </w:p>
    <w:tbl>
      <w:tblPr>
        <w:tblStyle w:val="TableGrid"/>
        <w:tblW w:w="9639" w:type="dxa"/>
        <w:tblInd w:w="-5" w:type="dxa"/>
        <w:tblLook w:val="04A0" w:firstRow="1" w:lastRow="0" w:firstColumn="1" w:lastColumn="0" w:noHBand="0" w:noVBand="1"/>
      </w:tblPr>
      <w:tblGrid>
        <w:gridCol w:w="1560"/>
        <w:gridCol w:w="2835"/>
        <w:gridCol w:w="2126"/>
        <w:gridCol w:w="3118"/>
      </w:tblGrid>
      <w:tr w:rsidR="00893AFF" w:rsidRPr="009A3809" w14:paraId="0249E86E" w14:textId="77777777" w:rsidTr="0057664F">
        <w:tc>
          <w:tcPr>
            <w:tcW w:w="1560" w:type="dxa"/>
            <w:shd w:val="clear" w:color="auto" w:fill="D9D9D9" w:themeFill="background1" w:themeFillShade="D9"/>
            <w:vAlign w:val="center"/>
          </w:tcPr>
          <w:p w14:paraId="18279123" w14:textId="77777777" w:rsidR="00893AFF" w:rsidRPr="00AB4317" w:rsidRDefault="00893AFF" w:rsidP="0057664F">
            <w:pPr>
              <w:jc w:val="center"/>
              <w:rPr>
                <w:rFonts w:ascii="Arial" w:hAnsi="Arial" w:cs="Arial"/>
                <w:b/>
                <w:sz w:val="22"/>
                <w:szCs w:val="22"/>
              </w:rPr>
            </w:pPr>
            <w:r w:rsidRPr="00AB4317">
              <w:rPr>
                <w:rFonts w:ascii="Arial" w:hAnsi="Arial" w:cs="Arial"/>
                <w:b/>
                <w:sz w:val="22"/>
                <w:szCs w:val="22"/>
              </w:rPr>
              <w:t>State Party</w:t>
            </w:r>
          </w:p>
        </w:tc>
        <w:tc>
          <w:tcPr>
            <w:tcW w:w="2835" w:type="dxa"/>
            <w:shd w:val="clear" w:color="auto" w:fill="D9D9D9" w:themeFill="background1" w:themeFillShade="D9"/>
            <w:vAlign w:val="center"/>
          </w:tcPr>
          <w:p w14:paraId="40F7B0A6" w14:textId="77777777" w:rsidR="00893AFF" w:rsidRPr="00AB4317" w:rsidRDefault="00893AFF" w:rsidP="0057664F">
            <w:pPr>
              <w:jc w:val="center"/>
              <w:rPr>
                <w:rFonts w:ascii="Arial" w:hAnsi="Arial" w:cs="Arial"/>
                <w:b/>
                <w:sz w:val="22"/>
                <w:szCs w:val="22"/>
              </w:rPr>
            </w:pPr>
            <w:r w:rsidRPr="00AB4317">
              <w:rPr>
                <w:rFonts w:ascii="Arial" w:hAnsi="Arial" w:cs="Arial"/>
                <w:b/>
                <w:sz w:val="22"/>
                <w:szCs w:val="22"/>
              </w:rPr>
              <w:t>Element</w:t>
            </w:r>
          </w:p>
        </w:tc>
        <w:tc>
          <w:tcPr>
            <w:tcW w:w="2126" w:type="dxa"/>
            <w:shd w:val="clear" w:color="auto" w:fill="D9D9D9" w:themeFill="background1" w:themeFillShade="D9"/>
            <w:vAlign w:val="center"/>
          </w:tcPr>
          <w:p w14:paraId="7940AE56" w14:textId="3CEFD617" w:rsidR="00893AFF" w:rsidRPr="00AB4317" w:rsidRDefault="00893AFF" w:rsidP="0057664F">
            <w:pPr>
              <w:jc w:val="center"/>
              <w:rPr>
                <w:rFonts w:ascii="Arial" w:hAnsi="Arial" w:cs="Arial"/>
                <w:b/>
                <w:sz w:val="22"/>
                <w:szCs w:val="22"/>
              </w:rPr>
            </w:pPr>
            <w:r w:rsidRPr="00AB4317">
              <w:rPr>
                <w:rFonts w:ascii="Arial" w:hAnsi="Arial" w:cs="Arial"/>
                <w:b/>
                <w:sz w:val="22"/>
                <w:szCs w:val="22"/>
              </w:rPr>
              <w:t xml:space="preserve">List and year of </w:t>
            </w:r>
            <w:r w:rsidR="00A17A3C">
              <w:rPr>
                <w:rFonts w:ascii="Arial" w:hAnsi="Arial" w:cs="Arial"/>
                <w:b/>
                <w:sz w:val="22"/>
                <w:szCs w:val="22"/>
              </w:rPr>
              <w:t>i</w:t>
            </w:r>
            <w:r w:rsidRPr="00AB4317">
              <w:rPr>
                <w:rFonts w:ascii="Arial" w:hAnsi="Arial" w:cs="Arial"/>
                <w:b/>
                <w:sz w:val="22"/>
                <w:szCs w:val="22"/>
              </w:rPr>
              <w:t>nscription</w:t>
            </w:r>
          </w:p>
        </w:tc>
        <w:tc>
          <w:tcPr>
            <w:tcW w:w="3118" w:type="dxa"/>
            <w:shd w:val="clear" w:color="auto" w:fill="D9D9D9" w:themeFill="background1" w:themeFillShade="D9"/>
            <w:vAlign w:val="center"/>
          </w:tcPr>
          <w:p w14:paraId="11399EF4" w14:textId="77777777" w:rsidR="00893AFF" w:rsidRPr="00AB4317" w:rsidRDefault="00893AFF" w:rsidP="0057664F">
            <w:pPr>
              <w:jc w:val="center"/>
              <w:rPr>
                <w:rFonts w:ascii="Arial" w:hAnsi="Arial" w:cs="Arial"/>
                <w:b/>
                <w:sz w:val="22"/>
                <w:szCs w:val="22"/>
              </w:rPr>
            </w:pPr>
            <w:r w:rsidRPr="00AB4317">
              <w:rPr>
                <w:rFonts w:ascii="Arial" w:hAnsi="Arial" w:cs="Arial"/>
                <w:b/>
                <w:sz w:val="22"/>
                <w:szCs w:val="22"/>
              </w:rPr>
              <w:t>Stakeholder that raised the issue</w:t>
            </w:r>
          </w:p>
        </w:tc>
      </w:tr>
      <w:tr w:rsidR="00893AFF" w:rsidRPr="00AB4317" w14:paraId="361E08CF" w14:textId="77777777" w:rsidTr="008D11C7">
        <w:tc>
          <w:tcPr>
            <w:tcW w:w="1560" w:type="dxa"/>
          </w:tcPr>
          <w:p w14:paraId="380126AB" w14:textId="77777777" w:rsidR="00893AFF" w:rsidRPr="00AB4317" w:rsidRDefault="00893AFF" w:rsidP="0079309C">
            <w:pPr>
              <w:rPr>
                <w:rFonts w:ascii="Arial" w:hAnsi="Arial" w:cs="Arial"/>
                <w:sz w:val="22"/>
                <w:szCs w:val="22"/>
              </w:rPr>
            </w:pPr>
            <w:r w:rsidRPr="00AB4317">
              <w:rPr>
                <w:rFonts w:ascii="Arial" w:hAnsi="Arial" w:cs="Arial"/>
                <w:sz w:val="22"/>
                <w:szCs w:val="22"/>
              </w:rPr>
              <w:t>Burundi</w:t>
            </w:r>
          </w:p>
        </w:tc>
        <w:tc>
          <w:tcPr>
            <w:tcW w:w="2835" w:type="dxa"/>
          </w:tcPr>
          <w:p w14:paraId="1F35354E" w14:textId="77777777" w:rsidR="00893AFF" w:rsidRPr="00AB4317" w:rsidRDefault="00893AFF" w:rsidP="0079309C">
            <w:pPr>
              <w:rPr>
                <w:rFonts w:ascii="Arial" w:hAnsi="Arial" w:cs="Arial"/>
                <w:sz w:val="22"/>
                <w:szCs w:val="22"/>
              </w:rPr>
            </w:pPr>
            <w:r w:rsidRPr="00AB4317">
              <w:rPr>
                <w:rFonts w:ascii="Arial" w:hAnsi="Arial" w:cs="Arial"/>
                <w:sz w:val="22"/>
                <w:szCs w:val="22"/>
              </w:rPr>
              <w:t>Ritual dance of the royal drum</w:t>
            </w:r>
          </w:p>
        </w:tc>
        <w:tc>
          <w:tcPr>
            <w:tcW w:w="2126" w:type="dxa"/>
          </w:tcPr>
          <w:p w14:paraId="574ABA3D" w14:textId="77777777" w:rsidR="00893AFF" w:rsidRPr="00AB4317" w:rsidRDefault="00893AFF" w:rsidP="0079309C">
            <w:pPr>
              <w:rPr>
                <w:rFonts w:ascii="Arial" w:hAnsi="Arial" w:cs="Arial"/>
                <w:sz w:val="22"/>
                <w:szCs w:val="22"/>
              </w:rPr>
            </w:pPr>
            <w:r w:rsidRPr="00AB4317">
              <w:rPr>
                <w:rFonts w:ascii="Arial" w:hAnsi="Arial" w:cs="Arial"/>
                <w:sz w:val="22"/>
                <w:szCs w:val="22"/>
              </w:rPr>
              <w:t>Representative List (2014)</w:t>
            </w:r>
          </w:p>
        </w:tc>
        <w:tc>
          <w:tcPr>
            <w:tcW w:w="3118" w:type="dxa"/>
          </w:tcPr>
          <w:p w14:paraId="34F7D0EB" w14:textId="77777777" w:rsidR="00893AFF" w:rsidRPr="00AB4317" w:rsidRDefault="00893AFF" w:rsidP="0079309C">
            <w:pPr>
              <w:rPr>
                <w:rFonts w:ascii="Arial" w:hAnsi="Arial" w:cs="Arial"/>
                <w:sz w:val="22"/>
                <w:szCs w:val="22"/>
              </w:rPr>
            </w:pPr>
            <w:r w:rsidRPr="00AB4317">
              <w:rPr>
                <w:rFonts w:ascii="Arial" w:hAnsi="Arial" w:cs="Arial"/>
                <w:sz w:val="22"/>
                <w:szCs w:val="22"/>
              </w:rPr>
              <w:t>Media</w:t>
            </w:r>
          </w:p>
        </w:tc>
      </w:tr>
      <w:tr w:rsidR="00893AFF" w:rsidRPr="009A3809" w14:paraId="6C18E9D0" w14:textId="77777777" w:rsidTr="008D11C7">
        <w:tc>
          <w:tcPr>
            <w:tcW w:w="1560" w:type="dxa"/>
          </w:tcPr>
          <w:p w14:paraId="3944CCBC" w14:textId="77777777" w:rsidR="00893AFF" w:rsidRPr="00AB4317" w:rsidRDefault="00893AFF" w:rsidP="0079309C">
            <w:pPr>
              <w:rPr>
                <w:rFonts w:ascii="Arial" w:hAnsi="Arial" w:cs="Arial"/>
                <w:sz w:val="22"/>
                <w:szCs w:val="22"/>
              </w:rPr>
            </w:pPr>
            <w:r>
              <w:rPr>
                <w:rFonts w:ascii="Arial" w:hAnsi="Arial" w:cs="Arial"/>
                <w:sz w:val="22"/>
                <w:szCs w:val="22"/>
              </w:rPr>
              <w:t>Croatia</w:t>
            </w:r>
          </w:p>
        </w:tc>
        <w:tc>
          <w:tcPr>
            <w:tcW w:w="2835" w:type="dxa"/>
          </w:tcPr>
          <w:p w14:paraId="1F6F127A" w14:textId="77777777" w:rsidR="00893AFF" w:rsidRPr="00AB4317" w:rsidRDefault="00893AFF" w:rsidP="0079309C">
            <w:pPr>
              <w:rPr>
                <w:rFonts w:ascii="Arial" w:hAnsi="Arial" w:cs="Arial"/>
                <w:sz w:val="22"/>
                <w:szCs w:val="22"/>
              </w:rPr>
            </w:pPr>
            <w:proofErr w:type="spellStart"/>
            <w:r>
              <w:rPr>
                <w:rFonts w:ascii="Arial" w:hAnsi="Arial" w:cs="Arial"/>
                <w:sz w:val="22"/>
                <w:szCs w:val="22"/>
              </w:rPr>
              <w:t>Ojkanje</w:t>
            </w:r>
            <w:proofErr w:type="spellEnd"/>
            <w:r>
              <w:rPr>
                <w:rFonts w:ascii="Arial" w:hAnsi="Arial" w:cs="Arial"/>
                <w:sz w:val="22"/>
                <w:szCs w:val="22"/>
              </w:rPr>
              <w:t xml:space="preserve"> singing</w:t>
            </w:r>
          </w:p>
        </w:tc>
        <w:tc>
          <w:tcPr>
            <w:tcW w:w="2126" w:type="dxa"/>
          </w:tcPr>
          <w:p w14:paraId="0324A56B" w14:textId="77777777" w:rsidR="00893AFF" w:rsidRPr="00AB4317" w:rsidRDefault="00893AFF" w:rsidP="0079309C">
            <w:pPr>
              <w:rPr>
                <w:rFonts w:ascii="Arial" w:hAnsi="Arial" w:cs="Arial"/>
                <w:sz w:val="22"/>
                <w:szCs w:val="22"/>
              </w:rPr>
            </w:pPr>
            <w:r>
              <w:rPr>
                <w:rFonts w:ascii="Arial" w:hAnsi="Arial" w:cs="Arial"/>
                <w:sz w:val="22"/>
                <w:szCs w:val="22"/>
              </w:rPr>
              <w:t>Urgent Safeguarding List (2010)</w:t>
            </w:r>
          </w:p>
        </w:tc>
        <w:tc>
          <w:tcPr>
            <w:tcW w:w="3118" w:type="dxa"/>
          </w:tcPr>
          <w:p w14:paraId="5B8FC3E8" w14:textId="77777777" w:rsidR="00893AFF" w:rsidRPr="00AB4317" w:rsidRDefault="00893AFF" w:rsidP="0079309C">
            <w:pPr>
              <w:rPr>
                <w:rFonts w:ascii="Arial" w:hAnsi="Arial" w:cs="Arial"/>
                <w:sz w:val="22"/>
                <w:szCs w:val="22"/>
              </w:rPr>
            </w:pPr>
            <w:r>
              <w:rPr>
                <w:rFonts w:ascii="Arial" w:hAnsi="Arial" w:cs="Arial"/>
                <w:sz w:val="22"/>
                <w:szCs w:val="22"/>
              </w:rPr>
              <w:t>Civil society and community members</w:t>
            </w:r>
          </w:p>
        </w:tc>
      </w:tr>
      <w:tr w:rsidR="00893AFF" w:rsidRPr="00AB4317" w14:paraId="6F636344" w14:textId="77777777" w:rsidTr="009228DD">
        <w:tc>
          <w:tcPr>
            <w:tcW w:w="1560" w:type="dxa"/>
            <w:shd w:val="clear" w:color="auto" w:fill="auto"/>
          </w:tcPr>
          <w:p w14:paraId="12CEC89A" w14:textId="77777777" w:rsidR="00893AFF" w:rsidRPr="00AB4317" w:rsidRDefault="00893AFF" w:rsidP="0079309C">
            <w:pPr>
              <w:rPr>
                <w:rFonts w:ascii="Arial" w:hAnsi="Arial" w:cs="Arial"/>
                <w:sz w:val="22"/>
                <w:szCs w:val="22"/>
              </w:rPr>
            </w:pPr>
            <w:r w:rsidRPr="00AB4317">
              <w:rPr>
                <w:rFonts w:ascii="Arial" w:hAnsi="Arial" w:cs="Arial"/>
                <w:sz w:val="22"/>
                <w:szCs w:val="22"/>
              </w:rPr>
              <w:t>Ecuador and Peru</w:t>
            </w:r>
          </w:p>
        </w:tc>
        <w:tc>
          <w:tcPr>
            <w:tcW w:w="2835" w:type="dxa"/>
            <w:shd w:val="clear" w:color="auto" w:fill="auto"/>
          </w:tcPr>
          <w:p w14:paraId="21F26F20" w14:textId="77777777" w:rsidR="00893AFF" w:rsidRPr="00AB4317" w:rsidRDefault="00893AFF" w:rsidP="0079309C">
            <w:pPr>
              <w:rPr>
                <w:rFonts w:ascii="Arial" w:hAnsi="Arial" w:cs="Arial"/>
                <w:sz w:val="22"/>
                <w:szCs w:val="22"/>
              </w:rPr>
            </w:pPr>
            <w:r w:rsidRPr="00AB4317">
              <w:rPr>
                <w:rFonts w:ascii="Arial" w:hAnsi="Arial" w:cs="Arial"/>
                <w:sz w:val="22"/>
                <w:szCs w:val="22"/>
              </w:rPr>
              <w:t xml:space="preserve">Oral heritage and cultural manifestations of the </w:t>
            </w:r>
            <w:proofErr w:type="spellStart"/>
            <w:r w:rsidRPr="00AB4317">
              <w:rPr>
                <w:rFonts w:ascii="Arial" w:hAnsi="Arial" w:cs="Arial"/>
                <w:sz w:val="22"/>
                <w:szCs w:val="22"/>
              </w:rPr>
              <w:t>Zápara</w:t>
            </w:r>
            <w:proofErr w:type="spellEnd"/>
            <w:r w:rsidRPr="00AB4317">
              <w:rPr>
                <w:rFonts w:ascii="Arial" w:hAnsi="Arial" w:cs="Arial"/>
                <w:sz w:val="22"/>
                <w:szCs w:val="22"/>
              </w:rPr>
              <w:t xml:space="preserve"> people</w:t>
            </w:r>
          </w:p>
        </w:tc>
        <w:tc>
          <w:tcPr>
            <w:tcW w:w="2126" w:type="dxa"/>
            <w:shd w:val="clear" w:color="auto" w:fill="auto"/>
          </w:tcPr>
          <w:p w14:paraId="6C9DD46C" w14:textId="77777777" w:rsidR="00893AFF" w:rsidRPr="00AB4317" w:rsidRDefault="00893AFF" w:rsidP="0079309C">
            <w:pPr>
              <w:rPr>
                <w:rFonts w:ascii="Arial" w:hAnsi="Arial" w:cs="Arial"/>
                <w:sz w:val="22"/>
                <w:szCs w:val="22"/>
              </w:rPr>
            </w:pPr>
            <w:r w:rsidRPr="00AB4317">
              <w:rPr>
                <w:rFonts w:ascii="Arial" w:hAnsi="Arial" w:cs="Arial"/>
                <w:sz w:val="22"/>
                <w:szCs w:val="22"/>
              </w:rPr>
              <w:t>Representative List (2008)</w:t>
            </w:r>
          </w:p>
        </w:tc>
        <w:tc>
          <w:tcPr>
            <w:tcW w:w="3118" w:type="dxa"/>
            <w:shd w:val="clear" w:color="auto" w:fill="auto"/>
          </w:tcPr>
          <w:p w14:paraId="3FC887F9" w14:textId="77777777" w:rsidR="00893AFF" w:rsidRPr="00AB4317" w:rsidRDefault="00893AFF" w:rsidP="0079309C">
            <w:pPr>
              <w:rPr>
                <w:rFonts w:ascii="Arial" w:hAnsi="Arial" w:cs="Arial"/>
                <w:sz w:val="22"/>
                <w:szCs w:val="22"/>
              </w:rPr>
            </w:pPr>
            <w:r w:rsidRPr="00AB4317">
              <w:rPr>
                <w:rFonts w:ascii="Arial" w:hAnsi="Arial" w:cs="Arial"/>
                <w:sz w:val="22"/>
                <w:szCs w:val="22"/>
              </w:rPr>
              <w:t>Community members</w:t>
            </w:r>
          </w:p>
        </w:tc>
      </w:tr>
      <w:tr w:rsidR="00893AFF" w:rsidRPr="00AB4317" w14:paraId="0EC964B3" w14:textId="77777777" w:rsidTr="009228DD">
        <w:tc>
          <w:tcPr>
            <w:tcW w:w="1560" w:type="dxa"/>
            <w:shd w:val="clear" w:color="auto" w:fill="auto"/>
          </w:tcPr>
          <w:p w14:paraId="2D29BEB8" w14:textId="77777777" w:rsidR="00893AFF" w:rsidRPr="00890F4D" w:rsidRDefault="00893AFF" w:rsidP="0079309C">
            <w:pPr>
              <w:rPr>
                <w:rFonts w:ascii="Arial" w:hAnsi="Arial" w:cs="Arial"/>
                <w:sz w:val="22"/>
                <w:szCs w:val="22"/>
              </w:rPr>
            </w:pPr>
            <w:r w:rsidRPr="00890F4D">
              <w:rPr>
                <w:rFonts w:ascii="Arial" w:hAnsi="Arial" w:cs="Arial"/>
                <w:sz w:val="22"/>
                <w:szCs w:val="22"/>
              </w:rPr>
              <w:t>Mexico</w:t>
            </w:r>
          </w:p>
        </w:tc>
        <w:tc>
          <w:tcPr>
            <w:tcW w:w="2835" w:type="dxa"/>
            <w:shd w:val="clear" w:color="auto" w:fill="auto"/>
          </w:tcPr>
          <w:p w14:paraId="35866AF7" w14:textId="77777777" w:rsidR="00893AFF" w:rsidRPr="00890F4D" w:rsidRDefault="00893AFF" w:rsidP="0079309C">
            <w:pPr>
              <w:rPr>
                <w:rFonts w:ascii="Arial" w:hAnsi="Arial" w:cs="Arial"/>
                <w:sz w:val="22"/>
                <w:szCs w:val="22"/>
              </w:rPr>
            </w:pPr>
            <w:r w:rsidRPr="00890F4D">
              <w:rPr>
                <w:rFonts w:ascii="Arial" w:hAnsi="Arial" w:cs="Arial"/>
                <w:sz w:val="22"/>
                <w:szCs w:val="22"/>
              </w:rPr>
              <w:t>Indigenous festivity dedicated to the dead</w:t>
            </w:r>
          </w:p>
        </w:tc>
        <w:tc>
          <w:tcPr>
            <w:tcW w:w="2126" w:type="dxa"/>
            <w:shd w:val="clear" w:color="auto" w:fill="auto"/>
          </w:tcPr>
          <w:p w14:paraId="00C26292" w14:textId="77777777" w:rsidR="00893AFF" w:rsidRPr="00890F4D" w:rsidRDefault="00893AFF" w:rsidP="0079309C">
            <w:pPr>
              <w:rPr>
                <w:rFonts w:ascii="Arial" w:hAnsi="Arial" w:cs="Arial"/>
                <w:sz w:val="22"/>
                <w:szCs w:val="22"/>
              </w:rPr>
            </w:pPr>
            <w:r w:rsidRPr="00890F4D">
              <w:rPr>
                <w:rFonts w:ascii="Arial" w:hAnsi="Arial" w:cs="Arial"/>
                <w:sz w:val="22"/>
                <w:szCs w:val="22"/>
              </w:rPr>
              <w:t>Representative List (2008)</w:t>
            </w:r>
          </w:p>
        </w:tc>
        <w:tc>
          <w:tcPr>
            <w:tcW w:w="3118" w:type="dxa"/>
            <w:shd w:val="clear" w:color="auto" w:fill="auto"/>
          </w:tcPr>
          <w:p w14:paraId="51EEEC22" w14:textId="77777777" w:rsidR="00893AFF" w:rsidRPr="00AB4317" w:rsidRDefault="00893AFF" w:rsidP="0079309C">
            <w:pPr>
              <w:rPr>
                <w:rFonts w:ascii="Arial" w:hAnsi="Arial" w:cs="Arial"/>
                <w:sz w:val="22"/>
                <w:szCs w:val="22"/>
              </w:rPr>
            </w:pPr>
            <w:r w:rsidRPr="00890F4D">
              <w:rPr>
                <w:rFonts w:ascii="Arial" w:hAnsi="Arial" w:cs="Arial"/>
                <w:sz w:val="22"/>
                <w:szCs w:val="22"/>
              </w:rPr>
              <w:t>Community members</w:t>
            </w:r>
          </w:p>
        </w:tc>
      </w:tr>
      <w:tr w:rsidR="00893AFF" w:rsidRPr="009A3809" w14:paraId="61FF1726" w14:textId="77777777" w:rsidTr="009228DD">
        <w:tc>
          <w:tcPr>
            <w:tcW w:w="1560" w:type="dxa"/>
            <w:shd w:val="clear" w:color="auto" w:fill="auto"/>
          </w:tcPr>
          <w:p w14:paraId="5F28F2B4" w14:textId="77777777" w:rsidR="00893AFF" w:rsidRPr="00AB4317" w:rsidRDefault="00893AFF" w:rsidP="0079309C">
            <w:pPr>
              <w:rPr>
                <w:rFonts w:ascii="Arial" w:hAnsi="Arial" w:cs="Arial"/>
                <w:sz w:val="22"/>
                <w:szCs w:val="22"/>
              </w:rPr>
            </w:pPr>
            <w:r w:rsidRPr="00AB4317">
              <w:rPr>
                <w:rFonts w:ascii="Arial" w:hAnsi="Arial" w:cs="Arial"/>
                <w:sz w:val="22"/>
                <w:szCs w:val="22"/>
              </w:rPr>
              <w:t>Mexico</w:t>
            </w:r>
          </w:p>
        </w:tc>
        <w:tc>
          <w:tcPr>
            <w:tcW w:w="2835" w:type="dxa"/>
            <w:shd w:val="clear" w:color="auto" w:fill="auto"/>
          </w:tcPr>
          <w:p w14:paraId="40F3CEC3" w14:textId="77777777" w:rsidR="00893AFF" w:rsidRPr="00AB4317" w:rsidRDefault="00893AFF" w:rsidP="0079309C">
            <w:pPr>
              <w:rPr>
                <w:rFonts w:ascii="Arial" w:hAnsi="Arial" w:cs="Arial"/>
                <w:sz w:val="22"/>
                <w:szCs w:val="22"/>
              </w:rPr>
            </w:pPr>
            <w:proofErr w:type="spellStart"/>
            <w:r w:rsidRPr="00AB4317">
              <w:rPr>
                <w:rFonts w:ascii="Arial" w:hAnsi="Arial" w:cs="Arial"/>
                <w:sz w:val="22"/>
                <w:szCs w:val="22"/>
              </w:rPr>
              <w:t>Pirekua</w:t>
            </w:r>
            <w:proofErr w:type="spellEnd"/>
            <w:r w:rsidRPr="00AB4317">
              <w:rPr>
                <w:rFonts w:ascii="Arial" w:hAnsi="Arial" w:cs="Arial"/>
                <w:sz w:val="22"/>
                <w:szCs w:val="22"/>
              </w:rPr>
              <w:t xml:space="preserve">, traditional song of the </w:t>
            </w:r>
            <w:proofErr w:type="spellStart"/>
            <w:r w:rsidRPr="00AB4317">
              <w:rPr>
                <w:rFonts w:ascii="Arial" w:hAnsi="Arial" w:cs="Arial"/>
                <w:sz w:val="22"/>
                <w:szCs w:val="22"/>
              </w:rPr>
              <w:t>P’urhépecha</w:t>
            </w:r>
            <w:proofErr w:type="spellEnd"/>
          </w:p>
        </w:tc>
        <w:tc>
          <w:tcPr>
            <w:tcW w:w="2126" w:type="dxa"/>
            <w:shd w:val="clear" w:color="auto" w:fill="auto"/>
          </w:tcPr>
          <w:p w14:paraId="644FF3D7" w14:textId="77777777" w:rsidR="00893AFF" w:rsidRPr="00AB4317" w:rsidRDefault="00893AFF" w:rsidP="0079309C">
            <w:pPr>
              <w:rPr>
                <w:rFonts w:ascii="Arial" w:hAnsi="Arial" w:cs="Arial"/>
                <w:sz w:val="22"/>
                <w:szCs w:val="22"/>
              </w:rPr>
            </w:pPr>
            <w:r w:rsidRPr="00AB4317">
              <w:rPr>
                <w:rFonts w:ascii="Arial" w:hAnsi="Arial" w:cs="Arial"/>
                <w:sz w:val="22"/>
                <w:szCs w:val="22"/>
              </w:rPr>
              <w:t>Representative List (2010)</w:t>
            </w:r>
          </w:p>
        </w:tc>
        <w:tc>
          <w:tcPr>
            <w:tcW w:w="3118" w:type="dxa"/>
            <w:shd w:val="clear" w:color="auto" w:fill="auto"/>
          </w:tcPr>
          <w:p w14:paraId="46285533" w14:textId="77777777" w:rsidR="00893AFF" w:rsidRPr="00AB4317" w:rsidRDefault="00893AFF" w:rsidP="0079309C">
            <w:pPr>
              <w:rPr>
                <w:rFonts w:ascii="Arial" w:hAnsi="Arial" w:cs="Arial"/>
                <w:sz w:val="22"/>
                <w:szCs w:val="22"/>
              </w:rPr>
            </w:pPr>
            <w:r w:rsidRPr="00AB4317">
              <w:rPr>
                <w:rFonts w:ascii="Arial" w:hAnsi="Arial" w:cs="Arial"/>
                <w:sz w:val="22"/>
                <w:szCs w:val="22"/>
              </w:rPr>
              <w:t>Community members and non-governmental organizations (not accredited to the Convention)</w:t>
            </w:r>
          </w:p>
        </w:tc>
      </w:tr>
      <w:tr w:rsidR="00893AFF" w:rsidRPr="00AB4317" w14:paraId="4E46C0DF" w14:textId="77777777" w:rsidTr="009228DD">
        <w:tc>
          <w:tcPr>
            <w:tcW w:w="1560" w:type="dxa"/>
            <w:shd w:val="clear" w:color="auto" w:fill="auto"/>
          </w:tcPr>
          <w:p w14:paraId="1227F841" w14:textId="77777777" w:rsidR="00893AFF" w:rsidRPr="00AB4317" w:rsidRDefault="00893AFF" w:rsidP="0079309C">
            <w:pPr>
              <w:rPr>
                <w:rFonts w:ascii="Arial" w:hAnsi="Arial" w:cs="Arial"/>
                <w:sz w:val="22"/>
                <w:szCs w:val="22"/>
              </w:rPr>
            </w:pPr>
            <w:r w:rsidRPr="00AB4317">
              <w:rPr>
                <w:rFonts w:ascii="Arial" w:hAnsi="Arial" w:cs="Arial"/>
                <w:sz w:val="22"/>
                <w:szCs w:val="22"/>
              </w:rPr>
              <w:t>Morocco</w:t>
            </w:r>
          </w:p>
        </w:tc>
        <w:tc>
          <w:tcPr>
            <w:tcW w:w="2835" w:type="dxa"/>
            <w:shd w:val="clear" w:color="auto" w:fill="auto"/>
          </w:tcPr>
          <w:p w14:paraId="226B9B39" w14:textId="77777777" w:rsidR="00893AFF" w:rsidRPr="00AB4317" w:rsidRDefault="00893AFF" w:rsidP="0079309C">
            <w:pPr>
              <w:rPr>
                <w:rFonts w:ascii="Arial" w:hAnsi="Arial" w:cs="Arial"/>
                <w:sz w:val="22"/>
                <w:szCs w:val="22"/>
              </w:rPr>
            </w:pPr>
            <w:r w:rsidRPr="00AB4317">
              <w:rPr>
                <w:rFonts w:ascii="Arial" w:hAnsi="Arial" w:cs="Arial"/>
                <w:sz w:val="22"/>
                <w:szCs w:val="22"/>
              </w:rPr>
              <w:t xml:space="preserve">Cultural space of </w:t>
            </w:r>
            <w:proofErr w:type="spellStart"/>
            <w:r w:rsidRPr="00AB4317">
              <w:rPr>
                <w:rFonts w:ascii="Arial" w:hAnsi="Arial" w:cs="Arial"/>
                <w:sz w:val="22"/>
                <w:szCs w:val="22"/>
              </w:rPr>
              <w:t>Jemaa</w:t>
            </w:r>
            <w:proofErr w:type="spellEnd"/>
            <w:r w:rsidRPr="00AB4317">
              <w:rPr>
                <w:rFonts w:ascii="Arial" w:hAnsi="Arial" w:cs="Arial"/>
                <w:sz w:val="22"/>
                <w:szCs w:val="22"/>
              </w:rPr>
              <w:t xml:space="preserve"> el-</w:t>
            </w:r>
            <w:proofErr w:type="spellStart"/>
            <w:r w:rsidRPr="00AB4317">
              <w:rPr>
                <w:rFonts w:ascii="Arial" w:hAnsi="Arial" w:cs="Arial"/>
                <w:sz w:val="22"/>
                <w:szCs w:val="22"/>
              </w:rPr>
              <w:t>Fna</w:t>
            </w:r>
            <w:proofErr w:type="spellEnd"/>
            <w:r w:rsidRPr="00AB4317">
              <w:rPr>
                <w:rFonts w:ascii="Arial" w:hAnsi="Arial" w:cs="Arial"/>
                <w:sz w:val="22"/>
                <w:szCs w:val="22"/>
              </w:rPr>
              <w:t xml:space="preserve"> Square</w:t>
            </w:r>
          </w:p>
        </w:tc>
        <w:tc>
          <w:tcPr>
            <w:tcW w:w="2126" w:type="dxa"/>
            <w:shd w:val="clear" w:color="auto" w:fill="auto"/>
          </w:tcPr>
          <w:p w14:paraId="152EA9BC" w14:textId="77777777" w:rsidR="00893AFF" w:rsidRPr="00AB4317" w:rsidRDefault="00893AFF" w:rsidP="0079309C">
            <w:pPr>
              <w:rPr>
                <w:rFonts w:ascii="Arial" w:hAnsi="Arial" w:cs="Arial"/>
                <w:sz w:val="22"/>
                <w:szCs w:val="22"/>
              </w:rPr>
            </w:pPr>
            <w:r w:rsidRPr="00AB4317">
              <w:rPr>
                <w:rFonts w:ascii="Arial" w:hAnsi="Arial" w:cs="Arial"/>
                <w:sz w:val="22"/>
                <w:szCs w:val="22"/>
              </w:rPr>
              <w:t>Representative List (2008)</w:t>
            </w:r>
          </w:p>
        </w:tc>
        <w:tc>
          <w:tcPr>
            <w:tcW w:w="3118" w:type="dxa"/>
            <w:shd w:val="clear" w:color="auto" w:fill="auto"/>
          </w:tcPr>
          <w:p w14:paraId="3579B21F" w14:textId="3F368401" w:rsidR="00893AFF" w:rsidRPr="00AB4317" w:rsidRDefault="00893AFF" w:rsidP="0079309C">
            <w:pPr>
              <w:rPr>
                <w:rFonts w:ascii="Arial" w:hAnsi="Arial" w:cs="Arial"/>
                <w:sz w:val="22"/>
                <w:szCs w:val="22"/>
              </w:rPr>
            </w:pPr>
            <w:r w:rsidRPr="00AB4317">
              <w:rPr>
                <w:rFonts w:ascii="Arial" w:hAnsi="Arial" w:cs="Arial"/>
                <w:sz w:val="22"/>
                <w:szCs w:val="22"/>
              </w:rPr>
              <w:t>Individuals</w:t>
            </w:r>
            <w:r w:rsidR="00A17A3C">
              <w:rPr>
                <w:rFonts w:ascii="Arial" w:hAnsi="Arial" w:cs="Arial"/>
                <w:sz w:val="22"/>
                <w:szCs w:val="22"/>
              </w:rPr>
              <w:t xml:space="preserve"> (outside of the community)</w:t>
            </w:r>
          </w:p>
        </w:tc>
      </w:tr>
      <w:tr w:rsidR="00893AFF" w:rsidRPr="00AB4317" w14:paraId="29FA49C0" w14:textId="77777777" w:rsidTr="009228DD">
        <w:tc>
          <w:tcPr>
            <w:tcW w:w="1560" w:type="dxa"/>
            <w:shd w:val="clear" w:color="auto" w:fill="auto"/>
          </w:tcPr>
          <w:p w14:paraId="0955C628" w14:textId="77777777" w:rsidR="00893AFF" w:rsidRPr="00AB4317" w:rsidRDefault="00893AFF" w:rsidP="0079309C">
            <w:pPr>
              <w:rPr>
                <w:rFonts w:ascii="Arial" w:hAnsi="Arial" w:cs="Arial"/>
                <w:sz w:val="22"/>
                <w:szCs w:val="22"/>
              </w:rPr>
            </w:pPr>
            <w:r>
              <w:rPr>
                <w:rFonts w:ascii="Arial" w:hAnsi="Arial" w:cs="Arial"/>
                <w:sz w:val="22"/>
                <w:szCs w:val="22"/>
              </w:rPr>
              <w:t>Spain</w:t>
            </w:r>
          </w:p>
        </w:tc>
        <w:tc>
          <w:tcPr>
            <w:tcW w:w="2835" w:type="dxa"/>
            <w:shd w:val="clear" w:color="auto" w:fill="auto"/>
          </w:tcPr>
          <w:p w14:paraId="3A9FB031" w14:textId="77777777" w:rsidR="00893AFF" w:rsidRPr="00AB4317" w:rsidRDefault="00893AFF" w:rsidP="0079309C">
            <w:pPr>
              <w:rPr>
                <w:rFonts w:ascii="Arial" w:hAnsi="Arial" w:cs="Arial"/>
                <w:sz w:val="22"/>
                <w:szCs w:val="22"/>
              </w:rPr>
            </w:pPr>
            <w:r w:rsidRPr="009B1E44">
              <w:rPr>
                <w:rFonts w:ascii="Arial" w:hAnsi="Arial" w:cs="Arial"/>
                <w:sz w:val="22"/>
                <w:szCs w:val="22"/>
              </w:rPr>
              <w:t>Mystery play of Elche</w:t>
            </w:r>
          </w:p>
        </w:tc>
        <w:tc>
          <w:tcPr>
            <w:tcW w:w="2126" w:type="dxa"/>
            <w:shd w:val="clear" w:color="auto" w:fill="auto"/>
          </w:tcPr>
          <w:p w14:paraId="1B372277" w14:textId="77777777" w:rsidR="00893AFF" w:rsidRPr="00AB4317" w:rsidRDefault="00893AFF" w:rsidP="0079309C">
            <w:pPr>
              <w:rPr>
                <w:rFonts w:ascii="Arial" w:hAnsi="Arial" w:cs="Arial"/>
                <w:sz w:val="22"/>
                <w:szCs w:val="22"/>
              </w:rPr>
            </w:pPr>
            <w:r w:rsidRPr="00AB4317">
              <w:rPr>
                <w:rFonts w:ascii="Arial" w:hAnsi="Arial" w:cs="Arial"/>
                <w:sz w:val="22"/>
                <w:szCs w:val="22"/>
              </w:rPr>
              <w:t>Representative List (2008)</w:t>
            </w:r>
          </w:p>
        </w:tc>
        <w:tc>
          <w:tcPr>
            <w:tcW w:w="3118" w:type="dxa"/>
            <w:shd w:val="clear" w:color="auto" w:fill="auto"/>
          </w:tcPr>
          <w:p w14:paraId="7256976F" w14:textId="77777777" w:rsidR="00893AFF" w:rsidRPr="00AB4317" w:rsidRDefault="00893AFF" w:rsidP="0079309C">
            <w:pPr>
              <w:rPr>
                <w:rFonts w:ascii="Arial" w:hAnsi="Arial" w:cs="Arial"/>
                <w:sz w:val="22"/>
                <w:szCs w:val="22"/>
              </w:rPr>
            </w:pPr>
            <w:r>
              <w:rPr>
                <w:rFonts w:ascii="Arial" w:hAnsi="Arial" w:cs="Arial"/>
                <w:sz w:val="22"/>
                <w:szCs w:val="22"/>
              </w:rPr>
              <w:t>Community members</w:t>
            </w:r>
          </w:p>
        </w:tc>
      </w:tr>
      <w:tr w:rsidR="00893AFF" w:rsidRPr="00AB4317" w14:paraId="058E2027" w14:textId="77777777" w:rsidTr="008D11C7">
        <w:tc>
          <w:tcPr>
            <w:tcW w:w="1560" w:type="dxa"/>
          </w:tcPr>
          <w:p w14:paraId="01EC1CBA" w14:textId="77777777" w:rsidR="00893AFF" w:rsidRPr="00AB4317" w:rsidRDefault="00893AFF" w:rsidP="0079309C">
            <w:pPr>
              <w:rPr>
                <w:rFonts w:ascii="Arial" w:hAnsi="Arial" w:cs="Arial"/>
                <w:sz w:val="22"/>
                <w:szCs w:val="22"/>
              </w:rPr>
            </w:pPr>
            <w:r>
              <w:rPr>
                <w:rFonts w:ascii="Arial" w:hAnsi="Arial" w:cs="Arial"/>
                <w:sz w:val="22"/>
                <w:szCs w:val="22"/>
              </w:rPr>
              <w:t>Switzerland</w:t>
            </w:r>
          </w:p>
        </w:tc>
        <w:tc>
          <w:tcPr>
            <w:tcW w:w="2835" w:type="dxa"/>
          </w:tcPr>
          <w:p w14:paraId="5A16B41B" w14:textId="77777777" w:rsidR="00893AFF" w:rsidRPr="00AB4317" w:rsidRDefault="00893AFF" w:rsidP="0079309C">
            <w:pPr>
              <w:rPr>
                <w:rFonts w:ascii="Arial" w:hAnsi="Arial" w:cs="Arial"/>
                <w:sz w:val="22"/>
                <w:szCs w:val="22"/>
              </w:rPr>
            </w:pPr>
            <w:r>
              <w:rPr>
                <w:rFonts w:ascii="Arial" w:hAnsi="Arial" w:cs="Arial"/>
                <w:sz w:val="22"/>
                <w:szCs w:val="22"/>
              </w:rPr>
              <w:t>Basel Carnival</w:t>
            </w:r>
          </w:p>
        </w:tc>
        <w:tc>
          <w:tcPr>
            <w:tcW w:w="2126" w:type="dxa"/>
          </w:tcPr>
          <w:p w14:paraId="340853EB" w14:textId="77777777" w:rsidR="00893AFF" w:rsidRPr="00AB4317" w:rsidRDefault="00893AFF" w:rsidP="0079309C">
            <w:pPr>
              <w:rPr>
                <w:rFonts w:ascii="Arial" w:hAnsi="Arial" w:cs="Arial"/>
                <w:sz w:val="22"/>
                <w:szCs w:val="22"/>
              </w:rPr>
            </w:pPr>
            <w:r>
              <w:rPr>
                <w:rFonts w:ascii="Arial" w:hAnsi="Arial" w:cs="Arial"/>
                <w:sz w:val="22"/>
                <w:szCs w:val="22"/>
              </w:rPr>
              <w:t>Representative List (2017)</w:t>
            </w:r>
          </w:p>
        </w:tc>
        <w:tc>
          <w:tcPr>
            <w:tcW w:w="3118" w:type="dxa"/>
          </w:tcPr>
          <w:p w14:paraId="06B11188" w14:textId="77777777" w:rsidR="00893AFF" w:rsidRPr="00AB4317" w:rsidRDefault="00893AFF" w:rsidP="0079309C">
            <w:pPr>
              <w:rPr>
                <w:rFonts w:ascii="Arial" w:hAnsi="Arial" w:cs="Arial"/>
                <w:sz w:val="22"/>
                <w:szCs w:val="22"/>
              </w:rPr>
            </w:pPr>
            <w:r>
              <w:rPr>
                <w:rFonts w:ascii="Arial" w:hAnsi="Arial" w:cs="Arial"/>
                <w:sz w:val="22"/>
                <w:szCs w:val="22"/>
              </w:rPr>
              <w:t>Community member</w:t>
            </w:r>
          </w:p>
        </w:tc>
      </w:tr>
    </w:tbl>
    <w:p w14:paraId="74645440" w14:textId="75242E63" w:rsidR="00AB4317" w:rsidRPr="00E37707" w:rsidRDefault="00897F35" w:rsidP="00E37707">
      <w:pPr>
        <w:pStyle w:val="COMParaDecision"/>
        <w:numPr>
          <w:ilvl w:val="0"/>
          <w:numId w:val="0"/>
        </w:numPr>
        <w:spacing w:before="360"/>
        <w:rPr>
          <w:bCs/>
          <w:sz w:val="18"/>
          <w:szCs w:val="18"/>
        </w:rPr>
      </w:pPr>
      <w:r w:rsidRPr="00A518F9">
        <w:rPr>
          <w:b/>
          <w:sz w:val="18"/>
          <w:szCs w:val="18"/>
          <w:u w:val="none"/>
        </w:rPr>
        <w:t>Note</w:t>
      </w:r>
      <w:r w:rsidRPr="00A518F9">
        <w:rPr>
          <w:sz w:val="18"/>
          <w:szCs w:val="18"/>
          <w:u w:val="none"/>
        </w:rPr>
        <w:t>:</w:t>
      </w:r>
      <w:r w:rsidR="00176FC5" w:rsidRPr="00A518F9">
        <w:rPr>
          <w:sz w:val="18"/>
          <w:szCs w:val="18"/>
          <w:u w:val="none"/>
        </w:rPr>
        <w:t xml:space="preserve"> </w:t>
      </w:r>
      <w:r w:rsidR="00A518F9">
        <w:rPr>
          <w:sz w:val="18"/>
          <w:szCs w:val="18"/>
          <w:u w:val="none"/>
        </w:rPr>
        <w:t>F</w:t>
      </w:r>
      <w:r w:rsidRPr="00A518F9">
        <w:rPr>
          <w:sz w:val="18"/>
          <w:szCs w:val="18"/>
          <w:u w:val="none"/>
        </w:rPr>
        <w:t xml:space="preserve">our additional cases </w:t>
      </w:r>
      <w:proofErr w:type="gramStart"/>
      <w:r w:rsidRPr="00A518F9">
        <w:rPr>
          <w:sz w:val="18"/>
          <w:szCs w:val="18"/>
          <w:u w:val="none"/>
        </w:rPr>
        <w:t>have been brought</w:t>
      </w:r>
      <w:proofErr w:type="gramEnd"/>
      <w:r w:rsidRPr="00A518F9">
        <w:rPr>
          <w:sz w:val="18"/>
          <w:szCs w:val="18"/>
          <w:u w:val="none"/>
        </w:rPr>
        <w:t xml:space="preserve"> to the attention of the Secretariat and are covered in the present document. </w:t>
      </w:r>
      <w:r w:rsidR="005B30B0" w:rsidRPr="00A518F9">
        <w:rPr>
          <w:sz w:val="18"/>
          <w:szCs w:val="18"/>
          <w:u w:val="none"/>
        </w:rPr>
        <w:t>However, i</w:t>
      </w:r>
      <w:r w:rsidRPr="00A518F9">
        <w:rPr>
          <w:sz w:val="18"/>
          <w:szCs w:val="18"/>
          <w:u w:val="none"/>
        </w:rPr>
        <w:t xml:space="preserve">n the absence of specific correspondence received, no letter </w:t>
      </w:r>
      <w:proofErr w:type="gramStart"/>
      <w:r w:rsidR="005B30B0" w:rsidRPr="00A518F9">
        <w:rPr>
          <w:sz w:val="18"/>
          <w:szCs w:val="18"/>
          <w:u w:val="none"/>
        </w:rPr>
        <w:t>could be</w:t>
      </w:r>
      <w:r w:rsidRPr="00A518F9">
        <w:rPr>
          <w:sz w:val="18"/>
          <w:szCs w:val="18"/>
          <w:u w:val="none"/>
        </w:rPr>
        <w:t xml:space="preserve"> forwarded</w:t>
      </w:r>
      <w:proofErr w:type="gramEnd"/>
      <w:r w:rsidRPr="00A518F9">
        <w:rPr>
          <w:sz w:val="18"/>
          <w:szCs w:val="18"/>
          <w:u w:val="none"/>
        </w:rPr>
        <w:t xml:space="preserve"> to the State Party concerned</w:t>
      </w:r>
      <w:r w:rsidR="005B30B0" w:rsidRPr="00A518F9">
        <w:rPr>
          <w:sz w:val="18"/>
          <w:szCs w:val="18"/>
          <w:u w:val="none"/>
        </w:rPr>
        <w:t>. These cases are therefore not included in the table</w:t>
      </w:r>
      <w:r w:rsidR="00A17A3C" w:rsidRPr="00A518F9">
        <w:rPr>
          <w:sz w:val="18"/>
          <w:szCs w:val="18"/>
          <w:u w:val="none"/>
        </w:rPr>
        <w:t xml:space="preserve"> above</w:t>
      </w:r>
      <w:r w:rsidR="00112F48" w:rsidRPr="00A518F9">
        <w:rPr>
          <w:sz w:val="18"/>
          <w:szCs w:val="18"/>
          <w:u w:val="none"/>
        </w:rPr>
        <w:t>.</w:t>
      </w:r>
    </w:p>
    <w:sectPr w:rsidR="00AB4317" w:rsidRPr="00E37707" w:rsidSect="00112F48">
      <w:headerReference w:type="even" r:id="rId22"/>
      <w:headerReference w:type="default" r:id="rId23"/>
      <w:headerReference w:type="first" r:id="rId24"/>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0C1858" w16cid:durableId="1F53D5DD"/>
  <w16cid:commentId w16cid:paraId="1DA7EFAC" w16cid:durableId="1F53D5DE"/>
  <w16cid:commentId w16cid:paraId="777AC053" w16cid:durableId="1F53D5DF"/>
  <w16cid:commentId w16cid:paraId="17C741B9" w16cid:durableId="1F53D5E0"/>
  <w16cid:commentId w16cid:paraId="636140DC" w16cid:durableId="1F53D5E1"/>
  <w16cid:commentId w16cid:paraId="3E1150AF" w16cid:durableId="1F53D5E2"/>
  <w16cid:commentId w16cid:paraId="1DF8F21B" w16cid:durableId="1F53D5E3"/>
  <w16cid:commentId w16cid:paraId="2824FB70" w16cid:durableId="1F53D5E4"/>
  <w16cid:commentId w16cid:paraId="42531CA7" w16cid:durableId="1F6466B4"/>
  <w16cid:commentId w16cid:paraId="5CB0CE99" w16cid:durableId="1F6466B5"/>
  <w16cid:commentId w16cid:paraId="3DBD7161" w16cid:durableId="1F6466B6"/>
  <w16cid:commentId w16cid:paraId="2451F002" w16cid:durableId="1F6B3336"/>
  <w16cid:commentId w16cid:paraId="5EBB4B21" w16cid:durableId="1F6EDECA"/>
  <w16cid:commentId w16cid:paraId="7528C490" w16cid:durableId="1F6B3337"/>
  <w16cid:commentId w16cid:paraId="187C7348" w16cid:durableId="1F6EE2BB"/>
  <w16cid:commentId w16cid:paraId="49A6A6BF" w16cid:durableId="1F6EE3F4"/>
  <w16cid:commentId w16cid:paraId="22EE2D5C" w16cid:durableId="1F6EE3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00319" w14:textId="77777777" w:rsidR="00112F48" w:rsidRDefault="00112F48" w:rsidP="00655736">
      <w:r>
        <w:separator/>
      </w:r>
    </w:p>
  </w:endnote>
  <w:endnote w:type="continuationSeparator" w:id="0">
    <w:p w14:paraId="4B6F57AC" w14:textId="77777777" w:rsidR="00112F48" w:rsidRDefault="00112F48" w:rsidP="00655736">
      <w:r>
        <w:continuationSeparator/>
      </w:r>
    </w:p>
  </w:endnote>
  <w:endnote w:type="continuationNotice" w:id="1">
    <w:p w14:paraId="27E4BBF2" w14:textId="77777777" w:rsidR="00112F48" w:rsidRDefault="00112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B8A06" w14:textId="77777777" w:rsidR="00112F48" w:rsidRDefault="00112F48" w:rsidP="00655736">
      <w:r>
        <w:separator/>
      </w:r>
    </w:p>
  </w:footnote>
  <w:footnote w:type="continuationSeparator" w:id="0">
    <w:p w14:paraId="795EF0DC" w14:textId="77777777" w:rsidR="00112F48" w:rsidRDefault="00112F48" w:rsidP="00655736">
      <w:r>
        <w:continuationSeparator/>
      </w:r>
    </w:p>
  </w:footnote>
  <w:footnote w:type="continuationNotice" w:id="1">
    <w:p w14:paraId="73AB86ED" w14:textId="77777777" w:rsidR="00112F48" w:rsidRDefault="00112F48"/>
  </w:footnote>
  <w:footnote w:id="2">
    <w:p w14:paraId="3D8F86BC" w14:textId="08148A5F" w:rsidR="005A27DE" w:rsidRPr="00F47274" w:rsidRDefault="005A27DE" w:rsidP="00A518F9">
      <w:pPr>
        <w:pStyle w:val="FootnoteText"/>
        <w:ind w:left="567" w:hanging="567"/>
        <w:rPr>
          <w:rFonts w:ascii="Arial" w:hAnsi="Arial" w:cs="Arial"/>
          <w:sz w:val="18"/>
          <w:szCs w:val="18"/>
          <w:lang w:val="fr-CA"/>
        </w:rPr>
      </w:pPr>
      <w:r w:rsidRPr="00112F48">
        <w:rPr>
          <w:rStyle w:val="FootnoteReference"/>
          <w:rFonts w:ascii="Arial" w:hAnsi="Arial"/>
          <w:sz w:val="18"/>
          <w:vertAlign w:val="baseline"/>
        </w:rPr>
        <w:footnoteRef/>
      </w:r>
      <w:r w:rsidR="0051798E">
        <w:rPr>
          <w:rFonts w:ascii="Arial" w:hAnsi="Arial" w:cs="Arial"/>
          <w:sz w:val="18"/>
          <w:szCs w:val="18"/>
        </w:rPr>
        <w:t>.</w:t>
      </w:r>
      <w:r w:rsidR="0051798E" w:rsidRPr="008B4CE8">
        <w:rPr>
          <w:rFonts w:ascii="Arial" w:hAnsi="Arial" w:cs="Arial"/>
          <w:sz w:val="18"/>
          <w:szCs w:val="18"/>
        </w:rPr>
        <w:t xml:space="preserve"> </w:t>
      </w:r>
      <w:r w:rsidR="0051798E">
        <w:rPr>
          <w:rFonts w:ascii="Arial" w:hAnsi="Arial" w:cs="Arial"/>
          <w:sz w:val="18"/>
          <w:szCs w:val="18"/>
        </w:rPr>
        <w:tab/>
      </w:r>
      <w:hyperlink r:id="rId1" w:history="1">
        <w:r w:rsidRPr="00F47274">
          <w:rPr>
            <w:rStyle w:val="Hyperlink"/>
            <w:rFonts w:ascii="Arial" w:hAnsi="Arial" w:cs="Arial"/>
            <w:sz w:val="18"/>
            <w:szCs w:val="18"/>
          </w:rPr>
          <w:t>https://whc.unesco.org/en/reactive-monitoring/</w:t>
        </w:r>
      </w:hyperlink>
    </w:p>
  </w:footnote>
  <w:footnote w:id="3">
    <w:p w14:paraId="3567B0B1" w14:textId="18DF0F8E" w:rsidR="005A27DE" w:rsidRPr="008367E2" w:rsidRDefault="005A27DE" w:rsidP="0001151D">
      <w:pPr>
        <w:pStyle w:val="FootnoteText"/>
        <w:ind w:left="567" w:hanging="567"/>
        <w:rPr>
          <w:rFonts w:ascii="Arial" w:hAnsi="Arial" w:cs="Arial"/>
          <w:sz w:val="18"/>
          <w:szCs w:val="18"/>
        </w:rPr>
      </w:pPr>
      <w:r w:rsidRPr="00112F48">
        <w:rPr>
          <w:rStyle w:val="FootnoteReference"/>
          <w:rFonts w:ascii="Arial" w:hAnsi="Arial"/>
          <w:sz w:val="18"/>
          <w:vertAlign w:val="baseline"/>
        </w:rPr>
        <w:footnoteRef/>
      </w:r>
      <w:r w:rsidR="0051798E">
        <w:rPr>
          <w:rFonts w:ascii="Arial" w:hAnsi="Arial" w:cs="Arial"/>
          <w:sz w:val="18"/>
          <w:szCs w:val="18"/>
        </w:rPr>
        <w:t>.</w:t>
      </w:r>
      <w:r w:rsidR="0051798E" w:rsidRPr="008367E2">
        <w:rPr>
          <w:rFonts w:ascii="Arial" w:hAnsi="Arial" w:cs="Arial"/>
          <w:sz w:val="18"/>
          <w:szCs w:val="18"/>
        </w:rPr>
        <w:t xml:space="preserve"> </w:t>
      </w:r>
      <w:r w:rsidR="0051798E">
        <w:rPr>
          <w:rFonts w:ascii="Arial" w:hAnsi="Arial" w:cs="Arial"/>
          <w:sz w:val="18"/>
          <w:szCs w:val="18"/>
        </w:rPr>
        <w:tab/>
      </w:r>
      <w:hyperlink r:id="rId2" w:history="1">
        <w:r w:rsidRPr="004905C5">
          <w:rPr>
            <w:rStyle w:val="Hyperlink"/>
            <w:rFonts w:ascii="Arial" w:hAnsi="Arial" w:cs="Arial"/>
            <w:sz w:val="18"/>
            <w:szCs w:val="18"/>
          </w:rPr>
          <w:t>https://ich.unesco.org/en/ethics-and-ich-00866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7122" w14:textId="12A82A0F" w:rsidR="005A27DE" w:rsidRPr="00C23A97" w:rsidRDefault="005A27DE" w:rsidP="001D14FE">
    <w:pPr>
      <w:pStyle w:val="Header"/>
      <w:rPr>
        <w:rFonts w:ascii="Arial" w:hAnsi="Arial" w:cs="Arial"/>
        <w:lang w:val="en-GB"/>
      </w:rPr>
    </w:pPr>
    <w:r>
      <w:rPr>
        <w:rFonts w:ascii="Arial" w:hAnsi="Arial" w:cs="Arial"/>
        <w:sz w:val="20"/>
        <w:szCs w:val="20"/>
        <w:lang w:val="en-GB"/>
      </w:rPr>
      <w:t>ITH/18/13.COM</w:t>
    </w:r>
    <w:r w:rsidRPr="00C23A97">
      <w:rPr>
        <w:rFonts w:ascii="Arial" w:hAnsi="Arial" w:cs="Arial"/>
        <w:sz w:val="20"/>
        <w:szCs w:val="20"/>
        <w:lang w:val="en-GB"/>
      </w:rPr>
      <w:t>/</w:t>
    </w:r>
    <w:r>
      <w:rPr>
        <w:rFonts w:ascii="Arial" w:hAnsi="Arial" w:cs="Arial"/>
        <w:sz w:val="20"/>
        <w:szCs w:val="20"/>
        <w:lang w:val="en-GB"/>
      </w:rPr>
      <w:t>9</w:t>
    </w:r>
    <w:r w:rsidR="00276315">
      <w:rPr>
        <w:rFonts w:ascii="Arial" w:hAnsi="Arial" w:cs="Arial"/>
        <w:sz w:val="20"/>
        <w:szCs w:val="20"/>
        <w:lang w:val="en-GB"/>
      </w:rPr>
      <w:t xml:space="preserve"> </w:t>
    </w:r>
    <w:r w:rsidRPr="00C23A97">
      <w:rPr>
        <w:rFonts w:ascii="Arial" w:hAnsi="Arial" w:cs="Arial"/>
        <w:sz w:val="20"/>
        <w:szCs w:val="20"/>
        <w:lang w:val="en-GB"/>
      </w:rPr>
      <w:t xml:space="preserve">–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0E3008">
      <w:rPr>
        <w:rStyle w:val="PageNumber"/>
        <w:rFonts w:ascii="Arial" w:hAnsi="Arial" w:cs="Arial"/>
        <w:noProof/>
        <w:sz w:val="20"/>
        <w:szCs w:val="20"/>
        <w:lang w:val="en-GB"/>
      </w:rPr>
      <w:t>10</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6DD36" w14:textId="28CF8617" w:rsidR="005A27DE" w:rsidRPr="0063300C" w:rsidRDefault="005A27DE" w:rsidP="00112F48">
    <w:pPr>
      <w:pStyle w:val="Header"/>
      <w:tabs>
        <w:tab w:val="left" w:pos="3406"/>
        <w:tab w:val="right" w:pos="9638"/>
      </w:tabs>
      <w:jc w:val="right"/>
      <w:rPr>
        <w:rFonts w:ascii="Arial" w:hAnsi="Arial" w:cs="Arial"/>
        <w:lang w:val="en-GB"/>
      </w:rPr>
    </w:pPr>
    <w:r>
      <w:rPr>
        <w:rFonts w:ascii="Arial" w:hAnsi="Arial" w:cs="Arial"/>
        <w:sz w:val="20"/>
        <w:szCs w:val="20"/>
        <w:lang w:val="en-GB"/>
      </w:rPr>
      <w:t>ITH/18/13.COM</w:t>
    </w:r>
    <w:r w:rsidRPr="0063300C">
      <w:rPr>
        <w:rFonts w:ascii="Arial" w:hAnsi="Arial" w:cs="Arial"/>
        <w:sz w:val="20"/>
        <w:szCs w:val="20"/>
        <w:lang w:val="en-GB"/>
      </w:rPr>
      <w:t>/</w:t>
    </w:r>
    <w:r>
      <w:rPr>
        <w:rFonts w:ascii="Arial" w:hAnsi="Arial" w:cs="Arial"/>
        <w:sz w:val="20"/>
        <w:szCs w:val="20"/>
        <w:lang w:val="en-GB"/>
      </w:rPr>
      <w:t>9</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0E3008">
      <w:rPr>
        <w:rStyle w:val="PageNumber"/>
        <w:rFonts w:ascii="Arial" w:hAnsi="Arial" w:cs="Arial"/>
        <w:noProof/>
        <w:sz w:val="20"/>
        <w:szCs w:val="20"/>
        <w:lang w:val="en-GB"/>
      </w:rPr>
      <w:t>9</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93AA" w14:textId="77777777" w:rsidR="005A27DE" w:rsidRPr="00E95AE2" w:rsidRDefault="005A27DE">
    <w:pPr>
      <w:pStyle w:val="Header"/>
      <w:rPr>
        <w:sz w:val="22"/>
        <w:szCs w:val="22"/>
        <w:lang w:val="en-GB"/>
      </w:rPr>
    </w:pPr>
    <w:r>
      <w:rPr>
        <w:noProof/>
      </w:rPr>
      <w:drawing>
        <wp:anchor distT="0" distB="0" distL="114300" distR="114300" simplePos="0" relativeHeight="251659776" behindDoc="0" locked="0" layoutInCell="1" allowOverlap="1" wp14:anchorId="6E2123A7" wp14:editId="0861B243">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195F5" w14:textId="77777777" w:rsidR="005A27DE" w:rsidRPr="00F30DC6" w:rsidRDefault="005A27DE" w:rsidP="001D14FE">
    <w:pPr>
      <w:pStyle w:val="Header"/>
      <w:spacing w:after="520"/>
      <w:jc w:val="right"/>
      <w:rPr>
        <w:rFonts w:ascii="Arial" w:hAnsi="Arial" w:cs="Arial"/>
        <w:b/>
        <w:sz w:val="44"/>
        <w:szCs w:val="44"/>
        <w:lang w:val="en-GB"/>
      </w:rPr>
    </w:pPr>
    <w:r>
      <w:rPr>
        <w:rFonts w:ascii="Arial" w:hAnsi="Arial" w:cs="Arial"/>
        <w:b/>
        <w:sz w:val="44"/>
        <w:szCs w:val="44"/>
        <w:lang w:val="en-GB"/>
      </w:rPr>
      <w:t>13</w:t>
    </w:r>
    <w:r w:rsidRPr="00F30DC6">
      <w:rPr>
        <w:rFonts w:ascii="Arial" w:hAnsi="Arial" w:cs="Arial"/>
        <w:b/>
        <w:sz w:val="44"/>
        <w:szCs w:val="44"/>
        <w:lang w:val="en-GB"/>
      </w:rPr>
      <w:t xml:space="preserve"> COM</w:t>
    </w:r>
  </w:p>
  <w:p w14:paraId="0262B080" w14:textId="77777777" w:rsidR="005A27DE" w:rsidRPr="009D5428" w:rsidRDefault="005A27DE" w:rsidP="001D14FE">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b/>
        <w:sz w:val="22"/>
        <w:szCs w:val="22"/>
        <w:lang w:val="en-GB" w:eastAsia="ko-KR"/>
      </w:rPr>
      <w:t>8</w:t>
    </w:r>
    <w:r w:rsidRPr="009D5428">
      <w:rPr>
        <w:rFonts w:ascii="Arial" w:hAnsi="Arial" w:cs="Arial"/>
        <w:b/>
        <w:sz w:val="22"/>
        <w:szCs w:val="22"/>
        <w:lang w:val="en-GB"/>
      </w:rPr>
      <w:t>/</w:t>
    </w:r>
    <w:r>
      <w:rPr>
        <w:rFonts w:ascii="Arial" w:hAnsi="Arial" w:cs="Arial"/>
        <w:b/>
        <w:sz w:val="22"/>
        <w:szCs w:val="22"/>
        <w:lang w:val="en-GB"/>
      </w:rPr>
      <w:t>13</w:t>
    </w:r>
    <w:r w:rsidRPr="009D5428">
      <w:rPr>
        <w:rFonts w:ascii="Arial" w:hAnsi="Arial" w:cs="Arial"/>
        <w:b/>
        <w:sz w:val="22"/>
        <w:szCs w:val="22"/>
        <w:lang w:val="en-GB"/>
      </w:rPr>
      <w:t>.COM/</w:t>
    </w:r>
    <w:r>
      <w:rPr>
        <w:rFonts w:ascii="Arial" w:hAnsi="Arial" w:cs="Arial"/>
        <w:b/>
        <w:sz w:val="22"/>
        <w:szCs w:val="22"/>
        <w:lang w:val="en-GB"/>
      </w:rPr>
      <w:t>9</w:t>
    </w:r>
  </w:p>
  <w:p w14:paraId="1F19BF79" w14:textId="02373522" w:rsidR="005A27DE" w:rsidRPr="00337CEB" w:rsidRDefault="005A27DE" w:rsidP="001B6F33">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1B6F33">
      <w:rPr>
        <w:rFonts w:ascii="Arial" w:hAnsi="Arial" w:cs="Arial"/>
        <w:b/>
        <w:sz w:val="22"/>
        <w:szCs w:val="22"/>
        <w:lang w:val="en-GB"/>
      </w:rPr>
      <w:t>29 October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8</w:t>
    </w:r>
  </w:p>
  <w:p w14:paraId="39D33570" w14:textId="77777777" w:rsidR="005A27DE" w:rsidRPr="00F32C23" w:rsidRDefault="005A27DE"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76B5E82B" w14:textId="77777777" w:rsidR="005A27DE" w:rsidRPr="00E95AE2" w:rsidRDefault="005A27DE">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335"/>
    <w:multiLevelType w:val="hybridMultilevel"/>
    <w:tmpl w:val="F836EE26"/>
    <w:lvl w:ilvl="0" w:tplc="291438B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25B53762"/>
    <w:multiLevelType w:val="hybridMultilevel"/>
    <w:tmpl w:val="0FB6347E"/>
    <w:lvl w:ilvl="0" w:tplc="722ED5DA">
      <w:start w:val="1"/>
      <w:numFmt w:val="upperLetter"/>
      <w:lvlText w:val="%1."/>
      <w:lvlJc w:val="left"/>
      <w:pPr>
        <w:ind w:left="720" w:hanging="360"/>
      </w:pPr>
      <w:rPr>
        <w:rFonts w:ascii="Arial" w:eastAsia="Times New Roman" w:hAnsi="Arial" w:cs="Arial"/>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01">
      <w:start w:val="1"/>
      <w:numFmt w:val="bullet"/>
      <w:lvlText w:val=""/>
      <w:lvlJc w:val="left"/>
      <w:pPr>
        <w:ind w:left="3600" w:hanging="360"/>
      </w:pPr>
      <w:rPr>
        <w:rFonts w:ascii="Symbol" w:hAnsi="Symbol" w:hint="default"/>
      </w:rPr>
    </w:lvl>
    <w:lvl w:ilvl="5" w:tplc="14E02A28">
      <w:numFmt w:val="bullet"/>
      <w:lvlText w:val="-"/>
      <w:lvlJc w:val="left"/>
      <w:pPr>
        <w:ind w:left="4500" w:hanging="360"/>
      </w:pPr>
      <w:rPr>
        <w:rFonts w:ascii="Arial" w:eastAsia="SimSun" w:hAnsi="Arial" w:cs="Arial"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F07BFE"/>
    <w:multiLevelType w:val="hybridMultilevel"/>
    <w:tmpl w:val="C134729E"/>
    <w:lvl w:ilvl="0" w:tplc="722ED5DA">
      <w:start w:val="1"/>
      <w:numFmt w:val="upperLetter"/>
      <w:pStyle w:val="COMPara"/>
      <w:lvlText w:val="%1."/>
      <w:lvlJc w:val="left"/>
      <w:pPr>
        <w:ind w:left="720" w:hanging="360"/>
      </w:pPr>
      <w:rPr>
        <w:rFonts w:ascii="Arial" w:eastAsia="Times New Roman" w:hAnsi="Arial" w:cs="Arial"/>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C718F3"/>
    <w:multiLevelType w:val="hybridMultilevel"/>
    <w:tmpl w:val="CAC8D366"/>
    <w:lvl w:ilvl="0" w:tplc="1D78C47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CAB7CDD"/>
    <w:multiLevelType w:val="multilevel"/>
    <w:tmpl w:val="BEE007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SimSu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80728E"/>
    <w:multiLevelType w:val="hybridMultilevel"/>
    <w:tmpl w:val="E45EAEC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7C001C7"/>
    <w:multiLevelType w:val="hybridMultilevel"/>
    <w:tmpl w:val="0FF4496E"/>
    <w:lvl w:ilvl="0" w:tplc="87E4C068">
      <w:start w:val="7"/>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68E437B2"/>
    <w:multiLevelType w:val="multilevel"/>
    <w:tmpl w:val="B2C83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480C58"/>
    <w:multiLevelType w:val="hybridMultilevel"/>
    <w:tmpl w:val="71FE859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5"/>
  </w:num>
  <w:num w:numId="5">
    <w:abstractNumId w:val="8"/>
  </w:num>
  <w:num w:numId="6">
    <w:abstractNumId w:val="9"/>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3"/>
  </w:num>
  <w:num w:numId="16">
    <w:abstractNumId w:val="3"/>
  </w:num>
  <w:num w:numId="17">
    <w:abstractNumId w:val="3"/>
  </w:num>
  <w:num w:numId="18">
    <w:abstractNumId w:val="3"/>
  </w:num>
  <w:num w:numId="19">
    <w:abstractNumId w:val="6"/>
  </w:num>
  <w:num w:numId="20">
    <w:abstractNumId w:val="3"/>
  </w:num>
  <w:num w:numId="21">
    <w:abstractNumId w:val="3"/>
  </w:num>
  <w:num w:numId="22">
    <w:abstractNumId w:val="3"/>
  </w:num>
  <w:num w:numId="23">
    <w:abstractNumId w:val="3"/>
  </w:num>
  <w:num w:numId="24">
    <w:abstractNumId w:val="3"/>
  </w:num>
  <w:num w:numId="25">
    <w:abstractNumId w:val="3"/>
  </w:num>
  <w:num w:numId="26">
    <w:abstractNumId w:val="7"/>
  </w:num>
  <w:num w:numId="27">
    <w:abstractNumId w:val="3"/>
  </w:num>
  <w:num w:numId="28">
    <w:abstractNumId w:val="3"/>
  </w:num>
  <w:num w:numId="29">
    <w:abstractNumId w:val="3"/>
  </w:num>
  <w:num w:numId="30">
    <w:abstractNumId w:val="3"/>
  </w:num>
  <w:num w:numId="31">
    <w:abstractNumId w:val="10"/>
  </w:num>
  <w:num w:numId="32">
    <w:abstractNumId w:val="4"/>
    <w:lvlOverride w:ilvl="0">
      <w:startOverride w:val="1"/>
    </w:lvlOverride>
  </w:num>
  <w:num w:numId="33">
    <w:abstractNumId w:val="4"/>
    <w:lvlOverride w:ilvl="0">
      <w:startOverride w:val="6"/>
    </w:lvlOverride>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11"/>
  </w:num>
  <w:num w:numId="48">
    <w:abstractNumId w:val="3"/>
  </w:num>
  <w:num w:numId="49">
    <w:abstractNumId w:val="3"/>
  </w:num>
  <w:num w:numId="50">
    <w:abstractNumId w:val="3"/>
  </w:num>
  <w:num w:numId="51">
    <w:abstractNumId w:val="3"/>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4"/>
  </w:num>
  <w:num w:numId="60">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151D"/>
    <w:rsid w:val="00013E10"/>
    <w:rsid w:val="00016B1E"/>
    <w:rsid w:val="000177A1"/>
    <w:rsid w:val="00041A66"/>
    <w:rsid w:val="00042F7A"/>
    <w:rsid w:val="0005176E"/>
    <w:rsid w:val="00063EB5"/>
    <w:rsid w:val="000765F7"/>
    <w:rsid w:val="00077AB7"/>
    <w:rsid w:val="00081CD8"/>
    <w:rsid w:val="00093B2B"/>
    <w:rsid w:val="0009682D"/>
    <w:rsid w:val="000A50A1"/>
    <w:rsid w:val="000A7F0E"/>
    <w:rsid w:val="000B1C8F"/>
    <w:rsid w:val="000B48DB"/>
    <w:rsid w:val="000C0D61"/>
    <w:rsid w:val="000C2210"/>
    <w:rsid w:val="000D1410"/>
    <w:rsid w:val="000E3008"/>
    <w:rsid w:val="000E65DB"/>
    <w:rsid w:val="000F3A3F"/>
    <w:rsid w:val="000F6904"/>
    <w:rsid w:val="00100EFE"/>
    <w:rsid w:val="00102557"/>
    <w:rsid w:val="001039A4"/>
    <w:rsid w:val="001117F7"/>
    <w:rsid w:val="001120A3"/>
    <w:rsid w:val="00112F48"/>
    <w:rsid w:val="00113610"/>
    <w:rsid w:val="001314E9"/>
    <w:rsid w:val="0013531F"/>
    <w:rsid w:val="00143349"/>
    <w:rsid w:val="00147916"/>
    <w:rsid w:val="001529A4"/>
    <w:rsid w:val="00152AA3"/>
    <w:rsid w:val="001556C3"/>
    <w:rsid w:val="00155915"/>
    <w:rsid w:val="00155DF9"/>
    <w:rsid w:val="00164D56"/>
    <w:rsid w:val="0016543C"/>
    <w:rsid w:val="00167B10"/>
    <w:rsid w:val="00172014"/>
    <w:rsid w:val="0017402F"/>
    <w:rsid w:val="00176FC5"/>
    <w:rsid w:val="00193468"/>
    <w:rsid w:val="00196941"/>
    <w:rsid w:val="00196C1B"/>
    <w:rsid w:val="001B0F73"/>
    <w:rsid w:val="001B5E41"/>
    <w:rsid w:val="001B6693"/>
    <w:rsid w:val="001B6F33"/>
    <w:rsid w:val="001C24FE"/>
    <w:rsid w:val="001C2DB7"/>
    <w:rsid w:val="001C6BB3"/>
    <w:rsid w:val="001C6FAD"/>
    <w:rsid w:val="001D10A5"/>
    <w:rsid w:val="001D14FE"/>
    <w:rsid w:val="001D5C04"/>
    <w:rsid w:val="001F132E"/>
    <w:rsid w:val="001F26CF"/>
    <w:rsid w:val="001F393E"/>
    <w:rsid w:val="001F3C8C"/>
    <w:rsid w:val="001F4D9C"/>
    <w:rsid w:val="00200998"/>
    <w:rsid w:val="00203542"/>
    <w:rsid w:val="0020459C"/>
    <w:rsid w:val="00213034"/>
    <w:rsid w:val="00222A2D"/>
    <w:rsid w:val="00223029"/>
    <w:rsid w:val="00231FBC"/>
    <w:rsid w:val="00234745"/>
    <w:rsid w:val="002351A6"/>
    <w:rsid w:val="002374FD"/>
    <w:rsid w:val="002401E4"/>
    <w:rsid w:val="002407AF"/>
    <w:rsid w:val="00245C56"/>
    <w:rsid w:val="00246B27"/>
    <w:rsid w:val="00250CA7"/>
    <w:rsid w:val="00255032"/>
    <w:rsid w:val="00266BE5"/>
    <w:rsid w:val="00271000"/>
    <w:rsid w:val="0027466B"/>
    <w:rsid w:val="00276315"/>
    <w:rsid w:val="0028056E"/>
    <w:rsid w:val="00281AAD"/>
    <w:rsid w:val="002838A5"/>
    <w:rsid w:val="00285BB4"/>
    <w:rsid w:val="00285E3E"/>
    <w:rsid w:val="0028741B"/>
    <w:rsid w:val="00291F95"/>
    <w:rsid w:val="0029254E"/>
    <w:rsid w:val="00293848"/>
    <w:rsid w:val="00294FBA"/>
    <w:rsid w:val="002B08B8"/>
    <w:rsid w:val="002B1198"/>
    <w:rsid w:val="002B187F"/>
    <w:rsid w:val="002B60D2"/>
    <w:rsid w:val="002C018E"/>
    <w:rsid w:val="002C09E3"/>
    <w:rsid w:val="002C1FDC"/>
    <w:rsid w:val="002C2B22"/>
    <w:rsid w:val="002C6654"/>
    <w:rsid w:val="002D216D"/>
    <w:rsid w:val="002E00BD"/>
    <w:rsid w:val="002E2047"/>
    <w:rsid w:val="002F02F1"/>
    <w:rsid w:val="002F6E67"/>
    <w:rsid w:val="00301219"/>
    <w:rsid w:val="003115F8"/>
    <w:rsid w:val="00317D8E"/>
    <w:rsid w:val="0033793D"/>
    <w:rsid w:val="00337CEB"/>
    <w:rsid w:val="00340B86"/>
    <w:rsid w:val="00344B58"/>
    <w:rsid w:val="0034539A"/>
    <w:rsid w:val="00345CB4"/>
    <w:rsid w:val="00355E78"/>
    <w:rsid w:val="003573E0"/>
    <w:rsid w:val="00371377"/>
    <w:rsid w:val="00375D42"/>
    <w:rsid w:val="00380403"/>
    <w:rsid w:val="00383885"/>
    <w:rsid w:val="00385F42"/>
    <w:rsid w:val="003A12C3"/>
    <w:rsid w:val="003A5CE3"/>
    <w:rsid w:val="003B309B"/>
    <w:rsid w:val="003B4949"/>
    <w:rsid w:val="003B5A91"/>
    <w:rsid w:val="003D069C"/>
    <w:rsid w:val="003D56A7"/>
    <w:rsid w:val="003D7646"/>
    <w:rsid w:val="003E09B5"/>
    <w:rsid w:val="003E7E88"/>
    <w:rsid w:val="003F0BF0"/>
    <w:rsid w:val="003F113A"/>
    <w:rsid w:val="003F3E63"/>
    <w:rsid w:val="00402453"/>
    <w:rsid w:val="00403B5F"/>
    <w:rsid w:val="00407480"/>
    <w:rsid w:val="00414643"/>
    <w:rsid w:val="00420349"/>
    <w:rsid w:val="00422C88"/>
    <w:rsid w:val="004421E5"/>
    <w:rsid w:val="004448AA"/>
    <w:rsid w:val="00452284"/>
    <w:rsid w:val="00456D30"/>
    <w:rsid w:val="00457C8E"/>
    <w:rsid w:val="004601D8"/>
    <w:rsid w:val="00470B6D"/>
    <w:rsid w:val="00475EE8"/>
    <w:rsid w:val="00485426"/>
    <w:rsid w:val="00485548"/>
    <w:rsid w:val="004856CA"/>
    <w:rsid w:val="00485780"/>
    <w:rsid w:val="004876E9"/>
    <w:rsid w:val="00487E67"/>
    <w:rsid w:val="0049705E"/>
    <w:rsid w:val="004A34A0"/>
    <w:rsid w:val="004A5D35"/>
    <w:rsid w:val="004A671F"/>
    <w:rsid w:val="004B2EDA"/>
    <w:rsid w:val="004B386A"/>
    <w:rsid w:val="004B7CC1"/>
    <w:rsid w:val="004C2D68"/>
    <w:rsid w:val="004E1D7F"/>
    <w:rsid w:val="004E627A"/>
    <w:rsid w:val="004F0BFC"/>
    <w:rsid w:val="004F0EC5"/>
    <w:rsid w:val="004F474D"/>
    <w:rsid w:val="005008A8"/>
    <w:rsid w:val="00501DED"/>
    <w:rsid w:val="00516097"/>
    <w:rsid w:val="0051798E"/>
    <w:rsid w:val="00521C4E"/>
    <w:rsid w:val="00524548"/>
    <w:rsid w:val="00526B7B"/>
    <w:rsid w:val="005308CE"/>
    <w:rsid w:val="005319C8"/>
    <w:rsid w:val="005324C9"/>
    <w:rsid w:val="0053318C"/>
    <w:rsid w:val="00535FE1"/>
    <w:rsid w:val="00541284"/>
    <w:rsid w:val="00550CCE"/>
    <w:rsid w:val="00560752"/>
    <w:rsid w:val="00566BD7"/>
    <w:rsid w:val="0057439C"/>
    <w:rsid w:val="00575866"/>
    <w:rsid w:val="00575ACB"/>
    <w:rsid w:val="0057633E"/>
    <w:rsid w:val="0057664F"/>
    <w:rsid w:val="005A2256"/>
    <w:rsid w:val="005A27DE"/>
    <w:rsid w:val="005B0127"/>
    <w:rsid w:val="005B1FE9"/>
    <w:rsid w:val="005B30B0"/>
    <w:rsid w:val="005B7A35"/>
    <w:rsid w:val="005C4B73"/>
    <w:rsid w:val="005C55E3"/>
    <w:rsid w:val="005D5039"/>
    <w:rsid w:val="005E1D2B"/>
    <w:rsid w:val="005E7074"/>
    <w:rsid w:val="005F2BAF"/>
    <w:rsid w:val="00600D93"/>
    <w:rsid w:val="00626954"/>
    <w:rsid w:val="0062704F"/>
    <w:rsid w:val="0063300C"/>
    <w:rsid w:val="0064472C"/>
    <w:rsid w:val="00650598"/>
    <w:rsid w:val="00655736"/>
    <w:rsid w:val="00663B8D"/>
    <w:rsid w:val="00672D37"/>
    <w:rsid w:val="0067394B"/>
    <w:rsid w:val="00677E93"/>
    <w:rsid w:val="00692A6D"/>
    <w:rsid w:val="00696C8D"/>
    <w:rsid w:val="00696E8C"/>
    <w:rsid w:val="006A05E4"/>
    <w:rsid w:val="006A2AC2"/>
    <w:rsid w:val="006A3617"/>
    <w:rsid w:val="006B2358"/>
    <w:rsid w:val="006B7A7C"/>
    <w:rsid w:val="006C0115"/>
    <w:rsid w:val="006C4A44"/>
    <w:rsid w:val="006C6FC8"/>
    <w:rsid w:val="006D5C79"/>
    <w:rsid w:val="006D7960"/>
    <w:rsid w:val="006E297E"/>
    <w:rsid w:val="006E46E4"/>
    <w:rsid w:val="006F2225"/>
    <w:rsid w:val="006F6631"/>
    <w:rsid w:val="006F6FE5"/>
    <w:rsid w:val="006F7A8B"/>
    <w:rsid w:val="0070198F"/>
    <w:rsid w:val="007034FE"/>
    <w:rsid w:val="0070591E"/>
    <w:rsid w:val="00712908"/>
    <w:rsid w:val="00717DA5"/>
    <w:rsid w:val="007215E0"/>
    <w:rsid w:val="00725337"/>
    <w:rsid w:val="007253F8"/>
    <w:rsid w:val="0072695C"/>
    <w:rsid w:val="007425CB"/>
    <w:rsid w:val="00742743"/>
    <w:rsid w:val="00744484"/>
    <w:rsid w:val="00747566"/>
    <w:rsid w:val="0075651B"/>
    <w:rsid w:val="007649CE"/>
    <w:rsid w:val="00772F37"/>
    <w:rsid w:val="00773188"/>
    <w:rsid w:val="00776593"/>
    <w:rsid w:val="00783782"/>
    <w:rsid w:val="00784B8C"/>
    <w:rsid w:val="007879E1"/>
    <w:rsid w:val="0079309C"/>
    <w:rsid w:val="007955C4"/>
    <w:rsid w:val="007A2F1E"/>
    <w:rsid w:val="007B6FCD"/>
    <w:rsid w:val="007D6E01"/>
    <w:rsid w:val="007E04E1"/>
    <w:rsid w:val="007F00E6"/>
    <w:rsid w:val="007F6666"/>
    <w:rsid w:val="00805340"/>
    <w:rsid w:val="00823A11"/>
    <w:rsid w:val="00826ACF"/>
    <w:rsid w:val="00827BDF"/>
    <w:rsid w:val="008362A1"/>
    <w:rsid w:val="008367E2"/>
    <w:rsid w:val="00843D02"/>
    <w:rsid w:val="0085405E"/>
    <w:rsid w:val="0085414A"/>
    <w:rsid w:val="0086269D"/>
    <w:rsid w:val="0086531D"/>
    <w:rsid w:val="0086543A"/>
    <w:rsid w:val="00866A53"/>
    <w:rsid w:val="00866DD2"/>
    <w:rsid w:val="008724E5"/>
    <w:rsid w:val="008832FA"/>
    <w:rsid w:val="00884A9D"/>
    <w:rsid w:val="0088512B"/>
    <w:rsid w:val="00890F4D"/>
    <w:rsid w:val="00893AFF"/>
    <w:rsid w:val="00897F35"/>
    <w:rsid w:val="008A15AB"/>
    <w:rsid w:val="008A2B2D"/>
    <w:rsid w:val="008A4E1E"/>
    <w:rsid w:val="008A5F89"/>
    <w:rsid w:val="008B1791"/>
    <w:rsid w:val="008B4CE8"/>
    <w:rsid w:val="008B6B47"/>
    <w:rsid w:val="008C296C"/>
    <w:rsid w:val="008C33D5"/>
    <w:rsid w:val="008D083B"/>
    <w:rsid w:val="008D11C7"/>
    <w:rsid w:val="008D151B"/>
    <w:rsid w:val="008D34B6"/>
    <w:rsid w:val="008D4305"/>
    <w:rsid w:val="008D4D7F"/>
    <w:rsid w:val="008E1A85"/>
    <w:rsid w:val="008E2730"/>
    <w:rsid w:val="008E3C48"/>
    <w:rsid w:val="008E6EE8"/>
    <w:rsid w:val="008F4850"/>
    <w:rsid w:val="009069E7"/>
    <w:rsid w:val="00906FA1"/>
    <w:rsid w:val="009115EC"/>
    <w:rsid w:val="00914009"/>
    <w:rsid w:val="009163A7"/>
    <w:rsid w:val="009228DD"/>
    <w:rsid w:val="009243B5"/>
    <w:rsid w:val="009309B6"/>
    <w:rsid w:val="00946D0B"/>
    <w:rsid w:val="00955877"/>
    <w:rsid w:val="00961EE7"/>
    <w:rsid w:val="00971817"/>
    <w:rsid w:val="009728BA"/>
    <w:rsid w:val="00975B74"/>
    <w:rsid w:val="00975BA4"/>
    <w:rsid w:val="009821B3"/>
    <w:rsid w:val="00985514"/>
    <w:rsid w:val="0099251D"/>
    <w:rsid w:val="00996981"/>
    <w:rsid w:val="009A10EA"/>
    <w:rsid w:val="009A18CD"/>
    <w:rsid w:val="009A25E2"/>
    <w:rsid w:val="009A3809"/>
    <w:rsid w:val="009B1E44"/>
    <w:rsid w:val="009C52F1"/>
    <w:rsid w:val="009C5464"/>
    <w:rsid w:val="009C6E70"/>
    <w:rsid w:val="009D2736"/>
    <w:rsid w:val="009D4C97"/>
    <w:rsid w:val="009D5428"/>
    <w:rsid w:val="009D624B"/>
    <w:rsid w:val="009E506C"/>
    <w:rsid w:val="009E7E6A"/>
    <w:rsid w:val="00A02FEB"/>
    <w:rsid w:val="00A12558"/>
    <w:rsid w:val="00A135B3"/>
    <w:rsid w:val="00A13903"/>
    <w:rsid w:val="00A17A3C"/>
    <w:rsid w:val="00A2342B"/>
    <w:rsid w:val="00A27D48"/>
    <w:rsid w:val="00A34ED5"/>
    <w:rsid w:val="00A3600E"/>
    <w:rsid w:val="00A45DBF"/>
    <w:rsid w:val="00A518F9"/>
    <w:rsid w:val="00A56F18"/>
    <w:rsid w:val="00A65228"/>
    <w:rsid w:val="00A67F72"/>
    <w:rsid w:val="00A72AA6"/>
    <w:rsid w:val="00A755A2"/>
    <w:rsid w:val="00A8088E"/>
    <w:rsid w:val="00A865BB"/>
    <w:rsid w:val="00A87356"/>
    <w:rsid w:val="00A9371E"/>
    <w:rsid w:val="00AA08C3"/>
    <w:rsid w:val="00AA5927"/>
    <w:rsid w:val="00AA6660"/>
    <w:rsid w:val="00AA7A51"/>
    <w:rsid w:val="00AB1DF8"/>
    <w:rsid w:val="00AB2C36"/>
    <w:rsid w:val="00AB4317"/>
    <w:rsid w:val="00AB6DDE"/>
    <w:rsid w:val="00AB70B6"/>
    <w:rsid w:val="00AB7E60"/>
    <w:rsid w:val="00AC3825"/>
    <w:rsid w:val="00AD1A86"/>
    <w:rsid w:val="00AD5C62"/>
    <w:rsid w:val="00AD7361"/>
    <w:rsid w:val="00AE103E"/>
    <w:rsid w:val="00AF0A07"/>
    <w:rsid w:val="00AF102C"/>
    <w:rsid w:val="00AF4AEC"/>
    <w:rsid w:val="00AF625E"/>
    <w:rsid w:val="00B10A3C"/>
    <w:rsid w:val="00B11701"/>
    <w:rsid w:val="00B1541A"/>
    <w:rsid w:val="00B721BC"/>
    <w:rsid w:val="00B87CD5"/>
    <w:rsid w:val="00B90AFA"/>
    <w:rsid w:val="00BB04AF"/>
    <w:rsid w:val="00BB0744"/>
    <w:rsid w:val="00BB1B4B"/>
    <w:rsid w:val="00BC6E80"/>
    <w:rsid w:val="00BC79A5"/>
    <w:rsid w:val="00BD07B1"/>
    <w:rsid w:val="00BD52C9"/>
    <w:rsid w:val="00BE1095"/>
    <w:rsid w:val="00BE29BE"/>
    <w:rsid w:val="00BE50B3"/>
    <w:rsid w:val="00BE614A"/>
    <w:rsid w:val="00BE6354"/>
    <w:rsid w:val="00C00E51"/>
    <w:rsid w:val="00C138D1"/>
    <w:rsid w:val="00C13919"/>
    <w:rsid w:val="00C20928"/>
    <w:rsid w:val="00C23A97"/>
    <w:rsid w:val="00C2608B"/>
    <w:rsid w:val="00C343F6"/>
    <w:rsid w:val="00C421D4"/>
    <w:rsid w:val="00C4657D"/>
    <w:rsid w:val="00C54BA2"/>
    <w:rsid w:val="00C55C11"/>
    <w:rsid w:val="00C63EE1"/>
    <w:rsid w:val="00C640A5"/>
    <w:rsid w:val="00C64855"/>
    <w:rsid w:val="00C663F8"/>
    <w:rsid w:val="00C7037C"/>
    <w:rsid w:val="00C70962"/>
    <w:rsid w:val="00C70EA7"/>
    <w:rsid w:val="00C7319B"/>
    <w:rsid w:val="00C7433F"/>
    <w:rsid w:val="00C74E9E"/>
    <w:rsid w:val="00C7516E"/>
    <w:rsid w:val="00C75770"/>
    <w:rsid w:val="00C97F45"/>
    <w:rsid w:val="00CA2931"/>
    <w:rsid w:val="00CA56BB"/>
    <w:rsid w:val="00CB0542"/>
    <w:rsid w:val="00CB3372"/>
    <w:rsid w:val="00CB7225"/>
    <w:rsid w:val="00CD6AEB"/>
    <w:rsid w:val="00CE188B"/>
    <w:rsid w:val="00CE1CF7"/>
    <w:rsid w:val="00CE1F88"/>
    <w:rsid w:val="00CF28E4"/>
    <w:rsid w:val="00D00B2B"/>
    <w:rsid w:val="00D1609E"/>
    <w:rsid w:val="00D240C4"/>
    <w:rsid w:val="00D24877"/>
    <w:rsid w:val="00D2517E"/>
    <w:rsid w:val="00D426AC"/>
    <w:rsid w:val="00D73E3E"/>
    <w:rsid w:val="00D8250F"/>
    <w:rsid w:val="00D8705A"/>
    <w:rsid w:val="00D95C4C"/>
    <w:rsid w:val="00DA0427"/>
    <w:rsid w:val="00DA36ED"/>
    <w:rsid w:val="00DA61DC"/>
    <w:rsid w:val="00DB14CB"/>
    <w:rsid w:val="00DB6A95"/>
    <w:rsid w:val="00DC0C8C"/>
    <w:rsid w:val="00DC4488"/>
    <w:rsid w:val="00DD1271"/>
    <w:rsid w:val="00DD4A31"/>
    <w:rsid w:val="00DD64B3"/>
    <w:rsid w:val="00DE34F1"/>
    <w:rsid w:val="00DE6160"/>
    <w:rsid w:val="00DE6653"/>
    <w:rsid w:val="00DF0F31"/>
    <w:rsid w:val="00DF176E"/>
    <w:rsid w:val="00DF4942"/>
    <w:rsid w:val="00E06A4B"/>
    <w:rsid w:val="00E154D1"/>
    <w:rsid w:val="00E155AB"/>
    <w:rsid w:val="00E2283A"/>
    <w:rsid w:val="00E244E1"/>
    <w:rsid w:val="00E27FE2"/>
    <w:rsid w:val="00E30B73"/>
    <w:rsid w:val="00E37707"/>
    <w:rsid w:val="00E54B26"/>
    <w:rsid w:val="00E56A0D"/>
    <w:rsid w:val="00E60F7E"/>
    <w:rsid w:val="00E624DE"/>
    <w:rsid w:val="00E627B1"/>
    <w:rsid w:val="00E70169"/>
    <w:rsid w:val="00E72460"/>
    <w:rsid w:val="00E903CB"/>
    <w:rsid w:val="00E935A2"/>
    <w:rsid w:val="00E9376C"/>
    <w:rsid w:val="00E95AE2"/>
    <w:rsid w:val="00EA245E"/>
    <w:rsid w:val="00EA335E"/>
    <w:rsid w:val="00EA528C"/>
    <w:rsid w:val="00EA580C"/>
    <w:rsid w:val="00EB2352"/>
    <w:rsid w:val="00EB3B4B"/>
    <w:rsid w:val="00EB538E"/>
    <w:rsid w:val="00EC494C"/>
    <w:rsid w:val="00EC6F8D"/>
    <w:rsid w:val="00ED78F3"/>
    <w:rsid w:val="00EE49F4"/>
    <w:rsid w:val="00EE7745"/>
    <w:rsid w:val="00EF0811"/>
    <w:rsid w:val="00EF34E2"/>
    <w:rsid w:val="00F06045"/>
    <w:rsid w:val="00F25093"/>
    <w:rsid w:val="00F27C09"/>
    <w:rsid w:val="00F30DC6"/>
    <w:rsid w:val="00F315DC"/>
    <w:rsid w:val="00F32C23"/>
    <w:rsid w:val="00F34301"/>
    <w:rsid w:val="00F359AE"/>
    <w:rsid w:val="00F372C5"/>
    <w:rsid w:val="00F4161B"/>
    <w:rsid w:val="00F451D8"/>
    <w:rsid w:val="00F47274"/>
    <w:rsid w:val="00F47F94"/>
    <w:rsid w:val="00F53DE9"/>
    <w:rsid w:val="00F54534"/>
    <w:rsid w:val="00F55376"/>
    <w:rsid w:val="00F56687"/>
    <w:rsid w:val="00F576CB"/>
    <w:rsid w:val="00F7035D"/>
    <w:rsid w:val="00F71A02"/>
    <w:rsid w:val="00F76D96"/>
    <w:rsid w:val="00F96BB0"/>
    <w:rsid w:val="00FA0D63"/>
    <w:rsid w:val="00FA629A"/>
    <w:rsid w:val="00FA69EA"/>
    <w:rsid w:val="00FC2F35"/>
    <w:rsid w:val="00FD1226"/>
    <w:rsid w:val="00FD7C08"/>
    <w:rsid w:val="00FE41B3"/>
    <w:rsid w:val="00FE56E7"/>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70059BB"/>
  <w15:docId w15:val="{DF6EE617-F3FA-4847-AFB5-E2E7F69C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FC8"/>
    <w:rPr>
      <w:rFonts w:ascii="Times New Roman" w:eastAsia="Times New Roman" w:hAnsi="Times New Roman"/>
      <w:sz w:val="24"/>
      <w:szCs w:val="24"/>
      <w:lang w:val="en-US" w:eastAsia="ja-JP"/>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lang w:val="fr-FR" w:eastAsia="fr-FR"/>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rPr>
      <w:lang w:val="fr-FR" w:eastAsia="fr-FR"/>
    </w:r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rPr>
      <w:lang w:val="fr-FR" w:eastAsia="fr-FR"/>
    </w:r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lang w:val="fr-FR" w:eastAsia="fr-FR"/>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rPr>
      <w:lang w:val="fr-FR" w:eastAsia="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val="fr-FR"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val="fr-FR"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val="fr-FR"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eastAsia="fr-FR"/>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eastAsia="fr-FR"/>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eastAsia="fr-FR"/>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380403"/>
    <w:pPr>
      <w:ind w:left="720"/>
      <w:contextualSpacing/>
    </w:pPr>
    <w:rPr>
      <w:lang w:val="fr-FR" w:eastAsia="fr-FR"/>
    </w:rPr>
  </w:style>
  <w:style w:type="character" w:styleId="CommentReference">
    <w:name w:val="annotation reference"/>
    <w:basedOn w:val="DefaultParagraphFont"/>
    <w:uiPriority w:val="99"/>
    <w:semiHidden/>
    <w:unhideWhenUsed/>
    <w:rsid w:val="00F76D96"/>
    <w:rPr>
      <w:sz w:val="16"/>
      <w:szCs w:val="16"/>
    </w:rPr>
  </w:style>
  <w:style w:type="paragraph" w:styleId="CommentText">
    <w:name w:val="annotation text"/>
    <w:basedOn w:val="Normal"/>
    <w:link w:val="CommentTextChar"/>
    <w:uiPriority w:val="99"/>
    <w:semiHidden/>
    <w:unhideWhenUsed/>
    <w:rsid w:val="00F76D96"/>
    <w:rPr>
      <w:sz w:val="20"/>
      <w:szCs w:val="20"/>
      <w:lang w:val="fr-FR" w:eastAsia="fr-FR"/>
    </w:rPr>
  </w:style>
  <w:style w:type="character" w:customStyle="1" w:styleId="CommentTextChar">
    <w:name w:val="Comment Text Char"/>
    <w:basedOn w:val="DefaultParagraphFont"/>
    <w:link w:val="CommentText"/>
    <w:uiPriority w:val="99"/>
    <w:semiHidden/>
    <w:rsid w:val="00F76D9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76D96"/>
    <w:rPr>
      <w:b/>
      <w:bCs/>
    </w:rPr>
  </w:style>
  <w:style w:type="character" w:customStyle="1" w:styleId="CommentSubjectChar">
    <w:name w:val="Comment Subject Char"/>
    <w:basedOn w:val="CommentTextChar"/>
    <w:link w:val="CommentSubject"/>
    <w:uiPriority w:val="99"/>
    <w:semiHidden/>
    <w:rsid w:val="00F76D96"/>
    <w:rPr>
      <w:rFonts w:ascii="Times New Roman" w:eastAsia="Times New Roman" w:hAnsi="Times New Roman"/>
      <w:b/>
      <w:bCs/>
    </w:rPr>
  </w:style>
  <w:style w:type="paragraph" w:styleId="FootnoteText">
    <w:name w:val="footnote text"/>
    <w:basedOn w:val="Normal"/>
    <w:link w:val="FootnoteTextChar"/>
    <w:uiPriority w:val="99"/>
    <w:semiHidden/>
    <w:unhideWhenUsed/>
    <w:rsid w:val="0033793D"/>
    <w:rPr>
      <w:sz w:val="20"/>
      <w:szCs w:val="20"/>
      <w:lang w:val="fr-FR" w:eastAsia="fr-FR"/>
    </w:rPr>
  </w:style>
  <w:style w:type="character" w:customStyle="1" w:styleId="FootnoteTextChar">
    <w:name w:val="Footnote Text Char"/>
    <w:basedOn w:val="DefaultParagraphFont"/>
    <w:link w:val="FootnoteText"/>
    <w:uiPriority w:val="99"/>
    <w:semiHidden/>
    <w:rsid w:val="0033793D"/>
    <w:rPr>
      <w:rFonts w:ascii="Times New Roman" w:eastAsia="Times New Roman" w:hAnsi="Times New Roman"/>
    </w:rPr>
  </w:style>
  <w:style w:type="character" w:styleId="FootnoteReference">
    <w:name w:val="footnote reference"/>
    <w:basedOn w:val="DefaultParagraphFont"/>
    <w:uiPriority w:val="99"/>
    <w:semiHidden/>
    <w:unhideWhenUsed/>
    <w:rsid w:val="0033793D"/>
    <w:rPr>
      <w:vertAlign w:val="superscript"/>
    </w:rPr>
  </w:style>
  <w:style w:type="character" w:styleId="Hyperlink">
    <w:name w:val="Hyperlink"/>
    <w:basedOn w:val="DefaultParagraphFont"/>
    <w:uiPriority w:val="99"/>
    <w:unhideWhenUsed/>
    <w:rsid w:val="0033793D"/>
    <w:rPr>
      <w:color w:val="0000FF" w:themeColor="hyperlink"/>
      <w:u w:val="single"/>
    </w:rPr>
  </w:style>
  <w:style w:type="character" w:customStyle="1" w:styleId="UnresolvedMention1">
    <w:name w:val="Unresolved Mention1"/>
    <w:basedOn w:val="DefaultParagraphFont"/>
    <w:uiPriority w:val="99"/>
    <w:semiHidden/>
    <w:unhideWhenUsed/>
    <w:rsid w:val="0033793D"/>
    <w:rPr>
      <w:color w:val="605E5C"/>
      <w:shd w:val="clear" w:color="auto" w:fill="E1DFDD"/>
    </w:rPr>
  </w:style>
  <w:style w:type="character" w:styleId="FollowedHyperlink">
    <w:name w:val="FollowedHyperlink"/>
    <w:basedOn w:val="DefaultParagraphFont"/>
    <w:uiPriority w:val="99"/>
    <w:semiHidden/>
    <w:unhideWhenUsed/>
    <w:rsid w:val="00C70962"/>
    <w:rPr>
      <w:color w:val="800080" w:themeColor="followedHyperlink"/>
      <w:u w:val="single"/>
    </w:rPr>
  </w:style>
  <w:style w:type="character" w:customStyle="1" w:styleId="UnresolvedMention2">
    <w:name w:val="Unresolved Mention2"/>
    <w:basedOn w:val="DefaultParagraphFont"/>
    <w:uiPriority w:val="99"/>
    <w:semiHidden/>
    <w:unhideWhenUsed/>
    <w:rsid w:val="009A3809"/>
    <w:rPr>
      <w:color w:val="605E5C"/>
      <w:shd w:val="clear" w:color="auto" w:fill="E1DFDD"/>
    </w:rPr>
  </w:style>
  <w:style w:type="paragraph" w:styleId="Revision">
    <w:name w:val="Revision"/>
    <w:hidden/>
    <w:uiPriority w:val="99"/>
    <w:semiHidden/>
    <w:rsid w:val="00385F42"/>
    <w:rPr>
      <w:rFonts w:ascii="Times New Roman" w:eastAsia="Times New Roman" w:hAnsi="Times New Roman"/>
      <w:sz w:val="24"/>
      <w:szCs w:val="24"/>
      <w:lang w:val="en-US" w:eastAsia="ja-JP"/>
    </w:rPr>
  </w:style>
  <w:style w:type="character" w:customStyle="1" w:styleId="UnresolvedMention">
    <w:name w:val="Unresolved Mention"/>
    <w:basedOn w:val="DefaultParagraphFont"/>
    <w:uiPriority w:val="99"/>
    <w:semiHidden/>
    <w:unhideWhenUsed/>
    <w:rsid w:val="00112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7905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05511705">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4810675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40160289">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8.COM/8" TargetMode="External"/><Relationship Id="rId13" Type="http://schemas.openxmlformats.org/officeDocument/2006/relationships/chart" Target="charts/chart1.xml"/><Relationship Id="rId18" Type="http://schemas.openxmlformats.org/officeDocument/2006/relationships/hyperlink" Target="https://ich.unesco.org/en/Decisions/12.COM/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en/Decisions/12.COM/14" TargetMode="External"/><Relationship Id="rId7" Type="http://schemas.openxmlformats.org/officeDocument/2006/relationships/endnotes" Target="endnotes.xml"/><Relationship Id="rId12" Type="http://schemas.openxmlformats.org/officeDocument/2006/relationships/hyperlink" Target="https://ich.unesco.org/doc/src/ITH-12-7.COM-15-EN.doc" TargetMode="External"/><Relationship Id="rId17" Type="http://schemas.openxmlformats.org/officeDocument/2006/relationships/hyperlink" Target="https://ich.unesco.org/doc/src/ITH-17-12.COM-14-EN.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ITH-17-12.COM-11-EN.docx" TargetMode="External"/><Relationship Id="rId20" Type="http://schemas.openxmlformats.org/officeDocument/2006/relationships/hyperlink" Target="https://ich.unesco.org/en/Decisions/7.COM/15"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7.COM/15"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en/Resolutions/7.GA/10" TargetMode="External"/><Relationship Id="rId23" Type="http://schemas.openxmlformats.org/officeDocument/2006/relationships/header" Target="header2.xml"/><Relationship Id="rId10" Type="http://schemas.openxmlformats.org/officeDocument/2006/relationships/hyperlink" Target="https://ich.unesco.org/doc/src/ICH-Operational_Directives-7.GA-PDF-EN.pdf" TargetMode="External"/><Relationship Id="rId19" Type="http://schemas.openxmlformats.org/officeDocument/2006/relationships/hyperlink" Target="https://ich.unesco.org/en/Decisions/12.COM/14" TargetMode="External"/><Relationship Id="rId4" Type="http://schemas.openxmlformats.org/officeDocument/2006/relationships/settings" Target="settings.xml"/><Relationship Id="rId9" Type="http://schemas.openxmlformats.org/officeDocument/2006/relationships/hyperlink" Target="https://ich.unesco.org/en/Decisions/7.COM/15" TargetMode="External"/><Relationship Id="rId14" Type="http://schemas.openxmlformats.org/officeDocument/2006/relationships/chart" Target="charts/chart2.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en/ethics-and-ich-00866" TargetMode="External"/><Relationship Id="rId1" Type="http://schemas.openxmlformats.org/officeDocument/2006/relationships/hyperlink" Target="https://whc.unesco.org/en/reactive-monito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latin typeface="Arial" panose="020B0604020202020204" pitchFamily="34" charset="0"/>
                <a:cs typeface="Arial" panose="020B0604020202020204" pitchFamily="34" charset="0"/>
              </a:rPr>
              <a:t>Figure 1. Geographical distribution of elements concerned by correspondence from communities</a:t>
            </a:r>
            <a:r>
              <a:rPr lang="en-US" sz="1000" b="1" baseline="0">
                <a:latin typeface="Arial" panose="020B0604020202020204" pitchFamily="34" charset="0"/>
                <a:cs typeface="Arial" panose="020B0604020202020204" pitchFamily="34" charset="0"/>
              </a:rPr>
              <a:t> and</a:t>
            </a:r>
            <a:r>
              <a:rPr lang="en-US" sz="1000" b="1">
                <a:latin typeface="Arial" panose="020B0604020202020204" pitchFamily="34" charset="0"/>
                <a:cs typeface="Arial" panose="020B0604020202020204" pitchFamily="34" charset="0"/>
              </a:rPr>
              <a:t> third parties in 2017-2018</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1"/>
        <c:ser>
          <c:idx val="0"/>
          <c:order val="0"/>
          <c:tx>
            <c:strRef>
              <c:f>Sheet1!$B$1</c:f>
              <c:strCache>
                <c:ptCount val="1"/>
                <c:pt idx="0">
                  <c:v>Geographical distribution of accredited NGOs</c:v>
                </c:pt>
              </c:strCache>
            </c:strRef>
          </c:tx>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AF31-4EE5-B4C3-438274C1B610}"/>
              </c:ext>
            </c:extLst>
          </c:dPt>
          <c:dPt>
            <c:idx val="1"/>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3-AF31-4EE5-B4C3-438274C1B610}"/>
              </c:ext>
            </c:extLst>
          </c:dPt>
          <c:dPt>
            <c:idx val="2"/>
            <c:invertIfNegative val="0"/>
            <c:bubble3D val="0"/>
            <c:spPr>
              <a:solidFill>
                <a:schemeClr val="accent3"/>
              </a:solidFill>
              <a:ln w="19050">
                <a:solidFill>
                  <a:schemeClr val="lt1"/>
                </a:solidFill>
              </a:ln>
              <a:effectLst/>
            </c:spPr>
            <c:extLst>
              <c:ext xmlns:c16="http://schemas.microsoft.com/office/drawing/2014/chart" uri="{C3380CC4-5D6E-409C-BE32-E72D297353CC}">
                <c16:uniqueId val="{00000005-AF31-4EE5-B4C3-438274C1B610}"/>
              </c:ext>
            </c:extLst>
          </c:dPt>
          <c:dPt>
            <c:idx val="3"/>
            <c:invertIfNegative val="0"/>
            <c:bubble3D val="0"/>
            <c:spPr>
              <a:solidFill>
                <a:schemeClr val="accent4"/>
              </a:solidFill>
              <a:ln w="19050">
                <a:solidFill>
                  <a:schemeClr val="lt1"/>
                </a:solidFill>
              </a:ln>
              <a:effectLst/>
            </c:spPr>
            <c:extLst>
              <c:ext xmlns:c16="http://schemas.microsoft.com/office/drawing/2014/chart" uri="{C3380CC4-5D6E-409C-BE32-E72D297353CC}">
                <c16:uniqueId val="{00000007-AF31-4EE5-B4C3-438274C1B610}"/>
              </c:ext>
            </c:extLst>
          </c:dPt>
          <c:dPt>
            <c:idx val="4"/>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9-AF31-4EE5-B4C3-438274C1B610}"/>
              </c:ext>
            </c:extLst>
          </c:dPt>
          <c:dPt>
            <c:idx val="5"/>
            <c:invertIfNegative val="0"/>
            <c:bubble3D val="0"/>
            <c:spPr>
              <a:solidFill>
                <a:schemeClr val="accent6"/>
              </a:solidFill>
              <a:ln w="19050">
                <a:solidFill>
                  <a:schemeClr val="lt1"/>
                </a:solidFill>
              </a:ln>
              <a:effectLst/>
            </c:spPr>
            <c:extLst>
              <c:ext xmlns:c16="http://schemas.microsoft.com/office/drawing/2014/chart" uri="{C3380CC4-5D6E-409C-BE32-E72D297353CC}">
                <c16:uniqueId val="{0000000B-AF31-4EE5-B4C3-438274C1B610}"/>
              </c:ext>
            </c:extLst>
          </c:dPt>
          <c:dLbls>
            <c:dLbl>
              <c:idx val="0"/>
              <c:layout>
                <c:manualLayout>
                  <c:x val="-1.7353202750482636E-7"/>
                  <c:y val="0.11501597444089456"/>
                </c:manualLayout>
              </c:layout>
              <c:spPr>
                <a:xfrm>
                  <a:off x="644553" y="806205"/>
                  <a:ext cx="258398" cy="143588"/>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gd name="adj1" fmla="val 10994"/>
                        <a:gd name="adj2" fmla="val 16795"/>
                      </a:avLst>
                    </a:prstGeom>
                    <a:noFill/>
                    <a:ln>
                      <a:noFill/>
                    </a:ln>
                  </c15:spPr>
                  <c15:layout>
                    <c:manualLayout>
                      <c:w val="3.1617361879351859E-2"/>
                      <c:h val="6.094203080844926E-2"/>
                    </c:manualLayout>
                  </c15:layout>
                </c:ext>
                <c:ext xmlns:c16="http://schemas.microsoft.com/office/drawing/2014/chart" uri="{C3380CC4-5D6E-409C-BE32-E72D297353CC}">
                  <c16:uniqueId val="{00000001-AF31-4EE5-B4C3-438274C1B610}"/>
                </c:ext>
              </c:extLst>
            </c:dLbl>
            <c:dLbl>
              <c:idx val="1"/>
              <c:layout>
                <c:manualLayout>
                  <c:x val="-4.0403573658509729E-17"/>
                  <c:y val="9.3716719914802987E-2"/>
                </c:manualLayout>
              </c:layout>
              <c:dLblPos val="outEnd"/>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AF31-4EE5-B4C3-438274C1B610}"/>
                </c:ext>
              </c:extLst>
            </c:dLbl>
            <c:dLbl>
              <c:idx val="2"/>
              <c:layout>
                <c:manualLayout>
                  <c:x val="0"/>
                  <c:y val="0.10649627263045794"/>
                </c:manualLayout>
              </c:layout>
              <c:dLblPos val="outEnd"/>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AF31-4EE5-B4C3-438274C1B610}"/>
                </c:ext>
              </c:extLst>
            </c:dLbl>
            <c:dLbl>
              <c:idx val="3"/>
              <c:layout>
                <c:manualLayout>
                  <c:x val="-8.0807147317019457E-17"/>
                  <c:y val="0.10649627263045801"/>
                </c:manualLayout>
              </c:layout>
              <c:dLblPos val="outEnd"/>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AF31-4EE5-B4C3-438274C1B610}"/>
                </c:ext>
              </c:extLst>
            </c:dLbl>
            <c:dLbl>
              <c:idx val="4"/>
              <c:layout>
                <c:manualLayout>
                  <c:x val="0"/>
                  <c:y val="0.11075612353567625"/>
                </c:manualLayout>
              </c:layout>
              <c:dLblPos val="outEnd"/>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9-AF31-4EE5-B4C3-438274C1B610}"/>
                </c:ext>
              </c:extLst>
            </c:dLbl>
            <c:dLbl>
              <c:idx val="5"/>
              <c:layout>
                <c:manualLayout>
                  <c:x val="0"/>
                  <c:y val="9.3716719914802987E-2"/>
                </c:manualLayout>
              </c:layout>
              <c:dLblPos val="outEnd"/>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B-AF31-4EE5-B4C3-438274C1B61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Sheet1!$A$2:$A$7</c:f>
              <c:strCache>
                <c:ptCount val="6"/>
                <c:pt idx="0">
                  <c:v>Western Europe and North America (EG I)</c:v>
                </c:pt>
                <c:pt idx="1">
                  <c:v>Eastern Europe (EG II)</c:v>
                </c:pt>
                <c:pt idx="2">
                  <c:v>Latin America and the Caribbean (EG III)</c:v>
                </c:pt>
                <c:pt idx="3">
                  <c:v>Asia and the Pacific (EG IV)</c:v>
                </c:pt>
                <c:pt idx="4">
                  <c:v>Africa (EG V(a))</c:v>
                </c:pt>
                <c:pt idx="5">
                  <c:v>Arab States (EG V(b))</c:v>
                </c:pt>
              </c:strCache>
            </c:strRef>
          </c:cat>
          <c:val>
            <c:numRef>
              <c:f>Sheet1!$B$2:$B$7</c:f>
              <c:numCache>
                <c:formatCode>General</c:formatCode>
                <c:ptCount val="6"/>
                <c:pt idx="0">
                  <c:v>4</c:v>
                </c:pt>
                <c:pt idx="1">
                  <c:v>1</c:v>
                </c:pt>
                <c:pt idx="2">
                  <c:v>3</c:v>
                </c:pt>
                <c:pt idx="3">
                  <c:v>1</c:v>
                </c:pt>
                <c:pt idx="4">
                  <c:v>2</c:v>
                </c:pt>
                <c:pt idx="5">
                  <c:v>1</c:v>
                </c:pt>
              </c:numCache>
            </c:numRef>
          </c:val>
          <c:extLst>
            <c:ext xmlns:c16="http://schemas.microsoft.com/office/drawing/2014/chart" uri="{C3380CC4-5D6E-409C-BE32-E72D297353CC}">
              <c16:uniqueId val="{0000000C-AF31-4EE5-B4C3-438274C1B610}"/>
            </c:ext>
          </c:extLst>
        </c:ser>
        <c:dLbls>
          <c:showLegendKey val="0"/>
          <c:showVal val="0"/>
          <c:showCatName val="0"/>
          <c:showSerName val="0"/>
          <c:showPercent val="0"/>
          <c:showBubbleSize val="0"/>
        </c:dLbls>
        <c:gapWidth val="100"/>
        <c:axId val="107767296"/>
        <c:axId val="107502336"/>
      </c:barChart>
      <c:catAx>
        <c:axId val="1077672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7502336"/>
        <c:crosses val="autoZero"/>
        <c:auto val="1"/>
        <c:lblAlgn val="ctr"/>
        <c:lblOffset val="100"/>
        <c:noMultiLvlLbl val="0"/>
      </c:catAx>
      <c:valAx>
        <c:axId val="107502336"/>
        <c:scaling>
          <c:orientation val="minMax"/>
          <c:max val="4.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7767296"/>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1">
                <a:latin typeface="Arial" panose="020B0604020202020204" pitchFamily="34" charset="0"/>
                <a:cs typeface="Arial" panose="020B0604020202020204" pitchFamily="34" charset="0"/>
              </a:rPr>
              <a:t>Figure 2. Origin</a:t>
            </a:r>
            <a:r>
              <a:rPr lang="en-US" sz="1000" b="1" baseline="0">
                <a:latin typeface="Arial" panose="020B0604020202020204" pitchFamily="34" charset="0"/>
                <a:cs typeface="Arial" panose="020B0604020202020204" pitchFamily="34" charset="0"/>
              </a:rPr>
              <a:t> of the correspondence concerning inscribed elements received by the Secretariat in 2017-2018</a:t>
            </a:r>
            <a:endParaRPr lang="en-US" sz="1000" b="1">
              <a:latin typeface="Arial" panose="020B0604020202020204" pitchFamily="34" charset="0"/>
              <a:cs typeface="Arial" panose="020B0604020202020204" pitchFamily="34" charset="0"/>
            </a:endParaRPr>
          </a:p>
        </c:rich>
      </c:tx>
      <c:layout/>
      <c:overlay val="0"/>
      <c:spPr>
        <a:noFill/>
        <a:ln>
          <a:noFill/>
        </a:ln>
        <a:effectLst/>
      </c:spPr>
    </c:title>
    <c:autoTitleDeleted val="0"/>
    <c:plotArea>
      <c:layout/>
      <c:pieChart>
        <c:varyColors val="1"/>
        <c:ser>
          <c:idx val="0"/>
          <c:order val="0"/>
          <c:tx>
            <c:strRef>
              <c:f>Sheet1!$B$1</c:f>
              <c:strCache>
                <c:ptCount val="1"/>
                <c:pt idx="0">
                  <c:v>Number of elements concerned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C65-40B4-9675-AABC725C13B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C65-40B4-9675-AABC725C13B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C65-40B4-9675-AABC725C13B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C65-40B4-9675-AABC725C13B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C65-40B4-9675-AABC725C13B8}"/>
              </c:ext>
            </c:extLst>
          </c:dPt>
          <c:dLbls>
            <c:dLbl>
              <c:idx val="0"/>
              <c:layout>
                <c:manualLayout>
                  <c:x val="5.5555555555555469E-2"/>
                  <c:y val="0.10714285714285714"/>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4C65-40B4-9675-AABC725C13B8}"/>
                </c:ext>
              </c:extLst>
            </c:dLbl>
            <c:dLbl>
              <c:idx val="2"/>
              <c:layout>
                <c:manualLayout>
                  <c:x val="-0.15046296296296299"/>
                  <c:y val="-5.158730158730173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4C65-40B4-9675-AABC725C13B8}"/>
                </c:ext>
              </c:extLst>
            </c:dLbl>
            <c:dLbl>
              <c:idx val="4"/>
              <c:layout>
                <c:manualLayout>
                  <c:x val="-4.2437781360066642E-17"/>
                  <c:y val="1.9841269841269823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4C65-40B4-9675-AABC725C13B8}"/>
                </c:ext>
              </c:extLst>
            </c:dLbl>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Sheet1!$A$2:$A$6</c:f>
              <c:strCache>
                <c:ptCount val="5"/>
                <c:pt idx="0">
                  <c:v>Non-governmental organizations (not accredited)</c:v>
                </c:pt>
                <c:pt idx="1">
                  <c:v>Media</c:v>
                </c:pt>
                <c:pt idx="2">
                  <c:v>Members of community concerned </c:v>
                </c:pt>
                <c:pt idx="3">
                  <c:v>Individuals (outside of the community)</c:v>
                </c:pt>
                <c:pt idx="4">
                  <c:v>Academia</c:v>
                </c:pt>
              </c:strCache>
            </c:strRef>
          </c:cat>
          <c:val>
            <c:numRef>
              <c:f>Sheet1!$B$2:$B$6</c:f>
              <c:numCache>
                <c:formatCode>General</c:formatCode>
                <c:ptCount val="5"/>
                <c:pt idx="0">
                  <c:v>3</c:v>
                </c:pt>
                <c:pt idx="1">
                  <c:v>2</c:v>
                </c:pt>
                <c:pt idx="2">
                  <c:v>5</c:v>
                </c:pt>
                <c:pt idx="3">
                  <c:v>3</c:v>
                </c:pt>
                <c:pt idx="4">
                  <c:v>1</c:v>
                </c:pt>
              </c:numCache>
            </c:numRef>
          </c:val>
          <c:extLst>
            <c:ext xmlns:c16="http://schemas.microsoft.com/office/drawing/2014/chart" uri="{C3380CC4-5D6E-409C-BE32-E72D297353CC}">
              <c16:uniqueId val="{00000000-8C06-42DD-BCE8-C341676A286E}"/>
            </c:ext>
          </c:extLst>
        </c:ser>
        <c:ser>
          <c:idx val="1"/>
          <c:order val="1"/>
          <c:tx>
            <c:strRef>
              <c:f>Sheet1!$C$1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B-4C65-40B4-9675-AABC725C13B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D-4C65-40B4-9675-AABC725C13B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F-4C65-40B4-9675-AABC725C13B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1-4C65-40B4-9675-AABC725C13B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3-4C65-40B4-9675-AABC725C13B8}"/>
              </c:ext>
            </c:extLst>
          </c:dPt>
          <c:cat>
            <c:strRef>
              <c:f>Sheet1!$A$2:$A$6</c:f>
              <c:strCache>
                <c:ptCount val="5"/>
                <c:pt idx="0">
                  <c:v>Non-governmental organizations (not accredited)</c:v>
                </c:pt>
                <c:pt idx="1">
                  <c:v>Media</c:v>
                </c:pt>
                <c:pt idx="2">
                  <c:v>Members of community concerned </c:v>
                </c:pt>
                <c:pt idx="3">
                  <c:v>Individuals (outside of the community)</c:v>
                </c:pt>
                <c:pt idx="4">
                  <c:v>Academia</c:v>
                </c:pt>
              </c:strCache>
            </c:strRef>
          </c:cat>
          <c:val>
            <c:numRef>
              <c:f>Sheet1!$C$2:$C$6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1-8C06-42DD-BCE8-C341676A286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200CA-DCF2-433F-AFAC-4C372078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321</TotalTime>
  <Pages>10</Pages>
  <Words>4474</Words>
  <Characters>24607</Characters>
  <Application>Microsoft Office Word</Application>
  <DocSecurity>0</DocSecurity>
  <Lines>205</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Glenat, Keiichi Julien</cp:lastModifiedBy>
  <cp:revision>37</cp:revision>
  <cp:lastPrinted>2018-10-25T13:31:00Z</cp:lastPrinted>
  <dcterms:created xsi:type="dcterms:W3CDTF">2018-10-15T09:05:00Z</dcterms:created>
  <dcterms:modified xsi:type="dcterms:W3CDTF">2018-11-12T18:12:00Z</dcterms:modified>
</cp:coreProperties>
</file>