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E0" w:rsidRPr="002402C9" w:rsidRDefault="00C902E0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</w:t>
      </w:r>
      <w:bookmarkStart w:id="0" w:name="_GoBack"/>
      <w:bookmarkEnd w:id="0"/>
      <w:r w:rsidRPr="002402C9">
        <w:rPr>
          <w:rFonts w:ascii="Arial" w:hAnsi="Arial" w:cs="Arial"/>
          <w:b/>
          <w:sz w:val="22"/>
          <w:szCs w:val="22"/>
          <w:lang w:val="ru-RU"/>
        </w:rPr>
        <w:t>ОГО НАСЛЕДИЯ</w:t>
      </w:r>
    </w:p>
    <w:p w:rsidR="00C902E0" w:rsidRPr="002402C9" w:rsidRDefault="00C902E0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C902E0" w:rsidRPr="00430A07" w:rsidRDefault="00C902E0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30A07">
        <w:rPr>
          <w:rFonts w:ascii="Arial" w:hAnsi="Arial" w:cs="Arial"/>
          <w:b/>
          <w:sz w:val="22"/>
          <w:szCs w:val="22"/>
          <w:lang w:val="ru-RU"/>
        </w:rPr>
        <w:t>Седьмая сессия</w:t>
      </w:r>
    </w:p>
    <w:p w:rsidR="00C902E0" w:rsidRPr="00430A07" w:rsidRDefault="00C902E0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30A07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C902E0" w:rsidRPr="00430A07" w:rsidRDefault="00C902E0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30A07">
        <w:rPr>
          <w:rFonts w:ascii="Arial" w:hAnsi="Arial" w:cs="Arial"/>
          <w:b/>
          <w:sz w:val="22"/>
          <w:szCs w:val="22"/>
          <w:lang w:val="ru-RU"/>
        </w:rPr>
        <w:t xml:space="preserve">4 – 6 июня </w:t>
      </w:r>
      <w:smartTag w:uri="urn:schemas-microsoft-com:office:smarttags" w:element="metricconverter">
        <w:smartTagPr>
          <w:attr w:name="ProductID" w:val="2018 г"/>
        </w:smartTagPr>
        <w:r w:rsidRPr="00430A07">
          <w:rPr>
            <w:rFonts w:ascii="Arial" w:hAnsi="Arial" w:cs="Arial"/>
            <w:b/>
            <w:sz w:val="22"/>
            <w:szCs w:val="22"/>
            <w:lang w:val="ru-RU"/>
          </w:rPr>
          <w:t>2018 г</w:t>
        </w:r>
      </w:smartTag>
      <w:r w:rsidRPr="00430A07">
        <w:rPr>
          <w:rFonts w:ascii="Arial" w:hAnsi="Arial" w:cs="Arial"/>
          <w:b/>
          <w:sz w:val="22"/>
          <w:szCs w:val="22"/>
          <w:lang w:val="ru-RU"/>
        </w:rPr>
        <w:t>.</w:t>
      </w:r>
    </w:p>
    <w:p w:rsidR="00C902E0" w:rsidRPr="00430A07" w:rsidRDefault="00C902E0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30A07">
        <w:rPr>
          <w:rFonts w:ascii="Arial" w:hAnsi="Arial" w:cs="Arial"/>
          <w:b/>
          <w:sz w:val="22"/>
          <w:szCs w:val="22"/>
          <w:u w:val="single"/>
          <w:lang w:val="ru-RU"/>
        </w:rPr>
        <w:t>Пункт 7 предварительной повестки дня:</w:t>
      </w:r>
    </w:p>
    <w:p w:rsidR="00C902E0" w:rsidRPr="002402C9" w:rsidRDefault="00C902E0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30A07">
        <w:rPr>
          <w:rFonts w:ascii="Arial" w:hAnsi="Arial" w:cs="Arial"/>
          <w:b/>
          <w:sz w:val="22"/>
          <w:szCs w:val="22"/>
          <w:lang w:val="ru-RU"/>
        </w:rPr>
        <w:t>Доклад Секретариата о своей деятельности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</w:tblGrid>
      <w:tr w:rsidR="00C902E0" w:rsidRPr="003F1AFD">
        <w:trPr>
          <w:jc w:val="center"/>
        </w:trPr>
        <w:tc>
          <w:tcPr>
            <w:tcW w:w="7825" w:type="dxa"/>
            <w:vAlign w:val="center"/>
          </w:tcPr>
          <w:p w:rsidR="00C902E0" w:rsidRPr="003401F3" w:rsidRDefault="00C902E0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C902E0" w:rsidRPr="00165BA0" w:rsidRDefault="00165BA0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данном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B765B">
              <w:rPr>
                <w:rFonts w:ascii="Arial" w:hAnsi="Arial" w:cs="Arial"/>
                <w:sz w:val="22"/>
                <w:szCs w:val="22"/>
                <w:lang w:val="ru-RU"/>
              </w:rPr>
              <w:t>документе</w:t>
            </w:r>
            <w:r w:rsidR="00BB765B"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Секретариата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января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2016</w:t>
            </w:r>
            <w:r w:rsidRPr="00165BA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декабрь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 xml:space="preserve"> 2017</w:t>
            </w:r>
            <w:r w:rsidRPr="00165BA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165BA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C902E0" w:rsidRPr="002402C9" w:rsidRDefault="00C902E0" w:rsidP="005B7A35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29</w:t>
            </w:r>
          </w:p>
        </w:tc>
      </w:tr>
    </w:tbl>
    <w:p w:rsidR="00C902E0" w:rsidRDefault="00C902E0" w:rsidP="00430A07">
      <w:pPr>
        <w:pStyle w:val="GAPara"/>
        <w:numPr>
          <w:ilvl w:val="0"/>
          <w:numId w:val="0"/>
        </w:numPr>
        <w:jc w:val="both"/>
      </w:pPr>
      <w:r w:rsidRPr="002402C9">
        <w:rPr>
          <w:lang w:val="ru-RU"/>
        </w:rPr>
        <w:br w:type="page"/>
      </w:r>
    </w:p>
    <w:p w:rsidR="00C902E0" w:rsidRPr="00FF1667" w:rsidRDefault="00C902E0" w:rsidP="00430A07">
      <w:pPr>
        <w:pStyle w:val="COMPara"/>
        <w:spacing w:before="360"/>
        <w:ind w:left="567" w:hanging="567"/>
        <w:jc w:val="both"/>
        <w:rPr>
          <w:b/>
        </w:rPr>
      </w:pPr>
      <w:smartTag w:uri="urn:schemas-microsoft-com:office:smarttags" w:element="place">
        <w:r>
          <w:rPr>
            <w:b/>
          </w:rPr>
          <w:lastRenderedPageBreak/>
          <w:t>I.</w:t>
        </w:r>
      </w:smartTag>
      <w:r>
        <w:rPr>
          <w:b/>
        </w:rPr>
        <w:tab/>
      </w:r>
      <w:r>
        <w:rPr>
          <w:b/>
          <w:lang w:val="ru-RU"/>
        </w:rPr>
        <w:t>Введение</w:t>
      </w:r>
    </w:p>
    <w:p w:rsidR="00C902E0" w:rsidRPr="007F1667" w:rsidRDefault="00A51B2A" w:rsidP="00430A07">
      <w:pPr>
        <w:pStyle w:val="COMPara"/>
        <w:numPr>
          <w:ilvl w:val="0"/>
          <w:numId w:val="26"/>
        </w:numPr>
        <w:ind w:left="567" w:hanging="567"/>
        <w:jc w:val="both"/>
        <w:rPr>
          <w:lang w:val="ru-RU"/>
        </w:rPr>
      </w:pPr>
      <w:r>
        <w:rPr>
          <w:lang w:val="ru-RU"/>
        </w:rPr>
        <w:t>С</w:t>
      </w:r>
      <w:r w:rsidRPr="00672241">
        <w:rPr>
          <w:lang w:val="ru-RU"/>
        </w:rPr>
        <w:t xml:space="preserve"> </w:t>
      </w:r>
      <w:r>
        <w:rPr>
          <w:lang w:val="ru-RU"/>
        </w:rPr>
        <w:t>момента</w:t>
      </w:r>
      <w:r w:rsidRPr="00672241">
        <w:rPr>
          <w:lang w:val="ru-RU"/>
        </w:rPr>
        <w:t xml:space="preserve"> </w:t>
      </w:r>
      <w:r>
        <w:rPr>
          <w:lang w:val="ru-RU"/>
        </w:rPr>
        <w:t>своего</w:t>
      </w:r>
      <w:r w:rsidRPr="00672241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672241">
        <w:rPr>
          <w:lang w:val="ru-RU"/>
        </w:rPr>
        <w:t xml:space="preserve"> </w:t>
      </w:r>
      <w:r>
        <w:rPr>
          <w:lang w:val="ru-RU"/>
        </w:rPr>
        <w:t>доклада</w:t>
      </w:r>
      <w:r w:rsidRPr="00672241">
        <w:rPr>
          <w:lang w:val="ru-RU"/>
        </w:rPr>
        <w:t xml:space="preserve"> </w:t>
      </w:r>
      <w:r w:rsidR="00672241">
        <w:rPr>
          <w:lang w:val="ru-RU"/>
        </w:rPr>
        <w:t>на</w:t>
      </w:r>
      <w:r w:rsidR="00672241" w:rsidRPr="00672241">
        <w:rPr>
          <w:lang w:val="ru-RU"/>
        </w:rPr>
        <w:t xml:space="preserve"> </w:t>
      </w:r>
      <w:r>
        <w:rPr>
          <w:lang w:val="ru-RU"/>
        </w:rPr>
        <w:t>шестой</w:t>
      </w:r>
      <w:r w:rsidRPr="00672241">
        <w:rPr>
          <w:lang w:val="ru-RU"/>
        </w:rPr>
        <w:t xml:space="preserve"> </w:t>
      </w:r>
      <w:r>
        <w:rPr>
          <w:lang w:val="ru-RU"/>
        </w:rPr>
        <w:t>сессии</w:t>
      </w:r>
      <w:r w:rsidRPr="00672241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672241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72241">
        <w:rPr>
          <w:lang w:val="ru-RU"/>
        </w:rPr>
        <w:t xml:space="preserve"> </w:t>
      </w:r>
      <w:r>
        <w:rPr>
          <w:lang w:val="ru-RU"/>
        </w:rPr>
        <w:t>в</w:t>
      </w:r>
      <w:r w:rsidRPr="00672241">
        <w:rPr>
          <w:lang w:val="ru-RU"/>
        </w:rPr>
        <w:t xml:space="preserve"> </w:t>
      </w:r>
      <w:r>
        <w:rPr>
          <w:lang w:val="ru-RU"/>
        </w:rPr>
        <w:t>июне</w:t>
      </w:r>
      <w:r w:rsidRPr="00672241">
        <w:rPr>
          <w:lang w:val="ru-RU"/>
        </w:rPr>
        <w:t xml:space="preserve"> 2016</w:t>
      </w:r>
      <w:r w:rsidRPr="00A51B2A">
        <w:rPr>
          <w:lang w:val="en-US"/>
        </w:rPr>
        <w:t> </w:t>
      </w:r>
      <w:r>
        <w:rPr>
          <w:lang w:val="ru-RU"/>
        </w:rPr>
        <w:t>г</w:t>
      </w:r>
      <w:r w:rsidRPr="00672241">
        <w:rPr>
          <w:lang w:val="ru-RU"/>
        </w:rPr>
        <w:t xml:space="preserve">. </w:t>
      </w:r>
      <w:r w:rsidR="00C902E0" w:rsidRPr="00672241">
        <w:rPr>
          <w:lang w:val="ru-RU"/>
        </w:rPr>
        <w:t>(</w:t>
      </w:r>
      <w:r w:rsidR="00C902E0">
        <w:rPr>
          <w:lang w:val="ru-RU"/>
        </w:rPr>
        <w:t>документ</w:t>
      </w:r>
      <w:r w:rsidR="00C902E0" w:rsidRPr="00672241">
        <w:rPr>
          <w:lang w:val="ru-RU"/>
        </w:rPr>
        <w:t xml:space="preserve"> </w:t>
      </w:r>
      <w:hyperlink r:id="rId7" w:history="1">
        <w:r w:rsidR="00C902E0" w:rsidRPr="00841EDB">
          <w:rPr>
            <w:rStyle w:val="Hyperlink"/>
            <w:rFonts w:cs="Arial"/>
            <w:lang w:val="nb-NO"/>
          </w:rPr>
          <w:t>ITH/16/6.G</w:t>
        </w:r>
        <w:r w:rsidR="00C902E0" w:rsidRPr="00841EDB">
          <w:rPr>
            <w:rStyle w:val="Hyperlink"/>
            <w:rFonts w:cs="Arial"/>
            <w:lang w:val="nb-NO"/>
          </w:rPr>
          <w:t>A</w:t>
        </w:r>
        <w:r w:rsidR="00C902E0" w:rsidRPr="00841EDB">
          <w:rPr>
            <w:rStyle w:val="Hyperlink"/>
            <w:rFonts w:cs="Arial"/>
            <w:lang w:val="nb-NO"/>
          </w:rPr>
          <w:t>/6</w:t>
        </w:r>
      </w:hyperlink>
      <w:r w:rsidR="00C902E0" w:rsidRPr="00672241">
        <w:rPr>
          <w:lang w:val="ru-RU"/>
        </w:rPr>
        <w:t>)</w:t>
      </w:r>
      <w:r w:rsidRPr="00672241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672241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672241">
        <w:rPr>
          <w:lang w:val="ru-RU"/>
        </w:rPr>
        <w:t xml:space="preserve"> </w:t>
      </w:r>
      <w:r>
        <w:rPr>
          <w:lang w:val="ru-RU"/>
        </w:rPr>
        <w:t>подробный</w:t>
      </w:r>
      <w:r w:rsidRPr="00672241">
        <w:rPr>
          <w:lang w:val="ru-RU"/>
        </w:rPr>
        <w:t xml:space="preserve"> </w:t>
      </w:r>
      <w:r>
        <w:rPr>
          <w:lang w:val="ru-RU"/>
        </w:rPr>
        <w:t>доклад</w:t>
      </w:r>
      <w:r w:rsidRPr="00672241">
        <w:rPr>
          <w:lang w:val="ru-RU"/>
        </w:rPr>
        <w:t xml:space="preserve"> </w:t>
      </w:r>
      <w:r>
        <w:rPr>
          <w:lang w:val="ru-RU"/>
        </w:rPr>
        <w:t>о</w:t>
      </w:r>
      <w:r w:rsidRPr="00672241">
        <w:rPr>
          <w:lang w:val="ru-RU"/>
        </w:rPr>
        <w:t xml:space="preserve"> </w:t>
      </w:r>
      <w:r>
        <w:rPr>
          <w:lang w:val="ru-RU"/>
        </w:rPr>
        <w:t>своей</w:t>
      </w:r>
      <w:r w:rsidRPr="00672241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72241">
        <w:rPr>
          <w:lang w:val="ru-RU"/>
        </w:rPr>
        <w:t xml:space="preserve"> </w:t>
      </w:r>
      <w:r>
        <w:rPr>
          <w:lang w:val="ru-RU"/>
        </w:rPr>
        <w:t>в</w:t>
      </w:r>
      <w:r w:rsidRPr="00672241">
        <w:rPr>
          <w:lang w:val="ru-RU"/>
        </w:rPr>
        <w:t xml:space="preserve"> 2016</w:t>
      </w:r>
      <w:r w:rsidRPr="00A51B2A">
        <w:rPr>
          <w:lang w:val="en-US"/>
        </w:rPr>
        <w:t> </w:t>
      </w:r>
      <w:r>
        <w:rPr>
          <w:lang w:val="ru-RU"/>
        </w:rPr>
        <w:t>г</w:t>
      </w:r>
      <w:r w:rsidRPr="00672241">
        <w:rPr>
          <w:lang w:val="ru-RU"/>
        </w:rPr>
        <w:t xml:space="preserve">. </w:t>
      </w:r>
      <w:r w:rsidR="00672241">
        <w:rPr>
          <w:lang w:val="ru-RU"/>
        </w:rPr>
        <w:t>н</w:t>
      </w:r>
      <w:r>
        <w:rPr>
          <w:lang w:val="ru-RU"/>
        </w:rPr>
        <w:t>а</w:t>
      </w:r>
      <w:r w:rsidRPr="00672241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672241">
        <w:rPr>
          <w:lang w:val="ru-RU"/>
        </w:rPr>
        <w:t xml:space="preserve"> </w:t>
      </w:r>
      <w:r>
        <w:rPr>
          <w:lang w:val="ru-RU"/>
        </w:rPr>
        <w:t>сессии</w:t>
      </w:r>
      <w:r w:rsidRPr="00672241">
        <w:rPr>
          <w:lang w:val="ru-RU"/>
        </w:rPr>
        <w:t xml:space="preserve"> </w:t>
      </w:r>
      <w:r>
        <w:rPr>
          <w:lang w:val="ru-RU"/>
        </w:rPr>
        <w:t>Комитет</w:t>
      </w:r>
      <w:r w:rsidR="00672241">
        <w:rPr>
          <w:lang w:val="ru-RU"/>
        </w:rPr>
        <w:t>а</w:t>
      </w:r>
      <w:r w:rsidRPr="00672241">
        <w:rPr>
          <w:lang w:val="ru-RU"/>
        </w:rPr>
        <w:t xml:space="preserve"> </w:t>
      </w:r>
      <w:r w:rsidR="00C902E0" w:rsidRPr="00672241">
        <w:rPr>
          <w:lang w:val="ru-RU"/>
        </w:rPr>
        <w:t>(</w:t>
      </w:r>
      <w:r w:rsidR="00C902E0">
        <w:rPr>
          <w:lang w:val="ru-RU"/>
        </w:rPr>
        <w:t>документ</w:t>
      </w:r>
      <w:r w:rsidR="00C902E0" w:rsidRPr="00672241">
        <w:rPr>
          <w:rFonts w:cs="Times New Roman"/>
          <w:lang w:val="ru-RU"/>
        </w:rPr>
        <w:t xml:space="preserve"> </w:t>
      </w:r>
      <w:hyperlink r:id="rId8" w:history="1">
        <w:r w:rsidR="00C902E0" w:rsidRPr="00841EDB">
          <w:rPr>
            <w:rStyle w:val="Hyperlink"/>
          </w:rPr>
          <w:t>ITH</w:t>
        </w:r>
        <w:r w:rsidR="00C902E0" w:rsidRPr="00672241">
          <w:rPr>
            <w:rStyle w:val="Hyperlink"/>
            <w:lang w:val="ru-RU"/>
          </w:rPr>
          <w:t>/16/11.</w:t>
        </w:r>
        <w:r w:rsidR="00C902E0" w:rsidRPr="00841EDB">
          <w:rPr>
            <w:rStyle w:val="Hyperlink"/>
          </w:rPr>
          <w:t>COM</w:t>
        </w:r>
        <w:r w:rsidR="00C902E0" w:rsidRPr="00672241">
          <w:rPr>
            <w:rStyle w:val="Hyperlink"/>
            <w:lang w:val="ru-RU"/>
          </w:rPr>
          <w:t>/5</w:t>
        </w:r>
      </w:hyperlink>
      <w:r w:rsidR="00C902E0" w:rsidRPr="00672241">
        <w:rPr>
          <w:lang w:val="ru-RU"/>
        </w:rPr>
        <w:t xml:space="preserve">) </w:t>
      </w:r>
      <w:r w:rsidR="00672241">
        <w:rPr>
          <w:lang w:val="ru-RU"/>
        </w:rPr>
        <w:t>и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сводный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доклад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о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своей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деятельности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с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января</w:t>
      </w:r>
      <w:r w:rsidR="00672241" w:rsidRPr="00672241">
        <w:rPr>
          <w:lang w:val="ru-RU"/>
        </w:rPr>
        <w:t xml:space="preserve"> 2016</w:t>
      </w:r>
      <w:r w:rsidR="00672241" w:rsidRPr="00672241">
        <w:rPr>
          <w:lang w:val="en-US"/>
        </w:rPr>
        <w:t> </w:t>
      </w:r>
      <w:r w:rsidR="00672241">
        <w:rPr>
          <w:lang w:val="ru-RU"/>
        </w:rPr>
        <w:t>г</w:t>
      </w:r>
      <w:r w:rsidR="00672241" w:rsidRPr="00672241">
        <w:rPr>
          <w:lang w:val="ru-RU"/>
        </w:rPr>
        <w:t xml:space="preserve">. </w:t>
      </w:r>
      <w:r w:rsidR="00672241">
        <w:rPr>
          <w:lang w:val="ru-RU"/>
        </w:rPr>
        <w:t>по</w:t>
      </w:r>
      <w:r w:rsidR="00672241" w:rsidRPr="00672241">
        <w:rPr>
          <w:lang w:val="ru-RU"/>
        </w:rPr>
        <w:t xml:space="preserve"> </w:t>
      </w:r>
      <w:r w:rsidR="00672241">
        <w:rPr>
          <w:lang w:val="ru-RU"/>
        </w:rPr>
        <w:t>июнь</w:t>
      </w:r>
      <w:r w:rsidR="00672241" w:rsidRPr="00672241">
        <w:rPr>
          <w:lang w:val="ru-RU"/>
        </w:rPr>
        <w:t xml:space="preserve"> 2017</w:t>
      </w:r>
      <w:r w:rsidR="00672241" w:rsidRPr="00672241">
        <w:rPr>
          <w:lang w:val="en-US"/>
        </w:rPr>
        <w:t> </w:t>
      </w:r>
      <w:r w:rsidR="00672241">
        <w:rPr>
          <w:lang w:val="ru-RU"/>
        </w:rPr>
        <w:t>г</w:t>
      </w:r>
      <w:r w:rsidR="00672241" w:rsidRPr="00672241">
        <w:rPr>
          <w:lang w:val="ru-RU"/>
        </w:rPr>
        <w:t xml:space="preserve">. </w:t>
      </w:r>
      <w:r w:rsidR="00672241">
        <w:rPr>
          <w:lang w:val="ru-RU"/>
        </w:rPr>
        <w:t xml:space="preserve">на двенадцатой сессии Комитета </w:t>
      </w:r>
      <w:r w:rsidR="00C902E0" w:rsidRPr="00672241">
        <w:rPr>
          <w:lang w:val="ru-RU"/>
        </w:rPr>
        <w:t>(</w:t>
      </w:r>
      <w:r w:rsidR="00C902E0">
        <w:rPr>
          <w:lang w:val="ru-RU"/>
        </w:rPr>
        <w:t>документ</w:t>
      </w:r>
      <w:r w:rsidR="00C902E0" w:rsidRPr="00672241">
        <w:rPr>
          <w:rFonts w:cs="Times New Roman"/>
          <w:lang w:val="ru-RU"/>
        </w:rPr>
        <w:t xml:space="preserve"> </w:t>
      </w:r>
      <w:hyperlink r:id="rId9" w:history="1">
        <w:r w:rsidR="00C902E0" w:rsidRPr="00841EDB">
          <w:rPr>
            <w:rStyle w:val="Hyperlink"/>
          </w:rPr>
          <w:t>ITH</w:t>
        </w:r>
        <w:r w:rsidR="00C902E0" w:rsidRPr="00672241">
          <w:rPr>
            <w:rStyle w:val="Hyperlink"/>
            <w:lang w:val="ru-RU"/>
          </w:rPr>
          <w:t>/17/12.</w:t>
        </w:r>
        <w:r w:rsidR="00C902E0" w:rsidRPr="00841EDB">
          <w:rPr>
            <w:rStyle w:val="Hyperlink"/>
          </w:rPr>
          <w:t>COM</w:t>
        </w:r>
        <w:r w:rsidR="00C902E0" w:rsidRPr="00672241">
          <w:rPr>
            <w:rStyle w:val="Hyperlink"/>
            <w:lang w:val="ru-RU"/>
          </w:rPr>
          <w:t>/5.</w:t>
        </w:r>
        <w:r w:rsidR="00C902E0" w:rsidRPr="00841EDB">
          <w:rPr>
            <w:rStyle w:val="Hyperlink"/>
          </w:rPr>
          <w:t>b</w:t>
        </w:r>
      </w:hyperlink>
      <w:r w:rsidR="00C902E0" w:rsidRPr="00672241">
        <w:rPr>
          <w:rFonts w:cs="Times New Roman"/>
          <w:lang w:val="ru-RU"/>
        </w:rPr>
        <w:t>).</w:t>
      </w:r>
      <w:r w:rsidR="00C902E0" w:rsidRPr="00672241">
        <w:rPr>
          <w:lang w:val="ru-RU"/>
        </w:rPr>
        <w:t xml:space="preserve"> </w:t>
      </w:r>
      <w:r w:rsidR="00A90B32">
        <w:rPr>
          <w:lang w:val="ru-RU"/>
        </w:rPr>
        <w:t>В</w:t>
      </w:r>
      <w:r w:rsidR="00A90B32" w:rsidRPr="007F1667">
        <w:rPr>
          <w:lang w:val="ru-RU"/>
        </w:rPr>
        <w:t xml:space="preserve"> </w:t>
      </w:r>
      <w:r w:rsidR="00A90B32">
        <w:rPr>
          <w:lang w:val="ru-RU"/>
        </w:rPr>
        <w:t>настоящем</w:t>
      </w:r>
      <w:r w:rsidR="00A90B32" w:rsidRPr="007F1667">
        <w:rPr>
          <w:lang w:val="ru-RU"/>
        </w:rPr>
        <w:t xml:space="preserve"> </w:t>
      </w:r>
      <w:r w:rsidR="00A90B32">
        <w:rPr>
          <w:lang w:val="ru-RU"/>
        </w:rPr>
        <w:t>докладе</w:t>
      </w:r>
      <w:r w:rsidR="00A90B32" w:rsidRPr="007F1667">
        <w:rPr>
          <w:lang w:val="ru-RU"/>
        </w:rPr>
        <w:t xml:space="preserve"> </w:t>
      </w:r>
      <w:r w:rsidR="00A90B32">
        <w:rPr>
          <w:lang w:val="ru-RU"/>
        </w:rPr>
        <w:t>представлена</w:t>
      </w:r>
      <w:r w:rsidR="00A90B32" w:rsidRPr="007F1667">
        <w:rPr>
          <w:lang w:val="ru-RU"/>
        </w:rPr>
        <w:t xml:space="preserve"> </w:t>
      </w:r>
      <w:r w:rsidR="00A90B32">
        <w:rPr>
          <w:lang w:val="ru-RU"/>
        </w:rPr>
        <w:t>обновл</w:t>
      </w:r>
      <w:r w:rsidR="00C326D6">
        <w:rPr>
          <w:lang w:val="ru-RU"/>
        </w:rPr>
        <w:t>е</w:t>
      </w:r>
      <w:r w:rsidR="00A90B32">
        <w:rPr>
          <w:lang w:val="ru-RU"/>
        </w:rPr>
        <w:t>нная</w:t>
      </w:r>
      <w:r w:rsidR="00A90B32" w:rsidRPr="007F1667">
        <w:rPr>
          <w:lang w:val="ru-RU"/>
        </w:rPr>
        <w:t xml:space="preserve"> </w:t>
      </w:r>
      <w:r w:rsidR="00A90B32">
        <w:rPr>
          <w:lang w:val="ru-RU"/>
        </w:rPr>
        <w:t>информация</w:t>
      </w:r>
      <w:r w:rsidR="00A90B32" w:rsidRPr="007F1667">
        <w:rPr>
          <w:lang w:val="ru-RU"/>
        </w:rPr>
        <w:t xml:space="preserve"> </w:t>
      </w:r>
      <w:r w:rsidR="00F83ECF">
        <w:rPr>
          <w:lang w:val="ru-RU"/>
        </w:rPr>
        <w:t>из</w:t>
      </w:r>
      <w:r w:rsidR="00F83ECF" w:rsidRPr="007F1667">
        <w:rPr>
          <w:lang w:val="ru-RU"/>
        </w:rPr>
        <w:t xml:space="preserve"> </w:t>
      </w:r>
      <w:r w:rsidR="00F83ECF">
        <w:rPr>
          <w:lang w:val="ru-RU"/>
        </w:rPr>
        <w:t>последнего</w:t>
      </w:r>
      <w:r w:rsidR="00F83ECF" w:rsidRPr="007F1667">
        <w:rPr>
          <w:lang w:val="ru-RU"/>
        </w:rPr>
        <w:t xml:space="preserve"> </w:t>
      </w:r>
      <w:r w:rsidR="004D7E82">
        <w:rPr>
          <w:lang w:val="ru-RU"/>
        </w:rPr>
        <w:t>из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этих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докладов</w:t>
      </w:r>
      <w:r w:rsidR="004D7E82" w:rsidRPr="007F1667">
        <w:rPr>
          <w:lang w:val="ru-RU"/>
        </w:rPr>
        <w:t xml:space="preserve">, </w:t>
      </w:r>
      <w:r w:rsidR="004D7E82">
        <w:rPr>
          <w:lang w:val="ru-RU"/>
        </w:rPr>
        <w:t>а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также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освещена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деятельность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Секретариата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с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января</w:t>
      </w:r>
      <w:r w:rsidR="004D7E82" w:rsidRPr="007F1667">
        <w:rPr>
          <w:lang w:val="ru-RU"/>
        </w:rPr>
        <w:t xml:space="preserve"> 2016</w:t>
      </w:r>
      <w:r w:rsidR="004D7E82" w:rsidRPr="007F1667">
        <w:rPr>
          <w:lang w:val="en-US"/>
        </w:rPr>
        <w:t> </w:t>
      </w:r>
      <w:r w:rsidR="004D7E82">
        <w:rPr>
          <w:lang w:val="ru-RU"/>
        </w:rPr>
        <w:t>г</w:t>
      </w:r>
      <w:r w:rsidR="004D7E82" w:rsidRPr="007F1667">
        <w:rPr>
          <w:lang w:val="ru-RU"/>
        </w:rPr>
        <w:t xml:space="preserve">. </w:t>
      </w:r>
      <w:r w:rsidR="004D7E82">
        <w:rPr>
          <w:lang w:val="ru-RU"/>
        </w:rPr>
        <w:t>по</w:t>
      </w:r>
      <w:r w:rsidR="004D7E82" w:rsidRPr="007F1667">
        <w:rPr>
          <w:lang w:val="ru-RU"/>
        </w:rPr>
        <w:t xml:space="preserve"> </w:t>
      </w:r>
      <w:r w:rsidR="004D7E82">
        <w:rPr>
          <w:lang w:val="ru-RU"/>
        </w:rPr>
        <w:t>декабрь</w:t>
      </w:r>
      <w:r w:rsidR="004D7E82" w:rsidRPr="007F1667">
        <w:rPr>
          <w:lang w:val="ru-RU"/>
        </w:rPr>
        <w:t xml:space="preserve"> 2017</w:t>
      </w:r>
      <w:r w:rsidR="004D7E82" w:rsidRPr="007F1667">
        <w:rPr>
          <w:lang w:val="en-US"/>
        </w:rPr>
        <w:t> </w:t>
      </w:r>
      <w:r w:rsidR="004D7E82">
        <w:rPr>
          <w:lang w:val="ru-RU"/>
        </w:rPr>
        <w:t>г</w:t>
      </w:r>
      <w:r w:rsidR="004D7E82" w:rsidRPr="007F1667">
        <w:rPr>
          <w:lang w:val="ru-RU"/>
        </w:rPr>
        <w:t xml:space="preserve">. </w:t>
      </w:r>
      <w:r w:rsidR="007F1667">
        <w:rPr>
          <w:lang w:val="ru-RU"/>
        </w:rPr>
        <w:t xml:space="preserve">Настоящий доклад следует читать </w:t>
      </w:r>
      <w:r w:rsidR="00EA5B7E">
        <w:rPr>
          <w:lang w:val="ru-RU"/>
        </w:rPr>
        <w:t>параллельно с финансовым отч</w:t>
      </w:r>
      <w:r w:rsidR="00C326D6">
        <w:rPr>
          <w:lang w:val="ru-RU"/>
        </w:rPr>
        <w:t>е</w:t>
      </w:r>
      <w:r w:rsidR="00EA5B7E">
        <w:rPr>
          <w:lang w:val="ru-RU"/>
        </w:rPr>
        <w:t>том, касающимся Фонда Конвенции об охране нематериального культурного наследия, включенн</w:t>
      </w:r>
      <w:r w:rsidR="00382DD9">
        <w:rPr>
          <w:lang w:val="ru-RU"/>
        </w:rPr>
        <w:t>ым</w:t>
      </w:r>
      <w:r w:rsidR="00EA5B7E">
        <w:rPr>
          <w:lang w:val="ru-RU"/>
        </w:rPr>
        <w:t xml:space="preserve"> в документ </w:t>
      </w:r>
      <w:hyperlink r:id="rId10" w:history="1">
        <w:r w:rsidR="00C902E0" w:rsidRPr="00480DE9">
          <w:rPr>
            <w:rStyle w:val="Hyperlink"/>
          </w:rPr>
          <w:t>ITH</w:t>
        </w:r>
        <w:r w:rsidR="00C902E0" w:rsidRPr="007F1667">
          <w:rPr>
            <w:rStyle w:val="Hyperlink"/>
            <w:lang w:val="ru-RU"/>
          </w:rPr>
          <w:t>/17/12.</w:t>
        </w:r>
        <w:r w:rsidR="00C902E0" w:rsidRPr="00480DE9">
          <w:rPr>
            <w:rStyle w:val="Hyperlink"/>
          </w:rPr>
          <w:t>COM</w:t>
        </w:r>
        <w:r w:rsidR="00C902E0" w:rsidRPr="007F1667">
          <w:rPr>
            <w:rStyle w:val="Hyperlink"/>
            <w:lang w:val="ru-RU"/>
          </w:rPr>
          <w:t>/7</w:t>
        </w:r>
      </w:hyperlink>
      <w:r w:rsidR="00C902E0" w:rsidRPr="007F1667">
        <w:rPr>
          <w:rStyle w:val="Hyperlink"/>
          <w:color w:val="auto"/>
          <w:u w:val="none"/>
          <w:lang w:val="ru-RU"/>
        </w:rPr>
        <w:t>,</w:t>
      </w:r>
      <w:r w:rsidR="00C902E0" w:rsidRPr="007F1667">
        <w:rPr>
          <w:lang w:val="ru-RU"/>
        </w:rPr>
        <w:t xml:space="preserve"> </w:t>
      </w:r>
      <w:r w:rsidR="00EA5B7E">
        <w:rPr>
          <w:lang w:val="ru-RU"/>
        </w:rPr>
        <w:t xml:space="preserve">а также </w:t>
      </w:r>
      <w:r w:rsidR="00651C4D">
        <w:rPr>
          <w:lang w:val="ru-RU"/>
        </w:rPr>
        <w:t xml:space="preserve">с документом </w:t>
      </w:r>
      <w:hyperlink r:id="rId11" w:history="1">
        <w:r w:rsidR="00C902E0" w:rsidRPr="007F1667">
          <w:rPr>
            <w:rStyle w:val="Hyperlink"/>
            <w:lang w:val="ru-RU"/>
          </w:rPr>
          <w:t>202</w:t>
        </w:r>
        <w:r w:rsidR="00C902E0" w:rsidRPr="00390923">
          <w:rPr>
            <w:rStyle w:val="Hyperlink"/>
          </w:rPr>
          <w:t> EX</w:t>
        </w:r>
        <w:r w:rsidR="00C902E0" w:rsidRPr="007F1667">
          <w:rPr>
            <w:rStyle w:val="Hyperlink"/>
            <w:lang w:val="ru-RU"/>
          </w:rPr>
          <w:t>/4.</w:t>
        </w:r>
        <w:r w:rsidR="00C902E0" w:rsidRPr="00390923">
          <w:rPr>
            <w:rStyle w:val="Hyperlink"/>
          </w:rPr>
          <w:t>INF</w:t>
        </w:r>
      </w:hyperlink>
      <w:r w:rsidR="00C902E0" w:rsidRPr="007F1667">
        <w:rPr>
          <w:lang w:val="ru-RU"/>
        </w:rPr>
        <w:t>.</w:t>
      </w:r>
    </w:p>
    <w:p w:rsidR="00C902E0" w:rsidRPr="004F47E2" w:rsidRDefault="0037377F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Доклад</w:t>
      </w:r>
      <w:r w:rsidRPr="009E4391">
        <w:rPr>
          <w:lang w:val="ru-RU"/>
        </w:rPr>
        <w:t xml:space="preserve"> </w:t>
      </w:r>
      <w:r>
        <w:rPr>
          <w:lang w:val="ru-RU"/>
        </w:rPr>
        <w:t>призван</w:t>
      </w:r>
      <w:r w:rsidRPr="009E4391">
        <w:rPr>
          <w:lang w:val="ru-RU"/>
        </w:rPr>
        <w:t xml:space="preserve"> </w:t>
      </w:r>
      <w:r>
        <w:rPr>
          <w:lang w:val="ru-RU"/>
        </w:rPr>
        <w:t>отразить</w:t>
      </w:r>
      <w:r w:rsidRPr="009E4391">
        <w:rPr>
          <w:lang w:val="ru-RU"/>
        </w:rPr>
        <w:t xml:space="preserve"> </w:t>
      </w:r>
      <w:r>
        <w:rPr>
          <w:lang w:val="ru-RU"/>
        </w:rPr>
        <w:t>то</w:t>
      </w:r>
      <w:r w:rsidRPr="009E4391">
        <w:rPr>
          <w:lang w:val="ru-RU"/>
        </w:rPr>
        <w:t>,</w:t>
      </w:r>
      <w:r w:rsidR="008B137B" w:rsidRPr="009E4391">
        <w:rPr>
          <w:lang w:val="ru-RU"/>
        </w:rPr>
        <w:t xml:space="preserve"> </w:t>
      </w:r>
      <w:r>
        <w:rPr>
          <w:lang w:val="ru-RU"/>
        </w:rPr>
        <w:t>насколько</w:t>
      </w:r>
      <w:r w:rsidRPr="009E4391">
        <w:rPr>
          <w:lang w:val="ru-RU"/>
        </w:rPr>
        <w:t xml:space="preserve"> </w:t>
      </w:r>
      <w:r>
        <w:rPr>
          <w:lang w:val="ru-RU"/>
        </w:rPr>
        <w:t>работа</w:t>
      </w:r>
      <w:r w:rsidRPr="009E4391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9E4391">
        <w:rPr>
          <w:lang w:val="ru-RU"/>
        </w:rPr>
        <w:t xml:space="preserve"> </w:t>
      </w:r>
      <w:r w:rsidR="008B137B">
        <w:rPr>
          <w:lang w:val="ru-RU"/>
        </w:rPr>
        <w:t>опиралась</w:t>
      </w:r>
      <w:r w:rsidR="008B137B" w:rsidRPr="009E4391">
        <w:rPr>
          <w:lang w:val="ru-RU"/>
        </w:rPr>
        <w:t xml:space="preserve"> </w:t>
      </w:r>
      <w:r w:rsidR="008B137B">
        <w:rPr>
          <w:lang w:val="ru-RU"/>
        </w:rPr>
        <w:t>на</w:t>
      </w:r>
      <w:r w:rsidR="008B137B" w:rsidRPr="009E4391">
        <w:rPr>
          <w:lang w:val="ru-RU"/>
        </w:rPr>
        <w:t xml:space="preserve"> </w:t>
      </w:r>
      <w:r w:rsidR="008B137B">
        <w:rPr>
          <w:lang w:val="ru-RU"/>
        </w:rPr>
        <w:t>структуру</w:t>
      </w:r>
      <w:r w:rsidR="008B137B" w:rsidRPr="009E4391">
        <w:rPr>
          <w:lang w:val="ru-RU"/>
        </w:rPr>
        <w:t xml:space="preserve"> </w:t>
      </w:r>
      <w:r w:rsidR="008B137B">
        <w:rPr>
          <w:lang w:val="ru-RU"/>
        </w:rPr>
        <w:t>оценки</w:t>
      </w:r>
      <w:r w:rsidR="008B137B" w:rsidRPr="009E4391">
        <w:rPr>
          <w:lang w:val="ru-RU"/>
        </w:rPr>
        <w:t xml:space="preserve"> </w:t>
      </w:r>
      <w:r w:rsidR="008B137B">
        <w:rPr>
          <w:lang w:val="ru-RU"/>
        </w:rPr>
        <w:t>результатов</w:t>
      </w:r>
      <w:r w:rsidR="008B137B" w:rsidRPr="009E4391">
        <w:rPr>
          <w:lang w:val="ru-RU"/>
        </w:rPr>
        <w:t xml:space="preserve">, </w:t>
      </w:r>
      <w:r w:rsidR="008B137B">
        <w:rPr>
          <w:lang w:val="ru-RU"/>
        </w:rPr>
        <w:t>представленную</w:t>
      </w:r>
      <w:r w:rsidR="008B137B" w:rsidRPr="009E4391">
        <w:rPr>
          <w:lang w:val="ru-RU"/>
        </w:rPr>
        <w:t xml:space="preserve"> </w:t>
      </w:r>
      <w:r w:rsidR="008B137B">
        <w:rPr>
          <w:lang w:val="ru-RU"/>
        </w:rPr>
        <w:t>в</w:t>
      </w:r>
      <w:r w:rsidR="00741B7F" w:rsidRPr="009E4391">
        <w:rPr>
          <w:lang w:val="ru-RU"/>
        </w:rPr>
        <w:t xml:space="preserve"> </w:t>
      </w:r>
      <w:r w:rsidR="009E4391">
        <w:rPr>
          <w:lang w:val="ru-RU"/>
        </w:rPr>
        <w:t>п</w:t>
      </w:r>
      <w:r w:rsidR="00741B7F">
        <w:rPr>
          <w:lang w:val="ru-RU"/>
        </w:rPr>
        <w:t>рограмме</w:t>
      </w:r>
      <w:r w:rsidR="00741B7F" w:rsidRPr="009E4391">
        <w:rPr>
          <w:lang w:val="ru-RU"/>
        </w:rPr>
        <w:t xml:space="preserve"> </w:t>
      </w:r>
      <w:r w:rsidR="00741B7F">
        <w:rPr>
          <w:lang w:val="ru-RU"/>
        </w:rPr>
        <w:t>и</w:t>
      </w:r>
      <w:r w:rsidR="00741B7F" w:rsidRPr="009E4391">
        <w:rPr>
          <w:lang w:val="ru-RU"/>
        </w:rPr>
        <w:t xml:space="preserve"> </w:t>
      </w:r>
      <w:r w:rsidR="00741B7F">
        <w:rPr>
          <w:lang w:val="ru-RU"/>
        </w:rPr>
        <w:t>бюджете</w:t>
      </w:r>
      <w:r w:rsidR="00741B7F" w:rsidRPr="009E4391">
        <w:rPr>
          <w:lang w:val="ru-RU"/>
        </w:rPr>
        <w:t xml:space="preserve"> </w:t>
      </w:r>
      <w:r w:rsidR="00741B7F">
        <w:rPr>
          <w:lang w:val="ru-RU"/>
        </w:rPr>
        <w:t>Организации</w:t>
      </w:r>
      <w:r w:rsidR="00741B7F" w:rsidRPr="009E4391">
        <w:rPr>
          <w:lang w:val="ru-RU"/>
        </w:rPr>
        <w:t xml:space="preserve"> </w:t>
      </w:r>
      <w:r w:rsidR="009E4391">
        <w:rPr>
          <w:lang w:val="ru-RU"/>
        </w:rPr>
        <w:t xml:space="preserve">на 2016-2017 гг. </w:t>
      </w:r>
      <w:r w:rsidR="00C902E0" w:rsidRPr="00421DB6">
        <w:rPr>
          <w:lang w:val="ru-RU"/>
        </w:rPr>
        <w:t>(</w:t>
      </w:r>
      <w:hyperlink r:id="rId12" w:history="1">
        <w:r w:rsidR="00C902E0" w:rsidRPr="00421DB6">
          <w:rPr>
            <w:rStyle w:val="Hyperlink"/>
            <w:rFonts w:cs="Arial"/>
            <w:lang w:val="ru-RU"/>
          </w:rPr>
          <w:t>38</w:t>
        </w:r>
        <w:r w:rsidR="00C902E0" w:rsidRPr="00B27CED">
          <w:rPr>
            <w:rStyle w:val="Hyperlink"/>
            <w:rFonts w:cs="Arial"/>
          </w:rPr>
          <w:t> C</w:t>
        </w:r>
        <w:r w:rsidR="00C902E0" w:rsidRPr="00421DB6">
          <w:rPr>
            <w:rStyle w:val="Hyperlink"/>
            <w:rFonts w:cs="Arial"/>
            <w:lang w:val="ru-RU"/>
          </w:rPr>
          <w:t>/</w:t>
        </w:r>
        <w:r w:rsidR="00C902E0" w:rsidRPr="00421DB6">
          <w:rPr>
            <w:rStyle w:val="Hyperlink"/>
            <w:rFonts w:cs="Arial"/>
            <w:lang w:val="ru-RU"/>
          </w:rPr>
          <w:t>5</w:t>
        </w:r>
      </w:hyperlink>
      <w:r w:rsidR="00C902E0" w:rsidRPr="00421DB6">
        <w:rPr>
          <w:lang w:val="ru-RU"/>
        </w:rPr>
        <w:t>)</w:t>
      </w:r>
      <w:r w:rsidR="00892818">
        <w:rPr>
          <w:lang w:val="ru-RU"/>
        </w:rPr>
        <w:t>,</w:t>
      </w:r>
      <w:r w:rsidR="00C902E0" w:rsidRPr="00421DB6">
        <w:rPr>
          <w:lang w:val="ru-RU"/>
        </w:rPr>
        <w:t xml:space="preserve"> </w:t>
      </w:r>
      <w:r w:rsidR="00F94ABB">
        <w:rPr>
          <w:lang w:val="ru-RU"/>
        </w:rPr>
        <w:t>и</w:t>
      </w:r>
      <w:r w:rsidR="00F94ABB" w:rsidRPr="00421DB6">
        <w:rPr>
          <w:lang w:val="ru-RU"/>
        </w:rPr>
        <w:t xml:space="preserve">, </w:t>
      </w:r>
      <w:r w:rsidR="00F94ABB">
        <w:rPr>
          <w:lang w:val="ru-RU"/>
        </w:rPr>
        <w:t>более</w:t>
      </w:r>
      <w:r w:rsidR="00F94ABB" w:rsidRPr="00421DB6">
        <w:rPr>
          <w:lang w:val="ru-RU"/>
        </w:rPr>
        <w:t xml:space="preserve"> </w:t>
      </w:r>
      <w:r w:rsidR="00F94ABB">
        <w:rPr>
          <w:lang w:val="ru-RU"/>
        </w:rPr>
        <w:t>конкретно</w:t>
      </w:r>
      <w:r w:rsidR="00F94ABB" w:rsidRPr="00421DB6">
        <w:rPr>
          <w:lang w:val="ru-RU"/>
        </w:rPr>
        <w:t xml:space="preserve">, </w:t>
      </w:r>
      <w:r w:rsidR="00F94ABB">
        <w:rPr>
          <w:lang w:val="ru-RU"/>
        </w:rPr>
        <w:t>на</w:t>
      </w:r>
      <w:r w:rsidR="00F94ABB" w:rsidRPr="00421DB6">
        <w:rPr>
          <w:lang w:val="ru-RU"/>
        </w:rPr>
        <w:t xml:space="preserve"> </w:t>
      </w:r>
      <w:r w:rsidR="00F94ABB">
        <w:rPr>
          <w:lang w:val="ru-RU"/>
        </w:rPr>
        <w:t>Ожидаемый</w:t>
      </w:r>
      <w:r w:rsidR="00F94ABB" w:rsidRPr="00421DB6">
        <w:rPr>
          <w:lang w:val="ru-RU"/>
        </w:rPr>
        <w:t xml:space="preserve"> </w:t>
      </w:r>
      <w:r w:rsidR="00F94ABB">
        <w:rPr>
          <w:lang w:val="ru-RU"/>
        </w:rPr>
        <w:t>результат</w:t>
      </w:r>
      <w:r w:rsidR="00F94ABB" w:rsidRPr="00421DB6">
        <w:rPr>
          <w:lang w:val="ru-RU"/>
        </w:rPr>
        <w:t xml:space="preserve"> 5 </w:t>
      </w:r>
      <w:r w:rsidR="00F94ABB">
        <w:rPr>
          <w:lang w:val="ru-RU"/>
        </w:rPr>
        <w:t>в</w:t>
      </w:r>
      <w:r w:rsidR="00F94ABB" w:rsidRPr="00421DB6">
        <w:rPr>
          <w:lang w:val="ru-RU"/>
        </w:rPr>
        <w:t xml:space="preserve"> </w:t>
      </w:r>
      <w:r w:rsidR="00F94ABB">
        <w:rPr>
          <w:lang w:val="ru-RU"/>
        </w:rPr>
        <w:t>рамках</w:t>
      </w:r>
      <w:r w:rsidR="00F94ABB" w:rsidRPr="00421DB6">
        <w:rPr>
          <w:lang w:val="ru-RU"/>
        </w:rPr>
        <w:t xml:space="preserve"> </w:t>
      </w:r>
      <w:r w:rsidR="00421DB6">
        <w:rPr>
          <w:lang w:val="ru-RU"/>
        </w:rPr>
        <w:t>Крупной</w:t>
      </w:r>
      <w:r w:rsidR="00F94ABB" w:rsidRPr="00421DB6">
        <w:rPr>
          <w:lang w:val="ru-RU"/>
        </w:rPr>
        <w:t xml:space="preserve"> </w:t>
      </w:r>
      <w:r w:rsidR="00F94ABB">
        <w:rPr>
          <w:lang w:val="ru-RU"/>
        </w:rPr>
        <w:t>программы</w:t>
      </w:r>
      <w:r w:rsidR="00F94ABB" w:rsidRPr="00421DB6">
        <w:rPr>
          <w:lang w:val="ru-RU"/>
        </w:rPr>
        <w:t xml:space="preserve"> </w:t>
      </w:r>
      <w:r w:rsidR="00C902E0" w:rsidRPr="00F41D50">
        <w:t>IV</w:t>
      </w:r>
      <w:r w:rsidR="00C902E0" w:rsidRPr="00421DB6">
        <w:rPr>
          <w:lang w:val="ru-RU"/>
        </w:rPr>
        <w:t xml:space="preserve">: </w:t>
      </w:r>
      <w:r w:rsidR="00421DB6">
        <w:rPr>
          <w:i/>
          <w:lang w:val="ru-RU"/>
        </w:rPr>
        <w:t>Укрепление</w:t>
      </w:r>
      <w:r w:rsidR="00421DB6" w:rsidRPr="00421DB6">
        <w:rPr>
          <w:i/>
          <w:lang w:val="ru-RU"/>
        </w:rPr>
        <w:t xml:space="preserve"> </w:t>
      </w:r>
      <w:r w:rsidR="00421DB6">
        <w:rPr>
          <w:i/>
          <w:lang w:val="ru-RU"/>
        </w:rPr>
        <w:t>национальных</w:t>
      </w:r>
      <w:r w:rsidR="00421DB6" w:rsidRPr="00421DB6">
        <w:rPr>
          <w:i/>
          <w:lang w:val="ru-RU"/>
        </w:rPr>
        <w:t xml:space="preserve"> </w:t>
      </w:r>
      <w:r w:rsidR="00421DB6">
        <w:rPr>
          <w:i/>
          <w:lang w:val="ru-RU"/>
        </w:rPr>
        <w:t>потенциалов</w:t>
      </w:r>
      <w:r w:rsidR="00421DB6" w:rsidRPr="00421DB6">
        <w:rPr>
          <w:i/>
          <w:lang w:val="ru-RU"/>
        </w:rPr>
        <w:t xml:space="preserve"> </w:t>
      </w:r>
      <w:r w:rsidR="00421DB6">
        <w:rPr>
          <w:i/>
          <w:lang w:val="ru-RU"/>
        </w:rPr>
        <w:t xml:space="preserve">в интересах охраны нематериального культурного наследия, в том числе языков коренных народов и языков, находящихся под угрозой исчезновения </w:t>
      </w:r>
      <w:r w:rsidR="00802609">
        <w:rPr>
          <w:i/>
          <w:lang w:val="ru-RU"/>
        </w:rPr>
        <w:t>на основе эффективного выполнения Конвенции 2003 г.</w:t>
      </w:r>
      <w:r w:rsidR="00C902E0" w:rsidRPr="00421DB6">
        <w:rPr>
          <w:lang w:val="ru-RU"/>
        </w:rPr>
        <w:t xml:space="preserve"> </w:t>
      </w:r>
      <w:r w:rsidR="001C6B60">
        <w:rPr>
          <w:lang w:val="ru-RU"/>
        </w:rPr>
        <w:t>В н</w:t>
      </w:r>
      <w:r w:rsidR="009D37FC">
        <w:rPr>
          <w:lang w:val="ru-RU"/>
        </w:rPr>
        <w:t>е</w:t>
      </w:r>
      <w:r w:rsidR="001C6B60">
        <w:rPr>
          <w:lang w:val="ru-RU"/>
        </w:rPr>
        <w:t>м также учитывается структура результатов, одобренная Президиумом Комитета Конвенции 2003 г.</w:t>
      </w:r>
      <w:r w:rsidR="00211370">
        <w:rPr>
          <w:lang w:val="ru-RU"/>
        </w:rPr>
        <w:t>, касающаяся использования Секретариатом средств, полученных из Фонда нематериального культурного наследия на «</w:t>
      </w:r>
      <w:r w:rsidR="008E7312">
        <w:rPr>
          <w:lang w:val="ru-RU"/>
        </w:rPr>
        <w:t xml:space="preserve">другие функции Комитета» на период с 1 января 2016 г. по 31 декабря 2017 г. </w:t>
      </w:r>
      <w:r w:rsidR="00C902E0" w:rsidRPr="001C6B60">
        <w:rPr>
          <w:lang w:val="ru-RU"/>
        </w:rPr>
        <w:t>(</w:t>
      </w:r>
      <w:r w:rsidR="00211370">
        <w:rPr>
          <w:lang w:val="ru-RU"/>
        </w:rPr>
        <w:t xml:space="preserve">решение </w:t>
      </w:r>
      <w:hyperlink r:id="rId13" w:history="1">
        <w:r w:rsidR="00C902E0" w:rsidRPr="001C6B60">
          <w:rPr>
            <w:rStyle w:val="Hyperlink"/>
            <w:lang w:val="ru-RU"/>
          </w:rPr>
          <w:t>11.</w:t>
        </w:r>
        <w:r w:rsidR="00C902E0" w:rsidRPr="00360A06">
          <w:rPr>
            <w:rStyle w:val="Hyperlink"/>
          </w:rPr>
          <w:t>COM </w:t>
        </w:r>
        <w:r w:rsidR="00C902E0" w:rsidRPr="001C6B60">
          <w:rPr>
            <w:rStyle w:val="Hyperlink"/>
            <w:lang w:val="ru-RU"/>
          </w:rPr>
          <w:t>2.</w:t>
        </w:r>
        <w:r w:rsidR="00C902E0" w:rsidRPr="00360A06">
          <w:rPr>
            <w:rStyle w:val="Hyperlink"/>
          </w:rPr>
          <w:t>BUR </w:t>
        </w:r>
        <w:r w:rsidR="00C902E0" w:rsidRPr="001C6B60">
          <w:rPr>
            <w:rStyle w:val="Hyperlink"/>
            <w:lang w:val="ru-RU"/>
          </w:rPr>
          <w:t>1</w:t>
        </w:r>
      </w:hyperlink>
      <w:r w:rsidR="00C902E0" w:rsidRPr="001C6B60">
        <w:rPr>
          <w:lang w:val="ru-RU"/>
        </w:rPr>
        <w:t xml:space="preserve">). </w:t>
      </w:r>
      <w:r w:rsidR="00644A83">
        <w:rPr>
          <w:lang w:val="ru-RU"/>
        </w:rPr>
        <w:t>Эта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структура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представляет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собой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более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конкретные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рамки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для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внебюджетных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средств</w:t>
      </w:r>
      <w:r w:rsidR="00644A83" w:rsidRPr="00644A83">
        <w:rPr>
          <w:lang w:val="ru-RU"/>
        </w:rPr>
        <w:t xml:space="preserve">, </w:t>
      </w:r>
      <w:r w:rsidR="00644A83">
        <w:rPr>
          <w:lang w:val="ru-RU"/>
        </w:rPr>
        <w:t>выделяемых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>на</w:t>
      </w:r>
      <w:r w:rsidR="00644A83" w:rsidRPr="00644A83">
        <w:rPr>
          <w:lang w:val="ru-RU"/>
        </w:rPr>
        <w:t xml:space="preserve"> </w:t>
      </w:r>
      <w:r w:rsidR="00644A83">
        <w:rPr>
          <w:lang w:val="ru-RU"/>
        </w:rPr>
        <w:t xml:space="preserve">оказание помощи Комитету </w:t>
      </w:r>
      <w:r w:rsidR="002C25BA">
        <w:rPr>
          <w:lang w:val="ru-RU"/>
        </w:rPr>
        <w:t>в</w:t>
      </w:r>
      <w:r w:rsidR="00D4715C">
        <w:rPr>
          <w:lang w:val="ru-RU"/>
        </w:rPr>
        <w:t xml:space="preserve"> выполнени</w:t>
      </w:r>
      <w:r w:rsidR="002C25BA">
        <w:rPr>
          <w:lang w:val="ru-RU"/>
        </w:rPr>
        <w:t>и</w:t>
      </w:r>
      <w:r w:rsidR="00D4715C">
        <w:rPr>
          <w:lang w:val="ru-RU"/>
        </w:rPr>
        <w:t xml:space="preserve"> его миссии. Последний</w:t>
      </w:r>
      <w:r w:rsidR="00D4715C" w:rsidRPr="004F47E2">
        <w:rPr>
          <w:lang w:val="ru-RU"/>
        </w:rPr>
        <w:t xml:space="preserve"> </w:t>
      </w:r>
      <w:r w:rsidR="00D4715C">
        <w:rPr>
          <w:lang w:val="ru-RU"/>
        </w:rPr>
        <w:t>подробный</w:t>
      </w:r>
      <w:r w:rsidR="00D4715C" w:rsidRPr="004F47E2">
        <w:rPr>
          <w:lang w:val="ru-RU"/>
        </w:rPr>
        <w:t xml:space="preserve"> </w:t>
      </w:r>
      <w:r w:rsidR="00D4715C">
        <w:rPr>
          <w:lang w:val="ru-RU"/>
        </w:rPr>
        <w:t>доклад</w:t>
      </w:r>
      <w:r w:rsidR="00D4715C" w:rsidRPr="004F47E2">
        <w:rPr>
          <w:lang w:val="ru-RU"/>
        </w:rPr>
        <w:t xml:space="preserve"> </w:t>
      </w:r>
      <w:r w:rsidR="00D4715C">
        <w:rPr>
          <w:lang w:val="ru-RU"/>
        </w:rPr>
        <w:t>о</w:t>
      </w:r>
      <w:r w:rsidR="00D4715C" w:rsidRPr="004F47E2">
        <w:rPr>
          <w:lang w:val="ru-RU"/>
        </w:rPr>
        <w:t xml:space="preserve"> </w:t>
      </w:r>
      <w:r w:rsidR="00D4715C">
        <w:rPr>
          <w:lang w:val="ru-RU"/>
        </w:rPr>
        <w:t>выполнении</w:t>
      </w:r>
      <w:r w:rsidR="00D4715C" w:rsidRPr="004F47E2">
        <w:rPr>
          <w:lang w:val="ru-RU"/>
        </w:rPr>
        <w:t xml:space="preserve"> </w:t>
      </w:r>
      <w:r w:rsidR="00D4715C">
        <w:rPr>
          <w:lang w:val="ru-RU"/>
        </w:rPr>
        <w:t>этого</w:t>
      </w:r>
      <w:r w:rsidR="00D4715C" w:rsidRPr="004F47E2">
        <w:rPr>
          <w:lang w:val="ru-RU"/>
        </w:rPr>
        <w:t xml:space="preserve"> </w:t>
      </w:r>
      <w:r w:rsidR="002C25BA">
        <w:rPr>
          <w:lang w:val="ru-RU"/>
        </w:rPr>
        <w:t>плана</w:t>
      </w:r>
      <w:r w:rsidR="002C25BA" w:rsidRPr="004F47E2">
        <w:rPr>
          <w:lang w:val="ru-RU"/>
        </w:rPr>
        <w:t xml:space="preserve"> </w:t>
      </w:r>
      <w:r w:rsidR="002C25BA">
        <w:rPr>
          <w:lang w:val="ru-RU"/>
        </w:rPr>
        <w:t>расходования</w:t>
      </w:r>
      <w:r w:rsidR="002C25BA" w:rsidRPr="004F47E2">
        <w:rPr>
          <w:lang w:val="ru-RU"/>
        </w:rPr>
        <w:t xml:space="preserve"> </w:t>
      </w:r>
      <w:r w:rsidR="002C25BA">
        <w:rPr>
          <w:lang w:val="ru-RU"/>
        </w:rPr>
        <w:t>на</w:t>
      </w:r>
      <w:r w:rsidR="002C25BA" w:rsidRPr="004F47E2">
        <w:rPr>
          <w:lang w:val="ru-RU"/>
        </w:rPr>
        <w:t xml:space="preserve"> «</w:t>
      </w:r>
      <w:r w:rsidR="002C25BA">
        <w:rPr>
          <w:lang w:val="ru-RU"/>
        </w:rPr>
        <w:t>Другие</w:t>
      </w:r>
      <w:r w:rsidR="002C25BA" w:rsidRPr="004F47E2">
        <w:rPr>
          <w:lang w:val="ru-RU"/>
        </w:rPr>
        <w:t xml:space="preserve"> </w:t>
      </w:r>
      <w:r w:rsidR="002C25BA">
        <w:rPr>
          <w:lang w:val="ru-RU"/>
        </w:rPr>
        <w:t>функции</w:t>
      </w:r>
      <w:r w:rsidR="002C25BA" w:rsidRPr="004F47E2">
        <w:rPr>
          <w:lang w:val="ru-RU"/>
        </w:rPr>
        <w:t xml:space="preserve"> </w:t>
      </w:r>
      <w:r w:rsidR="002C25BA">
        <w:rPr>
          <w:lang w:val="ru-RU"/>
        </w:rPr>
        <w:t>Комитета</w:t>
      </w:r>
      <w:r w:rsidR="002C25BA" w:rsidRPr="004F47E2">
        <w:rPr>
          <w:lang w:val="ru-RU"/>
        </w:rPr>
        <w:t xml:space="preserve">» </w:t>
      </w:r>
      <w:r w:rsidR="005F2E72">
        <w:rPr>
          <w:lang w:val="ru-RU"/>
        </w:rPr>
        <w:t>за</w:t>
      </w:r>
      <w:r w:rsidR="005F2E72" w:rsidRPr="004F47E2">
        <w:rPr>
          <w:lang w:val="ru-RU"/>
        </w:rPr>
        <w:t xml:space="preserve"> 2016</w:t>
      </w:r>
      <w:r w:rsidR="005F2E72" w:rsidRPr="005F2E72">
        <w:rPr>
          <w:lang w:val="en-US"/>
        </w:rPr>
        <w:t> </w:t>
      </w:r>
      <w:r w:rsidR="005F2E72">
        <w:rPr>
          <w:lang w:val="ru-RU"/>
        </w:rPr>
        <w:t>г</w:t>
      </w:r>
      <w:r w:rsidR="005F2E72" w:rsidRPr="004F47E2">
        <w:rPr>
          <w:lang w:val="ru-RU"/>
        </w:rPr>
        <w:t xml:space="preserve">. </w:t>
      </w:r>
      <w:r w:rsidR="005F2E72">
        <w:rPr>
          <w:lang w:val="ru-RU"/>
        </w:rPr>
        <w:t>был</w:t>
      </w:r>
      <w:r w:rsidR="005F2E72" w:rsidRPr="004F47E2">
        <w:rPr>
          <w:lang w:val="ru-RU"/>
        </w:rPr>
        <w:t xml:space="preserve"> </w:t>
      </w:r>
      <w:r w:rsidR="005F2E72">
        <w:rPr>
          <w:lang w:val="ru-RU"/>
        </w:rPr>
        <w:t>представлен</w:t>
      </w:r>
      <w:r w:rsidR="005F2E72" w:rsidRPr="004F47E2">
        <w:rPr>
          <w:lang w:val="ru-RU"/>
        </w:rPr>
        <w:t xml:space="preserve"> </w:t>
      </w:r>
      <w:r w:rsidR="005F2E72">
        <w:rPr>
          <w:lang w:val="ru-RU"/>
        </w:rPr>
        <w:t>Президиуму</w:t>
      </w:r>
      <w:r w:rsidR="005F2E72" w:rsidRPr="004F47E2">
        <w:rPr>
          <w:lang w:val="ru-RU"/>
        </w:rPr>
        <w:t xml:space="preserve"> </w:t>
      </w:r>
      <w:r w:rsidR="005F2E72">
        <w:rPr>
          <w:lang w:val="ru-RU"/>
        </w:rPr>
        <w:t>Комитета</w:t>
      </w:r>
      <w:r w:rsidR="005F2E72" w:rsidRPr="004F47E2">
        <w:rPr>
          <w:lang w:val="ru-RU"/>
        </w:rPr>
        <w:t xml:space="preserve"> </w:t>
      </w:r>
      <w:r w:rsidR="005F2E72">
        <w:rPr>
          <w:lang w:val="ru-RU"/>
        </w:rPr>
        <w:t>в</w:t>
      </w:r>
      <w:r w:rsidR="005F2E72" w:rsidRPr="004F47E2">
        <w:rPr>
          <w:lang w:val="ru-RU"/>
        </w:rPr>
        <w:t xml:space="preserve"> </w:t>
      </w:r>
      <w:r w:rsidR="005F2E72">
        <w:rPr>
          <w:lang w:val="ru-RU"/>
        </w:rPr>
        <w:t>мае</w:t>
      </w:r>
      <w:r w:rsidR="005F2E72" w:rsidRPr="004F47E2">
        <w:rPr>
          <w:lang w:val="ru-RU"/>
        </w:rPr>
        <w:t xml:space="preserve"> 2017</w:t>
      </w:r>
      <w:r w:rsidR="005F2E72" w:rsidRPr="005F2E72">
        <w:rPr>
          <w:lang w:val="en-US"/>
        </w:rPr>
        <w:t> </w:t>
      </w:r>
      <w:r w:rsidR="005F2E72">
        <w:rPr>
          <w:lang w:val="ru-RU"/>
        </w:rPr>
        <w:t>г</w:t>
      </w:r>
      <w:r w:rsidR="005F2E72" w:rsidRPr="004F47E2">
        <w:rPr>
          <w:lang w:val="ru-RU"/>
        </w:rPr>
        <w:t xml:space="preserve">. </w:t>
      </w:r>
      <w:r w:rsidR="005F2E72">
        <w:rPr>
          <w:lang w:val="ru-RU"/>
        </w:rPr>
        <w:t xml:space="preserve">Он </w:t>
      </w:r>
      <w:r w:rsidR="004F47E2">
        <w:rPr>
          <w:lang w:val="ru-RU"/>
        </w:rPr>
        <w:t>содержится</w:t>
      </w:r>
      <w:r w:rsidR="005F2E72">
        <w:rPr>
          <w:lang w:val="ru-RU"/>
        </w:rPr>
        <w:t xml:space="preserve"> в документе</w:t>
      </w:r>
      <w:r w:rsidR="00C902E0" w:rsidRPr="004F47E2">
        <w:rPr>
          <w:lang w:val="ru-RU"/>
        </w:rPr>
        <w:t xml:space="preserve"> </w:t>
      </w:r>
      <w:hyperlink r:id="rId14" w:history="1">
        <w:r w:rsidR="00C902E0">
          <w:rPr>
            <w:rStyle w:val="Hyperlink"/>
          </w:rPr>
          <w:t>ITH</w:t>
        </w:r>
        <w:r w:rsidR="00C902E0" w:rsidRPr="004F47E2">
          <w:rPr>
            <w:rStyle w:val="Hyperlink"/>
            <w:lang w:val="ru-RU"/>
          </w:rPr>
          <w:t>/17/12.</w:t>
        </w:r>
        <w:r w:rsidR="00C902E0">
          <w:rPr>
            <w:rStyle w:val="Hyperlink"/>
          </w:rPr>
          <w:t>COM</w:t>
        </w:r>
        <w:r w:rsidR="00C902E0" w:rsidRPr="004F47E2">
          <w:rPr>
            <w:rStyle w:val="Hyperlink"/>
            <w:lang w:val="ru-RU"/>
          </w:rPr>
          <w:t xml:space="preserve"> 2.</w:t>
        </w:r>
        <w:r w:rsidR="00C902E0">
          <w:rPr>
            <w:rStyle w:val="Hyperlink"/>
          </w:rPr>
          <w:t>BUR</w:t>
        </w:r>
        <w:r w:rsidR="00C902E0" w:rsidRPr="004F47E2">
          <w:rPr>
            <w:rStyle w:val="Hyperlink"/>
            <w:lang w:val="ru-RU"/>
          </w:rPr>
          <w:t>/</w:t>
        </w:r>
        <w:r w:rsidR="00C902E0">
          <w:rPr>
            <w:rStyle w:val="Hyperlink"/>
          </w:rPr>
          <w:t>INF</w:t>
        </w:r>
        <w:r w:rsidR="00C902E0" w:rsidRPr="004F47E2">
          <w:rPr>
            <w:rStyle w:val="Hyperlink"/>
            <w:lang w:val="ru-RU"/>
          </w:rPr>
          <w:t>.3</w:t>
        </w:r>
      </w:hyperlink>
      <w:r w:rsidR="00C902E0" w:rsidRPr="004F47E2">
        <w:rPr>
          <w:rStyle w:val="Hyperlink"/>
          <w:lang w:val="ru-RU"/>
        </w:rPr>
        <w:t>.</w:t>
      </w:r>
    </w:p>
    <w:p w:rsidR="00C902E0" w:rsidRPr="00D24EC4" w:rsidRDefault="003401F3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E506E8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506E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506E8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E506E8">
        <w:rPr>
          <w:lang w:val="ru-RU"/>
        </w:rPr>
        <w:t xml:space="preserve"> </w:t>
      </w:r>
      <w:r>
        <w:rPr>
          <w:lang w:val="ru-RU"/>
        </w:rPr>
        <w:t>общая</w:t>
      </w:r>
      <w:r w:rsidRPr="00E506E8">
        <w:rPr>
          <w:lang w:val="ru-RU"/>
        </w:rPr>
        <w:t xml:space="preserve"> </w:t>
      </w:r>
      <w:r>
        <w:rPr>
          <w:lang w:val="ru-RU"/>
        </w:rPr>
        <w:t>стратегическая</w:t>
      </w:r>
      <w:r w:rsidRPr="00E506E8">
        <w:rPr>
          <w:lang w:val="ru-RU"/>
        </w:rPr>
        <w:t xml:space="preserve"> </w:t>
      </w:r>
      <w:r>
        <w:rPr>
          <w:lang w:val="ru-RU"/>
        </w:rPr>
        <w:t>оценка</w:t>
      </w:r>
      <w:r w:rsidRPr="00E506E8">
        <w:rPr>
          <w:lang w:val="ru-RU"/>
        </w:rPr>
        <w:t xml:space="preserve"> </w:t>
      </w:r>
      <w:r w:rsidR="00C227AD">
        <w:rPr>
          <w:lang w:val="ru-RU"/>
        </w:rPr>
        <w:t>выполнения</w:t>
      </w:r>
      <w:r w:rsidR="00C227AD" w:rsidRPr="00E506E8">
        <w:rPr>
          <w:lang w:val="ru-RU"/>
        </w:rPr>
        <w:t xml:space="preserve"> </w:t>
      </w:r>
      <w:r w:rsidR="00C227AD">
        <w:rPr>
          <w:lang w:val="ru-RU"/>
        </w:rPr>
        <w:t>программы</w:t>
      </w:r>
      <w:r w:rsidR="005B1595" w:rsidRPr="00E506E8">
        <w:rPr>
          <w:lang w:val="ru-RU"/>
        </w:rPr>
        <w:t xml:space="preserve">; </w:t>
      </w:r>
      <w:r w:rsidR="005B1595">
        <w:rPr>
          <w:lang w:val="ru-RU"/>
        </w:rPr>
        <w:t>особое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внимание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уделено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основным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достижениям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и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общим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трудностям</w:t>
      </w:r>
      <w:r w:rsidR="005B1595" w:rsidRPr="00E506E8">
        <w:rPr>
          <w:lang w:val="ru-RU"/>
        </w:rPr>
        <w:t xml:space="preserve">, </w:t>
      </w:r>
      <w:r w:rsidR="005B1595">
        <w:rPr>
          <w:lang w:val="ru-RU"/>
        </w:rPr>
        <w:t>возникшим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в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ходе</w:t>
      </w:r>
      <w:r w:rsidR="005B1595" w:rsidRPr="00E506E8">
        <w:rPr>
          <w:lang w:val="ru-RU"/>
        </w:rPr>
        <w:t xml:space="preserve"> </w:t>
      </w:r>
      <w:r w:rsidR="005B1595">
        <w:rPr>
          <w:lang w:val="ru-RU"/>
        </w:rPr>
        <w:t>выполнения</w:t>
      </w:r>
      <w:r w:rsidR="005B1595" w:rsidRPr="00E506E8">
        <w:rPr>
          <w:lang w:val="ru-RU"/>
        </w:rPr>
        <w:t xml:space="preserve">. </w:t>
      </w:r>
      <w:r w:rsidR="005B1595">
        <w:rPr>
          <w:lang w:val="ru-RU"/>
        </w:rPr>
        <w:t>В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подробной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таблице</w:t>
      </w:r>
      <w:r w:rsidR="005B1595" w:rsidRPr="00D24EC4">
        <w:rPr>
          <w:lang w:val="ru-RU"/>
        </w:rPr>
        <w:t xml:space="preserve">, </w:t>
      </w:r>
      <w:r w:rsidR="005B1595">
        <w:rPr>
          <w:lang w:val="ru-RU"/>
        </w:rPr>
        <w:t>структурированной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согласно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пяти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показателям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эффективности</w:t>
      </w:r>
      <w:r w:rsidR="005B1595" w:rsidRPr="00D24EC4">
        <w:rPr>
          <w:lang w:val="ru-RU"/>
        </w:rPr>
        <w:t xml:space="preserve">, </w:t>
      </w:r>
      <w:r w:rsidR="005B1595">
        <w:rPr>
          <w:lang w:val="ru-RU"/>
        </w:rPr>
        <w:t>связанным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с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выполнением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Конвенции</w:t>
      </w:r>
      <w:r w:rsidR="005B1595" w:rsidRPr="00D24EC4">
        <w:rPr>
          <w:lang w:val="ru-RU"/>
        </w:rPr>
        <w:t xml:space="preserve"> 2003</w:t>
      </w:r>
      <w:r w:rsidR="005B1595" w:rsidRPr="005B1595">
        <w:rPr>
          <w:lang w:val="en-US"/>
        </w:rPr>
        <w:t> </w:t>
      </w:r>
      <w:r w:rsidR="005B1595">
        <w:rPr>
          <w:lang w:val="ru-RU"/>
        </w:rPr>
        <w:t>г</w:t>
      </w:r>
      <w:r w:rsidR="005B1595" w:rsidRPr="00D24EC4">
        <w:rPr>
          <w:lang w:val="ru-RU"/>
        </w:rPr>
        <w:t xml:space="preserve">., </w:t>
      </w:r>
      <w:r w:rsidR="005B1595">
        <w:rPr>
          <w:lang w:val="ru-RU"/>
        </w:rPr>
        <w:t>представлена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оценка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прогресса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в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достижении</w:t>
      </w:r>
      <w:r w:rsidR="005B1595" w:rsidRPr="00D24EC4">
        <w:rPr>
          <w:lang w:val="ru-RU"/>
        </w:rPr>
        <w:t xml:space="preserve"> </w:t>
      </w:r>
      <w:r w:rsidR="005B1595">
        <w:rPr>
          <w:lang w:val="ru-RU"/>
        </w:rPr>
        <w:t>целей</w:t>
      </w:r>
      <w:r w:rsidR="00D24EC4" w:rsidRPr="00D24EC4">
        <w:rPr>
          <w:lang w:val="ru-RU"/>
        </w:rPr>
        <w:t xml:space="preserve">; </w:t>
      </w:r>
      <w:r w:rsidR="00D24EC4">
        <w:rPr>
          <w:lang w:val="ru-RU"/>
        </w:rPr>
        <w:t>таблица</w:t>
      </w:r>
      <w:r w:rsidR="00D24EC4" w:rsidRPr="00D24EC4">
        <w:rPr>
          <w:lang w:val="ru-RU"/>
        </w:rPr>
        <w:t xml:space="preserve"> </w:t>
      </w:r>
      <w:r w:rsidR="00D24EC4">
        <w:rPr>
          <w:lang w:val="ru-RU"/>
        </w:rPr>
        <w:t>содержится</w:t>
      </w:r>
      <w:r w:rsidR="00D24EC4" w:rsidRPr="00D24EC4">
        <w:rPr>
          <w:lang w:val="ru-RU"/>
        </w:rPr>
        <w:t xml:space="preserve"> </w:t>
      </w:r>
      <w:r w:rsidR="00D24EC4">
        <w:rPr>
          <w:lang w:val="ru-RU"/>
        </w:rPr>
        <w:t>в</w:t>
      </w:r>
      <w:r w:rsidR="00D24EC4" w:rsidRPr="00D24EC4">
        <w:rPr>
          <w:lang w:val="ru-RU"/>
        </w:rPr>
        <w:t xml:space="preserve"> </w:t>
      </w:r>
      <w:r w:rsidR="00D24EC4">
        <w:rPr>
          <w:lang w:val="ru-RU"/>
        </w:rPr>
        <w:t>Приложении</w:t>
      </w:r>
      <w:r w:rsidR="00D24EC4" w:rsidRPr="00D24EC4">
        <w:rPr>
          <w:lang w:val="ru-RU"/>
        </w:rPr>
        <w:t xml:space="preserve"> </w:t>
      </w:r>
      <w:r w:rsidR="00D24EC4">
        <w:rPr>
          <w:lang w:val="ru-RU"/>
        </w:rPr>
        <w:t>к</w:t>
      </w:r>
      <w:r w:rsidR="00D24EC4" w:rsidRPr="00D24EC4">
        <w:rPr>
          <w:lang w:val="ru-RU"/>
        </w:rPr>
        <w:t xml:space="preserve"> </w:t>
      </w:r>
      <w:r w:rsidR="00D24EC4">
        <w:rPr>
          <w:lang w:val="ru-RU"/>
        </w:rPr>
        <w:t>данному документу.</w:t>
      </w:r>
    </w:p>
    <w:p w:rsidR="00C902E0" w:rsidRPr="00D21F36" w:rsidRDefault="00D24EC4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D406E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406EE">
        <w:rPr>
          <w:lang w:val="ru-RU"/>
        </w:rPr>
        <w:t xml:space="preserve"> </w:t>
      </w:r>
      <w:r>
        <w:rPr>
          <w:lang w:val="ru-RU"/>
        </w:rPr>
        <w:t>со</w:t>
      </w:r>
      <w:r w:rsidRPr="00D406EE">
        <w:rPr>
          <w:lang w:val="ru-RU"/>
        </w:rPr>
        <w:t xml:space="preserve"> </w:t>
      </w:r>
      <w:r>
        <w:rPr>
          <w:lang w:val="ru-RU"/>
        </w:rPr>
        <w:t>статьей</w:t>
      </w:r>
      <w:r w:rsidRPr="00D406EE">
        <w:rPr>
          <w:lang w:val="ru-RU"/>
        </w:rPr>
        <w:t xml:space="preserve"> 10 </w:t>
      </w:r>
      <w:r>
        <w:rPr>
          <w:lang w:val="ru-RU"/>
        </w:rPr>
        <w:t>Конвенции</w:t>
      </w:r>
      <w:r w:rsidRPr="00D406EE">
        <w:rPr>
          <w:lang w:val="ru-RU"/>
        </w:rPr>
        <w:t xml:space="preserve"> </w:t>
      </w:r>
      <w:r>
        <w:rPr>
          <w:lang w:val="ru-RU"/>
        </w:rPr>
        <w:t>и</w:t>
      </w:r>
      <w:r w:rsidRPr="00D406EE">
        <w:rPr>
          <w:lang w:val="ru-RU"/>
        </w:rPr>
        <w:t xml:space="preserve"> </w:t>
      </w:r>
      <w:r>
        <w:rPr>
          <w:lang w:val="ru-RU"/>
        </w:rPr>
        <w:t>с</w:t>
      </w:r>
      <w:r w:rsidRPr="00D406EE">
        <w:rPr>
          <w:lang w:val="ru-RU"/>
        </w:rPr>
        <w:t xml:space="preserve"> 2014</w:t>
      </w:r>
      <w:r w:rsidRPr="00D24EC4">
        <w:rPr>
          <w:lang w:val="en-US"/>
        </w:rPr>
        <w:t> </w:t>
      </w:r>
      <w:r>
        <w:rPr>
          <w:lang w:val="ru-RU"/>
        </w:rPr>
        <w:t>г</w:t>
      </w:r>
      <w:r w:rsidRPr="00D406EE">
        <w:rPr>
          <w:lang w:val="ru-RU"/>
        </w:rPr>
        <w:t xml:space="preserve">. </w:t>
      </w:r>
      <w:r w:rsidR="00D406EE">
        <w:rPr>
          <w:lang w:val="ru-RU"/>
        </w:rPr>
        <w:t>Секция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состоит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из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двух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подразделений</w:t>
      </w:r>
      <w:r w:rsidR="00D406EE" w:rsidRPr="00D406EE">
        <w:rPr>
          <w:lang w:val="ru-RU"/>
        </w:rPr>
        <w:t xml:space="preserve">: </w:t>
      </w:r>
      <w:r w:rsidR="00D406EE">
        <w:rPr>
          <w:lang w:val="ru-RU"/>
        </w:rPr>
        <w:t>Группы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по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выполнению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программ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и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Группы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по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развитию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потенциала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и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политики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в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области наследия. Ответственность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за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работу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в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регионах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распределена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между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этими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группами</w:t>
      </w:r>
      <w:r w:rsidR="00D406EE" w:rsidRPr="00D406EE">
        <w:rPr>
          <w:lang w:val="ru-RU"/>
        </w:rPr>
        <w:t xml:space="preserve">, </w:t>
      </w:r>
      <w:r w:rsidR="00D406EE">
        <w:rPr>
          <w:lang w:val="ru-RU"/>
        </w:rPr>
        <w:t>где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есть</w:t>
      </w:r>
      <w:r w:rsidR="00D406EE" w:rsidRPr="00D406EE">
        <w:rPr>
          <w:lang w:val="ru-RU"/>
        </w:rPr>
        <w:t xml:space="preserve"> «</w:t>
      </w:r>
      <w:r w:rsidR="00D406EE">
        <w:rPr>
          <w:lang w:val="ru-RU"/>
        </w:rPr>
        <w:t>региональные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>сотрудники</w:t>
      </w:r>
      <w:r w:rsidR="00D406EE" w:rsidRPr="00D406EE">
        <w:rPr>
          <w:lang w:val="ru-RU"/>
        </w:rPr>
        <w:t xml:space="preserve">» </w:t>
      </w:r>
      <w:r w:rsidR="00D406EE">
        <w:rPr>
          <w:lang w:val="ru-RU"/>
        </w:rPr>
        <w:t>для</w:t>
      </w:r>
      <w:r w:rsidR="00D406EE" w:rsidRPr="00D406EE">
        <w:rPr>
          <w:lang w:val="ru-RU"/>
        </w:rPr>
        <w:t xml:space="preserve"> </w:t>
      </w:r>
      <w:r w:rsidR="00D406EE">
        <w:rPr>
          <w:lang w:val="ru-RU"/>
        </w:rPr>
        <w:t xml:space="preserve">каждой из шести избирательных групп ЮНЕСКО. </w:t>
      </w:r>
      <w:r w:rsidR="009446AF">
        <w:rPr>
          <w:lang w:val="ru-RU"/>
        </w:rPr>
        <w:t>Возложенные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на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данные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группы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задачи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охарактеризованы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в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докладе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Секретариата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десятой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сессии</w:t>
      </w:r>
      <w:r w:rsidR="009446AF" w:rsidRPr="009446AF">
        <w:rPr>
          <w:lang w:val="ru-RU"/>
        </w:rPr>
        <w:t xml:space="preserve"> </w:t>
      </w:r>
      <w:r w:rsidR="009446AF">
        <w:rPr>
          <w:lang w:val="ru-RU"/>
        </w:rPr>
        <w:t>Комитета</w:t>
      </w:r>
      <w:r w:rsidR="009446AF" w:rsidRPr="009446AF">
        <w:rPr>
          <w:lang w:val="ru-RU"/>
        </w:rPr>
        <w:t xml:space="preserve"> </w:t>
      </w:r>
      <w:r w:rsidR="00C902E0" w:rsidRPr="009446AF">
        <w:rPr>
          <w:lang w:val="ru-RU"/>
        </w:rPr>
        <w:t>(</w:t>
      </w:r>
      <w:r w:rsidR="00C902E0">
        <w:rPr>
          <w:lang w:val="ru-RU"/>
        </w:rPr>
        <w:t>документ</w:t>
      </w:r>
      <w:r w:rsidR="00C902E0" w:rsidRPr="009446AF">
        <w:rPr>
          <w:lang w:val="ru-RU"/>
        </w:rPr>
        <w:t xml:space="preserve"> </w:t>
      </w:r>
      <w:hyperlink r:id="rId15" w:history="1">
        <w:r w:rsidR="00C902E0" w:rsidRPr="002232C8">
          <w:rPr>
            <w:rStyle w:val="Hyperlink"/>
          </w:rPr>
          <w:t>ITH</w:t>
        </w:r>
        <w:r w:rsidR="00C902E0" w:rsidRPr="009446AF">
          <w:rPr>
            <w:rStyle w:val="Hyperlink"/>
            <w:lang w:val="ru-RU"/>
          </w:rPr>
          <w:t>/15/10.</w:t>
        </w:r>
        <w:r w:rsidR="00C902E0" w:rsidRPr="002232C8">
          <w:rPr>
            <w:rStyle w:val="Hyperlink"/>
          </w:rPr>
          <w:t>COM</w:t>
        </w:r>
        <w:r w:rsidR="00C902E0" w:rsidRPr="009446AF">
          <w:rPr>
            <w:rStyle w:val="Hyperlink"/>
            <w:lang w:val="ru-RU"/>
          </w:rPr>
          <w:t>/7.</w:t>
        </w:r>
        <w:r w:rsidR="00C902E0" w:rsidRPr="002232C8">
          <w:rPr>
            <w:rStyle w:val="Hyperlink"/>
          </w:rPr>
          <w:t>b</w:t>
        </w:r>
      </w:hyperlink>
      <w:r w:rsidR="00C902E0" w:rsidRPr="009446AF">
        <w:rPr>
          <w:lang w:val="ru-RU"/>
        </w:rPr>
        <w:t xml:space="preserve">) </w:t>
      </w:r>
      <w:r w:rsidR="009446AF">
        <w:rPr>
          <w:lang w:val="ru-RU"/>
        </w:rPr>
        <w:t xml:space="preserve">и шестой сессии Генеральной ассамблеи </w:t>
      </w:r>
      <w:r w:rsidR="00C902E0" w:rsidRPr="009446AF">
        <w:rPr>
          <w:lang w:val="ru-RU"/>
        </w:rPr>
        <w:t>(</w:t>
      </w:r>
      <w:r w:rsidR="00C902E0">
        <w:rPr>
          <w:lang w:val="ru-RU"/>
        </w:rPr>
        <w:t>документ</w:t>
      </w:r>
      <w:r w:rsidR="00C902E0" w:rsidRPr="009446AF">
        <w:rPr>
          <w:lang w:val="ru-RU"/>
        </w:rPr>
        <w:t xml:space="preserve"> </w:t>
      </w:r>
      <w:hyperlink r:id="rId16" w:history="1">
        <w:r w:rsidR="00C902E0" w:rsidRPr="002232C8">
          <w:rPr>
            <w:rStyle w:val="Hyperlink"/>
          </w:rPr>
          <w:t>ITH</w:t>
        </w:r>
        <w:r w:rsidR="00C902E0" w:rsidRPr="009446AF">
          <w:rPr>
            <w:rStyle w:val="Hyperlink"/>
            <w:lang w:val="ru-RU"/>
          </w:rPr>
          <w:t>/16/6.</w:t>
        </w:r>
        <w:r w:rsidR="00C902E0" w:rsidRPr="002232C8">
          <w:rPr>
            <w:rStyle w:val="Hyperlink"/>
          </w:rPr>
          <w:t>GA</w:t>
        </w:r>
        <w:r w:rsidR="00C902E0" w:rsidRPr="009446AF">
          <w:rPr>
            <w:rStyle w:val="Hyperlink"/>
            <w:lang w:val="ru-RU"/>
          </w:rPr>
          <w:t>/6</w:t>
        </w:r>
      </w:hyperlink>
      <w:r w:rsidR="00C902E0" w:rsidRPr="009446AF">
        <w:rPr>
          <w:lang w:val="ru-RU"/>
        </w:rPr>
        <w:t>)</w:t>
      </w:r>
      <w:r w:rsidR="009446AF">
        <w:rPr>
          <w:lang w:val="ru-RU"/>
        </w:rPr>
        <w:t>; они не претерпели изменений за отчетный период. Кроме</w:t>
      </w:r>
      <w:r w:rsidR="009446AF" w:rsidRPr="008E6941">
        <w:rPr>
          <w:lang w:val="ru-RU"/>
        </w:rPr>
        <w:t xml:space="preserve"> </w:t>
      </w:r>
      <w:r w:rsidR="009446AF">
        <w:rPr>
          <w:lang w:val="ru-RU"/>
        </w:rPr>
        <w:t>того</w:t>
      </w:r>
      <w:r w:rsidR="009446AF" w:rsidRPr="008E6941">
        <w:rPr>
          <w:lang w:val="ru-RU"/>
        </w:rPr>
        <w:t xml:space="preserve">, </w:t>
      </w:r>
      <w:r w:rsidR="008E6941">
        <w:rPr>
          <w:lang w:val="ru-RU"/>
        </w:rPr>
        <w:t>оказание</w:t>
      </w:r>
      <w:r w:rsidR="008E6941" w:rsidRPr="008E6941">
        <w:rPr>
          <w:lang w:val="ru-RU"/>
        </w:rPr>
        <w:t xml:space="preserve"> </w:t>
      </w:r>
      <w:r w:rsidR="008E6941">
        <w:rPr>
          <w:lang w:val="ru-RU"/>
        </w:rPr>
        <w:t>поддержки</w:t>
      </w:r>
      <w:r w:rsidR="008E6941" w:rsidRPr="008E6941">
        <w:rPr>
          <w:lang w:val="ru-RU"/>
        </w:rPr>
        <w:t xml:space="preserve"> </w:t>
      </w:r>
      <w:r w:rsidR="008E6941">
        <w:rPr>
          <w:lang w:val="ru-RU"/>
        </w:rPr>
        <w:t>функционированию</w:t>
      </w:r>
      <w:r w:rsidR="008E6941" w:rsidRPr="008E6941">
        <w:rPr>
          <w:lang w:val="ru-RU"/>
        </w:rPr>
        <w:t xml:space="preserve"> </w:t>
      </w:r>
      <w:r w:rsidR="008E6941">
        <w:rPr>
          <w:lang w:val="ru-RU"/>
        </w:rPr>
        <w:t>этих</w:t>
      </w:r>
      <w:r w:rsidR="008E6941" w:rsidRPr="008E6941">
        <w:rPr>
          <w:lang w:val="ru-RU"/>
        </w:rPr>
        <w:t xml:space="preserve"> </w:t>
      </w:r>
      <w:r w:rsidR="008E6941">
        <w:rPr>
          <w:lang w:val="ru-RU"/>
        </w:rPr>
        <w:t>групп</w:t>
      </w:r>
      <w:r w:rsidR="008E6941" w:rsidRPr="008E6941">
        <w:rPr>
          <w:lang w:val="ru-RU"/>
        </w:rPr>
        <w:t xml:space="preserve">, </w:t>
      </w:r>
      <w:r w:rsidR="008E6941">
        <w:rPr>
          <w:lang w:val="ru-RU"/>
        </w:rPr>
        <w:t>включая управление веб-сайтом Конвенции,</w:t>
      </w:r>
      <w:r w:rsidR="008E6941" w:rsidRPr="008E6941">
        <w:rPr>
          <w:lang w:val="ru-RU"/>
        </w:rPr>
        <w:t xml:space="preserve"> </w:t>
      </w:r>
      <w:r w:rsidR="008E6941">
        <w:rPr>
          <w:lang w:val="ru-RU"/>
        </w:rPr>
        <w:t>осуществляет</w:t>
      </w:r>
      <w:r w:rsidR="008E6941" w:rsidRPr="008E6941">
        <w:rPr>
          <w:lang w:val="ru-RU"/>
        </w:rPr>
        <w:t xml:space="preserve"> </w:t>
      </w:r>
      <w:r w:rsidR="003847C6">
        <w:rPr>
          <w:lang w:val="ru-RU"/>
        </w:rPr>
        <w:t>Служба</w:t>
      </w:r>
      <w:r w:rsidR="003847C6" w:rsidRPr="008E6941">
        <w:rPr>
          <w:lang w:val="ru-RU"/>
        </w:rPr>
        <w:t xml:space="preserve"> </w:t>
      </w:r>
      <w:r w:rsidR="003847C6">
        <w:rPr>
          <w:lang w:val="ru-RU"/>
        </w:rPr>
        <w:t>управления</w:t>
      </w:r>
      <w:r w:rsidR="003847C6" w:rsidRPr="008E6941">
        <w:rPr>
          <w:lang w:val="ru-RU"/>
        </w:rPr>
        <w:t xml:space="preserve"> </w:t>
      </w:r>
      <w:r w:rsidR="003847C6">
        <w:rPr>
          <w:lang w:val="ru-RU"/>
        </w:rPr>
        <w:t>информацией</w:t>
      </w:r>
      <w:r w:rsidR="008E6941">
        <w:rPr>
          <w:lang w:val="ru-RU"/>
        </w:rPr>
        <w:t>.</w:t>
      </w:r>
      <w:r w:rsidR="003847C6" w:rsidRPr="008E6941">
        <w:rPr>
          <w:lang w:val="ru-RU"/>
        </w:rPr>
        <w:t xml:space="preserve"> </w:t>
      </w:r>
      <w:r w:rsidR="008E6941">
        <w:rPr>
          <w:lang w:val="ru-RU"/>
        </w:rPr>
        <w:t>Группа</w:t>
      </w:r>
      <w:r w:rsidR="008E6941" w:rsidRPr="00D21F36">
        <w:rPr>
          <w:lang w:val="ru-RU"/>
        </w:rPr>
        <w:t xml:space="preserve"> </w:t>
      </w:r>
      <w:r w:rsidR="008E6941">
        <w:rPr>
          <w:lang w:val="ru-RU"/>
        </w:rPr>
        <w:t>общего</w:t>
      </w:r>
      <w:r w:rsidR="008E6941" w:rsidRPr="00D21F36">
        <w:rPr>
          <w:lang w:val="ru-RU"/>
        </w:rPr>
        <w:t xml:space="preserve"> </w:t>
      </w:r>
      <w:r w:rsidR="008E6941">
        <w:rPr>
          <w:lang w:val="ru-RU"/>
        </w:rPr>
        <w:t>обслуживания</w:t>
      </w:r>
      <w:r w:rsidR="008E6941" w:rsidRPr="00D21F36">
        <w:rPr>
          <w:lang w:val="ru-RU"/>
        </w:rPr>
        <w:t xml:space="preserve"> </w:t>
      </w:r>
      <w:r w:rsidR="008E6941">
        <w:rPr>
          <w:lang w:val="ru-RU"/>
        </w:rPr>
        <w:t>по</w:t>
      </w:r>
      <w:r w:rsidR="008E6941" w:rsidRPr="00D21F36">
        <w:rPr>
          <w:lang w:val="ru-RU"/>
        </w:rPr>
        <w:t xml:space="preserve"> </w:t>
      </w:r>
      <w:r w:rsidR="008E6941">
        <w:rPr>
          <w:lang w:val="ru-RU"/>
        </w:rPr>
        <w:t>конвенциям</w:t>
      </w:r>
      <w:r w:rsidR="008E6941" w:rsidRPr="00D21F36">
        <w:rPr>
          <w:lang w:val="ru-RU"/>
        </w:rPr>
        <w:t xml:space="preserve"> (</w:t>
      </w:r>
      <w:r w:rsidR="008E6941">
        <w:rPr>
          <w:lang w:val="ru-RU"/>
        </w:rPr>
        <w:t>переименованная</w:t>
      </w:r>
      <w:r w:rsidR="008E6941" w:rsidRPr="00D21F36">
        <w:rPr>
          <w:lang w:val="ru-RU"/>
        </w:rPr>
        <w:t xml:space="preserve"> </w:t>
      </w:r>
      <w:r w:rsidR="008E6941">
        <w:rPr>
          <w:lang w:val="ru-RU"/>
        </w:rPr>
        <w:t>в</w:t>
      </w:r>
      <w:r w:rsidR="008E6941" w:rsidRPr="00D21F36">
        <w:rPr>
          <w:lang w:val="ru-RU"/>
        </w:rPr>
        <w:t xml:space="preserve"> </w:t>
      </w:r>
      <w:r w:rsidR="008E6941">
        <w:rPr>
          <w:lang w:val="ru-RU"/>
        </w:rPr>
        <w:t>январе</w:t>
      </w:r>
      <w:r w:rsidR="008E6941" w:rsidRPr="00D21F36">
        <w:rPr>
          <w:lang w:val="ru-RU"/>
        </w:rPr>
        <w:t xml:space="preserve"> 2018</w:t>
      </w:r>
      <w:r w:rsidR="008E6941" w:rsidRPr="008E6941">
        <w:rPr>
          <w:lang w:val="en-US"/>
        </w:rPr>
        <w:t> </w:t>
      </w:r>
      <w:r w:rsidR="008E6941">
        <w:rPr>
          <w:lang w:val="ru-RU"/>
        </w:rPr>
        <w:t>г</w:t>
      </w:r>
      <w:r w:rsidR="008E6941" w:rsidRPr="00D21F36">
        <w:rPr>
          <w:lang w:val="ru-RU"/>
        </w:rPr>
        <w:t xml:space="preserve">. </w:t>
      </w:r>
      <w:r w:rsidR="008E6941">
        <w:rPr>
          <w:lang w:val="ru-RU"/>
        </w:rPr>
        <w:t>в</w:t>
      </w:r>
      <w:r w:rsidR="008E6941" w:rsidRPr="00D21F36">
        <w:rPr>
          <w:lang w:val="ru-RU"/>
        </w:rPr>
        <w:t xml:space="preserve"> </w:t>
      </w:r>
      <w:r w:rsidR="00D21F36" w:rsidRPr="00D21F36">
        <w:rPr>
          <w:lang w:val="ru-RU"/>
        </w:rPr>
        <w:t>«</w:t>
      </w:r>
      <w:r w:rsidR="00D21F36">
        <w:rPr>
          <w:lang w:val="ru-RU"/>
        </w:rPr>
        <w:t>Группу</w:t>
      </w:r>
      <w:r w:rsidR="00D21F36" w:rsidRPr="00D21F36">
        <w:rPr>
          <w:lang w:val="ru-RU"/>
        </w:rPr>
        <w:t xml:space="preserve"> </w:t>
      </w:r>
      <w:r w:rsidR="00D21F36">
        <w:rPr>
          <w:lang w:val="ru-RU"/>
        </w:rPr>
        <w:t>по</w:t>
      </w:r>
      <w:r w:rsidR="00D21F36" w:rsidRPr="00D21F36">
        <w:rPr>
          <w:lang w:val="ru-RU"/>
        </w:rPr>
        <w:t xml:space="preserve"> </w:t>
      </w:r>
      <w:r w:rsidR="00D21F36">
        <w:rPr>
          <w:lang w:val="ru-RU"/>
        </w:rPr>
        <w:t>партнерству</w:t>
      </w:r>
      <w:r w:rsidR="00D21F36" w:rsidRPr="00D21F36">
        <w:rPr>
          <w:lang w:val="ru-RU"/>
        </w:rPr>
        <w:t xml:space="preserve">, </w:t>
      </w:r>
      <w:r w:rsidR="00D21F36">
        <w:rPr>
          <w:lang w:val="ru-RU"/>
        </w:rPr>
        <w:t>коммуникации</w:t>
      </w:r>
      <w:r w:rsidR="00D21F36" w:rsidRPr="00D21F36">
        <w:rPr>
          <w:lang w:val="ru-RU"/>
        </w:rPr>
        <w:t xml:space="preserve"> </w:t>
      </w:r>
      <w:r w:rsidR="00D21F36">
        <w:rPr>
          <w:lang w:val="ru-RU"/>
        </w:rPr>
        <w:t>и</w:t>
      </w:r>
      <w:r w:rsidR="00D21F36" w:rsidRPr="00D21F36">
        <w:rPr>
          <w:lang w:val="ru-RU"/>
        </w:rPr>
        <w:t xml:space="preserve"> </w:t>
      </w:r>
      <w:r w:rsidR="00D21F36">
        <w:rPr>
          <w:lang w:val="ru-RU"/>
        </w:rPr>
        <w:t>совещаниям</w:t>
      </w:r>
      <w:r w:rsidR="00D21F36" w:rsidRPr="00D21F36">
        <w:rPr>
          <w:lang w:val="ru-RU"/>
        </w:rPr>
        <w:t xml:space="preserve">»), </w:t>
      </w:r>
      <w:r w:rsidR="00D21F36">
        <w:rPr>
          <w:lang w:val="ru-RU"/>
        </w:rPr>
        <w:t>учрежденная</w:t>
      </w:r>
      <w:r w:rsidR="00D21F36" w:rsidRPr="00D21F36">
        <w:rPr>
          <w:lang w:val="ru-RU"/>
        </w:rPr>
        <w:t xml:space="preserve"> </w:t>
      </w:r>
      <w:r w:rsidR="00D21F36">
        <w:rPr>
          <w:lang w:val="ru-RU"/>
        </w:rPr>
        <w:t>в</w:t>
      </w:r>
      <w:r w:rsidR="00D21F36" w:rsidRPr="00D21F36">
        <w:rPr>
          <w:lang w:val="ru-RU"/>
        </w:rPr>
        <w:t xml:space="preserve"> </w:t>
      </w:r>
      <w:r w:rsidR="00D21F36">
        <w:rPr>
          <w:lang w:val="ru-RU"/>
        </w:rPr>
        <w:t>середине</w:t>
      </w:r>
      <w:r w:rsidR="00D21F36" w:rsidRPr="00D21F36">
        <w:rPr>
          <w:lang w:val="ru-RU"/>
        </w:rPr>
        <w:t xml:space="preserve"> 2014</w:t>
      </w:r>
      <w:r w:rsidR="00D21F36" w:rsidRPr="00D21F36">
        <w:rPr>
          <w:lang w:val="en-US"/>
        </w:rPr>
        <w:t> </w:t>
      </w:r>
      <w:r w:rsidR="00D21F36">
        <w:rPr>
          <w:lang w:val="ru-RU"/>
        </w:rPr>
        <w:t>г</w:t>
      </w:r>
      <w:r w:rsidR="00D21F36" w:rsidRPr="00D21F36">
        <w:rPr>
          <w:lang w:val="ru-RU"/>
        </w:rPr>
        <w:t xml:space="preserve">. </w:t>
      </w:r>
      <w:r w:rsidR="00C902E0" w:rsidRPr="00D21F36">
        <w:rPr>
          <w:lang w:val="ru-RU"/>
        </w:rPr>
        <w:t>(</w:t>
      </w:r>
      <w:r w:rsidR="00C902E0">
        <w:rPr>
          <w:lang w:val="ru-RU"/>
        </w:rPr>
        <w:t>см</w:t>
      </w:r>
      <w:r w:rsidR="00C902E0" w:rsidRPr="00D21F36">
        <w:rPr>
          <w:lang w:val="ru-RU"/>
        </w:rPr>
        <w:t>.</w:t>
      </w:r>
      <w:r w:rsidR="00C902E0" w:rsidRPr="00BB765B">
        <w:rPr>
          <w:lang w:val="en-US"/>
        </w:rPr>
        <w:t> </w:t>
      </w:r>
      <w:r w:rsidR="00C902E0">
        <w:rPr>
          <w:lang w:val="ru-RU"/>
        </w:rPr>
        <w:t>документ</w:t>
      </w:r>
      <w:r w:rsidR="00C902E0" w:rsidRPr="002232C8">
        <w:rPr>
          <w:rFonts w:cs="Times New Roman"/>
          <w:lang w:val="en-US"/>
        </w:rPr>
        <w:t> </w:t>
      </w:r>
      <w:hyperlink r:id="rId17" w:history="1">
        <w:r w:rsidR="00C902E0" w:rsidRPr="002232C8">
          <w:rPr>
            <w:rStyle w:val="Hyperlink"/>
            <w:lang w:val="en-US"/>
          </w:rPr>
          <w:t>ITH</w:t>
        </w:r>
        <w:r w:rsidR="00C902E0" w:rsidRPr="00D21F36">
          <w:rPr>
            <w:rStyle w:val="Hyperlink"/>
            <w:lang w:val="ru-RU"/>
          </w:rPr>
          <w:t>/14/9.</w:t>
        </w:r>
        <w:r w:rsidR="00C902E0" w:rsidRPr="002232C8">
          <w:rPr>
            <w:rStyle w:val="Hyperlink"/>
            <w:lang w:val="en-US"/>
          </w:rPr>
          <w:t>COM</w:t>
        </w:r>
        <w:r w:rsidR="00C902E0" w:rsidRPr="00D21F36">
          <w:rPr>
            <w:rStyle w:val="Hyperlink"/>
            <w:lang w:val="ru-RU"/>
          </w:rPr>
          <w:t>/6</w:t>
        </w:r>
      </w:hyperlink>
      <w:r w:rsidR="00C902E0" w:rsidRPr="00D21F36">
        <w:rPr>
          <w:rStyle w:val="Hyperlink"/>
          <w:lang w:val="ru-RU"/>
        </w:rPr>
        <w:t>)</w:t>
      </w:r>
      <w:r w:rsidR="00C902E0" w:rsidRPr="00D21F36">
        <w:rPr>
          <w:lang w:val="ru-RU"/>
        </w:rPr>
        <w:t xml:space="preserve">, </w:t>
      </w:r>
      <w:r w:rsidR="00D21F36">
        <w:rPr>
          <w:lang w:val="ru-RU"/>
        </w:rPr>
        <w:t xml:space="preserve">продолжает оказывать Секции помощь в организации </w:t>
      </w:r>
      <w:r w:rsidR="00F34AD1">
        <w:rPr>
          <w:lang w:val="ru-RU"/>
        </w:rPr>
        <w:t>официальных встреч</w:t>
      </w:r>
      <w:r w:rsidR="00D21F36">
        <w:rPr>
          <w:lang w:val="ru-RU"/>
        </w:rPr>
        <w:t>, что отмечалось также в двух вышеупомянутых докладах.</w:t>
      </w:r>
    </w:p>
    <w:p w:rsidR="00C902E0" w:rsidRPr="00D8484F" w:rsidRDefault="00C902E0" w:rsidP="00430A07">
      <w:pPr>
        <w:pStyle w:val="COMPara"/>
        <w:spacing w:before="360"/>
        <w:ind w:left="567" w:hanging="567"/>
        <w:jc w:val="both"/>
        <w:rPr>
          <w:b/>
          <w:lang w:val="ru-RU"/>
        </w:rPr>
      </w:pPr>
      <w:r>
        <w:rPr>
          <w:b/>
        </w:rPr>
        <w:t>II</w:t>
      </w:r>
      <w:r w:rsidRPr="00D8484F">
        <w:rPr>
          <w:b/>
          <w:lang w:val="ru-RU"/>
        </w:rPr>
        <w:t>.</w:t>
      </w:r>
      <w:r w:rsidRPr="00D8484F">
        <w:rPr>
          <w:b/>
          <w:lang w:val="ru-RU"/>
        </w:rPr>
        <w:tab/>
      </w:r>
      <w:r w:rsidR="00D406EE">
        <w:rPr>
          <w:b/>
          <w:lang w:val="ru-RU"/>
        </w:rPr>
        <w:t>Основные достижения</w:t>
      </w:r>
    </w:p>
    <w:p w:rsidR="00C902E0" w:rsidRPr="00892818" w:rsidRDefault="00F25D1E" w:rsidP="00430A07">
      <w:pPr>
        <w:pStyle w:val="COMPara"/>
        <w:keepNext/>
        <w:spacing w:before="240"/>
        <w:ind w:left="0" w:firstLine="0"/>
        <w:jc w:val="both"/>
        <w:rPr>
          <w:b/>
          <w:lang w:val="ru-RU"/>
        </w:rPr>
      </w:pPr>
      <w:r w:rsidRPr="00892818">
        <w:rPr>
          <w:b/>
          <w:caps/>
          <w:lang w:val="ru-RU"/>
        </w:rPr>
        <w:t xml:space="preserve">поддержка </w:t>
      </w:r>
      <w:r w:rsidR="001E79C9" w:rsidRPr="00892818">
        <w:rPr>
          <w:b/>
          <w:caps/>
          <w:lang w:val="ru-RU"/>
        </w:rPr>
        <w:t>официальных механизмов</w:t>
      </w:r>
    </w:p>
    <w:p w:rsidR="00C902E0" w:rsidRPr="00F34AD1" w:rsidRDefault="00216534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Значительная</w:t>
      </w:r>
      <w:r w:rsidRPr="00F34AD1">
        <w:rPr>
          <w:lang w:val="ru-RU"/>
        </w:rPr>
        <w:t xml:space="preserve"> </w:t>
      </w:r>
      <w:r>
        <w:rPr>
          <w:lang w:val="ru-RU"/>
        </w:rPr>
        <w:t>часть</w:t>
      </w:r>
      <w:r w:rsidRPr="00F34AD1">
        <w:rPr>
          <w:lang w:val="ru-RU"/>
        </w:rPr>
        <w:t xml:space="preserve"> </w:t>
      </w:r>
      <w:r>
        <w:rPr>
          <w:lang w:val="ru-RU"/>
        </w:rPr>
        <w:t>работы</w:t>
      </w:r>
      <w:r w:rsidRPr="00F34AD1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F34AD1">
        <w:rPr>
          <w:lang w:val="ru-RU"/>
        </w:rPr>
        <w:t xml:space="preserve"> </w:t>
      </w:r>
      <w:r>
        <w:rPr>
          <w:lang w:val="ru-RU"/>
        </w:rPr>
        <w:t>была</w:t>
      </w:r>
      <w:r w:rsidRPr="00F34AD1">
        <w:rPr>
          <w:lang w:val="ru-RU"/>
        </w:rPr>
        <w:t xml:space="preserve"> </w:t>
      </w:r>
      <w:r>
        <w:rPr>
          <w:lang w:val="ru-RU"/>
        </w:rPr>
        <w:t>посвящена</w:t>
      </w:r>
      <w:r w:rsidRPr="00F34AD1">
        <w:rPr>
          <w:lang w:val="ru-RU"/>
        </w:rPr>
        <w:t xml:space="preserve"> </w:t>
      </w:r>
      <w:r w:rsidR="00F34AD1">
        <w:rPr>
          <w:lang w:val="ru-RU"/>
        </w:rPr>
        <w:t>оказанию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поддержки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управлению Конвенцией</w:t>
      </w:r>
      <w:r w:rsidR="00F34AD1" w:rsidRPr="00F34AD1">
        <w:rPr>
          <w:lang w:val="ru-RU"/>
        </w:rPr>
        <w:t xml:space="preserve">, </w:t>
      </w:r>
      <w:r w:rsidR="00F34AD1">
        <w:rPr>
          <w:lang w:val="ru-RU"/>
        </w:rPr>
        <w:t>в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частности</w:t>
      </w:r>
      <w:r w:rsidR="00F34AD1" w:rsidRPr="00F34AD1">
        <w:rPr>
          <w:lang w:val="ru-RU"/>
        </w:rPr>
        <w:t xml:space="preserve">: </w:t>
      </w:r>
      <w:r w:rsidR="00C902E0" w:rsidRPr="00F34AD1">
        <w:rPr>
          <w:lang w:val="ru-RU"/>
        </w:rPr>
        <w:t>(</w:t>
      </w:r>
      <w:proofErr w:type="spellStart"/>
      <w:r w:rsidR="00C902E0">
        <w:t>i</w:t>
      </w:r>
      <w:proofErr w:type="spellEnd"/>
      <w:r w:rsidR="00C902E0" w:rsidRPr="00F34AD1">
        <w:rPr>
          <w:lang w:val="ru-RU"/>
        </w:rPr>
        <w:t>)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организации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сессий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Генеральной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ассамблеи</w:t>
      </w:r>
      <w:r w:rsidR="00F34AD1" w:rsidRPr="00F34AD1">
        <w:rPr>
          <w:lang w:val="ru-RU"/>
        </w:rPr>
        <w:t xml:space="preserve">, </w:t>
      </w:r>
      <w:r w:rsidR="00F34AD1">
        <w:rPr>
          <w:lang w:val="ru-RU"/>
        </w:rPr>
        <w:t>Межправительственного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комитета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и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его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Президиума</w:t>
      </w:r>
      <w:r w:rsidR="00F34AD1" w:rsidRPr="00F34AD1">
        <w:rPr>
          <w:lang w:val="ru-RU"/>
        </w:rPr>
        <w:t xml:space="preserve">, </w:t>
      </w:r>
      <w:r w:rsidR="00F34AD1">
        <w:rPr>
          <w:lang w:val="ru-RU"/>
        </w:rPr>
        <w:t>а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также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Оценочного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органа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и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lastRenderedPageBreak/>
        <w:t>межправительственной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рабочей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группы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открытого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состава</w:t>
      </w:r>
      <w:r w:rsidR="00F34AD1" w:rsidRPr="00F34AD1">
        <w:rPr>
          <w:lang w:val="ru-RU"/>
        </w:rPr>
        <w:t xml:space="preserve">; </w:t>
      </w:r>
      <w:r w:rsidR="00C902E0" w:rsidRPr="00F34AD1">
        <w:rPr>
          <w:lang w:val="ru-RU"/>
        </w:rPr>
        <w:t>(</w:t>
      </w:r>
      <w:r w:rsidR="00C902E0">
        <w:t>ii</w:t>
      </w:r>
      <w:r w:rsidR="00C902E0" w:rsidRPr="00F34AD1">
        <w:rPr>
          <w:lang w:val="ru-RU"/>
        </w:rPr>
        <w:t xml:space="preserve">) </w:t>
      </w:r>
      <w:r w:rsidR="00F34AD1">
        <w:rPr>
          <w:lang w:val="ru-RU"/>
        </w:rPr>
        <w:t>обработке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номинаций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в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списки</w:t>
      </w:r>
      <w:r w:rsidR="00F34AD1" w:rsidRPr="00F34AD1">
        <w:rPr>
          <w:lang w:val="ru-RU"/>
        </w:rPr>
        <w:t xml:space="preserve"> </w:t>
      </w:r>
      <w:r w:rsidR="00F34AD1">
        <w:rPr>
          <w:lang w:val="ru-RU"/>
        </w:rPr>
        <w:t>Конвенции</w:t>
      </w:r>
      <w:r w:rsidR="00F34AD1" w:rsidRPr="00F34AD1">
        <w:rPr>
          <w:lang w:val="ru-RU"/>
        </w:rPr>
        <w:t xml:space="preserve">, </w:t>
      </w:r>
      <w:r w:rsidR="00F34AD1">
        <w:rPr>
          <w:lang w:val="ru-RU"/>
        </w:rPr>
        <w:t xml:space="preserve">предложений в реестр передовых практик по охране, заявок на оказание международной помощи (МП) и периодических докладов, представленных через официальные механизмы; и </w:t>
      </w:r>
      <w:r w:rsidR="00C902E0" w:rsidRPr="00F34AD1">
        <w:rPr>
          <w:lang w:val="ru-RU"/>
        </w:rPr>
        <w:t>(</w:t>
      </w:r>
      <w:r w:rsidR="00C902E0">
        <w:t>iii</w:t>
      </w:r>
      <w:r w:rsidR="00C902E0" w:rsidRPr="00F34AD1">
        <w:rPr>
          <w:lang w:val="ru-RU"/>
        </w:rPr>
        <w:t xml:space="preserve">) </w:t>
      </w:r>
      <w:r w:rsidR="00F34AD1">
        <w:rPr>
          <w:lang w:val="ru-RU"/>
        </w:rPr>
        <w:t>заявкам на аккредитацию и ее продление от неправительственных организаций (НПО).</w:t>
      </w:r>
    </w:p>
    <w:p w:rsidR="00C902E0" w:rsidRPr="009823C2" w:rsidRDefault="00F34AD1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Секретариат</w:t>
      </w:r>
      <w:r w:rsidRPr="00F34AD1">
        <w:rPr>
          <w:lang w:val="ru-RU"/>
        </w:rPr>
        <w:t xml:space="preserve"> </w:t>
      </w:r>
      <w:r>
        <w:rPr>
          <w:lang w:val="ru-RU"/>
        </w:rPr>
        <w:t>содействовал</w:t>
      </w:r>
      <w:r w:rsidRPr="00F34AD1">
        <w:rPr>
          <w:lang w:val="ru-RU"/>
        </w:rPr>
        <w:t xml:space="preserve"> </w:t>
      </w:r>
      <w:r>
        <w:rPr>
          <w:lang w:val="ru-RU"/>
        </w:rPr>
        <w:t>работе</w:t>
      </w:r>
      <w:r w:rsidRPr="00F34AD1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F34AD1">
        <w:rPr>
          <w:lang w:val="ru-RU"/>
        </w:rPr>
        <w:t xml:space="preserve"> </w:t>
      </w:r>
      <w:r>
        <w:rPr>
          <w:lang w:val="ru-RU"/>
        </w:rPr>
        <w:t>органов</w:t>
      </w:r>
      <w:r w:rsidRPr="00F34AD1">
        <w:rPr>
          <w:lang w:val="ru-RU"/>
        </w:rPr>
        <w:t xml:space="preserve"> </w:t>
      </w:r>
      <w:r w:rsidR="00174DB7">
        <w:rPr>
          <w:lang w:val="ru-RU"/>
        </w:rPr>
        <w:t xml:space="preserve">при </w:t>
      </w:r>
      <w:r>
        <w:rPr>
          <w:lang w:val="ru-RU"/>
        </w:rPr>
        <w:t>принятии</w:t>
      </w:r>
      <w:r w:rsidRPr="00F34AD1">
        <w:rPr>
          <w:lang w:val="ru-RU"/>
        </w:rPr>
        <w:t xml:space="preserve"> </w:t>
      </w:r>
      <w:r>
        <w:rPr>
          <w:lang w:val="ru-RU"/>
        </w:rPr>
        <w:t>ряда</w:t>
      </w:r>
      <w:r w:rsidRPr="00F34AD1">
        <w:rPr>
          <w:lang w:val="ru-RU"/>
        </w:rPr>
        <w:t xml:space="preserve"> </w:t>
      </w:r>
      <w:r>
        <w:rPr>
          <w:lang w:val="ru-RU"/>
        </w:rPr>
        <w:t>ключевых</w:t>
      </w:r>
      <w:r w:rsidRPr="00F34AD1">
        <w:rPr>
          <w:lang w:val="ru-RU"/>
        </w:rPr>
        <w:t xml:space="preserve"> </w:t>
      </w:r>
      <w:r>
        <w:rPr>
          <w:lang w:val="ru-RU"/>
        </w:rPr>
        <w:t>решений</w:t>
      </w:r>
      <w:r w:rsidRPr="00F34AD1">
        <w:rPr>
          <w:lang w:val="ru-RU"/>
        </w:rPr>
        <w:t xml:space="preserve"> </w:t>
      </w:r>
      <w:r>
        <w:rPr>
          <w:lang w:val="ru-RU"/>
        </w:rPr>
        <w:t>в</w:t>
      </w:r>
      <w:r w:rsidRPr="00F34AD1">
        <w:rPr>
          <w:lang w:val="ru-RU"/>
        </w:rPr>
        <w:t xml:space="preserve"> </w:t>
      </w:r>
      <w:r>
        <w:rPr>
          <w:lang w:val="ru-RU"/>
        </w:rPr>
        <w:t>ходе</w:t>
      </w:r>
      <w:r w:rsidRPr="00F34AD1">
        <w:rPr>
          <w:lang w:val="ru-RU"/>
        </w:rPr>
        <w:t xml:space="preserve"> </w:t>
      </w:r>
      <w:r>
        <w:rPr>
          <w:lang w:val="ru-RU"/>
        </w:rPr>
        <w:t>восемнадцати</w:t>
      </w:r>
      <w:r w:rsidRPr="00F34AD1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F34AD1">
        <w:rPr>
          <w:lang w:val="ru-RU"/>
        </w:rPr>
        <w:t xml:space="preserve"> </w:t>
      </w:r>
      <w:r>
        <w:rPr>
          <w:lang w:val="ru-RU"/>
        </w:rPr>
        <w:t>встреч</w:t>
      </w:r>
      <w:r w:rsidRPr="00F34AD1">
        <w:rPr>
          <w:lang w:val="ru-RU"/>
        </w:rPr>
        <w:t xml:space="preserve">, </w:t>
      </w:r>
      <w:r>
        <w:rPr>
          <w:lang w:val="ru-RU"/>
        </w:rPr>
        <w:t>организованных</w:t>
      </w:r>
      <w:r w:rsidRPr="00F34AD1">
        <w:rPr>
          <w:lang w:val="ru-RU"/>
        </w:rPr>
        <w:t xml:space="preserve"> </w:t>
      </w:r>
      <w:r>
        <w:rPr>
          <w:lang w:val="ru-RU"/>
        </w:rPr>
        <w:t>за</w:t>
      </w:r>
      <w:r w:rsidRPr="00F34AD1">
        <w:rPr>
          <w:lang w:val="ru-RU"/>
        </w:rPr>
        <w:t xml:space="preserve"> </w:t>
      </w:r>
      <w:r>
        <w:rPr>
          <w:lang w:val="ru-RU"/>
        </w:rPr>
        <w:t>отчетный</w:t>
      </w:r>
      <w:r w:rsidRPr="00F34AD1">
        <w:rPr>
          <w:lang w:val="ru-RU"/>
        </w:rPr>
        <w:t xml:space="preserve"> </w:t>
      </w:r>
      <w:r>
        <w:rPr>
          <w:lang w:val="ru-RU"/>
        </w:rPr>
        <w:t>период.</w:t>
      </w:r>
      <w:r w:rsidR="00C902E0" w:rsidRPr="000E07B8">
        <w:rPr>
          <w:lang w:val="ru-RU"/>
        </w:rPr>
        <w:t xml:space="preserve"> </w:t>
      </w:r>
      <w:r w:rsidR="000E07B8">
        <w:rPr>
          <w:lang w:val="ru-RU"/>
        </w:rPr>
        <w:t>Среди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этих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встреч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важнейшей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вехой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стала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шестая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сессия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Генеральной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ассамблеи</w:t>
      </w:r>
      <w:r w:rsidR="000E07B8" w:rsidRPr="002A255E">
        <w:rPr>
          <w:lang w:val="ru-RU"/>
        </w:rPr>
        <w:t xml:space="preserve">, </w:t>
      </w:r>
      <w:r w:rsidR="000E07B8">
        <w:rPr>
          <w:lang w:val="ru-RU"/>
        </w:rPr>
        <w:t>состоявшаяся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в</w:t>
      </w:r>
      <w:r w:rsidR="000E07B8" w:rsidRPr="002A255E">
        <w:rPr>
          <w:lang w:val="ru-RU"/>
        </w:rPr>
        <w:t xml:space="preserve"> </w:t>
      </w:r>
      <w:r w:rsidR="000E07B8">
        <w:rPr>
          <w:lang w:val="ru-RU"/>
        </w:rPr>
        <w:t>мае</w:t>
      </w:r>
      <w:r w:rsidR="000E07B8" w:rsidRPr="002A255E">
        <w:rPr>
          <w:lang w:val="ru-RU"/>
        </w:rPr>
        <w:t xml:space="preserve"> – </w:t>
      </w:r>
      <w:r w:rsidR="000E07B8">
        <w:rPr>
          <w:lang w:val="ru-RU"/>
        </w:rPr>
        <w:t>июне</w:t>
      </w:r>
      <w:r w:rsidR="000E07B8" w:rsidRPr="002A255E">
        <w:rPr>
          <w:lang w:val="ru-RU"/>
        </w:rPr>
        <w:t xml:space="preserve"> 2016</w:t>
      </w:r>
      <w:r w:rsidR="000E07B8" w:rsidRPr="000E07B8">
        <w:rPr>
          <w:lang w:val="en-US"/>
        </w:rPr>
        <w:t> </w:t>
      </w:r>
      <w:r w:rsidR="000E07B8">
        <w:rPr>
          <w:lang w:val="ru-RU"/>
        </w:rPr>
        <w:t>г</w:t>
      </w:r>
      <w:r w:rsidR="000E07B8" w:rsidRPr="002A255E">
        <w:rPr>
          <w:lang w:val="ru-RU"/>
        </w:rPr>
        <w:t xml:space="preserve">. </w:t>
      </w:r>
      <w:r w:rsidR="002A255E">
        <w:rPr>
          <w:lang w:val="ru-RU"/>
        </w:rPr>
        <w:t>Ассамблея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утвердила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существенные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поправки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к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Оперативному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руководству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по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выполнению Конвенции</w:t>
      </w:r>
      <w:r w:rsidR="002A255E" w:rsidRPr="002A255E">
        <w:rPr>
          <w:lang w:val="ru-RU"/>
        </w:rPr>
        <w:t xml:space="preserve">, </w:t>
      </w:r>
      <w:r w:rsidR="002A255E">
        <w:rPr>
          <w:lang w:val="ru-RU"/>
        </w:rPr>
        <w:t>включая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увеличение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суммы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заявок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на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получение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МП</w:t>
      </w:r>
      <w:r w:rsidR="002A255E" w:rsidRPr="002A255E">
        <w:rPr>
          <w:lang w:val="ru-RU"/>
        </w:rPr>
        <w:t xml:space="preserve">, </w:t>
      </w:r>
      <w:r w:rsidR="002A255E">
        <w:rPr>
          <w:lang w:val="ru-RU"/>
        </w:rPr>
        <w:t>которые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может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утверждать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Президиум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Комитета</w:t>
      </w:r>
      <w:r w:rsidR="002A255E" w:rsidRPr="002A255E">
        <w:rPr>
          <w:lang w:val="ru-RU"/>
        </w:rPr>
        <w:t xml:space="preserve">, </w:t>
      </w:r>
      <w:r w:rsidR="002A255E">
        <w:rPr>
          <w:lang w:val="ru-RU"/>
        </w:rPr>
        <w:t>с</w:t>
      </w:r>
      <w:r w:rsidR="002A255E" w:rsidRPr="002A255E">
        <w:rPr>
          <w:lang w:val="ru-RU"/>
        </w:rPr>
        <w:t xml:space="preserve"> 25</w:t>
      </w:r>
      <w:r w:rsidR="002A255E" w:rsidRPr="002A255E">
        <w:rPr>
          <w:lang w:val="en-US"/>
        </w:rPr>
        <w:t> </w:t>
      </w:r>
      <w:r w:rsidR="002A255E" w:rsidRPr="002A255E">
        <w:rPr>
          <w:lang w:val="ru-RU"/>
        </w:rPr>
        <w:t xml:space="preserve">000 </w:t>
      </w:r>
      <w:r w:rsidR="002A255E">
        <w:rPr>
          <w:lang w:val="ru-RU"/>
        </w:rPr>
        <w:t>до</w:t>
      </w:r>
      <w:r w:rsidR="002A255E" w:rsidRPr="002A255E">
        <w:rPr>
          <w:lang w:val="ru-RU"/>
        </w:rPr>
        <w:t xml:space="preserve"> 100</w:t>
      </w:r>
      <w:r w:rsidR="002A255E">
        <w:rPr>
          <w:lang w:val="en-US"/>
        </w:rPr>
        <w:t> </w:t>
      </w:r>
      <w:r w:rsidR="002A255E" w:rsidRPr="002A255E">
        <w:rPr>
          <w:lang w:val="ru-RU"/>
        </w:rPr>
        <w:t xml:space="preserve">000 </w:t>
      </w:r>
      <w:r w:rsidR="002A255E">
        <w:rPr>
          <w:lang w:val="ru-RU"/>
        </w:rPr>
        <w:t>долл</w:t>
      </w:r>
      <w:r w:rsidR="002A255E" w:rsidRPr="002A255E">
        <w:rPr>
          <w:lang w:val="ru-RU"/>
        </w:rPr>
        <w:t xml:space="preserve">., </w:t>
      </w:r>
      <w:r w:rsidR="002A255E">
        <w:rPr>
          <w:lang w:val="ru-RU"/>
        </w:rPr>
        <w:t>введение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новой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главы</w:t>
      </w:r>
      <w:r w:rsidR="002A255E" w:rsidRPr="002A255E">
        <w:rPr>
          <w:lang w:val="ru-RU"/>
        </w:rPr>
        <w:t>, по</w:t>
      </w:r>
      <w:r w:rsidR="002A255E">
        <w:rPr>
          <w:lang w:val="ru-RU"/>
        </w:rPr>
        <w:t>свящ</w:t>
      </w:r>
      <w:r w:rsidR="009D37FC">
        <w:rPr>
          <w:lang w:val="ru-RU"/>
        </w:rPr>
        <w:t>е</w:t>
      </w:r>
      <w:r w:rsidR="002A255E">
        <w:rPr>
          <w:lang w:val="ru-RU"/>
        </w:rPr>
        <w:t>нной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охране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нематериального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культурного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наследия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и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устойчивому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развитию</w:t>
      </w:r>
      <w:r w:rsidR="00892818">
        <w:rPr>
          <w:lang w:val="ru-RU"/>
        </w:rPr>
        <w:t>,</w:t>
      </w:r>
      <w:r w:rsidR="002A255E">
        <w:rPr>
          <w:lang w:val="ru-RU"/>
        </w:rPr>
        <w:t xml:space="preserve"> и расширения возможности препровождения (использовавшейся в отношении Репрезентативного списка) на все механизмы Конвенции. Также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Секретариат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помогал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в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подготовке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и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работе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одиннадцатой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и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двенадцатой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сессий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Комитета</w:t>
      </w:r>
      <w:r w:rsidR="002A255E" w:rsidRPr="002A255E">
        <w:rPr>
          <w:lang w:val="ru-RU"/>
        </w:rPr>
        <w:t xml:space="preserve">, </w:t>
      </w:r>
      <w:r w:rsidR="002A255E">
        <w:rPr>
          <w:lang w:val="ru-RU"/>
        </w:rPr>
        <w:t>состоявшихся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в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Аддис</w:t>
      </w:r>
      <w:r w:rsidR="002A255E" w:rsidRPr="002A255E">
        <w:rPr>
          <w:lang w:val="ru-RU"/>
        </w:rPr>
        <w:t>-</w:t>
      </w:r>
      <w:r w:rsidR="002A255E">
        <w:rPr>
          <w:lang w:val="ru-RU"/>
        </w:rPr>
        <w:t>Абебе</w:t>
      </w:r>
      <w:r w:rsidR="002A255E" w:rsidRPr="002A255E">
        <w:rPr>
          <w:lang w:val="ru-RU"/>
        </w:rPr>
        <w:t xml:space="preserve"> (</w:t>
      </w:r>
      <w:r w:rsidR="002A255E">
        <w:rPr>
          <w:lang w:val="ru-RU"/>
        </w:rPr>
        <w:t>Эфиопия</w:t>
      </w:r>
      <w:r w:rsidR="002A255E" w:rsidRPr="002A255E">
        <w:rPr>
          <w:lang w:val="ru-RU"/>
        </w:rPr>
        <w:t xml:space="preserve">) </w:t>
      </w:r>
      <w:r w:rsidR="002A255E">
        <w:rPr>
          <w:lang w:val="ru-RU"/>
        </w:rPr>
        <w:t>в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ноябре</w:t>
      </w:r>
      <w:r w:rsidR="002A255E" w:rsidRPr="002A255E">
        <w:rPr>
          <w:lang w:val="ru-RU"/>
        </w:rPr>
        <w:t xml:space="preserve"> – </w:t>
      </w:r>
      <w:r w:rsidR="002A255E">
        <w:rPr>
          <w:lang w:val="ru-RU"/>
        </w:rPr>
        <w:t>декабре</w:t>
      </w:r>
      <w:r w:rsidR="002A255E" w:rsidRPr="002A255E">
        <w:rPr>
          <w:lang w:val="ru-RU"/>
        </w:rPr>
        <w:t xml:space="preserve"> 2016</w:t>
      </w:r>
      <w:r w:rsidR="002A255E" w:rsidRPr="002A255E">
        <w:rPr>
          <w:lang w:val="en-US"/>
        </w:rPr>
        <w:t> </w:t>
      </w:r>
      <w:r w:rsidR="002A255E">
        <w:rPr>
          <w:lang w:val="ru-RU"/>
        </w:rPr>
        <w:t>г</w:t>
      </w:r>
      <w:r w:rsidR="002A255E" w:rsidRPr="002A255E">
        <w:rPr>
          <w:lang w:val="ru-RU"/>
        </w:rPr>
        <w:t xml:space="preserve">. </w:t>
      </w:r>
      <w:r w:rsidR="002A255E">
        <w:rPr>
          <w:lang w:val="ru-RU"/>
        </w:rPr>
        <w:t>и</w:t>
      </w:r>
      <w:r w:rsidR="002A255E" w:rsidRPr="002A255E">
        <w:rPr>
          <w:lang w:val="ru-RU"/>
        </w:rPr>
        <w:t xml:space="preserve"> </w:t>
      </w:r>
      <w:proofErr w:type="spellStart"/>
      <w:r w:rsidR="002A255E">
        <w:rPr>
          <w:lang w:val="ru-RU"/>
        </w:rPr>
        <w:t>Чеджу</w:t>
      </w:r>
      <w:proofErr w:type="spellEnd"/>
      <w:r w:rsidR="002A255E" w:rsidRPr="002A255E">
        <w:rPr>
          <w:lang w:val="ru-RU"/>
        </w:rPr>
        <w:t xml:space="preserve"> (</w:t>
      </w:r>
      <w:r w:rsidR="002A255E">
        <w:rPr>
          <w:lang w:val="ru-RU"/>
        </w:rPr>
        <w:t>Республика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Корея</w:t>
      </w:r>
      <w:r w:rsidR="002A255E" w:rsidRPr="002A255E">
        <w:rPr>
          <w:lang w:val="ru-RU"/>
        </w:rPr>
        <w:t xml:space="preserve">) </w:t>
      </w:r>
      <w:r w:rsidR="002A255E">
        <w:rPr>
          <w:lang w:val="ru-RU"/>
        </w:rPr>
        <w:t>в</w:t>
      </w:r>
      <w:r w:rsidR="002A255E" w:rsidRPr="002A255E">
        <w:rPr>
          <w:lang w:val="ru-RU"/>
        </w:rPr>
        <w:t xml:space="preserve"> </w:t>
      </w:r>
      <w:r w:rsidR="002A255E">
        <w:rPr>
          <w:lang w:val="ru-RU"/>
        </w:rPr>
        <w:t>декабре</w:t>
      </w:r>
      <w:r w:rsidR="002A255E" w:rsidRPr="002A255E">
        <w:rPr>
          <w:lang w:val="ru-RU"/>
        </w:rPr>
        <w:t xml:space="preserve"> 2017</w:t>
      </w:r>
      <w:r w:rsidR="002A255E" w:rsidRPr="002A255E">
        <w:rPr>
          <w:lang w:val="en-US"/>
        </w:rPr>
        <w:t> </w:t>
      </w:r>
      <w:r w:rsidR="002A255E">
        <w:rPr>
          <w:lang w:val="ru-RU"/>
        </w:rPr>
        <w:t>г</w:t>
      </w:r>
      <w:r w:rsidR="002A255E" w:rsidRPr="002A255E">
        <w:rPr>
          <w:lang w:val="ru-RU"/>
        </w:rPr>
        <w:t xml:space="preserve">. </w:t>
      </w:r>
      <w:r w:rsidR="002A255E">
        <w:rPr>
          <w:lang w:val="ru-RU"/>
        </w:rPr>
        <w:t>соответственно. Проект</w:t>
      </w:r>
      <w:r w:rsidR="002A255E" w:rsidRPr="00C1784F">
        <w:rPr>
          <w:lang w:val="ru-RU"/>
        </w:rPr>
        <w:t xml:space="preserve"> </w:t>
      </w:r>
      <w:r w:rsidR="002A255E">
        <w:rPr>
          <w:lang w:val="ru-RU"/>
        </w:rPr>
        <w:t>доклада</w:t>
      </w:r>
      <w:r w:rsidR="002A255E" w:rsidRPr="00C1784F">
        <w:rPr>
          <w:lang w:val="ru-RU"/>
        </w:rPr>
        <w:t xml:space="preserve"> </w:t>
      </w:r>
      <w:r w:rsidR="002A255E">
        <w:rPr>
          <w:lang w:val="ru-RU"/>
        </w:rPr>
        <w:t>о</w:t>
      </w:r>
      <w:r w:rsidR="002A255E" w:rsidRPr="00C1784F">
        <w:rPr>
          <w:lang w:val="ru-RU"/>
        </w:rPr>
        <w:t xml:space="preserve"> </w:t>
      </w:r>
      <w:r w:rsidR="002A255E">
        <w:rPr>
          <w:lang w:val="ru-RU"/>
        </w:rPr>
        <w:t>деятельности</w:t>
      </w:r>
      <w:r w:rsidR="002A255E" w:rsidRPr="00C1784F">
        <w:rPr>
          <w:lang w:val="ru-RU"/>
        </w:rPr>
        <w:t xml:space="preserve"> </w:t>
      </w:r>
      <w:r w:rsidR="002A255E">
        <w:rPr>
          <w:lang w:val="ru-RU"/>
        </w:rPr>
        <w:t>Комитета</w:t>
      </w:r>
      <w:r w:rsidR="002A255E" w:rsidRPr="00C1784F">
        <w:rPr>
          <w:lang w:val="ru-RU"/>
        </w:rPr>
        <w:t xml:space="preserve"> </w:t>
      </w:r>
      <w:r w:rsidR="002A255E">
        <w:rPr>
          <w:lang w:val="ru-RU"/>
        </w:rPr>
        <w:t>с</w:t>
      </w:r>
      <w:r w:rsidR="002A255E" w:rsidRPr="00C1784F">
        <w:rPr>
          <w:lang w:val="ru-RU"/>
        </w:rPr>
        <w:t xml:space="preserve"> </w:t>
      </w:r>
      <w:r w:rsidR="002A255E">
        <w:rPr>
          <w:lang w:val="ru-RU"/>
        </w:rPr>
        <w:t>января</w:t>
      </w:r>
      <w:r w:rsidR="002A255E" w:rsidRPr="00C1784F">
        <w:rPr>
          <w:lang w:val="ru-RU"/>
        </w:rPr>
        <w:t xml:space="preserve"> 2016</w:t>
      </w:r>
      <w:r w:rsidR="002A255E" w:rsidRPr="002A255E">
        <w:rPr>
          <w:lang w:val="en-US"/>
        </w:rPr>
        <w:t> </w:t>
      </w:r>
      <w:r w:rsidR="002A255E">
        <w:rPr>
          <w:lang w:val="ru-RU"/>
        </w:rPr>
        <w:t>г</w:t>
      </w:r>
      <w:r w:rsidR="002A255E" w:rsidRPr="00C1784F">
        <w:rPr>
          <w:lang w:val="ru-RU"/>
        </w:rPr>
        <w:t xml:space="preserve">. </w:t>
      </w:r>
      <w:r w:rsidR="002A255E">
        <w:rPr>
          <w:lang w:val="ru-RU"/>
        </w:rPr>
        <w:t>по</w:t>
      </w:r>
      <w:r w:rsidR="002A255E" w:rsidRPr="00C1784F">
        <w:rPr>
          <w:lang w:val="ru-RU"/>
        </w:rPr>
        <w:t xml:space="preserve"> </w:t>
      </w:r>
      <w:r w:rsidR="002A255E">
        <w:rPr>
          <w:lang w:val="ru-RU"/>
        </w:rPr>
        <w:t>декабрь</w:t>
      </w:r>
      <w:r w:rsidR="002A255E" w:rsidRPr="00C1784F">
        <w:rPr>
          <w:lang w:val="ru-RU"/>
        </w:rPr>
        <w:t xml:space="preserve"> 2017</w:t>
      </w:r>
      <w:r w:rsidR="002A255E" w:rsidRPr="002A255E">
        <w:rPr>
          <w:lang w:val="en-US"/>
        </w:rPr>
        <w:t> </w:t>
      </w:r>
      <w:r w:rsidR="002A255E">
        <w:rPr>
          <w:lang w:val="ru-RU"/>
        </w:rPr>
        <w:t>г</w:t>
      </w:r>
      <w:r w:rsidR="002A255E" w:rsidRPr="00C1784F">
        <w:rPr>
          <w:lang w:val="ru-RU"/>
        </w:rPr>
        <w:t>.</w:t>
      </w:r>
      <w:r w:rsidR="00C1784F" w:rsidRPr="00C1784F">
        <w:rPr>
          <w:lang w:val="ru-RU"/>
        </w:rPr>
        <w:t xml:space="preserve">, </w:t>
      </w:r>
      <w:r w:rsidR="00C1784F">
        <w:rPr>
          <w:lang w:val="ru-RU"/>
        </w:rPr>
        <w:t>представленный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на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настоящей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сессии</w:t>
      </w:r>
      <w:r w:rsidR="00C1784F" w:rsidRPr="00C1784F">
        <w:rPr>
          <w:lang w:val="ru-RU"/>
        </w:rPr>
        <w:t xml:space="preserve">, </w:t>
      </w:r>
      <w:r w:rsidR="00C1784F">
        <w:rPr>
          <w:lang w:val="ru-RU"/>
        </w:rPr>
        <w:t>включает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резюме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решений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и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дискуссий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Комитета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в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этой</w:t>
      </w:r>
      <w:r w:rsidR="00C1784F" w:rsidRPr="00C1784F">
        <w:rPr>
          <w:lang w:val="ru-RU"/>
        </w:rPr>
        <w:t xml:space="preserve"> </w:t>
      </w:r>
      <w:r w:rsidR="00C1784F">
        <w:rPr>
          <w:lang w:val="ru-RU"/>
        </w:rPr>
        <w:t>связи</w:t>
      </w:r>
      <w:r w:rsidR="00C1784F" w:rsidRPr="00C1784F">
        <w:rPr>
          <w:lang w:val="ru-RU"/>
        </w:rPr>
        <w:t xml:space="preserve"> </w:t>
      </w:r>
      <w:r w:rsidR="00C902E0" w:rsidRPr="00C1784F">
        <w:rPr>
          <w:lang w:val="ru-RU"/>
        </w:rPr>
        <w:t>(</w:t>
      </w:r>
      <w:r w:rsidR="00C902E0">
        <w:rPr>
          <w:lang w:val="ru-RU"/>
        </w:rPr>
        <w:t>документ</w:t>
      </w:r>
      <w:r w:rsidR="00C902E0" w:rsidRPr="00C1784F">
        <w:rPr>
          <w:lang w:val="ru-RU"/>
        </w:rPr>
        <w:t xml:space="preserve"> </w:t>
      </w:r>
      <w:hyperlink r:id="rId18" w:history="1">
        <w:r w:rsidR="00C902E0" w:rsidRPr="00E22EA0">
          <w:rPr>
            <w:rStyle w:val="Hyperlink"/>
            <w:rFonts w:cs="Arial"/>
          </w:rPr>
          <w:t>ITH</w:t>
        </w:r>
        <w:r w:rsidR="00C902E0" w:rsidRPr="00E22EA0">
          <w:rPr>
            <w:rStyle w:val="Hyperlink"/>
            <w:rFonts w:cs="Arial"/>
            <w:lang w:val="ru-RU"/>
          </w:rPr>
          <w:t>/18/7.</w:t>
        </w:r>
        <w:r w:rsidR="00C902E0" w:rsidRPr="00E22EA0">
          <w:rPr>
            <w:rStyle w:val="Hyperlink"/>
            <w:rFonts w:cs="Arial"/>
          </w:rPr>
          <w:t>GA</w:t>
        </w:r>
        <w:r w:rsidR="00C902E0" w:rsidRPr="00E22EA0">
          <w:rPr>
            <w:rStyle w:val="Hyperlink"/>
            <w:rFonts w:cs="Arial"/>
            <w:lang w:val="ru-RU"/>
          </w:rPr>
          <w:t>/6</w:t>
        </w:r>
      </w:hyperlink>
      <w:r w:rsidR="00C902E0" w:rsidRPr="00C1784F">
        <w:rPr>
          <w:lang w:val="ru-RU"/>
        </w:rPr>
        <w:t xml:space="preserve">). </w:t>
      </w:r>
      <w:r w:rsidR="00D84FCE">
        <w:rPr>
          <w:lang w:val="ru-RU"/>
        </w:rPr>
        <w:t>Отчетный</w:t>
      </w:r>
      <w:r w:rsidR="00D84FCE" w:rsidRPr="009823C2">
        <w:rPr>
          <w:lang w:val="ru-RU"/>
        </w:rPr>
        <w:t xml:space="preserve"> </w:t>
      </w:r>
      <w:r w:rsidR="00D84FCE">
        <w:rPr>
          <w:lang w:val="ru-RU"/>
        </w:rPr>
        <w:t>период</w:t>
      </w:r>
      <w:r w:rsidR="00D84FCE" w:rsidRPr="009823C2">
        <w:rPr>
          <w:lang w:val="ru-RU"/>
        </w:rPr>
        <w:t xml:space="preserve"> </w:t>
      </w:r>
      <w:r w:rsidR="00D84FCE">
        <w:rPr>
          <w:lang w:val="ru-RU"/>
        </w:rPr>
        <w:t>также</w:t>
      </w:r>
      <w:r w:rsidR="00D84FCE" w:rsidRPr="009823C2">
        <w:rPr>
          <w:lang w:val="ru-RU"/>
        </w:rPr>
        <w:t xml:space="preserve"> </w:t>
      </w:r>
      <w:r w:rsidR="00D84FCE">
        <w:rPr>
          <w:lang w:val="ru-RU"/>
        </w:rPr>
        <w:t>совпал</w:t>
      </w:r>
      <w:r w:rsidR="00D84FCE" w:rsidRPr="009823C2">
        <w:rPr>
          <w:lang w:val="ru-RU"/>
        </w:rPr>
        <w:t xml:space="preserve"> </w:t>
      </w:r>
      <w:r w:rsidR="00D84FCE">
        <w:rPr>
          <w:lang w:val="ru-RU"/>
        </w:rPr>
        <w:t>с</w:t>
      </w:r>
      <w:r w:rsidR="00D84FCE" w:rsidRPr="009823C2">
        <w:rPr>
          <w:lang w:val="ru-RU"/>
        </w:rPr>
        <w:t xml:space="preserve"> </w:t>
      </w:r>
      <w:r w:rsidR="00D84FCE">
        <w:rPr>
          <w:lang w:val="ru-RU"/>
        </w:rPr>
        <w:t>интенсивной</w:t>
      </w:r>
      <w:r w:rsidR="00D84FCE" w:rsidRPr="009823C2">
        <w:rPr>
          <w:lang w:val="ru-RU"/>
        </w:rPr>
        <w:t xml:space="preserve"> </w:t>
      </w:r>
      <w:r w:rsidR="00D84FCE">
        <w:rPr>
          <w:lang w:val="ru-RU"/>
        </w:rPr>
        <w:t>подготовкой</w:t>
      </w:r>
      <w:r w:rsidR="00D84FCE" w:rsidRPr="009823C2">
        <w:rPr>
          <w:lang w:val="ru-RU"/>
        </w:rPr>
        <w:t xml:space="preserve"> </w:t>
      </w:r>
      <w:r w:rsidR="00D84FCE">
        <w:rPr>
          <w:lang w:val="ru-RU"/>
        </w:rPr>
        <w:t>и</w:t>
      </w:r>
      <w:r w:rsidR="00D84FCE" w:rsidRPr="009823C2">
        <w:rPr>
          <w:lang w:val="ru-RU"/>
        </w:rPr>
        <w:t xml:space="preserve"> </w:t>
      </w:r>
      <w:r w:rsidR="009823C2">
        <w:rPr>
          <w:lang w:val="ru-RU"/>
        </w:rPr>
        <w:t>созывом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межправительственной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рабочей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группы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открытого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состава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по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разработке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общей</w:t>
      </w:r>
      <w:r w:rsidR="009823C2" w:rsidRPr="009823C2">
        <w:rPr>
          <w:lang w:val="ru-RU"/>
        </w:rPr>
        <w:t xml:space="preserve"> </w:t>
      </w:r>
      <w:r w:rsidR="004604A4">
        <w:rPr>
          <w:lang w:val="ru-RU"/>
        </w:rPr>
        <w:t>системы оценки</w:t>
      </w:r>
      <w:r w:rsidR="004604A4" w:rsidRPr="009823C2">
        <w:rPr>
          <w:lang w:val="ru-RU"/>
        </w:rPr>
        <w:t xml:space="preserve"> </w:t>
      </w:r>
      <w:r w:rsidR="009823C2">
        <w:rPr>
          <w:lang w:val="ru-RU"/>
        </w:rPr>
        <w:t>результатов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Конвенции</w:t>
      </w:r>
      <w:r w:rsidR="009823C2" w:rsidRPr="009823C2">
        <w:rPr>
          <w:lang w:val="ru-RU"/>
        </w:rPr>
        <w:t xml:space="preserve"> – </w:t>
      </w:r>
      <w:r w:rsidR="009823C2">
        <w:rPr>
          <w:lang w:val="ru-RU"/>
        </w:rPr>
        <w:t>см</w:t>
      </w:r>
      <w:r w:rsidR="009823C2" w:rsidRPr="009823C2">
        <w:rPr>
          <w:lang w:val="ru-RU"/>
        </w:rPr>
        <w:t xml:space="preserve">. </w:t>
      </w:r>
      <w:r w:rsidR="009823C2">
        <w:rPr>
          <w:lang w:val="ru-RU"/>
        </w:rPr>
        <w:t>пункт</w:t>
      </w:r>
      <w:r w:rsidR="009823C2" w:rsidRPr="009823C2">
        <w:rPr>
          <w:lang w:val="en-US"/>
        </w:rPr>
        <w:t> </w:t>
      </w:r>
      <w:r w:rsidR="009823C2" w:rsidRPr="009823C2">
        <w:rPr>
          <w:lang w:val="ru-RU"/>
        </w:rPr>
        <w:t xml:space="preserve">14 </w:t>
      </w:r>
      <w:r w:rsidR="009823C2">
        <w:rPr>
          <w:lang w:val="ru-RU"/>
        </w:rPr>
        <w:t>для</w:t>
      </w:r>
      <w:r w:rsidR="009823C2" w:rsidRPr="009823C2">
        <w:rPr>
          <w:lang w:val="ru-RU"/>
        </w:rPr>
        <w:t xml:space="preserve"> </w:t>
      </w:r>
      <w:r w:rsidR="009823C2">
        <w:rPr>
          <w:lang w:val="ru-RU"/>
        </w:rPr>
        <w:t>получения дополнительной информации.</w:t>
      </w:r>
    </w:p>
    <w:p w:rsidR="00C902E0" w:rsidRPr="00D42EA3" w:rsidRDefault="00BE60F0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Секретариат</w:t>
      </w:r>
      <w:r w:rsidRPr="00BE60F0">
        <w:rPr>
          <w:lang w:val="ru-RU"/>
        </w:rPr>
        <w:t xml:space="preserve"> </w:t>
      </w:r>
      <w:r>
        <w:rPr>
          <w:lang w:val="ru-RU"/>
        </w:rPr>
        <w:t>занимался</w:t>
      </w:r>
      <w:r w:rsidRPr="00BE60F0">
        <w:rPr>
          <w:lang w:val="ru-RU"/>
        </w:rPr>
        <w:t xml:space="preserve"> </w:t>
      </w:r>
      <w:r>
        <w:rPr>
          <w:lang w:val="ru-RU"/>
        </w:rPr>
        <w:t>обработкой</w:t>
      </w:r>
      <w:r w:rsidRPr="00BE60F0">
        <w:rPr>
          <w:lang w:val="ru-RU"/>
        </w:rPr>
        <w:t xml:space="preserve"> </w:t>
      </w:r>
      <w:r>
        <w:rPr>
          <w:lang w:val="ru-RU"/>
        </w:rPr>
        <w:t>номинаций</w:t>
      </w:r>
      <w:r w:rsidRPr="00BE60F0">
        <w:rPr>
          <w:lang w:val="ru-RU"/>
        </w:rPr>
        <w:t xml:space="preserve">, </w:t>
      </w:r>
      <w:r>
        <w:rPr>
          <w:lang w:val="ru-RU"/>
        </w:rPr>
        <w:t>предложений</w:t>
      </w:r>
      <w:r w:rsidRPr="00BE60F0">
        <w:rPr>
          <w:lang w:val="ru-RU"/>
        </w:rPr>
        <w:t xml:space="preserve"> </w:t>
      </w:r>
      <w:r>
        <w:rPr>
          <w:lang w:val="ru-RU"/>
        </w:rPr>
        <w:t>и</w:t>
      </w:r>
      <w:r w:rsidRPr="00BE60F0">
        <w:rPr>
          <w:lang w:val="ru-RU"/>
        </w:rPr>
        <w:t xml:space="preserve"> </w:t>
      </w:r>
      <w:r>
        <w:rPr>
          <w:lang w:val="ru-RU"/>
        </w:rPr>
        <w:t>заявок</w:t>
      </w:r>
      <w:r w:rsidRPr="00BE60F0">
        <w:rPr>
          <w:lang w:val="ru-RU"/>
        </w:rPr>
        <w:t xml:space="preserve"> </w:t>
      </w:r>
      <w:r>
        <w:rPr>
          <w:lang w:val="ru-RU"/>
        </w:rPr>
        <w:t>цикла</w:t>
      </w:r>
      <w:r w:rsidRPr="00BE60F0">
        <w:rPr>
          <w:lang w:val="ru-RU"/>
        </w:rPr>
        <w:t xml:space="preserve"> 2017</w:t>
      </w:r>
      <w:r w:rsidRPr="00BE60F0">
        <w:rPr>
          <w:lang w:val="en-US"/>
        </w:rPr>
        <w:t> </w:t>
      </w:r>
      <w:r>
        <w:rPr>
          <w:lang w:val="ru-RU"/>
        </w:rPr>
        <w:t>г</w:t>
      </w:r>
      <w:r w:rsidRPr="00BE60F0">
        <w:rPr>
          <w:lang w:val="ru-RU"/>
        </w:rPr>
        <w:t xml:space="preserve">. </w:t>
      </w:r>
      <w:r>
        <w:rPr>
          <w:lang w:val="ru-RU"/>
        </w:rPr>
        <w:t>в</w:t>
      </w:r>
      <w:r w:rsidRPr="00BE60F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E60F0">
        <w:rPr>
          <w:lang w:val="ru-RU"/>
        </w:rPr>
        <w:t xml:space="preserve"> </w:t>
      </w:r>
      <w:r>
        <w:rPr>
          <w:lang w:val="ru-RU"/>
        </w:rPr>
        <w:t>с</w:t>
      </w:r>
      <w:r w:rsidRPr="00BE60F0">
        <w:rPr>
          <w:lang w:val="ru-RU"/>
        </w:rPr>
        <w:t xml:space="preserve"> </w:t>
      </w:r>
      <w:r>
        <w:rPr>
          <w:lang w:val="ru-RU"/>
        </w:rPr>
        <w:t>официальными</w:t>
      </w:r>
      <w:r w:rsidRPr="00BE60F0">
        <w:rPr>
          <w:lang w:val="ru-RU"/>
        </w:rPr>
        <w:t xml:space="preserve"> </w:t>
      </w:r>
      <w:r>
        <w:rPr>
          <w:lang w:val="ru-RU"/>
        </w:rPr>
        <w:t>сроками</w:t>
      </w:r>
      <w:r w:rsidRPr="00BE60F0">
        <w:rPr>
          <w:lang w:val="ru-RU"/>
        </w:rPr>
        <w:t xml:space="preserve">, </w:t>
      </w:r>
      <w:r>
        <w:rPr>
          <w:lang w:val="ru-RU"/>
        </w:rPr>
        <w:t>закрепленными</w:t>
      </w:r>
      <w:r w:rsidRPr="00BE60F0">
        <w:rPr>
          <w:lang w:val="ru-RU"/>
        </w:rPr>
        <w:t xml:space="preserve"> </w:t>
      </w:r>
      <w:r>
        <w:rPr>
          <w:lang w:val="ru-RU"/>
        </w:rPr>
        <w:t>в</w:t>
      </w:r>
      <w:r w:rsidRPr="00BE60F0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BE60F0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BE60F0">
        <w:rPr>
          <w:lang w:val="ru-RU"/>
        </w:rPr>
        <w:t xml:space="preserve"> </w:t>
      </w:r>
      <w:r>
        <w:rPr>
          <w:lang w:val="ru-RU"/>
        </w:rPr>
        <w:t xml:space="preserve">Конвенции. </w:t>
      </w:r>
      <w:r w:rsidR="00E60B1B">
        <w:rPr>
          <w:lang w:val="ru-RU"/>
        </w:rPr>
        <w:t>В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соответствии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с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тенденциями</w:t>
      </w:r>
      <w:r w:rsidR="00E60B1B" w:rsidRPr="00E60B1B">
        <w:rPr>
          <w:lang w:val="ru-RU"/>
        </w:rPr>
        <w:t xml:space="preserve">, </w:t>
      </w:r>
      <w:r w:rsidR="00E60B1B">
        <w:rPr>
          <w:lang w:val="ru-RU"/>
        </w:rPr>
        <w:t>характерными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для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нескольких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последних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циклов</w:t>
      </w:r>
      <w:r w:rsidR="00E60B1B" w:rsidRPr="00E60B1B">
        <w:rPr>
          <w:lang w:val="ru-RU"/>
        </w:rPr>
        <w:t xml:space="preserve">, </w:t>
      </w:r>
      <w:r w:rsidR="00E60B1B">
        <w:rPr>
          <w:lang w:val="ru-RU"/>
        </w:rPr>
        <w:t>обработка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досье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цикла</w:t>
      </w:r>
      <w:r w:rsidR="00E60B1B" w:rsidRPr="00E60B1B">
        <w:rPr>
          <w:lang w:val="ru-RU"/>
        </w:rPr>
        <w:t xml:space="preserve"> 2018</w:t>
      </w:r>
      <w:r w:rsidR="00E60B1B" w:rsidRPr="00E60B1B">
        <w:rPr>
          <w:lang w:val="en-US"/>
        </w:rPr>
        <w:t> </w:t>
      </w:r>
      <w:r w:rsidR="00E60B1B">
        <w:rPr>
          <w:lang w:val="ru-RU"/>
        </w:rPr>
        <w:t>г</w:t>
      </w:r>
      <w:r w:rsidR="00E60B1B" w:rsidRPr="00E60B1B">
        <w:rPr>
          <w:lang w:val="ru-RU"/>
        </w:rPr>
        <w:t xml:space="preserve">. </w:t>
      </w:r>
      <w:r w:rsidR="00E60B1B">
        <w:rPr>
          <w:lang w:val="ru-RU"/>
        </w:rPr>
        <w:t>также проводилась по графику. Также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Секретариат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обработал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пятьдесят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заявок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на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аккредитацию</w:t>
      </w:r>
      <w:r w:rsidR="00E60B1B" w:rsidRPr="00E60B1B">
        <w:rPr>
          <w:lang w:val="ru-RU"/>
        </w:rPr>
        <w:t xml:space="preserve">, </w:t>
      </w:r>
      <w:r w:rsidR="00E60B1B">
        <w:rPr>
          <w:lang w:val="ru-RU"/>
        </w:rPr>
        <w:t>поданных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НПО</w:t>
      </w:r>
      <w:r w:rsidR="00E60B1B" w:rsidRPr="00E60B1B">
        <w:rPr>
          <w:lang w:val="ru-RU"/>
        </w:rPr>
        <w:t xml:space="preserve">, </w:t>
      </w:r>
      <w:r w:rsidR="00E60B1B">
        <w:rPr>
          <w:lang w:val="ru-RU"/>
        </w:rPr>
        <w:t>и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рассмотрел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сорок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четыре</w:t>
      </w:r>
      <w:r w:rsidR="00E60B1B" w:rsidRPr="00E60B1B">
        <w:rPr>
          <w:lang w:val="ru-RU"/>
        </w:rPr>
        <w:t xml:space="preserve"> </w:t>
      </w:r>
      <w:r w:rsidR="00E60B1B">
        <w:rPr>
          <w:lang w:val="ru-RU"/>
        </w:rPr>
        <w:t>доклада</w:t>
      </w:r>
      <w:r w:rsidR="00E60B1B" w:rsidRPr="00E60B1B">
        <w:rPr>
          <w:lang w:val="ru-RU"/>
        </w:rPr>
        <w:t xml:space="preserve">, </w:t>
      </w:r>
      <w:r w:rsidR="00E60B1B">
        <w:rPr>
          <w:lang w:val="ru-RU"/>
        </w:rPr>
        <w:t xml:space="preserve">представленных аккредитованными НПО с целью продления аккредитации. </w:t>
      </w:r>
      <w:r w:rsidR="00394344">
        <w:rPr>
          <w:lang w:val="ru-RU"/>
        </w:rPr>
        <w:t>Рекомендации</w:t>
      </w:r>
      <w:r w:rsidR="00394344" w:rsidRPr="0052150E">
        <w:rPr>
          <w:lang w:val="ru-RU"/>
        </w:rPr>
        <w:t xml:space="preserve"> </w:t>
      </w:r>
      <w:r w:rsidR="00394344">
        <w:rPr>
          <w:lang w:val="ru-RU"/>
        </w:rPr>
        <w:t>об</w:t>
      </w:r>
      <w:r w:rsidR="00394344" w:rsidRPr="0052150E">
        <w:rPr>
          <w:lang w:val="ru-RU"/>
        </w:rPr>
        <w:t xml:space="preserve"> </w:t>
      </w:r>
      <w:r w:rsidR="00394344">
        <w:rPr>
          <w:lang w:val="ru-RU"/>
        </w:rPr>
        <w:t>аккредитации</w:t>
      </w:r>
      <w:r w:rsidR="00394344" w:rsidRPr="0052150E">
        <w:rPr>
          <w:lang w:val="ru-RU"/>
        </w:rPr>
        <w:t xml:space="preserve"> </w:t>
      </w:r>
      <w:r w:rsidR="00394344">
        <w:rPr>
          <w:lang w:val="ru-RU"/>
        </w:rPr>
        <w:t>представлены</w:t>
      </w:r>
      <w:r w:rsidR="00394344" w:rsidRPr="0052150E">
        <w:rPr>
          <w:lang w:val="ru-RU"/>
        </w:rPr>
        <w:t xml:space="preserve"> </w:t>
      </w:r>
      <w:r w:rsidR="0052150E">
        <w:rPr>
          <w:lang w:val="ru-RU"/>
        </w:rPr>
        <w:t>на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настоящей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сессии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Генеральной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ассамблеи</w:t>
      </w:r>
      <w:r w:rsidR="0052150E" w:rsidRPr="0052150E">
        <w:rPr>
          <w:lang w:val="ru-RU"/>
        </w:rPr>
        <w:t xml:space="preserve"> </w:t>
      </w:r>
      <w:r w:rsidR="00C902E0" w:rsidRPr="0052150E">
        <w:rPr>
          <w:lang w:val="ru-RU"/>
        </w:rPr>
        <w:t>(</w:t>
      </w:r>
      <w:r w:rsidR="00C902E0">
        <w:rPr>
          <w:lang w:val="ru-RU"/>
        </w:rPr>
        <w:t>документ</w:t>
      </w:r>
      <w:r w:rsidR="00C902E0" w:rsidRPr="00480DE9">
        <w:t> </w:t>
      </w:r>
      <w:hyperlink r:id="rId19" w:history="1">
        <w:r w:rsidR="00C902E0" w:rsidRPr="00E22EA0">
          <w:rPr>
            <w:rStyle w:val="Hyperlink"/>
            <w:rFonts w:cs="Arial"/>
          </w:rPr>
          <w:t>ITH</w:t>
        </w:r>
        <w:r w:rsidR="00C902E0" w:rsidRPr="00E22EA0">
          <w:rPr>
            <w:rStyle w:val="Hyperlink"/>
            <w:rFonts w:cs="Arial"/>
            <w:lang w:val="ru-RU"/>
          </w:rPr>
          <w:t>/18</w:t>
        </w:r>
        <w:r w:rsidR="00C902E0" w:rsidRPr="00E22EA0">
          <w:rPr>
            <w:rStyle w:val="Hyperlink"/>
            <w:lang w:val="ru-RU"/>
          </w:rPr>
          <w:t>/7</w:t>
        </w:r>
        <w:r w:rsidR="00C902E0" w:rsidRPr="00E22EA0">
          <w:rPr>
            <w:rStyle w:val="Hyperlink"/>
            <w:rFonts w:cs="Arial"/>
            <w:lang w:val="ru-RU"/>
          </w:rPr>
          <w:t>.</w:t>
        </w:r>
        <w:r w:rsidR="00C902E0" w:rsidRPr="00E22EA0">
          <w:rPr>
            <w:rStyle w:val="Hyperlink"/>
            <w:rFonts w:cs="Arial"/>
          </w:rPr>
          <w:t>GA</w:t>
        </w:r>
        <w:r w:rsidR="00C902E0" w:rsidRPr="00E22EA0">
          <w:rPr>
            <w:rStyle w:val="Hyperlink"/>
            <w:rFonts w:cs="Arial"/>
            <w:lang w:val="ru-RU"/>
          </w:rPr>
          <w:t>/</w:t>
        </w:r>
        <w:r w:rsidR="00C902E0" w:rsidRPr="00E22EA0">
          <w:rPr>
            <w:rStyle w:val="Hyperlink"/>
            <w:lang w:val="ru-RU"/>
          </w:rPr>
          <w:t>1</w:t>
        </w:r>
        <w:r w:rsidR="00C902E0" w:rsidRPr="00E22EA0">
          <w:rPr>
            <w:rStyle w:val="Hyperlink"/>
            <w:rFonts w:cs="Arial"/>
            <w:lang w:val="ru-RU"/>
          </w:rPr>
          <w:t>1</w:t>
        </w:r>
      </w:hyperlink>
      <w:r w:rsidR="00C902E0" w:rsidRPr="0052150E">
        <w:rPr>
          <w:lang w:val="ru-RU"/>
        </w:rPr>
        <w:t xml:space="preserve">). </w:t>
      </w:r>
      <w:r w:rsidR="0052150E">
        <w:rPr>
          <w:lang w:val="ru-RU"/>
        </w:rPr>
        <w:t>Секретариат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представил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предложения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о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продлении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аккредитации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НПО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на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двенадцатой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>сессии</w:t>
      </w:r>
      <w:r w:rsidR="0052150E" w:rsidRPr="0052150E">
        <w:rPr>
          <w:lang w:val="ru-RU"/>
        </w:rPr>
        <w:t xml:space="preserve"> </w:t>
      </w:r>
      <w:r w:rsidR="0052150E">
        <w:rPr>
          <w:lang w:val="ru-RU"/>
        </w:rPr>
        <w:t xml:space="preserve">Комитета. </w:t>
      </w:r>
      <w:r w:rsidR="006E3717">
        <w:rPr>
          <w:lang w:val="ru-RU"/>
        </w:rPr>
        <w:t>В</w:t>
      </w:r>
      <w:r w:rsidR="006E3717" w:rsidRPr="00D42EA3">
        <w:rPr>
          <w:lang w:val="ru-RU"/>
        </w:rPr>
        <w:t xml:space="preserve"> </w:t>
      </w:r>
      <w:r w:rsidR="006E3717">
        <w:rPr>
          <w:lang w:val="ru-RU"/>
        </w:rPr>
        <w:t>соответствии</w:t>
      </w:r>
      <w:r w:rsidR="006E3717" w:rsidRPr="00D42EA3">
        <w:rPr>
          <w:lang w:val="ru-RU"/>
        </w:rPr>
        <w:t xml:space="preserve"> </w:t>
      </w:r>
      <w:r w:rsidR="006E3717">
        <w:rPr>
          <w:lang w:val="ru-RU"/>
        </w:rPr>
        <w:t>с</w:t>
      </w:r>
      <w:r w:rsidR="006E3717" w:rsidRPr="00D42EA3">
        <w:rPr>
          <w:lang w:val="ru-RU"/>
        </w:rPr>
        <w:t xml:space="preserve"> </w:t>
      </w:r>
      <w:r w:rsidR="006E3717">
        <w:rPr>
          <w:lang w:val="ru-RU"/>
        </w:rPr>
        <w:t>поручением</w:t>
      </w:r>
      <w:r w:rsidR="006E3717" w:rsidRPr="00D42EA3">
        <w:rPr>
          <w:lang w:val="ru-RU"/>
        </w:rPr>
        <w:t xml:space="preserve"> </w:t>
      </w:r>
      <w:r w:rsidR="006E3717">
        <w:rPr>
          <w:lang w:val="ru-RU"/>
        </w:rPr>
        <w:t>Комитета</w:t>
      </w:r>
      <w:r w:rsidR="006E3717" w:rsidRPr="00D42EA3">
        <w:rPr>
          <w:lang w:val="ru-RU"/>
        </w:rPr>
        <w:t xml:space="preserve">, </w:t>
      </w:r>
      <w:r w:rsidR="00D42EA3">
        <w:rPr>
          <w:lang w:val="ru-RU"/>
        </w:rPr>
        <w:t>данным</w:t>
      </w:r>
      <w:r w:rsidR="00D42EA3" w:rsidRPr="00D42EA3">
        <w:rPr>
          <w:lang w:val="ru-RU"/>
        </w:rPr>
        <w:t xml:space="preserve"> </w:t>
      </w:r>
      <w:r w:rsidR="00D42EA3">
        <w:rPr>
          <w:lang w:val="ru-RU"/>
        </w:rPr>
        <w:t>на</w:t>
      </w:r>
      <w:r w:rsidR="00D42EA3" w:rsidRPr="00D42EA3">
        <w:rPr>
          <w:lang w:val="ru-RU"/>
        </w:rPr>
        <w:t xml:space="preserve"> </w:t>
      </w:r>
      <w:r w:rsidR="00D42EA3">
        <w:rPr>
          <w:lang w:val="ru-RU"/>
        </w:rPr>
        <w:t>десятой</w:t>
      </w:r>
      <w:r w:rsidR="00D42EA3" w:rsidRPr="00D42EA3">
        <w:rPr>
          <w:lang w:val="ru-RU"/>
        </w:rPr>
        <w:t xml:space="preserve"> </w:t>
      </w:r>
      <w:r w:rsidR="00D42EA3">
        <w:rPr>
          <w:lang w:val="ru-RU"/>
        </w:rPr>
        <w:t>сессии</w:t>
      </w:r>
      <w:r w:rsidR="00D42EA3" w:rsidRPr="00D42EA3">
        <w:rPr>
          <w:lang w:val="ru-RU"/>
        </w:rPr>
        <w:t xml:space="preserve"> </w:t>
      </w:r>
      <w:r w:rsidR="00D42EA3">
        <w:rPr>
          <w:lang w:val="ru-RU"/>
        </w:rPr>
        <w:t>в</w:t>
      </w:r>
      <w:r w:rsidR="00D42EA3" w:rsidRPr="00D42EA3">
        <w:rPr>
          <w:lang w:val="ru-RU"/>
        </w:rPr>
        <w:t xml:space="preserve"> 2015</w:t>
      </w:r>
      <w:r w:rsidR="00D42EA3" w:rsidRPr="00D42EA3">
        <w:rPr>
          <w:lang w:val="en-US"/>
        </w:rPr>
        <w:t> </w:t>
      </w:r>
      <w:r w:rsidR="00D42EA3">
        <w:rPr>
          <w:lang w:val="ru-RU"/>
        </w:rPr>
        <w:t>г</w:t>
      </w:r>
      <w:r w:rsidR="00D42EA3" w:rsidRPr="00D42EA3">
        <w:rPr>
          <w:lang w:val="ru-RU"/>
        </w:rPr>
        <w:t xml:space="preserve">. </w:t>
      </w:r>
      <w:r w:rsidR="00C902E0" w:rsidRPr="00D42EA3">
        <w:rPr>
          <w:lang w:val="ru-RU"/>
        </w:rPr>
        <w:t>(</w:t>
      </w:r>
      <w:r w:rsidR="00C902E0">
        <w:rPr>
          <w:lang w:val="ru-RU"/>
        </w:rPr>
        <w:t>решение</w:t>
      </w:r>
      <w:hyperlink r:id="rId20" w:history="1">
        <w:r w:rsidR="00C902E0" w:rsidRPr="00D42EA3">
          <w:rPr>
            <w:lang w:val="ru-RU"/>
          </w:rPr>
          <w:t xml:space="preserve"> </w:t>
        </w:r>
        <w:r w:rsidR="00C902E0" w:rsidRPr="00D42EA3">
          <w:rPr>
            <w:rStyle w:val="Hyperlink"/>
            <w:lang w:val="ru-RU"/>
          </w:rPr>
          <w:t>10.</w:t>
        </w:r>
        <w:r w:rsidR="00C902E0" w:rsidRPr="00480DE9">
          <w:rPr>
            <w:rStyle w:val="Hyperlink"/>
          </w:rPr>
          <w:t>COM</w:t>
        </w:r>
        <w:r w:rsidR="00C902E0" w:rsidRPr="00D42EA3">
          <w:rPr>
            <w:rStyle w:val="Hyperlink"/>
            <w:lang w:val="ru-RU"/>
          </w:rPr>
          <w:t xml:space="preserve"> 10</w:t>
        </w:r>
      </w:hyperlink>
      <w:r w:rsidR="00C902E0" w:rsidRPr="00D42EA3">
        <w:rPr>
          <w:lang w:val="ru-RU"/>
        </w:rPr>
        <w:t xml:space="preserve">), </w:t>
      </w:r>
      <w:r w:rsidR="00D42EA3">
        <w:rPr>
          <w:lang w:val="ru-RU"/>
        </w:rPr>
        <w:t>Секретариат</w:t>
      </w:r>
      <w:r w:rsidR="00D42EA3" w:rsidRPr="00D42EA3">
        <w:rPr>
          <w:lang w:val="ru-RU"/>
        </w:rPr>
        <w:t xml:space="preserve"> </w:t>
      </w:r>
      <w:r w:rsidR="00D42EA3">
        <w:rPr>
          <w:lang w:val="ru-RU"/>
        </w:rPr>
        <w:t xml:space="preserve">подготовил также </w:t>
      </w:r>
      <w:r w:rsidR="00FC49FF">
        <w:rPr>
          <w:lang w:val="ru-RU"/>
        </w:rPr>
        <w:t xml:space="preserve">для государств-участников </w:t>
      </w:r>
      <w:r w:rsidR="00F71DF4">
        <w:rPr>
          <w:lang w:val="ru-RU"/>
        </w:rPr>
        <w:t xml:space="preserve">ряд руководящих принципов по инвентаризации, доступных на </w:t>
      </w:r>
      <w:hyperlink r:id="rId21" w:history="1">
        <w:r w:rsidR="00F71DF4">
          <w:rPr>
            <w:rStyle w:val="Hyperlink"/>
            <w:rFonts w:cs="Arial"/>
            <w:lang w:val="ru-RU"/>
          </w:rPr>
          <w:t>веб-сайте Конвенции</w:t>
        </w:r>
      </w:hyperlink>
      <w:r w:rsidR="00C902E0" w:rsidRPr="00D42EA3">
        <w:rPr>
          <w:lang w:val="ru-RU"/>
        </w:rPr>
        <w:t>.</w:t>
      </w:r>
    </w:p>
    <w:p w:rsidR="00C902E0" w:rsidRPr="00103889" w:rsidRDefault="000465D0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Что</w:t>
      </w:r>
      <w:r w:rsidRPr="00DE3465">
        <w:rPr>
          <w:lang w:val="ru-RU"/>
        </w:rPr>
        <w:t xml:space="preserve"> </w:t>
      </w:r>
      <w:r>
        <w:rPr>
          <w:lang w:val="ru-RU"/>
        </w:rPr>
        <w:t>касается</w:t>
      </w:r>
      <w:r w:rsidRPr="00DE3465">
        <w:rPr>
          <w:lang w:val="ru-RU"/>
        </w:rPr>
        <w:t xml:space="preserve"> </w:t>
      </w:r>
      <w:r>
        <w:rPr>
          <w:lang w:val="ru-RU"/>
        </w:rPr>
        <w:t>ратификации</w:t>
      </w:r>
      <w:r w:rsidRPr="00DE3465">
        <w:rPr>
          <w:lang w:val="ru-RU"/>
        </w:rPr>
        <w:t xml:space="preserve">, </w:t>
      </w:r>
      <w:r>
        <w:rPr>
          <w:lang w:val="ru-RU"/>
        </w:rPr>
        <w:t>то</w:t>
      </w:r>
      <w:r w:rsidRPr="00DE3465">
        <w:rPr>
          <w:lang w:val="ru-RU"/>
        </w:rPr>
        <w:t xml:space="preserve"> </w:t>
      </w:r>
      <w:r>
        <w:rPr>
          <w:lang w:val="ru-RU"/>
        </w:rPr>
        <w:t>в</w:t>
      </w:r>
      <w:r w:rsidRPr="00DE3465">
        <w:rPr>
          <w:lang w:val="ru-RU"/>
        </w:rPr>
        <w:t xml:space="preserve"> </w:t>
      </w:r>
      <w:r>
        <w:rPr>
          <w:lang w:val="ru-RU"/>
        </w:rPr>
        <w:t>период</w:t>
      </w:r>
      <w:r w:rsidRPr="00DE3465">
        <w:rPr>
          <w:lang w:val="ru-RU"/>
        </w:rPr>
        <w:t xml:space="preserve"> </w:t>
      </w:r>
      <w:r>
        <w:rPr>
          <w:lang w:val="ru-RU"/>
        </w:rPr>
        <w:t>с</w:t>
      </w:r>
      <w:r w:rsidRPr="00DE3465">
        <w:rPr>
          <w:lang w:val="ru-RU"/>
        </w:rPr>
        <w:t xml:space="preserve"> </w:t>
      </w:r>
      <w:r>
        <w:rPr>
          <w:lang w:val="ru-RU"/>
        </w:rPr>
        <w:t>января</w:t>
      </w:r>
      <w:r w:rsidRPr="00DE3465">
        <w:rPr>
          <w:lang w:val="ru-RU"/>
        </w:rPr>
        <w:t xml:space="preserve"> 2016</w:t>
      </w:r>
      <w:r w:rsidRPr="000465D0">
        <w:rPr>
          <w:lang w:val="en-US"/>
        </w:rPr>
        <w:t> </w:t>
      </w:r>
      <w:r>
        <w:rPr>
          <w:lang w:val="ru-RU"/>
        </w:rPr>
        <w:t>г</w:t>
      </w:r>
      <w:r w:rsidRPr="00DE3465">
        <w:rPr>
          <w:lang w:val="ru-RU"/>
        </w:rPr>
        <w:t xml:space="preserve">. </w:t>
      </w:r>
      <w:r>
        <w:rPr>
          <w:lang w:val="ru-RU"/>
        </w:rPr>
        <w:t>по</w:t>
      </w:r>
      <w:r w:rsidRPr="00DE3465">
        <w:rPr>
          <w:lang w:val="ru-RU"/>
        </w:rPr>
        <w:t xml:space="preserve"> </w:t>
      </w:r>
      <w:r>
        <w:rPr>
          <w:lang w:val="ru-RU"/>
        </w:rPr>
        <w:t>декабрь</w:t>
      </w:r>
      <w:r w:rsidRPr="00DE3465">
        <w:rPr>
          <w:lang w:val="ru-RU"/>
        </w:rPr>
        <w:t xml:space="preserve"> 2017</w:t>
      </w:r>
      <w:r w:rsidRPr="000465D0">
        <w:rPr>
          <w:lang w:val="en-US"/>
        </w:rPr>
        <w:t> </w:t>
      </w:r>
      <w:r>
        <w:rPr>
          <w:lang w:val="ru-RU"/>
        </w:rPr>
        <w:t>г</w:t>
      </w:r>
      <w:r w:rsidRPr="00DE3465">
        <w:rPr>
          <w:lang w:val="ru-RU"/>
        </w:rPr>
        <w:t xml:space="preserve">. </w:t>
      </w:r>
      <w:r w:rsidR="00B3701B">
        <w:rPr>
          <w:lang w:val="ru-RU"/>
        </w:rPr>
        <w:t>наблюдалось</w:t>
      </w:r>
      <w:r w:rsidR="00B3701B" w:rsidRPr="00DE3465">
        <w:rPr>
          <w:lang w:val="ru-RU"/>
        </w:rPr>
        <w:t xml:space="preserve"> </w:t>
      </w:r>
      <w:r w:rsidR="00B3701B">
        <w:rPr>
          <w:lang w:val="ru-RU"/>
        </w:rPr>
        <w:t>неуклонное</w:t>
      </w:r>
      <w:r w:rsidR="00B3701B" w:rsidRPr="00DE3465">
        <w:rPr>
          <w:lang w:val="ru-RU"/>
        </w:rPr>
        <w:t xml:space="preserve"> </w:t>
      </w:r>
      <w:r w:rsidR="00B3701B">
        <w:rPr>
          <w:lang w:val="ru-RU"/>
        </w:rPr>
        <w:t>увеличение</w:t>
      </w:r>
      <w:r w:rsidR="00B3701B" w:rsidRPr="00DE3465">
        <w:rPr>
          <w:lang w:val="ru-RU"/>
        </w:rPr>
        <w:t xml:space="preserve"> </w:t>
      </w:r>
      <w:r w:rsidR="00B3701B">
        <w:rPr>
          <w:lang w:val="ru-RU"/>
        </w:rPr>
        <w:t>числа</w:t>
      </w:r>
      <w:r w:rsidR="00B3701B" w:rsidRPr="00DE3465">
        <w:rPr>
          <w:lang w:val="ru-RU"/>
        </w:rPr>
        <w:t xml:space="preserve"> </w:t>
      </w:r>
      <w:r w:rsidR="00B3701B">
        <w:rPr>
          <w:lang w:val="ru-RU"/>
        </w:rPr>
        <w:t>государств</w:t>
      </w:r>
      <w:r w:rsidR="00B3701B" w:rsidRPr="00DE3465">
        <w:rPr>
          <w:lang w:val="ru-RU"/>
        </w:rPr>
        <w:t>-</w:t>
      </w:r>
      <w:r w:rsidR="00B3701B">
        <w:rPr>
          <w:lang w:val="ru-RU"/>
        </w:rPr>
        <w:t>участников</w:t>
      </w:r>
      <w:r w:rsidR="00B3701B" w:rsidRPr="00DE3465">
        <w:rPr>
          <w:lang w:val="ru-RU"/>
        </w:rPr>
        <w:t xml:space="preserve"> </w:t>
      </w:r>
      <w:r w:rsidR="00B3701B">
        <w:rPr>
          <w:lang w:val="ru-RU"/>
        </w:rPr>
        <w:t>Конвенции</w:t>
      </w:r>
      <w:r w:rsidR="00DE3465" w:rsidRPr="00DE3465">
        <w:rPr>
          <w:lang w:val="ru-RU"/>
        </w:rPr>
        <w:t xml:space="preserve">, </w:t>
      </w:r>
      <w:r w:rsidR="00DE3465">
        <w:rPr>
          <w:lang w:val="ru-RU"/>
        </w:rPr>
        <w:t>и</w:t>
      </w:r>
      <w:r w:rsidR="00DE3465" w:rsidRPr="00DE3465">
        <w:rPr>
          <w:lang w:val="ru-RU"/>
        </w:rPr>
        <w:t xml:space="preserve"> </w:t>
      </w:r>
      <w:r w:rsidR="00DE3465">
        <w:rPr>
          <w:lang w:val="ru-RU"/>
        </w:rPr>
        <w:t>следующие</w:t>
      </w:r>
      <w:r w:rsidR="00DE3465" w:rsidRPr="00DE3465">
        <w:rPr>
          <w:lang w:val="ru-RU"/>
        </w:rPr>
        <w:t xml:space="preserve"> </w:t>
      </w:r>
      <w:r w:rsidR="00560E1F">
        <w:rPr>
          <w:lang w:val="ru-RU"/>
        </w:rPr>
        <w:t>одиннадцать</w:t>
      </w:r>
      <w:r w:rsidR="00DE3465" w:rsidRPr="00DE3465">
        <w:rPr>
          <w:lang w:val="ru-RU"/>
        </w:rPr>
        <w:t xml:space="preserve"> </w:t>
      </w:r>
      <w:r w:rsidR="00DE3465">
        <w:rPr>
          <w:lang w:val="ru-RU"/>
        </w:rPr>
        <w:t>государств</w:t>
      </w:r>
      <w:r w:rsidR="00DE3465" w:rsidRPr="00DE3465">
        <w:rPr>
          <w:lang w:val="ru-RU"/>
        </w:rPr>
        <w:t xml:space="preserve"> – </w:t>
      </w:r>
      <w:r w:rsidR="00DE3465">
        <w:rPr>
          <w:lang w:val="ru-RU"/>
        </w:rPr>
        <w:t>членов</w:t>
      </w:r>
      <w:r w:rsidR="00DE3465" w:rsidRPr="00DE3465">
        <w:rPr>
          <w:lang w:val="ru-RU"/>
        </w:rPr>
        <w:t xml:space="preserve"> </w:t>
      </w:r>
      <w:r w:rsidR="00DE3465">
        <w:rPr>
          <w:lang w:val="ru-RU"/>
        </w:rPr>
        <w:t>ратифицировали</w:t>
      </w:r>
      <w:r w:rsidR="00DE3465" w:rsidRPr="00DE3465">
        <w:rPr>
          <w:lang w:val="ru-RU"/>
        </w:rPr>
        <w:t xml:space="preserve"> </w:t>
      </w:r>
      <w:r w:rsidR="00DE3465">
        <w:rPr>
          <w:lang w:val="ru-RU"/>
        </w:rPr>
        <w:t>Конвенцию</w:t>
      </w:r>
      <w:r w:rsidR="00DE3465" w:rsidRPr="00DE3465">
        <w:rPr>
          <w:lang w:val="ru-RU"/>
        </w:rPr>
        <w:t xml:space="preserve">: </w:t>
      </w:r>
      <w:r w:rsidR="00DE3465">
        <w:rPr>
          <w:lang w:val="ru-RU"/>
        </w:rPr>
        <w:t>Гана</w:t>
      </w:r>
      <w:r w:rsidR="00DE3465" w:rsidRPr="00DE3465">
        <w:rPr>
          <w:lang w:val="ru-RU"/>
        </w:rPr>
        <w:t xml:space="preserve">, </w:t>
      </w:r>
      <w:r w:rsidR="00DE3465">
        <w:rPr>
          <w:lang w:val="ru-RU"/>
        </w:rPr>
        <w:t>Гвинея</w:t>
      </w:r>
      <w:r w:rsidR="00DE3465" w:rsidRPr="00DE3465">
        <w:rPr>
          <w:lang w:val="ru-RU"/>
        </w:rPr>
        <w:t>-</w:t>
      </w:r>
      <w:r w:rsidR="00DE3465">
        <w:rPr>
          <w:lang w:val="ru-RU"/>
        </w:rPr>
        <w:t>Бисау</w:t>
      </w:r>
      <w:r w:rsidR="00DE3465" w:rsidRPr="00DE3465">
        <w:rPr>
          <w:lang w:val="ru-RU"/>
        </w:rPr>
        <w:t xml:space="preserve">, </w:t>
      </w:r>
      <w:r w:rsidR="00DE3465">
        <w:rPr>
          <w:lang w:val="ru-RU"/>
        </w:rPr>
        <w:t>Кабо</w:t>
      </w:r>
      <w:r w:rsidR="00DE3465" w:rsidRPr="00DE3465">
        <w:rPr>
          <w:lang w:val="ru-RU"/>
        </w:rPr>
        <w:t>-</w:t>
      </w:r>
      <w:r w:rsidR="00DE3465">
        <w:rPr>
          <w:lang w:val="ru-RU"/>
        </w:rPr>
        <w:t xml:space="preserve">Верде, Мальта, Острова Кука, </w:t>
      </w:r>
      <w:proofErr w:type="spellStart"/>
      <w:r w:rsidR="00DE3465">
        <w:rPr>
          <w:lang w:val="ru-RU"/>
        </w:rPr>
        <w:t>Сент</w:t>
      </w:r>
      <w:proofErr w:type="spellEnd"/>
      <w:r w:rsidR="00DE3465">
        <w:rPr>
          <w:lang w:val="ru-RU"/>
        </w:rPr>
        <w:t>-Китс и Невис, Суринам, Таиланд, Тимор-</w:t>
      </w:r>
      <w:proofErr w:type="spellStart"/>
      <w:r w:rsidR="00DE3465">
        <w:rPr>
          <w:lang w:val="ru-RU"/>
        </w:rPr>
        <w:t>Лешти</w:t>
      </w:r>
      <w:proofErr w:type="spellEnd"/>
      <w:r w:rsidR="00DE3465">
        <w:rPr>
          <w:lang w:val="ru-RU"/>
        </w:rPr>
        <w:t xml:space="preserve">, Тувалу и Южный Судан. </w:t>
      </w:r>
      <w:r w:rsidR="00F6775B">
        <w:rPr>
          <w:lang w:val="ru-RU"/>
        </w:rPr>
        <w:t>Кроме</w:t>
      </w:r>
      <w:r w:rsidR="00F6775B" w:rsidRPr="00103889">
        <w:rPr>
          <w:lang w:val="ru-RU"/>
        </w:rPr>
        <w:t xml:space="preserve"> </w:t>
      </w:r>
      <w:r w:rsidR="00F6775B">
        <w:rPr>
          <w:lang w:val="ru-RU"/>
        </w:rPr>
        <w:t>того</w:t>
      </w:r>
      <w:r w:rsidR="00F6775B" w:rsidRPr="00103889">
        <w:rPr>
          <w:lang w:val="ru-RU"/>
        </w:rPr>
        <w:t xml:space="preserve">, </w:t>
      </w:r>
      <w:r w:rsidR="00F6775B">
        <w:rPr>
          <w:lang w:val="ru-RU"/>
        </w:rPr>
        <w:t>Нидерланды</w:t>
      </w:r>
      <w:r w:rsidR="00F6775B" w:rsidRPr="00103889">
        <w:rPr>
          <w:lang w:val="ru-RU"/>
        </w:rPr>
        <w:t xml:space="preserve"> </w:t>
      </w:r>
      <w:r w:rsidR="00F6775B">
        <w:rPr>
          <w:lang w:val="ru-RU"/>
        </w:rPr>
        <w:t>расширили</w:t>
      </w:r>
      <w:r w:rsidR="00F6775B" w:rsidRPr="00103889">
        <w:rPr>
          <w:lang w:val="ru-RU"/>
        </w:rPr>
        <w:t xml:space="preserve"> </w:t>
      </w:r>
      <w:r w:rsidR="00F6775B">
        <w:rPr>
          <w:lang w:val="ru-RU"/>
        </w:rPr>
        <w:t>сферу</w:t>
      </w:r>
      <w:r w:rsidR="00F6775B" w:rsidRPr="00103889">
        <w:rPr>
          <w:lang w:val="ru-RU"/>
        </w:rPr>
        <w:t xml:space="preserve"> </w:t>
      </w:r>
      <w:r w:rsidR="00F6775B">
        <w:rPr>
          <w:lang w:val="ru-RU"/>
        </w:rPr>
        <w:t>территориального</w:t>
      </w:r>
      <w:r w:rsidR="00F6775B" w:rsidRPr="00103889">
        <w:rPr>
          <w:lang w:val="ru-RU"/>
        </w:rPr>
        <w:t xml:space="preserve"> </w:t>
      </w:r>
      <w:r w:rsidR="00F6775B">
        <w:rPr>
          <w:lang w:val="ru-RU"/>
        </w:rPr>
        <w:t>применения</w:t>
      </w:r>
      <w:r w:rsidR="00F6775B" w:rsidRPr="00103889">
        <w:rPr>
          <w:lang w:val="ru-RU"/>
        </w:rPr>
        <w:t xml:space="preserve"> </w:t>
      </w:r>
      <w:r w:rsidR="00F6775B">
        <w:rPr>
          <w:lang w:val="ru-RU"/>
        </w:rPr>
        <w:t>Конвенции</w:t>
      </w:r>
      <w:r w:rsidR="00F6775B" w:rsidRPr="00103889">
        <w:rPr>
          <w:lang w:val="ru-RU"/>
        </w:rPr>
        <w:t xml:space="preserve"> </w:t>
      </w:r>
      <w:r w:rsidR="00F6775B">
        <w:rPr>
          <w:lang w:val="ru-RU"/>
        </w:rPr>
        <w:t>на</w:t>
      </w:r>
      <w:r w:rsidR="00F6775B" w:rsidRPr="00103889">
        <w:rPr>
          <w:lang w:val="ru-RU"/>
        </w:rPr>
        <w:t xml:space="preserve"> </w:t>
      </w:r>
      <w:r w:rsidR="00103889">
        <w:rPr>
          <w:lang w:val="ru-RU"/>
        </w:rPr>
        <w:t>Кюрасао</w:t>
      </w:r>
      <w:r w:rsidR="00103889" w:rsidRPr="00103889">
        <w:rPr>
          <w:lang w:val="ru-RU"/>
        </w:rPr>
        <w:t xml:space="preserve">. </w:t>
      </w:r>
      <w:r w:rsidR="00103889">
        <w:rPr>
          <w:lang w:val="ru-RU"/>
        </w:rPr>
        <w:t>На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конец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отчетного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периода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общее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количество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государств</w:t>
      </w:r>
      <w:r w:rsidR="00103889" w:rsidRPr="00103889">
        <w:rPr>
          <w:lang w:val="ru-RU"/>
        </w:rPr>
        <w:t>-</w:t>
      </w:r>
      <w:r w:rsidR="00103889">
        <w:rPr>
          <w:lang w:val="ru-RU"/>
        </w:rPr>
        <w:t>участников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достигло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175. Шесть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из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одиннадцати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новых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государств</w:t>
      </w:r>
      <w:r w:rsidR="00103889" w:rsidRPr="00103889">
        <w:rPr>
          <w:lang w:val="ru-RU"/>
        </w:rPr>
        <w:t>-</w:t>
      </w:r>
      <w:r w:rsidR="00103889">
        <w:rPr>
          <w:lang w:val="ru-RU"/>
        </w:rPr>
        <w:t>участников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и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Кюрасао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выиграли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от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деятельности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по</w:t>
      </w:r>
      <w:r w:rsidR="00103889" w:rsidRPr="00103889">
        <w:rPr>
          <w:lang w:val="ru-RU"/>
        </w:rPr>
        <w:t xml:space="preserve"> </w:t>
      </w:r>
      <w:r w:rsidR="00103889">
        <w:rPr>
          <w:lang w:val="ru-RU"/>
        </w:rPr>
        <w:t>повышению потенциала до ратификации Конвенции.</w:t>
      </w:r>
    </w:p>
    <w:p w:rsidR="00C902E0" w:rsidRPr="00BB765B" w:rsidRDefault="00C902E0" w:rsidP="00430A07">
      <w:pPr>
        <w:pStyle w:val="COMPara"/>
        <w:keepNext/>
        <w:spacing w:before="240"/>
        <w:ind w:left="0" w:firstLine="0"/>
        <w:jc w:val="both"/>
        <w:rPr>
          <w:b/>
          <w:caps/>
          <w:lang w:val="ru-RU"/>
        </w:rPr>
      </w:pPr>
      <w:r>
        <w:rPr>
          <w:b/>
          <w:caps/>
          <w:lang w:val="ru-RU"/>
        </w:rPr>
        <w:t>НЕМАТЕРИАЛЬНОЕ КУЛЬТУРНОЕ НАСЛЕДИЕ И УСТОЙЧИВОЕ РАЗВИТИЕ</w:t>
      </w:r>
    </w:p>
    <w:p w:rsidR="00C902E0" w:rsidRPr="0021360E" w:rsidRDefault="008736D1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Введение</w:t>
      </w:r>
      <w:r w:rsidRPr="008736D1">
        <w:rPr>
          <w:lang w:val="ru-RU"/>
        </w:rPr>
        <w:t xml:space="preserve"> </w:t>
      </w:r>
      <w:r>
        <w:rPr>
          <w:lang w:val="ru-RU"/>
        </w:rPr>
        <w:t>новой</w:t>
      </w:r>
      <w:r w:rsidRPr="008736D1">
        <w:rPr>
          <w:lang w:val="ru-RU"/>
        </w:rPr>
        <w:t xml:space="preserve"> </w:t>
      </w:r>
      <w:r>
        <w:rPr>
          <w:lang w:val="ru-RU"/>
        </w:rPr>
        <w:t>главы</w:t>
      </w:r>
      <w:r w:rsidRPr="008736D1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8736D1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8736D1">
        <w:rPr>
          <w:lang w:val="ru-RU"/>
        </w:rPr>
        <w:t xml:space="preserve"> </w:t>
      </w:r>
      <w:r>
        <w:rPr>
          <w:lang w:val="ru-RU"/>
        </w:rPr>
        <w:t>о</w:t>
      </w:r>
      <w:r w:rsidRPr="008736D1">
        <w:rPr>
          <w:lang w:val="ru-RU"/>
        </w:rPr>
        <w:t xml:space="preserve">б </w:t>
      </w:r>
      <w:r>
        <w:rPr>
          <w:lang w:val="ru-RU"/>
        </w:rPr>
        <w:t>охране</w:t>
      </w:r>
      <w:r w:rsidRPr="008736D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8736D1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8736D1">
        <w:rPr>
          <w:lang w:val="ru-RU"/>
        </w:rPr>
        <w:t xml:space="preserve"> </w:t>
      </w:r>
      <w:r>
        <w:rPr>
          <w:lang w:val="ru-RU"/>
        </w:rPr>
        <w:t>наследия</w:t>
      </w:r>
      <w:r w:rsidRPr="008736D1">
        <w:rPr>
          <w:lang w:val="ru-RU"/>
        </w:rPr>
        <w:t xml:space="preserve"> </w:t>
      </w:r>
      <w:r>
        <w:rPr>
          <w:lang w:val="ru-RU"/>
        </w:rPr>
        <w:t>и</w:t>
      </w:r>
      <w:r w:rsidRPr="008736D1">
        <w:rPr>
          <w:lang w:val="ru-RU"/>
        </w:rPr>
        <w:t xml:space="preserve"> </w:t>
      </w:r>
      <w:r>
        <w:rPr>
          <w:lang w:val="ru-RU"/>
        </w:rPr>
        <w:t>устойчивом</w:t>
      </w:r>
      <w:r w:rsidRPr="008736D1">
        <w:rPr>
          <w:lang w:val="ru-RU"/>
        </w:rPr>
        <w:t xml:space="preserve"> </w:t>
      </w:r>
      <w:r>
        <w:rPr>
          <w:lang w:val="ru-RU"/>
        </w:rPr>
        <w:t>развитии</w:t>
      </w:r>
      <w:r w:rsidRPr="008736D1">
        <w:rPr>
          <w:lang w:val="ru-RU"/>
        </w:rPr>
        <w:t xml:space="preserve"> </w:t>
      </w:r>
      <w:r>
        <w:rPr>
          <w:lang w:val="ru-RU"/>
        </w:rPr>
        <w:t>на</w:t>
      </w:r>
      <w:r w:rsidRPr="008736D1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8736D1">
        <w:rPr>
          <w:lang w:val="ru-RU"/>
        </w:rPr>
        <w:t xml:space="preserve"> </w:t>
      </w:r>
      <w:r>
        <w:rPr>
          <w:lang w:val="ru-RU"/>
        </w:rPr>
        <w:t>уровне</w:t>
      </w:r>
      <w:r w:rsidRPr="008736D1">
        <w:rPr>
          <w:lang w:val="ru-RU"/>
        </w:rPr>
        <w:t xml:space="preserve"> </w:t>
      </w:r>
      <w:r>
        <w:rPr>
          <w:lang w:val="ru-RU"/>
        </w:rPr>
        <w:t>знаменует</w:t>
      </w:r>
      <w:r w:rsidRPr="008736D1">
        <w:rPr>
          <w:lang w:val="ru-RU"/>
        </w:rPr>
        <w:t xml:space="preserve"> </w:t>
      </w:r>
      <w:r>
        <w:rPr>
          <w:lang w:val="ru-RU"/>
        </w:rPr>
        <w:t>собой</w:t>
      </w:r>
      <w:r w:rsidRPr="008736D1">
        <w:rPr>
          <w:lang w:val="ru-RU"/>
        </w:rPr>
        <w:t xml:space="preserve"> </w:t>
      </w:r>
      <w:r>
        <w:rPr>
          <w:lang w:val="ru-RU"/>
        </w:rPr>
        <w:t>важный</w:t>
      </w:r>
      <w:r w:rsidRPr="008736D1">
        <w:rPr>
          <w:lang w:val="ru-RU"/>
        </w:rPr>
        <w:t xml:space="preserve"> </w:t>
      </w:r>
      <w:r>
        <w:rPr>
          <w:lang w:val="ru-RU"/>
        </w:rPr>
        <w:t>шаг</w:t>
      </w:r>
      <w:r w:rsidRPr="008736D1">
        <w:rPr>
          <w:lang w:val="ru-RU"/>
        </w:rPr>
        <w:t xml:space="preserve"> </w:t>
      </w:r>
      <w:r>
        <w:rPr>
          <w:lang w:val="ru-RU"/>
        </w:rPr>
        <w:t>впер</w:t>
      </w:r>
      <w:r w:rsidR="009D37FC">
        <w:rPr>
          <w:lang w:val="ru-RU"/>
        </w:rPr>
        <w:t>е</w:t>
      </w:r>
      <w:r>
        <w:rPr>
          <w:lang w:val="ru-RU"/>
        </w:rPr>
        <w:t>д</w:t>
      </w:r>
      <w:r w:rsidRPr="008736D1">
        <w:rPr>
          <w:lang w:val="ru-RU"/>
        </w:rPr>
        <w:t xml:space="preserve"> </w:t>
      </w:r>
      <w:r>
        <w:rPr>
          <w:lang w:val="ru-RU"/>
        </w:rPr>
        <w:t>в</w:t>
      </w:r>
      <w:r w:rsidRPr="008736D1">
        <w:rPr>
          <w:lang w:val="ru-RU"/>
        </w:rPr>
        <w:t xml:space="preserve"> </w:t>
      </w:r>
      <w:r>
        <w:rPr>
          <w:lang w:val="ru-RU"/>
        </w:rPr>
        <w:t>развитии</w:t>
      </w:r>
      <w:r w:rsidRPr="008736D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736D1">
        <w:rPr>
          <w:lang w:val="ru-RU"/>
        </w:rPr>
        <w:t xml:space="preserve">, </w:t>
      </w:r>
      <w:r>
        <w:rPr>
          <w:lang w:val="ru-RU"/>
        </w:rPr>
        <w:t>соответствующий</w:t>
      </w:r>
      <w:r w:rsidRPr="008736D1">
        <w:rPr>
          <w:lang w:val="ru-RU"/>
        </w:rPr>
        <w:t xml:space="preserve"> </w:t>
      </w:r>
      <w:r>
        <w:rPr>
          <w:lang w:val="ru-RU"/>
        </w:rPr>
        <w:t>Повестке</w:t>
      </w:r>
      <w:r w:rsidRPr="00FC712E">
        <w:rPr>
          <w:lang w:val="ru-RU"/>
        </w:rPr>
        <w:t xml:space="preserve"> </w:t>
      </w:r>
      <w:r>
        <w:rPr>
          <w:lang w:val="ru-RU"/>
        </w:rPr>
        <w:t>дня</w:t>
      </w:r>
      <w:r w:rsidRPr="00FC712E">
        <w:rPr>
          <w:lang w:val="ru-RU"/>
        </w:rPr>
        <w:t xml:space="preserve"> </w:t>
      </w:r>
      <w:r>
        <w:rPr>
          <w:lang w:val="ru-RU"/>
        </w:rPr>
        <w:t>в</w:t>
      </w:r>
      <w:r w:rsidRPr="00FC712E">
        <w:rPr>
          <w:lang w:val="ru-RU"/>
        </w:rPr>
        <w:t xml:space="preserve"> </w:t>
      </w:r>
      <w:r>
        <w:rPr>
          <w:lang w:val="ru-RU"/>
        </w:rPr>
        <w:t>области</w:t>
      </w:r>
      <w:r w:rsidRPr="00FC712E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FC712E">
        <w:rPr>
          <w:lang w:val="ru-RU"/>
        </w:rPr>
        <w:t xml:space="preserve"> </w:t>
      </w:r>
      <w:r>
        <w:rPr>
          <w:lang w:val="ru-RU"/>
        </w:rPr>
        <w:t>развития</w:t>
      </w:r>
      <w:r w:rsidRPr="00FC712E">
        <w:rPr>
          <w:lang w:val="ru-RU"/>
        </w:rPr>
        <w:t xml:space="preserve"> </w:t>
      </w:r>
      <w:r>
        <w:rPr>
          <w:lang w:val="ru-RU"/>
        </w:rPr>
        <w:t>на</w:t>
      </w:r>
      <w:r w:rsidRPr="00FC712E">
        <w:rPr>
          <w:lang w:val="ru-RU"/>
        </w:rPr>
        <w:t xml:space="preserve"> </w:t>
      </w:r>
      <w:r>
        <w:rPr>
          <w:lang w:val="ru-RU"/>
        </w:rPr>
        <w:t>период</w:t>
      </w:r>
      <w:r w:rsidRPr="00FC712E">
        <w:rPr>
          <w:lang w:val="ru-RU"/>
        </w:rPr>
        <w:t xml:space="preserve"> </w:t>
      </w:r>
      <w:r>
        <w:rPr>
          <w:lang w:val="ru-RU"/>
        </w:rPr>
        <w:t>до</w:t>
      </w:r>
      <w:r w:rsidRPr="00FC712E">
        <w:rPr>
          <w:lang w:val="ru-RU"/>
        </w:rPr>
        <w:t xml:space="preserve"> 2030 </w:t>
      </w:r>
      <w:r>
        <w:rPr>
          <w:lang w:val="ru-RU"/>
        </w:rPr>
        <w:t>года, принятой</w:t>
      </w:r>
      <w:r w:rsidRPr="008736D1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8736D1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8736D1">
        <w:rPr>
          <w:lang w:val="ru-RU"/>
        </w:rPr>
        <w:t xml:space="preserve"> </w:t>
      </w:r>
      <w:r>
        <w:rPr>
          <w:lang w:val="ru-RU"/>
        </w:rPr>
        <w:t>ООН</w:t>
      </w:r>
      <w:r w:rsidRPr="008736D1">
        <w:rPr>
          <w:lang w:val="ru-RU"/>
        </w:rPr>
        <w:t xml:space="preserve"> </w:t>
      </w:r>
      <w:r>
        <w:rPr>
          <w:lang w:val="ru-RU"/>
        </w:rPr>
        <w:t>в</w:t>
      </w:r>
      <w:r w:rsidRPr="008736D1">
        <w:rPr>
          <w:lang w:val="ru-RU"/>
        </w:rPr>
        <w:t xml:space="preserve"> </w:t>
      </w:r>
      <w:r>
        <w:rPr>
          <w:lang w:val="ru-RU"/>
        </w:rPr>
        <w:t>сентябре</w:t>
      </w:r>
      <w:r w:rsidRPr="008736D1">
        <w:rPr>
          <w:lang w:val="ru-RU"/>
        </w:rPr>
        <w:t xml:space="preserve"> 2015</w:t>
      </w:r>
      <w:r w:rsidRPr="008736D1">
        <w:rPr>
          <w:lang w:val="en-US"/>
        </w:rPr>
        <w:t> </w:t>
      </w:r>
      <w:r>
        <w:rPr>
          <w:lang w:val="ru-RU"/>
        </w:rPr>
        <w:t>г</w:t>
      </w:r>
      <w:r w:rsidRPr="008736D1">
        <w:rPr>
          <w:lang w:val="ru-RU"/>
        </w:rPr>
        <w:t xml:space="preserve">. </w:t>
      </w:r>
      <w:r w:rsidR="00B708DA">
        <w:rPr>
          <w:lang w:val="ru-RU"/>
        </w:rPr>
        <w:t xml:space="preserve">Секретариат предпринял значительные усилия, чтобы отразить эту ориентацию в ряде тематических областей и определить </w:t>
      </w:r>
      <w:r w:rsidR="00807FA0">
        <w:rPr>
          <w:lang w:val="ru-RU"/>
        </w:rPr>
        <w:t xml:space="preserve">точки приложения сил в программах с конкретными показателями Целей устойчивого развития на период до 2030 г. Это касается Цели 4 в отношении образования в целом и </w:t>
      </w:r>
      <w:r w:rsidR="00305A26">
        <w:rPr>
          <w:lang w:val="ru-RU"/>
        </w:rPr>
        <w:t xml:space="preserve">задач </w:t>
      </w:r>
      <w:r w:rsidR="00C902E0" w:rsidRPr="00807FA0">
        <w:rPr>
          <w:lang w:val="ru-RU"/>
        </w:rPr>
        <w:t xml:space="preserve">4.3, 4.4 </w:t>
      </w:r>
      <w:r w:rsidR="00305A26">
        <w:rPr>
          <w:lang w:val="ru-RU"/>
        </w:rPr>
        <w:t>и</w:t>
      </w:r>
      <w:r w:rsidR="00C902E0" w:rsidRPr="00807FA0">
        <w:rPr>
          <w:lang w:val="ru-RU"/>
        </w:rPr>
        <w:t xml:space="preserve"> 4.7 </w:t>
      </w:r>
      <w:r w:rsidR="00305A26">
        <w:rPr>
          <w:lang w:val="ru-RU"/>
        </w:rPr>
        <w:t xml:space="preserve">в </w:t>
      </w:r>
      <w:r w:rsidR="00305A26">
        <w:rPr>
          <w:lang w:val="ru-RU"/>
        </w:rPr>
        <w:lastRenderedPageBreak/>
        <w:t>частности. Секретариат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также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участвовал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в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инициативе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Сектора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культуры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относительно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измерения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вклада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культуры</w:t>
      </w:r>
      <w:r w:rsidR="00305A26" w:rsidRPr="00305A26">
        <w:rPr>
          <w:lang w:val="ru-RU"/>
        </w:rPr>
        <w:t xml:space="preserve"> </w:t>
      </w:r>
      <w:r w:rsidR="00305A26">
        <w:rPr>
          <w:lang w:val="ru-RU"/>
        </w:rPr>
        <w:t>в Повестку дня в</w:t>
      </w:r>
      <w:r w:rsidR="00305A26" w:rsidRPr="00FC712E">
        <w:rPr>
          <w:lang w:val="ru-RU"/>
        </w:rPr>
        <w:t xml:space="preserve"> </w:t>
      </w:r>
      <w:r w:rsidR="00305A26">
        <w:rPr>
          <w:lang w:val="ru-RU"/>
        </w:rPr>
        <w:t>области</w:t>
      </w:r>
      <w:r w:rsidR="00305A26" w:rsidRPr="00FC712E">
        <w:rPr>
          <w:lang w:val="ru-RU"/>
        </w:rPr>
        <w:t xml:space="preserve"> </w:t>
      </w:r>
      <w:r w:rsidR="00305A26">
        <w:rPr>
          <w:lang w:val="ru-RU"/>
        </w:rPr>
        <w:t>устойчивого</w:t>
      </w:r>
      <w:r w:rsidR="00305A26" w:rsidRPr="00FC712E">
        <w:rPr>
          <w:lang w:val="ru-RU"/>
        </w:rPr>
        <w:t xml:space="preserve"> </w:t>
      </w:r>
      <w:r w:rsidR="00305A26">
        <w:rPr>
          <w:lang w:val="ru-RU"/>
        </w:rPr>
        <w:t>развития</w:t>
      </w:r>
      <w:r w:rsidR="00305A26" w:rsidRPr="00FC712E">
        <w:rPr>
          <w:lang w:val="ru-RU"/>
        </w:rPr>
        <w:t xml:space="preserve"> </w:t>
      </w:r>
      <w:r w:rsidR="00305A26">
        <w:rPr>
          <w:lang w:val="ru-RU"/>
        </w:rPr>
        <w:t>на</w:t>
      </w:r>
      <w:r w:rsidR="00305A26" w:rsidRPr="00FC712E">
        <w:rPr>
          <w:lang w:val="ru-RU"/>
        </w:rPr>
        <w:t xml:space="preserve"> </w:t>
      </w:r>
      <w:r w:rsidR="00305A26">
        <w:rPr>
          <w:lang w:val="ru-RU"/>
        </w:rPr>
        <w:t>период</w:t>
      </w:r>
      <w:r w:rsidR="00305A26" w:rsidRPr="00FC712E">
        <w:rPr>
          <w:lang w:val="ru-RU"/>
        </w:rPr>
        <w:t xml:space="preserve"> </w:t>
      </w:r>
      <w:r w:rsidR="00305A26">
        <w:rPr>
          <w:lang w:val="ru-RU"/>
        </w:rPr>
        <w:t>до</w:t>
      </w:r>
      <w:r w:rsidR="00305A26" w:rsidRPr="00FC712E">
        <w:rPr>
          <w:lang w:val="ru-RU"/>
        </w:rPr>
        <w:t xml:space="preserve"> 2030 </w:t>
      </w:r>
      <w:r w:rsidR="00305A26">
        <w:rPr>
          <w:lang w:val="ru-RU"/>
        </w:rPr>
        <w:t xml:space="preserve">года. </w:t>
      </w:r>
      <w:r w:rsidR="0021360E">
        <w:rPr>
          <w:lang w:val="ru-RU"/>
        </w:rPr>
        <w:t>Секретариат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также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работал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над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конкретными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примерами</w:t>
      </w:r>
      <w:r w:rsidR="0021360E" w:rsidRPr="0021360E">
        <w:rPr>
          <w:lang w:val="ru-RU"/>
        </w:rPr>
        <w:t xml:space="preserve">, </w:t>
      </w:r>
      <w:r w:rsidR="0021360E">
        <w:rPr>
          <w:lang w:val="ru-RU"/>
        </w:rPr>
        <w:t>чтобы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на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фактах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продемонстрировать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связь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между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охраной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нематериального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культурного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наследия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и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устойчивым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развитием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на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национальном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уровне</w:t>
      </w:r>
      <w:r w:rsidR="0021360E" w:rsidRPr="0021360E">
        <w:rPr>
          <w:lang w:val="ru-RU"/>
        </w:rPr>
        <w:t xml:space="preserve">, </w:t>
      </w:r>
      <w:r w:rsidR="0021360E">
        <w:rPr>
          <w:lang w:val="ru-RU"/>
        </w:rPr>
        <w:t>особенно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в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контексте</w:t>
      </w:r>
      <w:r w:rsidR="0021360E" w:rsidRPr="0021360E">
        <w:rPr>
          <w:lang w:val="ru-RU"/>
        </w:rPr>
        <w:t xml:space="preserve"> </w:t>
      </w:r>
      <w:r w:rsidR="0021360E">
        <w:rPr>
          <w:lang w:val="ru-RU"/>
        </w:rPr>
        <w:t>программы по укреплению потенциала.</w:t>
      </w:r>
    </w:p>
    <w:p w:rsidR="00C902E0" w:rsidRPr="00FF1667" w:rsidRDefault="00C902E0" w:rsidP="00430A07">
      <w:pPr>
        <w:pStyle w:val="COMPara"/>
        <w:keepNext/>
        <w:spacing w:before="240"/>
        <w:ind w:left="0" w:firstLine="0"/>
        <w:jc w:val="both"/>
        <w:rPr>
          <w:b/>
          <w:caps/>
          <w:color w:val="000000"/>
        </w:rPr>
      </w:pPr>
      <w:r>
        <w:rPr>
          <w:b/>
          <w:caps/>
          <w:lang w:val="ru-RU"/>
        </w:rPr>
        <w:t>международная помощь</w:t>
      </w:r>
    </w:p>
    <w:p w:rsidR="00C902E0" w:rsidRPr="001050EE" w:rsidRDefault="000A3862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Увеличение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верхнего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предела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суммы</w:t>
      </w:r>
      <w:r w:rsidR="00BB6073" w:rsidRPr="00BB6073">
        <w:rPr>
          <w:lang w:val="ru-RU"/>
        </w:rPr>
        <w:t xml:space="preserve"> </w:t>
      </w:r>
      <w:r>
        <w:rPr>
          <w:lang w:val="ru-RU"/>
        </w:rPr>
        <w:t>заявок</w:t>
      </w:r>
      <w:r w:rsidRPr="00BB6073">
        <w:rPr>
          <w:lang w:val="ru-RU"/>
        </w:rPr>
        <w:t xml:space="preserve"> </w:t>
      </w:r>
      <w:r>
        <w:rPr>
          <w:lang w:val="ru-RU"/>
        </w:rPr>
        <w:t>на</w:t>
      </w:r>
      <w:r w:rsidRPr="00BB6073">
        <w:rPr>
          <w:lang w:val="ru-RU"/>
        </w:rPr>
        <w:t xml:space="preserve"> </w:t>
      </w:r>
      <w:r>
        <w:rPr>
          <w:lang w:val="ru-RU"/>
        </w:rPr>
        <w:t>получение</w:t>
      </w:r>
      <w:r w:rsidRPr="00BB6073">
        <w:rPr>
          <w:lang w:val="ru-RU"/>
        </w:rPr>
        <w:t xml:space="preserve"> </w:t>
      </w:r>
      <w:r>
        <w:rPr>
          <w:lang w:val="ru-RU"/>
        </w:rPr>
        <w:t>МП</w:t>
      </w:r>
      <w:r w:rsidR="00BB6073" w:rsidRPr="00BB6073">
        <w:rPr>
          <w:lang w:val="ru-RU"/>
        </w:rPr>
        <w:t xml:space="preserve">, </w:t>
      </w:r>
      <w:r w:rsidR="00BB6073">
        <w:rPr>
          <w:lang w:val="ru-RU"/>
        </w:rPr>
        <w:t>которые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могут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рассматриваться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Президиумом</w:t>
      </w:r>
      <w:r w:rsidR="00BB6073" w:rsidRPr="00BB6073">
        <w:rPr>
          <w:lang w:val="ru-RU"/>
        </w:rPr>
        <w:t xml:space="preserve">, </w:t>
      </w:r>
      <w:r w:rsidR="00BB6073">
        <w:rPr>
          <w:lang w:val="ru-RU"/>
        </w:rPr>
        <w:t>а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не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Комитетом</w:t>
      </w:r>
      <w:r w:rsidR="00BB6073" w:rsidRPr="00BB6073">
        <w:rPr>
          <w:lang w:val="ru-RU"/>
        </w:rPr>
        <w:t xml:space="preserve">, </w:t>
      </w:r>
      <w:r>
        <w:rPr>
          <w:lang w:val="ru-RU"/>
        </w:rPr>
        <w:t>до</w:t>
      </w:r>
      <w:r w:rsidRPr="00BB6073">
        <w:rPr>
          <w:lang w:val="ru-RU"/>
        </w:rPr>
        <w:t xml:space="preserve"> 10</w:t>
      </w:r>
      <w:r w:rsidR="00BB6073" w:rsidRPr="00BB6073">
        <w:rPr>
          <w:lang w:val="ru-RU"/>
        </w:rPr>
        <w:t>0</w:t>
      </w:r>
      <w:r w:rsidRPr="000A3862">
        <w:rPr>
          <w:lang w:val="en-US"/>
        </w:rPr>
        <w:t> </w:t>
      </w:r>
      <w:r w:rsidRPr="00BB6073">
        <w:rPr>
          <w:lang w:val="ru-RU"/>
        </w:rPr>
        <w:t xml:space="preserve">000 </w:t>
      </w:r>
      <w:r>
        <w:rPr>
          <w:lang w:val="ru-RU"/>
        </w:rPr>
        <w:t>долл</w:t>
      </w:r>
      <w:r w:rsidRPr="00BB6073">
        <w:rPr>
          <w:lang w:val="ru-RU"/>
        </w:rPr>
        <w:t xml:space="preserve">. </w:t>
      </w:r>
      <w:r w:rsidR="00BB6073">
        <w:rPr>
          <w:lang w:val="ru-RU"/>
        </w:rPr>
        <w:t>уже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доказало</w:t>
      </w:r>
      <w:r w:rsidR="00BB6073" w:rsidRPr="00BB6073">
        <w:rPr>
          <w:lang w:val="ru-RU"/>
        </w:rPr>
        <w:t xml:space="preserve">, </w:t>
      </w:r>
      <w:r w:rsidR="00BB6073">
        <w:rPr>
          <w:lang w:val="ru-RU"/>
        </w:rPr>
        <w:t>что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является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важным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шагом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вперед</w:t>
      </w:r>
      <w:r w:rsidR="00BB6073" w:rsidRPr="00BB6073">
        <w:rPr>
          <w:lang w:val="ru-RU"/>
        </w:rPr>
        <w:t xml:space="preserve">, </w:t>
      </w:r>
      <w:r w:rsidR="00BB6073">
        <w:rPr>
          <w:lang w:val="ru-RU"/>
        </w:rPr>
        <w:t>предоставляющим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государствам</w:t>
      </w:r>
      <w:r w:rsidR="00BB6073" w:rsidRPr="00BB6073">
        <w:rPr>
          <w:lang w:val="ru-RU"/>
        </w:rPr>
        <w:t>-</w:t>
      </w:r>
      <w:r w:rsidR="00BB6073">
        <w:rPr>
          <w:lang w:val="ru-RU"/>
        </w:rPr>
        <w:t>участникам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своевременный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доступ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к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МП</w:t>
      </w:r>
      <w:r w:rsidR="00BB6073" w:rsidRPr="00BB6073">
        <w:rPr>
          <w:lang w:val="ru-RU"/>
        </w:rPr>
        <w:t>,</w:t>
      </w:r>
      <w:r w:rsidR="00586344">
        <w:rPr>
          <w:lang w:val="ru-RU"/>
        </w:rPr>
        <w:t xml:space="preserve"> и это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более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эффективн</w:t>
      </w:r>
      <w:r w:rsidR="00586344">
        <w:rPr>
          <w:lang w:val="ru-RU"/>
        </w:rPr>
        <w:t>о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на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национальном</w:t>
      </w:r>
      <w:r w:rsidR="00BB6073" w:rsidRPr="00BB6073">
        <w:rPr>
          <w:lang w:val="ru-RU"/>
        </w:rPr>
        <w:t xml:space="preserve"> </w:t>
      </w:r>
      <w:r w:rsidR="00BB6073">
        <w:rPr>
          <w:lang w:val="ru-RU"/>
        </w:rPr>
        <w:t>уровне</w:t>
      </w:r>
      <w:r w:rsidR="00BB6073" w:rsidRPr="00BB6073">
        <w:rPr>
          <w:lang w:val="ru-RU"/>
        </w:rPr>
        <w:t>.</w:t>
      </w:r>
      <w:r w:rsidR="00BB6073">
        <w:rPr>
          <w:lang w:val="ru-RU"/>
        </w:rPr>
        <w:t xml:space="preserve"> </w:t>
      </w:r>
      <w:r w:rsidR="00CD3715">
        <w:rPr>
          <w:lang w:val="ru-RU"/>
        </w:rPr>
        <w:t>Государства</w:t>
      </w:r>
      <w:r w:rsidR="00CD3715" w:rsidRPr="00CD3715">
        <w:rPr>
          <w:lang w:val="ru-RU"/>
        </w:rPr>
        <w:t>-</w:t>
      </w:r>
      <w:r w:rsidR="00CD3715">
        <w:rPr>
          <w:lang w:val="ru-RU"/>
        </w:rPr>
        <w:t>участники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всё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чаще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подают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заявки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на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сумму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более</w:t>
      </w:r>
      <w:r w:rsidR="00CD3715" w:rsidRPr="00CD3715">
        <w:rPr>
          <w:lang w:val="ru-RU"/>
        </w:rPr>
        <w:t xml:space="preserve"> 25</w:t>
      </w:r>
      <w:r w:rsidR="00CD3715" w:rsidRPr="00CD3715">
        <w:rPr>
          <w:lang w:val="en-US"/>
        </w:rPr>
        <w:t> </w:t>
      </w:r>
      <w:r w:rsidR="00CD3715" w:rsidRPr="00CD3715">
        <w:rPr>
          <w:lang w:val="ru-RU"/>
        </w:rPr>
        <w:t xml:space="preserve">000 </w:t>
      </w:r>
      <w:proofErr w:type="spellStart"/>
      <w:r w:rsidR="00CD3715">
        <w:rPr>
          <w:lang w:val="ru-RU"/>
        </w:rPr>
        <w:t>долл</w:t>
      </w:r>
      <w:proofErr w:type="spellEnd"/>
      <w:r w:rsidR="00CD3715" w:rsidRPr="00CD3715">
        <w:rPr>
          <w:lang w:val="ru-RU"/>
        </w:rPr>
        <w:t xml:space="preserve">, </w:t>
      </w:r>
      <w:r w:rsidR="00CD3715">
        <w:rPr>
          <w:lang w:val="ru-RU"/>
        </w:rPr>
        <w:t>но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менее</w:t>
      </w:r>
      <w:r w:rsidR="00CD3715" w:rsidRPr="00CD3715">
        <w:rPr>
          <w:lang w:val="ru-RU"/>
        </w:rPr>
        <w:t xml:space="preserve"> 100</w:t>
      </w:r>
      <w:r w:rsidR="00CD3715">
        <w:rPr>
          <w:lang w:val="en-US"/>
        </w:rPr>
        <w:t> </w:t>
      </w:r>
      <w:r w:rsidR="00CD3715" w:rsidRPr="00CD3715">
        <w:rPr>
          <w:lang w:val="ru-RU"/>
        </w:rPr>
        <w:t>00</w:t>
      </w:r>
      <w:r w:rsidR="00CD3715">
        <w:rPr>
          <w:lang w:val="ru-RU"/>
        </w:rPr>
        <w:t>0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 xml:space="preserve">долл. </w:t>
      </w:r>
      <w:r w:rsidR="00CD3715" w:rsidRPr="00CD3715">
        <w:rPr>
          <w:lang w:val="ru-RU"/>
        </w:rPr>
        <w:t>(</w:t>
      </w:r>
      <w:r w:rsidR="00CD3715">
        <w:rPr>
          <w:lang w:val="ru-RU"/>
        </w:rPr>
        <w:t>они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выросли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с</w:t>
      </w:r>
      <w:r w:rsidR="00CD3715" w:rsidRPr="00CD3715">
        <w:rPr>
          <w:lang w:val="ru-RU"/>
        </w:rPr>
        <w:t xml:space="preserve"> 19% </w:t>
      </w:r>
      <w:r w:rsidR="00CD3715">
        <w:rPr>
          <w:lang w:val="ru-RU"/>
        </w:rPr>
        <w:t>от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количества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заявок</w:t>
      </w:r>
      <w:r w:rsidR="00CD3715" w:rsidRPr="00CD3715">
        <w:rPr>
          <w:lang w:val="ru-RU"/>
        </w:rPr>
        <w:t xml:space="preserve">, </w:t>
      </w:r>
      <w:r w:rsidR="00CD3715">
        <w:rPr>
          <w:lang w:val="ru-RU"/>
        </w:rPr>
        <w:t>поданных</w:t>
      </w:r>
      <w:r w:rsidR="00CD3715" w:rsidRPr="00CD3715">
        <w:rPr>
          <w:lang w:val="ru-RU"/>
        </w:rPr>
        <w:t xml:space="preserve"> </w:t>
      </w:r>
      <w:r w:rsidR="00CD3715">
        <w:rPr>
          <w:lang w:val="ru-RU"/>
        </w:rPr>
        <w:t>в</w:t>
      </w:r>
      <w:r w:rsidR="00CD3715" w:rsidRPr="00CD3715">
        <w:rPr>
          <w:lang w:val="ru-RU"/>
        </w:rPr>
        <w:t xml:space="preserve"> 2014-15</w:t>
      </w:r>
      <w:r w:rsidR="00CD3715" w:rsidRPr="00CD3715">
        <w:rPr>
          <w:lang w:val="en-US"/>
        </w:rPr>
        <w:t> </w:t>
      </w:r>
      <w:r w:rsidR="00CD3715">
        <w:rPr>
          <w:lang w:val="ru-RU"/>
        </w:rPr>
        <w:t>гг</w:t>
      </w:r>
      <w:r w:rsidR="00CD3715" w:rsidRPr="00CD3715">
        <w:rPr>
          <w:lang w:val="ru-RU"/>
        </w:rPr>
        <w:t xml:space="preserve">. </w:t>
      </w:r>
      <w:r w:rsidR="00CD3715">
        <w:rPr>
          <w:lang w:val="ru-RU"/>
        </w:rPr>
        <w:t>до</w:t>
      </w:r>
      <w:r w:rsidR="00CD3715" w:rsidRPr="00CD3715">
        <w:rPr>
          <w:lang w:val="ru-RU"/>
        </w:rPr>
        <w:t xml:space="preserve"> 78% </w:t>
      </w:r>
      <w:r w:rsidR="00CD3715">
        <w:rPr>
          <w:lang w:val="ru-RU"/>
        </w:rPr>
        <w:t>в</w:t>
      </w:r>
      <w:r w:rsidR="00CD3715" w:rsidRPr="00CD3715">
        <w:rPr>
          <w:lang w:val="ru-RU"/>
        </w:rPr>
        <w:t xml:space="preserve"> 2016-17 </w:t>
      </w:r>
      <w:r w:rsidR="00CD3715">
        <w:rPr>
          <w:lang w:val="ru-RU"/>
        </w:rPr>
        <w:t>гг</w:t>
      </w:r>
      <w:r w:rsidR="00CD3715" w:rsidRPr="00CD3715">
        <w:rPr>
          <w:lang w:val="ru-RU"/>
        </w:rPr>
        <w:t>.</w:t>
      </w:r>
      <w:r w:rsidR="00C902E0" w:rsidRPr="00CD3715">
        <w:rPr>
          <w:lang w:val="ru-RU"/>
        </w:rPr>
        <w:t xml:space="preserve">). </w:t>
      </w:r>
      <w:r w:rsidR="00CD3715">
        <w:rPr>
          <w:lang w:val="ru-RU"/>
        </w:rPr>
        <w:t>В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то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же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время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Секретариат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пересмотрел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методы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обработки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заявок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на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МП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на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сумму</w:t>
      </w:r>
      <w:r w:rsidR="00CD3715" w:rsidRPr="001050EE">
        <w:rPr>
          <w:lang w:val="ru-RU"/>
        </w:rPr>
        <w:t xml:space="preserve"> </w:t>
      </w:r>
      <w:r w:rsidR="00CD3715">
        <w:rPr>
          <w:lang w:val="ru-RU"/>
        </w:rPr>
        <w:t>более</w:t>
      </w:r>
      <w:r w:rsidR="00CD3715" w:rsidRPr="001050EE">
        <w:rPr>
          <w:lang w:val="ru-RU"/>
        </w:rPr>
        <w:t xml:space="preserve"> 100</w:t>
      </w:r>
      <w:r w:rsidR="00CD3715">
        <w:rPr>
          <w:lang w:val="en-US"/>
        </w:rPr>
        <w:t> </w:t>
      </w:r>
      <w:r w:rsidR="00CD3715" w:rsidRPr="001050EE">
        <w:rPr>
          <w:lang w:val="ru-RU"/>
        </w:rPr>
        <w:t xml:space="preserve">000 </w:t>
      </w:r>
      <w:r w:rsidR="00CD3715">
        <w:rPr>
          <w:lang w:val="ru-RU"/>
        </w:rPr>
        <w:t>долл</w:t>
      </w:r>
      <w:r w:rsidR="00CD3715" w:rsidRPr="001050EE">
        <w:rPr>
          <w:lang w:val="ru-RU"/>
        </w:rPr>
        <w:t xml:space="preserve">., </w:t>
      </w:r>
      <w:r w:rsidR="00CD3715">
        <w:rPr>
          <w:lang w:val="ru-RU"/>
        </w:rPr>
        <w:t>например</w:t>
      </w:r>
      <w:r w:rsidR="00CD3715" w:rsidRPr="001050EE">
        <w:rPr>
          <w:lang w:val="ru-RU"/>
        </w:rPr>
        <w:t xml:space="preserve">, </w:t>
      </w:r>
      <w:r w:rsidR="001050EE">
        <w:rPr>
          <w:lang w:val="ru-RU"/>
        </w:rPr>
        <w:t>за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счет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планирования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не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менее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трех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совещаний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Президиума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год</w:t>
      </w:r>
      <w:r w:rsidR="001050EE" w:rsidRPr="001050EE">
        <w:rPr>
          <w:lang w:val="ru-RU"/>
        </w:rPr>
        <w:t xml:space="preserve"> (</w:t>
      </w:r>
      <w:r w:rsidR="001050EE">
        <w:rPr>
          <w:lang w:val="ru-RU"/>
        </w:rPr>
        <w:t>в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марте</w:t>
      </w:r>
      <w:r w:rsidR="001050EE" w:rsidRPr="001050EE">
        <w:rPr>
          <w:lang w:val="ru-RU"/>
        </w:rPr>
        <w:t xml:space="preserve">, </w:t>
      </w:r>
      <w:r w:rsidR="001050EE">
        <w:rPr>
          <w:lang w:val="ru-RU"/>
        </w:rPr>
        <w:t>июне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и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октябре</w:t>
      </w:r>
      <w:r w:rsidR="001050EE" w:rsidRPr="001050EE">
        <w:rPr>
          <w:lang w:val="ru-RU"/>
        </w:rPr>
        <w:t xml:space="preserve">) </w:t>
      </w:r>
      <w:r w:rsidR="001050EE">
        <w:rPr>
          <w:lang w:val="ru-RU"/>
        </w:rPr>
        <w:t>и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консультирования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подающих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заявки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государств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учитывать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крайние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сроки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подачи</w:t>
      </w:r>
      <w:r w:rsidR="001050EE" w:rsidRPr="001050EE">
        <w:rPr>
          <w:lang w:val="ru-RU"/>
        </w:rPr>
        <w:t xml:space="preserve">, </w:t>
      </w:r>
      <w:r w:rsidR="001050EE">
        <w:rPr>
          <w:lang w:val="ru-RU"/>
        </w:rPr>
        <w:t>связанные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с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этими совещаниями. Произошло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многообещающее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увеличение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числа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заявок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на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МП</w:t>
      </w:r>
      <w:r w:rsidR="001050EE" w:rsidRPr="001050EE">
        <w:rPr>
          <w:lang w:val="ru-RU"/>
        </w:rPr>
        <w:t xml:space="preserve">, </w:t>
      </w:r>
      <w:r w:rsidR="001050EE">
        <w:rPr>
          <w:lang w:val="ru-RU"/>
        </w:rPr>
        <w:t>рассмотренных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Президиумом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за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отчетный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период</w:t>
      </w:r>
      <w:r w:rsidR="001050EE" w:rsidRPr="001050EE">
        <w:rPr>
          <w:lang w:val="ru-RU"/>
        </w:rPr>
        <w:t xml:space="preserve"> (</w:t>
      </w:r>
      <w:r w:rsidR="001050EE">
        <w:rPr>
          <w:lang w:val="ru-RU"/>
        </w:rPr>
        <w:t>всего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двадцать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заявок</w:t>
      </w:r>
      <w:r w:rsidR="001050EE" w:rsidRPr="001050EE">
        <w:rPr>
          <w:lang w:val="ru-RU"/>
        </w:rPr>
        <w:t xml:space="preserve">: </w:t>
      </w:r>
      <w:r w:rsidR="001050EE">
        <w:rPr>
          <w:lang w:val="ru-RU"/>
        </w:rPr>
        <w:t>десять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</w:t>
      </w:r>
      <w:r w:rsidR="001050EE" w:rsidRPr="001050EE">
        <w:rPr>
          <w:lang w:val="ru-RU"/>
        </w:rPr>
        <w:t xml:space="preserve"> 2016</w:t>
      </w:r>
      <w:r w:rsidR="001050EE" w:rsidRPr="001050EE">
        <w:rPr>
          <w:lang w:val="en-US"/>
        </w:rPr>
        <w:t> </w:t>
      </w:r>
      <w:r w:rsidR="001050EE">
        <w:rPr>
          <w:lang w:val="ru-RU"/>
        </w:rPr>
        <w:t>г</w:t>
      </w:r>
      <w:r w:rsidR="001050EE" w:rsidRPr="001050EE">
        <w:rPr>
          <w:lang w:val="ru-RU"/>
        </w:rPr>
        <w:t xml:space="preserve">. </w:t>
      </w:r>
      <w:r w:rsidR="001050EE">
        <w:rPr>
          <w:lang w:val="ru-RU"/>
        </w:rPr>
        <w:t>и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десять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</w:t>
      </w:r>
      <w:r w:rsidR="001050EE" w:rsidRPr="001050EE">
        <w:rPr>
          <w:lang w:val="ru-RU"/>
        </w:rPr>
        <w:t xml:space="preserve"> 2017</w:t>
      </w:r>
      <w:r w:rsidR="001050EE">
        <w:rPr>
          <w:lang w:val="ru-RU"/>
        </w:rPr>
        <w:t>г</w:t>
      </w:r>
      <w:r w:rsidR="001050EE" w:rsidRPr="001050EE">
        <w:rPr>
          <w:lang w:val="ru-RU"/>
        </w:rPr>
        <w:t xml:space="preserve">.) </w:t>
      </w:r>
      <w:r w:rsidR="001050EE">
        <w:rPr>
          <w:lang w:val="ru-RU"/>
        </w:rPr>
        <w:t>по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сравнению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с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двенадцатью заявками за 2014-15 гг. Ожидается</w:t>
      </w:r>
      <w:r w:rsidR="001050EE" w:rsidRPr="001050EE">
        <w:rPr>
          <w:lang w:val="ru-RU"/>
        </w:rPr>
        <w:t xml:space="preserve">, </w:t>
      </w:r>
      <w:r w:rsidR="001050EE">
        <w:rPr>
          <w:lang w:val="ru-RU"/>
        </w:rPr>
        <w:t>что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увеличение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верхнего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предела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по</w:t>
      </w:r>
      <w:r w:rsidR="001050EE" w:rsidRPr="001050EE">
        <w:rPr>
          <w:lang w:val="ru-RU"/>
        </w:rPr>
        <w:t>-</w:t>
      </w:r>
      <w:r w:rsidR="001050EE">
        <w:rPr>
          <w:lang w:val="ru-RU"/>
        </w:rPr>
        <w:t>прежнему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будет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вносить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вклад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обращение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вспять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тенденции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недоиспользования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Фонда</w:t>
      </w:r>
      <w:r w:rsidR="001050EE" w:rsidRPr="001050EE">
        <w:rPr>
          <w:lang w:val="ru-RU"/>
        </w:rPr>
        <w:t xml:space="preserve"> </w:t>
      </w:r>
      <w:r w:rsidR="001050EE">
        <w:rPr>
          <w:lang w:val="ru-RU"/>
        </w:rPr>
        <w:t>нематериального культурного наследия.</w:t>
      </w:r>
    </w:p>
    <w:p w:rsidR="00C902E0" w:rsidRPr="00FF1667" w:rsidRDefault="00751FAC" w:rsidP="00430A07">
      <w:pPr>
        <w:pStyle w:val="COMPara"/>
        <w:numPr>
          <w:ilvl w:val="0"/>
          <w:numId w:val="10"/>
        </w:numPr>
        <w:ind w:left="567" w:hanging="567"/>
        <w:jc w:val="both"/>
      </w:pPr>
      <w:r>
        <w:rPr>
          <w:lang w:val="ru-RU"/>
        </w:rPr>
        <w:t>Государства</w:t>
      </w:r>
      <w:r w:rsidRPr="00751FAC">
        <w:rPr>
          <w:lang w:val="ru-RU"/>
        </w:rPr>
        <w:t>-</w:t>
      </w:r>
      <w:r>
        <w:rPr>
          <w:lang w:val="ru-RU"/>
        </w:rPr>
        <w:t>участники</w:t>
      </w:r>
      <w:r w:rsidRPr="00751FAC">
        <w:rPr>
          <w:lang w:val="ru-RU"/>
        </w:rPr>
        <w:t xml:space="preserve"> </w:t>
      </w:r>
      <w:r>
        <w:rPr>
          <w:lang w:val="ru-RU"/>
        </w:rPr>
        <w:t>продолжают</w:t>
      </w:r>
      <w:r w:rsidRPr="00751FAC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751FAC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751FAC">
        <w:rPr>
          <w:lang w:val="ru-RU"/>
        </w:rPr>
        <w:t xml:space="preserve"> </w:t>
      </w:r>
      <w:r>
        <w:rPr>
          <w:lang w:val="ru-RU"/>
        </w:rPr>
        <w:t>поддержкой</w:t>
      </w:r>
      <w:r w:rsidRPr="00751FAC">
        <w:rPr>
          <w:lang w:val="ru-RU"/>
        </w:rPr>
        <w:t>, орга</w:t>
      </w:r>
      <w:r>
        <w:rPr>
          <w:lang w:val="ru-RU"/>
        </w:rPr>
        <w:t>низованной</w:t>
      </w:r>
      <w:r w:rsidRPr="00751FAC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="00586344">
        <w:rPr>
          <w:lang w:val="ru-RU"/>
        </w:rPr>
        <w:t xml:space="preserve"> с целью </w:t>
      </w:r>
      <w:r>
        <w:rPr>
          <w:lang w:val="ru-RU"/>
        </w:rPr>
        <w:t>повышени</w:t>
      </w:r>
      <w:r w:rsidR="00586344">
        <w:rPr>
          <w:lang w:val="ru-RU"/>
        </w:rPr>
        <w:t>я</w:t>
      </w:r>
      <w:r w:rsidRPr="00751FAC">
        <w:rPr>
          <w:lang w:val="ru-RU"/>
        </w:rPr>
        <w:t xml:space="preserve"> </w:t>
      </w:r>
      <w:r>
        <w:rPr>
          <w:lang w:val="ru-RU"/>
        </w:rPr>
        <w:t>качества</w:t>
      </w:r>
      <w:r w:rsidRPr="00751FAC">
        <w:rPr>
          <w:lang w:val="ru-RU"/>
        </w:rPr>
        <w:t xml:space="preserve"> </w:t>
      </w:r>
      <w:r>
        <w:rPr>
          <w:lang w:val="ru-RU"/>
        </w:rPr>
        <w:t>их заявок на получение МП. За</w:t>
      </w:r>
      <w:r w:rsidRPr="00E506E8">
        <w:rPr>
          <w:lang w:val="ru-RU"/>
        </w:rPr>
        <w:t xml:space="preserve"> </w:t>
      </w:r>
      <w:r>
        <w:rPr>
          <w:lang w:val="ru-RU"/>
        </w:rPr>
        <w:t>отчетный</w:t>
      </w:r>
      <w:r w:rsidRPr="00E506E8">
        <w:rPr>
          <w:lang w:val="ru-RU"/>
        </w:rPr>
        <w:t xml:space="preserve"> </w:t>
      </w:r>
      <w:r>
        <w:rPr>
          <w:lang w:val="ru-RU"/>
        </w:rPr>
        <w:t>период</w:t>
      </w:r>
      <w:r w:rsidRPr="00E506E8">
        <w:rPr>
          <w:lang w:val="ru-RU"/>
        </w:rPr>
        <w:t xml:space="preserve"> </w:t>
      </w:r>
      <w:r>
        <w:rPr>
          <w:lang w:val="ru-RU"/>
        </w:rPr>
        <w:t>такую</w:t>
      </w:r>
      <w:r w:rsidRPr="00E506E8">
        <w:rPr>
          <w:lang w:val="ru-RU"/>
        </w:rPr>
        <w:t xml:space="preserve"> </w:t>
      </w:r>
      <w:r>
        <w:rPr>
          <w:lang w:val="ru-RU"/>
        </w:rPr>
        <w:t>помощь</w:t>
      </w:r>
      <w:r w:rsidRPr="00E506E8">
        <w:rPr>
          <w:lang w:val="ru-RU"/>
        </w:rPr>
        <w:t xml:space="preserve"> </w:t>
      </w:r>
      <w:r>
        <w:rPr>
          <w:lang w:val="ru-RU"/>
        </w:rPr>
        <w:t>получили</w:t>
      </w:r>
      <w:r w:rsidRPr="00E506E8">
        <w:rPr>
          <w:lang w:val="ru-RU"/>
        </w:rPr>
        <w:t xml:space="preserve"> </w:t>
      </w:r>
      <w:r>
        <w:rPr>
          <w:lang w:val="ru-RU"/>
        </w:rPr>
        <w:t>четыре</w:t>
      </w:r>
      <w:r w:rsidRPr="00E506E8">
        <w:rPr>
          <w:lang w:val="ru-RU"/>
        </w:rPr>
        <w:t xml:space="preserve"> </w:t>
      </w:r>
      <w:r>
        <w:rPr>
          <w:lang w:val="ru-RU"/>
        </w:rPr>
        <w:t>страны</w:t>
      </w:r>
      <w:r w:rsidRPr="00E506E8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E506E8">
        <w:rPr>
          <w:lang w:val="ru-RU"/>
        </w:rPr>
        <w:t xml:space="preserve"> </w:t>
      </w:r>
      <w:r>
        <w:rPr>
          <w:lang w:val="ru-RU"/>
        </w:rPr>
        <w:t>также</w:t>
      </w:r>
      <w:r w:rsidRPr="00E506E8">
        <w:rPr>
          <w:lang w:val="ru-RU"/>
        </w:rPr>
        <w:t xml:space="preserve"> </w:t>
      </w:r>
      <w:r>
        <w:rPr>
          <w:lang w:val="ru-RU"/>
        </w:rPr>
        <w:t>разработал</w:t>
      </w:r>
      <w:r w:rsidRPr="00E506E8">
        <w:rPr>
          <w:lang w:val="ru-RU"/>
        </w:rPr>
        <w:t xml:space="preserve"> </w:t>
      </w:r>
      <w:r>
        <w:rPr>
          <w:lang w:val="ru-RU"/>
        </w:rPr>
        <w:t>специальные</w:t>
      </w:r>
      <w:r w:rsidRPr="00E506E8">
        <w:rPr>
          <w:lang w:val="ru-RU"/>
        </w:rPr>
        <w:t xml:space="preserve"> </w:t>
      </w:r>
      <w:r>
        <w:rPr>
          <w:lang w:val="ru-RU"/>
        </w:rPr>
        <w:t>учебные</w:t>
      </w:r>
      <w:r w:rsidRPr="00E506E8">
        <w:rPr>
          <w:lang w:val="ru-RU"/>
        </w:rPr>
        <w:t xml:space="preserve"> </w:t>
      </w:r>
      <w:r>
        <w:rPr>
          <w:lang w:val="ru-RU"/>
        </w:rPr>
        <w:t>материалы</w:t>
      </w:r>
      <w:r w:rsidRPr="00E506E8">
        <w:rPr>
          <w:lang w:val="ru-RU"/>
        </w:rPr>
        <w:t xml:space="preserve"> </w:t>
      </w:r>
      <w:r w:rsidR="001E228D">
        <w:rPr>
          <w:lang w:val="ru-RU"/>
        </w:rPr>
        <w:t>по</w:t>
      </w:r>
      <w:r w:rsidR="001E228D" w:rsidRPr="00E506E8">
        <w:rPr>
          <w:lang w:val="ru-RU"/>
        </w:rPr>
        <w:t xml:space="preserve"> </w:t>
      </w:r>
      <w:r w:rsidR="001E228D">
        <w:rPr>
          <w:lang w:val="ru-RU"/>
        </w:rPr>
        <w:t>подготовке</w:t>
      </w:r>
      <w:r w:rsidR="001E228D" w:rsidRPr="00E506E8">
        <w:rPr>
          <w:lang w:val="ru-RU"/>
        </w:rPr>
        <w:t xml:space="preserve"> </w:t>
      </w:r>
      <w:r w:rsidR="001E228D">
        <w:rPr>
          <w:lang w:val="ru-RU"/>
        </w:rPr>
        <w:t>заявок</w:t>
      </w:r>
      <w:r w:rsidR="001E228D" w:rsidRPr="00E506E8">
        <w:rPr>
          <w:lang w:val="ru-RU"/>
        </w:rPr>
        <w:t xml:space="preserve"> </w:t>
      </w:r>
      <w:r w:rsidR="001E228D">
        <w:rPr>
          <w:lang w:val="ru-RU"/>
        </w:rPr>
        <w:t>на</w:t>
      </w:r>
      <w:r w:rsidR="001E228D" w:rsidRPr="00E506E8">
        <w:rPr>
          <w:lang w:val="ru-RU"/>
        </w:rPr>
        <w:t xml:space="preserve"> </w:t>
      </w:r>
      <w:r w:rsidR="001E228D">
        <w:rPr>
          <w:lang w:val="ru-RU"/>
        </w:rPr>
        <w:t>получение</w:t>
      </w:r>
      <w:r w:rsidR="001E228D" w:rsidRPr="00E506E8">
        <w:rPr>
          <w:lang w:val="ru-RU"/>
        </w:rPr>
        <w:t xml:space="preserve"> </w:t>
      </w:r>
      <w:r w:rsidR="001E228D">
        <w:rPr>
          <w:lang w:val="ru-RU"/>
        </w:rPr>
        <w:t>МП</w:t>
      </w:r>
      <w:r w:rsidR="001E228D" w:rsidRPr="00E506E8">
        <w:rPr>
          <w:lang w:val="ru-RU"/>
        </w:rPr>
        <w:t xml:space="preserve">, </w:t>
      </w:r>
      <w:r w:rsidR="00706855">
        <w:rPr>
          <w:lang w:val="ru-RU"/>
        </w:rPr>
        <w:t>которые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доступны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онлайн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для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повышения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потенциала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по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данному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вопросу</w:t>
      </w:r>
      <w:r w:rsidR="00706855" w:rsidRPr="00E506E8">
        <w:rPr>
          <w:lang w:val="ru-RU"/>
        </w:rPr>
        <w:t xml:space="preserve">. </w:t>
      </w:r>
      <w:r w:rsidR="00706855">
        <w:rPr>
          <w:lang w:val="ru-RU"/>
        </w:rPr>
        <w:t>Важно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отметить</w:t>
      </w:r>
      <w:r w:rsidR="00706855" w:rsidRPr="00E506E8">
        <w:rPr>
          <w:lang w:val="ru-RU"/>
        </w:rPr>
        <w:t xml:space="preserve">, </w:t>
      </w:r>
      <w:r w:rsidR="00706855">
        <w:rPr>
          <w:lang w:val="ru-RU"/>
        </w:rPr>
        <w:t>что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хотя</w:t>
      </w:r>
      <w:r w:rsidR="00706855" w:rsidRPr="00E506E8">
        <w:rPr>
          <w:lang w:val="ru-RU"/>
        </w:rPr>
        <w:t xml:space="preserve"> </w:t>
      </w:r>
      <w:r w:rsidR="00706855">
        <w:rPr>
          <w:lang w:val="ru-RU"/>
        </w:rPr>
        <w:t>они</w:t>
      </w:r>
      <w:r w:rsidR="00706855" w:rsidRPr="00E506E8">
        <w:rPr>
          <w:lang w:val="ru-RU"/>
        </w:rPr>
        <w:t xml:space="preserve"> </w:t>
      </w:r>
      <w:r w:rsidR="0061497B">
        <w:rPr>
          <w:lang w:val="ru-RU"/>
        </w:rPr>
        <w:t>способствуют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увеличению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числа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заявок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на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получение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МП</w:t>
      </w:r>
      <w:r w:rsidR="0061497B" w:rsidRPr="00E506E8">
        <w:rPr>
          <w:lang w:val="ru-RU"/>
        </w:rPr>
        <w:t xml:space="preserve">, </w:t>
      </w:r>
      <w:r w:rsidR="0061497B">
        <w:rPr>
          <w:lang w:val="ru-RU"/>
        </w:rPr>
        <w:t>эти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усилия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влекут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за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собой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значительное</w:t>
      </w:r>
      <w:r w:rsidR="0061497B" w:rsidRPr="00E506E8">
        <w:rPr>
          <w:lang w:val="ru-RU"/>
        </w:rPr>
        <w:t xml:space="preserve"> </w:t>
      </w:r>
      <w:r w:rsidR="0061497B">
        <w:rPr>
          <w:lang w:val="ru-RU"/>
        </w:rPr>
        <w:t>увеличение</w:t>
      </w:r>
      <w:r w:rsidR="0061497B" w:rsidRPr="00E506E8">
        <w:rPr>
          <w:lang w:val="ru-RU"/>
        </w:rPr>
        <w:t xml:space="preserve"> </w:t>
      </w:r>
      <w:r w:rsidR="003E1C52">
        <w:rPr>
          <w:lang w:val="ru-RU"/>
        </w:rPr>
        <w:t>объема</w:t>
      </w:r>
      <w:r w:rsidR="003E1C52" w:rsidRPr="00E506E8">
        <w:rPr>
          <w:lang w:val="ru-RU"/>
        </w:rPr>
        <w:t xml:space="preserve"> </w:t>
      </w:r>
      <w:r w:rsidR="003E1C52">
        <w:rPr>
          <w:lang w:val="ru-RU"/>
        </w:rPr>
        <w:t>работы</w:t>
      </w:r>
      <w:r w:rsidR="003E1C52" w:rsidRPr="00E506E8">
        <w:rPr>
          <w:lang w:val="ru-RU"/>
        </w:rPr>
        <w:t xml:space="preserve"> </w:t>
      </w:r>
      <w:r w:rsidR="003E1C52">
        <w:rPr>
          <w:lang w:val="ru-RU"/>
        </w:rPr>
        <w:t>Секретариата</w:t>
      </w:r>
      <w:r w:rsidR="003E1C52" w:rsidRPr="00E506E8">
        <w:rPr>
          <w:lang w:val="ru-RU"/>
        </w:rPr>
        <w:t xml:space="preserve">. </w:t>
      </w:r>
      <w:r w:rsidR="007D4D77">
        <w:rPr>
          <w:lang w:val="ru-RU"/>
        </w:rPr>
        <w:t>На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данном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этапе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возможности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Секретариата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позволяют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ему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проводить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лишь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простой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административный</w:t>
      </w:r>
      <w:r w:rsidR="007D4D77" w:rsidRPr="00007FE3">
        <w:rPr>
          <w:lang w:val="ru-RU"/>
        </w:rPr>
        <w:t xml:space="preserve"> </w:t>
      </w:r>
      <w:r w:rsidR="007D4D77">
        <w:rPr>
          <w:lang w:val="ru-RU"/>
        </w:rPr>
        <w:t>контроль</w:t>
      </w:r>
      <w:r w:rsidR="007D4D77" w:rsidRPr="00007FE3">
        <w:rPr>
          <w:lang w:val="ru-RU"/>
        </w:rPr>
        <w:t xml:space="preserve">, </w:t>
      </w:r>
      <w:r w:rsidR="00007FE3">
        <w:rPr>
          <w:lang w:val="ru-RU"/>
        </w:rPr>
        <w:t>не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занимаясь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серьезным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мониторингом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и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аналитическим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обзором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результатов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и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последствий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оказания</w:t>
      </w:r>
      <w:r w:rsidR="00007FE3" w:rsidRPr="00007FE3">
        <w:rPr>
          <w:lang w:val="ru-RU"/>
        </w:rPr>
        <w:t xml:space="preserve"> </w:t>
      </w:r>
      <w:r w:rsidR="00007FE3">
        <w:rPr>
          <w:lang w:val="ru-RU"/>
        </w:rPr>
        <w:t>МП.</w:t>
      </w:r>
      <w:r w:rsidR="00C902E0" w:rsidRPr="00007FE3">
        <w:rPr>
          <w:lang w:val="ru-RU"/>
        </w:rPr>
        <w:t xml:space="preserve"> </w:t>
      </w:r>
      <w:r w:rsidR="00F16769" w:rsidRPr="00E22EA0">
        <w:rPr>
          <w:lang w:val="ru-RU"/>
        </w:rPr>
        <w:t>Более</w:t>
      </w:r>
      <w:r w:rsidR="00F16769" w:rsidRPr="00E22EA0">
        <w:rPr>
          <w:lang w:val="en-US"/>
        </w:rPr>
        <w:t xml:space="preserve"> </w:t>
      </w:r>
      <w:r w:rsidR="00F16769" w:rsidRPr="00E22EA0">
        <w:rPr>
          <w:lang w:val="ru-RU"/>
        </w:rPr>
        <w:t>подробная</w:t>
      </w:r>
      <w:r w:rsidR="00F16769" w:rsidRPr="00E22EA0">
        <w:rPr>
          <w:lang w:val="en-US"/>
        </w:rPr>
        <w:t xml:space="preserve"> </w:t>
      </w:r>
      <w:r w:rsidR="00F16769" w:rsidRPr="00E22EA0">
        <w:rPr>
          <w:lang w:val="ru-RU"/>
        </w:rPr>
        <w:t>информация</w:t>
      </w:r>
      <w:r w:rsidR="00F16769" w:rsidRPr="00E22EA0">
        <w:rPr>
          <w:lang w:val="en-US"/>
        </w:rPr>
        <w:t xml:space="preserve"> </w:t>
      </w:r>
      <w:r w:rsidR="00F16769" w:rsidRPr="00E22EA0">
        <w:rPr>
          <w:lang w:val="ru-RU"/>
        </w:rPr>
        <w:t>представлена</w:t>
      </w:r>
      <w:r w:rsidR="00F16769" w:rsidRPr="00E22EA0">
        <w:rPr>
          <w:lang w:val="en-US"/>
        </w:rPr>
        <w:t xml:space="preserve"> </w:t>
      </w:r>
      <w:r w:rsidR="00F16769" w:rsidRPr="00E22EA0">
        <w:rPr>
          <w:lang w:val="ru-RU"/>
        </w:rPr>
        <w:t>в</w:t>
      </w:r>
      <w:r w:rsidR="00F16769" w:rsidRPr="00E22EA0">
        <w:rPr>
          <w:lang w:val="en-US"/>
        </w:rPr>
        <w:t xml:space="preserve"> </w:t>
      </w:r>
      <w:r w:rsidR="00F16769" w:rsidRPr="00E22EA0">
        <w:rPr>
          <w:lang w:val="ru-RU"/>
        </w:rPr>
        <w:t>документе</w:t>
      </w:r>
      <w:r w:rsidR="00F16769" w:rsidRPr="00E22EA0">
        <w:rPr>
          <w:lang w:val="en-US"/>
        </w:rPr>
        <w:t xml:space="preserve"> </w:t>
      </w:r>
      <w:hyperlink r:id="rId22" w:history="1">
        <w:r w:rsidR="00C902E0" w:rsidRPr="00E22EA0">
          <w:rPr>
            <w:rStyle w:val="Hyperlink"/>
            <w:rFonts w:cs="Arial"/>
          </w:rPr>
          <w:t>ITH/1</w:t>
        </w:r>
        <w:r w:rsidR="00C902E0" w:rsidRPr="00E22EA0">
          <w:rPr>
            <w:rStyle w:val="Hyperlink"/>
            <w:rFonts w:eastAsia="Malgun Gothic" w:cs="Arial"/>
          </w:rPr>
          <w:t>8</w:t>
        </w:r>
        <w:r w:rsidR="00C902E0" w:rsidRPr="00E22EA0">
          <w:rPr>
            <w:rStyle w:val="Hyperlink"/>
            <w:rFonts w:cs="Arial"/>
          </w:rPr>
          <w:t>/</w:t>
        </w:r>
        <w:r w:rsidR="00C902E0" w:rsidRPr="00E22EA0">
          <w:rPr>
            <w:rStyle w:val="Hyperlink"/>
          </w:rPr>
          <w:t>7</w:t>
        </w:r>
        <w:r w:rsidR="00C902E0" w:rsidRPr="00E22EA0">
          <w:rPr>
            <w:rStyle w:val="Hyperlink"/>
            <w:rFonts w:cs="Arial"/>
          </w:rPr>
          <w:t>.</w:t>
        </w:r>
        <w:r w:rsidR="00C902E0" w:rsidRPr="00E22EA0">
          <w:rPr>
            <w:rStyle w:val="Hyperlink"/>
          </w:rPr>
          <w:t>GA</w:t>
        </w:r>
        <w:r w:rsidR="00C902E0" w:rsidRPr="00E22EA0">
          <w:rPr>
            <w:rStyle w:val="Hyperlink"/>
            <w:rFonts w:cs="Arial"/>
          </w:rPr>
          <w:t>/8</w:t>
        </w:r>
      </w:hyperlink>
      <w:r w:rsidR="00C902E0">
        <w:rPr>
          <w:sz w:val="20"/>
          <w:szCs w:val="20"/>
        </w:rPr>
        <w:t>.</w:t>
      </w:r>
    </w:p>
    <w:p w:rsidR="00C902E0" w:rsidRPr="00FF1667" w:rsidRDefault="00700839" w:rsidP="00430A07">
      <w:pPr>
        <w:pStyle w:val="COMPara"/>
        <w:keepNext/>
        <w:spacing w:before="240"/>
        <w:ind w:left="0" w:firstLine="0"/>
        <w:jc w:val="both"/>
        <w:rPr>
          <w:b/>
          <w:caps/>
        </w:rPr>
      </w:pPr>
      <w:r>
        <w:rPr>
          <w:b/>
          <w:caps/>
          <w:lang w:val="ru-RU"/>
        </w:rPr>
        <w:t>управление знаниями</w:t>
      </w:r>
    </w:p>
    <w:p w:rsidR="00C902E0" w:rsidRPr="00B13186" w:rsidRDefault="00C453EE" w:rsidP="00430A07">
      <w:pPr>
        <w:pStyle w:val="COMPara"/>
        <w:numPr>
          <w:ilvl w:val="0"/>
          <w:numId w:val="10"/>
        </w:numPr>
        <w:ind w:left="567" w:hanging="567"/>
        <w:jc w:val="both"/>
        <w:rPr>
          <w:rFonts w:cs="Times New Roman"/>
          <w:lang w:val="ru-RU"/>
        </w:rPr>
      </w:pPr>
      <w:r>
        <w:rPr>
          <w:lang w:val="ru-RU"/>
        </w:rPr>
        <w:t>Системы</w:t>
      </w:r>
      <w:r w:rsidRPr="00E506E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E506E8">
        <w:rPr>
          <w:lang w:val="ru-RU"/>
        </w:rPr>
        <w:t xml:space="preserve"> </w:t>
      </w:r>
      <w:r>
        <w:rPr>
          <w:lang w:val="ru-RU"/>
        </w:rPr>
        <w:t>знаниями</w:t>
      </w:r>
      <w:r w:rsidR="00E902B6" w:rsidRPr="00E506E8">
        <w:rPr>
          <w:lang w:val="ru-RU"/>
        </w:rPr>
        <w:t xml:space="preserve">, </w:t>
      </w:r>
      <w:r w:rsidR="00E902B6">
        <w:rPr>
          <w:lang w:val="ru-RU"/>
        </w:rPr>
        <w:t>предоставленные</w:t>
      </w:r>
      <w:r w:rsidR="00E902B6" w:rsidRPr="00E506E8">
        <w:rPr>
          <w:lang w:val="ru-RU"/>
        </w:rPr>
        <w:t xml:space="preserve"> </w:t>
      </w:r>
      <w:r w:rsidR="00E902B6">
        <w:rPr>
          <w:lang w:val="ru-RU"/>
        </w:rPr>
        <w:t>Секретариатом</w:t>
      </w:r>
      <w:r w:rsidR="00E902B6" w:rsidRPr="00E506E8">
        <w:rPr>
          <w:lang w:val="ru-RU"/>
        </w:rPr>
        <w:t xml:space="preserve">, </w:t>
      </w:r>
      <w:r w:rsidR="00E902B6">
        <w:rPr>
          <w:lang w:val="ru-RU"/>
        </w:rPr>
        <w:t>продолжают</w:t>
      </w:r>
      <w:r w:rsidR="00E902B6" w:rsidRPr="00E506E8">
        <w:rPr>
          <w:lang w:val="ru-RU"/>
        </w:rPr>
        <w:t xml:space="preserve"> </w:t>
      </w:r>
      <w:r w:rsidR="00E902B6">
        <w:rPr>
          <w:lang w:val="ru-RU"/>
        </w:rPr>
        <w:t>играть</w:t>
      </w:r>
      <w:r w:rsidR="00E902B6" w:rsidRPr="00E506E8">
        <w:rPr>
          <w:lang w:val="ru-RU"/>
        </w:rPr>
        <w:t xml:space="preserve"> </w:t>
      </w:r>
      <w:r w:rsidR="00E902B6">
        <w:rPr>
          <w:lang w:val="ru-RU"/>
        </w:rPr>
        <w:t>ключевую</w:t>
      </w:r>
      <w:r w:rsidR="00E902B6" w:rsidRPr="00E506E8">
        <w:rPr>
          <w:lang w:val="ru-RU"/>
        </w:rPr>
        <w:t xml:space="preserve"> </w:t>
      </w:r>
      <w:r w:rsidR="00E902B6">
        <w:rPr>
          <w:lang w:val="ru-RU"/>
        </w:rPr>
        <w:t>роль</w:t>
      </w:r>
      <w:r w:rsidR="00E902B6" w:rsidRPr="00E506E8">
        <w:rPr>
          <w:lang w:val="ru-RU"/>
        </w:rPr>
        <w:t xml:space="preserve"> </w:t>
      </w:r>
      <w:r w:rsidR="00E902B6">
        <w:rPr>
          <w:lang w:val="ru-RU"/>
        </w:rPr>
        <w:t>в</w:t>
      </w:r>
      <w:r w:rsidR="00E902B6" w:rsidRPr="00E506E8">
        <w:rPr>
          <w:lang w:val="ru-RU"/>
        </w:rPr>
        <w:t xml:space="preserve"> </w:t>
      </w:r>
      <w:r w:rsidR="00E902B6">
        <w:rPr>
          <w:lang w:val="ru-RU"/>
        </w:rPr>
        <w:t>обеспечении</w:t>
      </w:r>
      <w:r w:rsidR="00E902B6" w:rsidRPr="00E506E8">
        <w:rPr>
          <w:lang w:val="ru-RU"/>
        </w:rPr>
        <w:t xml:space="preserve"> </w:t>
      </w:r>
      <w:r w:rsidR="00F25D1E">
        <w:rPr>
          <w:lang w:val="ru-RU"/>
        </w:rPr>
        <w:t>регламентных</w:t>
      </w:r>
      <w:r w:rsidR="00F25D1E" w:rsidRPr="00E506E8">
        <w:rPr>
          <w:lang w:val="ru-RU"/>
        </w:rPr>
        <w:t xml:space="preserve"> </w:t>
      </w:r>
      <w:r w:rsidR="00F25D1E">
        <w:rPr>
          <w:lang w:val="ru-RU"/>
        </w:rPr>
        <w:t>процессов</w:t>
      </w:r>
      <w:r w:rsidR="00D8484F" w:rsidRPr="00E506E8">
        <w:rPr>
          <w:lang w:val="ru-RU"/>
        </w:rPr>
        <w:t xml:space="preserve">, </w:t>
      </w:r>
      <w:r w:rsidR="00D64524">
        <w:rPr>
          <w:lang w:val="ru-RU"/>
        </w:rPr>
        <w:t>лежащих</w:t>
      </w:r>
      <w:r w:rsidR="00D64524" w:rsidRPr="00E506E8">
        <w:rPr>
          <w:lang w:val="ru-RU"/>
        </w:rPr>
        <w:t xml:space="preserve"> </w:t>
      </w:r>
      <w:r w:rsidR="00D64524">
        <w:rPr>
          <w:lang w:val="ru-RU"/>
        </w:rPr>
        <w:t>в</w:t>
      </w:r>
      <w:r w:rsidR="00D64524" w:rsidRPr="00E506E8">
        <w:rPr>
          <w:lang w:val="ru-RU"/>
        </w:rPr>
        <w:t xml:space="preserve"> </w:t>
      </w:r>
      <w:r w:rsidR="00D64524">
        <w:rPr>
          <w:lang w:val="ru-RU"/>
        </w:rPr>
        <w:t>основе</w:t>
      </w:r>
      <w:r w:rsidR="00D64524" w:rsidRPr="00E506E8">
        <w:rPr>
          <w:lang w:val="ru-RU"/>
        </w:rPr>
        <w:t xml:space="preserve"> </w:t>
      </w:r>
      <w:r w:rsidR="00D64524">
        <w:rPr>
          <w:lang w:val="ru-RU"/>
        </w:rPr>
        <w:t>эффективного</w:t>
      </w:r>
      <w:r w:rsidR="00D64524" w:rsidRPr="00E506E8">
        <w:rPr>
          <w:lang w:val="ru-RU"/>
        </w:rPr>
        <w:t xml:space="preserve"> </w:t>
      </w:r>
      <w:r w:rsidR="00D64524">
        <w:rPr>
          <w:lang w:val="ru-RU"/>
        </w:rPr>
        <w:t>управления</w:t>
      </w:r>
      <w:r w:rsidR="00D64524" w:rsidRPr="00E506E8">
        <w:rPr>
          <w:lang w:val="ru-RU"/>
        </w:rPr>
        <w:t xml:space="preserve"> </w:t>
      </w:r>
      <w:r w:rsidR="00D64524">
        <w:rPr>
          <w:lang w:val="ru-RU"/>
        </w:rPr>
        <w:t>Конвенцией</w:t>
      </w:r>
      <w:r w:rsidR="00D64524" w:rsidRPr="00E506E8">
        <w:rPr>
          <w:lang w:val="ru-RU"/>
        </w:rPr>
        <w:t xml:space="preserve">. </w:t>
      </w:r>
      <w:r w:rsidR="00D64524">
        <w:rPr>
          <w:lang w:val="ru-RU"/>
        </w:rPr>
        <w:t>Они</w:t>
      </w:r>
      <w:r w:rsidR="00D64524" w:rsidRPr="00CA099D">
        <w:rPr>
          <w:lang w:val="ru-RU"/>
        </w:rPr>
        <w:t xml:space="preserve"> </w:t>
      </w:r>
      <w:r w:rsidR="00D64524">
        <w:rPr>
          <w:lang w:val="ru-RU"/>
        </w:rPr>
        <w:t>также</w:t>
      </w:r>
      <w:r w:rsidR="00D64524" w:rsidRPr="00CA099D">
        <w:rPr>
          <w:lang w:val="ru-RU"/>
        </w:rPr>
        <w:t xml:space="preserve"> </w:t>
      </w:r>
      <w:r w:rsidR="00D64524">
        <w:rPr>
          <w:lang w:val="ru-RU"/>
        </w:rPr>
        <w:t>играют</w:t>
      </w:r>
      <w:r w:rsidR="00D64524" w:rsidRPr="00CA099D">
        <w:rPr>
          <w:lang w:val="ru-RU"/>
        </w:rPr>
        <w:t xml:space="preserve"> </w:t>
      </w:r>
      <w:r w:rsidR="00D64524">
        <w:rPr>
          <w:lang w:val="ru-RU"/>
        </w:rPr>
        <w:t>центральную</w:t>
      </w:r>
      <w:r w:rsidR="00D64524" w:rsidRPr="00CA099D">
        <w:rPr>
          <w:lang w:val="ru-RU"/>
        </w:rPr>
        <w:t xml:space="preserve"> </w:t>
      </w:r>
      <w:r w:rsidR="00D64524">
        <w:rPr>
          <w:lang w:val="ru-RU"/>
        </w:rPr>
        <w:t>роль</w:t>
      </w:r>
      <w:r w:rsidR="00D64524" w:rsidRPr="00CA099D">
        <w:rPr>
          <w:lang w:val="ru-RU"/>
        </w:rPr>
        <w:t xml:space="preserve"> </w:t>
      </w:r>
      <w:r w:rsidR="00D64524">
        <w:rPr>
          <w:lang w:val="ru-RU"/>
        </w:rPr>
        <w:t>в</w:t>
      </w:r>
      <w:r w:rsidR="00D64524" w:rsidRPr="00CA099D">
        <w:rPr>
          <w:lang w:val="ru-RU"/>
        </w:rPr>
        <w:t xml:space="preserve"> </w:t>
      </w:r>
      <w:r w:rsidR="00D64524">
        <w:rPr>
          <w:lang w:val="ru-RU"/>
        </w:rPr>
        <w:t>обеспечении</w:t>
      </w:r>
      <w:r w:rsidR="00D64524" w:rsidRPr="00CA099D">
        <w:rPr>
          <w:lang w:val="ru-RU"/>
        </w:rPr>
        <w:t xml:space="preserve"> </w:t>
      </w:r>
      <w:r w:rsidR="00CA099D">
        <w:rPr>
          <w:lang w:val="ru-RU"/>
        </w:rPr>
        <w:t>большей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наглядности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широкого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круга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инициатив</w:t>
      </w:r>
      <w:r w:rsidR="00CA099D" w:rsidRPr="00CA099D">
        <w:rPr>
          <w:lang w:val="ru-RU"/>
        </w:rPr>
        <w:t xml:space="preserve">, </w:t>
      </w:r>
      <w:r w:rsidR="00CA099D">
        <w:rPr>
          <w:lang w:val="ru-RU"/>
        </w:rPr>
        <w:t>осуществляемых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во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всем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мире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под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эгидой</w:t>
      </w:r>
      <w:r w:rsidR="00CA099D" w:rsidRPr="00CA099D">
        <w:rPr>
          <w:lang w:val="ru-RU"/>
        </w:rPr>
        <w:t xml:space="preserve"> </w:t>
      </w:r>
      <w:r w:rsidR="00CA099D">
        <w:rPr>
          <w:lang w:val="ru-RU"/>
        </w:rPr>
        <w:t>Конвенции.</w:t>
      </w:r>
      <w:r w:rsidR="00C902E0" w:rsidRPr="00CA099D">
        <w:rPr>
          <w:lang w:val="ru-RU"/>
        </w:rPr>
        <w:t xml:space="preserve"> </w:t>
      </w:r>
      <w:r w:rsidR="00CA099D">
        <w:rPr>
          <w:lang w:val="ru-RU"/>
        </w:rPr>
        <w:t>В</w:t>
      </w:r>
      <w:r w:rsidR="00CA099D" w:rsidRPr="00630BF7">
        <w:rPr>
          <w:lang w:val="ru-RU"/>
        </w:rPr>
        <w:t xml:space="preserve"> 2016-17</w:t>
      </w:r>
      <w:r w:rsidR="00CA099D" w:rsidRPr="00CA099D">
        <w:rPr>
          <w:lang w:val="en-US"/>
        </w:rPr>
        <w:t> </w:t>
      </w:r>
      <w:r w:rsidR="00CA099D">
        <w:rPr>
          <w:lang w:val="ru-RU"/>
        </w:rPr>
        <w:t>гг</w:t>
      </w:r>
      <w:r w:rsidR="00CA099D" w:rsidRPr="00630BF7">
        <w:rPr>
          <w:lang w:val="ru-RU"/>
        </w:rPr>
        <w:t xml:space="preserve">. </w:t>
      </w:r>
      <w:r w:rsidR="00CA099D">
        <w:rPr>
          <w:lang w:val="ru-RU"/>
        </w:rPr>
        <w:t>зафиксировано</w:t>
      </w:r>
      <w:r w:rsidR="00CA099D" w:rsidRPr="00630BF7">
        <w:rPr>
          <w:lang w:val="ru-RU"/>
        </w:rPr>
        <w:t xml:space="preserve"> </w:t>
      </w:r>
      <w:r w:rsidR="00C902E0" w:rsidRPr="00630BF7">
        <w:rPr>
          <w:lang w:val="ru-RU"/>
        </w:rPr>
        <w:t>7</w:t>
      </w:r>
      <w:r w:rsidR="00630BF7">
        <w:rPr>
          <w:lang w:val="en-US"/>
        </w:rPr>
        <w:t> </w:t>
      </w:r>
      <w:r w:rsidR="00C902E0" w:rsidRPr="00630BF7">
        <w:rPr>
          <w:lang w:val="ru-RU"/>
        </w:rPr>
        <w:t>454</w:t>
      </w:r>
      <w:r w:rsidR="00630BF7" w:rsidRPr="00630BF7">
        <w:rPr>
          <w:lang w:val="en-US"/>
        </w:rPr>
        <w:t> </w:t>
      </w:r>
      <w:r w:rsidR="00C902E0" w:rsidRPr="00630BF7">
        <w:rPr>
          <w:lang w:val="ru-RU"/>
        </w:rPr>
        <w:t>000</w:t>
      </w:r>
      <w:r w:rsidR="00630BF7" w:rsidRPr="00630BF7">
        <w:rPr>
          <w:lang w:val="ru-RU"/>
        </w:rPr>
        <w:t xml:space="preserve"> </w:t>
      </w:r>
      <w:r w:rsidR="00630BF7">
        <w:rPr>
          <w:lang w:val="ru-RU"/>
        </w:rPr>
        <w:t>просмотров</w:t>
      </w:r>
      <w:r w:rsidR="00630BF7" w:rsidRPr="00630BF7">
        <w:rPr>
          <w:lang w:val="ru-RU"/>
        </w:rPr>
        <w:t xml:space="preserve"> </w:t>
      </w:r>
      <w:r w:rsidR="00630BF7">
        <w:rPr>
          <w:lang w:val="ru-RU"/>
        </w:rPr>
        <w:t>страниц</w:t>
      </w:r>
      <w:r w:rsidR="00630BF7" w:rsidRPr="00630BF7">
        <w:rPr>
          <w:lang w:val="ru-RU"/>
        </w:rPr>
        <w:t xml:space="preserve">, </w:t>
      </w:r>
      <w:r w:rsidR="00630BF7">
        <w:rPr>
          <w:lang w:val="ru-RU"/>
        </w:rPr>
        <w:t>что</w:t>
      </w:r>
      <w:r w:rsidR="00630BF7" w:rsidRPr="00630BF7">
        <w:rPr>
          <w:lang w:val="ru-RU"/>
        </w:rPr>
        <w:t xml:space="preserve"> </w:t>
      </w:r>
      <w:r w:rsidR="00630BF7">
        <w:rPr>
          <w:lang w:val="ru-RU"/>
        </w:rPr>
        <w:t>на</w:t>
      </w:r>
      <w:r w:rsidR="00630BF7" w:rsidRPr="00630BF7">
        <w:rPr>
          <w:lang w:val="ru-RU"/>
        </w:rPr>
        <w:t xml:space="preserve"> 60% </w:t>
      </w:r>
      <w:r w:rsidR="00630BF7">
        <w:rPr>
          <w:lang w:val="ru-RU"/>
        </w:rPr>
        <w:t>больше</w:t>
      </w:r>
      <w:r w:rsidR="00630BF7" w:rsidRPr="00630BF7">
        <w:rPr>
          <w:lang w:val="ru-RU"/>
        </w:rPr>
        <w:t xml:space="preserve">, </w:t>
      </w:r>
      <w:r w:rsidR="00630BF7">
        <w:rPr>
          <w:lang w:val="ru-RU"/>
        </w:rPr>
        <w:t>чем</w:t>
      </w:r>
      <w:r w:rsidR="00630BF7" w:rsidRPr="00630BF7">
        <w:rPr>
          <w:lang w:val="ru-RU"/>
        </w:rPr>
        <w:t xml:space="preserve"> </w:t>
      </w:r>
      <w:r w:rsidR="00630BF7">
        <w:rPr>
          <w:lang w:val="ru-RU"/>
        </w:rPr>
        <w:t>в</w:t>
      </w:r>
      <w:r w:rsidR="00630BF7" w:rsidRPr="00630BF7">
        <w:rPr>
          <w:lang w:val="ru-RU"/>
        </w:rPr>
        <w:t xml:space="preserve"> </w:t>
      </w:r>
      <w:r w:rsidR="00630BF7">
        <w:rPr>
          <w:lang w:val="ru-RU"/>
        </w:rPr>
        <w:t>предыдущем двухгодичном периоде. Веб</w:t>
      </w:r>
      <w:r w:rsidR="00630BF7" w:rsidRPr="00C67252">
        <w:rPr>
          <w:lang w:val="ru-RU"/>
        </w:rPr>
        <w:t>-</w:t>
      </w:r>
      <w:r w:rsidR="00630BF7">
        <w:rPr>
          <w:lang w:val="ru-RU"/>
        </w:rPr>
        <w:t>сайт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Конвенции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служит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также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столь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необходимым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хранилищем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большого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объема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информации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о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Конвенции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и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всех</w:t>
      </w:r>
      <w:r w:rsidR="00630BF7" w:rsidRPr="00C67252">
        <w:rPr>
          <w:lang w:val="ru-RU"/>
        </w:rPr>
        <w:t xml:space="preserve"> </w:t>
      </w:r>
      <w:r w:rsidR="00095EE9">
        <w:rPr>
          <w:lang w:val="ru-RU"/>
        </w:rPr>
        <w:t>ее</w:t>
      </w:r>
      <w:r w:rsidR="00095EE9" w:rsidRPr="00C67252">
        <w:rPr>
          <w:lang w:val="ru-RU"/>
        </w:rPr>
        <w:t xml:space="preserve"> </w:t>
      </w:r>
      <w:r w:rsidR="00630BF7">
        <w:rPr>
          <w:lang w:val="ru-RU"/>
        </w:rPr>
        <w:t>заинтересованных</w:t>
      </w:r>
      <w:r w:rsidR="00630BF7" w:rsidRPr="00C67252">
        <w:rPr>
          <w:lang w:val="ru-RU"/>
        </w:rPr>
        <w:t xml:space="preserve"> </w:t>
      </w:r>
      <w:r w:rsidR="00630BF7">
        <w:rPr>
          <w:lang w:val="ru-RU"/>
        </w:rPr>
        <w:t>сторонах</w:t>
      </w:r>
      <w:r w:rsidR="00095EE9" w:rsidRPr="00C67252">
        <w:rPr>
          <w:lang w:val="ru-RU"/>
        </w:rPr>
        <w:t xml:space="preserve">; </w:t>
      </w:r>
      <w:r w:rsidR="00C67252">
        <w:rPr>
          <w:lang w:val="ru-RU"/>
        </w:rPr>
        <w:t>регулярное</w:t>
      </w:r>
      <w:r w:rsidR="00C67252" w:rsidRPr="00C67252">
        <w:rPr>
          <w:lang w:val="ru-RU"/>
        </w:rPr>
        <w:t xml:space="preserve"> </w:t>
      </w:r>
      <w:r w:rsidR="00C67252">
        <w:rPr>
          <w:lang w:val="ru-RU"/>
        </w:rPr>
        <w:t>обслуживание</w:t>
      </w:r>
      <w:r w:rsidR="00C67252" w:rsidRPr="00C67252">
        <w:rPr>
          <w:lang w:val="ru-RU"/>
        </w:rPr>
        <w:t xml:space="preserve"> </w:t>
      </w:r>
      <w:r w:rsidR="00C67252">
        <w:rPr>
          <w:lang w:val="ru-RU"/>
        </w:rPr>
        <w:t>системы</w:t>
      </w:r>
      <w:r w:rsidR="00C67252" w:rsidRPr="00C67252">
        <w:rPr>
          <w:lang w:val="ru-RU"/>
        </w:rPr>
        <w:t xml:space="preserve"> </w:t>
      </w:r>
      <w:r w:rsidR="00C67252">
        <w:rPr>
          <w:lang w:val="ru-RU"/>
        </w:rPr>
        <w:t xml:space="preserve">также является важной частью деятельности </w:t>
      </w:r>
      <w:r w:rsidR="003302D0">
        <w:rPr>
          <w:lang w:val="ru-RU"/>
        </w:rPr>
        <w:t>в рамках системы управления знаниями. Веб</w:t>
      </w:r>
      <w:r w:rsidR="003302D0" w:rsidRPr="003302D0">
        <w:rPr>
          <w:lang w:val="ru-RU"/>
        </w:rPr>
        <w:t>-</w:t>
      </w:r>
      <w:r w:rsidR="003302D0">
        <w:rPr>
          <w:lang w:val="ru-RU"/>
        </w:rPr>
        <w:t>сайт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Конвенции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был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расширен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благодаря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более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защищенному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и</w:t>
      </w:r>
      <w:r w:rsidR="003302D0" w:rsidRPr="003302D0">
        <w:rPr>
          <w:lang w:val="ru-RU"/>
        </w:rPr>
        <w:t xml:space="preserve"> </w:t>
      </w:r>
      <w:r w:rsidR="003302D0">
        <w:rPr>
          <w:lang w:val="ru-RU"/>
        </w:rPr>
        <w:t>короткому</w:t>
      </w:r>
      <w:r w:rsidR="003302D0" w:rsidRPr="003302D0">
        <w:rPr>
          <w:lang w:val="ru-RU"/>
        </w:rPr>
        <w:t xml:space="preserve"> </w:t>
      </w:r>
      <w:r w:rsidR="00C902E0" w:rsidRPr="00F40D13">
        <w:t>URL</w:t>
      </w:r>
      <w:r w:rsidR="00C902E0" w:rsidRPr="003302D0">
        <w:rPr>
          <w:lang w:val="ru-RU"/>
        </w:rPr>
        <w:t xml:space="preserve"> (</w:t>
      </w:r>
      <w:hyperlink r:id="rId23" w:history="1">
        <w:r w:rsidR="00C902E0" w:rsidRPr="00F40D13">
          <w:t>https</w:t>
        </w:r>
        <w:r w:rsidR="00C902E0" w:rsidRPr="003302D0">
          <w:rPr>
            <w:lang w:val="ru-RU"/>
          </w:rPr>
          <w:t>://</w:t>
        </w:r>
        <w:proofErr w:type="spellStart"/>
        <w:r w:rsidR="00C902E0" w:rsidRPr="00F40D13">
          <w:t>ich</w:t>
        </w:r>
        <w:proofErr w:type="spellEnd"/>
        <w:r w:rsidR="00C902E0" w:rsidRPr="003302D0">
          <w:rPr>
            <w:lang w:val="ru-RU"/>
          </w:rPr>
          <w:t>.</w:t>
        </w:r>
        <w:proofErr w:type="spellStart"/>
        <w:r w:rsidR="00C902E0" w:rsidRPr="00F40D13">
          <w:t>unesco</w:t>
        </w:r>
        <w:proofErr w:type="spellEnd"/>
        <w:r w:rsidR="00C902E0" w:rsidRPr="003302D0">
          <w:rPr>
            <w:lang w:val="ru-RU"/>
          </w:rPr>
          <w:t>.</w:t>
        </w:r>
        <w:r w:rsidR="00C902E0" w:rsidRPr="00F40D13">
          <w:t>org</w:t>
        </w:r>
        <w:r w:rsidR="00C902E0" w:rsidRPr="003302D0">
          <w:rPr>
            <w:lang w:val="ru-RU"/>
          </w:rPr>
          <w:t>/</w:t>
        </w:r>
      </w:hyperlink>
      <w:r w:rsidR="00C902E0" w:rsidRPr="003302D0">
        <w:rPr>
          <w:lang w:val="ru-RU"/>
        </w:rPr>
        <w:t xml:space="preserve">), </w:t>
      </w:r>
      <w:r w:rsidR="003302D0">
        <w:rPr>
          <w:lang w:val="ru-RU"/>
        </w:rPr>
        <w:t>улучшенной навигации и эргономики, оптимизированной поисковой системе и дополнительно</w:t>
      </w:r>
      <w:r w:rsidR="003721E4">
        <w:rPr>
          <w:lang w:val="ru-RU"/>
        </w:rPr>
        <w:t>му</w:t>
      </w:r>
      <w:r w:rsidR="003302D0">
        <w:rPr>
          <w:lang w:val="ru-RU"/>
        </w:rPr>
        <w:t xml:space="preserve"> многоязычно</w:t>
      </w:r>
      <w:r w:rsidR="003721E4">
        <w:rPr>
          <w:lang w:val="ru-RU"/>
        </w:rPr>
        <w:t>му</w:t>
      </w:r>
      <w:r w:rsidR="003302D0">
        <w:rPr>
          <w:lang w:val="ru-RU"/>
        </w:rPr>
        <w:t xml:space="preserve"> контент</w:t>
      </w:r>
      <w:r w:rsidR="003721E4">
        <w:rPr>
          <w:lang w:val="ru-RU"/>
        </w:rPr>
        <w:t>у</w:t>
      </w:r>
      <w:r w:rsidR="003302D0">
        <w:rPr>
          <w:lang w:val="ru-RU"/>
        </w:rPr>
        <w:t xml:space="preserve">. </w:t>
      </w:r>
      <w:r w:rsidR="00BE63B1">
        <w:rPr>
          <w:lang w:val="ru-RU"/>
        </w:rPr>
        <w:t>Кроме</w:t>
      </w:r>
      <w:r w:rsidR="00BE63B1" w:rsidRPr="00BA5C0A">
        <w:rPr>
          <w:lang w:val="ru-RU"/>
        </w:rPr>
        <w:t xml:space="preserve"> </w:t>
      </w:r>
      <w:r w:rsidR="00BE63B1">
        <w:rPr>
          <w:lang w:val="ru-RU"/>
        </w:rPr>
        <w:t>того</w:t>
      </w:r>
      <w:r w:rsidR="00BE63B1" w:rsidRPr="00BA5C0A">
        <w:rPr>
          <w:lang w:val="ru-RU"/>
        </w:rPr>
        <w:t xml:space="preserve">, </w:t>
      </w:r>
      <w:r w:rsidR="00BE63B1">
        <w:rPr>
          <w:lang w:val="ru-RU"/>
        </w:rPr>
        <w:t>были</w:t>
      </w:r>
      <w:r w:rsidR="00BE63B1" w:rsidRPr="00BA5C0A">
        <w:rPr>
          <w:lang w:val="ru-RU"/>
        </w:rPr>
        <w:t xml:space="preserve"> </w:t>
      </w:r>
      <w:r w:rsidR="00BE63B1">
        <w:rPr>
          <w:lang w:val="ru-RU"/>
        </w:rPr>
        <w:t>разработаны</w:t>
      </w:r>
      <w:r w:rsidR="00BE63B1" w:rsidRPr="00BA5C0A">
        <w:rPr>
          <w:lang w:val="ru-RU"/>
        </w:rPr>
        <w:t xml:space="preserve"> </w:t>
      </w:r>
      <w:r w:rsidR="00BE63B1">
        <w:rPr>
          <w:lang w:val="ru-RU"/>
        </w:rPr>
        <w:t>интерактивные</w:t>
      </w:r>
      <w:r w:rsidR="00BE63B1" w:rsidRPr="00BA5C0A">
        <w:rPr>
          <w:lang w:val="ru-RU"/>
        </w:rPr>
        <w:t xml:space="preserve"> </w:t>
      </w:r>
      <w:r w:rsidR="00BE63B1">
        <w:rPr>
          <w:lang w:val="ru-RU"/>
        </w:rPr>
        <w:t>интерфейсы</w:t>
      </w:r>
      <w:r w:rsidR="00BE63B1" w:rsidRPr="00BA5C0A">
        <w:rPr>
          <w:lang w:val="ru-RU"/>
        </w:rPr>
        <w:t xml:space="preserve"> </w:t>
      </w:r>
      <w:r w:rsidR="00BE63B1">
        <w:rPr>
          <w:lang w:val="ru-RU"/>
        </w:rPr>
        <w:t>для</w:t>
      </w:r>
      <w:r w:rsidR="00BE63B1" w:rsidRPr="00BA5C0A">
        <w:rPr>
          <w:lang w:val="ru-RU"/>
        </w:rPr>
        <w:t xml:space="preserve"> </w:t>
      </w:r>
      <w:r w:rsidR="00BA5C0A">
        <w:rPr>
          <w:lang w:val="ru-RU"/>
        </w:rPr>
        <w:t>оказания</w:t>
      </w:r>
      <w:r w:rsidR="00BA5C0A" w:rsidRPr="00BA5C0A">
        <w:rPr>
          <w:lang w:val="ru-RU"/>
        </w:rPr>
        <w:t xml:space="preserve"> </w:t>
      </w:r>
      <w:r w:rsidR="00BA5C0A">
        <w:rPr>
          <w:lang w:val="ru-RU"/>
        </w:rPr>
        <w:t>помощи в представлении периодических докладов (см. пункт 13 ниже). Была</w:t>
      </w:r>
      <w:r w:rsidR="00BA5C0A" w:rsidRPr="00CC1E79">
        <w:rPr>
          <w:lang w:val="ru-RU"/>
        </w:rPr>
        <w:t xml:space="preserve"> </w:t>
      </w:r>
      <w:r w:rsidR="00BA5C0A">
        <w:rPr>
          <w:lang w:val="ru-RU"/>
        </w:rPr>
        <w:t>также</w:t>
      </w:r>
      <w:r w:rsidR="00BA5C0A" w:rsidRPr="00CC1E79">
        <w:rPr>
          <w:lang w:val="ru-RU"/>
        </w:rPr>
        <w:t xml:space="preserve"> </w:t>
      </w:r>
      <w:r w:rsidR="00BA5C0A">
        <w:rPr>
          <w:lang w:val="ru-RU"/>
        </w:rPr>
        <w:t>проведена</w:t>
      </w:r>
      <w:r w:rsidR="00BA5C0A" w:rsidRPr="00CC1E79">
        <w:rPr>
          <w:lang w:val="ru-RU"/>
        </w:rPr>
        <w:t xml:space="preserve"> </w:t>
      </w:r>
      <w:r w:rsidR="00BA5C0A">
        <w:rPr>
          <w:lang w:val="ru-RU"/>
        </w:rPr>
        <w:t>значительная</w:t>
      </w:r>
      <w:r w:rsidR="00BA5C0A" w:rsidRPr="00CC1E79">
        <w:rPr>
          <w:lang w:val="ru-RU"/>
        </w:rPr>
        <w:t xml:space="preserve"> </w:t>
      </w:r>
      <w:r w:rsidR="00BA5C0A">
        <w:rPr>
          <w:lang w:val="ru-RU"/>
        </w:rPr>
        <w:t>работа</w:t>
      </w:r>
      <w:r w:rsidR="00BA5C0A" w:rsidRPr="00CC1E79">
        <w:rPr>
          <w:lang w:val="ru-RU"/>
        </w:rPr>
        <w:t xml:space="preserve"> </w:t>
      </w:r>
      <w:r w:rsidR="00BA5C0A">
        <w:rPr>
          <w:lang w:val="ru-RU"/>
        </w:rPr>
        <w:t>по</w:t>
      </w:r>
      <w:r w:rsidR="00BA5C0A" w:rsidRPr="00CC1E79">
        <w:rPr>
          <w:lang w:val="ru-RU"/>
        </w:rPr>
        <w:t xml:space="preserve"> </w:t>
      </w:r>
      <w:r w:rsidR="00CC1E79">
        <w:rPr>
          <w:lang w:val="ru-RU"/>
        </w:rPr>
        <w:t>разработке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интерфейса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для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представления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докладов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о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деятельности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по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укреплению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потенциала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и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мониторинга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>за</w:t>
      </w:r>
      <w:r w:rsidR="00CC1E79" w:rsidRPr="00CC1E79">
        <w:rPr>
          <w:lang w:val="ru-RU"/>
        </w:rPr>
        <w:t xml:space="preserve"> </w:t>
      </w:r>
      <w:r w:rsidR="00CC1E79">
        <w:rPr>
          <w:lang w:val="ru-RU"/>
        </w:rPr>
        <w:t xml:space="preserve">использованием </w:t>
      </w:r>
      <w:r w:rsidR="00B13186">
        <w:rPr>
          <w:lang w:val="ru-RU"/>
        </w:rPr>
        <w:t>материалов для укрепления потенциала, выходящим за рамки проектов ЮНЕСКО.</w:t>
      </w:r>
    </w:p>
    <w:p w:rsidR="00C902E0" w:rsidRPr="00FF1667" w:rsidRDefault="00C902E0" w:rsidP="00430A07">
      <w:pPr>
        <w:pStyle w:val="COMPara"/>
        <w:keepNext/>
        <w:spacing w:before="240"/>
        <w:ind w:left="0" w:firstLine="0"/>
        <w:jc w:val="both"/>
        <w:rPr>
          <w:b/>
          <w:lang w:val="en-US"/>
        </w:rPr>
      </w:pPr>
      <w:r>
        <w:rPr>
          <w:b/>
          <w:lang w:val="ru-RU"/>
        </w:rPr>
        <w:lastRenderedPageBreak/>
        <w:t>ПРЕДСТАВЛЕНИЕ ПЕРИОДИЧЕСКИХ ДОКЛАДОВ</w:t>
      </w:r>
    </w:p>
    <w:p w:rsidR="00C902E0" w:rsidRPr="00AD5750" w:rsidRDefault="00A116AC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E506E8">
        <w:rPr>
          <w:lang w:val="ru-RU"/>
        </w:rPr>
        <w:t xml:space="preserve"> </w:t>
      </w:r>
      <w:r>
        <w:rPr>
          <w:lang w:val="ru-RU"/>
        </w:rPr>
        <w:t>целях</w:t>
      </w:r>
      <w:r w:rsidRPr="00E506E8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E506E8">
        <w:rPr>
          <w:lang w:val="ru-RU"/>
        </w:rPr>
        <w:t xml:space="preserve"> </w:t>
      </w:r>
      <w:r>
        <w:rPr>
          <w:lang w:val="ru-RU"/>
        </w:rPr>
        <w:t>участия</w:t>
      </w:r>
      <w:r w:rsidRPr="00E506E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506E8">
        <w:rPr>
          <w:lang w:val="ru-RU"/>
        </w:rPr>
        <w:t>-</w:t>
      </w:r>
      <w:r>
        <w:rPr>
          <w:lang w:val="ru-RU"/>
        </w:rPr>
        <w:t>участников</w:t>
      </w:r>
      <w:r w:rsidRPr="00E506E8">
        <w:rPr>
          <w:lang w:val="ru-RU"/>
        </w:rPr>
        <w:t xml:space="preserve"> </w:t>
      </w:r>
      <w:r>
        <w:rPr>
          <w:lang w:val="ru-RU"/>
        </w:rPr>
        <w:t>в</w:t>
      </w:r>
      <w:r w:rsidRPr="00E506E8">
        <w:rPr>
          <w:lang w:val="ru-RU"/>
        </w:rPr>
        <w:t xml:space="preserve"> </w:t>
      </w:r>
      <w:r>
        <w:rPr>
          <w:lang w:val="ru-RU"/>
        </w:rPr>
        <w:t>механизме</w:t>
      </w:r>
      <w:r w:rsidRPr="00E506E8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506E8">
        <w:rPr>
          <w:lang w:val="ru-RU"/>
        </w:rPr>
        <w:t xml:space="preserve"> </w:t>
      </w:r>
      <w:r>
        <w:rPr>
          <w:lang w:val="ru-RU"/>
        </w:rPr>
        <w:t>периодических</w:t>
      </w:r>
      <w:r w:rsidRPr="00E506E8">
        <w:rPr>
          <w:lang w:val="ru-RU"/>
        </w:rPr>
        <w:t xml:space="preserve"> </w:t>
      </w:r>
      <w:r>
        <w:rPr>
          <w:lang w:val="ru-RU"/>
        </w:rPr>
        <w:t>докладов</w:t>
      </w:r>
      <w:r w:rsidRPr="00E506E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E506E8">
        <w:rPr>
          <w:lang w:val="ru-RU"/>
        </w:rPr>
        <w:t xml:space="preserve"> </w:t>
      </w:r>
      <w:r>
        <w:rPr>
          <w:lang w:val="ru-RU"/>
        </w:rPr>
        <w:t>инициировал</w:t>
      </w:r>
      <w:r w:rsidRPr="00E506E8">
        <w:rPr>
          <w:lang w:val="ru-RU"/>
        </w:rPr>
        <w:t xml:space="preserve"> </w:t>
      </w:r>
      <w:r>
        <w:rPr>
          <w:lang w:val="ru-RU"/>
        </w:rPr>
        <w:t>ряд</w:t>
      </w:r>
      <w:r w:rsidRPr="00E506E8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E506E8">
        <w:rPr>
          <w:lang w:val="ru-RU"/>
        </w:rPr>
        <w:t xml:space="preserve">. </w:t>
      </w:r>
      <w:r w:rsidR="005523DB">
        <w:rPr>
          <w:lang w:val="ru-RU"/>
        </w:rPr>
        <w:t>Они</w:t>
      </w:r>
      <w:r w:rsidR="005523DB" w:rsidRPr="00E506E8">
        <w:rPr>
          <w:lang w:val="ru-RU"/>
        </w:rPr>
        <w:t xml:space="preserve"> </w:t>
      </w:r>
      <w:r w:rsidR="005523DB">
        <w:rPr>
          <w:lang w:val="ru-RU"/>
        </w:rPr>
        <w:t>включают</w:t>
      </w:r>
      <w:r w:rsidR="005523DB" w:rsidRPr="00E506E8">
        <w:rPr>
          <w:lang w:val="ru-RU"/>
        </w:rPr>
        <w:t xml:space="preserve"> </w:t>
      </w:r>
      <w:r w:rsidR="005523DB">
        <w:rPr>
          <w:lang w:val="ru-RU"/>
        </w:rPr>
        <w:t>разработку</w:t>
      </w:r>
      <w:r w:rsidR="005523DB" w:rsidRPr="00E506E8">
        <w:rPr>
          <w:lang w:val="ru-RU"/>
        </w:rPr>
        <w:t xml:space="preserve"> </w:t>
      </w:r>
      <w:hyperlink r:id="rId24" w:history="1">
        <w:r w:rsidR="005523DB">
          <w:rPr>
            <w:rStyle w:val="Hyperlink"/>
            <w:lang w:val="ru-RU"/>
          </w:rPr>
          <w:t>интерфейса</w:t>
        </w:r>
        <w:r w:rsidR="005523DB" w:rsidRPr="00E506E8">
          <w:rPr>
            <w:rStyle w:val="Hyperlink"/>
            <w:lang w:val="ru-RU"/>
          </w:rPr>
          <w:t xml:space="preserve"> </w:t>
        </w:r>
        <w:r w:rsidR="005523DB">
          <w:rPr>
            <w:rStyle w:val="Hyperlink"/>
            <w:lang w:val="ru-RU"/>
          </w:rPr>
          <w:t>мониторинга</w:t>
        </w:r>
        <w:r w:rsidR="005523DB" w:rsidRPr="00E506E8">
          <w:rPr>
            <w:rStyle w:val="Hyperlink"/>
            <w:lang w:val="ru-RU"/>
          </w:rPr>
          <w:t xml:space="preserve"> </w:t>
        </w:r>
        <w:r w:rsidR="005523DB">
          <w:rPr>
            <w:rStyle w:val="Hyperlink"/>
            <w:lang w:val="ru-RU"/>
          </w:rPr>
          <w:t>периодических</w:t>
        </w:r>
        <w:r w:rsidR="005523DB" w:rsidRPr="00E506E8">
          <w:rPr>
            <w:rStyle w:val="Hyperlink"/>
            <w:lang w:val="ru-RU"/>
          </w:rPr>
          <w:t xml:space="preserve"> </w:t>
        </w:r>
        <w:r w:rsidR="005523DB">
          <w:rPr>
            <w:rStyle w:val="Hyperlink"/>
            <w:lang w:val="ru-RU"/>
          </w:rPr>
          <w:t>докладов</w:t>
        </w:r>
      </w:hyperlink>
      <w:r w:rsidR="00836BFE" w:rsidRPr="00E506E8">
        <w:rPr>
          <w:rStyle w:val="Hyperlink"/>
          <w:u w:val="none"/>
          <w:lang w:val="ru-RU"/>
        </w:rPr>
        <w:t xml:space="preserve"> </w:t>
      </w:r>
      <w:r w:rsidR="005523DB">
        <w:rPr>
          <w:lang w:val="ru-RU"/>
        </w:rPr>
        <w:t>на</w:t>
      </w:r>
      <w:r w:rsidR="005523DB" w:rsidRPr="00E506E8">
        <w:rPr>
          <w:lang w:val="ru-RU"/>
        </w:rPr>
        <w:t xml:space="preserve"> </w:t>
      </w:r>
      <w:r w:rsidR="00836BFE">
        <w:rPr>
          <w:lang w:val="ru-RU"/>
        </w:rPr>
        <w:t>веб</w:t>
      </w:r>
      <w:r w:rsidR="00836BFE" w:rsidRPr="00E506E8">
        <w:rPr>
          <w:lang w:val="ru-RU"/>
        </w:rPr>
        <w:t>-</w:t>
      </w:r>
      <w:r w:rsidR="00836BFE">
        <w:rPr>
          <w:lang w:val="ru-RU"/>
        </w:rPr>
        <w:t>сайте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Конвенции</w:t>
      </w:r>
      <w:r w:rsidR="00836BFE" w:rsidRPr="00E506E8">
        <w:rPr>
          <w:lang w:val="ru-RU"/>
        </w:rPr>
        <w:t xml:space="preserve">, </w:t>
      </w:r>
      <w:r w:rsidR="00836BFE">
        <w:rPr>
          <w:lang w:val="ru-RU"/>
        </w:rPr>
        <w:t>информационно</w:t>
      </w:r>
      <w:r w:rsidR="00836BFE" w:rsidRPr="00E506E8">
        <w:rPr>
          <w:lang w:val="ru-RU"/>
        </w:rPr>
        <w:t>-</w:t>
      </w:r>
      <w:r w:rsidR="00836BFE">
        <w:rPr>
          <w:lang w:val="ru-RU"/>
        </w:rPr>
        <w:t>разъяснительную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сессию</w:t>
      </w:r>
      <w:r w:rsidR="00836BFE" w:rsidRPr="00E506E8">
        <w:rPr>
          <w:lang w:val="ru-RU"/>
        </w:rPr>
        <w:t xml:space="preserve"> </w:t>
      </w:r>
      <w:r w:rsidR="00A74161">
        <w:rPr>
          <w:lang w:val="ru-RU"/>
        </w:rPr>
        <w:t>по</w:t>
      </w:r>
      <w:r w:rsidR="00A74161" w:rsidRPr="00E506E8">
        <w:rPr>
          <w:lang w:val="ru-RU"/>
        </w:rPr>
        <w:t xml:space="preserve"> </w:t>
      </w:r>
      <w:r w:rsidR="00A74161">
        <w:rPr>
          <w:lang w:val="ru-RU"/>
        </w:rPr>
        <w:t>этому</w:t>
      </w:r>
      <w:r w:rsidR="00A74161" w:rsidRPr="00E506E8">
        <w:rPr>
          <w:lang w:val="ru-RU"/>
        </w:rPr>
        <w:t xml:space="preserve"> </w:t>
      </w:r>
      <w:r w:rsidR="00A74161">
        <w:rPr>
          <w:lang w:val="ru-RU"/>
        </w:rPr>
        <w:t>механизму</w:t>
      </w:r>
      <w:r w:rsidR="00A74161" w:rsidRPr="00E506E8">
        <w:rPr>
          <w:lang w:val="ru-RU"/>
        </w:rPr>
        <w:t xml:space="preserve"> </w:t>
      </w:r>
      <w:r w:rsidR="00836BFE">
        <w:rPr>
          <w:lang w:val="ru-RU"/>
        </w:rPr>
        <w:t>во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время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шестой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сессии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Генеральной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ассамблеи</w:t>
      </w:r>
      <w:r w:rsidR="00836BFE" w:rsidRPr="00E506E8">
        <w:rPr>
          <w:lang w:val="ru-RU"/>
        </w:rPr>
        <w:t xml:space="preserve"> </w:t>
      </w:r>
      <w:r w:rsidR="00836BFE">
        <w:rPr>
          <w:lang w:val="ru-RU"/>
        </w:rPr>
        <w:t>в</w:t>
      </w:r>
      <w:r w:rsidR="00836BFE" w:rsidRPr="00E506E8">
        <w:rPr>
          <w:lang w:val="ru-RU"/>
        </w:rPr>
        <w:t xml:space="preserve"> 2016</w:t>
      </w:r>
      <w:r w:rsidR="00836BFE" w:rsidRPr="00836BFE">
        <w:rPr>
          <w:lang w:val="en-US"/>
        </w:rPr>
        <w:t> </w:t>
      </w:r>
      <w:r w:rsidR="00836BFE">
        <w:rPr>
          <w:lang w:val="ru-RU"/>
        </w:rPr>
        <w:t>г</w:t>
      </w:r>
      <w:r w:rsidR="00836BFE" w:rsidRPr="00E506E8">
        <w:rPr>
          <w:lang w:val="ru-RU"/>
        </w:rPr>
        <w:t xml:space="preserve">., </w:t>
      </w:r>
      <w:r w:rsidR="00AD07CA">
        <w:rPr>
          <w:lang w:val="ru-RU"/>
        </w:rPr>
        <w:t>обновление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руководства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по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заполнению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формуляра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доклада</w:t>
      </w:r>
      <w:r w:rsidR="00AD07CA" w:rsidRPr="00E506E8">
        <w:rPr>
          <w:lang w:val="ru-RU"/>
        </w:rPr>
        <w:t xml:space="preserve">, </w:t>
      </w:r>
      <w:r w:rsidR="00AD07CA">
        <w:rPr>
          <w:lang w:val="ru-RU"/>
        </w:rPr>
        <w:t>представленного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в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памятных</w:t>
      </w:r>
      <w:r w:rsidR="00AD07CA" w:rsidRPr="00E506E8">
        <w:rPr>
          <w:lang w:val="ru-RU"/>
        </w:rPr>
        <w:t xml:space="preserve"> </w:t>
      </w:r>
      <w:r w:rsidR="00AD07CA">
        <w:rPr>
          <w:lang w:val="ru-RU"/>
        </w:rPr>
        <w:t>записках</w:t>
      </w:r>
      <w:r w:rsidR="00AD07CA" w:rsidRPr="00E506E8">
        <w:rPr>
          <w:lang w:val="ru-RU"/>
        </w:rPr>
        <w:t xml:space="preserve">, </w:t>
      </w:r>
      <w:r w:rsidR="00BD7FB4">
        <w:rPr>
          <w:lang w:val="ru-RU"/>
        </w:rPr>
        <w:t>и</w:t>
      </w:r>
      <w:r w:rsidR="00BD7FB4" w:rsidRPr="00E506E8">
        <w:rPr>
          <w:lang w:val="ru-RU"/>
        </w:rPr>
        <w:t xml:space="preserve"> </w:t>
      </w:r>
      <w:r w:rsidR="00BD7FB4">
        <w:rPr>
          <w:lang w:val="ru-RU"/>
        </w:rPr>
        <w:t>традиционные</w:t>
      </w:r>
      <w:r w:rsidR="00BD7FB4" w:rsidRPr="00E506E8">
        <w:rPr>
          <w:lang w:val="ru-RU"/>
        </w:rPr>
        <w:t xml:space="preserve"> </w:t>
      </w:r>
      <w:r w:rsidR="00BD7FB4">
        <w:rPr>
          <w:lang w:val="ru-RU"/>
        </w:rPr>
        <w:t>письма</w:t>
      </w:r>
      <w:r w:rsidR="00BD7FB4" w:rsidRPr="00E506E8">
        <w:rPr>
          <w:lang w:val="ru-RU"/>
        </w:rPr>
        <w:t xml:space="preserve"> </w:t>
      </w:r>
      <w:r w:rsidR="00BD7FB4">
        <w:rPr>
          <w:lang w:val="ru-RU"/>
        </w:rPr>
        <w:t>с</w:t>
      </w:r>
      <w:r w:rsidR="00BD7FB4" w:rsidRPr="00E506E8">
        <w:rPr>
          <w:lang w:val="ru-RU"/>
        </w:rPr>
        <w:t xml:space="preserve"> </w:t>
      </w:r>
      <w:r w:rsidR="00BD7FB4">
        <w:rPr>
          <w:lang w:val="ru-RU"/>
        </w:rPr>
        <w:t>напоминаниями</w:t>
      </w:r>
      <w:r w:rsidR="00BD7FB4" w:rsidRPr="00E506E8">
        <w:rPr>
          <w:lang w:val="ru-RU"/>
        </w:rPr>
        <w:t xml:space="preserve">, </w:t>
      </w:r>
      <w:r w:rsidR="00BD7FB4">
        <w:rPr>
          <w:lang w:val="ru-RU"/>
        </w:rPr>
        <w:t>направленные</w:t>
      </w:r>
      <w:r w:rsidR="00BD7FB4" w:rsidRPr="00E506E8">
        <w:rPr>
          <w:lang w:val="ru-RU"/>
        </w:rPr>
        <w:t xml:space="preserve"> </w:t>
      </w:r>
      <w:r w:rsidR="00BD7FB4">
        <w:rPr>
          <w:lang w:val="ru-RU"/>
        </w:rPr>
        <w:t>всем</w:t>
      </w:r>
      <w:r w:rsidR="00BD7FB4" w:rsidRPr="00E506E8">
        <w:rPr>
          <w:lang w:val="ru-RU"/>
        </w:rPr>
        <w:t xml:space="preserve"> </w:t>
      </w:r>
      <w:r w:rsidR="00BD7FB4">
        <w:rPr>
          <w:lang w:val="ru-RU"/>
        </w:rPr>
        <w:t>государствам</w:t>
      </w:r>
      <w:r w:rsidR="00BD7FB4" w:rsidRPr="00E506E8">
        <w:rPr>
          <w:lang w:val="ru-RU"/>
        </w:rPr>
        <w:t xml:space="preserve">, </w:t>
      </w:r>
      <w:r w:rsidR="00BD7FB4">
        <w:rPr>
          <w:lang w:val="ru-RU"/>
        </w:rPr>
        <w:t>просрочившим</w:t>
      </w:r>
      <w:r w:rsidR="00BD7FB4" w:rsidRPr="00E506E8">
        <w:rPr>
          <w:lang w:val="ru-RU"/>
        </w:rPr>
        <w:t xml:space="preserve"> </w:t>
      </w:r>
      <w:r w:rsidR="00BD7FB4">
        <w:rPr>
          <w:lang w:val="ru-RU"/>
        </w:rPr>
        <w:t>доклады</w:t>
      </w:r>
      <w:r w:rsidR="00BD7FB4" w:rsidRPr="00E506E8">
        <w:rPr>
          <w:lang w:val="ru-RU"/>
        </w:rPr>
        <w:t xml:space="preserve">. </w:t>
      </w:r>
      <w:r w:rsidR="0073567E">
        <w:rPr>
          <w:lang w:val="ru-RU"/>
        </w:rPr>
        <w:t>Как</w:t>
      </w:r>
      <w:r w:rsidR="0073567E" w:rsidRPr="00A25FD3">
        <w:rPr>
          <w:lang w:val="ru-RU"/>
        </w:rPr>
        <w:t xml:space="preserve"> </w:t>
      </w:r>
      <w:r w:rsidR="0073567E">
        <w:rPr>
          <w:lang w:val="ru-RU"/>
        </w:rPr>
        <w:t>представляется</w:t>
      </w:r>
      <w:r w:rsidR="0073567E" w:rsidRPr="00A25FD3">
        <w:rPr>
          <w:lang w:val="ru-RU"/>
        </w:rPr>
        <w:t xml:space="preserve">, </w:t>
      </w:r>
      <w:r w:rsidR="0073567E">
        <w:rPr>
          <w:lang w:val="ru-RU"/>
        </w:rPr>
        <w:t>такие</w:t>
      </w:r>
      <w:r w:rsidR="0073567E" w:rsidRPr="00A25FD3">
        <w:rPr>
          <w:lang w:val="ru-RU"/>
        </w:rPr>
        <w:t xml:space="preserve"> </w:t>
      </w:r>
      <w:r w:rsidR="0073567E">
        <w:rPr>
          <w:lang w:val="ru-RU"/>
        </w:rPr>
        <w:t>усилия</w:t>
      </w:r>
      <w:r w:rsidR="0073567E" w:rsidRPr="00A25FD3">
        <w:rPr>
          <w:lang w:val="ru-RU"/>
        </w:rPr>
        <w:t xml:space="preserve"> </w:t>
      </w:r>
      <w:r w:rsidR="0073567E">
        <w:rPr>
          <w:lang w:val="ru-RU"/>
        </w:rPr>
        <w:t>принесли</w:t>
      </w:r>
      <w:r w:rsidR="0073567E" w:rsidRPr="00A25FD3">
        <w:rPr>
          <w:lang w:val="ru-RU"/>
        </w:rPr>
        <w:t xml:space="preserve"> </w:t>
      </w:r>
      <w:r w:rsidR="0073567E">
        <w:rPr>
          <w:lang w:val="ru-RU"/>
        </w:rPr>
        <w:t>плоды</w:t>
      </w:r>
      <w:r w:rsidR="0073567E" w:rsidRPr="00A25FD3">
        <w:rPr>
          <w:lang w:val="ru-RU"/>
        </w:rPr>
        <w:t xml:space="preserve">, </w:t>
      </w:r>
      <w:r w:rsidR="0073567E">
        <w:rPr>
          <w:lang w:val="ru-RU"/>
        </w:rPr>
        <w:t>хотя</w:t>
      </w:r>
      <w:r w:rsidR="0073567E" w:rsidRPr="00A25FD3">
        <w:rPr>
          <w:lang w:val="ru-RU"/>
        </w:rPr>
        <w:t xml:space="preserve"> </w:t>
      </w:r>
      <w:r w:rsidR="0073567E">
        <w:rPr>
          <w:lang w:val="ru-RU"/>
        </w:rPr>
        <w:t>и</w:t>
      </w:r>
      <w:r w:rsidR="0073567E" w:rsidRPr="00A25FD3">
        <w:rPr>
          <w:lang w:val="ru-RU"/>
        </w:rPr>
        <w:t xml:space="preserve"> </w:t>
      </w:r>
      <w:r w:rsidR="0073567E">
        <w:rPr>
          <w:lang w:val="ru-RU"/>
        </w:rPr>
        <w:t>скромные</w:t>
      </w:r>
      <w:r w:rsidR="0073567E" w:rsidRPr="00A25FD3">
        <w:rPr>
          <w:lang w:val="ru-RU"/>
        </w:rPr>
        <w:t xml:space="preserve">: </w:t>
      </w:r>
      <w:r w:rsidR="001B06D4" w:rsidRPr="00A25FD3">
        <w:rPr>
          <w:lang w:val="ru-RU"/>
        </w:rPr>
        <w:t xml:space="preserve">21% </w:t>
      </w:r>
      <w:r w:rsidR="001B06D4">
        <w:rPr>
          <w:lang w:val="ru-RU"/>
        </w:rPr>
        <w:t>докладов</w:t>
      </w:r>
      <w:r w:rsidR="001B06D4" w:rsidRPr="00A25FD3">
        <w:rPr>
          <w:lang w:val="ru-RU"/>
        </w:rPr>
        <w:t xml:space="preserve">, </w:t>
      </w:r>
      <w:r w:rsidR="001B06D4">
        <w:rPr>
          <w:lang w:val="ru-RU"/>
        </w:rPr>
        <w:t>представляемых</w:t>
      </w:r>
      <w:r w:rsidR="001B06D4" w:rsidRPr="00A25FD3">
        <w:rPr>
          <w:lang w:val="ru-RU"/>
        </w:rPr>
        <w:t xml:space="preserve"> </w:t>
      </w:r>
      <w:r w:rsidR="001B06D4">
        <w:rPr>
          <w:lang w:val="ru-RU"/>
        </w:rPr>
        <w:t>с</w:t>
      </w:r>
      <w:r w:rsidR="001B06D4" w:rsidRPr="00A25FD3">
        <w:rPr>
          <w:lang w:val="ru-RU"/>
        </w:rPr>
        <w:t xml:space="preserve"> </w:t>
      </w:r>
      <w:r w:rsidR="001B06D4">
        <w:rPr>
          <w:lang w:val="ru-RU"/>
        </w:rPr>
        <w:t>помощью</w:t>
      </w:r>
      <w:r w:rsidR="001B06D4" w:rsidRPr="00A25FD3">
        <w:rPr>
          <w:lang w:val="ru-RU"/>
        </w:rPr>
        <w:t xml:space="preserve"> </w:t>
      </w:r>
      <w:r w:rsidR="001B06D4">
        <w:rPr>
          <w:lang w:val="ru-RU"/>
        </w:rPr>
        <w:t>формы</w:t>
      </w:r>
      <w:r w:rsidR="001B06D4" w:rsidRPr="00A25FD3">
        <w:rPr>
          <w:lang w:val="ru-RU"/>
        </w:rPr>
        <w:t xml:space="preserve"> </w:t>
      </w:r>
      <w:r w:rsidR="00C902E0">
        <w:t>ICH</w:t>
      </w:r>
      <w:r w:rsidR="00C902E0" w:rsidRPr="00A25FD3">
        <w:rPr>
          <w:lang w:val="ru-RU"/>
        </w:rPr>
        <w:t>-10 (</w:t>
      </w:r>
      <w:r w:rsidR="001B06D4">
        <w:rPr>
          <w:lang w:val="ru-RU"/>
        </w:rPr>
        <w:t>о</w:t>
      </w:r>
      <w:r w:rsidR="001B06D4" w:rsidRPr="00A25FD3">
        <w:rPr>
          <w:lang w:val="ru-RU"/>
        </w:rPr>
        <w:t xml:space="preserve"> </w:t>
      </w:r>
      <w:r w:rsidR="001B06D4">
        <w:rPr>
          <w:lang w:val="ru-RU"/>
        </w:rPr>
        <w:t>выполнении</w:t>
      </w:r>
      <w:r w:rsidR="001B06D4" w:rsidRPr="00A25FD3">
        <w:rPr>
          <w:lang w:val="ru-RU"/>
        </w:rPr>
        <w:t xml:space="preserve"> </w:t>
      </w:r>
      <w:r w:rsidR="001B06D4">
        <w:rPr>
          <w:lang w:val="ru-RU"/>
        </w:rPr>
        <w:t>Конвенции</w:t>
      </w:r>
      <w:r w:rsidR="001B06D4" w:rsidRPr="00A25FD3">
        <w:rPr>
          <w:lang w:val="ru-RU"/>
        </w:rPr>
        <w:t>)</w:t>
      </w:r>
      <w:r w:rsidR="003721E4">
        <w:rPr>
          <w:lang w:val="ru-RU"/>
        </w:rPr>
        <w:t>,</w:t>
      </w:r>
      <w:r w:rsidR="001B06D4" w:rsidRPr="00A25FD3">
        <w:rPr>
          <w:lang w:val="ru-RU"/>
        </w:rPr>
        <w:t xml:space="preserve"> </w:t>
      </w:r>
      <w:r w:rsidR="001B06D4">
        <w:rPr>
          <w:lang w:val="ru-RU"/>
        </w:rPr>
        <w:t>был</w:t>
      </w:r>
      <w:r w:rsidR="001B06D4" w:rsidRPr="00A25FD3">
        <w:rPr>
          <w:lang w:val="ru-RU"/>
        </w:rPr>
        <w:t xml:space="preserve"> </w:t>
      </w:r>
      <w:r w:rsidR="001B06D4">
        <w:rPr>
          <w:lang w:val="ru-RU"/>
        </w:rPr>
        <w:t>подан</w:t>
      </w:r>
      <w:r w:rsidR="001B06D4" w:rsidRPr="00A25FD3">
        <w:rPr>
          <w:lang w:val="ru-RU"/>
        </w:rPr>
        <w:t xml:space="preserve"> </w:t>
      </w:r>
      <w:r w:rsidR="00607F0B">
        <w:rPr>
          <w:lang w:val="ru-RU"/>
        </w:rPr>
        <w:t>к</w:t>
      </w:r>
      <w:r w:rsidR="00607F0B" w:rsidRPr="00A25FD3">
        <w:rPr>
          <w:lang w:val="ru-RU"/>
        </w:rPr>
        <w:t xml:space="preserve"> </w:t>
      </w:r>
      <w:r w:rsidR="00607F0B">
        <w:rPr>
          <w:lang w:val="ru-RU"/>
        </w:rPr>
        <w:t>установленному</w:t>
      </w:r>
      <w:r w:rsidR="00607F0B" w:rsidRPr="00A25FD3">
        <w:rPr>
          <w:lang w:val="ru-RU"/>
        </w:rPr>
        <w:t xml:space="preserve"> </w:t>
      </w:r>
      <w:r w:rsidR="00607F0B">
        <w:rPr>
          <w:lang w:val="ru-RU"/>
        </w:rPr>
        <w:t>крайнему</w:t>
      </w:r>
      <w:r w:rsidR="00607F0B" w:rsidRPr="00A25FD3">
        <w:rPr>
          <w:lang w:val="ru-RU"/>
        </w:rPr>
        <w:t xml:space="preserve"> </w:t>
      </w:r>
      <w:r w:rsidR="00607F0B">
        <w:rPr>
          <w:lang w:val="ru-RU"/>
        </w:rPr>
        <w:t>сроку</w:t>
      </w:r>
      <w:r w:rsidR="00607F0B" w:rsidRPr="00A25FD3">
        <w:rPr>
          <w:lang w:val="ru-RU"/>
        </w:rPr>
        <w:t xml:space="preserve"> – 15 </w:t>
      </w:r>
      <w:r w:rsidR="00607F0B">
        <w:rPr>
          <w:lang w:val="ru-RU"/>
        </w:rPr>
        <w:t>декабря</w:t>
      </w:r>
      <w:r w:rsidR="00607F0B" w:rsidRPr="00A25FD3">
        <w:rPr>
          <w:lang w:val="ru-RU"/>
        </w:rPr>
        <w:t xml:space="preserve"> </w:t>
      </w:r>
      <w:r w:rsidR="00A25FD3">
        <w:rPr>
          <w:lang w:val="ru-RU"/>
        </w:rPr>
        <w:t>по</w:t>
      </w:r>
      <w:r w:rsidR="00A25FD3" w:rsidRPr="00A25FD3">
        <w:rPr>
          <w:lang w:val="ru-RU"/>
        </w:rPr>
        <w:t xml:space="preserve"> </w:t>
      </w:r>
      <w:r w:rsidR="00A25FD3">
        <w:rPr>
          <w:lang w:val="ru-RU"/>
        </w:rPr>
        <w:t>сравнению</w:t>
      </w:r>
      <w:r w:rsidR="00A25FD3" w:rsidRPr="00A25FD3">
        <w:rPr>
          <w:lang w:val="ru-RU"/>
        </w:rPr>
        <w:t xml:space="preserve"> </w:t>
      </w:r>
      <w:r w:rsidR="00A25FD3">
        <w:rPr>
          <w:lang w:val="ru-RU"/>
        </w:rPr>
        <w:t>с</w:t>
      </w:r>
      <w:r w:rsidR="00A25FD3" w:rsidRPr="00A25FD3">
        <w:rPr>
          <w:lang w:val="ru-RU"/>
        </w:rPr>
        <w:t xml:space="preserve"> 16% </w:t>
      </w:r>
      <w:r w:rsidR="00A25FD3">
        <w:rPr>
          <w:lang w:val="ru-RU"/>
        </w:rPr>
        <w:t>в</w:t>
      </w:r>
      <w:r w:rsidR="00A25FD3" w:rsidRPr="00A25FD3">
        <w:rPr>
          <w:lang w:val="ru-RU"/>
        </w:rPr>
        <w:t xml:space="preserve"> 2015</w:t>
      </w:r>
      <w:r w:rsidR="00A25FD3" w:rsidRPr="00A25FD3">
        <w:rPr>
          <w:lang w:val="en-US"/>
        </w:rPr>
        <w:t> </w:t>
      </w:r>
      <w:r w:rsidR="00A25FD3">
        <w:rPr>
          <w:lang w:val="ru-RU"/>
        </w:rPr>
        <w:t>г</w:t>
      </w:r>
      <w:r w:rsidR="00A25FD3" w:rsidRPr="00A25FD3">
        <w:rPr>
          <w:lang w:val="ru-RU"/>
        </w:rPr>
        <w:t xml:space="preserve">.; </w:t>
      </w:r>
      <w:r w:rsidR="00A25FD3">
        <w:rPr>
          <w:lang w:val="ru-RU"/>
        </w:rPr>
        <w:t>и</w:t>
      </w:r>
      <w:r w:rsidR="00A25FD3" w:rsidRPr="00A25FD3">
        <w:rPr>
          <w:lang w:val="ru-RU"/>
        </w:rPr>
        <w:t xml:space="preserve"> 80% </w:t>
      </w:r>
      <w:r w:rsidR="00A25FD3">
        <w:rPr>
          <w:lang w:val="ru-RU"/>
        </w:rPr>
        <w:t>докладов</w:t>
      </w:r>
      <w:r w:rsidR="00A25FD3" w:rsidRPr="00A25FD3">
        <w:rPr>
          <w:lang w:val="ru-RU"/>
        </w:rPr>
        <w:t xml:space="preserve">, </w:t>
      </w:r>
      <w:r w:rsidR="00A25FD3">
        <w:rPr>
          <w:lang w:val="ru-RU"/>
        </w:rPr>
        <w:t>представляемых</w:t>
      </w:r>
      <w:r w:rsidR="00A25FD3" w:rsidRPr="00A25FD3">
        <w:rPr>
          <w:lang w:val="ru-RU"/>
        </w:rPr>
        <w:t xml:space="preserve"> </w:t>
      </w:r>
      <w:r w:rsidR="00A25FD3">
        <w:rPr>
          <w:lang w:val="ru-RU"/>
        </w:rPr>
        <w:t>с</w:t>
      </w:r>
      <w:r w:rsidR="00A25FD3" w:rsidRPr="00A25FD3">
        <w:rPr>
          <w:lang w:val="ru-RU"/>
        </w:rPr>
        <w:t xml:space="preserve"> </w:t>
      </w:r>
      <w:r w:rsidR="00A25FD3">
        <w:rPr>
          <w:lang w:val="ru-RU"/>
        </w:rPr>
        <w:t>помощью</w:t>
      </w:r>
      <w:r w:rsidR="00A25FD3" w:rsidRPr="00A25FD3">
        <w:rPr>
          <w:lang w:val="ru-RU"/>
        </w:rPr>
        <w:t xml:space="preserve"> </w:t>
      </w:r>
      <w:r w:rsidR="00A25FD3">
        <w:rPr>
          <w:lang w:val="ru-RU"/>
        </w:rPr>
        <w:t>формы</w:t>
      </w:r>
      <w:r w:rsidR="00A25FD3" w:rsidRPr="00A25FD3">
        <w:rPr>
          <w:lang w:val="ru-RU"/>
        </w:rPr>
        <w:t xml:space="preserve"> </w:t>
      </w:r>
      <w:r w:rsidR="00C902E0">
        <w:t>ICH</w:t>
      </w:r>
      <w:r w:rsidR="00C902E0" w:rsidRPr="00A25FD3">
        <w:rPr>
          <w:lang w:val="ru-RU"/>
        </w:rPr>
        <w:t>-11 (</w:t>
      </w:r>
      <w:r w:rsidR="00A25FD3">
        <w:rPr>
          <w:lang w:val="ru-RU"/>
        </w:rPr>
        <w:t xml:space="preserve">об элементах Списка срочной охраны (ССО)) были поданы к </w:t>
      </w:r>
      <w:r w:rsidR="00CB03E7">
        <w:rPr>
          <w:lang w:val="ru-RU"/>
        </w:rPr>
        <w:t xml:space="preserve">установленному крайнему сроку – 15 декабря 2016 г. по сравнению с 33% в 2015 г. </w:t>
      </w:r>
      <w:r w:rsidR="00CF015D">
        <w:rPr>
          <w:lang w:val="ru-RU"/>
        </w:rPr>
        <w:t xml:space="preserve">Эта положительная тенденция, по-видимому, подтверждается процентной долей отчетов, представленных к 15 декабря 2017 г.: </w:t>
      </w:r>
      <w:r w:rsidR="00C902E0" w:rsidRPr="00CF015D">
        <w:rPr>
          <w:lang w:val="ru-RU"/>
        </w:rPr>
        <w:t xml:space="preserve">44% </w:t>
      </w:r>
      <w:r w:rsidR="00CF015D">
        <w:rPr>
          <w:lang w:val="ru-RU"/>
        </w:rPr>
        <w:t xml:space="preserve">докладов, представленных с помощью формы </w:t>
      </w:r>
      <w:r w:rsidR="00C902E0">
        <w:t>ICH</w:t>
      </w:r>
      <w:r w:rsidR="00C902E0" w:rsidRPr="00CF015D">
        <w:rPr>
          <w:lang w:val="ru-RU"/>
        </w:rPr>
        <w:t>-10</w:t>
      </w:r>
      <w:r w:rsidR="00F7772A">
        <w:rPr>
          <w:lang w:val="ru-RU"/>
        </w:rPr>
        <w:t xml:space="preserve">, а также 84%, представленных с помощью формы </w:t>
      </w:r>
      <w:r w:rsidR="00C902E0">
        <w:t>ICH</w:t>
      </w:r>
      <w:r w:rsidR="00C902E0" w:rsidRPr="00CF015D">
        <w:rPr>
          <w:lang w:val="ru-RU"/>
        </w:rPr>
        <w:t xml:space="preserve">-11. </w:t>
      </w:r>
      <w:r w:rsidR="00082B14">
        <w:rPr>
          <w:lang w:val="ru-RU"/>
        </w:rPr>
        <w:t>Щедрый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взнос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Республики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Корея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в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Фонд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нематериального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культурного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наследия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уже</w:t>
      </w:r>
      <w:r w:rsidR="00082B14" w:rsidRPr="00254382">
        <w:rPr>
          <w:lang w:val="ru-RU"/>
        </w:rPr>
        <w:t xml:space="preserve"> </w:t>
      </w:r>
      <w:r w:rsidR="00082B14">
        <w:rPr>
          <w:lang w:val="ru-RU"/>
        </w:rPr>
        <w:t>позволил</w:t>
      </w:r>
      <w:r w:rsidR="00082B14" w:rsidRPr="00254382">
        <w:rPr>
          <w:lang w:val="ru-RU"/>
        </w:rPr>
        <w:t xml:space="preserve"> </w:t>
      </w:r>
      <w:r w:rsidR="00254382">
        <w:rPr>
          <w:lang w:val="ru-RU"/>
        </w:rPr>
        <w:t xml:space="preserve">Секретариату </w:t>
      </w:r>
      <w:r w:rsidR="003721E4">
        <w:rPr>
          <w:lang w:val="ru-RU"/>
        </w:rPr>
        <w:t>у</w:t>
      </w:r>
      <w:r w:rsidR="00254382">
        <w:rPr>
          <w:lang w:val="ru-RU"/>
        </w:rPr>
        <w:t>совершенствовать</w:t>
      </w:r>
      <w:r w:rsidR="00254382" w:rsidRPr="00254382">
        <w:rPr>
          <w:lang w:val="ru-RU"/>
        </w:rPr>
        <w:t xml:space="preserve"> </w:t>
      </w:r>
      <w:r w:rsidR="00254382">
        <w:rPr>
          <w:lang w:val="ru-RU"/>
        </w:rPr>
        <w:t>механизм</w:t>
      </w:r>
      <w:r w:rsidR="00254382" w:rsidRPr="00254382">
        <w:rPr>
          <w:lang w:val="ru-RU"/>
        </w:rPr>
        <w:t xml:space="preserve"> </w:t>
      </w:r>
      <w:r w:rsidR="00254382">
        <w:rPr>
          <w:lang w:val="ru-RU"/>
        </w:rPr>
        <w:t>представления</w:t>
      </w:r>
      <w:r w:rsidR="00254382" w:rsidRPr="00254382">
        <w:rPr>
          <w:lang w:val="ru-RU"/>
        </w:rPr>
        <w:t xml:space="preserve"> </w:t>
      </w:r>
      <w:r w:rsidR="00254382">
        <w:rPr>
          <w:lang w:val="ru-RU"/>
        </w:rPr>
        <w:t>периодических</w:t>
      </w:r>
      <w:r w:rsidR="00254382" w:rsidRPr="00254382">
        <w:rPr>
          <w:lang w:val="ru-RU"/>
        </w:rPr>
        <w:t xml:space="preserve"> </w:t>
      </w:r>
      <w:r w:rsidR="00254382">
        <w:rPr>
          <w:lang w:val="ru-RU"/>
        </w:rPr>
        <w:t xml:space="preserve">докладов </w:t>
      </w:r>
      <w:r w:rsidR="00082B14">
        <w:rPr>
          <w:lang w:val="ru-RU"/>
        </w:rPr>
        <w:t>и</w:t>
      </w:r>
      <w:r w:rsidR="00082B14" w:rsidRPr="00254382">
        <w:rPr>
          <w:lang w:val="ru-RU"/>
        </w:rPr>
        <w:t xml:space="preserve"> </w:t>
      </w:r>
      <w:r w:rsidR="00254382">
        <w:rPr>
          <w:lang w:val="ru-RU"/>
        </w:rPr>
        <w:t>даст возможность осуществлять эту деятельность в дальнейшем. Это</w:t>
      </w:r>
      <w:r w:rsidR="00254382" w:rsidRPr="00184E01">
        <w:rPr>
          <w:lang w:val="ru-RU"/>
        </w:rPr>
        <w:t xml:space="preserve"> </w:t>
      </w:r>
      <w:r w:rsidR="00254382">
        <w:rPr>
          <w:lang w:val="ru-RU"/>
        </w:rPr>
        <w:t>касается</w:t>
      </w:r>
      <w:r w:rsidR="00254382" w:rsidRPr="00184E01">
        <w:rPr>
          <w:lang w:val="ru-RU"/>
        </w:rPr>
        <w:t xml:space="preserve"> </w:t>
      </w:r>
      <w:r w:rsidR="00254382">
        <w:rPr>
          <w:lang w:val="ru-RU"/>
        </w:rPr>
        <w:t>недавно</w:t>
      </w:r>
      <w:r w:rsidR="00254382" w:rsidRPr="00184E01">
        <w:rPr>
          <w:lang w:val="ru-RU"/>
        </w:rPr>
        <w:t xml:space="preserve"> </w:t>
      </w:r>
      <w:r w:rsidR="00254382">
        <w:rPr>
          <w:lang w:val="ru-RU"/>
        </w:rPr>
        <w:t>созданного</w:t>
      </w:r>
      <w:r w:rsidR="00254382" w:rsidRPr="00184E01">
        <w:rPr>
          <w:lang w:val="ru-RU"/>
        </w:rPr>
        <w:t xml:space="preserve"> </w:t>
      </w:r>
      <w:r w:rsidR="00254382">
        <w:rPr>
          <w:lang w:val="ru-RU"/>
        </w:rPr>
        <w:t>онлайн</w:t>
      </w:r>
      <w:r w:rsidR="00254382" w:rsidRPr="00184E01">
        <w:rPr>
          <w:lang w:val="ru-RU"/>
        </w:rPr>
        <w:t>-</w:t>
      </w:r>
      <w:r w:rsidR="00254382">
        <w:rPr>
          <w:lang w:val="ru-RU"/>
        </w:rPr>
        <w:t>инструмента</w:t>
      </w:r>
      <w:r w:rsidR="00184E01" w:rsidRPr="00184E01">
        <w:rPr>
          <w:lang w:val="ru-RU"/>
        </w:rPr>
        <w:t xml:space="preserve"> </w:t>
      </w:r>
      <w:r w:rsidR="00184E01">
        <w:rPr>
          <w:lang w:val="ru-RU"/>
        </w:rPr>
        <w:t>для</w:t>
      </w:r>
      <w:r w:rsidR="00184E01" w:rsidRPr="00184E01">
        <w:rPr>
          <w:lang w:val="ru-RU"/>
        </w:rPr>
        <w:t xml:space="preserve"> </w:t>
      </w:r>
      <w:r w:rsidR="00184E01">
        <w:rPr>
          <w:lang w:val="ru-RU"/>
        </w:rPr>
        <w:t>подачи</w:t>
      </w:r>
      <w:r w:rsidR="00184E01" w:rsidRPr="00184E01">
        <w:rPr>
          <w:lang w:val="ru-RU"/>
        </w:rPr>
        <w:t xml:space="preserve"> </w:t>
      </w:r>
      <w:r w:rsidR="00184E01">
        <w:rPr>
          <w:lang w:val="ru-RU"/>
        </w:rPr>
        <w:t xml:space="preserve">докладов </w:t>
      </w:r>
      <w:r w:rsidR="008423A3">
        <w:rPr>
          <w:lang w:val="ru-RU"/>
        </w:rPr>
        <w:t xml:space="preserve">об элементах ССО (с использованием </w:t>
      </w:r>
      <w:r w:rsidR="002D7324">
        <w:rPr>
          <w:lang w:val="ru-RU"/>
        </w:rPr>
        <w:t xml:space="preserve">формы </w:t>
      </w:r>
      <w:r w:rsidR="002D7324">
        <w:t>ICH</w:t>
      </w:r>
      <w:r w:rsidR="002D7324" w:rsidRPr="00184E01">
        <w:rPr>
          <w:lang w:val="ru-RU"/>
        </w:rPr>
        <w:t xml:space="preserve">-11). </w:t>
      </w:r>
      <w:r w:rsidR="008423A3">
        <w:rPr>
          <w:lang w:val="ru-RU"/>
        </w:rPr>
        <w:t>В</w:t>
      </w:r>
      <w:r w:rsidR="008423A3" w:rsidRPr="00AD5750">
        <w:rPr>
          <w:lang w:val="ru-RU"/>
        </w:rPr>
        <w:t xml:space="preserve"> </w:t>
      </w:r>
      <w:r w:rsidR="008423A3">
        <w:rPr>
          <w:lang w:val="ru-RU"/>
        </w:rPr>
        <w:t>случае</w:t>
      </w:r>
      <w:r w:rsidR="008423A3" w:rsidRPr="00AD5750">
        <w:rPr>
          <w:lang w:val="ru-RU"/>
        </w:rPr>
        <w:t xml:space="preserve">, </w:t>
      </w:r>
      <w:r w:rsidR="008423A3">
        <w:rPr>
          <w:lang w:val="ru-RU"/>
        </w:rPr>
        <w:t>если</w:t>
      </w:r>
      <w:r w:rsidR="008423A3" w:rsidRPr="00AD5750">
        <w:rPr>
          <w:lang w:val="ru-RU"/>
        </w:rPr>
        <w:t xml:space="preserve"> </w:t>
      </w:r>
      <w:r w:rsidR="008423A3">
        <w:rPr>
          <w:lang w:val="ru-RU"/>
        </w:rPr>
        <w:t>настоящая</w:t>
      </w:r>
      <w:r w:rsidR="008423A3" w:rsidRPr="00AD5750">
        <w:rPr>
          <w:lang w:val="ru-RU"/>
        </w:rPr>
        <w:t xml:space="preserve"> </w:t>
      </w:r>
      <w:r w:rsidR="008423A3">
        <w:rPr>
          <w:lang w:val="ru-RU"/>
        </w:rPr>
        <w:t>сессия</w:t>
      </w:r>
      <w:r w:rsidR="008423A3" w:rsidRPr="00AD5750">
        <w:rPr>
          <w:lang w:val="ru-RU"/>
        </w:rPr>
        <w:t xml:space="preserve"> </w:t>
      </w:r>
      <w:r w:rsidR="008423A3">
        <w:rPr>
          <w:lang w:val="ru-RU"/>
        </w:rPr>
        <w:t>одобрит</w:t>
      </w:r>
      <w:r w:rsidR="008423A3" w:rsidRPr="00AD5750">
        <w:rPr>
          <w:lang w:val="ru-RU"/>
        </w:rPr>
        <w:t xml:space="preserve"> </w:t>
      </w:r>
      <w:r w:rsidR="008423A3">
        <w:rPr>
          <w:lang w:val="ru-RU"/>
        </w:rPr>
        <w:t>проект</w:t>
      </w:r>
      <w:r w:rsidR="008423A3" w:rsidRPr="00AD5750">
        <w:rPr>
          <w:lang w:val="ru-RU"/>
        </w:rPr>
        <w:t xml:space="preserve"> </w:t>
      </w:r>
      <w:r w:rsidR="002D7324">
        <w:rPr>
          <w:lang w:val="ru-RU"/>
        </w:rPr>
        <w:t>общей</w:t>
      </w:r>
      <w:r w:rsidR="002D7324" w:rsidRPr="00AD5750">
        <w:rPr>
          <w:lang w:val="ru-RU"/>
        </w:rPr>
        <w:t xml:space="preserve"> </w:t>
      </w:r>
      <w:r w:rsidR="004604A4">
        <w:rPr>
          <w:lang w:val="ru-RU"/>
        </w:rPr>
        <w:t>системы оценки</w:t>
      </w:r>
      <w:r w:rsidR="004604A4" w:rsidRPr="00AD5750">
        <w:rPr>
          <w:lang w:val="ru-RU"/>
        </w:rPr>
        <w:t xml:space="preserve"> </w:t>
      </w:r>
      <w:r w:rsidR="002D7324">
        <w:rPr>
          <w:lang w:val="ru-RU"/>
        </w:rPr>
        <w:t>результатов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Конвенции</w:t>
      </w:r>
      <w:r w:rsidR="002D7324" w:rsidRPr="00AD5750">
        <w:rPr>
          <w:lang w:val="ru-RU"/>
        </w:rPr>
        <w:t xml:space="preserve">, </w:t>
      </w:r>
      <w:r w:rsidR="002D7324">
        <w:rPr>
          <w:lang w:val="ru-RU"/>
        </w:rPr>
        <w:t>онлайн</w:t>
      </w:r>
      <w:r w:rsidR="002D7324" w:rsidRPr="00AD5750">
        <w:rPr>
          <w:lang w:val="ru-RU"/>
        </w:rPr>
        <w:t>-</w:t>
      </w:r>
      <w:r w:rsidR="002D7324">
        <w:rPr>
          <w:lang w:val="ru-RU"/>
        </w:rPr>
        <w:t>подача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будет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также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расширена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на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периодические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доклады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о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выполнении</w:t>
      </w:r>
      <w:r w:rsidR="002D7324" w:rsidRPr="00AD5750">
        <w:rPr>
          <w:lang w:val="ru-RU"/>
        </w:rPr>
        <w:t xml:space="preserve"> </w:t>
      </w:r>
      <w:r w:rsidR="002D7324">
        <w:rPr>
          <w:lang w:val="ru-RU"/>
        </w:rPr>
        <w:t>Конвенции</w:t>
      </w:r>
      <w:r w:rsidR="002D7324" w:rsidRPr="00AD5750">
        <w:rPr>
          <w:lang w:val="ru-RU"/>
        </w:rPr>
        <w:t xml:space="preserve"> </w:t>
      </w:r>
      <w:r w:rsidR="00AD5750" w:rsidRPr="00AD5750">
        <w:rPr>
          <w:lang w:val="ru-RU"/>
        </w:rPr>
        <w:t>(</w:t>
      </w:r>
      <w:r w:rsidR="00AD5750">
        <w:rPr>
          <w:lang w:val="ru-RU"/>
        </w:rPr>
        <w:t>с</w:t>
      </w:r>
      <w:r w:rsidR="00AD5750" w:rsidRPr="00AD5750">
        <w:rPr>
          <w:lang w:val="ru-RU"/>
        </w:rPr>
        <w:t xml:space="preserve"> </w:t>
      </w:r>
      <w:r w:rsidR="00AD5750">
        <w:rPr>
          <w:lang w:val="ru-RU"/>
        </w:rPr>
        <w:t>использованием</w:t>
      </w:r>
      <w:r w:rsidR="00AD5750" w:rsidRPr="00AD5750">
        <w:rPr>
          <w:lang w:val="ru-RU"/>
        </w:rPr>
        <w:t xml:space="preserve"> </w:t>
      </w:r>
      <w:r w:rsidR="00AD5750">
        <w:rPr>
          <w:lang w:val="ru-RU"/>
        </w:rPr>
        <w:t>формы</w:t>
      </w:r>
      <w:r w:rsidR="00AD5750" w:rsidRPr="00AD5750">
        <w:rPr>
          <w:lang w:val="ru-RU"/>
        </w:rPr>
        <w:t xml:space="preserve"> </w:t>
      </w:r>
      <w:r w:rsidR="00C902E0">
        <w:t>ICH</w:t>
      </w:r>
      <w:r w:rsidR="00C902E0" w:rsidRPr="00AD5750">
        <w:rPr>
          <w:lang w:val="ru-RU"/>
        </w:rPr>
        <w:t>-10) (</w:t>
      </w:r>
      <w:r w:rsidR="00AD5750">
        <w:rPr>
          <w:lang w:val="ru-RU"/>
        </w:rPr>
        <w:t xml:space="preserve">более подробная информация представлена в </w:t>
      </w:r>
      <w:r w:rsidR="00AD5750" w:rsidRPr="00B15C2E">
        <w:rPr>
          <w:lang w:val="ru-RU"/>
        </w:rPr>
        <w:t>документах</w:t>
      </w:r>
      <w:r w:rsidR="00C902E0" w:rsidRPr="00B15C2E">
        <w:rPr>
          <w:lang w:val="ru-RU"/>
        </w:rPr>
        <w:t xml:space="preserve"> </w:t>
      </w:r>
      <w:hyperlink r:id="rId25" w:history="1">
        <w:r w:rsidR="00C902E0" w:rsidRPr="00E22EA0">
          <w:rPr>
            <w:rStyle w:val="Hyperlink"/>
            <w:rFonts w:cs="Arial"/>
          </w:rPr>
          <w:t>ITH</w:t>
        </w:r>
        <w:r w:rsidR="00C902E0" w:rsidRPr="00E22EA0">
          <w:rPr>
            <w:rStyle w:val="Hyperlink"/>
            <w:rFonts w:cs="Arial"/>
            <w:lang w:val="ru-RU"/>
          </w:rPr>
          <w:t>/18/7.</w:t>
        </w:r>
        <w:r w:rsidR="00C902E0" w:rsidRPr="00E22EA0">
          <w:rPr>
            <w:rStyle w:val="Hyperlink"/>
            <w:rFonts w:cs="Arial"/>
          </w:rPr>
          <w:t>GA</w:t>
        </w:r>
        <w:r w:rsidR="00C902E0" w:rsidRPr="00E22EA0">
          <w:rPr>
            <w:rStyle w:val="Hyperlink"/>
            <w:rFonts w:cs="Arial"/>
            <w:lang w:val="ru-RU"/>
          </w:rPr>
          <w:t>/9</w:t>
        </w:r>
      </w:hyperlink>
      <w:r w:rsidR="00C902E0" w:rsidRPr="00B15C2E">
        <w:rPr>
          <w:lang w:val="ru-RU"/>
        </w:rPr>
        <w:t xml:space="preserve"> </w:t>
      </w:r>
      <w:r w:rsidR="00AD5750" w:rsidRPr="00B15C2E">
        <w:rPr>
          <w:lang w:val="ru-RU"/>
        </w:rPr>
        <w:t>и</w:t>
      </w:r>
      <w:r w:rsidR="00C902E0" w:rsidRPr="00B15C2E">
        <w:rPr>
          <w:lang w:val="ru-RU"/>
        </w:rPr>
        <w:t xml:space="preserve"> </w:t>
      </w:r>
      <w:hyperlink r:id="rId26" w:history="1">
        <w:r w:rsidR="00C902E0" w:rsidRPr="00E22EA0">
          <w:rPr>
            <w:rStyle w:val="Hyperlink"/>
            <w:rFonts w:cs="Arial"/>
          </w:rPr>
          <w:t>ITH</w:t>
        </w:r>
        <w:r w:rsidR="00C902E0" w:rsidRPr="00E22EA0">
          <w:rPr>
            <w:rStyle w:val="Hyperlink"/>
            <w:rFonts w:cs="Arial"/>
            <w:lang w:val="ru-RU"/>
          </w:rPr>
          <w:t>/18/7.</w:t>
        </w:r>
        <w:r w:rsidR="00C902E0" w:rsidRPr="00E22EA0">
          <w:rPr>
            <w:rStyle w:val="Hyperlink"/>
            <w:rFonts w:cs="Arial"/>
          </w:rPr>
          <w:t>GA</w:t>
        </w:r>
        <w:r w:rsidR="00C902E0" w:rsidRPr="00E22EA0">
          <w:rPr>
            <w:rStyle w:val="Hyperlink"/>
            <w:rFonts w:cs="Arial"/>
            <w:lang w:val="ru-RU"/>
          </w:rPr>
          <w:t>/</w:t>
        </w:r>
        <w:r w:rsidR="00C902E0" w:rsidRPr="00E22EA0">
          <w:rPr>
            <w:rStyle w:val="Hyperlink"/>
            <w:lang w:val="ru-RU"/>
          </w:rPr>
          <w:t>10</w:t>
        </w:r>
      </w:hyperlink>
      <w:r w:rsidR="00C902E0" w:rsidRPr="00E22EA0">
        <w:rPr>
          <w:lang w:val="ru-RU"/>
        </w:rPr>
        <w:t>)</w:t>
      </w:r>
      <w:r w:rsidR="00C902E0" w:rsidRPr="00B15C2E">
        <w:rPr>
          <w:lang w:val="ru-RU"/>
        </w:rPr>
        <w:t>.</w:t>
      </w:r>
      <w:r w:rsidR="002D7324" w:rsidRPr="00AD5750">
        <w:rPr>
          <w:lang w:val="ru-RU"/>
        </w:rPr>
        <w:t xml:space="preserve"> </w:t>
      </w:r>
    </w:p>
    <w:p w:rsidR="00C902E0" w:rsidRPr="00FF1667" w:rsidRDefault="00C902E0" w:rsidP="00430A07">
      <w:pPr>
        <w:pStyle w:val="COMPara"/>
        <w:keepNext/>
        <w:spacing w:before="240"/>
        <w:ind w:left="0" w:firstLine="0"/>
        <w:jc w:val="both"/>
        <w:rPr>
          <w:b/>
          <w:caps/>
          <w:lang w:val="en-US"/>
        </w:rPr>
      </w:pPr>
      <w:r>
        <w:rPr>
          <w:b/>
          <w:caps/>
          <w:lang w:val="ru-RU"/>
        </w:rPr>
        <w:t xml:space="preserve">ОБЩАЯ </w:t>
      </w:r>
      <w:r w:rsidR="00B27689">
        <w:rPr>
          <w:b/>
          <w:caps/>
          <w:lang w:val="ru-RU"/>
        </w:rPr>
        <w:t xml:space="preserve">СИСТЕМА ОЦЕНКИ </w:t>
      </w:r>
      <w:r>
        <w:rPr>
          <w:b/>
          <w:caps/>
          <w:lang w:val="ru-RU"/>
        </w:rPr>
        <w:t>РЕЗУЛЬТАТОВ</w:t>
      </w:r>
    </w:p>
    <w:p w:rsidR="00C902E0" w:rsidRPr="00E22EA0" w:rsidRDefault="00B24052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Несмотря</w:t>
      </w:r>
      <w:r w:rsidRPr="00E506E8">
        <w:rPr>
          <w:lang w:val="ru-RU"/>
        </w:rPr>
        <w:t xml:space="preserve"> </w:t>
      </w:r>
      <w:r>
        <w:rPr>
          <w:lang w:val="ru-RU"/>
        </w:rPr>
        <w:t>на</w:t>
      </w:r>
      <w:r w:rsidRPr="00E506E8">
        <w:rPr>
          <w:lang w:val="ru-RU"/>
        </w:rPr>
        <w:t xml:space="preserve"> </w:t>
      </w:r>
      <w:r>
        <w:rPr>
          <w:lang w:val="ru-RU"/>
        </w:rPr>
        <w:t>всё</w:t>
      </w:r>
      <w:r w:rsidRPr="00E506E8">
        <w:rPr>
          <w:lang w:val="ru-RU"/>
        </w:rPr>
        <w:t xml:space="preserve"> </w:t>
      </w:r>
      <w:r>
        <w:rPr>
          <w:lang w:val="ru-RU"/>
        </w:rPr>
        <w:t>большее</w:t>
      </w:r>
      <w:r w:rsidRPr="00E506E8">
        <w:rPr>
          <w:lang w:val="ru-RU"/>
        </w:rPr>
        <w:t xml:space="preserve"> </w:t>
      </w:r>
      <w:r>
        <w:rPr>
          <w:lang w:val="ru-RU"/>
        </w:rPr>
        <w:t>значение</w:t>
      </w:r>
      <w:r w:rsidRPr="00E506E8">
        <w:rPr>
          <w:lang w:val="ru-RU"/>
        </w:rPr>
        <w:t xml:space="preserve">, </w:t>
      </w:r>
      <w:r>
        <w:rPr>
          <w:lang w:val="ru-RU"/>
        </w:rPr>
        <w:t>которое</w:t>
      </w:r>
      <w:r w:rsidRPr="00E506E8">
        <w:rPr>
          <w:lang w:val="ru-RU"/>
        </w:rPr>
        <w:t xml:space="preserve"> </w:t>
      </w:r>
      <w:r>
        <w:rPr>
          <w:lang w:val="ru-RU"/>
        </w:rPr>
        <w:t>различные</w:t>
      </w:r>
      <w:r w:rsidRPr="00E506E8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E506E8">
        <w:rPr>
          <w:lang w:val="ru-RU"/>
        </w:rPr>
        <w:t xml:space="preserve"> </w:t>
      </w:r>
      <w:r>
        <w:rPr>
          <w:lang w:val="ru-RU"/>
        </w:rPr>
        <w:t>стороны</w:t>
      </w:r>
      <w:r w:rsidRPr="00E506E8">
        <w:rPr>
          <w:lang w:val="ru-RU"/>
        </w:rPr>
        <w:t xml:space="preserve"> </w:t>
      </w:r>
      <w:r w:rsidR="00DF1F3D">
        <w:rPr>
          <w:lang w:val="ru-RU"/>
        </w:rPr>
        <w:t>придают</w:t>
      </w:r>
      <w:r w:rsidR="00DF1F3D" w:rsidRPr="00E506E8">
        <w:rPr>
          <w:lang w:val="ru-RU"/>
        </w:rPr>
        <w:t xml:space="preserve"> </w:t>
      </w:r>
      <w:r w:rsidR="00DF1F3D">
        <w:rPr>
          <w:lang w:val="ru-RU"/>
        </w:rPr>
        <w:t>Конвенции</w:t>
      </w:r>
      <w:r w:rsidR="00DF1F3D" w:rsidRPr="00E506E8">
        <w:rPr>
          <w:lang w:val="ru-RU"/>
        </w:rPr>
        <w:t xml:space="preserve">, </w:t>
      </w:r>
      <w:r w:rsidR="003468D3">
        <w:rPr>
          <w:lang w:val="ru-RU"/>
        </w:rPr>
        <w:t>нельзя</w:t>
      </w:r>
      <w:r w:rsidR="003468D3" w:rsidRPr="00E506E8">
        <w:rPr>
          <w:lang w:val="ru-RU"/>
        </w:rPr>
        <w:t xml:space="preserve"> </w:t>
      </w:r>
      <w:r w:rsidR="003468D3">
        <w:rPr>
          <w:lang w:val="ru-RU"/>
        </w:rPr>
        <w:t>сделать</w:t>
      </w:r>
      <w:r w:rsidR="003468D3" w:rsidRPr="00E506E8">
        <w:rPr>
          <w:lang w:val="ru-RU"/>
        </w:rPr>
        <w:t xml:space="preserve"> </w:t>
      </w:r>
      <w:r w:rsidR="003468D3">
        <w:rPr>
          <w:lang w:val="ru-RU"/>
        </w:rPr>
        <w:t>никаких</w:t>
      </w:r>
      <w:r w:rsidR="003468D3" w:rsidRPr="00E506E8">
        <w:rPr>
          <w:lang w:val="ru-RU"/>
        </w:rPr>
        <w:t xml:space="preserve"> </w:t>
      </w:r>
      <w:r w:rsidR="003468D3">
        <w:rPr>
          <w:lang w:val="ru-RU"/>
        </w:rPr>
        <w:t>надежных</w:t>
      </w:r>
      <w:r w:rsidR="003468D3" w:rsidRPr="00E506E8">
        <w:rPr>
          <w:lang w:val="ru-RU"/>
        </w:rPr>
        <w:t xml:space="preserve"> </w:t>
      </w:r>
      <w:r w:rsidR="003468D3">
        <w:rPr>
          <w:lang w:val="ru-RU"/>
        </w:rPr>
        <w:t>выводов</w:t>
      </w:r>
      <w:r w:rsidR="003468D3" w:rsidRPr="00E506E8">
        <w:rPr>
          <w:lang w:val="ru-RU"/>
        </w:rPr>
        <w:t xml:space="preserve"> </w:t>
      </w:r>
      <w:r w:rsidR="00442314">
        <w:rPr>
          <w:lang w:val="ru-RU"/>
        </w:rPr>
        <w:t>о</w:t>
      </w:r>
      <w:r w:rsidR="00442314" w:rsidRPr="00E506E8">
        <w:rPr>
          <w:lang w:val="ru-RU"/>
        </w:rPr>
        <w:t xml:space="preserve"> </w:t>
      </w:r>
      <w:r w:rsidR="00442314">
        <w:rPr>
          <w:lang w:val="ru-RU"/>
        </w:rPr>
        <w:t>прогрессе</w:t>
      </w:r>
      <w:r w:rsidR="00442314" w:rsidRPr="00E506E8">
        <w:rPr>
          <w:lang w:val="ru-RU"/>
        </w:rPr>
        <w:t xml:space="preserve"> </w:t>
      </w:r>
      <w:r w:rsidR="00442314">
        <w:rPr>
          <w:lang w:val="ru-RU"/>
        </w:rPr>
        <w:t>в</w:t>
      </w:r>
      <w:r w:rsidR="00442314" w:rsidRPr="00E506E8">
        <w:rPr>
          <w:lang w:val="ru-RU"/>
        </w:rPr>
        <w:t xml:space="preserve"> </w:t>
      </w:r>
      <w:r w:rsidR="00442314">
        <w:rPr>
          <w:lang w:val="ru-RU"/>
        </w:rPr>
        <w:t>ее</w:t>
      </w:r>
      <w:r w:rsidR="00442314" w:rsidRPr="00E506E8">
        <w:rPr>
          <w:lang w:val="ru-RU"/>
        </w:rPr>
        <w:t xml:space="preserve"> </w:t>
      </w:r>
      <w:r w:rsidR="00442314">
        <w:rPr>
          <w:lang w:val="ru-RU"/>
        </w:rPr>
        <w:t>осуществлении</w:t>
      </w:r>
      <w:r w:rsidR="00442314" w:rsidRPr="00E506E8">
        <w:rPr>
          <w:lang w:val="ru-RU"/>
        </w:rPr>
        <w:t xml:space="preserve"> </w:t>
      </w:r>
      <w:r w:rsidR="00442314">
        <w:rPr>
          <w:lang w:val="ru-RU"/>
        </w:rPr>
        <w:t>и</w:t>
      </w:r>
      <w:r w:rsidR="00442314" w:rsidRPr="00E506E8">
        <w:rPr>
          <w:lang w:val="ru-RU"/>
        </w:rPr>
        <w:t xml:space="preserve"> </w:t>
      </w:r>
      <w:r w:rsidR="008F4282">
        <w:rPr>
          <w:lang w:val="ru-RU"/>
        </w:rPr>
        <w:t>результативности</w:t>
      </w:r>
      <w:r w:rsidR="008F4282" w:rsidRPr="00E506E8">
        <w:rPr>
          <w:lang w:val="ru-RU"/>
        </w:rPr>
        <w:t xml:space="preserve"> </w:t>
      </w:r>
      <w:r w:rsidR="008F4282">
        <w:rPr>
          <w:lang w:val="ru-RU"/>
        </w:rPr>
        <w:t>в</w:t>
      </w:r>
      <w:r w:rsidR="008F4282" w:rsidRPr="00E506E8">
        <w:rPr>
          <w:lang w:val="ru-RU"/>
        </w:rPr>
        <w:t xml:space="preserve"> </w:t>
      </w:r>
      <w:r w:rsidR="008F4282">
        <w:rPr>
          <w:lang w:val="ru-RU"/>
        </w:rPr>
        <w:t>отсутствие</w:t>
      </w:r>
      <w:r w:rsidR="008F4282" w:rsidRPr="00E506E8">
        <w:rPr>
          <w:lang w:val="ru-RU"/>
        </w:rPr>
        <w:t xml:space="preserve"> </w:t>
      </w:r>
      <w:r w:rsidR="008F4282">
        <w:rPr>
          <w:lang w:val="ru-RU"/>
        </w:rPr>
        <w:t>общей</w:t>
      </w:r>
      <w:r w:rsidR="008F4282" w:rsidRPr="00E506E8">
        <w:rPr>
          <w:lang w:val="ru-RU"/>
        </w:rPr>
        <w:t xml:space="preserve"> </w:t>
      </w:r>
      <w:r w:rsidR="008F4282">
        <w:rPr>
          <w:lang w:val="ru-RU"/>
        </w:rPr>
        <w:t>системы</w:t>
      </w:r>
      <w:r w:rsidR="008F4282" w:rsidRPr="00E506E8">
        <w:rPr>
          <w:lang w:val="ru-RU"/>
        </w:rPr>
        <w:t xml:space="preserve"> </w:t>
      </w:r>
      <w:r w:rsidR="008F4282">
        <w:rPr>
          <w:lang w:val="ru-RU"/>
        </w:rPr>
        <w:t>мониторинга</w:t>
      </w:r>
      <w:r w:rsidR="008F4282" w:rsidRPr="00E506E8">
        <w:rPr>
          <w:lang w:val="ru-RU"/>
        </w:rPr>
        <w:t xml:space="preserve"> </w:t>
      </w:r>
      <w:r w:rsidR="008F4282">
        <w:rPr>
          <w:lang w:val="ru-RU"/>
        </w:rPr>
        <w:t>и</w:t>
      </w:r>
      <w:r w:rsidR="008F4282" w:rsidRPr="00E506E8">
        <w:rPr>
          <w:lang w:val="ru-RU"/>
        </w:rPr>
        <w:t xml:space="preserve"> </w:t>
      </w:r>
      <w:r w:rsidR="008F4282">
        <w:rPr>
          <w:lang w:val="ru-RU"/>
        </w:rPr>
        <w:t>оценки</w:t>
      </w:r>
      <w:r w:rsidR="008F4282" w:rsidRPr="00E506E8">
        <w:rPr>
          <w:lang w:val="ru-RU"/>
        </w:rPr>
        <w:t xml:space="preserve">. </w:t>
      </w:r>
      <w:r w:rsidR="00A6065A">
        <w:rPr>
          <w:lang w:val="ru-RU"/>
        </w:rPr>
        <w:t>Секретариат</w:t>
      </w:r>
      <w:r w:rsidR="00A6065A" w:rsidRPr="00D620ED">
        <w:rPr>
          <w:lang w:val="ru-RU"/>
        </w:rPr>
        <w:t xml:space="preserve"> </w:t>
      </w:r>
      <w:r w:rsidR="00A6065A">
        <w:rPr>
          <w:lang w:val="ru-RU"/>
        </w:rPr>
        <w:t>инициировал</w:t>
      </w:r>
      <w:r w:rsidR="00A6065A" w:rsidRPr="00D620ED">
        <w:rPr>
          <w:lang w:val="ru-RU"/>
        </w:rPr>
        <w:t xml:space="preserve"> </w:t>
      </w:r>
      <w:r w:rsidR="00881E7A">
        <w:rPr>
          <w:lang w:val="ru-RU"/>
        </w:rPr>
        <w:t>обсуждение</w:t>
      </w:r>
      <w:r w:rsidR="00881E7A" w:rsidRPr="00D620ED">
        <w:rPr>
          <w:lang w:val="ru-RU"/>
        </w:rPr>
        <w:t xml:space="preserve"> </w:t>
      </w:r>
      <w:r w:rsidR="00881E7A">
        <w:rPr>
          <w:lang w:val="ru-RU"/>
        </w:rPr>
        <w:t>вопроса</w:t>
      </w:r>
      <w:r w:rsidR="00881E7A" w:rsidRPr="00D620ED">
        <w:rPr>
          <w:lang w:val="ru-RU"/>
        </w:rPr>
        <w:t xml:space="preserve"> </w:t>
      </w:r>
      <w:r w:rsidR="00881E7A">
        <w:rPr>
          <w:lang w:val="ru-RU"/>
        </w:rPr>
        <w:t>разработк</w:t>
      </w:r>
      <w:r w:rsidR="00D453B8">
        <w:rPr>
          <w:lang w:val="ru-RU"/>
        </w:rPr>
        <w:t>и</w:t>
      </w:r>
      <w:r w:rsidR="00881E7A" w:rsidRPr="00D620ED">
        <w:rPr>
          <w:lang w:val="ru-RU"/>
        </w:rPr>
        <w:t xml:space="preserve"> </w:t>
      </w:r>
      <w:r w:rsidR="00881E7A">
        <w:rPr>
          <w:lang w:val="ru-RU"/>
        </w:rPr>
        <w:t>общей</w:t>
      </w:r>
      <w:r w:rsidR="00881E7A" w:rsidRPr="00D620ED">
        <w:rPr>
          <w:lang w:val="ru-RU"/>
        </w:rPr>
        <w:t xml:space="preserve"> </w:t>
      </w:r>
      <w:r w:rsidR="00B27689">
        <w:rPr>
          <w:lang w:val="ru-RU"/>
        </w:rPr>
        <w:t>системы оценки</w:t>
      </w:r>
      <w:r w:rsidR="00B27689" w:rsidRPr="00D620ED">
        <w:rPr>
          <w:lang w:val="ru-RU"/>
        </w:rPr>
        <w:t xml:space="preserve"> </w:t>
      </w:r>
      <w:r w:rsidR="00881E7A">
        <w:rPr>
          <w:lang w:val="ru-RU"/>
        </w:rPr>
        <w:t>результатов</w:t>
      </w:r>
      <w:r w:rsidR="00881E7A" w:rsidRPr="00D620ED">
        <w:rPr>
          <w:lang w:val="ru-RU"/>
        </w:rPr>
        <w:t xml:space="preserve"> </w:t>
      </w:r>
      <w:r w:rsidR="00881E7A">
        <w:rPr>
          <w:lang w:val="ru-RU"/>
        </w:rPr>
        <w:t>Конвенции</w:t>
      </w:r>
      <w:r w:rsidR="009D37FC">
        <w:rPr>
          <w:lang w:val="ru-RU"/>
        </w:rPr>
        <w:t>, начиная</w:t>
      </w:r>
      <w:r w:rsidR="00881E7A" w:rsidRPr="00D620ED">
        <w:rPr>
          <w:lang w:val="ru-RU"/>
        </w:rPr>
        <w:t xml:space="preserve"> </w:t>
      </w:r>
      <w:r w:rsidR="00D453B8">
        <w:rPr>
          <w:lang w:val="ru-RU"/>
        </w:rPr>
        <w:t>с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предварительного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совещания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экспертов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в</w:t>
      </w:r>
      <w:r w:rsidR="00D453B8" w:rsidRPr="00D620ED">
        <w:rPr>
          <w:lang w:val="ru-RU"/>
        </w:rPr>
        <w:t xml:space="preserve"> 2016</w:t>
      </w:r>
      <w:r w:rsidR="00D453B8" w:rsidRPr="00D453B8">
        <w:rPr>
          <w:lang w:val="en-US"/>
        </w:rPr>
        <w:t> </w:t>
      </w:r>
      <w:r w:rsidR="00D453B8">
        <w:rPr>
          <w:lang w:val="ru-RU"/>
        </w:rPr>
        <w:t>г</w:t>
      </w:r>
      <w:r w:rsidR="00D453B8" w:rsidRPr="00D620ED">
        <w:rPr>
          <w:lang w:val="ru-RU"/>
        </w:rPr>
        <w:t xml:space="preserve">., </w:t>
      </w:r>
      <w:r w:rsidR="009D37FC">
        <w:rPr>
          <w:lang w:val="ru-RU"/>
        </w:rPr>
        <w:t xml:space="preserve">проведенного </w:t>
      </w:r>
      <w:r w:rsidR="00D453B8">
        <w:rPr>
          <w:lang w:val="ru-RU"/>
        </w:rPr>
        <w:t>благодаря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щедрому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взносу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Национальной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комиссии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Китайской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народной</w:t>
      </w:r>
      <w:r w:rsidR="00D453B8" w:rsidRPr="00D620ED">
        <w:rPr>
          <w:lang w:val="ru-RU"/>
        </w:rPr>
        <w:t xml:space="preserve"> </w:t>
      </w:r>
      <w:r w:rsidR="00D453B8">
        <w:rPr>
          <w:lang w:val="ru-RU"/>
        </w:rPr>
        <w:t>республики</w:t>
      </w:r>
      <w:r w:rsidR="00D453B8" w:rsidRPr="00D620ED">
        <w:rPr>
          <w:lang w:val="ru-RU"/>
        </w:rPr>
        <w:t xml:space="preserve">. </w:t>
      </w:r>
      <w:r w:rsidR="00E506E8">
        <w:rPr>
          <w:lang w:val="ru-RU"/>
        </w:rPr>
        <w:t>Комитет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на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своей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одиннадцатой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сессии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приветствовал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первую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разработанную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экспертами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схему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представления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результатов</w:t>
      </w:r>
      <w:r w:rsidR="009D37FC">
        <w:rPr>
          <w:lang w:val="ru-RU"/>
        </w:rPr>
        <w:t>,</w:t>
      </w:r>
      <w:r w:rsidR="004912A6" w:rsidRPr="00202620">
        <w:rPr>
          <w:lang w:val="ru-RU"/>
        </w:rPr>
        <w:t xml:space="preserve"> </w:t>
      </w:r>
      <w:r w:rsidR="004912A6">
        <w:rPr>
          <w:lang w:val="ru-RU"/>
        </w:rPr>
        <w:t>которая</w:t>
      </w:r>
      <w:r w:rsidR="004912A6" w:rsidRPr="00202620">
        <w:rPr>
          <w:lang w:val="ru-RU"/>
        </w:rPr>
        <w:t xml:space="preserve"> </w:t>
      </w:r>
      <w:r w:rsidR="004912A6">
        <w:rPr>
          <w:lang w:val="ru-RU"/>
        </w:rPr>
        <w:t>послужила</w:t>
      </w:r>
      <w:r w:rsidR="004912A6" w:rsidRPr="00202620">
        <w:rPr>
          <w:lang w:val="ru-RU"/>
        </w:rPr>
        <w:t xml:space="preserve"> </w:t>
      </w:r>
      <w:r w:rsidR="00E506E8">
        <w:rPr>
          <w:lang w:val="ru-RU"/>
        </w:rPr>
        <w:t>основой</w:t>
      </w:r>
      <w:r w:rsidR="00E506E8" w:rsidRPr="00202620">
        <w:rPr>
          <w:lang w:val="ru-RU"/>
        </w:rPr>
        <w:t xml:space="preserve"> </w:t>
      </w:r>
      <w:r w:rsidR="004912A6">
        <w:rPr>
          <w:lang w:val="ru-RU"/>
        </w:rPr>
        <w:t>для</w:t>
      </w:r>
      <w:r w:rsidR="004912A6" w:rsidRPr="00202620">
        <w:rPr>
          <w:lang w:val="ru-RU"/>
        </w:rPr>
        <w:t xml:space="preserve"> </w:t>
      </w:r>
      <w:r w:rsidR="00E506E8">
        <w:rPr>
          <w:lang w:val="ru-RU"/>
        </w:rPr>
        <w:t>межправительственной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рабочей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группы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открытого</w:t>
      </w:r>
      <w:r w:rsidR="00E506E8" w:rsidRPr="00202620">
        <w:rPr>
          <w:lang w:val="ru-RU"/>
        </w:rPr>
        <w:t xml:space="preserve"> </w:t>
      </w:r>
      <w:r w:rsidR="00E506E8">
        <w:rPr>
          <w:lang w:val="ru-RU"/>
        </w:rPr>
        <w:t>состава</w:t>
      </w:r>
      <w:r w:rsidR="00E506E8" w:rsidRPr="00202620">
        <w:rPr>
          <w:lang w:val="ru-RU"/>
        </w:rPr>
        <w:t xml:space="preserve">, </w:t>
      </w:r>
      <w:r w:rsidR="00DB50B3">
        <w:rPr>
          <w:lang w:val="ru-RU"/>
        </w:rPr>
        <w:t>радушно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принято</w:t>
      </w:r>
      <w:r w:rsidR="00DB50B3" w:rsidRPr="00202620">
        <w:rPr>
          <w:lang w:val="ru-RU"/>
        </w:rPr>
        <w:t xml:space="preserve">й </w:t>
      </w:r>
      <w:r w:rsidR="00DB50B3">
        <w:rPr>
          <w:lang w:val="ru-RU"/>
        </w:rPr>
        <w:t>в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июне</w:t>
      </w:r>
      <w:r w:rsidR="00DB50B3" w:rsidRPr="00202620">
        <w:rPr>
          <w:lang w:val="ru-RU"/>
        </w:rPr>
        <w:t xml:space="preserve"> 2017</w:t>
      </w:r>
      <w:r w:rsidR="00DB50B3" w:rsidRPr="00DB50B3">
        <w:rPr>
          <w:lang w:val="en-US"/>
        </w:rPr>
        <w:t> </w:t>
      </w:r>
      <w:r w:rsidR="00DB50B3">
        <w:rPr>
          <w:lang w:val="ru-RU"/>
        </w:rPr>
        <w:t>г</w:t>
      </w:r>
      <w:r w:rsidR="00DB50B3" w:rsidRPr="00202620">
        <w:rPr>
          <w:lang w:val="ru-RU"/>
        </w:rPr>
        <w:t xml:space="preserve">. </w:t>
      </w:r>
      <w:r w:rsidR="00DB50B3">
        <w:rPr>
          <w:lang w:val="ru-RU"/>
        </w:rPr>
        <w:t>Министерством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культуры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Китая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и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Центром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по</w:t>
      </w:r>
      <w:r w:rsidR="00DB50B3" w:rsidRPr="00202620">
        <w:rPr>
          <w:lang w:val="ru-RU"/>
        </w:rPr>
        <w:t xml:space="preserve"> </w:t>
      </w:r>
      <w:r w:rsidR="008660DF">
        <w:rPr>
          <w:lang w:val="ru-RU"/>
        </w:rPr>
        <w:t>охране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нематериального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культурного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наследия</w:t>
      </w:r>
      <w:r w:rsidR="00DB50B3" w:rsidRPr="00202620">
        <w:rPr>
          <w:lang w:val="ru-RU"/>
        </w:rPr>
        <w:t xml:space="preserve"> </w:t>
      </w:r>
      <w:r w:rsidR="00DB50B3">
        <w:rPr>
          <w:lang w:val="ru-RU"/>
        </w:rPr>
        <w:t>в</w:t>
      </w:r>
      <w:r w:rsidR="00DB50B3" w:rsidRPr="00202620">
        <w:rPr>
          <w:lang w:val="ru-RU"/>
        </w:rPr>
        <w:t xml:space="preserve"> </w:t>
      </w:r>
      <w:r w:rsidR="00202620">
        <w:rPr>
          <w:lang w:val="ru-RU"/>
        </w:rPr>
        <w:t>Чэнду</w:t>
      </w:r>
      <w:r w:rsidR="00202620" w:rsidRPr="00202620">
        <w:rPr>
          <w:lang w:val="ru-RU"/>
        </w:rPr>
        <w:t xml:space="preserve"> (</w:t>
      </w:r>
      <w:r w:rsidR="00202620">
        <w:rPr>
          <w:lang w:val="ru-RU"/>
        </w:rPr>
        <w:t xml:space="preserve">Китай). </w:t>
      </w:r>
      <w:r w:rsidR="003F59AC">
        <w:rPr>
          <w:lang w:val="ru-RU"/>
        </w:rPr>
        <w:t>При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участии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пятидесяти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трех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государств</w:t>
      </w:r>
      <w:r w:rsidR="003F59AC" w:rsidRPr="00C87940">
        <w:rPr>
          <w:lang w:val="ru-RU"/>
        </w:rPr>
        <w:t>-</w:t>
      </w:r>
      <w:r w:rsidR="003F59AC">
        <w:rPr>
          <w:lang w:val="ru-RU"/>
        </w:rPr>
        <w:t>участников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рабочая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группа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пришла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к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консенсусу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относительно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набора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показателей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для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эффективного</w:t>
      </w:r>
      <w:r w:rsidR="003F59AC" w:rsidRPr="00C87940">
        <w:rPr>
          <w:lang w:val="ru-RU"/>
        </w:rPr>
        <w:t xml:space="preserve"> </w:t>
      </w:r>
      <w:r w:rsidR="003F59AC">
        <w:rPr>
          <w:lang w:val="ru-RU"/>
        </w:rPr>
        <w:t>мониторинга</w:t>
      </w:r>
      <w:r w:rsidR="003F59AC" w:rsidRPr="00C87940">
        <w:rPr>
          <w:lang w:val="ru-RU"/>
        </w:rPr>
        <w:t xml:space="preserve"> </w:t>
      </w:r>
      <w:r w:rsidR="00C87940">
        <w:rPr>
          <w:lang w:val="ru-RU"/>
        </w:rPr>
        <w:t>мероприятий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и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оценки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результатов и воздействия Конвенции.</w:t>
      </w:r>
      <w:r w:rsidR="00C902E0" w:rsidRPr="00C87940">
        <w:rPr>
          <w:lang w:val="ru-RU"/>
        </w:rPr>
        <w:t xml:space="preserve"> </w:t>
      </w:r>
      <w:r w:rsidR="00C87940">
        <w:rPr>
          <w:lang w:val="ru-RU"/>
        </w:rPr>
        <w:t>Эта</w:t>
      </w:r>
      <w:r w:rsidR="00C87940" w:rsidRPr="00C87940">
        <w:rPr>
          <w:lang w:val="ru-RU"/>
        </w:rPr>
        <w:t xml:space="preserve"> </w:t>
      </w:r>
      <w:r w:rsidR="00B27689">
        <w:rPr>
          <w:lang w:val="ru-RU"/>
        </w:rPr>
        <w:t>система</w:t>
      </w:r>
      <w:r w:rsidR="00B27689" w:rsidRPr="00C87940">
        <w:rPr>
          <w:lang w:val="ru-RU"/>
        </w:rPr>
        <w:t xml:space="preserve"> </w:t>
      </w:r>
      <w:r w:rsidR="00C87940">
        <w:rPr>
          <w:lang w:val="ru-RU"/>
        </w:rPr>
        <w:t>включает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также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показатели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для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мониторинга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выполнения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программы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>по</w:t>
      </w:r>
      <w:r w:rsidR="00C87940" w:rsidRPr="00C87940">
        <w:rPr>
          <w:lang w:val="ru-RU"/>
        </w:rPr>
        <w:t xml:space="preserve"> </w:t>
      </w:r>
      <w:r w:rsidR="00C87940">
        <w:rPr>
          <w:lang w:val="ru-RU"/>
        </w:rPr>
        <w:t xml:space="preserve">укреплению потенциала. </w:t>
      </w:r>
      <w:r w:rsidR="0092593A">
        <w:rPr>
          <w:lang w:val="ru-RU"/>
        </w:rPr>
        <w:t>Рабочая</w:t>
      </w:r>
      <w:r w:rsidR="0092593A" w:rsidRPr="0092593A">
        <w:rPr>
          <w:lang w:val="ru-RU"/>
        </w:rPr>
        <w:t xml:space="preserve"> </w:t>
      </w:r>
      <w:r w:rsidR="0092593A">
        <w:rPr>
          <w:lang w:val="ru-RU"/>
        </w:rPr>
        <w:t>группа</w:t>
      </w:r>
      <w:r w:rsidR="0092593A" w:rsidRPr="0092593A">
        <w:rPr>
          <w:lang w:val="ru-RU"/>
        </w:rPr>
        <w:t xml:space="preserve"> </w:t>
      </w:r>
      <w:r w:rsidR="0092593A">
        <w:rPr>
          <w:lang w:val="ru-RU"/>
        </w:rPr>
        <w:t>также</w:t>
      </w:r>
      <w:r w:rsidR="0092593A" w:rsidRPr="0092593A">
        <w:rPr>
          <w:lang w:val="ru-RU"/>
        </w:rPr>
        <w:t xml:space="preserve"> </w:t>
      </w:r>
      <w:r w:rsidR="0092593A">
        <w:rPr>
          <w:lang w:val="ru-RU"/>
        </w:rPr>
        <w:t>рекомендовала</w:t>
      </w:r>
      <w:r w:rsidR="0092593A" w:rsidRPr="0092593A">
        <w:rPr>
          <w:lang w:val="ru-RU"/>
        </w:rPr>
        <w:t xml:space="preserve">, </w:t>
      </w:r>
      <w:r w:rsidR="0092593A">
        <w:rPr>
          <w:lang w:val="ru-RU"/>
        </w:rPr>
        <w:t>чтобы</w:t>
      </w:r>
      <w:r w:rsidR="0092593A" w:rsidRPr="0092593A">
        <w:rPr>
          <w:lang w:val="ru-RU"/>
        </w:rPr>
        <w:t xml:space="preserve"> </w:t>
      </w:r>
      <w:r w:rsidR="00B27689">
        <w:rPr>
          <w:lang w:val="ru-RU"/>
        </w:rPr>
        <w:t>система оценки</w:t>
      </w:r>
      <w:r w:rsidR="00B27689" w:rsidRPr="0092593A">
        <w:rPr>
          <w:lang w:val="ru-RU"/>
        </w:rPr>
        <w:t xml:space="preserve"> </w:t>
      </w:r>
      <w:r w:rsidR="0092593A">
        <w:rPr>
          <w:lang w:val="ru-RU"/>
        </w:rPr>
        <w:t>результатов</w:t>
      </w:r>
      <w:r w:rsidR="0092593A" w:rsidRPr="0092593A">
        <w:rPr>
          <w:lang w:val="ru-RU"/>
        </w:rPr>
        <w:t xml:space="preserve"> </w:t>
      </w:r>
      <w:r w:rsidR="0092593A">
        <w:rPr>
          <w:lang w:val="ru-RU"/>
        </w:rPr>
        <w:t>послужила</w:t>
      </w:r>
      <w:r w:rsidR="0092593A" w:rsidRPr="0092593A">
        <w:rPr>
          <w:lang w:val="ru-RU"/>
        </w:rPr>
        <w:t xml:space="preserve"> </w:t>
      </w:r>
      <w:r w:rsidR="0092593A">
        <w:rPr>
          <w:lang w:val="ru-RU"/>
        </w:rPr>
        <w:t>основой</w:t>
      </w:r>
      <w:r w:rsidR="0092593A" w:rsidRPr="0092593A">
        <w:rPr>
          <w:lang w:val="ru-RU"/>
        </w:rPr>
        <w:t xml:space="preserve"> </w:t>
      </w:r>
      <w:r w:rsidR="0092593A">
        <w:rPr>
          <w:lang w:val="ru-RU"/>
        </w:rPr>
        <w:t>для</w:t>
      </w:r>
      <w:r w:rsidR="0092593A" w:rsidRPr="0092593A">
        <w:rPr>
          <w:lang w:val="ru-RU"/>
        </w:rPr>
        <w:t xml:space="preserve"> </w:t>
      </w:r>
      <w:r w:rsidR="0092593A">
        <w:rPr>
          <w:lang w:val="ru-RU"/>
        </w:rPr>
        <w:t>пересмотра механизма представления периодических докладов. Проект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общей</w:t>
      </w:r>
      <w:r w:rsidR="0092593A" w:rsidRPr="002E79D0">
        <w:rPr>
          <w:lang w:val="ru-RU"/>
        </w:rPr>
        <w:t xml:space="preserve"> </w:t>
      </w:r>
      <w:r w:rsidR="00B27689">
        <w:rPr>
          <w:lang w:val="ru-RU"/>
        </w:rPr>
        <w:t>системы</w:t>
      </w:r>
      <w:r w:rsidR="00B27689" w:rsidRPr="002E79D0">
        <w:rPr>
          <w:lang w:val="ru-RU"/>
        </w:rPr>
        <w:t xml:space="preserve"> </w:t>
      </w:r>
      <w:r w:rsidR="00B27689">
        <w:rPr>
          <w:lang w:val="ru-RU"/>
        </w:rPr>
        <w:t xml:space="preserve">оценки </w:t>
      </w:r>
      <w:r w:rsidR="0092593A">
        <w:rPr>
          <w:lang w:val="ru-RU"/>
        </w:rPr>
        <w:t>результатов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был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представлен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на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двенадцатой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сессии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Комитета</w:t>
      </w:r>
      <w:r w:rsidR="0092593A" w:rsidRPr="002E79D0">
        <w:rPr>
          <w:lang w:val="ru-RU"/>
        </w:rPr>
        <w:t>, и послед</w:t>
      </w:r>
      <w:r w:rsidR="0092593A">
        <w:rPr>
          <w:lang w:val="ru-RU"/>
        </w:rPr>
        <w:t>ний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рекомендовал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Генеральной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ассамблее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утвердить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его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на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нынешней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сессии</w:t>
      </w:r>
      <w:r w:rsidR="0092593A" w:rsidRPr="002E79D0">
        <w:rPr>
          <w:lang w:val="ru-RU"/>
        </w:rPr>
        <w:t xml:space="preserve"> </w:t>
      </w:r>
      <w:r w:rsidR="0092593A">
        <w:rPr>
          <w:lang w:val="ru-RU"/>
        </w:rPr>
        <w:t>и</w:t>
      </w:r>
      <w:r w:rsidR="0092593A" w:rsidRPr="002E79D0">
        <w:rPr>
          <w:lang w:val="ru-RU"/>
        </w:rPr>
        <w:t xml:space="preserve"> </w:t>
      </w:r>
      <w:r w:rsidR="002E79D0">
        <w:rPr>
          <w:lang w:val="ru-RU"/>
        </w:rPr>
        <w:t>предпринять шаги по е</w:t>
      </w:r>
      <w:r w:rsidR="00472756">
        <w:rPr>
          <w:lang w:val="ru-RU"/>
        </w:rPr>
        <w:t>е</w:t>
      </w:r>
      <w:r w:rsidR="002E79D0">
        <w:rPr>
          <w:lang w:val="ru-RU"/>
        </w:rPr>
        <w:t xml:space="preserve"> выполнению </w:t>
      </w:r>
      <w:r w:rsidR="00C902E0" w:rsidRPr="00E22EA0">
        <w:rPr>
          <w:lang w:val="ru-RU"/>
        </w:rPr>
        <w:t>(</w:t>
      </w:r>
      <w:r w:rsidR="00C902E0">
        <w:rPr>
          <w:lang w:val="ru-RU"/>
        </w:rPr>
        <w:t>см</w:t>
      </w:r>
      <w:r w:rsidR="00C902E0" w:rsidRPr="00E22EA0">
        <w:rPr>
          <w:lang w:val="ru-RU"/>
        </w:rPr>
        <w:t xml:space="preserve">. </w:t>
      </w:r>
      <w:r w:rsidR="00C902E0">
        <w:rPr>
          <w:lang w:val="ru-RU"/>
        </w:rPr>
        <w:t>документ</w:t>
      </w:r>
      <w:r w:rsidR="00C902E0" w:rsidRPr="00E22EA0">
        <w:rPr>
          <w:lang w:val="ru-RU"/>
        </w:rPr>
        <w:t xml:space="preserve"> </w:t>
      </w:r>
      <w:r w:rsidR="00B15C2E" w:rsidRPr="00E22EA0">
        <w:fldChar w:fldCharType="begin"/>
      </w:r>
      <w:r w:rsidR="00B15C2E" w:rsidRPr="00E22EA0">
        <w:rPr>
          <w:lang w:val="ru-RU"/>
        </w:rPr>
        <w:instrText xml:space="preserve"> </w:instrText>
      </w:r>
      <w:r w:rsidR="00B15C2E" w:rsidRPr="00E22EA0">
        <w:instrText>HYPERLINK</w:instrText>
      </w:r>
      <w:r w:rsidR="00B15C2E" w:rsidRPr="00E22EA0">
        <w:rPr>
          <w:lang w:val="ru-RU"/>
        </w:rPr>
        <w:instrText xml:space="preserve"> "</w:instrText>
      </w:r>
      <w:r w:rsidR="00B15C2E" w:rsidRPr="00E22EA0">
        <w:instrText>https</w:instrText>
      </w:r>
      <w:r w:rsidR="00B15C2E" w:rsidRPr="00E22EA0">
        <w:rPr>
          <w:lang w:val="ru-RU"/>
        </w:rPr>
        <w:instrText>://</w:instrText>
      </w:r>
      <w:r w:rsidR="00B15C2E" w:rsidRPr="00E22EA0">
        <w:instrText>ich</w:instrText>
      </w:r>
      <w:r w:rsidR="00B15C2E" w:rsidRPr="00E22EA0">
        <w:rPr>
          <w:lang w:val="ru-RU"/>
        </w:rPr>
        <w:instrText>.</w:instrText>
      </w:r>
      <w:r w:rsidR="00B15C2E" w:rsidRPr="00E22EA0">
        <w:instrText>unesco</w:instrText>
      </w:r>
      <w:r w:rsidR="00B15C2E" w:rsidRPr="00E22EA0">
        <w:rPr>
          <w:lang w:val="ru-RU"/>
        </w:rPr>
        <w:instrText>.</w:instrText>
      </w:r>
      <w:r w:rsidR="00B15C2E" w:rsidRPr="00E22EA0">
        <w:instrText>org</w:instrText>
      </w:r>
      <w:r w:rsidR="00B15C2E" w:rsidRPr="00E22EA0">
        <w:rPr>
          <w:lang w:val="ru-RU"/>
        </w:rPr>
        <w:instrText>/</w:instrText>
      </w:r>
      <w:r w:rsidR="00B15C2E" w:rsidRPr="00E22EA0">
        <w:instrText>doc</w:instrText>
      </w:r>
      <w:r w:rsidR="00B15C2E" w:rsidRPr="00E22EA0">
        <w:rPr>
          <w:lang w:val="ru-RU"/>
        </w:rPr>
        <w:instrText>/</w:instrText>
      </w:r>
      <w:r w:rsidR="00B15C2E" w:rsidRPr="00E22EA0">
        <w:instrText>src</w:instrText>
      </w:r>
      <w:r w:rsidR="00B15C2E" w:rsidRPr="00E22EA0">
        <w:rPr>
          <w:lang w:val="ru-RU"/>
        </w:rPr>
        <w:instrText>/</w:instrText>
      </w:r>
      <w:r w:rsidR="00B15C2E" w:rsidRPr="00E22EA0">
        <w:instrText>ITH</w:instrText>
      </w:r>
      <w:r w:rsidR="00B15C2E" w:rsidRPr="00E22EA0">
        <w:rPr>
          <w:lang w:val="ru-RU"/>
        </w:rPr>
        <w:instrText>-18-7.</w:instrText>
      </w:r>
      <w:r w:rsidR="00B15C2E" w:rsidRPr="00E22EA0">
        <w:instrText>GA</w:instrText>
      </w:r>
      <w:r w:rsidR="00B15C2E" w:rsidRPr="00E22EA0">
        <w:rPr>
          <w:lang w:val="ru-RU"/>
        </w:rPr>
        <w:instrText>-9-</w:instrText>
      </w:r>
      <w:r w:rsidR="00B15C2E" w:rsidRPr="00E22EA0">
        <w:instrText>RU</w:instrText>
      </w:r>
      <w:r w:rsidR="00B15C2E" w:rsidRPr="00E22EA0">
        <w:rPr>
          <w:lang w:val="ru-RU"/>
        </w:rPr>
        <w:instrText>.</w:instrText>
      </w:r>
      <w:r w:rsidR="00B15C2E" w:rsidRPr="00E22EA0">
        <w:instrText>docx</w:instrText>
      </w:r>
      <w:r w:rsidR="00B15C2E" w:rsidRPr="00E22EA0">
        <w:rPr>
          <w:lang w:val="ru-RU"/>
        </w:rPr>
        <w:instrText xml:space="preserve">" </w:instrText>
      </w:r>
      <w:r w:rsidR="00B15C2E" w:rsidRPr="00E22EA0">
        <w:fldChar w:fldCharType="separate"/>
      </w:r>
      <w:r w:rsidR="00C902E0" w:rsidRPr="00E22EA0">
        <w:rPr>
          <w:rStyle w:val="Hyperlink"/>
          <w:rFonts w:cs="Arial"/>
        </w:rPr>
        <w:t>ITH</w:t>
      </w:r>
      <w:r w:rsidR="00C902E0" w:rsidRPr="00E22EA0">
        <w:rPr>
          <w:rStyle w:val="Hyperlink"/>
          <w:rFonts w:cs="Arial"/>
          <w:lang w:val="ru-RU"/>
        </w:rPr>
        <w:t>/18/7.</w:t>
      </w:r>
      <w:r w:rsidR="00C902E0" w:rsidRPr="00E22EA0">
        <w:rPr>
          <w:rStyle w:val="Hyperlink"/>
          <w:rFonts w:cs="Arial"/>
        </w:rPr>
        <w:t>GA</w:t>
      </w:r>
      <w:r w:rsidR="00C902E0" w:rsidRPr="00E22EA0">
        <w:rPr>
          <w:rStyle w:val="Hyperlink"/>
          <w:rFonts w:cs="Arial"/>
          <w:lang w:val="ru-RU"/>
        </w:rPr>
        <w:t>/</w:t>
      </w:r>
      <w:r w:rsidR="00C902E0" w:rsidRPr="00E22EA0">
        <w:rPr>
          <w:rStyle w:val="Hyperlink"/>
          <w:lang w:val="ru-RU"/>
        </w:rPr>
        <w:t>9</w:t>
      </w:r>
      <w:r w:rsidR="00B15C2E" w:rsidRPr="00E22EA0">
        <w:fldChar w:fldCharType="end"/>
      </w:r>
      <w:r w:rsidR="00C902E0" w:rsidRPr="00E22EA0">
        <w:rPr>
          <w:lang w:val="ru-RU"/>
        </w:rPr>
        <w:t>).</w:t>
      </w:r>
    </w:p>
    <w:p w:rsidR="00C902E0" w:rsidRPr="00471566" w:rsidRDefault="00C902E0" w:rsidP="00430A07">
      <w:pPr>
        <w:pStyle w:val="COMPara"/>
        <w:keepNext/>
        <w:spacing w:before="240"/>
        <w:ind w:left="0" w:firstLine="0"/>
        <w:jc w:val="both"/>
        <w:rPr>
          <w:b/>
          <w:caps/>
        </w:rPr>
      </w:pPr>
      <w:r>
        <w:rPr>
          <w:b/>
          <w:caps/>
          <w:lang w:val="ru-RU"/>
        </w:rPr>
        <w:t>ЦЕНТРЫ КАТЕГОРИИ</w:t>
      </w:r>
      <w:r w:rsidRPr="003B4E26">
        <w:rPr>
          <w:b/>
          <w:caps/>
        </w:rPr>
        <w:t xml:space="preserve"> 2</w:t>
      </w:r>
    </w:p>
    <w:p w:rsidR="00C902E0" w:rsidRPr="00BD3CF5" w:rsidRDefault="008660DF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Для</w:t>
      </w:r>
      <w:r w:rsidRPr="004A522F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A522F">
        <w:rPr>
          <w:lang w:val="ru-RU"/>
        </w:rPr>
        <w:t xml:space="preserve"> </w:t>
      </w:r>
      <w:r>
        <w:rPr>
          <w:lang w:val="ru-RU"/>
        </w:rPr>
        <w:t>центров</w:t>
      </w:r>
      <w:r w:rsidRPr="004A522F">
        <w:rPr>
          <w:lang w:val="ru-RU"/>
        </w:rPr>
        <w:t xml:space="preserve"> </w:t>
      </w:r>
      <w:r>
        <w:rPr>
          <w:lang w:val="ru-RU"/>
        </w:rPr>
        <w:t>категории</w:t>
      </w:r>
      <w:r w:rsidRPr="004A522F">
        <w:rPr>
          <w:lang w:val="ru-RU"/>
        </w:rPr>
        <w:t xml:space="preserve"> 2 </w:t>
      </w:r>
      <w:r>
        <w:rPr>
          <w:lang w:val="ru-RU"/>
        </w:rPr>
        <w:t>были</w:t>
      </w:r>
      <w:r w:rsidRPr="004A522F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4A522F">
        <w:rPr>
          <w:lang w:val="ru-RU"/>
        </w:rPr>
        <w:t xml:space="preserve"> </w:t>
      </w:r>
      <w:r>
        <w:rPr>
          <w:lang w:val="ru-RU"/>
        </w:rPr>
        <w:t>два</w:t>
      </w:r>
      <w:r w:rsidRPr="004A522F">
        <w:rPr>
          <w:lang w:val="ru-RU"/>
        </w:rPr>
        <w:t xml:space="preserve"> </w:t>
      </w:r>
      <w:r>
        <w:rPr>
          <w:lang w:val="ru-RU"/>
        </w:rPr>
        <w:t>ежегодных</w:t>
      </w:r>
      <w:r w:rsidRPr="004A522F">
        <w:rPr>
          <w:lang w:val="ru-RU"/>
        </w:rPr>
        <w:t xml:space="preserve"> </w:t>
      </w:r>
      <w:r>
        <w:rPr>
          <w:lang w:val="ru-RU"/>
        </w:rPr>
        <w:t>координационных</w:t>
      </w:r>
      <w:r w:rsidRPr="004A522F">
        <w:rPr>
          <w:lang w:val="ru-RU"/>
        </w:rPr>
        <w:t xml:space="preserve"> </w:t>
      </w:r>
      <w:r>
        <w:rPr>
          <w:lang w:val="ru-RU"/>
        </w:rPr>
        <w:t>совещания</w:t>
      </w:r>
      <w:r w:rsidRPr="004A522F">
        <w:rPr>
          <w:lang w:val="ru-RU"/>
        </w:rPr>
        <w:t xml:space="preserve"> (</w:t>
      </w:r>
      <w:r>
        <w:rPr>
          <w:lang w:val="ru-RU"/>
        </w:rPr>
        <w:t>в</w:t>
      </w:r>
      <w:r w:rsidRPr="004A522F">
        <w:rPr>
          <w:lang w:val="ru-RU"/>
        </w:rPr>
        <w:t xml:space="preserve"> </w:t>
      </w:r>
      <w:r>
        <w:rPr>
          <w:lang w:val="ru-RU"/>
        </w:rPr>
        <w:t>июне</w:t>
      </w:r>
      <w:r w:rsidRPr="004A522F">
        <w:rPr>
          <w:lang w:val="ru-RU"/>
        </w:rPr>
        <w:t xml:space="preserve"> 2016</w:t>
      </w:r>
      <w:r w:rsidRPr="008660DF">
        <w:rPr>
          <w:lang w:val="en-US"/>
        </w:rPr>
        <w:t> </w:t>
      </w:r>
      <w:r>
        <w:rPr>
          <w:lang w:val="ru-RU"/>
        </w:rPr>
        <w:t>г</w:t>
      </w:r>
      <w:r w:rsidRPr="004A522F">
        <w:rPr>
          <w:lang w:val="ru-RU"/>
        </w:rPr>
        <w:t xml:space="preserve">. </w:t>
      </w:r>
      <w:r w:rsidR="004A522F">
        <w:rPr>
          <w:lang w:val="ru-RU"/>
        </w:rPr>
        <w:t>в</w:t>
      </w:r>
      <w:r w:rsidRPr="004A522F">
        <w:rPr>
          <w:lang w:val="ru-RU"/>
        </w:rPr>
        <w:t xml:space="preserve"> </w:t>
      </w:r>
      <w:r>
        <w:rPr>
          <w:lang w:val="ru-RU"/>
        </w:rPr>
        <w:t>штаб</w:t>
      </w:r>
      <w:r w:rsidRPr="004A522F">
        <w:rPr>
          <w:lang w:val="ru-RU"/>
        </w:rPr>
        <w:t>-</w:t>
      </w:r>
      <w:r>
        <w:rPr>
          <w:lang w:val="ru-RU"/>
        </w:rPr>
        <w:t>квартире</w:t>
      </w:r>
      <w:r w:rsidRPr="004A522F">
        <w:rPr>
          <w:lang w:val="ru-RU"/>
        </w:rPr>
        <w:t xml:space="preserve"> </w:t>
      </w:r>
      <w:r>
        <w:rPr>
          <w:lang w:val="ru-RU"/>
        </w:rPr>
        <w:t>ЮНЕСКО</w:t>
      </w:r>
      <w:r w:rsidRPr="004A522F">
        <w:rPr>
          <w:lang w:val="ru-RU"/>
        </w:rPr>
        <w:t xml:space="preserve"> </w:t>
      </w:r>
      <w:r>
        <w:rPr>
          <w:lang w:val="ru-RU"/>
        </w:rPr>
        <w:t>и</w:t>
      </w:r>
      <w:r w:rsidRPr="004A522F">
        <w:rPr>
          <w:lang w:val="ru-RU"/>
        </w:rPr>
        <w:t xml:space="preserve"> </w:t>
      </w:r>
      <w:r>
        <w:rPr>
          <w:lang w:val="ru-RU"/>
        </w:rPr>
        <w:t>в</w:t>
      </w:r>
      <w:r w:rsidRPr="004A522F">
        <w:rPr>
          <w:lang w:val="ru-RU"/>
        </w:rPr>
        <w:t xml:space="preserve"> </w:t>
      </w:r>
      <w:r>
        <w:rPr>
          <w:lang w:val="ru-RU"/>
        </w:rPr>
        <w:t>сентябре</w:t>
      </w:r>
      <w:r w:rsidRPr="004A522F">
        <w:rPr>
          <w:lang w:val="ru-RU"/>
        </w:rPr>
        <w:t xml:space="preserve"> 2017</w:t>
      </w:r>
      <w:r w:rsidRPr="008660DF">
        <w:rPr>
          <w:lang w:val="en-US"/>
        </w:rPr>
        <w:t> </w:t>
      </w:r>
      <w:r>
        <w:rPr>
          <w:lang w:val="ru-RU"/>
        </w:rPr>
        <w:t>г</w:t>
      </w:r>
      <w:r w:rsidRPr="004A522F">
        <w:rPr>
          <w:lang w:val="ru-RU"/>
        </w:rPr>
        <w:t xml:space="preserve">. </w:t>
      </w:r>
      <w:r w:rsidR="004A522F">
        <w:rPr>
          <w:lang w:val="ru-RU"/>
        </w:rPr>
        <w:t>в</w:t>
      </w:r>
      <w:r w:rsidRPr="004A522F">
        <w:rPr>
          <w:lang w:val="ru-RU"/>
        </w:rPr>
        <w:t xml:space="preserve"> </w:t>
      </w:r>
      <w:r>
        <w:rPr>
          <w:lang w:val="ru-RU"/>
        </w:rPr>
        <w:t>Ширазе</w:t>
      </w:r>
      <w:r w:rsidRPr="004A522F">
        <w:rPr>
          <w:lang w:val="ru-RU"/>
        </w:rPr>
        <w:t xml:space="preserve"> (</w:t>
      </w:r>
      <w:r>
        <w:rPr>
          <w:lang w:val="ru-RU"/>
        </w:rPr>
        <w:t>Иран</w:t>
      </w:r>
      <w:r w:rsidRPr="004A522F">
        <w:rPr>
          <w:lang w:val="ru-RU"/>
        </w:rPr>
        <w:t xml:space="preserve">); </w:t>
      </w:r>
      <w:r>
        <w:rPr>
          <w:lang w:val="ru-RU"/>
        </w:rPr>
        <w:t>последнее</w:t>
      </w:r>
      <w:r w:rsidRPr="004A522F">
        <w:rPr>
          <w:lang w:val="ru-RU"/>
        </w:rPr>
        <w:t xml:space="preserve"> </w:t>
      </w:r>
      <w:r>
        <w:rPr>
          <w:lang w:val="ru-RU"/>
        </w:rPr>
        <w:t>было</w:t>
      </w:r>
      <w:r w:rsidRPr="004A522F">
        <w:rPr>
          <w:lang w:val="ru-RU"/>
        </w:rPr>
        <w:t xml:space="preserve"> </w:t>
      </w:r>
      <w:r>
        <w:rPr>
          <w:lang w:val="ru-RU"/>
        </w:rPr>
        <w:t>радушно</w:t>
      </w:r>
      <w:r w:rsidRPr="004A522F">
        <w:rPr>
          <w:lang w:val="ru-RU"/>
        </w:rPr>
        <w:t xml:space="preserve"> </w:t>
      </w:r>
      <w:r>
        <w:rPr>
          <w:lang w:val="ru-RU"/>
        </w:rPr>
        <w:t>принято</w:t>
      </w:r>
      <w:r w:rsidRPr="004A522F">
        <w:rPr>
          <w:lang w:val="ru-RU"/>
        </w:rPr>
        <w:t xml:space="preserve"> </w:t>
      </w:r>
      <w:r>
        <w:rPr>
          <w:lang w:val="ru-RU"/>
        </w:rPr>
        <w:t>Региональным</w:t>
      </w:r>
      <w:r w:rsidRPr="004A522F">
        <w:rPr>
          <w:lang w:val="ru-RU"/>
        </w:rPr>
        <w:t xml:space="preserve"> </w:t>
      </w:r>
      <w:r>
        <w:rPr>
          <w:lang w:val="ru-RU"/>
        </w:rPr>
        <w:t>исследовательским</w:t>
      </w:r>
      <w:r w:rsidRPr="004A522F">
        <w:rPr>
          <w:lang w:val="ru-RU"/>
        </w:rPr>
        <w:t xml:space="preserve"> </w:t>
      </w:r>
      <w:r>
        <w:rPr>
          <w:lang w:val="ru-RU"/>
        </w:rPr>
        <w:t>центром</w:t>
      </w:r>
      <w:r w:rsidRPr="004A522F">
        <w:rPr>
          <w:lang w:val="ru-RU"/>
        </w:rPr>
        <w:t xml:space="preserve"> </w:t>
      </w:r>
      <w:r>
        <w:rPr>
          <w:lang w:val="ru-RU"/>
        </w:rPr>
        <w:t>по</w:t>
      </w:r>
      <w:r w:rsidRPr="004A522F">
        <w:rPr>
          <w:lang w:val="ru-RU"/>
        </w:rPr>
        <w:t xml:space="preserve"> </w:t>
      </w:r>
      <w:r>
        <w:rPr>
          <w:lang w:val="ru-RU"/>
        </w:rPr>
        <w:t>охране</w:t>
      </w:r>
      <w:r w:rsidRPr="004A522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A522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4A522F">
        <w:rPr>
          <w:lang w:val="ru-RU"/>
        </w:rPr>
        <w:t xml:space="preserve"> </w:t>
      </w:r>
      <w:r>
        <w:rPr>
          <w:lang w:val="ru-RU"/>
        </w:rPr>
        <w:t>наследия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в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Западной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и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Центральной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Азии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под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эгидой</w:t>
      </w:r>
      <w:r w:rsidR="00B02772" w:rsidRPr="004A522F">
        <w:rPr>
          <w:lang w:val="ru-RU"/>
        </w:rPr>
        <w:t xml:space="preserve"> </w:t>
      </w:r>
      <w:r w:rsidR="00B02772">
        <w:rPr>
          <w:lang w:val="ru-RU"/>
        </w:rPr>
        <w:t>ЮНЕСКО</w:t>
      </w:r>
      <w:r w:rsidR="00B02772" w:rsidRPr="004A522F">
        <w:rPr>
          <w:lang w:val="ru-RU"/>
        </w:rPr>
        <w:t xml:space="preserve">), </w:t>
      </w:r>
      <w:r w:rsidR="00AC77B2">
        <w:rPr>
          <w:lang w:val="ru-RU"/>
        </w:rPr>
        <w:t>как</w:t>
      </w:r>
      <w:r w:rsidR="00AC77B2" w:rsidRPr="004A522F">
        <w:rPr>
          <w:lang w:val="ru-RU"/>
        </w:rPr>
        <w:t xml:space="preserve"> </w:t>
      </w:r>
      <w:r w:rsidR="00AC77B2">
        <w:rPr>
          <w:lang w:val="ru-RU"/>
        </w:rPr>
        <w:t>это</w:t>
      </w:r>
      <w:r w:rsidR="00AC77B2" w:rsidRPr="004A522F">
        <w:rPr>
          <w:lang w:val="ru-RU"/>
        </w:rPr>
        <w:t xml:space="preserve"> </w:t>
      </w:r>
      <w:r w:rsidR="00AC77B2">
        <w:rPr>
          <w:lang w:val="ru-RU"/>
        </w:rPr>
        <w:t>было</w:t>
      </w:r>
      <w:r w:rsidR="00AC77B2" w:rsidRPr="004A522F">
        <w:rPr>
          <w:lang w:val="ru-RU"/>
        </w:rPr>
        <w:t xml:space="preserve"> </w:t>
      </w:r>
      <w:r w:rsidR="00AC77B2">
        <w:rPr>
          <w:lang w:val="ru-RU"/>
        </w:rPr>
        <w:t>принято</w:t>
      </w:r>
      <w:r w:rsidR="00AC77B2" w:rsidRPr="004A522F">
        <w:rPr>
          <w:lang w:val="ru-RU"/>
        </w:rPr>
        <w:t xml:space="preserve"> </w:t>
      </w:r>
      <w:r w:rsidR="00AC77B2">
        <w:rPr>
          <w:lang w:val="ru-RU"/>
        </w:rPr>
        <w:t>с</w:t>
      </w:r>
      <w:r w:rsidR="00AC77B2" w:rsidRPr="004A522F">
        <w:rPr>
          <w:lang w:val="ru-RU"/>
        </w:rPr>
        <w:t xml:space="preserve"> 2013</w:t>
      </w:r>
      <w:r w:rsidR="00AC77B2" w:rsidRPr="00AC77B2">
        <w:rPr>
          <w:lang w:val="en-US"/>
        </w:rPr>
        <w:t> </w:t>
      </w:r>
      <w:r w:rsidR="00AC77B2">
        <w:rPr>
          <w:lang w:val="ru-RU"/>
        </w:rPr>
        <w:t>г</w:t>
      </w:r>
      <w:r w:rsidR="00AC77B2" w:rsidRPr="004A522F">
        <w:rPr>
          <w:lang w:val="ru-RU"/>
        </w:rPr>
        <w:t xml:space="preserve">. </w:t>
      </w:r>
      <w:r w:rsidR="00D45B5C">
        <w:rPr>
          <w:lang w:val="ru-RU"/>
        </w:rPr>
        <w:t>Эти</w:t>
      </w:r>
      <w:r w:rsidR="00D45B5C" w:rsidRPr="004A522F">
        <w:rPr>
          <w:lang w:val="ru-RU"/>
        </w:rPr>
        <w:t xml:space="preserve"> </w:t>
      </w:r>
      <w:r w:rsidR="00D45B5C">
        <w:rPr>
          <w:lang w:val="ru-RU"/>
        </w:rPr>
        <w:t>ежегодные</w:t>
      </w:r>
      <w:r w:rsidR="00D45B5C" w:rsidRPr="004A522F">
        <w:rPr>
          <w:lang w:val="ru-RU"/>
        </w:rPr>
        <w:t xml:space="preserve"> </w:t>
      </w:r>
      <w:r w:rsidR="00D45B5C">
        <w:rPr>
          <w:lang w:val="ru-RU"/>
        </w:rPr>
        <w:t>совещания</w:t>
      </w:r>
      <w:r w:rsidR="00D45B5C" w:rsidRPr="004A522F">
        <w:rPr>
          <w:lang w:val="ru-RU"/>
        </w:rPr>
        <w:t xml:space="preserve"> </w:t>
      </w:r>
      <w:r w:rsidR="00D45B5C">
        <w:rPr>
          <w:lang w:val="ru-RU"/>
        </w:rPr>
        <w:t>предоставляют</w:t>
      </w:r>
      <w:r w:rsidR="00D45B5C" w:rsidRPr="004A522F">
        <w:rPr>
          <w:lang w:val="ru-RU"/>
        </w:rPr>
        <w:t xml:space="preserve"> </w:t>
      </w:r>
      <w:r w:rsidR="00D45B5C">
        <w:rPr>
          <w:lang w:val="ru-RU"/>
        </w:rPr>
        <w:t>хорошую</w:t>
      </w:r>
      <w:r w:rsidR="00D45B5C" w:rsidRPr="004A522F">
        <w:rPr>
          <w:lang w:val="ru-RU"/>
        </w:rPr>
        <w:t xml:space="preserve"> </w:t>
      </w:r>
      <w:r w:rsidR="00D45B5C">
        <w:rPr>
          <w:lang w:val="ru-RU"/>
        </w:rPr>
        <w:t>возможность</w:t>
      </w:r>
      <w:r w:rsidR="00D45B5C" w:rsidRPr="004A522F">
        <w:rPr>
          <w:lang w:val="ru-RU"/>
        </w:rPr>
        <w:t xml:space="preserve"> </w:t>
      </w:r>
      <w:r w:rsidR="00215BF1">
        <w:rPr>
          <w:lang w:val="ru-RU"/>
        </w:rPr>
        <w:t xml:space="preserve">для </w:t>
      </w:r>
      <w:r w:rsidR="00576032">
        <w:rPr>
          <w:lang w:val="ru-RU"/>
        </w:rPr>
        <w:t>обмена</w:t>
      </w:r>
      <w:r w:rsidR="00576032" w:rsidRPr="004A522F">
        <w:rPr>
          <w:lang w:val="ru-RU"/>
        </w:rPr>
        <w:t xml:space="preserve"> </w:t>
      </w:r>
      <w:r w:rsidR="00576032">
        <w:rPr>
          <w:lang w:val="ru-RU"/>
        </w:rPr>
        <w:t>информацией</w:t>
      </w:r>
      <w:r w:rsidR="00576032" w:rsidRPr="004A522F">
        <w:rPr>
          <w:lang w:val="ru-RU"/>
        </w:rPr>
        <w:t xml:space="preserve"> </w:t>
      </w:r>
      <w:r w:rsidR="00576032">
        <w:rPr>
          <w:lang w:val="ru-RU"/>
        </w:rPr>
        <w:lastRenderedPageBreak/>
        <w:t>о</w:t>
      </w:r>
      <w:r w:rsidR="00576032" w:rsidRPr="004A522F">
        <w:rPr>
          <w:lang w:val="ru-RU"/>
        </w:rPr>
        <w:t xml:space="preserve"> </w:t>
      </w:r>
      <w:r w:rsidR="00576032">
        <w:rPr>
          <w:lang w:val="ru-RU"/>
        </w:rPr>
        <w:t>последних</w:t>
      </w:r>
      <w:r w:rsidR="00576032" w:rsidRPr="004A522F">
        <w:rPr>
          <w:lang w:val="ru-RU"/>
        </w:rPr>
        <w:t xml:space="preserve"> </w:t>
      </w:r>
      <w:r w:rsidR="00576032">
        <w:rPr>
          <w:lang w:val="ru-RU"/>
        </w:rPr>
        <w:t>событиях</w:t>
      </w:r>
      <w:r w:rsidR="00576032" w:rsidRPr="004A522F">
        <w:rPr>
          <w:lang w:val="ru-RU"/>
        </w:rPr>
        <w:t xml:space="preserve"> </w:t>
      </w:r>
      <w:r w:rsidR="00576032">
        <w:rPr>
          <w:lang w:val="ru-RU"/>
        </w:rPr>
        <w:t>в</w:t>
      </w:r>
      <w:r w:rsidR="00576032" w:rsidRPr="004A522F">
        <w:rPr>
          <w:lang w:val="ru-RU"/>
        </w:rPr>
        <w:t xml:space="preserve"> </w:t>
      </w:r>
      <w:r w:rsidR="00576032">
        <w:rPr>
          <w:lang w:val="ru-RU"/>
        </w:rPr>
        <w:t>жизни</w:t>
      </w:r>
      <w:r w:rsidR="00576032" w:rsidRPr="004A522F">
        <w:rPr>
          <w:lang w:val="ru-RU"/>
        </w:rPr>
        <w:t xml:space="preserve"> </w:t>
      </w:r>
      <w:r w:rsidR="00576032">
        <w:rPr>
          <w:lang w:val="ru-RU"/>
        </w:rPr>
        <w:t>Конвенции</w:t>
      </w:r>
      <w:r w:rsidR="00576032" w:rsidRPr="004A522F">
        <w:rPr>
          <w:lang w:val="ru-RU"/>
        </w:rPr>
        <w:t xml:space="preserve"> </w:t>
      </w:r>
      <w:r w:rsidR="00B84A06">
        <w:rPr>
          <w:lang w:val="ru-RU"/>
        </w:rPr>
        <w:t>и</w:t>
      </w:r>
      <w:r w:rsidR="00B84A06" w:rsidRPr="004A522F">
        <w:rPr>
          <w:lang w:val="ru-RU"/>
        </w:rPr>
        <w:t xml:space="preserve"> </w:t>
      </w:r>
      <w:r w:rsidR="00B84A06">
        <w:rPr>
          <w:lang w:val="ru-RU"/>
        </w:rPr>
        <w:t>обсуждения</w:t>
      </w:r>
      <w:r w:rsidR="00B84A06" w:rsidRPr="004A522F">
        <w:rPr>
          <w:lang w:val="ru-RU"/>
        </w:rPr>
        <w:t xml:space="preserve"> </w:t>
      </w:r>
      <w:r w:rsidR="00B84A06">
        <w:rPr>
          <w:lang w:val="ru-RU"/>
        </w:rPr>
        <w:t>новых</w:t>
      </w:r>
      <w:r w:rsidR="00B84A06" w:rsidRPr="004A522F">
        <w:rPr>
          <w:lang w:val="ru-RU"/>
        </w:rPr>
        <w:t xml:space="preserve"> </w:t>
      </w:r>
      <w:r w:rsidR="00B84A06">
        <w:rPr>
          <w:lang w:val="ru-RU"/>
        </w:rPr>
        <w:t>перспектив</w:t>
      </w:r>
      <w:r w:rsidR="00B84A06" w:rsidRPr="004A522F">
        <w:rPr>
          <w:lang w:val="ru-RU"/>
        </w:rPr>
        <w:t xml:space="preserve"> </w:t>
      </w:r>
      <w:r w:rsidR="00B84A06">
        <w:rPr>
          <w:lang w:val="ru-RU"/>
        </w:rPr>
        <w:t>в</w:t>
      </w:r>
      <w:r w:rsidR="00B84A06" w:rsidRPr="004A522F">
        <w:rPr>
          <w:lang w:val="ru-RU"/>
        </w:rPr>
        <w:t xml:space="preserve"> </w:t>
      </w:r>
      <w:r w:rsidR="00B84A06">
        <w:rPr>
          <w:lang w:val="ru-RU"/>
        </w:rPr>
        <w:t>сфере</w:t>
      </w:r>
      <w:r w:rsidR="00B84A06" w:rsidRPr="004A522F">
        <w:rPr>
          <w:lang w:val="ru-RU"/>
        </w:rPr>
        <w:t xml:space="preserve"> </w:t>
      </w:r>
      <w:r w:rsidR="00B84A06">
        <w:rPr>
          <w:lang w:val="ru-RU"/>
        </w:rPr>
        <w:t>сотрудничества</w:t>
      </w:r>
      <w:r w:rsidR="00B84A06" w:rsidRPr="004A522F">
        <w:rPr>
          <w:lang w:val="ru-RU"/>
        </w:rPr>
        <w:t xml:space="preserve"> </w:t>
      </w:r>
      <w:r w:rsidR="00B84A06">
        <w:rPr>
          <w:lang w:val="ru-RU"/>
        </w:rPr>
        <w:t>и</w:t>
      </w:r>
      <w:r w:rsidR="00B84A06" w:rsidRPr="004A522F">
        <w:rPr>
          <w:lang w:val="ru-RU"/>
        </w:rPr>
        <w:t xml:space="preserve"> </w:t>
      </w:r>
      <w:r w:rsidR="004A522F">
        <w:rPr>
          <w:lang w:val="ru-RU"/>
        </w:rPr>
        <w:t xml:space="preserve">будущего взаимодействия между центрами, а также между ЮНЕСКО и центрами. </w:t>
      </w:r>
      <w:r w:rsidR="00215BF1">
        <w:rPr>
          <w:lang w:val="ru-RU"/>
        </w:rPr>
        <w:t>В</w:t>
      </w:r>
      <w:r w:rsidR="00215BF1" w:rsidRPr="00D620ED">
        <w:rPr>
          <w:lang w:val="ru-RU"/>
        </w:rPr>
        <w:t xml:space="preserve"> </w:t>
      </w:r>
      <w:r w:rsidR="00215BF1">
        <w:rPr>
          <w:lang w:val="ru-RU"/>
        </w:rPr>
        <w:t>течение</w:t>
      </w:r>
      <w:r w:rsidR="00215BF1" w:rsidRPr="00D620ED">
        <w:rPr>
          <w:lang w:val="ru-RU"/>
        </w:rPr>
        <w:t xml:space="preserve"> </w:t>
      </w:r>
      <w:r w:rsidR="00215BF1">
        <w:rPr>
          <w:lang w:val="ru-RU"/>
        </w:rPr>
        <w:t>отчетного</w:t>
      </w:r>
      <w:r w:rsidR="00215BF1" w:rsidRPr="00D620ED">
        <w:rPr>
          <w:lang w:val="ru-RU"/>
        </w:rPr>
        <w:t xml:space="preserve"> </w:t>
      </w:r>
      <w:r w:rsidR="00215BF1">
        <w:rPr>
          <w:lang w:val="ru-RU"/>
        </w:rPr>
        <w:t>периода</w:t>
      </w:r>
      <w:r w:rsidR="00215BF1" w:rsidRPr="00D620ED">
        <w:rPr>
          <w:lang w:val="ru-RU"/>
        </w:rPr>
        <w:t xml:space="preserve"> </w:t>
      </w:r>
      <w:r w:rsidR="003A0159">
        <w:rPr>
          <w:lang w:val="ru-RU"/>
        </w:rPr>
        <w:t>Секретариат</w:t>
      </w:r>
      <w:r w:rsidR="003A0159" w:rsidRPr="00D620ED">
        <w:rPr>
          <w:lang w:val="ru-RU"/>
        </w:rPr>
        <w:t xml:space="preserve"> </w:t>
      </w:r>
      <w:r w:rsidR="003A0159">
        <w:rPr>
          <w:lang w:val="ru-RU"/>
        </w:rPr>
        <w:t>также</w:t>
      </w:r>
      <w:r w:rsidR="003A0159" w:rsidRPr="00D620ED">
        <w:rPr>
          <w:lang w:val="ru-RU"/>
        </w:rPr>
        <w:t xml:space="preserve"> </w:t>
      </w:r>
      <w:r w:rsidR="003A0159">
        <w:rPr>
          <w:lang w:val="ru-RU"/>
        </w:rPr>
        <w:t>продолжал</w:t>
      </w:r>
      <w:r w:rsidR="003A0159" w:rsidRPr="00D620ED">
        <w:rPr>
          <w:lang w:val="ru-RU"/>
        </w:rPr>
        <w:t xml:space="preserve"> </w:t>
      </w:r>
      <w:r w:rsidR="003A0159">
        <w:rPr>
          <w:lang w:val="ru-RU"/>
        </w:rPr>
        <w:t>работу</w:t>
      </w:r>
      <w:r w:rsidR="003A0159" w:rsidRPr="00D620ED">
        <w:rPr>
          <w:lang w:val="ru-RU"/>
        </w:rPr>
        <w:t xml:space="preserve"> </w:t>
      </w:r>
      <w:r w:rsidR="003A0159">
        <w:rPr>
          <w:lang w:val="ru-RU"/>
        </w:rPr>
        <w:t>над</w:t>
      </w:r>
      <w:r w:rsidR="003A0159" w:rsidRPr="00D620ED">
        <w:rPr>
          <w:lang w:val="ru-RU"/>
        </w:rPr>
        <w:t xml:space="preserve"> </w:t>
      </w:r>
      <w:r w:rsidR="00D777DD">
        <w:rPr>
          <w:lang w:val="ru-RU"/>
        </w:rPr>
        <w:t>процессом</w:t>
      </w:r>
      <w:r w:rsidR="00D777DD" w:rsidRPr="00D620ED">
        <w:rPr>
          <w:lang w:val="ru-RU"/>
        </w:rPr>
        <w:t xml:space="preserve"> </w:t>
      </w:r>
      <w:r w:rsidR="00D777DD">
        <w:rPr>
          <w:lang w:val="ru-RU"/>
        </w:rPr>
        <w:t>оценки</w:t>
      </w:r>
      <w:r w:rsidR="00D777DD" w:rsidRPr="00D620ED">
        <w:rPr>
          <w:lang w:val="ru-RU"/>
        </w:rPr>
        <w:t xml:space="preserve"> </w:t>
      </w:r>
      <w:r w:rsidR="002A66C3">
        <w:rPr>
          <w:lang w:val="ru-RU"/>
        </w:rPr>
        <w:t>и</w:t>
      </w:r>
      <w:r w:rsidR="002A66C3" w:rsidRPr="00D620ED">
        <w:rPr>
          <w:lang w:val="ru-RU"/>
        </w:rPr>
        <w:t xml:space="preserve"> </w:t>
      </w:r>
      <w:r w:rsidR="002A66C3">
        <w:rPr>
          <w:lang w:val="ru-RU"/>
        </w:rPr>
        <w:t xml:space="preserve">продления деятельности </w:t>
      </w:r>
      <w:r w:rsidR="0052678D">
        <w:rPr>
          <w:lang w:val="ru-RU"/>
        </w:rPr>
        <w:t>шести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центров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категории</w:t>
      </w:r>
      <w:r w:rsidR="0052678D" w:rsidRPr="00D620ED">
        <w:rPr>
          <w:lang w:val="ru-RU"/>
        </w:rPr>
        <w:t xml:space="preserve"> 2 </w:t>
      </w:r>
      <w:r w:rsidR="0052678D">
        <w:rPr>
          <w:lang w:val="ru-RU"/>
        </w:rPr>
        <w:t>под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эгидой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ЮНЕСКО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в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сфере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нематериального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культурного</w:t>
      </w:r>
      <w:r w:rsidR="0052678D" w:rsidRPr="00D620ED">
        <w:rPr>
          <w:lang w:val="ru-RU"/>
        </w:rPr>
        <w:t xml:space="preserve"> </w:t>
      </w:r>
      <w:r w:rsidR="0052678D">
        <w:rPr>
          <w:lang w:val="ru-RU"/>
        </w:rPr>
        <w:t>наследия</w:t>
      </w:r>
      <w:r w:rsidR="00D777DD" w:rsidRPr="00D620ED">
        <w:rPr>
          <w:lang w:val="ru-RU"/>
        </w:rPr>
        <w:t>.</w:t>
      </w:r>
      <w:r w:rsidR="00C902E0" w:rsidRPr="00D620ED">
        <w:rPr>
          <w:lang w:val="ru-RU"/>
        </w:rPr>
        <w:t xml:space="preserve"> </w:t>
      </w:r>
      <w:r w:rsidR="00D777DD">
        <w:rPr>
          <w:lang w:val="ru-RU"/>
        </w:rPr>
        <w:t>Кроме</w:t>
      </w:r>
      <w:r w:rsidR="00D777DD" w:rsidRPr="00BD3CF5">
        <w:rPr>
          <w:lang w:val="ru-RU"/>
        </w:rPr>
        <w:t xml:space="preserve"> </w:t>
      </w:r>
      <w:r w:rsidR="00D777DD">
        <w:rPr>
          <w:lang w:val="ru-RU"/>
        </w:rPr>
        <w:t>того</w:t>
      </w:r>
      <w:r w:rsidR="00D777DD" w:rsidRPr="00BD3CF5">
        <w:rPr>
          <w:lang w:val="ru-RU"/>
        </w:rPr>
        <w:t xml:space="preserve">, </w:t>
      </w:r>
      <w:r w:rsidR="00D777DD">
        <w:rPr>
          <w:lang w:val="ru-RU"/>
        </w:rPr>
        <w:t>центры</w:t>
      </w:r>
      <w:r w:rsidR="00206116" w:rsidRPr="00BD3CF5">
        <w:rPr>
          <w:lang w:val="ru-RU"/>
        </w:rPr>
        <w:t xml:space="preserve">, </w:t>
      </w:r>
      <w:r w:rsidR="00206116">
        <w:rPr>
          <w:lang w:val="ru-RU"/>
        </w:rPr>
        <w:t>связанные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с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Конвенцией</w:t>
      </w:r>
      <w:r w:rsidR="00206116" w:rsidRPr="00BD3CF5">
        <w:rPr>
          <w:lang w:val="ru-RU"/>
        </w:rPr>
        <w:t xml:space="preserve"> 2003</w:t>
      </w:r>
      <w:r w:rsidR="00206116" w:rsidRPr="00206116">
        <w:rPr>
          <w:lang w:val="en-US"/>
        </w:rPr>
        <w:t> </w:t>
      </w:r>
      <w:r w:rsidR="00206116">
        <w:rPr>
          <w:lang w:val="ru-RU"/>
        </w:rPr>
        <w:t>г</w:t>
      </w:r>
      <w:r w:rsidR="00206116" w:rsidRPr="00BD3CF5">
        <w:rPr>
          <w:lang w:val="ru-RU"/>
        </w:rPr>
        <w:t xml:space="preserve">., </w:t>
      </w:r>
      <w:r w:rsidR="00206116">
        <w:rPr>
          <w:lang w:val="ru-RU"/>
        </w:rPr>
        <w:t>приняли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участие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во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втором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Координационном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совещании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для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всех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центров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категории</w:t>
      </w:r>
      <w:r w:rsidR="00206116" w:rsidRPr="00BD3CF5">
        <w:rPr>
          <w:lang w:val="ru-RU"/>
        </w:rPr>
        <w:t xml:space="preserve"> 2 </w:t>
      </w:r>
      <w:r w:rsidR="00206116">
        <w:rPr>
          <w:lang w:val="ru-RU"/>
        </w:rPr>
        <w:t>и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кафедр</w:t>
      </w:r>
      <w:r w:rsidR="00206116" w:rsidRPr="00BD3CF5">
        <w:rPr>
          <w:lang w:val="ru-RU"/>
        </w:rPr>
        <w:t xml:space="preserve"> </w:t>
      </w:r>
      <w:r w:rsidR="00206116">
        <w:rPr>
          <w:lang w:val="ru-RU"/>
        </w:rPr>
        <w:t>ЮНИТВИН</w:t>
      </w:r>
      <w:r w:rsidR="00206116" w:rsidRPr="00BD3CF5">
        <w:rPr>
          <w:lang w:val="ru-RU"/>
        </w:rPr>
        <w:t>/</w:t>
      </w:r>
      <w:r w:rsidR="00206116">
        <w:rPr>
          <w:lang w:val="ru-RU"/>
        </w:rPr>
        <w:t>ЮНЕСКО</w:t>
      </w:r>
      <w:r w:rsidR="00206116" w:rsidRPr="00BD3CF5">
        <w:rPr>
          <w:lang w:val="ru-RU"/>
        </w:rPr>
        <w:t xml:space="preserve"> </w:t>
      </w:r>
      <w:r w:rsidR="00BD3CF5">
        <w:rPr>
          <w:lang w:val="ru-RU"/>
        </w:rPr>
        <w:t>в</w:t>
      </w:r>
      <w:r w:rsidR="00BD3CF5" w:rsidRPr="00BD3CF5">
        <w:rPr>
          <w:lang w:val="ru-RU"/>
        </w:rPr>
        <w:t xml:space="preserve"> </w:t>
      </w:r>
      <w:r w:rsidR="00BD3CF5">
        <w:rPr>
          <w:lang w:val="ru-RU"/>
        </w:rPr>
        <w:t>сфере</w:t>
      </w:r>
      <w:r w:rsidR="00BD3CF5" w:rsidRPr="00BD3CF5">
        <w:rPr>
          <w:lang w:val="ru-RU"/>
        </w:rPr>
        <w:t xml:space="preserve"> </w:t>
      </w:r>
      <w:r w:rsidR="00BD3CF5">
        <w:rPr>
          <w:lang w:val="ru-RU"/>
        </w:rPr>
        <w:t>культуры</w:t>
      </w:r>
      <w:r w:rsidR="00BD3CF5" w:rsidRPr="00BD3CF5">
        <w:rPr>
          <w:lang w:val="ru-RU"/>
        </w:rPr>
        <w:t xml:space="preserve">, </w:t>
      </w:r>
      <w:r w:rsidR="00BD3CF5">
        <w:rPr>
          <w:lang w:val="ru-RU"/>
        </w:rPr>
        <w:t>организованном</w:t>
      </w:r>
      <w:r w:rsidR="00BD3CF5" w:rsidRPr="00BD3CF5">
        <w:rPr>
          <w:lang w:val="ru-RU"/>
        </w:rPr>
        <w:t xml:space="preserve"> </w:t>
      </w:r>
      <w:r w:rsidR="00BD3CF5">
        <w:rPr>
          <w:lang w:val="ru-RU"/>
        </w:rPr>
        <w:t>в</w:t>
      </w:r>
      <w:r w:rsidR="00BD3CF5" w:rsidRPr="00BD3CF5">
        <w:rPr>
          <w:lang w:val="ru-RU"/>
        </w:rPr>
        <w:t xml:space="preserve"> </w:t>
      </w:r>
      <w:r w:rsidR="00BD3CF5">
        <w:rPr>
          <w:lang w:val="ru-RU"/>
        </w:rPr>
        <w:t>штаб</w:t>
      </w:r>
      <w:r w:rsidR="00BD3CF5" w:rsidRPr="00BD3CF5">
        <w:rPr>
          <w:lang w:val="ru-RU"/>
        </w:rPr>
        <w:t>-</w:t>
      </w:r>
      <w:r w:rsidR="00BD3CF5">
        <w:rPr>
          <w:lang w:val="ru-RU"/>
        </w:rPr>
        <w:t>квартире</w:t>
      </w:r>
      <w:r w:rsidR="00BD3CF5" w:rsidRPr="00BD3CF5">
        <w:rPr>
          <w:lang w:val="ru-RU"/>
        </w:rPr>
        <w:t xml:space="preserve"> </w:t>
      </w:r>
      <w:r w:rsidR="00BD3CF5">
        <w:rPr>
          <w:lang w:val="ru-RU"/>
        </w:rPr>
        <w:t>ЮНЕСКО</w:t>
      </w:r>
      <w:r w:rsidR="00BD3CF5" w:rsidRPr="00BD3CF5">
        <w:rPr>
          <w:lang w:val="ru-RU"/>
        </w:rPr>
        <w:t xml:space="preserve"> </w:t>
      </w:r>
      <w:r w:rsidR="00BD3CF5">
        <w:rPr>
          <w:lang w:val="ru-RU"/>
        </w:rPr>
        <w:t>в</w:t>
      </w:r>
      <w:r w:rsidR="00BD3CF5" w:rsidRPr="00BD3CF5">
        <w:rPr>
          <w:lang w:val="ru-RU"/>
        </w:rPr>
        <w:t xml:space="preserve"> </w:t>
      </w:r>
      <w:r w:rsidR="00BD3CF5">
        <w:rPr>
          <w:lang w:val="ru-RU"/>
        </w:rPr>
        <w:t>ноябре</w:t>
      </w:r>
      <w:r w:rsidR="00BD3CF5" w:rsidRPr="00BD3CF5">
        <w:rPr>
          <w:lang w:val="ru-RU"/>
        </w:rPr>
        <w:t xml:space="preserve"> 2017</w:t>
      </w:r>
      <w:r w:rsidR="00BD3CF5" w:rsidRPr="00BD3CF5">
        <w:rPr>
          <w:lang w:val="en-US"/>
        </w:rPr>
        <w:t> </w:t>
      </w:r>
      <w:r w:rsidR="00BD3CF5">
        <w:rPr>
          <w:lang w:val="ru-RU"/>
        </w:rPr>
        <w:t>г</w:t>
      </w:r>
      <w:r w:rsidR="00BD3CF5" w:rsidRPr="00BD3CF5">
        <w:rPr>
          <w:lang w:val="ru-RU"/>
        </w:rPr>
        <w:t>.</w:t>
      </w:r>
      <w:r w:rsidR="002A66C3">
        <w:rPr>
          <w:lang w:val="ru-RU"/>
        </w:rPr>
        <w:t xml:space="preserve"> </w:t>
      </w:r>
    </w:p>
    <w:p w:rsidR="00C902E0" w:rsidRPr="003B4E26" w:rsidRDefault="00C902E0" w:rsidP="00430A07">
      <w:pPr>
        <w:pStyle w:val="COMPara"/>
        <w:keepNext/>
        <w:spacing w:before="240"/>
        <w:ind w:left="0" w:firstLine="0"/>
        <w:jc w:val="both"/>
        <w:rPr>
          <w:b/>
          <w:caps/>
          <w:lang w:val="en-US"/>
        </w:rPr>
      </w:pPr>
      <w:r>
        <w:rPr>
          <w:b/>
          <w:caps/>
          <w:lang w:val="ru-RU"/>
        </w:rPr>
        <w:t>УКРЕПЛЕНИЕ ПОТЕНЦИАЛА</w:t>
      </w:r>
    </w:p>
    <w:p w:rsidR="00C902E0" w:rsidRPr="000D7C4B" w:rsidRDefault="00FB39E7" w:rsidP="00430A07">
      <w:pPr>
        <w:pStyle w:val="COMPara"/>
        <w:numPr>
          <w:ilvl w:val="0"/>
          <w:numId w:val="10"/>
        </w:numPr>
        <w:ind w:left="567" w:hanging="567"/>
        <w:jc w:val="both"/>
        <w:rPr>
          <w:rFonts w:eastAsia="Times New Roman"/>
          <w:lang w:val="ru-RU"/>
        </w:rPr>
      </w:pPr>
      <w:r>
        <w:rPr>
          <w:lang w:val="ru-RU"/>
        </w:rPr>
        <w:t>В</w:t>
      </w:r>
      <w:r w:rsidRPr="00794962">
        <w:rPr>
          <w:lang w:val="ru-RU"/>
        </w:rPr>
        <w:t xml:space="preserve"> </w:t>
      </w:r>
      <w:r>
        <w:rPr>
          <w:lang w:val="ru-RU"/>
        </w:rPr>
        <w:t>течение</w:t>
      </w:r>
      <w:r w:rsidRPr="00794962">
        <w:rPr>
          <w:lang w:val="ru-RU"/>
        </w:rPr>
        <w:t xml:space="preserve"> </w:t>
      </w:r>
      <w:r>
        <w:rPr>
          <w:lang w:val="ru-RU"/>
        </w:rPr>
        <w:t>отчетного</w:t>
      </w:r>
      <w:r w:rsidRPr="00794962">
        <w:rPr>
          <w:lang w:val="ru-RU"/>
        </w:rPr>
        <w:t xml:space="preserve"> </w:t>
      </w:r>
      <w:r>
        <w:rPr>
          <w:lang w:val="ru-RU"/>
        </w:rPr>
        <w:t>периода</w:t>
      </w:r>
      <w:r w:rsidRPr="00794962">
        <w:rPr>
          <w:lang w:val="ru-RU"/>
        </w:rPr>
        <w:t xml:space="preserve"> </w:t>
      </w:r>
      <w:r w:rsidR="00794962">
        <w:rPr>
          <w:lang w:val="ru-RU"/>
        </w:rPr>
        <w:t>укрепление</w:t>
      </w:r>
      <w:r w:rsidR="00794962" w:rsidRPr="00794962">
        <w:rPr>
          <w:lang w:val="ru-RU"/>
        </w:rPr>
        <w:t xml:space="preserve"> </w:t>
      </w:r>
      <w:r w:rsidR="00794962">
        <w:rPr>
          <w:lang w:val="ru-RU"/>
        </w:rPr>
        <w:t>потенциала</w:t>
      </w:r>
      <w:r w:rsidR="00794962" w:rsidRPr="00794962">
        <w:rPr>
          <w:lang w:val="ru-RU"/>
        </w:rPr>
        <w:t xml:space="preserve"> </w:t>
      </w:r>
      <w:r w:rsidR="00794962">
        <w:rPr>
          <w:lang w:val="ru-RU"/>
        </w:rPr>
        <w:t>по</w:t>
      </w:r>
      <w:r w:rsidR="00794962" w:rsidRPr="00794962">
        <w:rPr>
          <w:lang w:val="ru-RU"/>
        </w:rPr>
        <w:t xml:space="preserve"> </w:t>
      </w:r>
      <w:r w:rsidR="00794962">
        <w:rPr>
          <w:lang w:val="ru-RU"/>
        </w:rPr>
        <w:t>выполнению Конвенции</w:t>
      </w:r>
      <w:r w:rsidR="00794962" w:rsidRPr="00D620ED">
        <w:rPr>
          <w:lang w:val="ru-RU"/>
        </w:rPr>
        <w:t xml:space="preserve"> </w:t>
      </w:r>
      <w:r w:rsidR="00794962">
        <w:rPr>
          <w:lang w:val="ru-RU"/>
        </w:rPr>
        <w:t>на</w:t>
      </w:r>
      <w:r w:rsidR="00794962" w:rsidRPr="00D620ED">
        <w:rPr>
          <w:lang w:val="ru-RU"/>
        </w:rPr>
        <w:t xml:space="preserve"> </w:t>
      </w:r>
      <w:r w:rsidR="00794962">
        <w:rPr>
          <w:lang w:val="ru-RU"/>
        </w:rPr>
        <w:t>национальном</w:t>
      </w:r>
      <w:r w:rsidR="00794962" w:rsidRPr="00D620ED">
        <w:rPr>
          <w:lang w:val="ru-RU"/>
        </w:rPr>
        <w:t xml:space="preserve"> </w:t>
      </w:r>
      <w:r w:rsidR="00794962">
        <w:rPr>
          <w:lang w:val="ru-RU"/>
        </w:rPr>
        <w:t>уровне</w:t>
      </w:r>
      <w:r w:rsidR="00794962" w:rsidRPr="00D620ED">
        <w:rPr>
          <w:lang w:val="ru-RU"/>
        </w:rPr>
        <w:t xml:space="preserve"> </w:t>
      </w:r>
      <w:r w:rsidR="00794962">
        <w:rPr>
          <w:lang w:val="ru-RU"/>
        </w:rPr>
        <w:t>оставалось</w:t>
      </w:r>
      <w:r w:rsidR="00794962" w:rsidRPr="00D620ED">
        <w:rPr>
          <w:lang w:val="ru-RU"/>
        </w:rPr>
        <w:t xml:space="preserve"> </w:t>
      </w:r>
      <w:r w:rsidR="00794962">
        <w:rPr>
          <w:lang w:val="ru-RU"/>
        </w:rPr>
        <w:t>первоочередной</w:t>
      </w:r>
      <w:r w:rsidR="00794962" w:rsidRPr="00D620ED">
        <w:rPr>
          <w:lang w:val="ru-RU"/>
        </w:rPr>
        <w:t xml:space="preserve"> </w:t>
      </w:r>
      <w:r w:rsidR="00794962">
        <w:rPr>
          <w:lang w:val="ru-RU"/>
        </w:rPr>
        <w:t>задачей</w:t>
      </w:r>
      <w:r w:rsidR="00794962" w:rsidRPr="00D620ED">
        <w:rPr>
          <w:lang w:val="ru-RU"/>
        </w:rPr>
        <w:t xml:space="preserve"> </w:t>
      </w:r>
      <w:r w:rsidR="00211E07">
        <w:rPr>
          <w:lang w:val="ru-RU"/>
        </w:rPr>
        <w:t>для</w:t>
      </w:r>
      <w:r w:rsidR="00211E07" w:rsidRPr="00D620ED">
        <w:rPr>
          <w:lang w:val="ru-RU"/>
        </w:rPr>
        <w:t xml:space="preserve"> </w:t>
      </w:r>
      <w:r w:rsidR="00211E07">
        <w:rPr>
          <w:lang w:val="ru-RU"/>
        </w:rPr>
        <w:t>Секретариата</w:t>
      </w:r>
      <w:r w:rsidR="00211E07" w:rsidRPr="00D620ED">
        <w:rPr>
          <w:lang w:val="ru-RU"/>
        </w:rPr>
        <w:t xml:space="preserve"> </w:t>
      </w:r>
      <w:r w:rsidR="00211E07">
        <w:rPr>
          <w:lang w:val="ru-RU"/>
        </w:rPr>
        <w:t>и</w:t>
      </w:r>
      <w:r w:rsidR="00211E07" w:rsidRPr="00D620ED">
        <w:rPr>
          <w:lang w:val="ru-RU"/>
        </w:rPr>
        <w:t xml:space="preserve"> </w:t>
      </w:r>
      <w:r w:rsidR="00211E07">
        <w:rPr>
          <w:lang w:val="ru-RU"/>
        </w:rPr>
        <w:t>государств</w:t>
      </w:r>
      <w:r w:rsidR="00211E07" w:rsidRPr="00D620ED">
        <w:rPr>
          <w:lang w:val="ru-RU"/>
        </w:rPr>
        <w:t xml:space="preserve"> – </w:t>
      </w:r>
      <w:r w:rsidR="00211E07">
        <w:rPr>
          <w:lang w:val="ru-RU"/>
        </w:rPr>
        <w:t>членов</w:t>
      </w:r>
      <w:r w:rsidR="00211E07" w:rsidRPr="00D620ED">
        <w:rPr>
          <w:lang w:val="ru-RU"/>
        </w:rPr>
        <w:t xml:space="preserve">. </w:t>
      </w:r>
      <w:r w:rsidR="00B253C7">
        <w:rPr>
          <w:lang w:val="ru-RU"/>
        </w:rPr>
        <w:t>В течение последних двух лет через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региональные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бюро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ЮНЕСКО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при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поддержке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штаб</w:t>
      </w:r>
      <w:r w:rsidR="00B253C7" w:rsidRPr="00E75BC2">
        <w:rPr>
          <w:lang w:val="ru-RU"/>
        </w:rPr>
        <w:t>-</w:t>
      </w:r>
      <w:r w:rsidR="00B253C7">
        <w:rPr>
          <w:lang w:val="ru-RU"/>
        </w:rPr>
        <w:t>квартиры были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инициированы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и</w:t>
      </w:r>
      <w:r w:rsidR="00B253C7" w:rsidRPr="00E75BC2">
        <w:rPr>
          <w:lang w:val="ru-RU"/>
        </w:rPr>
        <w:t xml:space="preserve"> </w:t>
      </w:r>
      <w:r w:rsidR="00B253C7">
        <w:rPr>
          <w:lang w:val="ru-RU"/>
        </w:rPr>
        <w:t>осуществлены м</w:t>
      </w:r>
      <w:r w:rsidR="00140414">
        <w:rPr>
          <w:lang w:val="ru-RU"/>
        </w:rPr>
        <w:t>ероприятия</w:t>
      </w:r>
      <w:r w:rsidR="00140414" w:rsidRPr="00E75BC2">
        <w:rPr>
          <w:lang w:val="ru-RU"/>
        </w:rPr>
        <w:t xml:space="preserve"> </w:t>
      </w:r>
      <w:r w:rsidR="00E75BC2">
        <w:rPr>
          <w:lang w:val="ru-RU"/>
        </w:rPr>
        <w:t>в</w:t>
      </w:r>
      <w:r w:rsidR="00E75BC2" w:rsidRPr="00E75BC2">
        <w:rPr>
          <w:lang w:val="ru-RU"/>
        </w:rPr>
        <w:t xml:space="preserve"> 70 </w:t>
      </w:r>
      <w:r w:rsidR="00E75BC2">
        <w:rPr>
          <w:lang w:val="ru-RU"/>
        </w:rPr>
        <w:t>странах</w:t>
      </w:r>
      <w:r w:rsidR="00E75BC2" w:rsidRPr="00E75BC2">
        <w:rPr>
          <w:lang w:val="ru-RU"/>
        </w:rPr>
        <w:t xml:space="preserve">, </w:t>
      </w:r>
      <w:r w:rsidR="00E75BC2">
        <w:rPr>
          <w:lang w:val="ru-RU"/>
        </w:rPr>
        <w:t>охватывающих</w:t>
      </w:r>
      <w:r w:rsidR="00E75BC2" w:rsidRPr="00E75BC2">
        <w:rPr>
          <w:lang w:val="ru-RU"/>
        </w:rPr>
        <w:t xml:space="preserve"> </w:t>
      </w:r>
      <w:r w:rsidR="00E75BC2">
        <w:rPr>
          <w:lang w:val="ru-RU"/>
        </w:rPr>
        <w:t>все</w:t>
      </w:r>
      <w:r w:rsidR="00E75BC2" w:rsidRPr="00E75BC2">
        <w:rPr>
          <w:lang w:val="ru-RU"/>
        </w:rPr>
        <w:t xml:space="preserve"> </w:t>
      </w:r>
      <w:r w:rsidR="00E75BC2">
        <w:rPr>
          <w:lang w:val="ru-RU"/>
        </w:rPr>
        <w:t xml:space="preserve">регионы мира. </w:t>
      </w:r>
      <w:r w:rsidR="00B253C7">
        <w:rPr>
          <w:lang w:val="ru-RU"/>
        </w:rPr>
        <w:t>В</w:t>
      </w:r>
      <w:r w:rsidR="00B253C7" w:rsidRPr="000D7C4B">
        <w:rPr>
          <w:lang w:val="ru-RU"/>
        </w:rPr>
        <w:t xml:space="preserve"> </w:t>
      </w:r>
      <w:r w:rsidR="00B253C7">
        <w:rPr>
          <w:lang w:val="ru-RU"/>
        </w:rPr>
        <w:t>этом</w:t>
      </w:r>
      <w:r w:rsidR="00B253C7" w:rsidRPr="000D7C4B">
        <w:rPr>
          <w:lang w:val="ru-RU"/>
        </w:rPr>
        <w:t xml:space="preserve"> </w:t>
      </w:r>
      <w:r w:rsidR="00B253C7">
        <w:rPr>
          <w:lang w:val="ru-RU"/>
        </w:rPr>
        <w:t>отношении</w:t>
      </w:r>
      <w:r w:rsidR="00B253C7" w:rsidRPr="000D7C4B">
        <w:rPr>
          <w:lang w:val="ru-RU"/>
        </w:rPr>
        <w:t xml:space="preserve"> </w:t>
      </w:r>
      <w:r w:rsidR="00B253C7">
        <w:rPr>
          <w:lang w:val="ru-RU"/>
        </w:rPr>
        <w:t>Африке</w:t>
      </w:r>
      <w:r w:rsidR="00B253C7" w:rsidRPr="000D7C4B">
        <w:rPr>
          <w:lang w:val="ru-RU"/>
        </w:rPr>
        <w:t xml:space="preserve"> </w:t>
      </w:r>
      <w:r w:rsidR="000D7C4B">
        <w:rPr>
          <w:lang w:val="ru-RU"/>
        </w:rPr>
        <w:t>с</w:t>
      </w:r>
      <w:r w:rsidR="000D7C4B" w:rsidRPr="000D7C4B">
        <w:rPr>
          <w:lang w:val="ru-RU"/>
        </w:rPr>
        <w:t xml:space="preserve"> </w:t>
      </w:r>
      <w:r w:rsidR="000D7C4B">
        <w:rPr>
          <w:lang w:val="ru-RU"/>
        </w:rPr>
        <w:t>двадцатью</w:t>
      </w:r>
      <w:r w:rsidR="000D7C4B" w:rsidRPr="000D7C4B">
        <w:rPr>
          <w:lang w:val="ru-RU"/>
        </w:rPr>
        <w:t xml:space="preserve"> </w:t>
      </w:r>
      <w:r w:rsidR="000D7C4B">
        <w:rPr>
          <w:lang w:val="ru-RU"/>
        </w:rPr>
        <w:t>восемью</w:t>
      </w:r>
      <w:r w:rsidR="000D7C4B" w:rsidRPr="000D7C4B">
        <w:rPr>
          <w:lang w:val="ru-RU"/>
        </w:rPr>
        <w:t xml:space="preserve"> </w:t>
      </w:r>
      <w:r w:rsidR="000D7C4B">
        <w:rPr>
          <w:lang w:val="ru-RU"/>
        </w:rPr>
        <w:t>странами</w:t>
      </w:r>
      <w:r w:rsidR="000D7C4B" w:rsidRPr="000D7C4B">
        <w:rPr>
          <w:lang w:val="ru-RU"/>
        </w:rPr>
        <w:t>-</w:t>
      </w:r>
      <w:r w:rsidR="000D7C4B">
        <w:rPr>
          <w:lang w:val="ru-RU"/>
        </w:rPr>
        <w:t xml:space="preserve">бенефициарами </w:t>
      </w:r>
      <w:r w:rsidR="00B253C7">
        <w:rPr>
          <w:lang w:val="ru-RU"/>
        </w:rPr>
        <w:t>уделя</w:t>
      </w:r>
      <w:r w:rsidR="002A66C3">
        <w:rPr>
          <w:lang w:val="ru-RU"/>
        </w:rPr>
        <w:t>лось</w:t>
      </w:r>
      <w:r w:rsidR="00B253C7" w:rsidRPr="000D7C4B">
        <w:rPr>
          <w:lang w:val="ru-RU"/>
        </w:rPr>
        <w:t xml:space="preserve"> </w:t>
      </w:r>
      <w:r w:rsidR="00B253C7">
        <w:rPr>
          <w:lang w:val="ru-RU"/>
        </w:rPr>
        <w:t>особое</w:t>
      </w:r>
      <w:r w:rsidR="00B253C7" w:rsidRPr="000D7C4B">
        <w:rPr>
          <w:lang w:val="ru-RU"/>
        </w:rPr>
        <w:t xml:space="preserve"> </w:t>
      </w:r>
      <w:r w:rsidR="00B253C7">
        <w:rPr>
          <w:lang w:val="ru-RU"/>
        </w:rPr>
        <w:t>внимание</w:t>
      </w:r>
      <w:r w:rsidR="000D7C4B">
        <w:rPr>
          <w:lang w:val="ru-RU"/>
        </w:rPr>
        <w:t>.</w:t>
      </w:r>
    </w:p>
    <w:p w:rsidR="00C902E0" w:rsidRPr="00C765D9" w:rsidRDefault="0038411D" w:rsidP="00430A07">
      <w:pPr>
        <w:pStyle w:val="COMPara"/>
        <w:numPr>
          <w:ilvl w:val="0"/>
          <w:numId w:val="10"/>
        </w:numPr>
        <w:ind w:left="567" w:hanging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Сорок</w:t>
      </w:r>
      <w:r w:rsidRPr="003873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</w:t>
      </w:r>
      <w:r w:rsidRPr="00387349">
        <w:rPr>
          <w:rFonts w:eastAsia="Times New Roman"/>
          <w:lang w:val="ru-RU"/>
        </w:rPr>
        <w:t xml:space="preserve"> </w:t>
      </w:r>
      <w:r w:rsidR="00D0657D">
        <w:rPr>
          <w:rFonts w:eastAsia="Times New Roman"/>
          <w:lang w:val="ru-RU"/>
        </w:rPr>
        <w:t>воспользовались</w:t>
      </w:r>
      <w:r w:rsidR="00D0657D" w:rsidRPr="003873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многолетни</w:t>
      </w:r>
      <w:r w:rsidR="00D0657D">
        <w:rPr>
          <w:rFonts w:eastAsia="Times New Roman"/>
          <w:lang w:val="ru-RU"/>
        </w:rPr>
        <w:t>ми</w:t>
      </w:r>
      <w:r w:rsidRPr="0038734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проект</w:t>
      </w:r>
      <w:r w:rsidR="00D0657D">
        <w:rPr>
          <w:rFonts w:eastAsia="Times New Roman"/>
          <w:lang w:val="ru-RU"/>
        </w:rPr>
        <w:t>ами</w:t>
      </w:r>
      <w:r w:rsidR="00D44D01" w:rsidRPr="00387349">
        <w:rPr>
          <w:rFonts w:eastAsia="Times New Roman"/>
          <w:lang w:val="ru-RU"/>
        </w:rPr>
        <w:t xml:space="preserve">, </w:t>
      </w:r>
      <w:r w:rsidR="00D44D01">
        <w:rPr>
          <w:rFonts w:eastAsia="Times New Roman"/>
          <w:lang w:val="ru-RU"/>
        </w:rPr>
        <w:t>основанны</w:t>
      </w:r>
      <w:r w:rsidR="00D0657D">
        <w:rPr>
          <w:rFonts w:eastAsia="Times New Roman"/>
          <w:lang w:val="ru-RU"/>
        </w:rPr>
        <w:t>ми</w:t>
      </w:r>
      <w:r w:rsidR="00D44D01" w:rsidRPr="00387349">
        <w:rPr>
          <w:rFonts w:eastAsia="Times New Roman"/>
          <w:lang w:val="ru-RU"/>
        </w:rPr>
        <w:t xml:space="preserve"> </w:t>
      </w:r>
      <w:r w:rsidR="00D44D01">
        <w:rPr>
          <w:rFonts w:eastAsia="Times New Roman"/>
          <w:lang w:val="ru-RU"/>
        </w:rPr>
        <w:t>на</w:t>
      </w:r>
      <w:r w:rsidR="00D44D01" w:rsidRPr="00387349">
        <w:rPr>
          <w:rFonts w:eastAsia="Times New Roman"/>
          <w:lang w:val="ru-RU"/>
        </w:rPr>
        <w:t xml:space="preserve"> </w:t>
      </w:r>
      <w:hyperlink r:id="rId27" w:history="1">
        <w:r w:rsidR="00D44D01">
          <w:rPr>
            <w:rStyle w:val="Hyperlink"/>
            <w:rFonts w:eastAsia="Times New Roman"/>
            <w:lang w:val="ru-RU"/>
          </w:rPr>
          <w:t>глобальной</w:t>
        </w:r>
        <w:r w:rsidR="00D44D01" w:rsidRPr="00387349">
          <w:rPr>
            <w:rStyle w:val="Hyperlink"/>
            <w:rFonts w:eastAsia="Times New Roman"/>
            <w:lang w:val="ru-RU"/>
          </w:rPr>
          <w:t xml:space="preserve"> </w:t>
        </w:r>
        <w:r w:rsidR="00D44D01">
          <w:rPr>
            <w:rStyle w:val="Hyperlink"/>
            <w:rFonts w:eastAsia="Times New Roman"/>
            <w:lang w:val="ru-RU"/>
          </w:rPr>
          <w:t>программе</w:t>
        </w:r>
        <w:r w:rsidR="00D44D01" w:rsidRPr="00387349">
          <w:rPr>
            <w:rStyle w:val="Hyperlink"/>
            <w:rFonts w:eastAsia="Times New Roman"/>
            <w:lang w:val="ru-RU"/>
          </w:rPr>
          <w:t xml:space="preserve"> </w:t>
        </w:r>
        <w:r w:rsidR="00D44D01">
          <w:rPr>
            <w:rStyle w:val="Hyperlink"/>
            <w:rFonts w:eastAsia="Times New Roman"/>
            <w:lang w:val="ru-RU"/>
          </w:rPr>
          <w:t>ЮНЕСКО</w:t>
        </w:r>
        <w:r w:rsidR="00D44D01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по</w:t>
        </w:r>
        <w:r w:rsidR="00A81679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укреплению</w:t>
        </w:r>
        <w:r w:rsidR="00A81679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потенциала</w:t>
        </w:r>
        <w:r w:rsidR="00A81679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в</w:t>
        </w:r>
        <w:r w:rsidR="00A81679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сфере</w:t>
        </w:r>
        <w:r w:rsidR="00A81679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нематериального</w:t>
        </w:r>
        <w:r w:rsidR="00A81679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культурного</w:t>
        </w:r>
        <w:r w:rsidR="00A81679" w:rsidRPr="00387349">
          <w:rPr>
            <w:rStyle w:val="Hyperlink"/>
            <w:rFonts w:eastAsia="Times New Roman"/>
            <w:lang w:val="ru-RU"/>
          </w:rPr>
          <w:t xml:space="preserve"> </w:t>
        </w:r>
        <w:r w:rsidR="00A81679">
          <w:rPr>
            <w:rStyle w:val="Hyperlink"/>
            <w:rFonts w:eastAsia="Times New Roman"/>
            <w:lang w:val="ru-RU"/>
          </w:rPr>
          <w:t>наследия</w:t>
        </w:r>
      </w:hyperlink>
      <w:r w:rsidR="005A6F64">
        <w:rPr>
          <w:rStyle w:val="Hyperlink"/>
          <w:rFonts w:eastAsia="Times New Roman"/>
          <w:lang w:val="ru-RU"/>
        </w:rPr>
        <w:t>,</w:t>
      </w:r>
      <w:r w:rsidR="00C902E0" w:rsidRPr="00387349">
        <w:rPr>
          <w:rFonts w:eastAsia="Times New Roman"/>
          <w:lang w:val="ru-RU"/>
        </w:rPr>
        <w:t xml:space="preserve"> </w:t>
      </w:r>
      <w:r w:rsidR="00D0657D">
        <w:rPr>
          <w:rFonts w:eastAsia="Times New Roman"/>
          <w:lang w:val="ru-RU"/>
        </w:rPr>
        <w:t>при</w:t>
      </w:r>
      <w:r w:rsidR="00D0657D" w:rsidRPr="00387349">
        <w:rPr>
          <w:rFonts w:eastAsia="Times New Roman"/>
          <w:lang w:val="ru-RU"/>
        </w:rPr>
        <w:t xml:space="preserve"> </w:t>
      </w:r>
      <w:r w:rsidR="00D0657D">
        <w:rPr>
          <w:rFonts w:eastAsia="Times New Roman"/>
          <w:lang w:val="ru-RU"/>
        </w:rPr>
        <w:t>по</w:t>
      </w:r>
      <w:r w:rsidR="00387349">
        <w:rPr>
          <w:rFonts w:eastAsia="Times New Roman"/>
          <w:lang w:val="ru-RU"/>
        </w:rPr>
        <w:t>мощи</w:t>
      </w:r>
      <w:r w:rsidR="00387349" w:rsidRPr="00387349">
        <w:rPr>
          <w:rFonts w:eastAsia="Times New Roman"/>
          <w:lang w:val="ru-RU"/>
        </w:rPr>
        <w:t xml:space="preserve"> </w:t>
      </w:r>
      <w:r w:rsidR="00387349">
        <w:rPr>
          <w:rFonts w:eastAsia="Times New Roman"/>
          <w:lang w:val="ru-RU"/>
        </w:rPr>
        <w:t>внебюджетных</w:t>
      </w:r>
      <w:r w:rsidR="00387349" w:rsidRPr="00387349">
        <w:rPr>
          <w:rFonts w:eastAsia="Times New Roman"/>
          <w:lang w:val="ru-RU"/>
        </w:rPr>
        <w:t xml:space="preserve"> </w:t>
      </w:r>
      <w:r w:rsidR="00387349">
        <w:rPr>
          <w:rFonts w:eastAsia="Times New Roman"/>
          <w:lang w:val="ru-RU"/>
        </w:rPr>
        <w:t xml:space="preserve">ресурсов, направляемых либо через Соглашения о целевых фондах (благодаря Азербайджану, </w:t>
      </w:r>
      <w:r w:rsidR="00EA0F21">
        <w:rPr>
          <w:rFonts w:eastAsia="Times New Roman"/>
          <w:lang w:val="ru-RU"/>
        </w:rPr>
        <w:t xml:space="preserve">Объединенным Арабским Эмиратам, </w:t>
      </w:r>
      <w:r w:rsidR="00387349">
        <w:rPr>
          <w:rFonts w:eastAsia="Times New Roman"/>
          <w:lang w:val="ru-RU"/>
        </w:rPr>
        <w:t>Фландрии-Бельгии</w:t>
      </w:r>
      <w:r w:rsidR="00EA0F21">
        <w:rPr>
          <w:rFonts w:eastAsia="Times New Roman"/>
          <w:lang w:val="ru-RU"/>
        </w:rPr>
        <w:t xml:space="preserve"> и Японии), либо в качестве целевых взносов в Фонд нематериального культурного наследия (благодаря Норвегии и Испании, </w:t>
      </w:r>
      <w:r w:rsidR="009E503D">
        <w:rPr>
          <w:rFonts w:eastAsia="Times New Roman"/>
          <w:lang w:val="ru-RU"/>
        </w:rPr>
        <w:t>в том числе правительству Каталонии). Дополнительная</w:t>
      </w:r>
      <w:r w:rsidR="009E503D" w:rsidRPr="00D620ED">
        <w:rPr>
          <w:rFonts w:eastAsia="Times New Roman"/>
          <w:lang w:val="ru-RU"/>
        </w:rPr>
        <w:t xml:space="preserve"> </w:t>
      </w:r>
      <w:r w:rsidR="009E503D">
        <w:rPr>
          <w:rFonts w:eastAsia="Times New Roman"/>
          <w:lang w:val="ru-RU"/>
        </w:rPr>
        <w:t>информация</w:t>
      </w:r>
      <w:r w:rsidR="009E503D" w:rsidRPr="00D620ED">
        <w:rPr>
          <w:rFonts w:eastAsia="Times New Roman"/>
          <w:lang w:val="ru-RU"/>
        </w:rPr>
        <w:t xml:space="preserve"> </w:t>
      </w:r>
      <w:r w:rsidR="009E503D">
        <w:rPr>
          <w:rFonts w:eastAsia="Times New Roman"/>
          <w:lang w:val="ru-RU"/>
        </w:rPr>
        <w:t>доступна</w:t>
      </w:r>
      <w:r w:rsidR="009E503D" w:rsidRPr="00D620ED">
        <w:rPr>
          <w:rFonts w:eastAsia="Times New Roman"/>
          <w:lang w:val="ru-RU"/>
        </w:rPr>
        <w:t xml:space="preserve"> </w:t>
      </w:r>
      <w:r w:rsidR="009E503D">
        <w:rPr>
          <w:rFonts w:eastAsia="Times New Roman"/>
          <w:lang w:val="ru-RU"/>
        </w:rPr>
        <w:t>на</w:t>
      </w:r>
      <w:r w:rsidR="009E503D" w:rsidRPr="00D620ED">
        <w:rPr>
          <w:rFonts w:eastAsia="Times New Roman"/>
          <w:lang w:val="ru-RU"/>
        </w:rPr>
        <w:t xml:space="preserve"> </w:t>
      </w:r>
      <w:hyperlink r:id="rId28" w:history="1">
        <w:r w:rsidR="009E503D">
          <w:rPr>
            <w:rStyle w:val="Hyperlink"/>
            <w:rFonts w:eastAsia="Malgun Gothic"/>
            <w:lang w:val="ru-RU" w:eastAsia="ko-KR"/>
          </w:rPr>
          <w:t>веб</w:t>
        </w:r>
        <w:r w:rsidR="009E503D" w:rsidRPr="00D620ED">
          <w:rPr>
            <w:rStyle w:val="Hyperlink"/>
            <w:rFonts w:eastAsia="Malgun Gothic"/>
            <w:lang w:val="ru-RU" w:eastAsia="ko-KR"/>
          </w:rPr>
          <w:t>-</w:t>
        </w:r>
        <w:r w:rsidR="009E503D">
          <w:rPr>
            <w:rStyle w:val="Hyperlink"/>
            <w:rFonts w:eastAsia="Malgun Gothic"/>
            <w:lang w:val="ru-RU" w:eastAsia="ko-KR"/>
          </w:rPr>
          <w:t>странице</w:t>
        </w:r>
      </w:hyperlink>
      <w:r w:rsidR="009E503D" w:rsidRPr="00D620ED">
        <w:rPr>
          <w:rStyle w:val="Hyperlink"/>
          <w:rFonts w:eastAsia="Malgun Gothic"/>
          <w:lang w:val="ru-RU" w:eastAsia="ko-KR"/>
        </w:rPr>
        <w:t xml:space="preserve"> </w:t>
      </w:r>
      <w:r w:rsidR="009E503D">
        <w:rPr>
          <w:rStyle w:val="Hyperlink"/>
          <w:rFonts w:eastAsia="Malgun Gothic"/>
          <w:lang w:val="ru-RU" w:eastAsia="ko-KR"/>
        </w:rPr>
        <w:t>проекта</w:t>
      </w:r>
      <w:r w:rsidR="00C902E0" w:rsidRPr="00D620ED">
        <w:rPr>
          <w:rFonts w:eastAsia="Times New Roman"/>
          <w:lang w:val="ru-RU"/>
        </w:rPr>
        <w:t xml:space="preserve"> </w:t>
      </w:r>
      <w:r w:rsidR="009E503D">
        <w:rPr>
          <w:rFonts w:eastAsia="Times New Roman"/>
          <w:lang w:val="ru-RU"/>
        </w:rPr>
        <w:t>Конвенции</w:t>
      </w:r>
      <w:r w:rsidR="009E503D" w:rsidRPr="00D620ED">
        <w:rPr>
          <w:rFonts w:eastAsia="Times New Roman"/>
          <w:lang w:val="ru-RU"/>
        </w:rPr>
        <w:t xml:space="preserve">. </w:t>
      </w:r>
      <w:r w:rsidR="00B84FF6">
        <w:rPr>
          <w:rFonts w:eastAsia="Times New Roman"/>
          <w:lang w:val="ru-RU"/>
        </w:rPr>
        <w:t>Были</w:t>
      </w:r>
      <w:r w:rsidR="00B84FF6" w:rsidRPr="00B84FF6">
        <w:rPr>
          <w:rFonts w:eastAsia="Times New Roman"/>
          <w:lang w:val="ru-RU"/>
        </w:rPr>
        <w:t xml:space="preserve"> </w:t>
      </w:r>
      <w:r w:rsidR="00B84FF6">
        <w:rPr>
          <w:rFonts w:eastAsia="Times New Roman"/>
          <w:lang w:val="ru-RU"/>
        </w:rPr>
        <w:t>оценены</w:t>
      </w:r>
      <w:r w:rsidR="00B84FF6" w:rsidRPr="00B84FF6">
        <w:rPr>
          <w:rFonts w:eastAsia="Times New Roman"/>
          <w:lang w:val="ru-RU"/>
        </w:rPr>
        <w:t xml:space="preserve"> </w:t>
      </w:r>
      <w:r w:rsidR="00B84FF6">
        <w:rPr>
          <w:rFonts w:eastAsia="Times New Roman"/>
          <w:lang w:val="ru-RU"/>
        </w:rPr>
        <w:t>два</w:t>
      </w:r>
      <w:r w:rsidR="00B84FF6" w:rsidRPr="00B84FF6">
        <w:rPr>
          <w:rFonts w:eastAsia="Times New Roman"/>
          <w:lang w:val="ru-RU"/>
        </w:rPr>
        <w:t xml:space="preserve"> </w:t>
      </w:r>
      <w:proofErr w:type="spellStart"/>
      <w:r w:rsidR="00B84FF6">
        <w:rPr>
          <w:rFonts w:eastAsia="Times New Roman"/>
          <w:lang w:val="ru-RU"/>
        </w:rPr>
        <w:t>межстрановых</w:t>
      </w:r>
      <w:proofErr w:type="spellEnd"/>
      <w:r w:rsidR="00B84FF6" w:rsidRPr="00B84FF6">
        <w:rPr>
          <w:rFonts w:eastAsia="Times New Roman"/>
          <w:lang w:val="ru-RU"/>
        </w:rPr>
        <w:t xml:space="preserve"> </w:t>
      </w:r>
      <w:r w:rsidR="00B84FF6">
        <w:rPr>
          <w:rFonts w:eastAsia="Times New Roman"/>
          <w:lang w:val="ru-RU"/>
        </w:rPr>
        <w:t>проекта</w:t>
      </w:r>
      <w:r w:rsidR="00B84FF6" w:rsidRPr="00B84FF6">
        <w:rPr>
          <w:rFonts w:eastAsia="Times New Roman"/>
          <w:lang w:val="ru-RU"/>
        </w:rPr>
        <w:t xml:space="preserve">, </w:t>
      </w:r>
      <w:r w:rsidR="00B84FF6">
        <w:rPr>
          <w:rFonts w:eastAsia="Times New Roman"/>
          <w:lang w:val="ru-RU"/>
        </w:rPr>
        <w:t>один</w:t>
      </w:r>
      <w:r w:rsidR="00B84FF6" w:rsidRPr="00B84FF6">
        <w:rPr>
          <w:rFonts w:eastAsia="Times New Roman"/>
          <w:lang w:val="ru-RU"/>
        </w:rPr>
        <w:t xml:space="preserve"> </w:t>
      </w:r>
      <w:r w:rsidR="00B84FF6">
        <w:rPr>
          <w:rFonts w:eastAsia="Times New Roman"/>
          <w:lang w:val="ru-RU"/>
        </w:rPr>
        <w:t>в</w:t>
      </w:r>
      <w:r w:rsidR="00B84FF6" w:rsidRPr="00B84FF6">
        <w:rPr>
          <w:rFonts w:eastAsia="Times New Roman"/>
          <w:lang w:val="ru-RU"/>
        </w:rPr>
        <w:t xml:space="preserve"> </w:t>
      </w:r>
      <w:proofErr w:type="spellStart"/>
      <w:r w:rsidR="00B84FF6">
        <w:rPr>
          <w:rFonts w:eastAsia="Times New Roman"/>
          <w:lang w:val="ru-RU"/>
        </w:rPr>
        <w:t>португалоязычной</w:t>
      </w:r>
      <w:proofErr w:type="spellEnd"/>
      <w:r w:rsidR="00B84FF6" w:rsidRPr="00B84FF6">
        <w:rPr>
          <w:rFonts w:eastAsia="Times New Roman"/>
          <w:lang w:val="ru-RU"/>
        </w:rPr>
        <w:t xml:space="preserve"> </w:t>
      </w:r>
      <w:r w:rsidR="00B84FF6">
        <w:rPr>
          <w:rFonts w:eastAsia="Times New Roman"/>
          <w:lang w:val="ru-RU"/>
        </w:rPr>
        <w:t xml:space="preserve">Африке, а второй – в Азиатско-Тихоокеанском регионе. </w:t>
      </w:r>
      <w:r w:rsidR="006E7663">
        <w:rPr>
          <w:rFonts w:eastAsia="Times New Roman"/>
          <w:lang w:val="ru-RU"/>
        </w:rPr>
        <w:t>Результаты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этих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оценок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подчеркнули</w:t>
      </w:r>
      <w:r w:rsidR="006E7663" w:rsidRPr="00C765D9">
        <w:rPr>
          <w:rFonts w:eastAsia="Times New Roman"/>
          <w:lang w:val="ru-RU"/>
        </w:rPr>
        <w:t xml:space="preserve"> – </w:t>
      </w:r>
      <w:r w:rsidR="006E7663">
        <w:rPr>
          <w:rFonts w:eastAsia="Times New Roman"/>
          <w:lang w:val="ru-RU"/>
        </w:rPr>
        <w:t>в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рамках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более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широких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рекомендаций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и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извлеченных</w:t>
      </w:r>
      <w:r w:rsidR="006E7663" w:rsidRPr="00C765D9">
        <w:rPr>
          <w:rFonts w:eastAsia="Times New Roman"/>
          <w:lang w:val="ru-RU"/>
        </w:rPr>
        <w:t xml:space="preserve"> </w:t>
      </w:r>
      <w:r w:rsidR="006E7663">
        <w:rPr>
          <w:rFonts w:eastAsia="Times New Roman"/>
          <w:lang w:val="ru-RU"/>
        </w:rPr>
        <w:t>уроков</w:t>
      </w:r>
      <w:r w:rsidR="00C765D9" w:rsidRPr="00C765D9">
        <w:rPr>
          <w:rFonts w:eastAsia="Times New Roman"/>
          <w:lang w:val="ru-RU"/>
        </w:rPr>
        <w:t xml:space="preserve"> – </w:t>
      </w:r>
      <w:r w:rsidR="00C765D9">
        <w:rPr>
          <w:rFonts w:eastAsia="Times New Roman"/>
          <w:lang w:val="ru-RU"/>
        </w:rPr>
        <w:t>важность</w:t>
      </w:r>
      <w:r w:rsidR="00C765D9" w:rsidRPr="00C765D9">
        <w:rPr>
          <w:rFonts w:eastAsia="Times New Roman"/>
          <w:lang w:val="ru-RU"/>
        </w:rPr>
        <w:t xml:space="preserve"> </w:t>
      </w:r>
      <w:r w:rsidR="00C765D9">
        <w:rPr>
          <w:rFonts w:eastAsia="Times New Roman"/>
          <w:lang w:val="ru-RU"/>
        </w:rPr>
        <w:t>разработки</w:t>
      </w:r>
      <w:r w:rsidR="00C765D9" w:rsidRPr="00C765D9">
        <w:rPr>
          <w:rFonts w:eastAsia="Times New Roman"/>
          <w:lang w:val="ru-RU"/>
        </w:rPr>
        <w:t xml:space="preserve"> </w:t>
      </w:r>
      <w:r w:rsidR="00C765D9">
        <w:rPr>
          <w:rFonts w:eastAsia="Times New Roman"/>
          <w:lang w:val="ru-RU"/>
        </w:rPr>
        <w:t>странами</w:t>
      </w:r>
      <w:r w:rsidR="00C765D9" w:rsidRPr="00C765D9">
        <w:rPr>
          <w:rFonts w:eastAsia="Times New Roman"/>
          <w:lang w:val="ru-RU"/>
        </w:rPr>
        <w:t>-</w:t>
      </w:r>
      <w:r w:rsidR="00C765D9">
        <w:rPr>
          <w:rFonts w:eastAsia="Times New Roman"/>
          <w:lang w:val="ru-RU"/>
        </w:rPr>
        <w:t>бенефициарами</w:t>
      </w:r>
      <w:r w:rsidR="00C765D9" w:rsidRPr="00C765D9">
        <w:rPr>
          <w:rFonts w:eastAsia="Times New Roman"/>
          <w:lang w:val="ru-RU"/>
        </w:rPr>
        <w:t xml:space="preserve"> </w:t>
      </w:r>
      <w:r w:rsidR="00C765D9">
        <w:rPr>
          <w:rFonts w:eastAsia="Times New Roman"/>
          <w:lang w:val="ru-RU"/>
        </w:rPr>
        <w:t>национальных</w:t>
      </w:r>
      <w:r w:rsidR="00C765D9" w:rsidRPr="00C765D9">
        <w:rPr>
          <w:rFonts w:eastAsia="Times New Roman"/>
          <w:lang w:val="ru-RU"/>
        </w:rPr>
        <w:t xml:space="preserve"> </w:t>
      </w:r>
      <w:r w:rsidR="00C765D9">
        <w:rPr>
          <w:rFonts w:eastAsia="Times New Roman"/>
          <w:lang w:val="ru-RU"/>
        </w:rPr>
        <w:t>механизмов</w:t>
      </w:r>
      <w:r w:rsidR="00C765D9" w:rsidRPr="00C765D9">
        <w:rPr>
          <w:rFonts w:eastAsia="Times New Roman"/>
          <w:lang w:val="ru-RU"/>
        </w:rPr>
        <w:t xml:space="preserve"> </w:t>
      </w:r>
      <w:r w:rsidR="00C765D9">
        <w:rPr>
          <w:rFonts w:eastAsia="Times New Roman"/>
          <w:lang w:val="ru-RU"/>
        </w:rPr>
        <w:t>по</w:t>
      </w:r>
      <w:r w:rsidR="00C765D9" w:rsidRPr="00C765D9">
        <w:rPr>
          <w:rFonts w:eastAsia="Times New Roman"/>
          <w:lang w:val="ru-RU"/>
        </w:rPr>
        <w:t xml:space="preserve"> </w:t>
      </w:r>
      <w:r w:rsidR="00C765D9">
        <w:rPr>
          <w:rFonts w:eastAsia="Times New Roman"/>
          <w:lang w:val="ru-RU"/>
        </w:rPr>
        <w:t>продолжению</w:t>
      </w:r>
      <w:r w:rsidR="00C765D9" w:rsidRPr="00C765D9">
        <w:rPr>
          <w:rFonts w:eastAsia="Times New Roman"/>
          <w:lang w:val="ru-RU"/>
        </w:rPr>
        <w:t xml:space="preserve"> </w:t>
      </w:r>
      <w:r w:rsidR="00C765D9">
        <w:rPr>
          <w:rFonts w:eastAsia="Times New Roman"/>
          <w:lang w:val="ru-RU"/>
        </w:rPr>
        <w:t>обучающих мероприятий после прекращения международной поддержки.</w:t>
      </w:r>
    </w:p>
    <w:p w:rsidR="00C902E0" w:rsidRPr="00906C2D" w:rsidRDefault="00AC3787" w:rsidP="00430A07">
      <w:pPr>
        <w:pStyle w:val="COMPara"/>
        <w:numPr>
          <w:ilvl w:val="0"/>
          <w:numId w:val="10"/>
        </w:numPr>
        <w:ind w:left="567" w:hanging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Другие</w:t>
      </w:r>
      <w:r w:rsidRPr="00BD79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мероприятия</w:t>
      </w:r>
      <w:r w:rsidRPr="00BD79B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</w:t>
      </w:r>
      <w:r w:rsidRPr="00BD79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именно</w:t>
      </w:r>
      <w:r w:rsidRPr="00BD79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оценка</w:t>
      </w:r>
      <w:r w:rsidRPr="00BD79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потребностей</w:t>
      </w:r>
      <w:r w:rsidRPr="00BD79B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поддержка</w:t>
      </w:r>
      <w:r w:rsidRPr="00BD79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политики</w:t>
      </w:r>
      <w:r w:rsidRPr="00BD79B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BD79B1">
        <w:rPr>
          <w:rFonts w:eastAsia="Times New Roman"/>
          <w:lang w:val="ru-RU"/>
        </w:rPr>
        <w:t xml:space="preserve"> </w:t>
      </w:r>
      <w:r w:rsidR="00BD79B1">
        <w:rPr>
          <w:rFonts w:eastAsia="Times New Roman"/>
          <w:lang w:val="ru-RU"/>
        </w:rPr>
        <w:t>обучающие</w:t>
      </w:r>
      <w:r w:rsidR="00BD79B1" w:rsidRPr="00BD79B1">
        <w:rPr>
          <w:rFonts w:eastAsia="Times New Roman"/>
          <w:lang w:val="ru-RU"/>
        </w:rPr>
        <w:t xml:space="preserve"> </w:t>
      </w:r>
      <w:r w:rsidR="00BD79B1">
        <w:rPr>
          <w:rFonts w:eastAsia="Times New Roman"/>
          <w:lang w:val="ru-RU"/>
        </w:rPr>
        <w:t>семинары</w:t>
      </w:r>
      <w:r w:rsidR="005A6F64">
        <w:rPr>
          <w:rFonts w:eastAsia="Times New Roman"/>
          <w:lang w:val="ru-RU"/>
        </w:rPr>
        <w:t>,</w:t>
      </w:r>
      <w:r w:rsidR="00BD79B1" w:rsidRPr="00BD79B1">
        <w:rPr>
          <w:rFonts w:eastAsia="Times New Roman"/>
          <w:lang w:val="ru-RU"/>
        </w:rPr>
        <w:t xml:space="preserve"> </w:t>
      </w:r>
      <w:r w:rsidR="00BD79B1">
        <w:rPr>
          <w:rFonts w:eastAsia="Times New Roman"/>
          <w:lang w:val="ru-RU"/>
        </w:rPr>
        <w:t>финансировались</w:t>
      </w:r>
      <w:r w:rsidR="00BD79B1" w:rsidRPr="00BD79B1">
        <w:rPr>
          <w:rFonts w:eastAsia="Times New Roman"/>
          <w:lang w:val="ru-RU"/>
        </w:rPr>
        <w:t xml:space="preserve"> </w:t>
      </w:r>
      <w:r w:rsidR="00BD79B1">
        <w:rPr>
          <w:rFonts w:eastAsia="Times New Roman"/>
          <w:lang w:val="ru-RU"/>
        </w:rPr>
        <w:t>в</w:t>
      </w:r>
      <w:r w:rsidR="00BD79B1" w:rsidRPr="00BD79B1">
        <w:rPr>
          <w:rFonts w:eastAsia="Times New Roman"/>
          <w:lang w:val="ru-RU"/>
        </w:rPr>
        <w:t xml:space="preserve"> </w:t>
      </w:r>
      <w:r w:rsidR="00BD79B1">
        <w:rPr>
          <w:rFonts w:eastAsia="Times New Roman"/>
          <w:lang w:val="ru-RU"/>
        </w:rPr>
        <w:t>рамках</w:t>
      </w:r>
      <w:r w:rsidR="00BD79B1" w:rsidRPr="00BD79B1">
        <w:rPr>
          <w:rFonts w:eastAsia="Times New Roman"/>
          <w:lang w:val="ru-RU"/>
        </w:rPr>
        <w:t xml:space="preserve"> </w:t>
      </w:r>
      <w:r w:rsidR="00BD79B1">
        <w:rPr>
          <w:rFonts w:eastAsia="Times New Roman"/>
          <w:lang w:val="ru-RU"/>
        </w:rPr>
        <w:t>регулярной</w:t>
      </w:r>
      <w:r w:rsidR="00BD79B1" w:rsidRPr="00BD79B1">
        <w:rPr>
          <w:rFonts w:eastAsia="Times New Roman"/>
          <w:lang w:val="ru-RU"/>
        </w:rPr>
        <w:t xml:space="preserve"> </w:t>
      </w:r>
      <w:r w:rsidR="00BD79B1">
        <w:rPr>
          <w:rFonts w:eastAsia="Times New Roman"/>
          <w:lang w:val="ru-RU"/>
        </w:rPr>
        <w:t>программы, распределенной по региональным бюро</w:t>
      </w:r>
      <w:r w:rsidR="00D576B0">
        <w:rPr>
          <w:rFonts w:eastAsia="Times New Roman"/>
          <w:lang w:val="ru-RU"/>
        </w:rPr>
        <w:t xml:space="preserve">, или </w:t>
      </w:r>
      <w:r w:rsidR="00E047B5">
        <w:rPr>
          <w:rFonts w:eastAsia="Times New Roman"/>
          <w:lang w:val="ru-RU"/>
        </w:rPr>
        <w:t>через встречное финансировани</w:t>
      </w:r>
      <w:r w:rsidR="00410DF4">
        <w:rPr>
          <w:rFonts w:eastAsia="Times New Roman"/>
          <w:lang w:val="ru-RU"/>
        </w:rPr>
        <w:t>е национальными властями или центрами категории 2.</w:t>
      </w:r>
      <w:r w:rsidR="00250B87">
        <w:rPr>
          <w:rFonts w:eastAsia="Times New Roman"/>
          <w:lang w:val="ru-RU"/>
        </w:rPr>
        <w:t xml:space="preserve"> Одним</w:t>
      </w:r>
      <w:r w:rsidR="00250B87" w:rsidRPr="0079459E">
        <w:rPr>
          <w:rFonts w:eastAsia="Times New Roman"/>
          <w:lang w:val="ru-RU"/>
        </w:rPr>
        <w:t xml:space="preserve"> </w:t>
      </w:r>
      <w:r w:rsidR="00250B87">
        <w:rPr>
          <w:rFonts w:eastAsia="Times New Roman"/>
          <w:lang w:val="ru-RU"/>
        </w:rPr>
        <w:t>из</w:t>
      </w:r>
      <w:r w:rsidR="00250B87" w:rsidRPr="0079459E">
        <w:rPr>
          <w:rFonts w:eastAsia="Times New Roman"/>
          <w:lang w:val="ru-RU"/>
        </w:rPr>
        <w:t xml:space="preserve"> </w:t>
      </w:r>
      <w:r w:rsidR="00250B87">
        <w:rPr>
          <w:rFonts w:eastAsia="Times New Roman"/>
          <w:lang w:val="ru-RU"/>
        </w:rPr>
        <w:t>главных</w:t>
      </w:r>
      <w:r w:rsidR="00250B87" w:rsidRPr="0079459E">
        <w:rPr>
          <w:rFonts w:eastAsia="Times New Roman"/>
          <w:lang w:val="ru-RU"/>
        </w:rPr>
        <w:t xml:space="preserve"> </w:t>
      </w:r>
      <w:r w:rsidR="00250B87">
        <w:rPr>
          <w:rFonts w:eastAsia="Times New Roman"/>
          <w:lang w:val="ru-RU"/>
        </w:rPr>
        <w:t>достижений</w:t>
      </w:r>
      <w:r w:rsidR="00250B87" w:rsidRPr="0079459E">
        <w:rPr>
          <w:rFonts w:eastAsia="Times New Roman"/>
          <w:lang w:val="ru-RU"/>
        </w:rPr>
        <w:t xml:space="preserve"> </w:t>
      </w:r>
      <w:r w:rsidR="00250B87">
        <w:rPr>
          <w:rFonts w:eastAsia="Times New Roman"/>
          <w:lang w:val="ru-RU"/>
        </w:rPr>
        <w:t>является</w:t>
      </w:r>
      <w:r w:rsidR="00250B87" w:rsidRPr="0079459E">
        <w:rPr>
          <w:rFonts w:eastAsia="Times New Roman"/>
          <w:lang w:val="ru-RU"/>
        </w:rPr>
        <w:t xml:space="preserve"> </w:t>
      </w:r>
      <w:r w:rsidR="00250B87">
        <w:rPr>
          <w:rFonts w:eastAsia="Times New Roman"/>
          <w:lang w:val="ru-RU"/>
        </w:rPr>
        <w:t>завершение</w:t>
      </w:r>
      <w:r w:rsidR="00250B87" w:rsidRPr="0079459E">
        <w:rPr>
          <w:rFonts w:eastAsia="Times New Roman"/>
          <w:lang w:val="ru-RU"/>
        </w:rPr>
        <w:t xml:space="preserve"> </w:t>
      </w:r>
      <w:r w:rsidR="00250B87">
        <w:rPr>
          <w:rFonts w:eastAsia="Times New Roman"/>
          <w:lang w:val="ru-RU"/>
        </w:rPr>
        <w:t>углубленной</w:t>
      </w:r>
      <w:r w:rsidR="00250B87" w:rsidRPr="0079459E">
        <w:rPr>
          <w:rFonts w:eastAsia="Times New Roman"/>
          <w:lang w:val="ru-RU"/>
        </w:rPr>
        <w:t xml:space="preserve"> </w:t>
      </w:r>
      <w:r w:rsidR="00250B87">
        <w:rPr>
          <w:rFonts w:eastAsia="Times New Roman"/>
          <w:lang w:val="ru-RU"/>
        </w:rPr>
        <w:t>оценки</w:t>
      </w:r>
      <w:r w:rsidR="00250B87" w:rsidRPr="0079459E">
        <w:rPr>
          <w:rFonts w:eastAsia="Times New Roman"/>
          <w:lang w:val="ru-RU"/>
        </w:rPr>
        <w:t xml:space="preserve"> </w:t>
      </w:r>
      <w:r w:rsidR="0079459E">
        <w:rPr>
          <w:rFonts w:eastAsia="Times New Roman"/>
          <w:lang w:val="ru-RU"/>
        </w:rPr>
        <w:t>потребностей</w:t>
      </w:r>
      <w:r w:rsidR="0079459E" w:rsidRPr="0079459E">
        <w:rPr>
          <w:rFonts w:eastAsia="Times New Roman"/>
          <w:lang w:val="ru-RU"/>
        </w:rPr>
        <w:t xml:space="preserve"> </w:t>
      </w:r>
      <w:r w:rsidR="0079459E">
        <w:rPr>
          <w:rFonts w:eastAsia="Times New Roman"/>
          <w:lang w:val="ru-RU"/>
        </w:rPr>
        <w:t xml:space="preserve">в пятнадцати странах. </w:t>
      </w:r>
      <w:r w:rsidR="008B4D3E">
        <w:rPr>
          <w:rFonts w:eastAsia="Times New Roman"/>
          <w:lang w:val="ru-RU"/>
        </w:rPr>
        <w:t>Эти</w:t>
      </w:r>
      <w:r w:rsidR="008B4D3E" w:rsidRPr="00EE60F1">
        <w:rPr>
          <w:rFonts w:eastAsia="Times New Roman"/>
          <w:lang w:val="ru-RU"/>
        </w:rPr>
        <w:t xml:space="preserve"> </w:t>
      </w:r>
      <w:r w:rsidR="008B4D3E">
        <w:rPr>
          <w:rFonts w:eastAsia="Times New Roman"/>
          <w:lang w:val="ru-RU"/>
        </w:rPr>
        <w:t>проекты</w:t>
      </w:r>
      <w:r w:rsidR="008B4D3E" w:rsidRPr="00EE60F1">
        <w:rPr>
          <w:rFonts w:eastAsia="Times New Roman"/>
          <w:lang w:val="ru-RU"/>
        </w:rPr>
        <w:t xml:space="preserve">, </w:t>
      </w:r>
      <w:r w:rsidR="008B4D3E">
        <w:rPr>
          <w:rFonts w:eastAsia="Times New Roman"/>
          <w:lang w:val="ru-RU"/>
        </w:rPr>
        <w:t>как</w:t>
      </w:r>
      <w:r w:rsidR="008B4D3E" w:rsidRPr="00EE60F1">
        <w:rPr>
          <w:rFonts w:eastAsia="Times New Roman"/>
          <w:lang w:val="ru-RU"/>
        </w:rPr>
        <w:t xml:space="preserve"> </w:t>
      </w:r>
      <w:r w:rsidR="008B4D3E">
        <w:rPr>
          <w:rFonts w:eastAsia="Times New Roman"/>
          <w:lang w:val="ru-RU"/>
        </w:rPr>
        <w:t>правило</w:t>
      </w:r>
      <w:r w:rsidR="008B4D3E" w:rsidRPr="00EE60F1">
        <w:rPr>
          <w:rFonts w:eastAsia="Times New Roman"/>
          <w:lang w:val="ru-RU"/>
        </w:rPr>
        <w:t xml:space="preserve">, </w:t>
      </w:r>
      <w:r w:rsidR="008B4D3E">
        <w:rPr>
          <w:rFonts w:eastAsia="Times New Roman"/>
          <w:lang w:val="ru-RU"/>
        </w:rPr>
        <w:t>показывают</w:t>
      </w:r>
      <w:r w:rsidR="008B4D3E" w:rsidRPr="00EE60F1">
        <w:rPr>
          <w:rFonts w:eastAsia="Times New Roman"/>
          <w:lang w:val="ru-RU"/>
        </w:rPr>
        <w:t>, что был достигнут значительный прогресс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в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деле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мобилизации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заинтересованных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сторон</w:t>
      </w:r>
      <w:r w:rsidR="00EE60F1" w:rsidRPr="00EE60F1">
        <w:rPr>
          <w:rFonts w:eastAsia="Times New Roman"/>
          <w:lang w:val="ru-RU"/>
        </w:rPr>
        <w:t xml:space="preserve">, </w:t>
      </w:r>
      <w:r w:rsidR="00EE60F1">
        <w:rPr>
          <w:rFonts w:eastAsia="Times New Roman"/>
          <w:lang w:val="ru-RU"/>
        </w:rPr>
        <w:t>укрепления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институциональной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инфраструктуры</w:t>
      </w:r>
      <w:r w:rsidR="00EE60F1" w:rsidRPr="00EE60F1">
        <w:rPr>
          <w:rFonts w:eastAsia="Times New Roman"/>
          <w:lang w:val="ru-RU"/>
        </w:rPr>
        <w:t xml:space="preserve">, </w:t>
      </w:r>
      <w:r w:rsidR="00EE60F1">
        <w:rPr>
          <w:rFonts w:eastAsia="Times New Roman"/>
          <w:lang w:val="ru-RU"/>
        </w:rPr>
        <w:t>необходимой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для</w:t>
      </w:r>
      <w:r w:rsidR="00EE60F1" w:rsidRPr="00EE60F1">
        <w:rPr>
          <w:rFonts w:eastAsia="Times New Roman"/>
          <w:lang w:val="ru-RU"/>
        </w:rPr>
        <w:t xml:space="preserve"> </w:t>
      </w:r>
      <w:r w:rsidR="00EE60F1">
        <w:rPr>
          <w:rFonts w:eastAsia="Times New Roman"/>
          <w:lang w:val="ru-RU"/>
        </w:rPr>
        <w:t>охраны</w:t>
      </w:r>
      <w:r w:rsidR="00EE60F1" w:rsidRPr="00EE60F1">
        <w:rPr>
          <w:rFonts w:eastAsia="Times New Roman"/>
          <w:lang w:val="ru-RU"/>
        </w:rPr>
        <w:t xml:space="preserve"> (</w:t>
      </w:r>
      <w:r w:rsidR="00EE60F1">
        <w:rPr>
          <w:rFonts w:eastAsia="Times New Roman"/>
          <w:lang w:val="ru-RU"/>
        </w:rPr>
        <w:t>т</w:t>
      </w:r>
      <w:r w:rsidR="00EE60F1" w:rsidRPr="00EE60F1">
        <w:rPr>
          <w:rFonts w:eastAsia="Times New Roman"/>
          <w:lang w:val="ru-RU"/>
        </w:rPr>
        <w:t>.</w:t>
      </w:r>
      <w:r w:rsidR="00EE60F1">
        <w:rPr>
          <w:rFonts w:eastAsia="Times New Roman"/>
          <w:lang w:val="ru-RU"/>
        </w:rPr>
        <w:t>е</w:t>
      </w:r>
      <w:r w:rsidR="00EE60F1" w:rsidRPr="00EE60F1">
        <w:rPr>
          <w:rFonts w:eastAsia="Times New Roman"/>
          <w:lang w:val="ru-RU"/>
        </w:rPr>
        <w:t xml:space="preserve">. </w:t>
      </w:r>
      <w:r w:rsidR="00EE60F1">
        <w:rPr>
          <w:rFonts w:eastAsia="Times New Roman"/>
          <w:lang w:val="ru-RU"/>
        </w:rPr>
        <w:t>специализированных отделов и консультативных органов), разработки системы инвентаризации с участием сообществ</w:t>
      </w:r>
      <w:r w:rsidR="009048D1">
        <w:rPr>
          <w:rFonts w:eastAsia="Times New Roman"/>
          <w:lang w:val="ru-RU"/>
        </w:rPr>
        <w:t xml:space="preserve"> и сотрудничества между странами проекта.</w:t>
      </w:r>
      <w:r w:rsidR="00C902E0" w:rsidRPr="009048D1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Вместе</w:t>
      </w:r>
      <w:r w:rsidR="009048D1" w:rsidRPr="00F12056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с</w:t>
      </w:r>
      <w:r w:rsidR="009048D1" w:rsidRPr="00F12056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тем</w:t>
      </w:r>
      <w:r w:rsidR="009048D1" w:rsidRPr="00F12056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они</w:t>
      </w:r>
      <w:r w:rsidR="009048D1" w:rsidRPr="00F12056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выдвинули</w:t>
      </w:r>
      <w:r w:rsidR="009048D1" w:rsidRPr="00F12056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на</w:t>
      </w:r>
      <w:r w:rsidR="009048D1" w:rsidRPr="00F12056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первый</w:t>
      </w:r>
      <w:r w:rsidR="009048D1" w:rsidRPr="00F12056">
        <w:rPr>
          <w:rFonts w:eastAsia="Times New Roman"/>
          <w:lang w:val="ru-RU"/>
        </w:rPr>
        <w:t xml:space="preserve"> </w:t>
      </w:r>
      <w:r w:rsidR="009048D1">
        <w:rPr>
          <w:rFonts w:eastAsia="Times New Roman"/>
          <w:lang w:val="ru-RU"/>
        </w:rPr>
        <w:t>план</w:t>
      </w:r>
      <w:r w:rsidR="009048D1" w:rsidRPr="00F12056">
        <w:rPr>
          <w:rFonts w:eastAsia="Times New Roman"/>
          <w:lang w:val="ru-RU"/>
        </w:rPr>
        <w:t xml:space="preserve"> </w:t>
      </w:r>
      <w:r w:rsidR="00E26B5B">
        <w:rPr>
          <w:rFonts w:eastAsia="Times New Roman"/>
          <w:lang w:val="ru-RU"/>
        </w:rPr>
        <w:t>необходимость</w:t>
      </w:r>
      <w:r w:rsidR="00E26B5B" w:rsidRPr="00F12056">
        <w:rPr>
          <w:rFonts w:eastAsia="Times New Roman"/>
          <w:lang w:val="ru-RU"/>
        </w:rPr>
        <w:t xml:space="preserve"> </w:t>
      </w:r>
      <w:r w:rsidR="00E26B5B">
        <w:rPr>
          <w:rFonts w:eastAsia="Times New Roman"/>
          <w:lang w:val="ru-RU"/>
        </w:rPr>
        <w:t>дополнительной</w:t>
      </w:r>
      <w:r w:rsidR="00E26B5B" w:rsidRPr="00F12056">
        <w:rPr>
          <w:rFonts w:eastAsia="Times New Roman"/>
          <w:lang w:val="ru-RU"/>
        </w:rPr>
        <w:t xml:space="preserve"> </w:t>
      </w:r>
      <w:r w:rsidR="00E26B5B">
        <w:rPr>
          <w:rFonts w:eastAsia="Times New Roman"/>
          <w:lang w:val="ru-RU"/>
        </w:rPr>
        <w:t>поддержки</w:t>
      </w:r>
      <w:r w:rsidR="00E26B5B" w:rsidRPr="00F12056">
        <w:rPr>
          <w:rFonts w:eastAsia="Times New Roman"/>
          <w:lang w:val="ru-RU"/>
        </w:rPr>
        <w:t xml:space="preserve"> </w:t>
      </w:r>
      <w:r w:rsidR="00E26B5B">
        <w:rPr>
          <w:rFonts w:eastAsia="Times New Roman"/>
          <w:lang w:val="ru-RU"/>
        </w:rPr>
        <w:t>для</w:t>
      </w:r>
      <w:r w:rsidR="00E26B5B" w:rsidRPr="00F12056">
        <w:rPr>
          <w:rFonts w:eastAsia="Times New Roman"/>
          <w:lang w:val="ru-RU"/>
        </w:rPr>
        <w:t xml:space="preserve"> </w:t>
      </w:r>
      <w:r w:rsidR="00E26B5B">
        <w:rPr>
          <w:rFonts w:eastAsia="Times New Roman"/>
          <w:lang w:val="ru-RU"/>
        </w:rPr>
        <w:t>укрепления</w:t>
      </w:r>
      <w:r w:rsidR="00E26B5B" w:rsidRPr="00F12056">
        <w:rPr>
          <w:rFonts w:eastAsia="Times New Roman"/>
          <w:lang w:val="ru-RU"/>
        </w:rPr>
        <w:t xml:space="preserve"> </w:t>
      </w:r>
      <w:r w:rsidR="00E26B5B">
        <w:rPr>
          <w:rFonts w:eastAsia="Times New Roman"/>
          <w:lang w:val="ru-RU"/>
        </w:rPr>
        <w:t>потенциала</w:t>
      </w:r>
      <w:r w:rsidR="00E26B5B" w:rsidRPr="00F12056">
        <w:rPr>
          <w:rFonts w:eastAsia="Times New Roman"/>
          <w:lang w:val="ru-RU"/>
        </w:rPr>
        <w:t xml:space="preserve"> </w:t>
      </w:r>
      <w:r w:rsidR="00E26B5B">
        <w:rPr>
          <w:rFonts w:eastAsia="Times New Roman"/>
          <w:lang w:val="ru-RU"/>
        </w:rPr>
        <w:t>в</w:t>
      </w:r>
      <w:r w:rsidR="00E26B5B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области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подготовки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планов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по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охране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и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разработки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политики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и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законодательства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для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различных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секторов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в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>контексте</w:t>
      </w:r>
      <w:r w:rsidR="00F12056" w:rsidRPr="00F12056">
        <w:rPr>
          <w:rFonts w:eastAsia="Times New Roman"/>
          <w:lang w:val="ru-RU"/>
        </w:rPr>
        <w:t xml:space="preserve"> </w:t>
      </w:r>
      <w:r w:rsidR="00F12056">
        <w:rPr>
          <w:rFonts w:eastAsia="Times New Roman"/>
          <w:lang w:val="ru-RU"/>
        </w:rPr>
        <w:t xml:space="preserve">стратегий </w:t>
      </w:r>
      <w:r w:rsidR="00906C2D">
        <w:rPr>
          <w:rFonts w:eastAsia="Times New Roman"/>
          <w:lang w:val="ru-RU"/>
        </w:rPr>
        <w:t>национального развития.</w:t>
      </w:r>
    </w:p>
    <w:p w:rsidR="00C902E0" w:rsidRPr="00D620ED" w:rsidRDefault="0079459E" w:rsidP="003B1974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Реализация</w:t>
      </w:r>
      <w:r w:rsidRPr="00911B58">
        <w:rPr>
          <w:lang w:val="ru-RU"/>
        </w:rPr>
        <w:t xml:space="preserve"> </w:t>
      </w:r>
      <w:r>
        <w:rPr>
          <w:lang w:val="ru-RU"/>
        </w:rPr>
        <w:t>стратегии</w:t>
      </w:r>
      <w:r w:rsidRPr="00911B58">
        <w:rPr>
          <w:lang w:val="ru-RU"/>
        </w:rPr>
        <w:t xml:space="preserve"> </w:t>
      </w:r>
      <w:r>
        <w:rPr>
          <w:lang w:val="ru-RU"/>
        </w:rPr>
        <w:t>по</w:t>
      </w:r>
      <w:r w:rsidRPr="00911B58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911B58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911B58">
        <w:rPr>
          <w:lang w:val="ru-RU"/>
        </w:rPr>
        <w:t xml:space="preserve"> </w:t>
      </w:r>
      <w:r>
        <w:rPr>
          <w:lang w:val="ru-RU"/>
        </w:rPr>
        <w:t>поддерживается</w:t>
      </w:r>
      <w:r w:rsidRPr="00911B58">
        <w:rPr>
          <w:lang w:val="ru-RU"/>
        </w:rPr>
        <w:t xml:space="preserve"> </w:t>
      </w:r>
      <w:r w:rsidR="00AA7E90">
        <w:rPr>
          <w:lang w:val="ru-RU"/>
        </w:rPr>
        <w:t>глобальной</w:t>
      </w:r>
      <w:r w:rsidR="00AA7E90" w:rsidRPr="00911B58">
        <w:rPr>
          <w:lang w:val="ru-RU"/>
        </w:rPr>
        <w:t xml:space="preserve"> </w:t>
      </w:r>
      <w:r w:rsidR="00AA7E90">
        <w:rPr>
          <w:lang w:val="ru-RU"/>
        </w:rPr>
        <w:t>сетью</w:t>
      </w:r>
      <w:r w:rsidR="00AA7E90" w:rsidRPr="00911B58">
        <w:rPr>
          <w:lang w:val="ru-RU"/>
        </w:rPr>
        <w:t xml:space="preserve"> </w:t>
      </w:r>
      <w:proofErr w:type="spellStart"/>
      <w:r w:rsidR="00AA7E90">
        <w:rPr>
          <w:lang w:val="ru-RU"/>
        </w:rPr>
        <w:t>фасилитаторов</w:t>
      </w:r>
      <w:proofErr w:type="spellEnd"/>
      <w:r w:rsidR="00AA7E90" w:rsidRPr="00911B58">
        <w:rPr>
          <w:lang w:val="ru-RU"/>
        </w:rPr>
        <w:t xml:space="preserve">, </w:t>
      </w:r>
      <w:r w:rsidR="00AA7E90">
        <w:rPr>
          <w:lang w:val="ru-RU"/>
        </w:rPr>
        <w:t>предоставляющих</w:t>
      </w:r>
      <w:r w:rsidR="00AA7E90" w:rsidRPr="00911B58">
        <w:rPr>
          <w:lang w:val="ru-RU"/>
        </w:rPr>
        <w:t xml:space="preserve"> </w:t>
      </w:r>
      <w:r w:rsidR="00AA7E90">
        <w:rPr>
          <w:lang w:val="ru-RU"/>
        </w:rPr>
        <w:t>услуги</w:t>
      </w:r>
      <w:r w:rsidR="00AA7E90" w:rsidRPr="00911B58">
        <w:rPr>
          <w:lang w:val="ru-RU"/>
        </w:rPr>
        <w:t xml:space="preserve"> </w:t>
      </w:r>
      <w:r w:rsidR="00AA7E90">
        <w:rPr>
          <w:lang w:val="ru-RU"/>
        </w:rPr>
        <w:t>по</w:t>
      </w:r>
      <w:r w:rsidR="00AA7E90" w:rsidRPr="00911B58">
        <w:rPr>
          <w:lang w:val="ru-RU"/>
        </w:rPr>
        <w:t xml:space="preserve"> </w:t>
      </w:r>
      <w:r w:rsidR="00911B58">
        <w:rPr>
          <w:lang w:val="ru-RU"/>
        </w:rPr>
        <w:t>обучению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>и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 xml:space="preserve">консультированию </w:t>
      </w:r>
      <w:r w:rsidR="005A6F64">
        <w:rPr>
          <w:lang w:val="ru-RU"/>
        </w:rPr>
        <w:t>в ответ на</w:t>
      </w:r>
      <w:r w:rsidR="00911B58">
        <w:rPr>
          <w:lang w:val="ru-RU"/>
        </w:rPr>
        <w:t xml:space="preserve"> запрос</w:t>
      </w:r>
      <w:r w:rsidR="005A6F64">
        <w:rPr>
          <w:lang w:val="ru-RU"/>
        </w:rPr>
        <w:t>ы</w:t>
      </w:r>
      <w:r w:rsidR="00911B58">
        <w:rPr>
          <w:lang w:val="ru-RU"/>
        </w:rPr>
        <w:t xml:space="preserve"> стран-бенефициаров. Эта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>сеть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>развивается</w:t>
      </w:r>
      <w:r w:rsidR="00F1291A">
        <w:rPr>
          <w:lang w:val="ru-RU"/>
        </w:rPr>
        <w:t>,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>и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>превратилась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>в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>динамичную</w:t>
      </w:r>
      <w:r w:rsidR="00911B58" w:rsidRPr="00911B58">
        <w:rPr>
          <w:lang w:val="ru-RU"/>
        </w:rPr>
        <w:t xml:space="preserve"> </w:t>
      </w:r>
      <w:r w:rsidR="00911B58">
        <w:rPr>
          <w:lang w:val="ru-RU"/>
        </w:rPr>
        <w:t xml:space="preserve">структуру с постоянно растущим числом членов. </w:t>
      </w:r>
      <w:r w:rsidR="00F1291A">
        <w:rPr>
          <w:lang w:val="ru-RU"/>
        </w:rPr>
        <w:t>З</w:t>
      </w:r>
      <w:r w:rsidR="00422A2D">
        <w:rPr>
          <w:lang w:val="ru-RU"/>
        </w:rPr>
        <w:t>а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двухгодичный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период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Секретариат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организовал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три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региональных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семинара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для</w:t>
      </w:r>
      <w:r w:rsidR="00422A2D" w:rsidRPr="00796A88">
        <w:rPr>
          <w:lang w:val="ru-RU"/>
        </w:rPr>
        <w:t xml:space="preserve"> </w:t>
      </w:r>
      <w:proofErr w:type="spellStart"/>
      <w:r w:rsidR="00422A2D">
        <w:rPr>
          <w:lang w:val="ru-RU"/>
        </w:rPr>
        <w:t>фасилитаторов</w:t>
      </w:r>
      <w:proofErr w:type="spellEnd"/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с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целью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обмена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полученным</w:t>
      </w:r>
      <w:r w:rsidR="00422A2D" w:rsidRPr="00796A88">
        <w:rPr>
          <w:lang w:val="ru-RU"/>
        </w:rPr>
        <w:t xml:space="preserve"> </w:t>
      </w:r>
      <w:r w:rsidR="00422A2D">
        <w:rPr>
          <w:lang w:val="ru-RU"/>
        </w:rPr>
        <w:t>опытом</w:t>
      </w:r>
      <w:r w:rsidR="00422A2D" w:rsidRPr="00796A88">
        <w:rPr>
          <w:lang w:val="ru-RU"/>
        </w:rPr>
        <w:t xml:space="preserve"> </w:t>
      </w:r>
      <w:r w:rsidR="00945D20">
        <w:rPr>
          <w:lang w:val="ru-RU"/>
        </w:rPr>
        <w:t>и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получения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новых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знаний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о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последних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событиях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в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жизни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Конвенции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и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ознакомления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их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с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учебными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материалами</w:t>
      </w:r>
      <w:r w:rsidR="00945D20" w:rsidRPr="00796A88">
        <w:rPr>
          <w:lang w:val="ru-RU"/>
        </w:rPr>
        <w:t xml:space="preserve">, </w:t>
      </w:r>
      <w:r w:rsidR="00945D20">
        <w:rPr>
          <w:lang w:val="ru-RU"/>
        </w:rPr>
        <w:t>недавно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разработанными</w:t>
      </w:r>
      <w:r w:rsidR="00945D20" w:rsidRPr="00796A88">
        <w:rPr>
          <w:lang w:val="ru-RU"/>
        </w:rPr>
        <w:t xml:space="preserve"> </w:t>
      </w:r>
      <w:r w:rsidR="00945D20">
        <w:rPr>
          <w:lang w:val="ru-RU"/>
        </w:rPr>
        <w:t>Секретариатом</w:t>
      </w:r>
      <w:r w:rsidR="00945D20" w:rsidRPr="00796A88">
        <w:rPr>
          <w:lang w:val="ru-RU"/>
        </w:rPr>
        <w:t xml:space="preserve"> </w:t>
      </w:r>
      <w:r w:rsidR="00796A88">
        <w:rPr>
          <w:lang w:val="ru-RU"/>
        </w:rPr>
        <w:t>в отношении планов по охране, гендерной проблематики и консультирования по вопросам политики. Они</w:t>
      </w:r>
      <w:r w:rsidR="00796A88" w:rsidRPr="003563C3">
        <w:rPr>
          <w:lang w:val="ru-RU"/>
        </w:rPr>
        <w:t xml:space="preserve"> </w:t>
      </w:r>
      <w:r w:rsidR="00796A88">
        <w:rPr>
          <w:lang w:val="ru-RU"/>
        </w:rPr>
        <w:t>получили</w:t>
      </w:r>
      <w:r w:rsidR="00796A88" w:rsidRPr="003563C3">
        <w:rPr>
          <w:lang w:val="ru-RU"/>
        </w:rPr>
        <w:t xml:space="preserve"> </w:t>
      </w:r>
      <w:r w:rsidR="00796A88">
        <w:rPr>
          <w:lang w:val="ru-RU"/>
        </w:rPr>
        <w:t>щедрую</w:t>
      </w:r>
      <w:r w:rsidR="00796A88" w:rsidRPr="003563C3">
        <w:rPr>
          <w:lang w:val="ru-RU"/>
        </w:rPr>
        <w:t xml:space="preserve"> </w:t>
      </w:r>
      <w:r w:rsidR="00796A88">
        <w:rPr>
          <w:lang w:val="ru-RU"/>
        </w:rPr>
        <w:t>поддержку</w:t>
      </w:r>
      <w:r w:rsidR="00796A88" w:rsidRPr="003563C3">
        <w:rPr>
          <w:lang w:val="ru-RU"/>
        </w:rPr>
        <w:t xml:space="preserve"> </w:t>
      </w:r>
      <w:r w:rsidR="00796A88">
        <w:rPr>
          <w:lang w:val="ru-RU"/>
        </w:rPr>
        <w:t>от</w:t>
      </w:r>
      <w:r w:rsidR="00796A88" w:rsidRPr="003563C3">
        <w:rPr>
          <w:lang w:val="ru-RU"/>
        </w:rPr>
        <w:t xml:space="preserve"> </w:t>
      </w:r>
      <w:r w:rsidR="00796A88">
        <w:rPr>
          <w:lang w:val="ru-RU"/>
        </w:rPr>
        <w:t>Болгарии</w:t>
      </w:r>
      <w:r w:rsidR="00796A88" w:rsidRPr="003563C3">
        <w:rPr>
          <w:lang w:val="ru-RU"/>
        </w:rPr>
        <w:t xml:space="preserve">, </w:t>
      </w:r>
      <w:r w:rsidR="003563C3">
        <w:rPr>
          <w:lang w:val="ru-RU"/>
        </w:rPr>
        <w:t>К</w:t>
      </w:r>
      <w:r w:rsidR="00796A88">
        <w:rPr>
          <w:lang w:val="ru-RU"/>
        </w:rPr>
        <w:t>ыр</w:t>
      </w:r>
      <w:r w:rsidR="003563C3">
        <w:rPr>
          <w:lang w:val="ru-RU"/>
        </w:rPr>
        <w:t>гызстана и Перу. Кроме</w:t>
      </w:r>
      <w:r w:rsidR="003563C3" w:rsidRPr="000C02D1">
        <w:rPr>
          <w:lang w:val="ru-RU"/>
        </w:rPr>
        <w:t xml:space="preserve"> </w:t>
      </w:r>
      <w:r w:rsidR="003563C3">
        <w:rPr>
          <w:lang w:val="ru-RU"/>
        </w:rPr>
        <w:t>того</w:t>
      </w:r>
      <w:r w:rsidR="003563C3" w:rsidRPr="000C02D1">
        <w:rPr>
          <w:lang w:val="ru-RU"/>
        </w:rPr>
        <w:t xml:space="preserve">, </w:t>
      </w:r>
      <w:r w:rsidR="005E6F8B">
        <w:rPr>
          <w:lang w:val="ru-RU"/>
        </w:rPr>
        <w:t>в</w:t>
      </w:r>
      <w:r w:rsidR="005E6F8B" w:rsidRPr="000C02D1">
        <w:rPr>
          <w:lang w:val="ru-RU"/>
        </w:rPr>
        <w:t xml:space="preserve"> </w:t>
      </w:r>
      <w:r w:rsidR="005E6F8B">
        <w:rPr>
          <w:lang w:val="ru-RU"/>
        </w:rPr>
        <w:t>марте</w:t>
      </w:r>
      <w:r w:rsidR="005E6F8B" w:rsidRPr="000C02D1">
        <w:rPr>
          <w:lang w:val="ru-RU"/>
        </w:rPr>
        <w:t xml:space="preserve"> 2017</w:t>
      </w:r>
      <w:r w:rsidR="00ED6F29" w:rsidRPr="00ED6F29">
        <w:rPr>
          <w:lang w:val="en-US"/>
        </w:rPr>
        <w:t> </w:t>
      </w:r>
      <w:r w:rsidR="00ED6F29">
        <w:rPr>
          <w:lang w:val="ru-RU"/>
        </w:rPr>
        <w:t>г</w:t>
      </w:r>
      <w:r w:rsidR="00ED6F29" w:rsidRPr="000C02D1">
        <w:rPr>
          <w:lang w:val="ru-RU"/>
        </w:rPr>
        <w:t xml:space="preserve">. </w:t>
      </w:r>
      <w:r w:rsidR="003563C3">
        <w:rPr>
          <w:lang w:val="ru-RU"/>
        </w:rPr>
        <w:t>Секретариат</w:t>
      </w:r>
      <w:r w:rsidR="003563C3" w:rsidRPr="000C02D1">
        <w:rPr>
          <w:lang w:val="ru-RU"/>
        </w:rPr>
        <w:t xml:space="preserve"> </w:t>
      </w:r>
      <w:r w:rsidR="003563C3">
        <w:rPr>
          <w:lang w:val="ru-RU"/>
        </w:rPr>
        <w:t>организовал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в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Бангкоке</w:t>
      </w:r>
      <w:r w:rsidR="00ED6F29" w:rsidRPr="000C02D1">
        <w:rPr>
          <w:lang w:val="ru-RU"/>
        </w:rPr>
        <w:t xml:space="preserve"> (</w:t>
      </w:r>
      <w:r w:rsidR="00ED6F29">
        <w:rPr>
          <w:lang w:val="ru-RU"/>
        </w:rPr>
        <w:t>Таиланд</w:t>
      </w:r>
      <w:r w:rsidR="00ED6F29" w:rsidRPr="000C02D1">
        <w:rPr>
          <w:lang w:val="ru-RU"/>
        </w:rPr>
        <w:t xml:space="preserve">) </w:t>
      </w:r>
      <w:r w:rsidR="00ED6F29">
        <w:rPr>
          <w:lang w:val="ru-RU"/>
        </w:rPr>
        <w:t>стратегический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семинар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с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участием</w:t>
      </w:r>
      <w:r w:rsidR="00ED6F29" w:rsidRPr="000C02D1">
        <w:rPr>
          <w:lang w:val="ru-RU"/>
        </w:rPr>
        <w:t xml:space="preserve"> </w:t>
      </w:r>
      <w:proofErr w:type="spellStart"/>
      <w:r w:rsidR="00ED6F29">
        <w:rPr>
          <w:lang w:val="ru-RU"/>
        </w:rPr>
        <w:t>фасилитаторов</w:t>
      </w:r>
      <w:proofErr w:type="spellEnd"/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из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всех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регионов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под</w:t>
      </w:r>
      <w:r w:rsidR="00ED6F29" w:rsidRPr="000C02D1">
        <w:rPr>
          <w:lang w:val="ru-RU"/>
        </w:rPr>
        <w:t xml:space="preserve"> </w:t>
      </w:r>
      <w:r w:rsidR="00ED6F29">
        <w:rPr>
          <w:lang w:val="ru-RU"/>
        </w:rPr>
        <w:t>названием</w:t>
      </w:r>
      <w:r w:rsidR="00ED6F29" w:rsidRPr="000C02D1">
        <w:rPr>
          <w:lang w:val="ru-RU"/>
        </w:rPr>
        <w:t xml:space="preserve"> «</w:t>
      </w:r>
      <w:r w:rsidR="000C02D1">
        <w:rPr>
          <w:lang w:val="ru-RU"/>
        </w:rPr>
        <w:t xml:space="preserve">Представление будущего глобальной программы по укреплению потенциала и ее сети </w:t>
      </w:r>
      <w:proofErr w:type="spellStart"/>
      <w:r w:rsidR="000C02D1">
        <w:rPr>
          <w:lang w:val="ru-RU"/>
        </w:rPr>
        <w:t>фасилитаторов</w:t>
      </w:r>
      <w:proofErr w:type="spellEnd"/>
      <w:r w:rsidR="000C02D1">
        <w:rPr>
          <w:lang w:val="ru-RU"/>
        </w:rPr>
        <w:t>».</w:t>
      </w:r>
      <w:r w:rsidR="00C902E0" w:rsidRPr="000C02D1">
        <w:rPr>
          <w:lang w:val="ru-RU"/>
        </w:rPr>
        <w:t xml:space="preserve"> </w:t>
      </w:r>
      <w:r w:rsidR="000C02D1">
        <w:rPr>
          <w:lang w:val="ru-RU"/>
        </w:rPr>
        <w:t>Цель</w:t>
      </w:r>
      <w:r w:rsidR="000C02D1" w:rsidRPr="00E81C14">
        <w:rPr>
          <w:lang w:val="ru-RU"/>
        </w:rPr>
        <w:t xml:space="preserve"> </w:t>
      </w:r>
      <w:r w:rsidR="000C02D1">
        <w:rPr>
          <w:lang w:val="ru-RU"/>
        </w:rPr>
        <w:t>семинара</w:t>
      </w:r>
      <w:r w:rsidR="000C02D1" w:rsidRPr="00E81C14">
        <w:rPr>
          <w:lang w:val="ru-RU"/>
        </w:rPr>
        <w:t xml:space="preserve"> </w:t>
      </w:r>
      <w:r w:rsidR="000C02D1">
        <w:rPr>
          <w:lang w:val="ru-RU"/>
        </w:rPr>
        <w:t>заключалась</w:t>
      </w:r>
      <w:r w:rsidR="000C02D1" w:rsidRPr="00E81C14">
        <w:rPr>
          <w:lang w:val="ru-RU"/>
        </w:rPr>
        <w:t xml:space="preserve"> </w:t>
      </w:r>
      <w:r w:rsidR="000C02D1">
        <w:rPr>
          <w:lang w:val="ru-RU"/>
        </w:rPr>
        <w:t>в</w:t>
      </w:r>
      <w:r w:rsidR="000C02D1" w:rsidRPr="00E81C14">
        <w:rPr>
          <w:lang w:val="ru-RU"/>
        </w:rPr>
        <w:t xml:space="preserve"> </w:t>
      </w:r>
      <w:r w:rsidR="000C02D1">
        <w:rPr>
          <w:lang w:val="ru-RU"/>
        </w:rPr>
        <w:t>том</w:t>
      </w:r>
      <w:r w:rsidR="000C02D1" w:rsidRPr="00E81C14">
        <w:rPr>
          <w:lang w:val="ru-RU"/>
        </w:rPr>
        <w:t xml:space="preserve">, </w:t>
      </w:r>
      <w:r w:rsidR="000C02D1">
        <w:rPr>
          <w:lang w:val="ru-RU"/>
        </w:rPr>
        <w:t>чтобы</w:t>
      </w:r>
      <w:r w:rsidR="000C02D1" w:rsidRPr="00E81C14">
        <w:rPr>
          <w:lang w:val="ru-RU"/>
        </w:rPr>
        <w:t xml:space="preserve"> </w:t>
      </w:r>
      <w:r w:rsidR="00507C55">
        <w:rPr>
          <w:lang w:val="ru-RU"/>
        </w:rPr>
        <w:lastRenderedPageBreak/>
        <w:t>подвести</w:t>
      </w:r>
      <w:r w:rsidR="00507C55" w:rsidRPr="00E81C14">
        <w:rPr>
          <w:lang w:val="ru-RU"/>
        </w:rPr>
        <w:t xml:space="preserve"> </w:t>
      </w:r>
      <w:r w:rsidR="00507C55">
        <w:rPr>
          <w:lang w:val="ru-RU"/>
        </w:rPr>
        <w:t>итоги</w:t>
      </w:r>
      <w:r w:rsidR="00507C55" w:rsidRPr="00E81C14">
        <w:rPr>
          <w:lang w:val="ru-RU"/>
        </w:rPr>
        <w:t xml:space="preserve"> </w:t>
      </w:r>
      <w:r w:rsidR="00507C55">
        <w:rPr>
          <w:lang w:val="ru-RU"/>
        </w:rPr>
        <w:t>и</w:t>
      </w:r>
      <w:r w:rsidR="00507C55" w:rsidRPr="00E81C14">
        <w:rPr>
          <w:lang w:val="ru-RU"/>
        </w:rPr>
        <w:t xml:space="preserve"> </w:t>
      </w:r>
      <w:r w:rsidR="00507C55">
        <w:rPr>
          <w:lang w:val="ru-RU"/>
        </w:rPr>
        <w:t>проанализировать</w:t>
      </w:r>
      <w:r w:rsidR="00507C55" w:rsidRPr="00E81C14">
        <w:rPr>
          <w:lang w:val="ru-RU"/>
        </w:rPr>
        <w:t xml:space="preserve"> </w:t>
      </w:r>
      <w:r w:rsidR="00507C55">
        <w:rPr>
          <w:lang w:val="ru-RU"/>
        </w:rPr>
        <w:t>опыт</w:t>
      </w:r>
      <w:r w:rsidR="00507C55" w:rsidRPr="00E81C14">
        <w:rPr>
          <w:lang w:val="ru-RU"/>
        </w:rPr>
        <w:t xml:space="preserve"> </w:t>
      </w:r>
      <w:r w:rsidR="00507C55">
        <w:rPr>
          <w:lang w:val="ru-RU"/>
        </w:rPr>
        <w:t>и</w:t>
      </w:r>
      <w:r w:rsidR="00507C55" w:rsidRPr="00E81C14">
        <w:rPr>
          <w:lang w:val="ru-RU"/>
        </w:rPr>
        <w:t xml:space="preserve"> </w:t>
      </w:r>
      <w:r w:rsidR="00507C55">
        <w:rPr>
          <w:lang w:val="ru-RU"/>
        </w:rPr>
        <w:t>уроки</w:t>
      </w:r>
      <w:r w:rsidR="00507C55" w:rsidRPr="00E81C14">
        <w:rPr>
          <w:lang w:val="ru-RU"/>
        </w:rPr>
        <w:t xml:space="preserve">, </w:t>
      </w:r>
      <w:r w:rsidR="00507C55">
        <w:rPr>
          <w:lang w:val="ru-RU"/>
        </w:rPr>
        <w:t>извлеченные</w:t>
      </w:r>
      <w:r w:rsidR="00507C55" w:rsidRPr="00E81C14">
        <w:rPr>
          <w:lang w:val="ru-RU"/>
        </w:rPr>
        <w:t xml:space="preserve"> </w:t>
      </w:r>
      <w:r w:rsidR="002A248B">
        <w:rPr>
          <w:lang w:val="ru-RU"/>
        </w:rPr>
        <w:t>за</w:t>
      </w:r>
      <w:r w:rsidR="002A248B" w:rsidRPr="00E81C14">
        <w:rPr>
          <w:lang w:val="ru-RU"/>
        </w:rPr>
        <w:t xml:space="preserve"> </w:t>
      </w:r>
      <w:r w:rsidR="002A248B">
        <w:rPr>
          <w:lang w:val="ru-RU"/>
        </w:rPr>
        <w:t>шесть</w:t>
      </w:r>
      <w:r w:rsidR="002A248B" w:rsidRPr="00E81C14">
        <w:rPr>
          <w:lang w:val="ru-RU"/>
        </w:rPr>
        <w:t xml:space="preserve"> </w:t>
      </w:r>
      <w:r w:rsidR="002A248B">
        <w:rPr>
          <w:lang w:val="ru-RU"/>
        </w:rPr>
        <w:t>лет</w:t>
      </w:r>
      <w:r w:rsidR="002A248B" w:rsidRPr="00E81C14">
        <w:rPr>
          <w:lang w:val="ru-RU"/>
        </w:rPr>
        <w:t xml:space="preserve"> </w:t>
      </w:r>
      <w:r w:rsidR="002A248B">
        <w:rPr>
          <w:lang w:val="ru-RU"/>
        </w:rPr>
        <w:t>реализации</w:t>
      </w:r>
      <w:r w:rsidR="002A248B" w:rsidRPr="00E81C14">
        <w:rPr>
          <w:lang w:val="ru-RU"/>
        </w:rPr>
        <w:t xml:space="preserve"> </w:t>
      </w:r>
      <w:r w:rsidR="002A248B">
        <w:rPr>
          <w:lang w:val="ru-RU"/>
        </w:rPr>
        <w:t>программы</w:t>
      </w:r>
      <w:r w:rsidR="002A248B" w:rsidRPr="00E81C14">
        <w:rPr>
          <w:lang w:val="ru-RU"/>
        </w:rPr>
        <w:t xml:space="preserve"> </w:t>
      </w:r>
      <w:r w:rsidR="002A248B">
        <w:rPr>
          <w:lang w:val="ru-RU"/>
        </w:rPr>
        <w:t>по</w:t>
      </w:r>
      <w:r w:rsidR="002A248B" w:rsidRPr="00E81C14">
        <w:rPr>
          <w:lang w:val="ru-RU"/>
        </w:rPr>
        <w:t xml:space="preserve"> </w:t>
      </w:r>
      <w:r w:rsidR="002A248B">
        <w:rPr>
          <w:lang w:val="ru-RU"/>
        </w:rPr>
        <w:t>укреплению</w:t>
      </w:r>
      <w:r w:rsidR="002A248B" w:rsidRPr="00E81C14">
        <w:rPr>
          <w:lang w:val="ru-RU"/>
        </w:rPr>
        <w:t xml:space="preserve"> </w:t>
      </w:r>
      <w:r w:rsidR="002A248B">
        <w:rPr>
          <w:lang w:val="ru-RU"/>
        </w:rPr>
        <w:t>потенциала</w:t>
      </w:r>
      <w:r w:rsidR="00336589" w:rsidRPr="00E81C14">
        <w:rPr>
          <w:lang w:val="ru-RU"/>
        </w:rPr>
        <w:t>»</w:t>
      </w:r>
      <w:r w:rsidR="00FB40B7" w:rsidRPr="00E81C14">
        <w:rPr>
          <w:lang w:val="ru-RU"/>
        </w:rPr>
        <w:t xml:space="preserve">; также </w:t>
      </w:r>
      <w:r w:rsidR="00E81C14">
        <w:rPr>
          <w:lang w:val="ru-RU"/>
        </w:rPr>
        <w:t>на</w:t>
      </w:r>
      <w:r w:rsidR="00E81C14" w:rsidRPr="00E81C14">
        <w:rPr>
          <w:lang w:val="ru-RU"/>
        </w:rPr>
        <w:t xml:space="preserve"> </w:t>
      </w:r>
      <w:r w:rsidR="00FB40B7" w:rsidRPr="00E81C14">
        <w:rPr>
          <w:lang w:val="ru-RU"/>
        </w:rPr>
        <w:t>совещани</w:t>
      </w:r>
      <w:r w:rsidR="00E81C14">
        <w:rPr>
          <w:lang w:val="ru-RU"/>
        </w:rPr>
        <w:t>и</w:t>
      </w:r>
      <w:r w:rsidR="00E81C14" w:rsidRPr="00E81C14">
        <w:rPr>
          <w:lang w:val="ru-RU"/>
        </w:rPr>
        <w:t xml:space="preserve"> </w:t>
      </w:r>
      <w:r w:rsidR="00E81C14">
        <w:rPr>
          <w:lang w:val="ru-RU"/>
        </w:rPr>
        <w:t>было</w:t>
      </w:r>
      <w:r w:rsidR="00E81C14" w:rsidRPr="00E81C14">
        <w:rPr>
          <w:lang w:val="ru-RU"/>
        </w:rPr>
        <w:t xml:space="preserve"> </w:t>
      </w:r>
      <w:r w:rsidR="00FB40B7">
        <w:rPr>
          <w:lang w:val="ru-RU"/>
        </w:rPr>
        <w:t>выявл</w:t>
      </w:r>
      <w:r w:rsidR="00E81C14">
        <w:rPr>
          <w:lang w:val="ru-RU"/>
        </w:rPr>
        <w:t>ено</w:t>
      </w:r>
      <w:r w:rsidR="00FB40B7" w:rsidRPr="00E81C14">
        <w:rPr>
          <w:lang w:val="ru-RU"/>
        </w:rPr>
        <w:t xml:space="preserve"> </w:t>
      </w:r>
      <w:r w:rsidR="00FB40B7">
        <w:rPr>
          <w:lang w:val="ru-RU"/>
        </w:rPr>
        <w:t>несколько</w:t>
      </w:r>
      <w:r w:rsidR="00FB40B7" w:rsidRPr="00E81C14">
        <w:rPr>
          <w:lang w:val="ru-RU"/>
        </w:rPr>
        <w:t xml:space="preserve"> </w:t>
      </w:r>
      <w:r w:rsidR="00FB40B7">
        <w:rPr>
          <w:lang w:val="ru-RU"/>
        </w:rPr>
        <w:t>новых</w:t>
      </w:r>
      <w:r w:rsidR="00FB40B7" w:rsidRPr="00E81C14">
        <w:rPr>
          <w:lang w:val="ru-RU"/>
        </w:rPr>
        <w:t xml:space="preserve"> </w:t>
      </w:r>
      <w:r w:rsidR="00FB40B7">
        <w:rPr>
          <w:lang w:val="ru-RU"/>
        </w:rPr>
        <w:t>стратегических</w:t>
      </w:r>
      <w:r w:rsidR="00FB40B7" w:rsidRPr="00E81C14">
        <w:rPr>
          <w:lang w:val="ru-RU"/>
        </w:rPr>
        <w:t xml:space="preserve"> </w:t>
      </w:r>
      <w:r w:rsidR="00FB40B7">
        <w:rPr>
          <w:lang w:val="ru-RU"/>
        </w:rPr>
        <w:t>направлений</w:t>
      </w:r>
      <w:r w:rsidR="00FB40B7" w:rsidRPr="00E81C14">
        <w:rPr>
          <w:lang w:val="ru-RU"/>
        </w:rPr>
        <w:t xml:space="preserve"> </w:t>
      </w:r>
      <w:r w:rsidR="00E81C14">
        <w:rPr>
          <w:lang w:val="ru-RU"/>
        </w:rPr>
        <w:t xml:space="preserve">для сетевого взаимодействия и реализации программы на </w:t>
      </w:r>
      <w:proofErr w:type="spellStart"/>
      <w:r w:rsidR="00E81C14">
        <w:rPr>
          <w:lang w:val="ru-RU"/>
        </w:rPr>
        <w:t>страновом</w:t>
      </w:r>
      <w:proofErr w:type="spellEnd"/>
      <w:r w:rsidR="00E81C14">
        <w:rPr>
          <w:lang w:val="ru-RU"/>
        </w:rPr>
        <w:t xml:space="preserve"> уровне. </w:t>
      </w:r>
      <w:r w:rsidR="00972413">
        <w:rPr>
          <w:lang w:val="ru-RU"/>
        </w:rPr>
        <w:t>Стратегические</w:t>
      </w:r>
      <w:r w:rsidR="00972413" w:rsidRPr="00787169">
        <w:rPr>
          <w:lang w:val="ru-RU"/>
        </w:rPr>
        <w:t xml:space="preserve"> </w:t>
      </w:r>
      <w:r w:rsidR="00972413">
        <w:rPr>
          <w:lang w:val="ru-RU"/>
        </w:rPr>
        <w:t>изменения</w:t>
      </w:r>
      <w:r w:rsidR="00972413" w:rsidRPr="00787169">
        <w:rPr>
          <w:lang w:val="ru-RU"/>
        </w:rPr>
        <w:t xml:space="preserve"> </w:t>
      </w:r>
      <w:r w:rsidR="00972413">
        <w:rPr>
          <w:lang w:val="ru-RU"/>
        </w:rPr>
        <w:t>включают</w:t>
      </w:r>
      <w:r w:rsidR="00972413" w:rsidRPr="00787169">
        <w:rPr>
          <w:lang w:val="ru-RU"/>
        </w:rPr>
        <w:t xml:space="preserve"> </w:t>
      </w:r>
      <w:r w:rsidR="003B06BA">
        <w:rPr>
          <w:lang w:val="ru-RU"/>
        </w:rPr>
        <w:t>обращение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более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пристального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внимания</w:t>
      </w:r>
      <w:r w:rsidR="00A94B5B" w:rsidRPr="00787169">
        <w:rPr>
          <w:lang w:val="ru-RU"/>
        </w:rPr>
        <w:t xml:space="preserve"> </w:t>
      </w:r>
      <w:r w:rsidR="003B06BA">
        <w:rPr>
          <w:lang w:val="ru-RU"/>
        </w:rPr>
        <w:t xml:space="preserve">на </w:t>
      </w:r>
      <w:r w:rsidR="00A94B5B">
        <w:rPr>
          <w:lang w:val="ru-RU"/>
        </w:rPr>
        <w:t>укреплени</w:t>
      </w:r>
      <w:r w:rsidR="003B06BA">
        <w:rPr>
          <w:lang w:val="ru-RU"/>
        </w:rPr>
        <w:t>е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институционального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потенциала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и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подготовк</w:t>
      </w:r>
      <w:r w:rsidR="003B06BA">
        <w:rPr>
          <w:lang w:val="ru-RU"/>
        </w:rPr>
        <w:t>у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национальных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сетей</w:t>
      </w:r>
      <w:r w:rsidR="00A94B5B" w:rsidRPr="00787169">
        <w:rPr>
          <w:lang w:val="ru-RU"/>
        </w:rPr>
        <w:t xml:space="preserve"> </w:t>
      </w:r>
      <w:r w:rsidR="00787169">
        <w:rPr>
          <w:lang w:val="ru-RU"/>
        </w:rPr>
        <w:t>инструкторов</w:t>
      </w:r>
      <w:r w:rsidR="00A94B5B" w:rsidRPr="00787169">
        <w:rPr>
          <w:lang w:val="ru-RU"/>
        </w:rPr>
        <w:t xml:space="preserve"> </w:t>
      </w:r>
      <w:r w:rsidR="00A94B5B">
        <w:rPr>
          <w:lang w:val="ru-RU"/>
        </w:rPr>
        <w:t>для</w:t>
      </w:r>
      <w:r w:rsidR="00A94B5B" w:rsidRPr="00787169">
        <w:rPr>
          <w:lang w:val="ru-RU"/>
        </w:rPr>
        <w:t xml:space="preserve"> </w:t>
      </w:r>
      <w:r w:rsidR="00787169">
        <w:rPr>
          <w:lang w:val="ru-RU"/>
        </w:rPr>
        <w:t xml:space="preserve">продолжения оказания поддержки, предоставленной через глобальную сеть </w:t>
      </w:r>
      <w:proofErr w:type="spellStart"/>
      <w:r w:rsidR="00787169">
        <w:rPr>
          <w:lang w:val="ru-RU"/>
        </w:rPr>
        <w:t>фасилитаторов</w:t>
      </w:r>
      <w:proofErr w:type="spellEnd"/>
      <w:r w:rsidR="00787169">
        <w:rPr>
          <w:lang w:val="ru-RU"/>
        </w:rPr>
        <w:t xml:space="preserve">. </w:t>
      </w:r>
      <w:r w:rsidR="007D6FE4">
        <w:rPr>
          <w:lang w:val="ru-RU"/>
        </w:rPr>
        <w:t>На</w:t>
      </w:r>
      <w:r w:rsidR="007D6FE4" w:rsidRPr="00C90052">
        <w:rPr>
          <w:lang w:val="ru-RU"/>
        </w:rPr>
        <w:t xml:space="preserve"> </w:t>
      </w:r>
      <w:r w:rsidR="007D6FE4">
        <w:rPr>
          <w:lang w:val="ru-RU"/>
        </w:rPr>
        <w:t>двенадцатой</w:t>
      </w:r>
      <w:r w:rsidR="007D6FE4" w:rsidRPr="00C90052">
        <w:rPr>
          <w:lang w:val="ru-RU"/>
        </w:rPr>
        <w:t xml:space="preserve"> </w:t>
      </w:r>
      <w:r w:rsidR="007D6FE4">
        <w:rPr>
          <w:lang w:val="ru-RU"/>
        </w:rPr>
        <w:t>сессии</w:t>
      </w:r>
      <w:r w:rsidR="007D6FE4" w:rsidRPr="00C90052">
        <w:rPr>
          <w:lang w:val="ru-RU"/>
        </w:rPr>
        <w:t xml:space="preserve"> </w:t>
      </w:r>
      <w:r w:rsidR="007D6FE4">
        <w:rPr>
          <w:lang w:val="ru-RU"/>
        </w:rPr>
        <w:t>Комитета</w:t>
      </w:r>
      <w:r w:rsidR="007D6FE4" w:rsidRPr="00C90052">
        <w:rPr>
          <w:lang w:val="ru-RU"/>
        </w:rPr>
        <w:t xml:space="preserve"> </w:t>
      </w:r>
      <w:r w:rsidR="00C90052" w:rsidRPr="00C90052">
        <w:rPr>
          <w:lang w:val="ru-RU"/>
        </w:rPr>
        <w:t>(</w:t>
      </w:r>
      <w:r w:rsidR="00C90052">
        <w:rPr>
          <w:lang w:val="ru-RU"/>
        </w:rPr>
        <w:t>решение</w:t>
      </w:r>
      <w:r w:rsidR="00C90052" w:rsidRPr="00C90052">
        <w:rPr>
          <w:lang w:val="ru-RU"/>
        </w:rPr>
        <w:t xml:space="preserve"> </w:t>
      </w:r>
      <w:hyperlink r:id="rId29" w:history="1">
        <w:r w:rsidR="00C90052" w:rsidRPr="00C90052">
          <w:rPr>
            <w:rStyle w:val="Hyperlink"/>
            <w:lang w:val="ru-RU"/>
          </w:rPr>
          <w:t>12.</w:t>
        </w:r>
        <w:r w:rsidR="00C90052" w:rsidRPr="00A60DF5">
          <w:rPr>
            <w:rStyle w:val="Hyperlink"/>
          </w:rPr>
          <w:t>COM</w:t>
        </w:r>
        <w:r w:rsidR="003B1974">
          <w:rPr>
            <w:rStyle w:val="Hyperlink"/>
          </w:rPr>
          <w:t> </w:t>
        </w:r>
        <w:r w:rsidR="00C90052" w:rsidRPr="00C90052">
          <w:rPr>
            <w:rStyle w:val="Hyperlink"/>
            <w:lang w:val="ru-RU"/>
          </w:rPr>
          <w:t>6</w:t>
        </w:r>
      </w:hyperlink>
      <w:r w:rsidR="00C90052" w:rsidRPr="00C90052">
        <w:rPr>
          <w:rFonts w:cs="Times New Roman"/>
          <w:lang w:val="ru-RU"/>
        </w:rPr>
        <w:t xml:space="preserve">) </w:t>
      </w:r>
      <w:r w:rsidR="007D6FE4">
        <w:rPr>
          <w:lang w:val="ru-RU"/>
        </w:rPr>
        <w:t>обновленный</w:t>
      </w:r>
      <w:r w:rsidR="007D6FE4" w:rsidRPr="00C90052">
        <w:rPr>
          <w:lang w:val="ru-RU"/>
        </w:rPr>
        <w:t xml:space="preserve"> </w:t>
      </w:r>
      <w:r w:rsidR="007D6FE4">
        <w:rPr>
          <w:lang w:val="ru-RU"/>
        </w:rPr>
        <w:t>программный</w:t>
      </w:r>
      <w:r w:rsidR="007D6FE4" w:rsidRPr="00C90052">
        <w:rPr>
          <w:lang w:val="ru-RU"/>
        </w:rPr>
        <w:t xml:space="preserve"> </w:t>
      </w:r>
      <w:r w:rsidR="007D6FE4">
        <w:rPr>
          <w:lang w:val="ru-RU"/>
        </w:rPr>
        <w:t>документ</w:t>
      </w:r>
      <w:r w:rsidR="007D6FE4" w:rsidRPr="00C90052">
        <w:rPr>
          <w:lang w:val="ru-RU"/>
        </w:rPr>
        <w:t xml:space="preserve"> </w:t>
      </w:r>
      <w:r w:rsidR="007D6FE4">
        <w:rPr>
          <w:lang w:val="ru-RU"/>
        </w:rPr>
        <w:t>под</w:t>
      </w:r>
      <w:r w:rsidR="007D6FE4" w:rsidRPr="00C90052">
        <w:rPr>
          <w:lang w:val="ru-RU"/>
        </w:rPr>
        <w:t xml:space="preserve"> </w:t>
      </w:r>
      <w:r w:rsidR="007D6FE4">
        <w:rPr>
          <w:lang w:val="ru-RU"/>
        </w:rPr>
        <w:t>названием</w:t>
      </w:r>
      <w:r w:rsidR="007D6FE4" w:rsidRPr="00C90052">
        <w:rPr>
          <w:lang w:val="ru-RU"/>
        </w:rPr>
        <w:t xml:space="preserve"> «</w:t>
      </w:r>
      <w:r w:rsidR="003925CC">
        <w:rPr>
          <w:lang w:val="ru-RU"/>
        </w:rPr>
        <w:t>Укрепление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потенциала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для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охраны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нематериального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культурного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наследия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и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содействия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устойчивому</w:t>
      </w:r>
      <w:r w:rsidR="003925CC" w:rsidRPr="00C90052">
        <w:rPr>
          <w:lang w:val="ru-RU"/>
        </w:rPr>
        <w:t xml:space="preserve"> </w:t>
      </w:r>
      <w:r w:rsidR="003925CC">
        <w:rPr>
          <w:lang w:val="ru-RU"/>
        </w:rPr>
        <w:t>развитию</w:t>
      </w:r>
      <w:r w:rsidR="003925CC" w:rsidRPr="00C90052">
        <w:rPr>
          <w:lang w:val="ru-RU"/>
        </w:rPr>
        <w:t>»</w:t>
      </w:r>
      <w:r w:rsidR="007D6FE4" w:rsidRPr="00C90052">
        <w:rPr>
          <w:lang w:val="ru-RU"/>
        </w:rPr>
        <w:t xml:space="preserve"> </w:t>
      </w:r>
      <w:r w:rsidR="00C90052">
        <w:rPr>
          <w:lang w:val="ru-RU"/>
        </w:rPr>
        <w:t>был</w:t>
      </w:r>
      <w:r w:rsidR="00C90052" w:rsidRPr="00C90052">
        <w:rPr>
          <w:lang w:val="ru-RU"/>
        </w:rPr>
        <w:t xml:space="preserve"> </w:t>
      </w:r>
      <w:r w:rsidR="00C90052">
        <w:rPr>
          <w:lang w:val="ru-RU"/>
        </w:rPr>
        <w:t>утвержден</w:t>
      </w:r>
      <w:r w:rsidR="00C90052" w:rsidRPr="00C90052">
        <w:rPr>
          <w:lang w:val="ru-RU"/>
        </w:rPr>
        <w:t xml:space="preserve"> </w:t>
      </w:r>
      <w:r w:rsidR="00C90052">
        <w:rPr>
          <w:lang w:val="ru-RU"/>
        </w:rPr>
        <w:t>в качестве одного из двух приоритетов финансирования при выполне</w:t>
      </w:r>
      <w:r w:rsidR="00B056F1">
        <w:rPr>
          <w:lang w:val="ru-RU"/>
        </w:rPr>
        <w:t>н</w:t>
      </w:r>
      <w:r w:rsidR="00C90052">
        <w:rPr>
          <w:lang w:val="ru-RU"/>
        </w:rPr>
        <w:t xml:space="preserve">ии Конвенции </w:t>
      </w:r>
      <w:r w:rsidR="00B056F1">
        <w:rPr>
          <w:lang w:val="ru-RU"/>
        </w:rPr>
        <w:t xml:space="preserve">на период 2018-2021 гг. </w:t>
      </w:r>
    </w:p>
    <w:p w:rsidR="00C902E0" w:rsidRPr="00F4076A" w:rsidRDefault="00EC6131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rFonts w:eastAsia="Times New Roman"/>
          <w:lang w:val="ru-RU"/>
        </w:rPr>
        <w:t>Образовательные</w:t>
      </w:r>
      <w:r w:rsidRPr="000D78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учреждения</w:t>
      </w:r>
      <w:r w:rsidRPr="000D78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третьего</w:t>
      </w:r>
      <w:r w:rsidRPr="000D78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уровня</w:t>
      </w:r>
      <w:r w:rsidRPr="000D78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играют</w:t>
      </w:r>
      <w:r w:rsidRPr="000D78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ключевую</w:t>
      </w:r>
      <w:r w:rsidRPr="000D78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роль</w:t>
      </w:r>
      <w:r w:rsidRPr="000D786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0D7865">
        <w:rPr>
          <w:rFonts w:eastAsia="Times New Roman"/>
          <w:lang w:val="ru-RU"/>
        </w:rPr>
        <w:t xml:space="preserve"> </w:t>
      </w:r>
      <w:r w:rsidR="005C7507">
        <w:rPr>
          <w:rFonts w:eastAsia="Times New Roman"/>
          <w:lang w:val="ru-RU"/>
        </w:rPr>
        <w:t>формировании</w:t>
      </w:r>
      <w:r w:rsidR="005C7507" w:rsidRPr="000D7865">
        <w:rPr>
          <w:rFonts w:eastAsia="Times New Roman"/>
          <w:lang w:val="ru-RU"/>
        </w:rPr>
        <w:t xml:space="preserve"> </w:t>
      </w:r>
      <w:r w:rsidR="005C7507">
        <w:rPr>
          <w:rFonts w:eastAsia="Times New Roman"/>
          <w:lang w:val="ru-RU"/>
        </w:rPr>
        <w:t>будущих</w:t>
      </w:r>
      <w:r w:rsidR="005C7507" w:rsidRPr="000D7865">
        <w:rPr>
          <w:rFonts w:eastAsia="Times New Roman"/>
          <w:lang w:val="ru-RU"/>
        </w:rPr>
        <w:t xml:space="preserve"> </w:t>
      </w:r>
      <w:r w:rsidR="000D7865">
        <w:rPr>
          <w:rFonts w:eastAsia="Times New Roman"/>
          <w:lang w:val="ru-RU"/>
        </w:rPr>
        <w:t>руководителей и должностных лиц сфер</w:t>
      </w:r>
      <w:r w:rsidR="00D0715D">
        <w:rPr>
          <w:rFonts w:eastAsia="Times New Roman"/>
          <w:lang w:val="ru-RU"/>
        </w:rPr>
        <w:t>ы</w:t>
      </w:r>
      <w:r w:rsidR="000D7865">
        <w:rPr>
          <w:rFonts w:eastAsia="Times New Roman"/>
          <w:lang w:val="ru-RU"/>
        </w:rPr>
        <w:t xml:space="preserve"> охраны нематериального культурного наследия. </w:t>
      </w:r>
      <w:r w:rsidR="00D0715D">
        <w:rPr>
          <w:rFonts w:eastAsia="Times New Roman"/>
          <w:lang w:val="ru-RU"/>
        </w:rPr>
        <w:t>По</w:t>
      </w:r>
      <w:r w:rsidR="00D0715D" w:rsidRPr="00C73586">
        <w:rPr>
          <w:rFonts w:eastAsia="Times New Roman"/>
          <w:lang w:val="ru-RU"/>
        </w:rPr>
        <w:t xml:space="preserve"> </w:t>
      </w:r>
      <w:r w:rsidR="00D0715D">
        <w:rPr>
          <w:rFonts w:eastAsia="Times New Roman"/>
          <w:lang w:val="ru-RU"/>
        </w:rPr>
        <w:t>этой</w:t>
      </w:r>
      <w:r w:rsidR="00D0715D" w:rsidRPr="00C73586">
        <w:rPr>
          <w:rFonts w:eastAsia="Times New Roman"/>
          <w:lang w:val="ru-RU"/>
        </w:rPr>
        <w:t xml:space="preserve"> </w:t>
      </w:r>
      <w:r w:rsidR="00D0715D">
        <w:rPr>
          <w:rFonts w:eastAsia="Times New Roman"/>
          <w:lang w:val="ru-RU"/>
        </w:rPr>
        <w:t>причине</w:t>
      </w:r>
      <w:r w:rsidR="00D0715D" w:rsidRPr="00C73586">
        <w:rPr>
          <w:rFonts w:eastAsia="Times New Roman"/>
          <w:lang w:val="ru-RU"/>
        </w:rPr>
        <w:t xml:space="preserve"> </w:t>
      </w:r>
      <w:r w:rsidR="00D0715D">
        <w:rPr>
          <w:rFonts w:eastAsia="Times New Roman"/>
          <w:lang w:val="ru-RU"/>
        </w:rPr>
        <w:t>Секретариат</w:t>
      </w:r>
      <w:r w:rsidR="00D0715D" w:rsidRPr="00C73586">
        <w:rPr>
          <w:rFonts w:eastAsia="Times New Roman"/>
          <w:lang w:val="ru-RU"/>
        </w:rPr>
        <w:t xml:space="preserve"> </w:t>
      </w:r>
      <w:r w:rsidR="00D0715D">
        <w:rPr>
          <w:rFonts w:eastAsia="Times New Roman"/>
          <w:lang w:val="ru-RU"/>
        </w:rPr>
        <w:t>поддерживает</w:t>
      </w:r>
      <w:r w:rsidR="00D0715D" w:rsidRPr="00C73586">
        <w:rPr>
          <w:rFonts w:eastAsia="Times New Roman"/>
          <w:lang w:val="ru-RU"/>
        </w:rPr>
        <w:t xml:space="preserve"> </w:t>
      </w:r>
      <w:r w:rsidR="00D0715D">
        <w:rPr>
          <w:rFonts w:eastAsia="Times New Roman"/>
          <w:lang w:val="ru-RU"/>
        </w:rPr>
        <w:t>сетевое</w:t>
      </w:r>
      <w:r w:rsidR="00D0715D" w:rsidRPr="00C73586">
        <w:rPr>
          <w:rFonts w:eastAsia="Times New Roman"/>
          <w:lang w:val="ru-RU"/>
        </w:rPr>
        <w:t xml:space="preserve"> </w:t>
      </w:r>
      <w:r w:rsidR="00D0715D">
        <w:rPr>
          <w:rFonts w:eastAsia="Times New Roman"/>
          <w:lang w:val="ru-RU"/>
        </w:rPr>
        <w:t>взаимодействие</w:t>
      </w:r>
      <w:r w:rsidR="00D0715D" w:rsidRPr="00C73586">
        <w:rPr>
          <w:rFonts w:eastAsia="Times New Roman"/>
          <w:lang w:val="ru-RU"/>
        </w:rPr>
        <w:t xml:space="preserve"> </w:t>
      </w:r>
      <w:r w:rsidR="00D0715D">
        <w:rPr>
          <w:rFonts w:eastAsia="Times New Roman"/>
          <w:lang w:val="ru-RU"/>
        </w:rPr>
        <w:t>и</w:t>
      </w:r>
      <w:r w:rsidR="00D0715D" w:rsidRPr="00C73586">
        <w:rPr>
          <w:rFonts w:eastAsia="Times New Roman"/>
          <w:lang w:val="ru-RU"/>
        </w:rPr>
        <w:t xml:space="preserve"> </w:t>
      </w:r>
      <w:r w:rsidR="00C73586">
        <w:rPr>
          <w:rFonts w:eastAsia="Times New Roman"/>
          <w:lang w:val="ru-RU"/>
        </w:rPr>
        <w:t>партнерские отношения с ними в контексте своей деятельности по укреплению потенциала. Однако</w:t>
      </w:r>
      <w:r w:rsidR="00C73586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в</w:t>
      </w:r>
      <w:r w:rsidR="00732785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настоящее</w:t>
      </w:r>
      <w:r w:rsidR="00732785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время</w:t>
      </w:r>
      <w:r w:rsidR="00732785" w:rsidRPr="00225C35">
        <w:rPr>
          <w:rFonts w:eastAsia="Times New Roman"/>
          <w:lang w:val="ru-RU"/>
        </w:rPr>
        <w:t xml:space="preserve"> </w:t>
      </w:r>
      <w:r w:rsidR="00C73586">
        <w:rPr>
          <w:rFonts w:eastAsia="Times New Roman"/>
          <w:lang w:val="ru-RU"/>
        </w:rPr>
        <w:t>специализация</w:t>
      </w:r>
      <w:r w:rsidR="00C73586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по</w:t>
      </w:r>
      <w:r w:rsidR="00732785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нематериальному</w:t>
      </w:r>
      <w:r w:rsidR="00732785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культурному</w:t>
      </w:r>
      <w:r w:rsidR="00732785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наследию</w:t>
      </w:r>
      <w:r w:rsidR="00732785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разбросана</w:t>
      </w:r>
      <w:r w:rsidR="00732785" w:rsidRPr="00225C35">
        <w:rPr>
          <w:rFonts w:eastAsia="Times New Roman"/>
          <w:lang w:val="ru-RU"/>
        </w:rPr>
        <w:t xml:space="preserve"> </w:t>
      </w:r>
      <w:r w:rsidR="00732785">
        <w:rPr>
          <w:rFonts w:eastAsia="Times New Roman"/>
          <w:lang w:val="ru-RU"/>
        </w:rPr>
        <w:t>по</w:t>
      </w:r>
      <w:r w:rsidR="00732785" w:rsidRPr="00225C35">
        <w:rPr>
          <w:rFonts w:eastAsia="Times New Roman"/>
          <w:lang w:val="ru-RU"/>
        </w:rPr>
        <w:t xml:space="preserve"> </w:t>
      </w:r>
      <w:r w:rsidR="00225C35">
        <w:rPr>
          <w:rFonts w:eastAsia="Times New Roman"/>
          <w:lang w:val="ru-RU"/>
        </w:rPr>
        <w:t xml:space="preserve">различным дисциплинам. </w:t>
      </w:r>
      <w:r w:rsidR="00421124">
        <w:rPr>
          <w:rFonts w:eastAsia="Times New Roman"/>
          <w:lang w:val="ru-RU"/>
        </w:rPr>
        <w:t>Секретариат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продолжает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налаживать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партнерские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отношения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с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университетами</w:t>
      </w:r>
      <w:r w:rsidR="00421124" w:rsidRPr="00E452BE">
        <w:rPr>
          <w:rFonts w:eastAsia="Times New Roman"/>
          <w:lang w:val="ru-RU"/>
        </w:rPr>
        <w:t xml:space="preserve">, </w:t>
      </w:r>
      <w:r w:rsidR="00421124">
        <w:rPr>
          <w:rFonts w:eastAsia="Times New Roman"/>
          <w:lang w:val="ru-RU"/>
        </w:rPr>
        <w:t>чтобы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получить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знания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о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том</w:t>
      </w:r>
      <w:r w:rsidR="00421124" w:rsidRPr="00E452BE">
        <w:rPr>
          <w:rFonts w:eastAsia="Times New Roman"/>
          <w:lang w:val="ru-RU"/>
        </w:rPr>
        <w:t xml:space="preserve">, </w:t>
      </w:r>
      <w:r w:rsidR="00421124">
        <w:rPr>
          <w:rFonts w:eastAsia="Times New Roman"/>
          <w:lang w:val="ru-RU"/>
        </w:rPr>
        <w:t>как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интегрировать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нематериальное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культурное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наследие</w:t>
      </w:r>
      <w:r w:rsidR="00421124" w:rsidRPr="00E452BE">
        <w:rPr>
          <w:rFonts w:eastAsia="Times New Roman"/>
          <w:lang w:val="ru-RU"/>
        </w:rPr>
        <w:t xml:space="preserve"> </w:t>
      </w:r>
      <w:r w:rsidR="00421124">
        <w:rPr>
          <w:rFonts w:eastAsia="Times New Roman"/>
          <w:lang w:val="ru-RU"/>
        </w:rPr>
        <w:t>в</w:t>
      </w:r>
      <w:r w:rsidR="00421124" w:rsidRPr="00E452BE">
        <w:rPr>
          <w:rFonts w:eastAsia="Times New Roman"/>
          <w:lang w:val="ru-RU"/>
        </w:rPr>
        <w:t xml:space="preserve"> </w:t>
      </w:r>
      <w:r w:rsidR="00E452BE">
        <w:rPr>
          <w:rFonts w:eastAsia="Times New Roman"/>
          <w:lang w:val="ru-RU"/>
        </w:rPr>
        <w:t>программы третьего уровня образования и поддерживать сетевое взаимодействие в этой области. С</w:t>
      </w:r>
      <w:r w:rsidR="00E452BE" w:rsidRPr="009E0830">
        <w:rPr>
          <w:rFonts w:eastAsia="Times New Roman"/>
          <w:lang w:val="ru-RU"/>
        </w:rPr>
        <w:t xml:space="preserve"> </w:t>
      </w:r>
      <w:r w:rsidR="00E452BE">
        <w:rPr>
          <w:rFonts w:eastAsia="Times New Roman"/>
          <w:lang w:val="ru-RU"/>
        </w:rPr>
        <w:t>этой</w:t>
      </w:r>
      <w:r w:rsidR="00E452BE" w:rsidRPr="009E0830">
        <w:rPr>
          <w:rFonts w:eastAsia="Times New Roman"/>
          <w:lang w:val="ru-RU"/>
        </w:rPr>
        <w:t xml:space="preserve"> </w:t>
      </w:r>
      <w:r w:rsidR="00E452BE">
        <w:rPr>
          <w:rFonts w:eastAsia="Times New Roman"/>
          <w:lang w:val="ru-RU"/>
        </w:rPr>
        <w:t>целью</w:t>
      </w:r>
      <w:r w:rsidR="00E452BE" w:rsidRPr="009E0830">
        <w:rPr>
          <w:rFonts w:eastAsia="Times New Roman"/>
          <w:lang w:val="ru-RU"/>
        </w:rPr>
        <w:t xml:space="preserve"> </w:t>
      </w:r>
      <w:r w:rsidR="00E452BE">
        <w:rPr>
          <w:rFonts w:eastAsia="Times New Roman"/>
          <w:lang w:val="ru-RU"/>
        </w:rPr>
        <w:t>Бюро</w:t>
      </w:r>
      <w:r w:rsidR="00E452BE" w:rsidRPr="009E0830">
        <w:rPr>
          <w:rFonts w:eastAsia="Times New Roman"/>
          <w:lang w:val="ru-RU"/>
        </w:rPr>
        <w:t xml:space="preserve"> </w:t>
      </w:r>
      <w:r w:rsidR="00E452BE">
        <w:rPr>
          <w:rFonts w:eastAsia="Times New Roman"/>
          <w:lang w:val="ru-RU"/>
        </w:rPr>
        <w:t>ЮНЕСКО</w:t>
      </w:r>
      <w:r w:rsidR="00E452BE" w:rsidRPr="009E0830">
        <w:rPr>
          <w:rFonts w:eastAsia="Times New Roman"/>
          <w:lang w:val="ru-RU"/>
        </w:rPr>
        <w:t xml:space="preserve"> </w:t>
      </w:r>
      <w:r w:rsidR="00E452BE">
        <w:rPr>
          <w:rFonts w:eastAsia="Times New Roman"/>
          <w:lang w:val="ru-RU"/>
        </w:rPr>
        <w:t>в</w:t>
      </w:r>
      <w:r w:rsidR="00E452BE" w:rsidRPr="009E0830">
        <w:rPr>
          <w:rFonts w:eastAsia="Times New Roman"/>
          <w:lang w:val="ru-RU"/>
        </w:rPr>
        <w:t xml:space="preserve"> </w:t>
      </w:r>
      <w:r w:rsidR="00E452BE">
        <w:rPr>
          <w:rFonts w:eastAsia="Times New Roman"/>
          <w:lang w:val="ru-RU"/>
        </w:rPr>
        <w:t>Бангкоке</w:t>
      </w:r>
      <w:r w:rsidR="00E452BE" w:rsidRPr="009E0830">
        <w:rPr>
          <w:rFonts w:eastAsia="Times New Roman"/>
          <w:lang w:val="ru-RU"/>
        </w:rPr>
        <w:t xml:space="preserve"> </w:t>
      </w:r>
      <w:r w:rsidR="002351B7">
        <w:rPr>
          <w:rFonts w:eastAsia="Times New Roman"/>
          <w:lang w:val="ru-RU"/>
        </w:rPr>
        <w:t>при</w:t>
      </w:r>
      <w:r w:rsidR="002351B7" w:rsidRPr="009E0830">
        <w:rPr>
          <w:rFonts w:eastAsia="Times New Roman"/>
          <w:lang w:val="ru-RU"/>
        </w:rPr>
        <w:t xml:space="preserve"> </w:t>
      </w:r>
      <w:r w:rsidR="002351B7">
        <w:rPr>
          <w:rFonts w:eastAsia="Times New Roman"/>
          <w:lang w:val="ru-RU"/>
        </w:rPr>
        <w:t>поддержке</w:t>
      </w:r>
      <w:r w:rsidR="002351B7" w:rsidRPr="009E0830">
        <w:rPr>
          <w:rFonts w:eastAsia="Times New Roman"/>
          <w:lang w:val="ru-RU"/>
        </w:rPr>
        <w:t xml:space="preserve"> </w:t>
      </w:r>
      <w:r w:rsidR="00BA7D17">
        <w:rPr>
          <w:rFonts w:eastAsia="Times New Roman"/>
          <w:lang w:val="ru-RU"/>
        </w:rPr>
        <w:t>Международного</w:t>
      </w:r>
      <w:r w:rsidR="00BA7D17" w:rsidRPr="009E0830">
        <w:rPr>
          <w:rFonts w:eastAsia="Times New Roman"/>
          <w:lang w:val="ru-RU"/>
        </w:rPr>
        <w:t xml:space="preserve"> </w:t>
      </w:r>
      <w:r w:rsidR="00BA7D17">
        <w:rPr>
          <w:rFonts w:eastAsia="Times New Roman"/>
          <w:lang w:val="ru-RU"/>
        </w:rPr>
        <w:t>информационного</w:t>
      </w:r>
      <w:r w:rsidR="00BA7D17" w:rsidRPr="009E0830">
        <w:rPr>
          <w:rFonts w:eastAsia="Times New Roman"/>
          <w:lang w:val="ru-RU"/>
        </w:rPr>
        <w:t xml:space="preserve"> </w:t>
      </w:r>
      <w:r w:rsidR="00BA7D17">
        <w:rPr>
          <w:rFonts w:eastAsia="Times New Roman"/>
          <w:lang w:val="ru-RU"/>
        </w:rPr>
        <w:t>и</w:t>
      </w:r>
      <w:r w:rsidR="00BA7D17" w:rsidRPr="009E0830">
        <w:rPr>
          <w:rFonts w:eastAsia="Times New Roman"/>
          <w:lang w:val="ru-RU"/>
        </w:rPr>
        <w:t xml:space="preserve"> </w:t>
      </w:r>
      <w:r w:rsidR="00BA7D17">
        <w:rPr>
          <w:rFonts w:eastAsia="Times New Roman"/>
          <w:lang w:val="ru-RU"/>
        </w:rPr>
        <w:t>сетевого</w:t>
      </w:r>
      <w:r w:rsidR="00BA7D17" w:rsidRPr="009E0830">
        <w:rPr>
          <w:rFonts w:eastAsia="Times New Roman"/>
          <w:lang w:val="ru-RU"/>
        </w:rPr>
        <w:t xml:space="preserve"> </w:t>
      </w:r>
      <w:r w:rsidR="00BA7D17">
        <w:rPr>
          <w:rFonts w:eastAsia="Times New Roman"/>
          <w:lang w:val="ru-RU"/>
        </w:rPr>
        <w:t>центра</w:t>
      </w:r>
      <w:r w:rsidR="00BA7D17" w:rsidRPr="009E0830">
        <w:rPr>
          <w:rFonts w:eastAsia="Times New Roman"/>
          <w:lang w:val="ru-RU"/>
        </w:rPr>
        <w:t xml:space="preserve"> </w:t>
      </w:r>
      <w:r w:rsidR="00F84FE2">
        <w:rPr>
          <w:rFonts w:eastAsia="Times New Roman"/>
          <w:lang w:val="ru-RU"/>
        </w:rPr>
        <w:t>в</w:t>
      </w:r>
      <w:r w:rsidR="00F84FE2" w:rsidRPr="009E0830">
        <w:rPr>
          <w:rFonts w:eastAsia="Times New Roman"/>
          <w:lang w:val="ru-RU"/>
        </w:rPr>
        <w:t xml:space="preserve"> </w:t>
      </w:r>
      <w:r w:rsidR="00F84FE2">
        <w:rPr>
          <w:rFonts w:eastAsia="Times New Roman"/>
          <w:lang w:val="ru-RU"/>
        </w:rPr>
        <w:t>Азиатско</w:t>
      </w:r>
      <w:r w:rsidR="00F84FE2" w:rsidRPr="009E0830">
        <w:rPr>
          <w:rFonts w:eastAsia="Times New Roman"/>
          <w:lang w:val="ru-RU"/>
        </w:rPr>
        <w:t>-</w:t>
      </w:r>
      <w:r w:rsidR="00F84FE2">
        <w:rPr>
          <w:rFonts w:eastAsia="Times New Roman"/>
          <w:lang w:val="ru-RU"/>
        </w:rPr>
        <w:t>Тихоокеанском</w:t>
      </w:r>
      <w:r w:rsidR="00F84FE2" w:rsidRPr="009E0830">
        <w:rPr>
          <w:rFonts w:eastAsia="Times New Roman"/>
          <w:lang w:val="ru-RU"/>
        </w:rPr>
        <w:t xml:space="preserve"> </w:t>
      </w:r>
      <w:r w:rsidR="00F84FE2">
        <w:rPr>
          <w:rFonts w:eastAsia="Times New Roman"/>
          <w:lang w:val="ru-RU"/>
        </w:rPr>
        <w:t>регионе</w:t>
      </w:r>
      <w:r w:rsidR="00F84FE2" w:rsidRPr="009E0830">
        <w:rPr>
          <w:rFonts w:eastAsia="Times New Roman"/>
          <w:lang w:val="ru-RU"/>
        </w:rPr>
        <w:t xml:space="preserve"> </w:t>
      </w:r>
      <w:r w:rsidR="00F84FE2">
        <w:rPr>
          <w:rFonts w:eastAsia="Times New Roman"/>
          <w:lang w:val="ru-RU"/>
        </w:rPr>
        <w:t>под</w:t>
      </w:r>
      <w:r w:rsidR="00F84FE2" w:rsidRPr="009E0830">
        <w:rPr>
          <w:rFonts w:eastAsia="Times New Roman"/>
          <w:lang w:val="ru-RU"/>
        </w:rPr>
        <w:t xml:space="preserve"> </w:t>
      </w:r>
      <w:r w:rsidR="00F84FE2">
        <w:rPr>
          <w:rFonts w:eastAsia="Times New Roman"/>
          <w:lang w:val="ru-RU"/>
        </w:rPr>
        <w:t>эгидой</w:t>
      </w:r>
      <w:r w:rsidR="00F84FE2" w:rsidRPr="009E0830">
        <w:rPr>
          <w:rFonts w:eastAsia="Times New Roman"/>
          <w:lang w:val="ru-RU"/>
        </w:rPr>
        <w:t xml:space="preserve"> </w:t>
      </w:r>
      <w:r w:rsidR="00F84FE2">
        <w:rPr>
          <w:rFonts w:eastAsia="Times New Roman"/>
          <w:lang w:val="ru-RU"/>
        </w:rPr>
        <w:t>ЮНЕСКО</w:t>
      </w:r>
      <w:r w:rsidR="00F84FE2" w:rsidRPr="009E0830">
        <w:rPr>
          <w:rFonts w:eastAsia="Times New Roman"/>
          <w:lang w:val="ru-RU"/>
        </w:rPr>
        <w:t xml:space="preserve"> (</w:t>
      </w:r>
      <w:r w:rsidR="009E0830" w:rsidRPr="00697977">
        <w:rPr>
          <w:lang w:val="en-US"/>
        </w:rPr>
        <w:t>ICHCAP</w:t>
      </w:r>
      <w:r w:rsidR="009E0830" w:rsidRPr="009E0830">
        <w:rPr>
          <w:lang w:val="ru-RU"/>
        </w:rPr>
        <w:t xml:space="preserve">) </w:t>
      </w:r>
      <w:r w:rsidR="002351B7">
        <w:rPr>
          <w:rFonts w:eastAsia="Times New Roman"/>
          <w:lang w:val="ru-RU"/>
        </w:rPr>
        <w:t>провело</w:t>
      </w:r>
      <w:r w:rsidR="002351B7" w:rsidRPr="009E0830">
        <w:rPr>
          <w:rFonts w:eastAsia="Times New Roman"/>
          <w:lang w:val="ru-RU"/>
        </w:rPr>
        <w:t xml:space="preserve"> </w:t>
      </w:r>
      <w:r w:rsidR="009E0830">
        <w:rPr>
          <w:rFonts w:eastAsia="Times New Roman"/>
          <w:lang w:val="ru-RU"/>
        </w:rPr>
        <w:t>специальн</w:t>
      </w:r>
      <w:r w:rsidR="0089030E">
        <w:rPr>
          <w:rFonts w:eastAsia="Times New Roman"/>
          <w:lang w:val="ru-RU"/>
        </w:rPr>
        <w:t>ое исследование</w:t>
      </w:r>
      <w:r w:rsidR="009E0830">
        <w:rPr>
          <w:rFonts w:eastAsia="Times New Roman"/>
          <w:lang w:val="ru-RU"/>
        </w:rPr>
        <w:t>.</w:t>
      </w:r>
      <w:r w:rsidR="002351B7" w:rsidRPr="009E0830">
        <w:rPr>
          <w:rFonts w:eastAsia="Times New Roman"/>
          <w:lang w:val="ru-RU"/>
        </w:rPr>
        <w:t xml:space="preserve"> </w:t>
      </w:r>
      <w:r w:rsidR="009E0830">
        <w:rPr>
          <w:rFonts w:eastAsia="Times New Roman"/>
          <w:lang w:val="ru-RU"/>
        </w:rPr>
        <w:t>Второ</w:t>
      </w:r>
      <w:r w:rsidR="0089030E">
        <w:rPr>
          <w:rFonts w:eastAsia="Times New Roman"/>
          <w:lang w:val="ru-RU"/>
        </w:rPr>
        <w:t>е исследование</w:t>
      </w:r>
      <w:r w:rsidR="009E0830" w:rsidRPr="009B2346">
        <w:rPr>
          <w:rFonts w:eastAsia="Times New Roman"/>
          <w:lang w:val="ru-RU"/>
        </w:rPr>
        <w:t xml:space="preserve"> </w:t>
      </w:r>
      <w:r w:rsidR="009E0830">
        <w:rPr>
          <w:rFonts w:eastAsia="Times New Roman"/>
          <w:lang w:val="ru-RU"/>
        </w:rPr>
        <w:t>был</w:t>
      </w:r>
      <w:r w:rsidR="0089030E">
        <w:rPr>
          <w:rFonts w:eastAsia="Times New Roman"/>
          <w:lang w:val="ru-RU"/>
        </w:rPr>
        <w:t>о</w:t>
      </w:r>
      <w:r w:rsidR="009E0830" w:rsidRPr="009B2346">
        <w:rPr>
          <w:rFonts w:eastAsia="Times New Roman"/>
          <w:lang w:val="ru-RU"/>
        </w:rPr>
        <w:t xml:space="preserve"> </w:t>
      </w:r>
      <w:r w:rsidR="009B2346">
        <w:rPr>
          <w:rFonts w:eastAsia="Times New Roman"/>
          <w:lang w:val="ru-RU"/>
        </w:rPr>
        <w:t>организован</w:t>
      </w:r>
      <w:r w:rsidR="0089030E">
        <w:rPr>
          <w:rFonts w:eastAsia="Times New Roman"/>
          <w:lang w:val="ru-RU"/>
        </w:rPr>
        <w:t>о</w:t>
      </w:r>
      <w:r w:rsidR="009B2346" w:rsidRPr="009B2346">
        <w:rPr>
          <w:rFonts w:eastAsia="Times New Roman"/>
          <w:lang w:val="ru-RU"/>
        </w:rPr>
        <w:t xml:space="preserve"> </w:t>
      </w:r>
      <w:r w:rsidR="009B2346">
        <w:rPr>
          <w:rFonts w:eastAsia="Times New Roman"/>
          <w:lang w:val="ru-RU"/>
        </w:rPr>
        <w:t>в</w:t>
      </w:r>
      <w:r w:rsidR="009B2346" w:rsidRPr="009B2346">
        <w:rPr>
          <w:rFonts w:eastAsia="Times New Roman"/>
          <w:lang w:val="ru-RU"/>
        </w:rPr>
        <w:t xml:space="preserve"> </w:t>
      </w:r>
      <w:r w:rsidR="009B2346">
        <w:rPr>
          <w:rFonts w:eastAsia="Times New Roman"/>
          <w:lang w:val="ru-RU"/>
        </w:rPr>
        <w:t>Латинской Америке и Карибском бассейне Бюро ЮНЕСКО в Монтевидео.</w:t>
      </w:r>
      <w:r w:rsidR="00C902E0" w:rsidRPr="009B2346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Затем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ЮНЕСКО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организовала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в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ноябре</w:t>
      </w:r>
      <w:r w:rsidR="00E2094E" w:rsidRPr="00775F6B">
        <w:rPr>
          <w:rFonts w:eastAsia="Times New Roman"/>
          <w:lang w:val="ru-RU"/>
        </w:rPr>
        <w:t xml:space="preserve"> 2017</w:t>
      </w:r>
      <w:r w:rsidR="00E2094E" w:rsidRPr="00E2094E">
        <w:rPr>
          <w:rFonts w:eastAsia="Times New Roman"/>
          <w:lang w:val="en-US"/>
        </w:rPr>
        <w:t> </w:t>
      </w:r>
      <w:r w:rsidR="00E2094E">
        <w:rPr>
          <w:rFonts w:eastAsia="Times New Roman"/>
          <w:lang w:val="ru-RU"/>
        </w:rPr>
        <w:t>г</w:t>
      </w:r>
      <w:r w:rsidR="00E2094E" w:rsidRPr="00775F6B">
        <w:rPr>
          <w:rFonts w:eastAsia="Times New Roman"/>
          <w:lang w:val="ru-RU"/>
        </w:rPr>
        <w:t xml:space="preserve">. </w:t>
      </w:r>
      <w:r w:rsidR="00E2094E">
        <w:rPr>
          <w:rFonts w:eastAsia="Times New Roman"/>
          <w:lang w:val="ru-RU"/>
        </w:rPr>
        <w:t>региональное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совещание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по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механизмам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сотрудничества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в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сфере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нематериального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культурного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наследия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в</w:t>
      </w:r>
      <w:r w:rsidR="00E2094E" w:rsidRPr="00775F6B">
        <w:rPr>
          <w:rFonts w:eastAsia="Times New Roman"/>
          <w:lang w:val="ru-RU"/>
        </w:rPr>
        <w:t xml:space="preserve"> </w:t>
      </w:r>
      <w:r w:rsidR="00E2094E">
        <w:rPr>
          <w:rFonts w:eastAsia="Times New Roman"/>
          <w:lang w:val="ru-RU"/>
        </w:rPr>
        <w:t>Буэнос</w:t>
      </w:r>
      <w:r w:rsidR="00052915" w:rsidRPr="00775F6B">
        <w:rPr>
          <w:rFonts w:eastAsia="Times New Roman"/>
          <w:lang w:val="ru-RU"/>
        </w:rPr>
        <w:t>-</w:t>
      </w:r>
      <w:r w:rsidR="00E2094E">
        <w:rPr>
          <w:rFonts w:eastAsia="Times New Roman"/>
          <w:lang w:val="ru-RU"/>
        </w:rPr>
        <w:t>Айресе</w:t>
      </w:r>
      <w:r w:rsidR="00052915" w:rsidRPr="00775F6B">
        <w:rPr>
          <w:rFonts w:eastAsia="Times New Roman"/>
          <w:lang w:val="ru-RU"/>
        </w:rPr>
        <w:t xml:space="preserve"> (</w:t>
      </w:r>
      <w:r w:rsidR="00052915">
        <w:rPr>
          <w:rFonts w:eastAsia="Times New Roman"/>
          <w:lang w:val="ru-RU"/>
        </w:rPr>
        <w:t>Аргентина</w:t>
      </w:r>
      <w:r w:rsidR="00052915" w:rsidRPr="00775F6B">
        <w:rPr>
          <w:rFonts w:eastAsia="Times New Roman"/>
          <w:lang w:val="ru-RU"/>
        </w:rPr>
        <w:t xml:space="preserve">) </w:t>
      </w:r>
      <w:r w:rsidR="002967AF">
        <w:rPr>
          <w:rFonts w:eastAsia="Times New Roman"/>
          <w:lang w:val="ru-RU"/>
        </w:rPr>
        <w:t xml:space="preserve">при взаимодействии с </w:t>
      </w:r>
      <w:r w:rsidR="00052915">
        <w:rPr>
          <w:rFonts w:eastAsia="Times New Roman"/>
          <w:lang w:val="ru-RU"/>
        </w:rPr>
        <w:t>Региональным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центром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по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охране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нематериального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культурного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наследия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Латинской</w:t>
      </w:r>
      <w:r w:rsidR="00052915" w:rsidRPr="00775F6B">
        <w:rPr>
          <w:rFonts w:eastAsia="Times New Roman"/>
          <w:lang w:val="ru-RU"/>
        </w:rPr>
        <w:t xml:space="preserve"> </w:t>
      </w:r>
      <w:r w:rsidR="00052915">
        <w:rPr>
          <w:rFonts w:eastAsia="Times New Roman"/>
          <w:lang w:val="ru-RU"/>
        </w:rPr>
        <w:t>Америки</w:t>
      </w:r>
      <w:r w:rsidR="00130471" w:rsidRPr="00775F6B">
        <w:rPr>
          <w:rFonts w:eastAsia="Times New Roman"/>
          <w:lang w:val="ru-RU"/>
        </w:rPr>
        <w:t xml:space="preserve"> </w:t>
      </w:r>
      <w:r w:rsidR="00130471">
        <w:rPr>
          <w:rFonts w:eastAsia="Times New Roman"/>
          <w:lang w:val="ru-RU"/>
        </w:rPr>
        <w:t>под</w:t>
      </w:r>
      <w:r w:rsidR="00130471" w:rsidRPr="00775F6B">
        <w:rPr>
          <w:rFonts w:eastAsia="Times New Roman"/>
          <w:lang w:val="ru-RU"/>
        </w:rPr>
        <w:t xml:space="preserve"> </w:t>
      </w:r>
      <w:r w:rsidR="00130471">
        <w:rPr>
          <w:rFonts w:eastAsia="Times New Roman"/>
          <w:lang w:val="ru-RU"/>
        </w:rPr>
        <w:t>эгидой</w:t>
      </w:r>
      <w:r w:rsidR="00130471" w:rsidRPr="00775F6B">
        <w:rPr>
          <w:rFonts w:eastAsia="Times New Roman"/>
          <w:lang w:val="ru-RU"/>
        </w:rPr>
        <w:t xml:space="preserve"> </w:t>
      </w:r>
      <w:r w:rsidR="00130471">
        <w:rPr>
          <w:rFonts w:eastAsia="Times New Roman"/>
          <w:lang w:val="ru-RU"/>
        </w:rPr>
        <w:t>ЮНЕСКО</w:t>
      </w:r>
      <w:r w:rsidR="00130471" w:rsidRPr="00775F6B">
        <w:rPr>
          <w:rFonts w:eastAsia="Times New Roman"/>
          <w:lang w:val="ru-RU"/>
        </w:rPr>
        <w:t xml:space="preserve"> </w:t>
      </w:r>
      <w:r w:rsidR="00130471" w:rsidRPr="00775F6B">
        <w:rPr>
          <w:lang w:val="ru-RU"/>
        </w:rPr>
        <w:t>(</w:t>
      </w:r>
      <w:r w:rsidR="00130471">
        <w:t>CRESPIAL</w:t>
      </w:r>
      <w:r w:rsidR="00130471" w:rsidRPr="00775F6B">
        <w:rPr>
          <w:lang w:val="ru-RU"/>
        </w:rPr>
        <w:t xml:space="preserve">), </w:t>
      </w:r>
      <w:r w:rsidR="00775F6B">
        <w:rPr>
          <w:lang w:val="ru-RU"/>
        </w:rPr>
        <w:t xml:space="preserve">Международным институтом высшего образования в Латинской Америке и Карибском бассейне ЮНЕСКО </w:t>
      </w:r>
      <w:r w:rsidR="00E2651D" w:rsidRPr="00775F6B">
        <w:rPr>
          <w:lang w:val="ru-RU"/>
        </w:rPr>
        <w:t>(</w:t>
      </w:r>
      <w:r w:rsidR="00E2651D">
        <w:t>IESALC</w:t>
      </w:r>
      <w:r w:rsidR="00E2651D" w:rsidRPr="00775F6B">
        <w:rPr>
          <w:lang w:val="ru-RU"/>
        </w:rPr>
        <w:t xml:space="preserve">) </w:t>
      </w:r>
      <w:r w:rsidR="00E2651D">
        <w:rPr>
          <w:lang w:val="ru-RU"/>
        </w:rPr>
        <w:t>и</w:t>
      </w:r>
      <w:r w:rsidR="00E719D8">
        <w:rPr>
          <w:lang w:val="ru-RU"/>
        </w:rPr>
        <w:t xml:space="preserve"> Латиноамериканским институтом социальных наук </w:t>
      </w:r>
      <w:r w:rsidR="00E719D8" w:rsidRPr="00775F6B">
        <w:rPr>
          <w:lang w:val="ru-RU"/>
        </w:rPr>
        <w:t>(</w:t>
      </w:r>
      <w:r w:rsidR="00E719D8">
        <w:t>FLACSO</w:t>
      </w:r>
      <w:r w:rsidR="00E719D8" w:rsidRPr="00775F6B">
        <w:rPr>
          <w:lang w:val="ru-RU"/>
        </w:rPr>
        <w:t>)</w:t>
      </w:r>
      <w:r w:rsidR="00E719D8" w:rsidRPr="00775F6B">
        <w:rPr>
          <w:rFonts w:eastAsia="Times New Roman"/>
          <w:lang w:val="ru-RU"/>
        </w:rPr>
        <w:t>.</w:t>
      </w:r>
      <w:r w:rsidR="00E2094E" w:rsidRPr="00775F6B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При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проведении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подобного</w:t>
      </w:r>
      <w:r w:rsidR="0043447E" w:rsidRPr="00F4076A">
        <w:rPr>
          <w:rFonts w:eastAsia="Times New Roman"/>
          <w:lang w:val="ru-RU"/>
        </w:rPr>
        <w:t xml:space="preserve"> </w:t>
      </w:r>
      <w:r w:rsidR="003B06BA">
        <w:rPr>
          <w:rFonts w:eastAsia="Times New Roman"/>
          <w:lang w:val="ru-RU"/>
        </w:rPr>
        <w:t>исследования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в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Европе</w:t>
      </w:r>
      <w:r w:rsidR="0043447E" w:rsidRPr="00F4076A">
        <w:rPr>
          <w:rFonts w:eastAsia="Times New Roman"/>
          <w:lang w:val="ru-RU"/>
        </w:rPr>
        <w:t xml:space="preserve">, </w:t>
      </w:r>
      <w:r w:rsidR="0043447E">
        <w:rPr>
          <w:rFonts w:eastAsia="Times New Roman"/>
          <w:lang w:val="ru-RU"/>
        </w:rPr>
        <w:t>которое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финансировалось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из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Программы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участия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ЮНЕСКО</w:t>
      </w:r>
      <w:r w:rsidR="0043447E" w:rsidRPr="00F4076A">
        <w:rPr>
          <w:rFonts w:eastAsia="Times New Roman"/>
          <w:lang w:val="ru-RU"/>
        </w:rPr>
        <w:t xml:space="preserve">, </w:t>
      </w:r>
      <w:r w:rsidR="0043447E">
        <w:rPr>
          <w:rFonts w:eastAsia="Times New Roman"/>
          <w:lang w:val="ru-RU"/>
        </w:rPr>
        <w:t>партнером</w:t>
      </w:r>
      <w:r w:rsidR="0043447E" w:rsidRPr="00F4076A">
        <w:rPr>
          <w:rFonts w:eastAsia="Times New Roman"/>
          <w:lang w:val="ru-RU"/>
        </w:rPr>
        <w:t xml:space="preserve"> </w:t>
      </w:r>
      <w:r w:rsidR="0043447E">
        <w:rPr>
          <w:rFonts w:eastAsia="Times New Roman"/>
          <w:lang w:val="ru-RU"/>
        </w:rPr>
        <w:t>выступил</w:t>
      </w:r>
      <w:r w:rsidR="00F4076A">
        <w:rPr>
          <w:rFonts w:eastAsia="Times New Roman"/>
          <w:lang w:val="ru-RU"/>
        </w:rPr>
        <w:t xml:space="preserve">а Европейская сеть учебных центров </w:t>
      </w:r>
      <w:r w:rsidR="00FF197B">
        <w:rPr>
          <w:rFonts w:eastAsia="Times New Roman"/>
          <w:lang w:val="ru-RU"/>
        </w:rPr>
        <w:t xml:space="preserve">по менеджменту и администрированию в области культуры и искусства </w:t>
      </w:r>
      <w:r w:rsidR="00C902E0" w:rsidRPr="00F4076A">
        <w:rPr>
          <w:rFonts w:eastAsia="Times New Roman"/>
          <w:lang w:val="ru-RU"/>
        </w:rPr>
        <w:t>(</w:t>
      </w:r>
      <w:r w:rsidR="00C902E0" w:rsidRPr="00CB369A">
        <w:rPr>
          <w:rFonts w:eastAsia="Times New Roman"/>
        </w:rPr>
        <w:t>ENCATC</w:t>
      </w:r>
      <w:r w:rsidR="00C902E0" w:rsidRPr="00F4076A">
        <w:rPr>
          <w:rFonts w:eastAsia="Times New Roman"/>
          <w:lang w:val="ru-RU"/>
        </w:rPr>
        <w:t>)</w:t>
      </w:r>
      <w:r w:rsidR="00FF197B">
        <w:rPr>
          <w:rFonts w:eastAsia="Times New Roman"/>
          <w:lang w:val="ru-RU"/>
        </w:rPr>
        <w:t>.</w:t>
      </w:r>
    </w:p>
    <w:p w:rsidR="00C902E0" w:rsidRPr="00FF1667" w:rsidRDefault="00C902E0" w:rsidP="00430A07">
      <w:pPr>
        <w:pStyle w:val="COMPara"/>
        <w:keepNext/>
        <w:spacing w:before="240"/>
        <w:ind w:left="0" w:firstLine="0"/>
        <w:jc w:val="both"/>
        <w:rPr>
          <w:b/>
          <w:caps/>
          <w:lang w:val="en-US"/>
        </w:rPr>
      </w:pPr>
      <w:r>
        <w:rPr>
          <w:b/>
          <w:caps/>
          <w:lang w:val="ru-RU"/>
        </w:rPr>
        <w:t>нематериальное культурное наследие и образование</w:t>
      </w:r>
    </w:p>
    <w:p w:rsidR="00C902E0" w:rsidRPr="00AF711B" w:rsidRDefault="002C459A" w:rsidP="00430A07">
      <w:pPr>
        <w:pStyle w:val="COMPara"/>
        <w:numPr>
          <w:ilvl w:val="0"/>
          <w:numId w:val="10"/>
        </w:numPr>
        <w:ind w:left="567" w:hanging="567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Для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того</w:t>
      </w:r>
      <w:r w:rsidRPr="0021170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</w:t>
      </w:r>
      <w:r w:rsidR="00D620ED">
        <w:rPr>
          <w:rFonts w:eastAsia="Times New Roman"/>
          <w:lang w:val="ru-RU"/>
        </w:rPr>
        <w:t>тобы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уделить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должное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внимание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статьям</w:t>
      </w:r>
      <w:r w:rsidR="00D620ED" w:rsidRPr="00211708">
        <w:rPr>
          <w:rFonts w:eastAsia="Times New Roman"/>
          <w:lang w:val="ru-RU"/>
        </w:rPr>
        <w:t xml:space="preserve"> </w:t>
      </w:r>
      <w:r w:rsidR="00C902E0" w:rsidRPr="00211708">
        <w:rPr>
          <w:rFonts w:eastAsia="Times New Roman"/>
          <w:lang w:val="ru-RU"/>
        </w:rPr>
        <w:t xml:space="preserve">2.3 </w:t>
      </w:r>
      <w:r w:rsidR="00D620ED">
        <w:rPr>
          <w:rFonts w:eastAsia="Times New Roman"/>
          <w:lang w:val="ru-RU"/>
        </w:rPr>
        <w:t>и</w:t>
      </w:r>
      <w:r w:rsidR="00C902E0" w:rsidRPr="00211708">
        <w:rPr>
          <w:rFonts w:eastAsia="Times New Roman"/>
          <w:lang w:val="ru-RU"/>
        </w:rPr>
        <w:t xml:space="preserve"> 14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Конвенции</w:t>
      </w:r>
      <w:r w:rsidR="00D620ED" w:rsidRPr="00211708">
        <w:rPr>
          <w:rFonts w:eastAsia="Times New Roman"/>
          <w:lang w:val="ru-RU"/>
        </w:rPr>
        <w:t xml:space="preserve">, </w:t>
      </w:r>
      <w:r w:rsidR="00D620ED" w:rsidRPr="002C459A">
        <w:rPr>
          <w:rFonts w:eastAsia="Times New Roman"/>
          <w:lang w:val="ru-RU"/>
        </w:rPr>
        <w:t>Сек</w:t>
      </w:r>
      <w:r w:rsidR="00D620ED">
        <w:rPr>
          <w:rFonts w:eastAsia="Times New Roman"/>
          <w:lang w:val="ru-RU"/>
        </w:rPr>
        <w:t>ретариат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наладил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партнерские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отношения</w:t>
      </w:r>
      <w:r w:rsidR="00D620ED" w:rsidRPr="00211708">
        <w:rPr>
          <w:rFonts w:eastAsia="Times New Roman"/>
          <w:lang w:val="ru-RU"/>
        </w:rPr>
        <w:t xml:space="preserve"> </w:t>
      </w:r>
      <w:r w:rsidR="00D620ED">
        <w:rPr>
          <w:rFonts w:eastAsia="Times New Roman"/>
          <w:lang w:val="ru-RU"/>
        </w:rPr>
        <w:t>с</w:t>
      </w:r>
      <w:r w:rsidR="00D620ED"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образовательными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учреждениями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целью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оказания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им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поддержки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деле</w:t>
      </w:r>
      <w:r w:rsidRPr="0021170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интеграции</w:t>
      </w:r>
      <w:r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передачи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нематериального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культурного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наследия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и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уважения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к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нему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в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формальное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и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неформальное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образование</w:t>
      </w:r>
      <w:r w:rsidR="00211708" w:rsidRPr="00211708">
        <w:rPr>
          <w:rFonts w:eastAsia="Times New Roman"/>
          <w:lang w:val="ru-RU"/>
        </w:rPr>
        <w:t xml:space="preserve">, </w:t>
      </w:r>
      <w:r w:rsidR="00211708">
        <w:rPr>
          <w:rFonts w:eastAsia="Times New Roman"/>
          <w:lang w:val="ru-RU"/>
        </w:rPr>
        <w:t>в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соответствии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с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мерами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по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охране</w:t>
      </w:r>
      <w:r w:rsidR="00211708" w:rsidRPr="00211708">
        <w:rPr>
          <w:rFonts w:eastAsia="Times New Roman"/>
          <w:lang w:val="ru-RU"/>
        </w:rPr>
        <w:t xml:space="preserve">, </w:t>
      </w:r>
      <w:r w:rsidR="00211708">
        <w:rPr>
          <w:rFonts w:eastAsia="Times New Roman"/>
          <w:lang w:val="ru-RU"/>
        </w:rPr>
        <w:t>перечисленными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в</w:t>
      </w:r>
      <w:r w:rsidR="00211708" w:rsidRPr="00211708">
        <w:rPr>
          <w:rFonts w:eastAsia="Times New Roman"/>
          <w:lang w:val="ru-RU"/>
        </w:rPr>
        <w:t xml:space="preserve"> </w:t>
      </w:r>
      <w:r w:rsidR="00211708">
        <w:rPr>
          <w:rFonts w:eastAsia="Times New Roman"/>
          <w:lang w:val="ru-RU"/>
        </w:rPr>
        <w:t>Конвенции</w:t>
      </w:r>
      <w:r w:rsidR="00211708" w:rsidRPr="00211708">
        <w:rPr>
          <w:rFonts w:eastAsia="Times New Roman"/>
          <w:lang w:val="ru-RU"/>
        </w:rPr>
        <w:t>.</w:t>
      </w:r>
      <w:r w:rsidR="00C902E0" w:rsidRPr="00211708">
        <w:rPr>
          <w:rStyle w:val="hps"/>
          <w:lang w:val="ru-RU"/>
        </w:rPr>
        <w:t xml:space="preserve"> </w:t>
      </w:r>
      <w:r w:rsidR="00211708">
        <w:rPr>
          <w:rStyle w:val="hps"/>
          <w:lang w:val="ru-RU"/>
        </w:rPr>
        <w:t>По</w:t>
      </w:r>
      <w:r w:rsidR="00211708" w:rsidRPr="00E2387B">
        <w:rPr>
          <w:rStyle w:val="hps"/>
          <w:lang w:val="ru-RU"/>
        </w:rPr>
        <w:t xml:space="preserve"> </w:t>
      </w:r>
      <w:r w:rsidR="00211708">
        <w:rPr>
          <w:rStyle w:val="hps"/>
          <w:lang w:val="ru-RU"/>
        </w:rPr>
        <w:t>результатам</w:t>
      </w:r>
      <w:r w:rsidR="00211708" w:rsidRPr="00E2387B">
        <w:rPr>
          <w:rStyle w:val="hps"/>
          <w:lang w:val="ru-RU"/>
        </w:rPr>
        <w:t xml:space="preserve"> </w:t>
      </w:r>
      <w:r w:rsidR="001F00CA">
        <w:rPr>
          <w:rStyle w:val="hps"/>
          <w:lang w:val="ru-RU"/>
        </w:rPr>
        <w:t>дискуссии</w:t>
      </w:r>
      <w:r w:rsidR="001F00CA" w:rsidRPr="00E2387B">
        <w:rPr>
          <w:rStyle w:val="hps"/>
          <w:lang w:val="ru-RU"/>
        </w:rPr>
        <w:t xml:space="preserve"> </w:t>
      </w:r>
      <w:r w:rsidR="001F00CA">
        <w:rPr>
          <w:rStyle w:val="hps"/>
          <w:lang w:val="ru-RU"/>
        </w:rPr>
        <w:t>за</w:t>
      </w:r>
      <w:r w:rsidR="001F00CA" w:rsidRPr="00E2387B">
        <w:rPr>
          <w:rStyle w:val="hps"/>
          <w:lang w:val="ru-RU"/>
        </w:rPr>
        <w:t xml:space="preserve"> </w:t>
      </w:r>
      <w:r w:rsidR="00211708">
        <w:rPr>
          <w:rStyle w:val="hps"/>
          <w:lang w:val="ru-RU"/>
        </w:rPr>
        <w:t>кругл</w:t>
      </w:r>
      <w:r w:rsidR="001F00CA">
        <w:rPr>
          <w:rStyle w:val="hps"/>
          <w:lang w:val="ru-RU"/>
        </w:rPr>
        <w:t>ым</w:t>
      </w:r>
      <w:r w:rsidR="00211708" w:rsidRPr="00E2387B">
        <w:rPr>
          <w:rStyle w:val="hps"/>
          <w:lang w:val="ru-RU"/>
        </w:rPr>
        <w:t xml:space="preserve"> </w:t>
      </w:r>
      <w:r w:rsidR="00211708">
        <w:rPr>
          <w:rStyle w:val="hps"/>
          <w:lang w:val="ru-RU"/>
        </w:rPr>
        <w:t>стол</w:t>
      </w:r>
      <w:r w:rsidR="001F00CA">
        <w:rPr>
          <w:rStyle w:val="hps"/>
          <w:lang w:val="ru-RU"/>
        </w:rPr>
        <w:t>ом</w:t>
      </w:r>
      <w:r w:rsidR="001F00CA" w:rsidRPr="00E2387B">
        <w:rPr>
          <w:rStyle w:val="hps"/>
          <w:lang w:val="ru-RU"/>
        </w:rPr>
        <w:t xml:space="preserve">, </w:t>
      </w:r>
      <w:r w:rsidR="001F00CA" w:rsidRPr="004A2C19">
        <w:rPr>
          <w:rStyle w:val="hps"/>
          <w:lang w:val="ru-RU"/>
        </w:rPr>
        <w:t>органи</w:t>
      </w:r>
      <w:r w:rsidR="001F00CA">
        <w:rPr>
          <w:rStyle w:val="hps"/>
          <w:lang w:val="ru-RU"/>
        </w:rPr>
        <w:t>зованной</w:t>
      </w:r>
      <w:r w:rsidR="001F00CA" w:rsidRPr="00E2387B">
        <w:rPr>
          <w:rStyle w:val="hps"/>
          <w:lang w:val="ru-RU"/>
        </w:rPr>
        <w:t xml:space="preserve"> </w:t>
      </w:r>
      <w:r w:rsidR="001F00CA">
        <w:rPr>
          <w:rStyle w:val="hps"/>
          <w:lang w:val="ru-RU"/>
        </w:rPr>
        <w:t>Международным</w:t>
      </w:r>
      <w:r w:rsidR="001F00CA" w:rsidRPr="00E2387B">
        <w:rPr>
          <w:rStyle w:val="hps"/>
          <w:lang w:val="ru-RU"/>
        </w:rPr>
        <w:t xml:space="preserve"> </w:t>
      </w:r>
      <w:r w:rsidR="001F00CA">
        <w:rPr>
          <w:rStyle w:val="hps"/>
          <w:lang w:val="ru-RU"/>
        </w:rPr>
        <w:t>институтом</w:t>
      </w:r>
      <w:r w:rsidR="001F00CA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ЮНЕСКО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по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укреплению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потенциала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в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области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образования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в</w:t>
      </w:r>
      <w:r w:rsidR="004A2C19" w:rsidRPr="00E2387B">
        <w:rPr>
          <w:rStyle w:val="hps"/>
          <w:lang w:val="ru-RU"/>
        </w:rPr>
        <w:t xml:space="preserve"> </w:t>
      </w:r>
      <w:r w:rsidR="004A2C19">
        <w:rPr>
          <w:rStyle w:val="hps"/>
          <w:lang w:val="ru-RU"/>
        </w:rPr>
        <w:t>Африке</w:t>
      </w:r>
      <w:r w:rsidR="00211708" w:rsidRPr="00E2387B">
        <w:rPr>
          <w:rStyle w:val="hps"/>
          <w:lang w:val="ru-RU"/>
        </w:rPr>
        <w:t xml:space="preserve"> </w:t>
      </w:r>
      <w:r w:rsidR="00C902E0" w:rsidRPr="00E2387B">
        <w:rPr>
          <w:lang w:val="ru-RU"/>
        </w:rPr>
        <w:t>(</w:t>
      </w:r>
      <w:r w:rsidR="00C902E0" w:rsidRPr="0032638E">
        <w:t>IICBA</w:t>
      </w:r>
      <w:r w:rsidR="00C902E0" w:rsidRPr="00E2387B">
        <w:rPr>
          <w:lang w:val="ru-RU"/>
        </w:rPr>
        <w:t>)</w:t>
      </w:r>
      <w:r w:rsidR="004A2C19" w:rsidRPr="00E2387B">
        <w:rPr>
          <w:lang w:val="ru-RU"/>
        </w:rPr>
        <w:t xml:space="preserve">, </w:t>
      </w:r>
      <w:r w:rsidR="004A2C19">
        <w:rPr>
          <w:lang w:val="ru-RU"/>
        </w:rPr>
        <w:t>на</w:t>
      </w:r>
      <w:r w:rsidR="004A2C19" w:rsidRPr="00E2387B">
        <w:rPr>
          <w:lang w:val="ru-RU"/>
        </w:rPr>
        <w:t xml:space="preserve"> </w:t>
      </w:r>
      <w:r w:rsidR="004A2C19">
        <w:rPr>
          <w:lang w:val="ru-RU"/>
        </w:rPr>
        <w:t>одиннадцатой</w:t>
      </w:r>
      <w:r w:rsidR="004A2C19" w:rsidRPr="00E2387B">
        <w:rPr>
          <w:lang w:val="ru-RU"/>
        </w:rPr>
        <w:t xml:space="preserve"> </w:t>
      </w:r>
      <w:r w:rsidR="004A2C19">
        <w:rPr>
          <w:lang w:val="ru-RU"/>
        </w:rPr>
        <w:t>сессии</w:t>
      </w:r>
      <w:r w:rsidR="004A2C19" w:rsidRPr="00E2387B">
        <w:rPr>
          <w:lang w:val="ru-RU"/>
        </w:rPr>
        <w:t xml:space="preserve"> </w:t>
      </w:r>
      <w:r w:rsidR="004A2C19">
        <w:rPr>
          <w:lang w:val="ru-RU"/>
        </w:rPr>
        <w:t>Комитета</w:t>
      </w:r>
      <w:r w:rsidR="004A2C19" w:rsidRPr="00E2387B">
        <w:rPr>
          <w:lang w:val="ru-RU"/>
        </w:rPr>
        <w:t xml:space="preserve"> </w:t>
      </w:r>
      <w:r w:rsidR="00E2387B">
        <w:rPr>
          <w:lang w:val="ru-RU"/>
        </w:rPr>
        <w:t>в</w:t>
      </w:r>
      <w:r w:rsidR="00E2387B" w:rsidRPr="00E2387B">
        <w:rPr>
          <w:lang w:val="ru-RU"/>
        </w:rPr>
        <w:t xml:space="preserve"> </w:t>
      </w:r>
      <w:r w:rsidR="00E2387B">
        <w:rPr>
          <w:lang w:val="ru-RU"/>
        </w:rPr>
        <w:t>мае</w:t>
      </w:r>
      <w:r w:rsidR="00E2387B" w:rsidRPr="00E2387B">
        <w:rPr>
          <w:lang w:val="ru-RU"/>
        </w:rPr>
        <w:t xml:space="preserve"> 2017</w:t>
      </w:r>
      <w:r w:rsidR="00E2387B" w:rsidRPr="00E2387B">
        <w:rPr>
          <w:lang w:val="en-US"/>
        </w:rPr>
        <w:t> </w:t>
      </w:r>
      <w:r w:rsidR="00E2387B">
        <w:rPr>
          <w:lang w:val="ru-RU"/>
        </w:rPr>
        <w:t>г</w:t>
      </w:r>
      <w:r w:rsidR="00E2387B" w:rsidRPr="00E2387B">
        <w:rPr>
          <w:lang w:val="ru-RU"/>
        </w:rPr>
        <w:t xml:space="preserve">. </w:t>
      </w:r>
      <w:r w:rsidR="00247509">
        <w:rPr>
          <w:lang w:val="ru-RU"/>
        </w:rPr>
        <w:t>в</w:t>
      </w:r>
      <w:r w:rsidR="00E2387B">
        <w:rPr>
          <w:lang w:val="ru-RU"/>
        </w:rPr>
        <w:t xml:space="preserve"> штаб-квартире ЮНЕСКО было</w:t>
      </w:r>
      <w:r w:rsidR="00E2387B" w:rsidRPr="00E2387B">
        <w:rPr>
          <w:lang w:val="ru-RU"/>
        </w:rPr>
        <w:t xml:space="preserve"> </w:t>
      </w:r>
      <w:r w:rsidR="00247509">
        <w:rPr>
          <w:lang w:val="ru-RU"/>
        </w:rPr>
        <w:t xml:space="preserve">созвано </w:t>
      </w:r>
      <w:proofErr w:type="spellStart"/>
      <w:r w:rsidR="00247509">
        <w:rPr>
          <w:lang w:val="ru-RU"/>
        </w:rPr>
        <w:t>межсекторальное</w:t>
      </w:r>
      <w:proofErr w:type="spellEnd"/>
      <w:r w:rsidR="00247509">
        <w:rPr>
          <w:lang w:val="ru-RU"/>
        </w:rPr>
        <w:t xml:space="preserve"> совещание с участием Сектора образования и представителей центров категории 1 ЮНЕСКО, специализирующихся в области образования. </w:t>
      </w:r>
      <w:r w:rsidR="003344BF">
        <w:rPr>
          <w:lang w:val="ru-RU"/>
        </w:rPr>
        <w:t>Результатом</w:t>
      </w:r>
      <w:r w:rsidR="003344BF" w:rsidRPr="00F13685">
        <w:rPr>
          <w:lang w:val="ru-RU"/>
        </w:rPr>
        <w:t xml:space="preserve"> </w:t>
      </w:r>
      <w:r w:rsidR="003344BF">
        <w:rPr>
          <w:lang w:val="ru-RU"/>
        </w:rPr>
        <w:t>встречи</w:t>
      </w:r>
      <w:r w:rsidR="003344BF" w:rsidRPr="00F13685">
        <w:rPr>
          <w:lang w:val="ru-RU"/>
        </w:rPr>
        <w:t xml:space="preserve"> </w:t>
      </w:r>
      <w:r w:rsidR="00C351A7">
        <w:rPr>
          <w:lang w:val="ru-RU"/>
        </w:rPr>
        <w:t>стало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общее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понимание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взаимосвязи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между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нематериальным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культурным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наследием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и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образованием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и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того</w:t>
      </w:r>
      <w:r w:rsidR="00C351A7" w:rsidRPr="00F13685">
        <w:rPr>
          <w:lang w:val="ru-RU"/>
        </w:rPr>
        <w:t xml:space="preserve">, </w:t>
      </w:r>
      <w:r w:rsidR="00C351A7">
        <w:rPr>
          <w:lang w:val="ru-RU"/>
        </w:rPr>
        <w:t>как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интеграция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нематериального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культурного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наследия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в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образование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для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всех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возрастных</w:t>
      </w:r>
      <w:r w:rsidR="00C351A7" w:rsidRPr="00F13685">
        <w:rPr>
          <w:lang w:val="ru-RU"/>
        </w:rPr>
        <w:t xml:space="preserve"> </w:t>
      </w:r>
      <w:r w:rsidR="00C351A7">
        <w:rPr>
          <w:lang w:val="ru-RU"/>
        </w:rPr>
        <w:t>групп</w:t>
      </w:r>
      <w:r w:rsidR="00C351A7" w:rsidRPr="00F13685">
        <w:rPr>
          <w:lang w:val="ru-RU"/>
        </w:rPr>
        <w:t xml:space="preserve"> </w:t>
      </w:r>
      <w:r w:rsidR="00F13685">
        <w:rPr>
          <w:lang w:val="ru-RU"/>
        </w:rPr>
        <w:t>и</w:t>
      </w:r>
      <w:r w:rsidR="00F13685" w:rsidRPr="00F13685">
        <w:rPr>
          <w:lang w:val="ru-RU"/>
        </w:rPr>
        <w:t xml:space="preserve"> </w:t>
      </w:r>
      <w:r w:rsidR="00F13685">
        <w:rPr>
          <w:lang w:val="ru-RU"/>
        </w:rPr>
        <w:t>ситуаций</w:t>
      </w:r>
      <w:r w:rsidR="00F13685" w:rsidRPr="00F13685">
        <w:rPr>
          <w:lang w:val="ru-RU"/>
        </w:rPr>
        <w:t xml:space="preserve"> </w:t>
      </w:r>
      <w:r w:rsidR="00F13685">
        <w:rPr>
          <w:lang w:val="ru-RU"/>
        </w:rPr>
        <w:t>может</w:t>
      </w:r>
      <w:r w:rsidR="00F13685" w:rsidRPr="00F13685">
        <w:rPr>
          <w:lang w:val="ru-RU"/>
        </w:rPr>
        <w:t xml:space="preserve"> </w:t>
      </w:r>
      <w:r w:rsidR="00F13685">
        <w:rPr>
          <w:lang w:val="ru-RU"/>
        </w:rPr>
        <w:t xml:space="preserve">способствовать достижению цели </w:t>
      </w:r>
      <w:r w:rsidR="00BE0622">
        <w:rPr>
          <w:lang w:val="ru-RU"/>
        </w:rPr>
        <w:t>4 в области устойчивого развития, касающейся качества образования. В</w:t>
      </w:r>
      <w:r w:rsidR="00BE0622" w:rsidRPr="00AF711B">
        <w:rPr>
          <w:lang w:val="ru-RU"/>
        </w:rPr>
        <w:t xml:space="preserve"> </w:t>
      </w:r>
      <w:r w:rsidR="00BE0622">
        <w:rPr>
          <w:lang w:val="ru-RU"/>
        </w:rPr>
        <w:t>рамках</w:t>
      </w:r>
      <w:r w:rsidR="00BE0622" w:rsidRPr="00AF711B">
        <w:rPr>
          <w:lang w:val="ru-RU"/>
        </w:rPr>
        <w:t xml:space="preserve"> </w:t>
      </w:r>
      <w:r w:rsidR="00BE0622">
        <w:rPr>
          <w:lang w:val="ru-RU"/>
        </w:rPr>
        <w:t>будущей</w:t>
      </w:r>
      <w:r w:rsidR="00BE0622" w:rsidRPr="00AF711B">
        <w:rPr>
          <w:lang w:val="ru-RU"/>
        </w:rPr>
        <w:t xml:space="preserve"> </w:t>
      </w:r>
      <w:r w:rsidR="00BE0622">
        <w:rPr>
          <w:lang w:val="ru-RU"/>
        </w:rPr>
        <w:t>работы</w:t>
      </w:r>
      <w:r w:rsidR="00BE0622" w:rsidRPr="00AF711B">
        <w:rPr>
          <w:lang w:val="ru-RU"/>
        </w:rPr>
        <w:t>,</w:t>
      </w:r>
      <w:r w:rsidR="00336B1C">
        <w:rPr>
          <w:lang w:val="ru-RU"/>
        </w:rPr>
        <w:t xml:space="preserve"> </w:t>
      </w:r>
      <w:r w:rsidR="0007096B">
        <w:rPr>
          <w:lang w:val="ru-RU"/>
        </w:rPr>
        <w:t>которая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будет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проводиться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в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партнерстве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с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Сектором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образования</w:t>
      </w:r>
      <w:r w:rsidR="0007096B" w:rsidRPr="00AF711B">
        <w:rPr>
          <w:lang w:val="ru-RU"/>
        </w:rPr>
        <w:t xml:space="preserve">, </w:t>
      </w:r>
      <w:r w:rsidR="0007096B">
        <w:rPr>
          <w:lang w:val="ru-RU"/>
        </w:rPr>
        <w:t>Комитет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на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двенадцатой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сессии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утвердил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второй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приоритет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финансирования</w:t>
      </w:r>
      <w:r w:rsidR="0007096B" w:rsidRPr="00AF711B">
        <w:rPr>
          <w:lang w:val="ru-RU"/>
        </w:rPr>
        <w:t xml:space="preserve">, </w:t>
      </w:r>
      <w:r w:rsidR="0007096B">
        <w:rPr>
          <w:lang w:val="ru-RU"/>
        </w:rPr>
        <w:t>посвященный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охране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нематериального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культурного</w:t>
      </w:r>
      <w:r w:rsidR="0007096B" w:rsidRPr="00AF711B">
        <w:rPr>
          <w:lang w:val="ru-RU"/>
        </w:rPr>
        <w:t xml:space="preserve"> </w:t>
      </w:r>
      <w:r w:rsidR="0007096B">
        <w:rPr>
          <w:lang w:val="ru-RU"/>
        </w:rPr>
        <w:t>наследия</w:t>
      </w:r>
      <w:r w:rsidR="0007096B" w:rsidRPr="00AF711B">
        <w:rPr>
          <w:lang w:val="ru-RU"/>
        </w:rPr>
        <w:t xml:space="preserve"> </w:t>
      </w:r>
      <w:r w:rsidR="00336B1C">
        <w:rPr>
          <w:lang w:val="ru-RU"/>
        </w:rPr>
        <w:t>через</w:t>
      </w:r>
      <w:r w:rsidR="00AF711B" w:rsidRPr="00AF711B">
        <w:rPr>
          <w:lang w:val="ru-RU"/>
        </w:rPr>
        <w:t xml:space="preserve"> </w:t>
      </w:r>
      <w:r w:rsidR="00AF711B">
        <w:rPr>
          <w:lang w:val="ru-RU"/>
        </w:rPr>
        <w:t>формально</w:t>
      </w:r>
      <w:r w:rsidR="00336B1C">
        <w:rPr>
          <w:lang w:val="ru-RU"/>
        </w:rPr>
        <w:t>е</w:t>
      </w:r>
      <w:r w:rsidR="00AF711B" w:rsidRPr="00AF711B">
        <w:rPr>
          <w:lang w:val="ru-RU"/>
        </w:rPr>
        <w:t xml:space="preserve"> </w:t>
      </w:r>
      <w:r w:rsidR="00AF711B">
        <w:rPr>
          <w:lang w:val="ru-RU"/>
        </w:rPr>
        <w:t>и неформально</w:t>
      </w:r>
      <w:r w:rsidR="00336B1C">
        <w:rPr>
          <w:lang w:val="ru-RU"/>
        </w:rPr>
        <w:t>е</w:t>
      </w:r>
      <w:r w:rsidR="00AF711B">
        <w:rPr>
          <w:lang w:val="ru-RU"/>
        </w:rPr>
        <w:t xml:space="preserve"> образовани</w:t>
      </w:r>
      <w:r w:rsidR="00336B1C">
        <w:rPr>
          <w:lang w:val="ru-RU"/>
        </w:rPr>
        <w:t>е</w:t>
      </w:r>
      <w:r w:rsidR="00AF711B">
        <w:rPr>
          <w:lang w:val="ru-RU"/>
        </w:rPr>
        <w:t xml:space="preserve"> </w:t>
      </w:r>
      <w:r w:rsidR="00C902E0" w:rsidRPr="00AF711B">
        <w:rPr>
          <w:lang w:val="ru-RU"/>
        </w:rPr>
        <w:t>(</w:t>
      </w:r>
      <w:r w:rsidR="00C902E0">
        <w:rPr>
          <w:lang w:val="ru-RU"/>
        </w:rPr>
        <w:t>решение</w:t>
      </w:r>
      <w:r w:rsidR="00C902E0" w:rsidRPr="00AF711B">
        <w:rPr>
          <w:lang w:val="ru-RU"/>
        </w:rPr>
        <w:t xml:space="preserve"> </w:t>
      </w:r>
      <w:hyperlink r:id="rId30" w:history="1">
        <w:r w:rsidR="00C902E0" w:rsidRPr="00AF711B">
          <w:rPr>
            <w:rStyle w:val="Hyperlink"/>
            <w:rFonts w:cs="Arial"/>
            <w:lang w:val="ru-RU"/>
          </w:rPr>
          <w:t>12.</w:t>
        </w:r>
        <w:r w:rsidR="00C902E0" w:rsidRPr="00D972C1">
          <w:rPr>
            <w:rStyle w:val="Hyperlink"/>
            <w:rFonts w:cs="Arial"/>
          </w:rPr>
          <w:t>COM</w:t>
        </w:r>
        <w:r w:rsidR="001C517C">
          <w:rPr>
            <w:rStyle w:val="Hyperlink"/>
            <w:rFonts w:cs="Arial"/>
            <w:lang w:val="en-US"/>
          </w:rPr>
          <w:t> </w:t>
        </w:r>
        <w:r w:rsidR="00C902E0" w:rsidRPr="00AF711B">
          <w:rPr>
            <w:rStyle w:val="Hyperlink"/>
            <w:rFonts w:cs="Arial"/>
            <w:lang w:val="ru-RU"/>
          </w:rPr>
          <w:t>6</w:t>
        </w:r>
      </w:hyperlink>
      <w:r w:rsidR="00C902E0" w:rsidRPr="00AF711B">
        <w:rPr>
          <w:rFonts w:cs="Times New Roman"/>
          <w:lang w:val="ru-RU"/>
        </w:rPr>
        <w:t>)</w:t>
      </w:r>
      <w:r w:rsidR="001C517C">
        <w:rPr>
          <w:lang w:val="ru-RU"/>
        </w:rPr>
        <w:t>.</w:t>
      </w:r>
    </w:p>
    <w:p w:rsidR="00C902E0" w:rsidRPr="0058237D" w:rsidRDefault="0058237D" w:rsidP="00430A07">
      <w:pPr>
        <w:pStyle w:val="COMPara"/>
        <w:keepNext/>
        <w:spacing w:before="240"/>
        <w:ind w:left="0" w:firstLine="0"/>
        <w:jc w:val="both"/>
        <w:rPr>
          <w:lang w:val="ru-RU"/>
        </w:rPr>
      </w:pPr>
      <w:r>
        <w:rPr>
          <w:b/>
          <w:caps/>
          <w:lang w:val="ru-RU"/>
        </w:rPr>
        <w:lastRenderedPageBreak/>
        <w:t>нематериальное культурное наследие в чрезвычайных ситуациях</w:t>
      </w:r>
    </w:p>
    <w:p w:rsidR="00C902E0" w:rsidRPr="0079668D" w:rsidRDefault="0058237D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Секретариату</w:t>
      </w:r>
      <w:r w:rsidRPr="00E1254D">
        <w:rPr>
          <w:lang w:val="ru-RU"/>
        </w:rPr>
        <w:t xml:space="preserve"> </w:t>
      </w:r>
      <w:r>
        <w:rPr>
          <w:lang w:val="ru-RU"/>
        </w:rPr>
        <w:t>все</w:t>
      </w:r>
      <w:r w:rsidRPr="00E1254D">
        <w:rPr>
          <w:lang w:val="ru-RU"/>
        </w:rPr>
        <w:t xml:space="preserve"> </w:t>
      </w:r>
      <w:r>
        <w:rPr>
          <w:lang w:val="ru-RU"/>
        </w:rPr>
        <w:t>чаще</w:t>
      </w:r>
      <w:r w:rsidRPr="00E1254D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E1254D">
        <w:rPr>
          <w:lang w:val="ru-RU"/>
        </w:rPr>
        <w:t xml:space="preserve"> </w:t>
      </w:r>
      <w:r>
        <w:rPr>
          <w:lang w:val="ru-RU"/>
        </w:rPr>
        <w:t>внести</w:t>
      </w:r>
      <w:r w:rsidRPr="00E1254D">
        <w:rPr>
          <w:lang w:val="ru-RU"/>
        </w:rPr>
        <w:t xml:space="preserve"> </w:t>
      </w:r>
      <w:r>
        <w:rPr>
          <w:lang w:val="ru-RU"/>
        </w:rPr>
        <w:t>вклад</w:t>
      </w:r>
      <w:r w:rsidRPr="00E1254D">
        <w:rPr>
          <w:lang w:val="ru-RU"/>
        </w:rPr>
        <w:t xml:space="preserve"> </w:t>
      </w:r>
      <w:r>
        <w:rPr>
          <w:lang w:val="ru-RU"/>
        </w:rPr>
        <w:t>в</w:t>
      </w:r>
      <w:r w:rsidRPr="00E1254D">
        <w:rPr>
          <w:lang w:val="ru-RU"/>
        </w:rPr>
        <w:t xml:space="preserve"> </w:t>
      </w:r>
      <w:r>
        <w:rPr>
          <w:lang w:val="ru-RU"/>
        </w:rPr>
        <w:t>глобальный</w:t>
      </w:r>
      <w:r w:rsidRPr="00E1254D">
        <w:rPr>
          <w:lang w:val="ru-RU"/>
        </w:rPr>
        <w:t xml:space="preserve"> </w:t>
      </w:r>
      <w:r>
        <w:rPr>
          <w:lang w:val="ru-RU"/>
        </w:rPr>
        <w:t>ответ</w:t>
      </w:r>
      <w:r w:rsidRPr="00E1254D">
        <w:rPr>
          <w:lang w:val="ru-RU"/>
        </w:rPr>
        <w:t xml:space="preserve"> </w:t>
      </w:r>
      <w:r>
        <w:rPr>
          <w:lang w:val="ru-RU"/>
        </w:rPr>
        <w:t>ЮНЕСКО</w:t>
      </w:r>
      <w:r w:rsidRPr="00E1254D">
        <w:rPr>
          <w:lang w:val="ru-RU"/>
        </w:rPr>
        <w:t xml:space="preserve"> </w:t>
      </w:r>
      <w:r>
        <w:rPr>
          <w:lang w:val="ru-RU"/>
        </w:rPr>
        <w:t>на</w:t>
      </w:r>
      <w:r w:rsidRPr="00E1254D">
        <w:rPr>
          <w:lang w:val="ru-RU"/>
        </w:rPr>
        <w:t xml:space="preserve"> </w:t>
      </w:r>
      <w:r>
        <w:rPr>
          <w:lang w:val="ru-RU"/>
        </w:rPr>
        <w:t>чрезвычайные</w:t>
      </w:r>
      <w:r w:rsidRPr="00E1254D">
        <w:rPr>
          <w:lang w:val="ru-RU"/>
        </w:rPr>
        <w:t xml:space="preserve"> </w:t>
      </w:r>
      <w:r>
        <w:rPr>
          <w:lang w:val="ru-RU"/>
        </w:rPr>
        <w:t>ситуации</w:t>
      </w:r>
      <w:r w:rsidRPr="00E1254D">
        <w:rPr>
          <w:lang w:val="ru-RU"/>
        </w:rPr>
        <w:t xml:space="preserve">, </w:t>
      </w:r>
      <w:r>
        <w:rPr>
          <w:lang w:val="ru-RU"/>
        </w:rPr>
        <w:t>который</w:t>
      </w:r>
      <w:r w:rsidRPr="00E1254D">
        <w:rPr>
          <w:lang w:val="ru-RU"/>
        </w:rPr>
        <w:t xml:space="preserve"> </w:t>
      </w:r>
      <w:r>
        <w:rPr>
          <w:lang w:val="ru-RU"/>
        </w:rPr>
        <w:t>в</w:t>
      </w:r>
      <w:r w:rsidRPr="00E1254D">
        <w:rPr>
          <w:lang w:val="ru-RU"/>
        </w:rPr>
        <w:t xml:space="preserve"> </w:t>
      </w:r>
      <w:r>
        <w:rPr>
          <w:lang w:val="ru-RU"/>
        </w:rPr>
        <w:t>значительной</w:t>
      </w:r>
      <w:r w:rsidRPr="00E1254D">
        <w:rPr>
          <w:lang w:val="ru-RU"/>
        </w:rPr>
        <w:t xml:space="preserve"> </w:t>
      </w:r>
      <w:r>
        <w:rPr>
          <w:lang w:val="ru-RU"/>
        </w:rPr>
        <w:t>мере</w:t>
      </w:r>
      <w:r w:rsidRPr="00E1254D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E1254D">
        <w:rPr>
          <w:lang w:val="ru-RU"/>
        </w:rPr>
        <w:t xml:space="preserve"> </w:t>
      </w:r>
      <w:r w:rsidR="00D56966">
        <w:rPr>
          <w:lang w:val="ru-RU"/>
        </w:rPr>
        <w:t>Стратегией</w:t>
      </w:r>
      <w:r w:rsidR="00D56966" w:rsidRPr="00E1254D">
        <w:rPr>
          <w:lang w:val="ru-RU"/>
        </w:rPr>
        <w:t xml:space="preserve">, </w:t>
      </w:r>
      <w:r w:rsidR="00D56966">
        <w:rPr>
          <w:lang w:val="ru-RU"/>
        </w:rPr>
        <w:t>принятой</w:t>
      </w:r>
      <w:r w:rsidR="00D56966" w:rsidRPr="00E1254D">
        <w:rPr>
          <w:lang w:val="ru-RU"/>
        </w:rPr>
        <w:t xml:space="preserve"> </w:t>
      </w:r>
      <w:r w:rsidR="00D56966">
        <w:rPr>
          <w:lang w:val="ru-RU"/>
        </w:rPr>
        <w:t>в</w:t>
      </w:r>
      <w:r w:rsidR="00D56966" w:rsidRPr="00E1254D">
        <w:rPr>
          <w:lang w:val="ru-RU"/>
        </w:rPr>
        <w:t xml:space="preserve"> 2015</w:t>
      </w:r>
      <w:r w:rsidR="00D56966" w:rsidRPr="00D56966">
        <w:rPr>
          <w:lang w:val="en-US"/>
        </w:rPr>
        <w:t> </w:t>
      </w:r>
      <w:r w:rsidR="00D56966">
        <w:rPr>
          <w:lang w:val="ru-RU"/>
        </w:rPr>
        <w:t>г</w:t>
      </w:r>
      <w:r w:rsidR="00D56966" w:rsidRPr="00E1254D">
        <w:rPr>
          <w:lang w:val="ru-RU"/>
        </w:rPr>
        <w:t xml:space="preserve">. </w:t>
      </w:r>
      <w:r w:rsidR="00D56966">
        <w:rPr>
          <w:lang w:val="ru-RU"/>
        </w:rPr>
        <w:t>на</w:t>
      </w:r>
      <w:r w:rsidR="00D56966" w:rsidRPr="00E1254D">
        <w:rPr>
          <w:lang w:val="ru-RU"/>
        </w:rPr>
        <w:t xml:space="preserve"> 38-</w:t>
      </w:r>
      <w:r w:rsidR="00D56966">
        <w:rPr>
          <w:lang w:val="ru-RU"/>
        </w:rPr>
        <w:t>й</w:t>
      </w:r>
      <w:r w:rsidR="00D56966" w:rsidRPr="00E1254D">
        <w:rPr>
          <w:lang w:val="ru-RU"/>
        </w:rPr>
        <w:t xml:space="preserve"> </w:t>
      </w:r>
      <w:r w:rsidR="00D56966">
        <w:rPr>
          <w:lang w:val="ru-RU"/>
        </w:rPr>
        <w:t>сессии</w:t>
      </w:r>
      <w:r w:rsidR="00D56966" w:rsidRPr="00E1254D">
        <w:rPr>
          <w:lang w:val="ru-RU"/>
        </w:rPr>
        <w:t xml:space="preserve"> </w:t>
      </w:r>
      <w:r w:rsidR="00D56966">
        <w:rPr>
          <w:lang w:val="ru-RU"/>
        </w:rPr>
        <w:t>Генеральной</w:t>
      </w:r>
      <w:r w:rsidR="00D56966" w:rsidRPr="00E1254D">
        <w:rPr>
          <w:lang w:val="ru-RU"/>
        </w:rPr>
        <w:t xml:space="preserve"> </w:t>
      </w:r>
      <w:r w:rsidR="00D56966">
        <w:rPr>
          <w:lang w:val="ru-RU"/>
        </w:rPr>
        <w:t>конференции</w:t>
      </w:r>
      <w:r w:rsidR="00D56966" w:rsidRPr="00E1254D">
        <w:rPr>
          <w:lang w:val="ru-RU"/>
        </w:rPr>
        <w:t xml:space="preserve"> </w:t>
      </w:r>
      <w:r w:rsidR="00D56966">
        <w:rPr>
          <w:lang w:val="ru-RU"/>
        </w:rPr>
        <w:t>ЮНЕСКО</w:t>
      </w:r>
      <w:r w:rsidR="00D56966" w:rsidRPr="00E1254D">
        <w:rPr>
          <w:lang w:val="ru-RU"/>
        </w:rPr>
        <w:t xml:space="preserve"> </w:t>
      </w:r>
      <w:r w:rsidR="00D56966">
        <w:rPr>
          <w:lang w:val="ru-RU"/>
        </w:rPr>
        <w:t>с</w:t>
      </w:r>
      <w:r w:rsidR="00D56966" w:rsidRPr="00E1254D">
        <w:rPr>
          <w:lang w:val="ru-RU"/>
        </w:rPr>
        <w:t xml:space="preserve"> </w:t>
      </w:r>
      <w:r w:rsidR="00D56966">
        <w:rPr>
          <w:lang w:val="ru-RU"/>
        </w:rPr>
        <w:t>целью</w:t>
      </w:r>
      <w:r w:rsidR="00D56966" w:rsidRPr="00E1254D">
        <w:rPr>
          <w:lang w:val="ru-RU"/>
        </w:rPr>
        <w:t xml:space="preserve"> </w:t>
      </w:r>
      <w:r w:rsidR="00E1254D">
        <w:rPr>
          <w:lang w:val="ru-RU"/>
        </w:rPr>
        <w:t>активизации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деятельности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ЮНЕСКО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по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охране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культуры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и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поощрению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культурного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плюрализма</w:t>
      </w:r>
      <w:r w:rsidR="00E1254D" w:rsidRPr="00E1254D">
        <w:rPr>
          <w:lang w:val="ru-RU"/>
        </w:rPr>
        <w:t xml:space="preserve"> </w:t>
      </w:r>
      <w:r w:rsidR="00E1254D">
        <w:rPr>
          <w:lang w:val="ru-RU"/>
        </w:rPr>
        <w:t>в случае вооруженного конфликта</w:t>
      </w:r>
      <w:r w:rsidR="00B27689">
        <w:rPr>
          <w:lang w:val="ru-RU"/>
        </w:rPr>
        <w:t>, а также</w:t>
      </w:r>
      <w:r w:rsidR="002A7D95">
        <w:rPr>
          <w:lang w:val="ru-RU"/>
        </w:rPr>
        <w:t xml:space="preserve"> </w:t>
      </w:r>
      <w:r w:rsidR="000C233F">
        <w:rPr>
          <w:lang w:val="ru-RU"/>
        </w:rPr>
        <w:t>ее приложением,</w:t>
      </w:r>
      <w:r w:rsidR="002A7D95">
        <w:rPr>
          <w:lang w:val="ru-RU"/>
        </w:rPr>
        <w:t xml:space="preserve"> </w:t>
      </w:r>
      <w:r w:rsidR="002A7D95" w:rsidRPr="00E22EA0">
        <w:rPr>
          <w:lang w:val="ru-RU"/>
        </w:rPr>
        <w:t>касающ</w:t>
      </w:r>
      <w:r w:rsidR="000C233F">
        <w:rPr>
          <w:lang w:val="ru-RU"/>
        </w:rPr>
        <w:t>и</w:t>
      </w:r>
      <w:r w:rsidR="002A7D95">
        <w:rPr>
          <w:lang w:val="ru-RU"/>
        </w:rPr>
        <w:t xml:space="preserve">мся </w:t>
      </w:r>
      <w:r w:rsidR="002A7D95" w:rsidRPr="00E22EA0">
        <w:rPr>
          <w:lang w:val="ru-RU"/>
        </w:rPr>
        <w:t>чрезвычайных ситуаций, обусловленных бедствиями природного и антропогенного характера</w:t>
      </w:r>
      <w:r w:rsidR="006D07DC">
        <w:rPr>
          <w:lang w:val="ru-RU"/>
        </w:rPr>
        <w:t>. С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учетом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поддержки</w:t>
      </w:r>
      <w:r w:rsidR="006D07DC" w:rsidRPr="006D07DC">
        <w:rPr>
          <w:lang w:val="ru-RU"/>
        </w:rPr>
        <w:t xml:space="preserve">, </w:t>
      </w:r>
      <w:r w:rsidR="006D07DC">
        <w:rPr>
          <w:lang w:val="ru-RU"/>
        </w:rPr>
        <w:t>выраженной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на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одиннадцатой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сессии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Комитета</w:t>
      </w:r>
      <w:r w:rsidR="006D07DC" w:rsidRPr="006D07DC">
        <w:rPr>
          <w:lang w:val="ru-RU"/>
        </w:rPr>
        <w:t xml:space="preserve"> </w:t>
      </w:r>
      <w:r w:rsidR="00C902E0" w:rsidRPr="006D07DC">
        <w:rPr>
          <w:lang w:val="ru-RU"/>
        </w:rPr>
        <w:t>(</w:t>
      </w:r>
      <w:r w:rsidR="00C902E0">
        <w:rPr>
          <w:lang w:val="ru-RU"/>
        </w:rPr>
        <w:t>решение</w:t>
      </w:r>
      <w:r w:rsidR="00C902E0" w:rsidRPr="006D07DC">
        <w:rPr>
          <w:lang w:val="ru-RU"/>
        </w:rPr>
        <w:t xml:space="preserve"> </w:t>
      </w:r>
      <w:hyperlink r:id="rId31" w:history="1">
        <w:r w:rsidR="00C902E0" w:rsidRPr="006D07DC">
          <w:rPr>
            <w:rStyle w:val="Hyperlink"/>
            <w:lang w:val="ru-RU"/>
          </w:rPr>
          <w:t>11.</w:t>
        </w:r>
        <w:r w:rsidR="00C902E0" w:rsidRPr="00EC1508">
          <w:rPr>
            <w:rStyle w:val="Hyperlink"/>
          </w:rPr>
          <w:t>COM </w:t>
        </w:r>
        <w:r w:rsidR="00C902E0" w:rsidRPr="006D07DC">
          <w:rPr>
            <w:rStyle w:val="Hyperlink"/>
            <w:lang w:val="ru-RU"/>
          </w:rPr>
          <w:t>15</w:t>
        </w:r>
      </w:hyperlink>
      <w:r w:rsidR="00C902E0" w:rsidRPr="006D07DC">
        <w:rPr>
          <w:lang w:val="ru-RU"/>
        </w:rPr>
        <w:t xml:space="preserve">), </w:t>
      </w:r>
      <w:r w:rsidR="006D07DC">
        <w:rPr>
          <w:lang w:val="ru-RU"/>
        </w:rPr>
        <w:t>Секретариат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приступил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к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анализу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той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роли</w:t>
      </w:r>
      <w:r w:rsidR="006D07DC" w:rsidRPr="006D07DC">
        <w:rPr>
          <w:lang w:val="ru-RU"/>
        </w:rPr>
        <w:t xml:space="preserve">, </w:t>
      </w:r>
      <w:r w:rsidR="006D07DC">
        <w:rPr>
          <w:lang w:val="ru-RU"/>
        </w:rPr>
        <w:t>которую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играют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сообщества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в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охране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нематериального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культурного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>наследия</w:t>
      </w:r>
      <w:r w:rsidR="006D07DC" w:rsidRPr="006D07DC">
        <w:rPr>
          <w:lang w:val="ru-RU"/>
        </w:rPr>
        <w:t xml:space="preserve">, </w:t>
      </w:r>
      <w:r w:rsidR="006D07DC">
        <w:rPr>
          <w:lang w:val="ru-RU"/>
        </w:rPr>
        <w:t>которое</w:t>
      </w:r>
      <w:r w:rsidR="006D07DC" w:rsidRPr="006D07DC">
        <w:rPr>
          <w:lang w:val="ru-RU"/>
        </w:rPr>
        <w:t xml:space="preserve"> </w:t>
      </w:r>
      <w:r w:rsidR="006D07DC">
        <w:rPr>
          <w:lang w:val="ru-RU"/>
        </w:rPr>
        <w:t xml:space="preserve">подвергается опасности в чрезвычайных ситуациях, и того, </w:t>
      </w:r>
      <w:r w:rsidR="00A76E77">
        <w:rPr>
          <w:lang w:val="ru-RU"/>
        </w:rPr>
        <w:t>как это может быть использовано в качестве инструмента обеспечения готовности,</w:t>
      </w:r>
      <w:r w:rsidR="00A46493">
        <w:rPr>
          <w:lang w:val="ru-RU"/>
        </w:rPr>
        <w:t xml:space="preserve"> устойчивости и примирения. В</w:t>
      </w:r>
      <w:r w:rsidR="00A46493" w:rsidRPr="008654CF">
        <w:rPr>
          <w:lang w:val="ru-RU"/>
        </w:rPr>
        <w:t xml:space="preserve"> </w:t>
      </w:r>
      <w:r w:rsidR="00A46493">
        <w:rPr>
          <w:lang w:val="ru-RU"/>
        </w:rPr>
        <w:t>частности</w:t>
      </w:r>
      <w:r w:rsidR="00A46493" w:rsidRPr="008654CF">
        <w:rPr>
          <w:lang w:val="ru-RU"/>
        </w:rPr>
        <w:t xml:space="preserve">, </w:t>
      </w:r>
      <w:r w:rsidR="00A46493">
        <w:rPr>
          <w:lang w:val="ru-RU"/>
        </w:rPr>
        <w:t>был</w:t>
      </w:r>
      <w:r w:rsidR="00245A04">
        <w:rPr>
          <w:lang w:val="ru-RU"/>
        </w:rPr>
        <w:t>и</w:t>
      </w:r>
      <w:r w:rsidR="00A46493" w:rsidRPr="008654CF">
        <w:rPr>
          <w:lang w:val="ru-RU"/>
        </w:rPr>
        <w:t xml:space="preserve"> </w:t>
      </w:r>
      <w:r w:rsidR="00A46493">
        <w:rPr>
          <w:lang w:val="ru-RU"/>
        </w:rPr>
        <w:t>проведен</w:t>
      </w:r>
      <w:r w:rsidR="00245A04">
        <w:rPr>
          <w:lang w:val="ru-RU"/>
        </w:rPr>
        <w:t>ы</w:t>
      </w:r>
      <w:r w:rsidR="00A46493" w:rsidRPr="008654CF">
        <w:rPr>
          <w:lang w:val="ru-RU"/>
        </w:rPr>
        <w:t xml:space="preserve"> </w:t>
      </w:r>
      <w:r w:rsidR="00245A04">
        <w:rPr>
          <w:lang w:val="ru-RU"/>
        </w:rPr>
        <w:t>пилотное</w:t>
      </w:r>
      <w:r w:rsidR="00A46493" w:rsidRPr="008654CF">
        <w:rPr>
          <w:lang w:val="ru-RU"/>
        </w:rPr>
        <w:t xml:space="preserve"> </w:t>
      </w:r>
      <w:r w:rsidR="00245A04">
        <w:rPr>
          <w:lang w:val="ru-RU"/>
        </w:rPr>
        <w:t>об</w:t>
      </w:r>
      <w:r w:rsidR="00A46493">
        <w:rPr>
          <w:lang w:val="ru-RU"/>
        </w:rPr>
        <w:t>следование</w:t>
      </w:r>
      <w:r w:rsidR="00A46493" w:rsidRPr="008654CF">
        <w:rPr>
          <w:lang w:val="ru-RU"/>
        </w:rPr>
        <w:t xml:space="preserve"> </w:t>
      </w:r>
      <w:r w:rsidR="00245A04">
        <w:rPr>
          <w:lang w:val="ru-RU"/>
        </w:rPr>
        <w:t>и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предварительное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исследование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с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целью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достижения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более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глубокого</w:t>
      </w:r>
      <w:r w:rsidR="00245A04" w:rsidRPr="008654CF">
        <w:rPr>
          <w:lang w:val="ru-RU"/>
        </w:rPr>
        <w:t xml:space="preserve"> </w:t>
      </w:r>
      <w:r w:rsidR="00245A04">
        <w:rPr>
          <w:lang w:val="ru-RU"/>
        </w:rPr>
        <w:t>понимания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меняющейся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роли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и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функции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живого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наследия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в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контексте</w:t>
      </w:r>
      <w:r w:rsidR="008654CF" w:rsidRPr="008654CF">
        <w:rPr>
          <w:lang w:val="ru-RU"/>
        </w:rPr>
        <w:t xml:space="preserve"> </w:t>
      </w:r>
      <w:r w:rsidR="008654CF">
        <w:rPr>
          <w:lang w:val="ru-RU"/>
        </w:rPr>
        <w:t>перемещений населения</w:t>
      </w:r>
      <w:r w:rsidR="00245A04" w:rsidRPr="008654CF">
        <w:rPr>
          <w:lang w:val="ru-RU"/>
        </w:rPr>
        <w:t xml:space="preserve"> </w:t>
      </w:r>
      <w:r w:rsidR="008654CF">
        <w:rPr>
          <w:lang w:val="ru-RU"/>
        </w:rPr>
        <w:t xml:space="preserve">и стихийных бедствий. </w:t>
      </w:r>
      <w:r w:rsidR="0026242D">
        <w:rPr>
          <w:lang w:val="ru-RU"/>
        </w:rPr>
        <w:t>Секретариат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также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продолжал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оказывать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поддержку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в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подготовке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заявок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на</w:t>
      </w:r>
      <w:r w:rsidR="0026242D" w:rsidRPr="0079668D">
        <w:rPr>
          <w:lang w:val="ru-RU"/>
        </w:rPr>
        <w:t xml:space="preserve"> </w:t>
      </w:r>
      <w:r w:rsidR="0026242D">
        <w:rPr>
          <w:lang w:val="ru-RU"/>
        </w:rPr>
        <w:t>оказание</w:t>
      </w:r>
      <w:r w:rsidR="0026242D" w:rsidRPr="0079668D">
        <w:rPr>
          <w:lang w:val="ru-RU"/>
        </w:rPr>
        <w:t xml:space="preserve"> </w:t>
      </w:r>
      <w:r w:rsidR="00675131">
        <w:rPr>
          <w:lang w:val="ru-RU"/>
        </w:rPr>
        <w:t>срочной</w:t>
      </w:r>
      <w:r w:rsidR="00675131" w:rsidRPr="0079668D">
        <w:rPr>
          <w:lang w:val="ru-RU"/>
        </w:rPr>
        <w:t xml:space="preserve"> </w:t>
      </w:r>
      <w:r w:rsidR="00675131">
        <w:rPr>
          <w:lang w:val="ru-RU"/>
        </w:rPr>
        <w:t>международной</w:t>
      </w:r>
      <w:r w:rsidR="00675131" w:rsidRPr="0079668D">
        <w:rPr>
          <w:lang w:val="ru-RU"/>
        </w:rPr>
        <w:t xml:space="preserve"> </w:t>
      </w:r>
      <w:r w:rsidR="00675131">
        <w:rPr>
          <w:lang w:val="ru-RU"/>
        </w:rPr>
        <w:t>помощи</w:t>
      </w:r>
      <w:r w:rsidR="00675131" w:rsidRPr="0079668D">
        <w:rPr>
          <w:lang w:val="ru-RU"/>
        </w:rPr>
        <w:t xml:space="preserve"> </w:t>
      </w:r>
      <w:r w:rsidR="0079668D">
        <w:rPr>
          <w:lang w:val="ru-RU"/>
        </w:rPr>
        <w:t>и</w:t>
      </w:r>
      <w:r w:rsidR="0079668D" w:rsidRPr="0079668D">
        <w:rPr>
          <w:lang w:val="ru-RU"/>
        </w:rPr>
        <w:t xml:space="preserve"> </w:t>
      </w:r>
      <w:r w:rsidR="0079668D">
        <w:rPr>
          <w:lang w:val="ru-RU"/>
        </w:rPr>
        <w:t>ее</w:t>
      </w:r>
      <w:r w:rsidR="0079668D" w:rsidRPr="0079668D">
        <w:rPr>
          <w:lang w:val="ru-RU"/>
        </w:rPr>
        <w:t xml:space="preserve"> </w:t>
      </w:r>
      <w:r w:rsidR="0079668D">
        <w:rPr>
          <w:lang w:val="ru-RU"/>
        </w:rPr>
        <w:t>реализацию</w:t>
      </w:r>
      <w:r w:rsidR="0079668D" w:rsidRPr="0079668D">
        <w:rPr>
          <w:lang w:val="ru-RU"/>
        </w:rPr>
        <w:t xml:space="preserve"> </w:t>
      </w:r>
      <w:r w:rsidR="0079668D">
        <w:rPr>
          <w:lang w:val="ru-RU"/>
        </w:rPr>
        <w:t>в</w:t>
      </w:r>
      <w:r w:rsidR="0079668D" w:rsidRPr="0079668D">
        <w:rPr>
          <w:lang w:val="ru-RU"/>
        </w:rPr>
        <w:t xml:space="preserve"> </w:t>
      </w:r>
      <w:r w:rsidR="0079668D">
        <w:rPr>
          <w:lang w:val="ru-RU"/>
        </w:rPr>
        <w:t>Вануату, Кот</w:t>
      </w:r>
      <w:r w:rsidR="0079668D" w:rsidRPr="0079668D">
        <w:rPr>
          <w:lang w:val="ru-RU"/>
        </w:rPr>
        <w:t>-</w:t>
      </w:r>
      <w:r w:rsidR="0079668D">
        <w:rPr>
          <w:lang w:val="ru-RU"/>
        </w:rPr>
        <w:t>д</w:t>
      </w:r>
      <w:r w:rsidR="0079668D" w:rsidRPr="0079668D">
        <w:rPr>
          <w:lang w:val="ru-RU"/>
        </w:rPr>
        <w:t>’</w:t>
      </w:r>
      <w:r w:rsidR="0079668D">
        <w:rPr>
          <w:lang w:val="ru-RU"/>
        </w:rPr>
        <w:t xml:space="preserve">Ивуаре, Мали и Нигере </w:t>
      </w:r>
      <w:r w:rsidR="00C902E0" w:rsidRPr="0079668D">
        <w:rPr>
          <w:lang w:val="ru-RU"/>
        </w:rPr>
        <w:t>(</w:t>
      </w:r>
      <w:r w:rsidR="00C902E0">
        <w:rPr>
          <w:lang w:val="ru-RU"/>
        </w:rPr>
        <w:t>см</w:t>
      </w:r>
      <w:r w:rsidR="00C902E0" w:rsidRPr="0079668D">
        <w:rPr>
          <w:lang w:val="ru-RU"/>
        </w:rPr>
        <w:t xml:space="preserve">. </w:t>
      </w:r>
      <w:r w:rsidR="00C902E0">
        <w:rPr>
          <w:lang w:val="ru-RU"/>
        </w:rPr>
        <w:t>документ</w:t>
      </w:r>
      <w:r w:rsidR="00C902E0" w:rsidRPr="0079668D">
        <w:rPr>
          <w:lang w:val="ru-RU"/>
        </w:rPr>
        <w:t xml:space="preserve"> </w:t>
      </w:r>
      <w:hyperlink r:id="rId32" w:history="1">
        <w:r w:rsidR="00C902E0" w:rsidRPr="00480DE9">
          <w:rPr>
            <w:rStyle w:val="Hyperlink"/>
          </w:rPr>
          <w:t>ITH</w:t>
        </w:r>
        <w:r w:rsidR="00C902E0" w:rsidRPr="0079668D">
          <w:rPr>
            <w:rStyle w:val="Hyperlink"/>
            <w:lang w:val="ru-RU"/>
          </w:rPr>
          <w:t>/17/12.</w:t>
        </w:r>
        <w:r w:rsidR="00C902E0" w:rsidRPr="00480DE9">
          <w:rPr>
            <w:rStyle w:val="Hyperlink"/>
          </w:rPr>
          <w:t>COM</w:t>
        </w:r>
        <w:r w:rsidR="00C902E0" w:rsidRPr="0079668D">
          <w:rPr>
            <w:rStyle w:val="Hyperlink"/>
            <w:lang w:val="ru-RU"/>
          </w:rPr>
          <w:t>/15</w:t>
        </w:r>
      </w:hyperlink>
      <w:r w:rsidR="00C902E0" w:rsidRPr="0079668D">
        <w:rPr>
          <w:rStyle w:val="Hyperlink"/>
          <w:color w:val="auto"/>
          <w:u w:val="none"/>
          <w:lang w:val="ru-RU"/>
        </w:rPr>
        <w:t xml:space="preserve"> </w:t>
      </w:r>
      <w:r w:rsidR="0079668D" w:rsidRPr="0079668D">
        <w:rPr>
          <w:rStyle w:val="Hyperlink"/>
          <w:color w:val="auto"/>
          <w:u w:val="none"/>
          <w:lang w:val="ru-RU"/>
        </w:rPr>
        <w:t>для боле</w:t>
      </w:r>
      <w:r w:rsidR="0079668D">
        <w:rPr>
          <w:rStyle w:val="Hyperlink"/>
          <w:color w:val="auto"/>
          <w:u w:val="none"/>
          <w:lang w:val="ru-RU"/>
        </w:rPr>
        <w:t>е подробной информации</w:t>
      </w:r>
      <w:r w:rsidR="00C902E0" w:rsidRPr="0079668D">
        <w:rPr>
          <w:lang w:val="ru-RU"/>
        </w:rPr>
        <w:t>).</w:t>
      </w:r>
    </w:p>
    <w:p w:rsidR="00C902E0" w:rsidRPr="00F36A19" w:rsidRDefault="00F36A19" w:rsidP="00430A07">
      <w:pPr>
        <w:pStyle w:val="COMPara"/>
        <w:keepNext/>
        <w:spacing w:before="240"/>
        <w:ind w:left="0" w:firstLine="0"/>
        <w:jc w:val="both"/>
        <w:rPr>
          <w:b/>
          <w:caps/>
          <w:lang w:val="ru-RU"/>
        </w:rPr>
      </w:pPr>
      <w:r>
        <w:rPr>
          <w:b/>
          <w:caps/>
          <w:lang w:val="ru-RU"/>
        </w:rPr>
        <w:t>просветительско-информационный план</w:t>
      </w:r>
    </w:p>
    <w:p w:rsidR="00C902E0" w:rsidRPr="000B21DB" w:rsidRDefault="0088036A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 w:rsidRPr="000B21DB">
        <w:rPr>
          <w:lang w:val="ru-RU"/>
        </w:rPr>
        <w:t xml:space="preserve">Разработка действенного просветительско-информационного </w:t>
      </w:r>
      <w:r w:rsidRPr="00E22EA0">
        <w:rPr>
          <w:lang w:val="ru-RU"/>
        </w:rPr>
        <w:t>плана</w:t>
      </w:r>
      <w:r w:rsidRPr="000B21DB">
        <w:rPr>
          <w:lang w:val="ru-RU"/>
        </w:rPr>
        <w:t xml:space="preserve"> имеет важное </w:t>
      </w:r>
      <w:r>
        <w:rPr>
          <w:lang w:val="ru-RU"/>
        </w:rPr>
        <w:t>значение</w:t>
      </w:r>
      <w:r w:rsidRPr="006E6935">
        <w:rPr>
          <w:lang w:val="ru-RU"/>
        </w:rPr>
        <w:t xml:space="preserve"> </w:t>
      </w:r>
      <w:r>
        <w:rPr>
          <w:lang w:val="ru-RU"/>
        </w:rPr>
        <w:t>для</w:t>
      </w:r>
      <w:r w:rsidRPr="006E6935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6E6935">
        <w:rPr>
          <w:lang w:val="ru-RU"/>
        </w:rPr>
        <w:t xml:space="preserve"> </w:t>
      </w:r>
      <w:r>
        <w:rPr>
          <w:lang w:val="ru-RU"/>
        </w:rPr>
        <w:t>достижению</w:t>
      </w:r>
      <w:r w:rsidRPr="006E6935">
        <w:rPr>
          <w:lang w:val="ru-RU"/>
        </w:rPr>
        <w:t xml:space="preserve"> </w:t>
      </w:r>
      <w:r>
        <w:rPr>
          <w:lang w:val="ru-RU"/>
        </w:rPr>
        <w:t>целей</w:t>
      </w:r>
      <w:r w:rsidRPr="006E693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E6935">
        <w:rPr>
          <w:lang w:val="ru-RU"/>
        </w:rPr>
        <w:t xml:space="preserve">. </w:t>
      </w:r>
      <w:r w:rsidR="008C4633">
        <w:rPr>
          <w:lang w:val="ru-RU"/>
        </w:rPr>
        <w:t>Секретариат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взял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на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себя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инициативу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по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разработке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такого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плана</w:t>
      </w:r>
      <w:r w:rsidR="008C4633" w:rsidRPr="003A3E77">
        <w:rPr>
          <w:lang w:val="ru-RU"/>
        </w:rPr>
        <w:t xml:space="preserve">; </w:t>
      </w:r>
      <w:r w:rsidR="008C4633">
        <w:rPr>
          <w:lang w:val="ru-RU"/>
        </w:rPr>
        <w:t>цель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заключается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в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том</w:t>
      </w:r>
      <w:r w:rsidR="008C4633" w:rsidRPr="003A3E77">
        <w:rPr>
          <w:lang w:val="ru-RU"/>
        </w:rPr>
        <w:t xml:space="preserve">, </w:t>
      </w:r>
      <w:r w:rsidR="008C4633">
        <w:rPr>
          <w:lang w:val="ru-RU"/>
        </w:rPr>
        <w:t>чтобы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помочь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различным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заинтересованным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сторонам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расширить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свои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знания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о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нематериальном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культурном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наследии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и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его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охране</w:t>
      </w:r>
      <w:r w:rsidR="008C4633" w:rsidRPr="003A3E77">
        <w:rPr>
          <w:lang w:val="ru-RU"/>
        </w:rPr>
        <w:t xml:space="preserve">, </w:t>
      </w:r>
      <w:r w:rsidR="008C4633">
        <w:rPr>
          <w:lang w:val="ru-RU"/>
        </w:rPr>
        <w:t>повысить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осведомленность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о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его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важности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и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обеспечить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его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взаимное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признание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в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соответствии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с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буквой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и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духом</w:t>
      </w:r>
      <w:r w:rsidR="008C4633" w:rsidRPr="003A3E77">
        <w:rPr>
          <w:lang w:val="ru-RU"/>
        </w:rPr>
        <w:t xml:space="preserve"> </w:t>
      </w:r>
      <w:r w:rsidR="008C4633">
        <w:rPr>
          <w:lang w:val="ru-RU"/>
        </w:rPr>
        <w:t>Конвенции</w:t>
      </w:r>
      <w:r w:rsidR="008C4633" w:rsidRPr="003A3E77">
        <w:rPr>
          <w:lang w:val="ru-RU"/>
        </w:rPr>
        <w:t xml:space="preserve">. </w:t>
      </w:r>
      <w:r w:rsidR="003A3E77">
        <w:rPr>
          <w:lang w:val="ru-RU"/>
        </w:rPr>
        <w:t>Конкретно</w:t>
      </w:r>
      <w:r w:rsidR="003A3E77" w:rsidRPr="000A2460">
        <w:rPr>
          <w:lang w:val="ru-RU"/>
        </w:rPr>
        <w:t xml:space="preserve">, </w:t>
      </w:r>
      <w:r w:rsidR="003A3E77">
        <w:rPr>
          <w:lang w:val="ru-RU"/>
        </w:rPr>
        <w:t>Секретариат</w:t>
      </w:r>
      <w:r w:rsidR="003A3E77" w:rsidRPr="000A2460">
        <w:rPr>
          <w:lang w:val="ru-RU"/>
        </w:rPr>
        <w:t xml:space="preserve"> </w:t>
      </w:r>
      <w:r w:rsidR="003A3E77">
        <w:rPr>
          <w:lang w:val="ru-RU"/>
        </w:rPr>
        <w:t>посредством</w:t>
      </w:r>
      <w:r w:rsidR="003A3E77" w:rsidRPr="000A2460">
        <w:rPr>
          <w:lang w:val="ru-RU"/>
        </w:rPr>
        <w:t xml:space="preserve"> </w:t>
      </w:r>
      <w:r w:rsidR="003A3E77">
        <w:rPr>
          <w:lang w:val="ru-RU"/>
        </w:rPr>
        <w:t>процесса</w:t>
      </w:r>
      <w:r w:rsidR="003A3E77" w:rsidRPr="000A2460">
        <w:rPr>
          <w:lang w:val="ru-RU"/>
        </w:rPr>
        <w:t xml:space="preserve"> </w:t>
      </w:r>
      <w:r w:rsidR="003A3E77">
        <w:rPr>
          <w:lang w:val="ru-RU"/>
        </w:rPr>
        <w:t>тщательного</w:t>
      </w:r>
      <w:r w:rsidR="003A3E77" w:rsidRPr="000A2460">
        <w:rPr>
          <w:lang w:val="ru-RU"/>
        </w:rPr>
        <w:t xml:space="preserve"> </w:t>
      </w:r>
      <w:r w:rsidR="003A3E77">
        <w:rPr>
          <w:lang w:val="ru-RU"/>
        </w:rPr>
        <w:t>отбора</w:t>
      </w:r>
      <w:r w:rsidR="003A3E77" w:rsidRPr="000A2460">
        <w:rPr>
          <w:lang w:val="ru-RU"/>
        </w:rPr>
        <w:t xml:space="preserve"> </w:t>
      </w:r>
      <w:r w:rsidR="003A3E77">
        <w:rPr>
          <w:lang w:val="ru-RU"/>
        </w:rPr>
        <w:t>определил</w:t>
      </w:r>
      <w:r w:rsidR="003A3E77" w:rsidRPr="000A2460">
        <w:rPr>
          <w:lang w:val="ru-RU"/>
        </w:rPr>
        <w:t xml:space="preserve"> </w:t>
      </w:r>
      <w:r w:rsidR="003A3E77">
        <w:rPr>
          <w:lang w:val="ru-RU"/>
        </w:rPr>
        <w:t>компанию</w:t>
      </w:r>
      <w:r w:rsidR="003A3E77" w:rsidRPr="000A2460">
        <w:rPr>
          <w:lang w:val="ru-RU"/>
        </w:rPr>
        <w:t>-</w:t>
      </w:r>
      <w:r w:rsidR="003A3E77">
        <w:rPr>
          <w:lang w:val="ru-RU"/>
        </w:rPr>
        <w:t>партнера</w:t>
      </w:r>
      <w:r w:rsidR="000D5119" w:rsidRPr="000A2460">
        <w:rPr>
          <w:lang w:val="ru-RU"/>
        </w:rPr>
        <w:t xml:space="preserve">, </w:t>
      </w:r>
      <w:r w:rsidR="000D5119">
        <w:rPr>
          <w:lang w:val="ru-RU"/>
        </w:rPr>
        <w:t>с</w:t>
      </w:r>
      <w:r w:rsidR="000D5119" w:rsidRPr="000A2460">
        <w:rPr>
          <w:lang w:val="ru-RU"/>
        </w:rPr>
        <w:t xml:space="preserve"> </w:t>
      </w:r>
      <w:r w:rsidR="000D5119">
        <w:rPr>
          <w:lang w:val="ru-RU"/>
        </w:rPr>
        <w:t>помощью</w:t>
      </w:r>
      <w:r w:rsidR="000D5119" w:rsidRPr="000A2460">
        <w:rPr>
          <w:lang w:val="ru-RU"/>
        </w:rPr>
        <w:t xml:space="preserve"> </w:t>
      </w:r>
      <w:r w:rsidR="000D5119">
        <w:rPr>
          <w:lang w:val="ru-RU"/>
        </w:rPr>
        <w:t>которой</w:t>
      </w:r>
      <w:r w:rsidR="000D5119" w:rsidRPr="000A2460">
        <w:rPr>
          <w:lang w:val="ru-RU"/>
        </w:rPr>
        <w:t xml:space="preserve"> </w:t>
      </w:r>
      <w:r w:rsidR="00AF69DA">
        <w:rPr>
          <w:lang w:val="ru-RU"/>
        </w:rPr>
        <w:t xml:space="preserve">разрабатывается </w:t>
      </w:r>
      <w:r w:rsidR="000A2460">
        <w:rPr>
          <w:lang w:val="ru-RU"/>
        </w:rPr>
        <w:t>стратегически</w:t>
      </w:r>
      <w:r w:rsidR="00B2005E">
        <w:rPr>
          <w:lang w:val="ru-RU"/>
        </w:rPr>
        <w:t>й</w:t>
      </w:r>
      <w:r w:rsidR="000A2460">
        <w:rPr>
          <w:lang w:val="ru-RU"/>
        </w:rPr>
        <w:t xml:space="preserve"> просветительско-информационный </w:t>
      </w:r>
      <w:r w:rsidR="000A2460" w:rsidRPr="00E22EA0">
        <w:rPr>
          <w:lang w:val="ru-RU"/>
        </w:rPr>
        <w:t>план</w:t>
      </w:r>
      <w:r w:rsidR="000A2460">
        <w:rPr>
          <w:lang w:val="ru-RU"/>
        </w:rPr>
        <w:t>. В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рамках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этого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процесса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было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опрошено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пятьдесят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заинтересованных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сторон</w:t>
      </w:r>
      <w:r w:rsidR="000A2460" w:rsidRPr="002A608B">
        <w:rPr>
          <w:lang w:val="ru-RU"/>
        </w:rPr>
        <w:t xml:space="preserve">, </w:t>
      </w:r>
      <w:r w:rsidR="000A2460">
        <w:rPr>
          <w:lang w:val="ru-RU"/>
        </w:rPr>
        <w:t>включая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государства</w:t>
      </w:r>
      <w:r w:rsidR="000A2460" w:rsidRPr="002A608B">
        <w:rPr>
          <w:lang w:val="ru-RU"/>
        </w:rPr>
        <w:t>-</w:t>
      </w:r>
      <w:r w:rsidR="000A2460">
        <w:rPr>
          <w:lang w:val="ru-RU"/>
        </w:rPr>
        <w:t>участников</w:t>
      </w:r>
      <w:r w:rsidR="000A2460" w:rsidRPr="002A608B">
        <w:rPr>
          <w:lang w:val="ru-RU"/>
        </w:rPr>
        <w:t xml:space="preserve">, </w:t>
      </w:r>
      <w:r w:rsidR="000A2460">
        <w:rPr>
          <w:lang w:val="ru-RU"/>
        </w:rPr>
        <w:t>доноров</w:t>
      </w:r>
      <w:r w:rsidR="000A2460" w:rsidRPr="002A608B">
        <w:rPr>
          <w:lang w:val="ru-RU"/>
        </w:rPr>
        <w:t xml:space="preserve">, </w:t>
      </w:r>
      <w:r w:rsidR="000A2460">
        <w:rPr>
          <w:lang w:val="ru-RU"/>
        </w:rPr>
        <w:t>аккредитованные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НПО</w:t>
      </w:r>
      <w:r w:rsidR="000A2460" w:rsidRPr="002A608B">
        <w:rPr>
          <w:lang w:val="ru-RU"/>
        </w:rPr>
        <w:t xml:space="preserve">, </w:t>
      </w:r>
      <w:r w:rsidR="000A2460">
        <w:rPr>
          <w:lang w:val="ru-RU"/>
        </w:rPr>
        <w:t>национальные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учреждения</w:t>
      </w:r>
      <w:r w:rsidR="000A2460" w:rsidRPr="002A608B">
        <w:rPr>
          <w:lang w:val="ru-RU"/>
        </w:rPr>
        <w:t xml:space="preserve">, </w:t>
      </w:r>
      <w:r w:rsidR="000A2460">
        <w:rPr>
          <w:lang w:val="ru-RU"/>
        </w:rPr>
        <w:t>специалистов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по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наследию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и</w:t>
      </w:r>
      <w:r w:rsidR="000A2460" w:rsidRPr="002A608B">
        <w:rPr>
          <w:lang w:val="ru-RU"/>
        </w:rPr>
        <w:t xml:space="preserve"> </w:t>
      </w:r>
      <w:r w:rsidR="000A2460">
        <w:rPr>
          <w:lang w:val="ru-RU"/>
        </w:rPr>
        <w:t>членов</w:t>
      </w:r>
      <w:r w:rsidR="000A2460" w:rsidRPr="002A608B">
        <w:rPr>
          <w:lang w:val="ru-RU"/>
        </w:rPr>
        <w:t xml:space="preserve"> </w:t>
      </w:r>
      <w:r w:rsidR="006425CA">
        <w:rPr>
          <w:lang w:val="ru-RU"/>
        </w:rPr>
        <w:t>сообществ</w:t>
      </w:r>
      <w:r w:rsidR="006425CA" w:rsidRPr="002A608B">
        <w:rPr>
          <w:lang w:val="ru-RU"/>
        </w:rPr>
        <w:t xml:space="preserve"> </w:t>
      </w:r>
      <w:r w:rsidR="002A608B">
        <w:rPr>
          <w:lang w:val="ru-RU"/>
        </w:rPr>
        <w:t>с целью получения представления о том, что означает Конвенция 2003 г. для различных заинтересованных сторон.</w:t>
      </w:r>
      <w:r w:rsidR="002A7A5A">
        <w:rPr>
          <w:lang w:val="ru-RU"/>
        </w:rPr>
        <w:t xml:space="preserve"> За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этим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последовало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контрольное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совещание</w:t>
      </w:r>
      <w:r w:rsidR="002A7A5A" w:rsidRPr="002A7A5A">
        <w:rPr>
          <w:lang w:val="ru-RU"/>
        </w:rPr>
        <w:t xml:space="preserve">, </w:t>
      </w:r>
      <w:r w:rsidR="002A7A5A">
        <w:rPr>
          <w:lang w:val="ru-RU"/>
        </w:rPr>
        <w:t>проведенное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в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марте</w:t>
      </w:r>
      <w:r w:rsidR="002A7A5A" w:rsidRPr="002A7A5A">
        <w:rPr>
          <w:lang w:val="ru-RU"/>
        </w:rPr>
        <w:t xml:space="preserve"> 2017</w:t>
      </w:r>
      <w:r w:rsidR="002A7A5A" w:rsidRPr="002A7A5A">
        <w:rPr>
          <w:lang w:val="en-US"/>
        </w:rPr>
        <w:t> </w:t>
      </w:r>
      <w:r w:rsidR="002A7A5A">
        <w:rPr>
          <w:lang w:val="ru-RU"/>
        </w:rPr>
        <w:t>г</w:t>
      </w:r>
      <w:r w:rsidR="002A7A5A" w:rsidRPr="002A7A5A">
        <w:rPr>
          <w:lang w:val="ru-RU"/>
        </w:rPr>
        <w:t xml:space="preserve">., </w:t>
      </w:r>
      <w:r w:rsidR="002A7A5A">
        <w:rPr>
          <w:lang w:val="ru-RU"/>
        </w:rPr>
        <w:t>для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обзора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результатов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и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подготовки</w:t>
      </w:r>
      <w:r w:rsidR="002A7A5A" w:rsidRPr="002A7A5A">
        <w:rPr>
          <w:lang w:val="ru-RU"/>
        </w:rPr>
        <w:t xml:space="preserve"> </w:t>
      </w:r>
      <w:r w:rsidR="002A7A5A">
        <w:rPr>
          <w:lang w:val="ru-RU"/>
        </w:rPr>
        <w:t>сводного доклада</w:t>
      </w:r>
      <w:r w:rsidR="00AF69DA">
        <w:rPr>
          <w:lang w:val="ru-RU"/>
        </w:rPr>
        <w:t xml:space="preserve">. В нем </w:t>
      </w:r>
      <w:r w:rsidR="00776620">
        <w:rPr>
          <w:lang w:val="ru-RU"/>
        </w:rPr>
        <w:t>нашли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>отражение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>стратегические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>ориентиры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>и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>предварительные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>руководящие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>принципы</w:t>
      </w:r>
      <w:r w:rsidR="00776620" w:rsidRPr="00776620">
        <w:rPr>
          <w:lang w:val="ru-RU"/>
        </w:rPr>
        <w:t xml:space="preserve"> </w:t>
      </w:r>
      <w:r w:rsidR="00776620">
        <w:rPr>
          <w:lang w:val="ru-RU"/>
        </w:rPr>
        <w:t xml:space="preserve">для принятия приоритетных мер и </w:t>
      </w:r>
      <w:r w:rsidR="00AF69DA">
        <w:rPr>
          <w:lang w:val="ru-RU"/>
        </w:rPr>
        <w:t>инструментов</w:t>
      </w:r>
      <w:r w:rsidR="00B2005E">
        <w:rPr>
          <w:lang w:val="ru-RU"/>
        </w:rPr>
        <w:t xml:space="preserve">, которые будут разработаны на следующем этапе. </w:t>
      </w:r>
      <w:r w:rsidR="00840CC1">
        <w:rPr>
          <w:lang w:val="ru-RU"/>
        </w:rPr>
        <w:t>Примером</w:t>
      </w:r>
      <w:r w:rsidR="00840CC1" w:rsidRPr="00005BBC">
        <w:rPr>
          <w:lang w:val="ru-RU"/>
        </w:rPr>
        <w:t xml:space="preserve"> </w:t>
      </w:r>
      <w:r w:rsidR="00840CC1">
        <w:rPr>
          <w:lang w:val="ru-RU"/>
        </w:rPr>
        <w:t>продукта</w:t>
      </w:r>
      <w:r w:rsidR="00840CC1" w:rsidRPr="00005BBC">
        <w:rPr>
          <w:lang w:val="ru-RU"/>
        </w:rPr>
        <w:t xml:space="preserve">, </w:t>
      </w:r>
      <w:r w:rsidR="00840CC1">
        <w:rPr>
          <w:lang w:val="ru-RU"/>
        </w:rPr>
        <w:t>разработанного</w:t>
      </w:r>
      <w:r w:rsidR="00840CC1" w:rsidRPr="00005BBC">
        <w:rPr>
          <w:lang w:val="ru-RU"/>
        </w:rPr>
        <w:t xml:space="preserve"> </w:t>
      </w:r>
      <w:r w:rsidR="000269B9">
        <w:rPr>
          <w:lang w:val="ru-RU"/>
        </w:rPr>
        <w:t>в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течение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отчетного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периода</w:t>
      </w:r>
      <w:r w:rsidR="000269B9" w:rsidRPr="00005BBC">
        <w:rPr>
          <w:lang w:val="ru-RU"/>
        </w:rPr>
        <w:t xml:space="preserve">, </w:t>
      </w:r>
      <w:r w:rsidR="000269B9">
        <w:rPr>
          <w:lang w:val="ru-RU"/>
        </w:rPr>
        <w:t>является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короткий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видеоролик</w:t>
      </w:r>
      <w:r w:rsidR="00005BBC" w:rsidRPr="00005BBC">
        <w:rPr>
          <w:lang w:val="ru-RU"/>
        </w:rPr>
        <w:t xml:space="preserve"> </w:t>
      </w:r>
      <w:r w:rsidR="00005BBC">
        <w:rPr>
          <w:lang w:val="ru-RU"/>
        </w:rPr>
        <w:t>о</w:t>
      </w:r>
      <w:r w:rsidR="00005BBC" w:rsidRPr="00005BBC">
        <w:rPr>
          <w:lang w:val="ru-RU"/>
        </w:rPr>
        <w:t xml:space="preserve"> </w:t>
      </w:r>
      <w:r w:rsidR="00005BBC">
        <w:rPr>
          <w:lang w:val="ru-RU"/>
        </w:rPr>
        <w:t>признании</w:t>
      </w:r>
      <w:r w:rsidR="00005BBC" w:rsidRPr="00005BBC">
        <w:rPr>
          <w:lang w:val="ru-RU"/>
        </w:rPr>
        <w:t xml:space="preserve"> </w:t>
      </w:r>
      <w:r w:rsidR="00005BBC">
        <w:rPr>
          <w:lang w:val="ru-RU"/>
        </w:rPr>
        <w:t>молодежью нематериального культурного наследия</w:t>
      </w:r>
      <w:r w:rsidR="000269B9" w:rsidRPr="00005BBC">
        <w:rPr>
          <w:lang w:val="ru-RU"/>
        </w:rPr>
        <w:t xml:space="preserve">, который </w:t>
      </w:r>
      <w:r w:rsidR="000269B9">
        <w:rPr>
          <w:lang w:val="ru-RU"/>
        </w:rPr>
        <w:t>распространялся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через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социальные</w:t>
      </w:r>
      <w:r w:rsidR="000269B9" w:rsidRPr="00005BBC">
        <w:rPr>
          <w:lang w:val="ru-RU"/>
        </w:rPr>
        <w:t xml:space="preserve"> </w:t>
      </w:r>
      <w:r w:rsidR="000269B9">
        <w:rPr>
          <w:lang w:val="ru-RU"/>
        </w:rPr>
        <w:t>сети</w:t>
      </w:r>
      <w:r w:rsidR="006F21CB">
        <w:rPr>
          <w:lang w:val="ru-RU"/>
        </w:rPr>
        <w:t>.</w:t>
      </w:r>
      <w:r w:rsidR="000269B9" w:rsidRPr="00005BBC">
        <w:rPr>
          <w:lang w:val="ru-RU"/>
        </w:rPr>
        <w:t xml:space="preserve"> </w:t>
      </w:r>
      <w:r w:rsidR="00B97DB0">
        <w:rPr>
          <w:lang w:val="ru-RU"/>
        </w:rPr>
        <w:t>Были</w:t>
      </w:r>
      <w:r w:rsidR="00B97DB0" w:rsidRPr="000B21DB">
        <w:rPr>
          <w:lang w:val="ru-RU"/>
        </w:rPr>
        <w:t xml:space="preserve"> </w:t>
      </w:r>
      <w:r w:rsidR="00B97DB0">
        <w:rPr>
          <w:lang w:val="ru-RU"/>
        </w:rPr>
        <w:t>также</w:t>
      </w:r>
      <w:r w:rsidR="00B97DB0" w:rsidRPr="000B21DB">
        <w:rPr>
          <w:lang w:val="ru-RU"/>
        </w:rPr>
        <w:t xml:space="preserve"> </w:t>
      </w:r>
      <w:r w:rsidR="00B97DB0">
        <w:rPr>
          <w:lang w:val="ru-RU"/>
        </w:rPr>
        <w:t>высказаны</w:t>
      </w:r>
      <w:r w:rsidR="00B97DB0" w:rsidRPr="000B21DB">
        <w:rPr>
          <w:lang w:val="ru-RU"/>
        </w:rPr>
        <w:t xml:space="preserve"> </w:t>
      </w:r>
      <w:r w:rsidR="00B97DB0">
        <w:rPr>
          <w:lang w:val="ru-RU"/>
        </w:rPr>
        <w:t>первоначальные</w:t>
      </w:r>
      <w:r w:rsidR="00B97DB0" w:rsidRPr="000B21DB">
        <w:rPr>
          <w:lang w:val="ru-RU"/>
        </w:rPr>
        <w:t xml:space="preserve"> </w:t>
      </w:r>
      <w:r w:rsidR="00B97DB0" w:rsidRPr="00767CAD">
        <w:rPr>
          <w:lang w:val="ru-RU"/>
        </w:rPr>
        <w:t>соображения</w:t>
      </w:r>
      <w:r w:rsidR="00B97DB0" w:rsidRPr="000B21DB">
        <w:rPr>
          <w:lang w:val="ru-RU"/>
        </w:rPr>
        <w:t xml:space="preserve"> </w:t>
      </w:r>
      <w:r w:rsidR="00B97DB0" w:rsidRPr="00767CAD">
        <w:rPr>
          <w:lang w:val="ru-RU"/>
        </w:rPr>
        <w:t>по</w:t>
      </w:r>
      <w:r w:rsidR="00B97DB0" w:rsidRPr="000B21DB">
        <w:rPr>
          <w:lang w:val="ru-RU"/>
        </w:rPr>
        <w:t xml:space="preserve"> </w:t>
      </w:r>
      <w:r w:rsidR="00B97DB0" w:rsidRPr="00767CAD">
        <w:rPr>
          <w:lang w:val="ru-RU"/>
        </w:rPr>
        <w:t>поводу</w:t>
      </w:r>
      <w:r w:rsidR="00B97DB0" w:rsidRPr="000B21DB">
        <w:rPr>
          <w:lang w:val="ru-RU"/>
        </w:rPr>
        <w:t xml:space="preserve"> </w:t>
      </w:r>
      <w:r w:rsidR="00B97DB0" w:rsidRPr="00767CAD">
        <w:rPr>
          <w:lang w:val="ru-RU"/>
        </w:rPr>
        <w:t>разработки</w:t>
      </w:r>
      <w:r w:rsidR="000B21DB" w:rsidRPr="000B21DB">
        <w:rPr>
          <w:lang w:val="ru-RU"/>
        </w:rPr>
        <w:t xml:space="preserve"> </w:t>
      </w:r>
      <w:r w:rsidR="000B21DB">
        <w:rPr>
          <w:lang w:val="ru-RU"/>
        </w:rPr>
        <w:t>ключевых</w:t>
      </w:r>
      <w:r w:rsidR="000B21DB" w:rsidRPr="000B21DB">
        <w:rPr>
          <w:lang w:val="ru-RU"/>
        </w:rPr>
        <w:t xml:space="preserve"> </w:t>
      </w:r>
      <w:r w:rsidR="000B21DB">
        <w:rPr>
          <w:lang w:val="ru-RU"/>
        </w:rPr>
        <w:t>тезисов</w:t>
      </w:r>
      <w:r w:rsidR="000B21DB" w:rsidRPr="000B21DB">
        <w:rPr>
          <w:lang w:val="ru-RU"/>
        </w:rPr>
        <w:t xml:space="preserve"> </w:t>
      </w:r>
      <w:r w:rsidR="000B21DB">
        <w:rPr>
          <w:lang w:val="ru-RU"/>
        </w:rPr>
        <w:t>Конвенции</w:t>
      </w:r>
      <w:r w:rsidR="000B21DB" w:rsidRPr="000B21DB">
        <w:rPr>
          <w:lang w:val="ru-RU"/>
        </w:rPr>
        <w:t xml:space="preserve"> 2003</w:t>
      </w:r>
      <w:r w:rsidR="000B21DB" w:rsidRPr="000B21DB">
        <w:rPr>
          <w:lang w:val="en-US"/>
        </w:rPr>
        <w:t> </w:t>
      </w:r>
      <w:r w:rsidR="000B21DB">
        <w:rPr>
          <w:lang w:val="ru-RU"/>
        </w:rPr>
        <w:t>г</w:t>
      </w:r>
      <w:r w:rsidR="000B21DB" w:rsidRPr="000B21DB">
        <w:rPr>
          <w:lang w:val="ru-RU"/>
        </w:rPr>
        <w:t xml:space="preserve">. </w:t>
      </w:r>
      <w:r w:rsidR="000B21DB">
        <w:rPr>
          <w:lang w:val="ru-RU"/>
        </w:rPr>
        <w:t>и</w:t>
      </w:r>
      <w:r w:rsidR="000B21DB" w:rsidRPr="000B21DB">
        <w:rPr>
          <w:lang w:val="ru-RU"/>
        </w:rPr>
        <w:t xml:space="preserve"> </w:t>
      </w:r>
      <w:r w:rsidR="000B21DB">
        <w:rPr>
          <w:lang w:val="ru-RU"/>
        </w:rPr>
        <w:t xml:space="preserve">графических </w:t>
      </w:r>
      <w:r w:rsidR="000B21DB" w:rsidRPr="000B21DB">
        <w:rPr>
          <w:lang w:val="ru-RU"/>
        </w:rPr>
        <w:t xml:space="preserve">параметров будущих коммуникационных материалов </w:t>
      </w:r>
      <w:r w:rsidR="00C902E0" w:rsidRPr="000B21DB">
        <w:rPr>
          <w:lang w:val="ru-RU"/>
        </w:rPr>
        <w:t>(</w:t>
      </w:r>
      <w:r w:rsidR="0053571E" w:rsidRPr="000B21DB">
        <w:rPr>
          <w:lang w:val="ru-RU"/>
        </w:rPr>
        <w:t>см. докум</w:t>
      </w:r>
      <w:r w:rsidR="0053571E" w:rsidRPr="00B15C2E">
        <w:rPr>
          <w:lang w:val="ru-RU"/>
        </w:rPr>
        <w:t>ент</w:t>
      </w:r>
      <w:r w:rsidR="00C902E0" w:rsidRPr="00B15C2E">
        <w:rPr>
          <w:lang w:val="ru-RU"/>
        </w:rPr>
        <w:t xml:space="preserve"> </w:t>
      </w:r>
      <w:hyperlink r:id="rId33" w:history="1">
        <w:r w:rsidR="00C902E0" w:rsidRPr="00E22EA0">
          <w:rPr>
            <w:rStyle w:val="Hyperlink"/>
            <w:rFonts w:cs="Arial"/>
            <w:lang w:val="en-US"/>
          </w:rPr>
          <w:t>ITH</w:t>
        </w:r>
        <w:r w:rsidR="00C902E0" w:rsidRPr="00E22EA0">
          <w:rPr>
            <w:rStyle w:val="Hyperlink"/>
            <w:rFonts w:cs="Arial"/>
            <w:lang w:val="ru-RU"/>
          </w:rPr>
          <w:t>/18/7.</w:t>
        </w:r>
        <w:r w:rsidR="00C902E0" w:rsidRPr="00E22EA0">
          <w:rPr>
            <w:rStyle w:val="Hyperlink"/>
            <w:rFonts w:cs="Arial"/>
            <w:lang w:val="en-US"/>
          </w:rPr>
          <w:t>GA</w:t>
        </w:r>
        <w:r w:rsidR="00C902E0" w:rsidRPr="00E22EA0">
          <w:rPr>
            <w:rStyle w:val="Hyperlink"/>
            <w:rFonts w:cs="Arial"/>
            <w:lang w:val="ru-RU"/>
          </w:rPr>
          <w:t>/</w:t>
        </w:r>
        <w:r w:rsidR="00C902E0" w:rsidRPr="00E22EA0">
          <w:rPr>
            <w:rStyle w:val="Hyperlink"/>
            <w:rFonts w:cs="Arial"/>
            <w:lang w:val="en-US"/>
          </w:rPr>
          <w:t>INF</w:t>
        </w:r>
        <w:r w:rsidR="00C902E0" w:rsidRPr="00E22EA0">
          <w:rPr>
            <w:rStyle w:val="Hyperlink"/>
            <w:rFonts w:cs="Arial"/>
            <w:lang w:val="ru-RU"/>
          </w:rPr>
          <w:t>.7</w:t>
        </w:r>
      </w:hyperlink>
      <w:r w:rsidR="00C902E0" w:rsidRPr="000B21DB">
        <w:rPr>
          <w:lang w:val="ru-RU"/>
        </w:rPr>
        <w:t xml:space="preserve"> </w:t>
      </w:r>
      <w:r w:rsidR="0053571E" w:rsidRPr="000B21DB">
        <w:rPr>
          <w:lang w:val="ru-RU"/>
        </w:rPr>
        <w:t>для более подробной информации</w:t>
      </w:r>
      <w:r w:rsidR="00C902E0" w:rsidRPr="000B21DB">
        <w:rPr>
          <w:lang w:val="ru-RU"/>
        </w:rPr>
        <w:t>).</w:t>
      </w:r>
      <w:r w:rsidR="00767CAD" w:rsidRPr="000B21DB">
        <w:rPr>
          <w:lang w:val="ru-RU"/>
        </w:rPr>
        <w:t xml:space="preserve"> </w:t>
      </w:r>
    </w:p>
    <w:p w:rsidR="00C902E0" w:rsidRPr="00767CAD" w:rsidRDefault="00C902E0" w:rsidP="00430A07">
      <w:pPr>
        <w:pStyle w:val="COMPara"/>
        <w:keepNext/>
        <w:spacing w:before="360"/>
        <w:ind w:left="567" w:hanging="567"/>
        <w:jc w:val="both"/>
        <w:rPr>
          <w:b/>
          <w:lang w:val="ru-RU"/>
        </w:rPr>
      </w:pPr>
      <w:r w:rsidRPr="00FF1667">
        <w:rPr>
          <w:b/>
        </w:rPr>
        <w:t>II</w:t>
      </w:r>
      <w:r>
        <w:rPr>
          <w:b/>
        </w:rPr>
        <w:t>I</w:t>
      </w:r>
      <w:r w:rsidRPr="00767CAD">
        <w:rPr>
          <w:b/>
          <w:lang w:val="ru-RU"/>
        </w:rPr>
        <w:t>.</w:t>
      </w:r>
      <w:r w:rsidRPr="00767CAD">
        <w:rPr>
          <w:b/>
          <w:lang w:val="ru-RU"/>
        </w:rPr>
        <w:tab/>
      </w:r>
      <w:r w:rsidR="00F45502">
        <w:rPr>
          <w:b/>
          <w:lang w:val="ru-RU"/>
        </w:rPr>
        <w:t>Основные</w:t>
      </w:r>
      <w:r w:rsidR="00F45502" w:rsidRPr="00767CAD">
        <w:rPr>
          <w:b/>
          <w:lang w:val="ru-RU"/>
        </w:rPr>
        <w:t xml:space="preserve"> </w:t>
      </w:r>
      <w:r w:rsidR="00F45502">
        <w:rPr>
          <w:b/>
          <w:lang w:val="ru-RU"/>
        </w:rPr>
        <w:t>проблемы</w:t>
      </w:r>
      <w:r w:rsidR="00F45502" w:rsidRPr="00767CAD">
        <w:rPr>
          <w:b/>
          <w:lang w:val="ru-RU"/>
        </w:rPr>
        <w:t xml:space="preserve"> </w:t>
      </w:r>
      <w:r w:rsidR="00F45502">
        <w:rPr>
          <w:b/>
          <w:lang w:val="ru-RU"/>
        </w:rPr>
        <w:t>и</w:t>
      </w:r>
      <w:r w:rsidR="00F45502" w:rsidRPr="00767CAD">
        <w:rPr>
          <w:b/>
          <w:lang w:val="ru-RU"/>
        </w:rPr>
        <w:t xml:space="preserve"> </w:t>
      </w:r>
      <w:r w:rsidR="00F45502">
        <w:rPr>
          <w:b/>
          <w:lang w:val="ru-RU"/>
        </w:rPr>
        <w:t>перспективы</w:t>
      </w:r>
    </w:p>
    <w:p w:rsidR="00C902E0" w:rsidRPr="006E6935" w:rsidRDefault="00406482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6E6935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6E6935">
        <w:rPr>
          <w:lang w:val="ru-RU"/>
        </w:rPr>
        <w:t xml:space="preserve"> </w:t>
      </w:r>
      <w:r>
        <w:rPr>
          <w:lang w:val="ru-RU"/>
        </w:rPr>
        <w:t>отчетного</w:t>
      </w:r>
      <w:r w:rsidRPr="006E6935">
        <w:rPr>
          <w:lang w:val="ru-RU"/>
        </w:rPr>
        <w:t xml:space="preserve"> </w:t>
      </w:r>
      <w:r>
        <w:rPr>
          <w:lang w:val="ru-RU"/>
        </w:rPr>
        <w:t>периода</w:t>
      </w:r>
      <w:r w:rsidRPr="006E6935">
        <w:rPr>
          <w:lang w:val="ru-RU"/>
        </w:rPr>
        <w:t xml:space="preserve"> </w:t>
      </w:r>
      <w:r w:rsidR="009B269C">
        <w:rPr>
          <w:lang w:val="ru-RU"/>
        </w:rPr>
        <w:t>главное</w:t>
      </w:r>
      <w:r w:rsidRPr="006E6935">
        <w:rPr>
          <w:lang w:val="ru-RU"/>
        </w:rPr>
        <w:t xml:space="preserve"> </w:t>
      </w:r>
      <w:r>
        <w:rPr>
          <w:lang w:val="ru-RU"/>
        </w:rPr>
        <w:t>внимание</w:t>
      </w:r>
      <w:r w:rsidRPr="006E6935">
        <w:rPr>
          <w:lang w:val="ru-RU"/>
        </w:rPr>
        <w:t xml:space="preserve"> </w:t>
      </w:r>
      <w:r>
        <w:rPr>
          <w:lang w:val="ru-RU"/>
        </w:rPr>
        <w:t>в</w:t>
      </w:r>
      <w:r w:rsidRPr="006E6935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E6935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6E6935">
        <w:rPr>
          <w:lang w:val="ru-RU"/>
        </w:rPr>
        <w:t xml:space="preserve"> </w:t>
      </w:r>
      <w:r>
        <w:rPr>
          <w:lang w:val="ru-RU"/>
        </w:rPr>
        <w:t>уделялось</w:t>
      </w:r>
      <w:r w:rsidRPr="006E6935">
        <w:rPr>
          <w:lang w:val="ru-RU"/>
        </w:rPr>
        <w:t xml:space="preserve"> </w:t>
      </w:r>
      <w:r>
        <w:rPr>
          <w:lang w:val="ru-RU"/>
        </w:rPr>
        <w:t>двум</w:t>
      </w:r>
      <w:r w:rsidRPr="006E6935">
        <w:rPr>
          <w:lang w:val="ru-RU"/>
        </w:rPr>
        <w:t xml:space="preserve"> </w:t>
      </w:r>
      <w:r>
        <w:rPr>
          <w:lang w:val="ru-RU"/>
        </w:rPr>
        <w:t>основным</w:t>
      </w:r>
      <w:r w:rsidRPr="006E6935">
        <w:rPr>
          <w:lang w:val="ru-RU"/>
        </w:rPr>
        <w:t xml:space="preserve"> </w:t>
      </w:r>
      <w:r>
        <w:rPr>
          <w:lang w:val="ru-RU"/>
        </w:rPr>
        <w:t>направлениям</w:t>
      </w:r>
      <w:r w:rsidRPr="006E6935">
        <w:rPr>
          <w:lang w:val="ru-RU"/>
        </w:rPr>
        <w:t xml:space="preserve"> </w:t>
      </w:r>
      <w:r>
        <w:rPr>
          <w:lang w:val="ru-RU"/>
        </w:rPr>
        <w:t>при</w:t>
      </w:r>
      <w:r w:rsidRPr="006E6935">
        <w:rPr>
          <w:lang w:val="ru-RU"/>
        </w:rPr>
        <w:t xml:space="preserve"> </w:t>
      </w:r>
      <w:r>
        <w:rPr>
          <w:lang w:val="ru-RU"/>
        </w:rPr>
        <w:t>расширении</w:t>
      </w:r>
      <w:r w:rsidRPr="006E6935">
        <w:rPr>
          <w:lang w:val="ru-RU"/>
        </w:rPr>
        <w:t xml:space="preserve"> </w:t>
      </w:r>
      <w:r w:rsidR="00274239">
        <w:rPr>
          <w:lang w:val="ru-RU"/>
        </w:rPr>
        <w:t>ее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на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несколько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новых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областей</w:t>
      </w:r>
      <w:r w:rsidR="00274239" w:rsidRPr="006E6935">
        <w:rPr>
          <w:lang w:val="ru-RU"/>
        </w:rPr>
        <w:t xml:space="preserve">. </w:t>
      </w:r>
      <w:r w:rsidR="00274239">
        <w:rPr>
          <w:lang w:val="ru-RU"/>
        </w:rPr>
        <w:t>Первое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из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этих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направлений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касается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поддержки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управления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Конвенцией</w:t>
      </w:r>
      <w:r w:rsidR="00274239" w:rsidRPr="006E6935">
        <w:rPr>
          <w:lang w:val="ru-RU"/>
        </w:rPr>
        <w:t xml:space="preserve">, </w:t>
      </w:r>
      <w:r w:rsidR="00274239">
        <w:rPr>
          <w:lang w:val="ru-RU"/>
        </w:rPr>
        <w:t>в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частности</w:t>
      </w:r>
      <w:r w:rsidR="00274239" w:rsidRPr="006E6935">
        <w:rPr>
          <w:lang w:val="ru-RU"/>
        </w:rPr>
        <w:t xml:space="preserve">, </w:t>
      </w:r>
      <w:r w:rsidR="00274239">
        <w:rPr>
          <w:lang w:val="ru-RU"/>
        </w:rPr>
        <w:t>организации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большого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числа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регламентных</w:t>
      </w:r>
      <w:r w:rsidR="00274239" w:rsidRPr="006E6935">
        <w:rPr>
          <w:lang w:val="ru-RU"/>
        </w:rPr>
        <w:t xml:space="preserve"> </w:t>
      </w:r>
      <w:r w:rsidR="00274239">
        <w:rPr>
          <w:lang w:val="ru-RU"/>
        </w:rPr>
        <w:t>совещаний</w:t>
      </w:r>
      <w:r w:rsidR="00274239" w:rsidRPr="006E6935">
        <w:rPr>
          <w:lang w:val="ru-RU"/>
        </w:rPr>
        <w:t xml:space="preserve">, </w:t>
      </w:r>
      <w:r w:rsidR="004177EE">
        <w:rPr>
          <w:lang w:val="ru-RU"/>
        </w:rPr>
        <w:t>обработки</w:t>
      </w:r>
      <w:r w:rsidR="004177EE" w:rsidRPr="006E6935">
        <w:rPr>
          <w:lang w:val="ru-RU"/>
        </w:rPr>
        <w:t xml:space="preserve"> </w:t>
      </w:r>
      <w:r w:rsidR="004177EE">
        <w:rPr>
          <w:lang w:val="ru-RU"/>
        </w:rPr>
        <w:t>номинаций</w:t>
      </w:r>
      <w:r w:rsidR="004177EE" w:rsidRPr="006E6935">
        <w:rPr>
          <w:lang w:val="ru-RU"/>
        </w:rPr>
        <w:t xml:space="preserve">, </w:t>
      </w:r>
      <w:r w:rsidR="004177EE">
        <w:rPr>
          <w:lang w:val="ru-RU"/>
        </w:rPr>
        <w:t>заявок</w:t>
      </w:r>
      <w:r w:rsidR="004177EE" w:rsidRPr="006E6935">
        <w:rPr>
          <w:lang w:val="ru-RU"/>
        </w:rPr>
        <w:t xml:space="preserve"> </w:t>
      </w:r>
      <w:r w:rsidR="004177EE">
        <w:rPr>
          <w:lang w:val="ru-RU"/>
        </w:rPr>
        <w:t>и</w:t>
      </w:r>
      <w:r w:rsidR="004177EE" w:rsidRPr="006E6935">
        <w:rPr>
          <w:lang w:val="ru-RU"/>
        </w:rPr>
        <w:t xml:space="preserve"> </w:t>
      </w:r>
      <w:r w:rsidR="004177EE">
        <w:rPr>
          <w:lang w:val="ru-RU"/>
        </w:rPr>
        <w:t>докладов</w:t>
      </w:r>
      <w:r w:rsidR="004177EE" w:rsidRPr="006E6935">
        <w:rPr>
          <w:lang w:val="ru-RU"/>
        </w:rPr>
        <w:t xml:space="preserve">, </w:t>
      </w:r>
      <w:r w:rsidR="004177EE">
        <w:rPr>
          <w:lang w:val="ru-RU"/>
        </w:rPr>
        <w:t>представляемых</w:t>
      </w:r>
      <w:r w:rsidR="004177EE" w:rsidRPr="006E6935">
        <w:rPr>
          <w:lang w:val="ru-RU"/>
        </w:rPr>
        <w:t xml:space="preserve"> </w:t>
      </w:r>
      <w:r w:rsidR="004177EE">
        <w:rPr>
          <w:lang w:val="ru-RU"/>
        </w:rPr>
        <w:t>через</w:t>
      </w:r>
      <w:r w:rsidR="004177EE" w:rsidRPr="006E6935">
        <w:rPr>
          <w:lang w:val="ru-RU"/>
        </w:rPr>
        <w:t xml:space="preserve"> </w:t>
      </w:r>
      <w:r w:rsidR="004177EE">
        <w:rPr>
          <w:lang w:val="ru-RU"/>
        </w:rPr>
        <w:t>официальные</w:t>
      </w:r>
      <w:r w:rsidR="004177EE" w:rsidRPr="006E6935">
        <w:rPr>
          <w:lang w:val="ru-RU"/>
        </w:rPr>
        <w:t xml:space="preserve"> </w:t>
      </w:r>
      <w:r w:rsidR="004177EE">
        <w:rPr>
          <w:lang w:val="ru-RU"/>
        </w:rPr>
        <w:t>механизмы</w:t>
      </w:r>
      <w:r w:rsidR="004177EE" w:rsidRPr="006E6935">
        <w:rPr>
          <w:lang w:val="ru-RU"/>
        </w:rPr>
        <w:t>.</w:t>
      </w:r>
      <w:r w:rsidR="00820245" w:rsidRPr="006E6935">
        <w:rPr>
          <w:lang w:val="ru-RU"/>
        </w:rPr>
        <w:t xml:space="preserve"> </w:t>
      </w:r>
      <w:r w:rsidR="00820245">
        <w:rPr>
          <w:lang w:val="ru-RU"/>
        </w:rPr>
        <w:t>Ряд</w:t>
      </w:r>
      <w:r w:rsidR="00820245" w:rsidRPr="001178E8">
        <w:rPr>
          <w:lang w:val="ru-RU"/>
        </w:rPr>
        <w:t xml:space="preserve"> </w:t>
      </w:r>
      <w:r w:rsidR="00820245">
        <w:rPr>
          <w:lang w:val="ru-RU"/>
        </w:rPr>
        <w:t>корректировок</w:t>
      </w:r>
      <w:r w:rsidR="00820245" w:rsidRPr="001178E8">
        <w:rPr>
          <w:lang w:val="ru-RU"/>
        </w:rPr>
        <w:t xml:space="preserve">, </w:t>
      </w:r>
      <w:r w:rsidR="00820245">
        <w:rPr>
          <w:lang w:val="ru-RU"/>
        </w:rPr>
        <w:t>сделанных</w:t>
      </w:r>
      <w:r w:rsidR="00820245" w:rsidRPr="001178E8">
        <w:rPr>
          <w:lang w:val="ru-RU"/>
        </w:rPr>
        <w:t xml:space="preserve"> </w:t>
      </w:r>
      <w:r w:rsidR="00820245">
        <w:rPr>
          <w:lang w:val="ru-RU"/>
        </w:rPr>
        <w:t>для</w:t>
      </w:r>
      <w:r w:rsidR="00820245" w:rsidRPr="001178E8">
        <w:rPr>
          <w:lang w:val="ru-RU"/>
        </w:rPr>
        <w:t xml:space="preserve"> </w:t>
      </w:r>
      <w:r w:rsidR="00820245">
        <w:rPr>
          <w:lang w:val="ru-RU"/>
        </w:rPr>
        <w:t>улучшения</w:t>
      </w:r>
      <w:r w:rsidR="00820245" w:rsidRPr="001178E8">
        <w:rPr>
          <w:lang w:val="ru-RU"/>
        </w:rPr>
        <w:t xml:space="preserve"> </w:t>
      </w:r>
      <w:r w:rsidR="00820245">
        <w:rPr>
          <w:lang w:val="ru-RU"/>
        </w:rPr>
        <w:t>методов</w:t>
      </w:r>
      <w:r w:rsidR="00820245" w:rsidRPr="001178E8">
        <w:rPr>
          <w:lang w:val="ru-RU"/>
        </w:rPr>
        <w:t xml:space="preserve"> </w:t>
      </w:r>
      <w:r w:rsidR="00820245">
        <w:rPr>
          <w:lang w:val="ru-RU"/>
        </w:rPr>
        <w:t>работы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и</w:t>
      </w:r>
      <w:r w:rsidR="00820245" w:rsidRPr="001178E8">
        <w:rPr>
          <w:lang w:val="ru-RU"/>
        </w:rPr>
        <w:t xml:space="preserve"> </w:t>
      </w:r>
      <w:r w:rsidR="00086975">
        <w:rPr>
          <w:lang w:val="ru-RU"/>
        </w:rPr>
        <w:t>охарактеризованных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в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настоящем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документе</w:t>
      </w:r>
      <w:r w:rsidR="00086975" w:rsidRPr="001178E8">
        <w:rPr>
          <w:lang w:val="ru-RU"/>
        </w:rPr>
        <w:t xml:space="preserve">, </w:t>
      </w:r>
      <w:r w:rsidR="00086975">
        <w:rPr>
          <w:lang w:val="ru-RU"/>
        </w:rPr>
        <w:t>позволил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Секретариату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своевременно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реагировать</w:t>
      </w:r>
      <w:r w:rsidR="00086975" w:rsidRPr="001178E8">
        <w:rPr>
          <w:lang w:val="ru-RU"/>
        </w:rPr>
        <w:t xml:space="preserve"> </w:t>
      </w:r>
      <w:r w:rsidR="00086975">
        <w:rPr>
          <w:lang w:val="ru-RU"/>
        </w:rPr>
        <w:t>на</w:t>
      </w:r>
      <w:r w:rsidR="001178E8" w:rsidRPr="001178E8">
        <w:rPr>
          <w:lang w:val="ru-RU"/>
        </w:rPr>
        <w:t xml:space="preserve"> про</w:t>
      </w:r>
      <w:r w:rsidR="00BE3D65">
        <w:rPr>
          <w:lang w:val="ru-RU"/>
        </w:rPr>
        <w:t>блемный</w:t>
      </w:r>
      <w:r w:rsidR="00BE3D65" w:rsidRPr="001178E8">
        <w:rPr>
          <w:lang w:val="ru-RU"/>
        </w:rPr>
        <w:t xml:space="preserve"> </w:t>
      </w:r>
      <w:r w:rsidR="00BE3D65">
        <w:rPr>
          <w:lang w:val="ru-RU"/>
        </w:rPr>
        <w:t>объем</w:t>
      </w:r>
      <w:r w:rsidR="00BE3D65" w:rsidRPr="001178E8">
        <w:rPr>
          <w:lang w:val="ru-RU"/>
        </w:rPr>
        <w:t xml:space="preserve"> </w:t>
      </w:r>
      <w:r w:rsidR="00BE3D65">
        <w:rPr>
          <w:lang w:val="ru-RU"/>
        </w:rPr>
        <w:t>сложных</w:t>
      </w:r>
      <w:r w:rsidR="00BE3D65" w:rsidRPr="001178E8">
        <w:rPr>
          <w:lang w:val="ru-RU"/>
        </w:rPr>
        <w:t xml:space="preserve"> </w:t>
      </w:r>
      <w:r w:rsidR="00BE3D65">
        <w:rPr>
          <w:lang w:val="ru-RU"/>
        </w:rPr>
        <w:t>уставных</w:t>
      </w:r>
      <w:r w:rsidR="00BE3D65" w:rsidRPr="001178E8">
        <w:rPr>
          <w:lang w:val="ru-RU"/>
        </w:rPr>
        <w:t xml:space="preserve"> </w:t>
      </w:r>
      <w:r w:rsidR="00BE3D65">
        <w:rPr>
          <w:lang w:val="ru-RU"/>
        </w:rPr>
        <w:t>задач</w:t>
      </w:r>
      <w:r w:rsidR="00BE3D65" w:rsidRPr="001178E8">
        <w:rPr>
          <w:lang w:val="ru-RU"/>
        </w:rPr>
        <w:t xml:space="preserve">. </w:t>
      </w:r>
      <w:r w:rsidR="00BE3D65">
        <w:rPr>
          <w:lang w:val="ru-RU"/>
        </w:rPr>
        <w:t>Второе</w:t>
      </w:r>
      <w:r w:rsidR="00BE3D65" w:rsidRPr="006B7326">
        <w:rPr>
          <w:lang w:val="ru-RU"/>
        </w:rPr>
        <w:t xml:space="preserve"> </w:t>
      </w:r>
      <w:r w:rsidR="00BE3D65">
        <w:rPr>
          <w:lang w:val="ru-RU"/>
        </w:rPr>
        <w:t>направление</w:t>
      </w:r>
      <w:r w:rsidR="00BE3D65" w:rsidRPr="006B7326">
        <w:rPr>
          <w:lang w:val="ru-RU"/>
        </w:rPr>
        <w:t xml:space="preserve"> </w:t>
      </w:r>
      <w:r w:rsidR="00BE3D65">
        <w:rPr>
          <w:lang w:val="ru-RU"/>
        </w:rPr>
        <w:t>связано</w:t>
      </w:r>
      <w:r w:rsidR="00BE3D65" w:rsidRPr="006B7326">
        <w:rPr>
          <w:lang w:val="ru-RU"/>
        </w:rPr>
        <w:t xml:space="preserve"> </w:t>
      </w:r>
      <w:r w:rsidR="00BE3D65">
        <w:rPr>
          <w:lang w:val="ru-RU"/>
        </w:rPr>
        <w:t>с</w:t>
      </w:r>
      <w:r w:rsidR="00BE3D65" w:rsidRPr="006B7326">
        <w:rPr>
          <w:lang w:val="ru-RU"/>
        </w:rPr>
        <w:t xml:space="preserve"> </w:t>
      </w:r>
      <w:r w:rsidR="001178E8">
        <w:rPr>
          <w:lang w:val="ru-RU"/>
        </w:rPr>
        <w:t>устойчивым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выполнением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глобальной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программы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по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укреплению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потенциала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с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расширением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географического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охвата</w:t>
      </w:r>
      <w:r w:rsidR="001178E8" w:rsidRPr="006B7326">
        <w:rPr>
          <w:lang w:val="ru-RU"/>
        </w:rPr>
        <w:t xml:space="preserve"> </w:t>
      </w:r>
      <w:r w:rsidR="001178E8">
        <w:rPr>
          <w:lang w:val="ru-RU"/>
        </w:rPr>
        <w:t>и</w:t>
      </w:r>
      <w:r w:rsidR="001178E8" w:rsidRPr="006B7326">
        <w:rPr>
          <w:lang w:val="ru-RU"/>
        </w:rPr>
        <w:t xml:space="preserve"> </w:t>
      </w:r>
      <w:r w:rsidR="006B7326">
        <w:rPr>
          <w:lang w:val="ru-RU"/>
        </w:rPr>
        <w:t xml:space="preserve">все более активном участием различных, в том </w:t>
      </w:r>
      <w:r w:rsidR="006B7326">
        <w:rPr>
          <w:lang w:val="ru-RU"/>
        </w:rPr>
        <w:lastRenderedPageBreak/>
        <w:t>числе новых, партнеров. Бенефициарами</w:t>
      </w:r>
      <w:r w:rsidR="006B7326" w:rsidRPr="007D1721">
        <w:rPr>
          <w:lang w:val="ru-RU"/>
        </w:rPr>
        <w:t xml:space="preserve"> </w:t>
      </w:r>
      <w:r w:rsidR="006B7326">
        <w:rPr>
          <w:lang w:val="ru-RU"/>
        </w:rPr>
        <w:t>программы</w:t>
      </w:r>
      <w:r w:rsidR="006B7326" w:rsidRPr="007D1721">
        <w:rPr>
          <w:lang w:val="ru-RU"/>
        </w:rPr>
        <w:t xml:space="preserve"> </w:t>
      </w:r>
      <w:r w:rsidR="007D1721">
        <w:rPr>
          <w:lang w:val="ru-RU"/>
        </w:rPr>
        <w:t xml:space="preserve">стали более семидесяти стран, что само по себе является значительным достижением. </w:t>
      </w:r>
      <w:r w:rsidR="007D2284">
        <w:rPr>
          <w:lang w:val="ru-RU"/>
        </w:rPr>
        <w:t>Завершив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шестой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год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реализации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программы</w:t>
      </w:r>
      <w:r w:rsidR="007D2284" w:rsidRPr="00B149B1">
        <w:rPr>
          <w:lang w:val="ru-RU"/>
        </w:rPr>
        <w:t xml:space="preserve">, </w:t>
      </w:r>
      <w:r w:rsidR="007D2284">
        <w:rPr>
          <w:lang w:val="ru-RU"/>
        </w:rPr>
        <w:t>Секция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провела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мероприятия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по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оценке</w:t>
      </w:r>
      <w:r w:rsidR="007D2284" w:rsidRPr="00B149B1">
        <w:rPr>
          <w:lang w:val="ru-RU"/>
        </w:rPr>
        <w:t xml:space="preserve"> </w:t>
      </w:r>
      <w:r w:rsidR="007D2284">
        <w:rPr>
          <w:lang w:val="ru-RU"/>
        </w:rPr>
        <w:t>ее</w:t>
      </w:r>
      <w:r w:rsidR="007D2284" w:rsidRPr="00B149B1">
        <w:rPr>
          <w:lang w:val="ru-RU"/>
        </w:rPr>
        <w:t xml:space="preserve"> </w:t>
      </w:r>
      <w:r w:rsidR="00B149B1">
        <w:rPr>
          <w:lang w:val="ru-RU"/>
        </w:rPr>
        <w:t>значимости</w:t>
      </w:r>
      <w:r w:rsidR="00B149B1" w:rsidRPr="00B149B1">
        <w:rPr>
          <w:lang w:val="ru-RU"/>
        </w:rPr>
        <w:t xml:space="preserve"> </w:t>
      </w:r>
      <w:r w:rsidR="00B149B1">
        <w:rPr>
          <w:lang w:val="ru-RU"/>
        </w:rPr>
        <w:t>и</w:t>
      </w:r>
      <w:r w:rsidR="00B149B1" w:rsidRPr="00B149B1">
        <w:rPr>
          <w:lang w:val="ru-RU"/>
        </w:rPr>
        <w:t xml:space="preserve"> </w:t>
      </w:r>
      <w:r w:rsidR="00B149B1">
        <w:rPr>
          <w:lang w:val="ru-RU"/>
        </w:rPr>
        <w:t xml:space="preserve">определила стратегические перспективы. </w:t>
      </w:r>
      <w:r w:rsidR="001E46C9">
        <w:rPr>
          <w:lang w:val="ru-RU"/>
        </w:rPr>
        <w:t>В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дополнение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к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этим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двум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направлениям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деятельности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работа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Секретариата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способствовала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расширению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процесс</w:t>
      </w:r>
      <w:r w:rsidR="000A6704">
        <w:rPr>
          <w:lang w:val="ru-RU"/>
        </w:rPr>
        <w:t>а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выполнения</w:t>
      </w:r>
      <w:r w:rsidR="001E46C9" w:rsidRPr="001A102F">
        <w:rPr>
          <w:lang w:val="ru-RU"/>
        </w:rPr>
        <w:t xml:space="preserve"> </w:t>
      </w:r>
      <w:r w:rsidR="001E46C9">
        <w:rPr>
          <w:lang w:val="ru-RU"/>
        </w:rPr>
        <w:t>Конвенции</w:t>
      </w:r>
      <w:r w:rsidR="000A6704" w:rsidRPr="001A102F">
        <w:rPr>
          <w:lang w:val="ru-RU"/>
        </w:rPr>
        <w:t xml:space="preserve">, </w:t>
      </w:r>
      <w:r w:rsidR="000A6704">
        <w:rPr>
          <w:lang w:val="ru-RU"/>
        </w:rPr>
        <w:t>о</w:t>
      </w:r>
      <w:r w:rsidR="000A6704" w:rsidRPr="001A102F">
        <w:rPr>
          <w:lang w:val="ru-RU"/>
        </w:rPr>
        <w:t xml:space="preserve"> </w:t>
      </w:r>
      <w:r w:rsidR="000A6704">
        <w:rPr>
          <w:lang w:val="ru-RU"/>
        </w:rPr>
        <w:t>чем</w:t>
      </w:r>
      <w:r w:rsidR="000A6704" w:rsidRPr="001A102F">
        <w:rPr>
          <w:lang w:val="ru-RU"/>
        </w:rPr>
        <w:t xml:space="preserve"> </w:t>
      </w:r>
      <w:r w:rsidR="000A6704">
        <w:rPr>
          <w:lang w:val="ru-RU"/>
        </w:rPr>
        <w:t>говорилось</w:t>
      </w:r>
      <w:r w:rsidR="000A6704" w:rsidRPr="001A102F">
        <w:rPr>
          <w:lang w:val="ru-RU"/>
        </w:rPr>
        <w:t xml:space="preserve"> </w:t>
      </w:r>
      <w:r w:rsidR="000A6704">
        <w:rPr>
          <w:lang w:val="ru-RU"/>
        </w:rPr>
        <w:t>выше</w:t>
      </w:r>
      <w:r w:rsidR="00CC69BE" w:rsidRPr="001A102F">
        <w:rPr>
          <w:lang w:val="ru-RU"/>
        </w:rPr>
        <w:t xml:space="preserve">; </w:t>
      </w:r>
      <w:r w:rsidR="00CC69BE">
        <w:rPr>
          <w:lang w:val="ru-RU"/>
        </w:rPr>
        <w:t>это</w:t>
      </w:r>
      <w:r w:rsidR="00CC69BE" w:rsidRPr="001A102F">
        <w:rPr>
          <w:lang w:val="ru-RU"/>
        </w:rPr>
        <w:t xml:space="preserve"> </w:t>
      </w:r>
      <w:r w:rsidR="00CC69BE">
        <w:rPr>
          <w:lang w:val="ru-RU"/>
        </w:rPr>
        <w:t>касается</w:t>
      </w:r>
      <w:r w:rsidR="00CC69BE" w:rsidRPr="001A102F">
        <w:rPr>
          <w:lang w:val="ru-RU"/>
        </w:rPr>
        <w:t xml:space="preserve"> </w:t>
      </w:r>
      <w:r w:rsidR="00CC69BE">
        <w:rPr>
          <w:lang w:val="ru-RU"/>
        </w:rPr>
        <w:t>разработки</w:t>
      </w:r>
      <w:r w:rsidR="00CC69BE" w:rsidRPr="001A102F">
        <w:rPr>
          <w:lang w:val="ru-RU"/>
        </w:rPr>
        <w:t xml:space="preserve"> </w:t>
      </w:r>
      <w:r w:rsidR="00CC69BE">
        <w:rPr>
          <w:lang w:val="ru-RU"/>
        </w:rPr>
        <w:t>общей</w:t>
      </w:r>
      <w:r w:rsidR="00CC69BE" w:rsidRPr="001A102F">
        <w:rPr>
          <w:lang w:val="ru-RU"/>
        </w:rPr>
        <w:t xml:space="preserve"> </w:t>
      </w:r>
      <w:r w:rsidR="004604A4">
        <w:rPr>
          <w:lang w:val="ru-RU"/>
        </w:rPr>
        <w:t>системы оценки</w:t>
      </w:r>
      <w:r w:rsidR="004604A4" w:rsidRPr="001A102F">
        <w:rPr>
          <w:lang w:val="ru-RU"/>
        </w:rPr>
        <w:t xml:space="preserve"> </w:t>
      </w:r>
      <w:r w:rsidR="00CC69BE">
        <w:rPr>
          <w:lang w:val="ru-RU"/>
        </w:rPr>
        <w:t>результатов</w:t>
      </w:r>
      <w:r w:rsidR="00CC69BE" w:rsidRPr="001A102F">
        <w:rPr>
          <w:lang w:val="ru-RU"/>
        </w:rPr>
        <w:t xml:space="preserve">, </w:t>
      </w:r>
      <w:r w:rsidR="00476E16">
        <w:rPr>
          <w:lang w:val="ru-RU"/>
        </w:rPr>
        <w:t>нового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тематического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обсуждения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проблем</w:t>
      </w:r>
      <w:r w:rsidR="001A102F">
        <w:rPr>
          <w:lang w:val="ru-RU"/>
        </w:rPr>
        <w:t>ы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нематериального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культурного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наследия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в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чрезвычайных</w:t>
      </w:r>
      <w:r w:rsidR="00476E16" w:rsidRPr="001A102F">
        <w:rPr>
          <w:lang w:val="ru-RU"/>
        </w:rPr>
        <w:t xml:space="preserve"> </w:t>
      </w:r>
      <w:r w:rsidR="00476E16">
        <w:rPr>
          <w:lang w:val="ru-RU"/>
        </w:rPr>
        <w:t>ситуациях</w:t>
      </w:r>
      <w:r w:rsidR="001A102F">
        <w:rPr>
          <w:lang w:val="ru-RU"/>
        </w:rPr>
        <w:t xml:space="preserve"> и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>проблемы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>нематериального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>культурного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>наследия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>и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>образования</w:t>
      </w:r>
      <w:r w:rsidR="001A102F" w:rsidRPr="001A102F">
        <w:rPr>
          <w:lang w:val="ru-RU"/>
        </w:rPr>
        <w:t xml:space="preserve">, </w:t>
      </w:r>
      <w:r w:rsidR="001A102F">
        <w:rPr>
          <w:lang w:val="ru-RU"/>
        </w:rPr>
        <w:t>а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>также</w:t>
      </w:r>
      <w:r w:rsidR="001A102F" w:rsidRPr="001A102F">
        <w:rPr>
          <w:lang w:val="ru-RU"/>
        </w:rPr>
        <w:t xml:space="preserve"> </w:t>
      </w:r>
      <w:r w:rsidR="001A102F">
        <w:rPr>
          <w:lang w:val="ru-RU"/>
        </w:rPr>
        <w:t xml:space="preserve">разработки просветительско-информационного плана. </w:t>
      </w:r>
      <w:r w:rsidR="00FA1B2C">
        <w:rPr>
          <w:lang w:val="ru-RU"/>
        </w:rPr>
        <w:t>Новаторский</w:t>
      </w:r>
      <w:r w:rsidR="00FA1B2C" w:rsidRPr="007B6724">
        <w:rPr>
          <w:lang w:val="ru-RU"/>
        </w:rPr>
        <w:t xml:space="preserve"> </w:t>
      </w:r>
      <w:r w:rsidR="00FA1B2C">
        <w:rPr>
          <w:lang w:val="ru-RU"/>
        </w:rPr>
        <w:t>характер</w:t>
      </w:r>
      <w:r w:rsidR="00FA1B2C" w:rsidRPr="007B6724">
        <w:rPr>
          <w:lang w:val="ru-RU"/>
        </w:rPr>
        <w:t xml:space="preserve"> </w:t>
      </w:r>
      <w:r w:rsidR="00FA1B2C">
        <w:rPr>
          <w:lang w:val="ru-RU"/>
        </w:rPr>
        <w:t>этих</w:t>
      </w:r>
      <w:r w:rsidR="00FA1B2C" w:rsidRPr="007B6724">
        <w:rPr>
          <w:lang w:val="ru-RU"/>
        </w:rPr>
        <w:t xml:space="preserve"> </w:t>
      </w:r>
      <w:r w:rsidR="0069214A">
        <w:rPr>
          <w:lang w:val="ru-RU"/>
        </w:rPr>
        <w:t>мероприятий</w:t>
      </w:r>
      <w:r w:rsidR="0069214A" w:rsidRPr="007B6724">
        <w:rPr>
          <w:lang w:val="ru-RU"/>
        </w:rPr>
        <w:t xml:space="preserve"> </w:t>
      </w:r>
      <w:r w:rsidR="0069214A">
        <w:rPr>
          <w:lang w:val="ru-RU"/>
        </w:rPr>
        <w:t>означает</w:t>
      </w:r>
      <w:r w:rsidR="0069214A" w:rsidRPr="007B6724">
        <w:rPr>
          <w:lang w:val="ru-RU"/>
        </w:rPr>
        <w:t xml:space="preserve">, </w:t>
      </w:r>
      <w:r w:rsidR="0069214A">
        <w:rPr>
          <w:lang w:val="ru-RU"/>
        </w:rPr>
        <w:t>что</w:t>
      </w:r>
      <w:r w:rsidR="0069214A" w:rsidRPr="007B6724">
        <w:rPr>
          <w:lang w:val="ru-RU"/>
        </w:rPr>
        <w:t xml:space="preserve"> </w:t>
      </w:r>
      <w:r w:rsidR="0069214A">
        <w:rPr>
          <w:lang w:val="ru-RU"/>
        </w:rPr>
        <w:t>Секретариату</w:t>
      </w:r>
      <w:r w:rsidR="0069214A" w:rsidRPr="007B6724">
        <w:rPr>
          <w:lang w:val="ru-RU"/>
        </w:rPr>
        <w:t xml:space="preserve"> </w:t>
      </w:r>
      <w:r w:rsidR="0069214A">
        <w:rPr>
          <w:lang w:val="ru-RU"/>
        </w:rPr>
        <w:t>необходимо</w:t>
      </w:r>
      <w:r w:rsidR="0069214A" w:rsidRPr="007B6724">
        <w:rPr>
          <w:lang w:val="ru-RU"/>
        </w:rPr>
        <w:t xml:space="preserve"> </w:t>
      </w:r>
      <w:r w:rsidR="0069214A">
        <w:rPr>
          <w:lang w:val="ru-RU"/>
        </w:rPr>
        <w:t>провести</w:t>
      </w:r>
      <w:r w:rsidR="0069214A" w:rsidRPr="007B6724">
        <w:rPr>
          <w:lang w:val="ru-RU"/>
        </w:rPr>
        <w:t xml:space="preserve"> </w:t>
      </w:r>
      <w:r w:rsidR="0069214A">
        <w:rPr>
          <w:lang w:val="ru-RU"/>
        </w:rPr>
        <w:t>тщательн</w:t>
      </w:r>
      <w:r w:rsidR="00FB3C4B">
        <w:rPr>
          <w:lang w:val="ru-RU"/>
        </w:rPr>
        <w:t>ые</w:t>
      </w:r>
      <w:r w:rsidR="00FB3C4B" w:rsidRPr="007B6724">
        <w:rPr>
          <w:lang w:val="ru-RU"/>
        </w:rPr>
        <w:t xml:space="preserve"> </w:t>
      </w:r>
      <w:r w:rsidR="00FB3C4B">
        <w:rPr>
          <w:lang w:val="ru-RU"/>
        </w:rPr>
        <w:t>исследования</w:t>
      </w:r>
      <w:r w:rsidR="00FB3C4B" w:rsidRPr="007B6724">
        <w:rPr>
          <w:lang w:val="ru-RU"/>
        </w:rPr>
        <w:t>,</w:t>
      </w:r>
      <w:r w:rsidR="0069214A" w:rsidRPr="007B6724">
        <w:rPr>
          <w:lang w:val="ru-RU"/>
        </w:rPr>
        <w:t xml:space="preserve"> </w:t>
      </w:r>
      <w:r w:rsidR="00FB3C4B">
        <w:rPr>
          <w:lang w:val="ru-RU"/>
        </w:rPr>
        <w:t>консультации</w:t>
      </w:r>
      <w:r w:rsidR="00FB3C4B" w:rsidRPr="007B6724">
        <w:rPr>
          <w:lang w:val="ru-RU"/>
        </w:rPr>
        <w:t xml:space="preserve"> </w:t>
      </w:r>
      <w:r w:rsidR="00FB3C4B">
        <w:rPr>
          <w:lang w:val="ru-RU"/>
        </w:rPr>
        <w:t>и</w:t>
      </w:r>
      <w:r w:rsidR="00FB3C4B" w:rsidRPr="007B6724">
        <w:rPr>
          <w:lang w:val="ru-RU"/>
        </w:rPr>
        <w:t xml:space="preserve"> </w:t>
      </w:r>
      <w:r w:rsidR="007B6724">
        <w:rPr>
          <w:lang w:val="ru-RU"/>
        </w:rPr>
        <w:t>анализ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для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того</w:t>
      </w:r>
      <w:r w:rsidR="007B6724" w:rsidRPr="007B6724">
        <w:rPr>
          <w:lang w:val="ru-RU"/>
        </w:rPr>
        <w:t xml:space="preserve">, </w:t>
      </w:r>
      <w:r w:rsidR="007B6724">
        <w:rPr>
          <w:lang w:val="ru-RU"/>
        </w:rPr>
        <w:t>чтобы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представить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на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рассмотрение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руководящих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органов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>Конвенции</w:t>
      </w:r>
      <w:r w:rsidR="007B6724" w:rsidRPr="007B6724">
        <w:rPr>
          <w:lang w:val="ru-RU"/>
        </w:rPr>
        <w:t xml:space="preserve"> </w:t>
      </w:r>
      <w:r w:rsidR="007B6724">
        <w:rPr>
          <w:lang w:val="ru-RU"/>
        </w:rPr>
        <w:t xml:space="preserve">содержательные предложения. </w:t>
      </w:r>
    </w:p>
    <w:p w:rsidR="00C902E0" w:rsidRPr="0075536B" w:rsidRDefault="00423B21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В текущей работе Секретариата можно выделить три основные проблемы. </w:t>
      </w:r>
      <w:r w:rsidR="00D95A8A">
        <w:rPr>
          <w:lang w:val="ru-RU"/>
        </w:rPr>
        <w:t>Первая</w:t>
      </w:r>
      <w:r w:rsidR="00D95A8A" w:rsidRPr="008168D6">
        <w:rPr>
          <w:lang w:val="ru-RU"/>
        </w:rPr>
        <w:t xml:space="preserve"> – </w:t>
      </w:r>
      <w:r w:rsidR="00D95A8A">
        <w:rPr>
          <w:lang w:val="ru-RU"/>
        </w:rPr>
        <w:t>это</w:t>
      </w:r>
      <w:r w:rsidR="00D95A8A" w:rsidRPr="008168D6">
        <w:rPr>
          <w:lang w:val="ru-RU"/>
        </w:rPr>
        <w:t xml:space="preserve"> </w:t>
      </w:r>
      <w:r w:rsidR="008168D6">
        <w:rPr>
          <w:lang w:val="ru-RU"/>
        </w:rPr>
        <w:t xml:space="preserve">неизменно низкий уровень реализации МП </w:t>
      </w:r>
      <w:r w:rsidR="00470AC0">
        <w:rPr>
          <w:lang w:val="ru-RU"/>
        </w:rPr>
        <w:t>по линии</w:t>
      </w:r>
      <w:r w:rsidR="008168D6">
        <w:rPr>
          <w:lang w:val="ru-RU"/>
        </w:rPr>
        <w:t xml:space="preserve"> Фонда нематериального культурного наследия. </w:t>
      </w:r>
      <w:r w:rsidR="00470AC0">
        <w:rPr>
          <w:lang w:val="ru-RU"/>
        </w:rPr>
        <w:t>Сознавая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настоятельную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необходимость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обеспечения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более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легкого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доступа</w:t>
      </w:r>
      <w:r w:rsidR="00470AC0" w:rsidRPr="006231A6">
        <w:rPr>
          <w:lang w:val="ru-RU"/>
        </w:rPr>
        <w:t xml:space="preserve"> </w:t>
      </w:r>
      <w:r w:rsidR="00BE781B">
        <w:rPr>
          <w:lang w:val="ru-RU"/>
        </w:rPr>
        <w:t>государств</w:t>
      </w:r>
      <w:r w:rsidR="00BE781B" w:rsidRPr="006231A6">
        <w:rPr>
          <w:lang w:val="ru-RU"/>
        </w:rPr>
        <w:t>-</w:t>
      </w:r>
      <w:r w:rsidR="00BE781B">
        <w:rPr>
          <w:lang w:val="ru-RU"/>
        </w:rPr>
        <w:t>участников</w:t>
      </w:r>
      <w:r w:rsidR="00BE781B" w:rsidRPr="006231A6">
        <w:rPr>
          <w:lang w:val="ru-RU"/>
        </w:rPr>
        <w:t xml:space="preserve"> </w:t>
      </w:r>
      <w:r w:rsidR="00470AC0">
        <w:rPr>
          <w:lang w:val="ru-RU"/>
        </w:rPr>
        <w:t>к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этому</w:t>
      </w:r>
      <w:r w:rsidR="00470AC0" w:rsidRPr="006231A6">
        <w:rPr>
          <w:lang w:val="ru-RU"/>
        </w:rPr>
        <w:t xml:space="preserve"> </w:t>
      </w:r>
      <w:r w:rsidR="00470AC0">
        <w:rPr>
          <w:lang w:val="ru-RU"/>
        </w:rPr>
        <w:t>ресурсу</w:t>
      </w:r>
      <w:r w:rsidR="00470AC0" w:rsidRPr="006231A6">
        <w:rPr>
          <w:lang w:val="ru-RU"/>
        </w:rPr>
        <w:t xml:space="preserve">, </w:t>
      </w:r>
      <w:r w:rsidR="00BE781B">
        <w:rPr>
          <w:lang w:val="ru-RU"/>
        </w:rPr>
        <w:t>Секретариат</w:t>
      </w:r>
      <w:r w:rsidR="00BE781B" w:rsidRPr="006231A6">
        <w:rPr>
          <w:lang w:val="ru-RU"/>
        </w:rPr>
        <w:t xml:space="preserve"> </w:t>
      </w:r>
      <w:r w:rsidR="006231A6">
        <w:rPr>
          <w:lang w:val="ru-RU"/>
        </w:rPr>
        <w:t>занимается</w:t>
      </w:r>
      <w:r w:rsidR="002E1DEF" w:rsidRPr="006231A6">
        <w:rPr>
          <w:lang w:val="ru-RU"/>
        </w:rPr>
        <w:t xml:space="preserve"> </w:t>
      </w:r>
      <w:r w:rsidR="002E1DEF">
        <w:rPr>
          <w:lang w:val="ru-RU"/>
        </w:rPr>
        <w:t>эт</w:t>
      </w:r>
      <w:r w:rsidR="006231A6">
        <w:rPr>
          <w:lang w:val="ru-RU"/>
        </w:rPr>
        <w:t>им</w:t>
      </w:r>
      <w:r w:rsidR="002E1DEF" w:rsidRPr="006231A6">
        <w:rPr>
          <w:lang w:val="ru-RU"/>
        </w:rPr>
        <w:t xml:space="preserve"> </w:t>
      </w:r>
      <w:r w:rsidR="002E1DEF">
        <w:rPr>
          <w:lang w:val="ru-RU"/>
        </w:rPr>
        <w:t>вопрос</w:t>
      </w:r>
      <w:r w:rsidR="006231A6">
        <w:rPr>
          <w:lang w:val="ru-RU"/>
        </w:rPr>
        <w:t>ом</w:t>
      </w:r>
      <w:r w:rsidR="002E1DEF" w:rsidRPr="006231A6">
        <w:rPr>
          <w:lang w:val="ru-RU"/>
        </w:rPr>
        <w:t xml:space="preserve"> </w:t>
      </w:r>
      <w:r w:rsidR="002E1DEF">
        <w:rPr>
          <w:lang w:val="ru-RU"/>
        </w:rPr>
        <w:t>посредством</w:t>
      </w:r>
      <w:r w:rsidR="002E1DEF" w:rsidRPr="006231A6">
        <w:rPr>
          <w:lang w:val="ru-RU"/>
        </w:rPr>
        <w:t xml:space="preserve"> </w:t>
      </w:r>
      <w:r w:rsidR="002E1DEF">
        <w:rPr>
          <w:lang w:val="ru-RU"/>
        </w:rPr>
        <w:t>творческих</w:t>
      </w:r>
      <w:r w:rsidR="002E1DEF" w:rsidRPr="006231A6">
        <w:rPr>
          <w:lang w:val="ru-RU"/>
        </w:rPr>
        <w:t xml:space="preserve"> </w:t>
      </w:r>
      <w:r w:rsidR="002E1DEF">
        <w:rPr>
          <w:lang w:val="ru-RU"/>
        </w:rPr>
        <w:t>решений</w:t>
      </w:r>
      <w:r w:rsidR="006231A6">
        <w:rPr>
          <w:lang w:val="ru-RU"/>
        </w:rPr>
        <w:t xml:space="preserve">, о чем упоминалось ранее в данном документе. </w:t>
      </w:r>
      <w:r w:rsidR="008D4815">
        <w:rPr>
          <w:lang w:val="ru-RU"/>
        </w:rPr>
        <w:t>На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>настоящей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>сессии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>Генеральной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>ассамблеи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>представлены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>также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>новые</w:t>
      </w:r>
      <w:r w:rsidR="008D4815" w:rsidRPr="008D4815">
        <w:rPr>
          <w:lang w:val="ru-RU"/>
        </w:rPr>
        <w:t xml:space="preserve"> </w:t>
      </w:r>
      <w:r w:rsidR="008D4815">
        <w:rPr>
          <w:lang w:val="ru-RU"/>
        </w:rPr>
        <w:t xml:space="preserve">меры по исправлению положения. </w:t>
      </w:r>
      <w:r w:rsidR="00E70565">
        <w:rPr>
          <w:lang w:val="ru-RU"/>
        </w:rPr>
        <w:t>Вторая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проблема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касается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реализации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стратегии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по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укреплению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потенциала</w:t>
      </w:r>
      <w:r w:rsidR="00E70565" w:rsidRPr="002B6D30">
        <w:rPr>
          <w:lang w:val="ru-RU"/>
        </w:rPr>
        <w:t xml:space="preserve">, </w:t>
      </w:r>
      <w:r w:rsidR="00E70565">
        <w:rPr>
          <w:lang w:val="ru-RU"/>
        </w:rPr>
        <w:t>поскольку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спрос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по</w:t>
      </w:r>
      <w:r w:rsidR="00E70565" w:rsidRPr="002B6D30">
        <w:rPr>
          <w:lang w:val="ru-RU"/>
        </w:rPr>
        <w:t>-</w:t>
      </w:r>
      <w:r w:rsidR="00E70565">
        <w:rPr>
          <w:lang w:val="ru-RU"/>
        </w:rPr>
        <w:t>прежнему</w:t>
      </w:r>
      <w:r w:rsidR="00E70565" w:rsidRPr="002B6D30">
        <w:rPr>
          <w:lang w:val="ru-RU"/>
        </w:rPr>
        <w:t xml:space="preserve"> </w:t>
      </w:r>
      <w:r w:rsidR="00E70565">
        <w:rPr>
          <w:lang w:val="ru-RU"/>
        </w:rPr>
        <w:t>превышает</w:t>
      </w:r>
      <w:r w:rsidR="00E70565" w:rsidRPr="002B6D30">
        <w:rPr>
          <w:lang w:val="ru-RU"/>
        </w:rPr>
        <w:t xml:space="preserve"> </w:t>
      </w:r>
      <w:r w:rsidR="002B6D30">
        <w:rPr>
          <w:lang w:val="ru-RU"/>
        </w:rPr>
        <w:t>потенциальные возможности. Поскольку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значительная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часть</w:t>
      </w:r>
      <w:r w:rsidR="002B6D30" w:rsidRPr="004B4BB6">
        <w:rPr>
          <w:lang w:val="ru-RU"/>
        </w:rPr>
        <w:t xml:space="preserve"> (65%) </w:t>
      </w:r>
      <w:r w:rsidR="002B6D30">
        <w:rPr>
          <w:lang w:val="ru-RU"/>
        </w:rPr>
        <w:t>бюджета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Регулярной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программы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двухгодичного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периода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для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Секции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нематериального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культурного</w:t>
      </w:r>
      <w:r w:rsidR="002B6D30" w:rsidRPr="004B4BB6">
        <w:rPr>
          <w:lang w:val="ru-RU"/>
        </w:rPr>
        <w:t xml:space="preserve"> </w:t>
      </w:r>
      <w:r w:rsidR="002B6D30">
        <w:rPr>
          <w:lang w:val="ru-RU"/>
        </w:rPr>
        <w:t>наследия</w:t>
      </w:r>
      <w:r w:rsidR="00BA2AE8" w:rsidRPr="004B4BB6">
        <w:rPr>
          <w:lang w:val="ru-RU"/>
        </w:rPr>
        <w:t xml:space="preserve"> </w:t>
      </w:r>
      <w:r w:rsidR="00BA2AE8">
        <w:rPr>
          <w:lang w:val="ru-RU"/>
        </w:rPr>
        <w:t>выделена</w:t>
      </w:r>
      <w:r w:rsidR="00BA2AE8" w:rsidRPr="004B4BB6">
        <w:rPr>
          <w:lang w:val="ru-RU"/>
        </w:rPr>
        <w:t xml:space="preserve"> </w:t>
      </w:r>
      <w:r w:rsidR="00BA2AE8">
        <w:rPr>
          <w:lang w:val="ru-RU"/>
        </w:rPr>
        <w:t>на</w:t>
      </w:r>
      <w:r w:rsidR="00BA2AE8" w:rsidRPr="004B4BB6">
        <w:rPr>
          <w:lang w:val="ru-RU"/>
        </w:rPr>
        <w:t xml:space="preserve"> </w:t>
      </w:r>
      <w:r w:rsidR="00BA2AE8">
        <w:rPr>
          <w:lang w:val="ru-RU"/>
        </w:rPr>
        <w:t>покрытие</w:t>
      </w:r>
      <w:r w:rsidR="00BA2AE8" w:rsidRPr="004B4BB6">
        <w:rPr>
          <w:lang w:val="ru-RU"/>
        </w:rPr>
        <w:t xml:space="preserve"> </w:t>
      </w:r>
      <w:r w:rsidR="00BA2AE8">
        <w:rPr>
          <w:lang w:val="ru-RU"/>
        </w:rPr>
        <w:t>расходов</w:t>
      </w:r>
      <w:r w:rsidR="002B613B">
        <w:rPr>
          <w:lang w:val="ru-RU"/>
        </w:rPr>
        <w:t>, связанных с выполнением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уставных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требований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Конвенции</w:t>
      </w:r>
      <w:r w:rsidR="001B1626" w:rsidRPr="004B4BB6">
        <w:rPr>
          <w:lang w:val="ru-RU"/>
        </w:rPr>
        <w:t xml:space="preserve">, </w:t>
      </w:r>
      <w:r w:rsidR="001B1626">
        <w:rPr>
          <w:lang w:val="ru-RU"/>
        </w:rPr>
        <w:t>усилия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Секретариата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по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мобилизации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ресурсов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были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в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основном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сосредоточены</w:t>
      </w:r>
      <w:r w:rsidR="001B1626" w:rsidRPr="004B4BB6">
        <w:rPr>
          <w:lang w:val="ru-RU"/>
        </w:rPr>
        <w:t xml:space="preserve"> </w:t>
      </w:r>
      <w:r w:rsidR="001B1626">
        <w:rPr>
          <w:lang w:val="ru-RU"/>
        </w:rPr>
        <w:t>на</w:t>
      </w:r>
      <w:r w:rsidR="001B1626" w:rsidRPr="004B4BB6">
        <w:rPr>
          <w:lang w:val="ru-RU"/>
        </w:rPr>
        <w:t xml:space="preserve"> </w:t>
      </w:r>
      <w:r w:rsidR="004B4BB6">
        <w:rPr>
          <w:lang w:val="ru-RU"/>
        </w:rPr>
        <w:t>расширении</w:t>
      </w:r>
      <w:r w:rsidR="004B4BB6" w:rsidRPr="004B4BB6">
        <w:rPr>
          <w:lang w:val="ru-RU"/>
        </w:rPr>
        <w:t xml:space="preserve"> </w:t>
      </w:r>
      <w:r w:rsidR="004B4BB6">
        <w:rPr>
          <w:lang w:val="ru-RU"/>
        </w:rPr>
        <w:t>охвата</w:t>
      </w:r>
      <w:r w:rsidR="004B4BB6" w:rsidRPr="004B4BB6">
        <w:rPr>
          <w:lang w:val="ru-RU"/>
        </w:rPr>
        <w:t xml:space="preserve"> </w:t>
      </w:r>
      <w:r w:rsidR="004B4BB6">
        <w:rPr>
          <w:lang w:val="ru-RU"/>
        </w:rPr>
        <w:t xml:space="preserve">и повышении эффективности глобальной стратегии по укреплению потенциала. </w:t>
      </w:r>
      <w:r w:rsidR="000E7187">
        <w:rPr>
          <w:lang w:val="ru-RU"/>
        </w:rPr>
        <w:t>Эта</w:t>
      </w:r>
      <w:r w:rsidR="000E7187" w:rsidRPr="00234FE1">
        <w:rPr>
          <w:lang w:val="ru-RU"/>
        </w:rPr>
        <w:t xml:space="preserve"> </w:t>
      </w:r>
      <w:r w:rsidR="000E7187">
        <w:rPr>
          <w:lang w:val="ru-RU"/>
        </w:rPr>
        <w:t>ситуация</w:t>
      </w:r>
      <w:r w:rsidR="000E7187" w:rsidRPr="00234FE1">
        <w:rPr>
          <w:lang w:val="ru-RU"/>
        </w:rPr>
        <w:t xml:space="preserve"> </w:t>
      </w:r>
      <w:r w:rsidR="000E7187">
        <w:rPr>
          <w:lang w:val="ru-RU"/>
        </w:rPr>
        <w:t>является</w:t>
      </w:r>
      <w:r w:rsidR="000E7187" w:rsidRPr="00234FE1">
        <w:rPr>
          <w:lang w:val="ru-RU"/>
        </w:rPr>
        <w:t xml:space="preserve"> </w:t>
      </w:r>
      <w:r w:rsidR="000E7187">
        <w:rPr>
          <w:lang w:val="ru-RU"/>
        </w:rPr>
        <w:t>весьма</w:t>
      </w:r>
      <w:r w:rsidR="000E7187" w:rsidRPr="00234FE1">
        <w:rPr>
          <w:lang w:val="ru-RU"/>
        </w:rPr>
        <w:t xml:space="preserve"> </w:t>
      </w:r>
      <w:r w:rsidR="000E7187">
        <w:rPr>
          <w:lang w:val="ru-RU"/>
        </w:rPr>
        <w:t>критической</w:t>
      </w:r>
      <w:r w:rsidR="000E7187" w:rsidRPr="00234FE1">
        <w:rPr>
          <w:lang w:val="ru-RU"/>
        </w:rPr>
        <w:t xml:space="preserve">, </w:t>
      </w:r>
      <w:r w:rsidR="000E7187">
        <w:rPr>
          <w:lang w:val="ru-RU"/>
        </w:rPr>
        <w:t>и</w:t>
      </w:r>
      <w:r w:rsidR="000E7187" w:rsidRPr="00234FE1">
        <w:rPr>
          <w:lang w:val="ru-RU"/>
        </w:rPr>
        <w:t xml:space="preserve"> </w:t>
      </w:r>
      <w:r w:rsidR="000E7187">
        <w:rPr>
          <w:lang w:val="ru-RU"/>
        </w:rPr>
        <w:t>Секретариат</w:t>
      </w:r>
      <w:r w:rsidR="000E7187" w:rsidRPr="00234FE1">
        <w:rPr>
          <w:lang w:val="ru-RU"/>
        </w:rPr>
        <w:t xml:space="preserve"> </w:t>
      </w:r>
      <w:r w:rsidR="000B5939">
        <w:rPr>
          <w:lang w:val="ru-RU"/>
        </w:rPr>
        <w:t>еще</w:t>
      </w:r>
      <w:r w:rsidR="000B5939" w:rsidRPr="00234FE1">
        <w:rPr>
          <w:lang w:val="ru-RU"/>
        </w:rPr>
        <w:t xml:space="preserve"> </w:t>
      </w:r>
      <w:r w:rsidR="000B5939">
        <w:rPr>
          <w:lang w:val="ru-RU"/>
        </w:rPr>
        <w:t>раз</w:t>
      </w:r>
      <w:r w:rsidR="000B5939" w:rsidRPr="00234FE1">
        <w:rPr>
          <w:lang w:val="ru-RU"/>
        </w:rPr>
        <w:t xml:space="preserve"> </w:t>
      </w:r>
      <w:r w:rsidR="000B5939">
        <w:rPr>
          <w:lang w:val="ru-RU"/>
        </w:rPr>
        <w:t>повторяет</w:t>
      </w:r>
      <w:r w:rsidR="000B5939" w:rsidRPr="00234FE1">
        <w:rPr>
          <w:lang w:val="ru-RU"/>
        </w:rPr>
        <w:t xml:space="preserve"> </w:t>
      </w:r>
      <w:r w:rsidR="000B5939">
        <w:rPr>
          <w:lang w:val="ru-RU"/>
        </w:rPr>
        <w:t>свой</w:t>
      </w:r>
      <w:r w:rsidR="000B5939" w:rsidRPr="00234FE1">
        <w:rPr>
          <w:lang w:val="ru-RU"/>
        </w:rPr>
        <w:t xml:space="preserve"> </w:t>
      </w:r>
      <w:r w:rsidR="000B5939">
        <w:rPr>
          <w:lang w:val="ru-RU"/>
        </w:rPr>
        <w:t>настоятельный</w:t>
      </w:r>
      <w:r w:rsidR="000B5939" w:rsidRPr="00234FE1">
        <w:rPr>
          <w:lang w:val="ru-RU"/>
        </w:rPr>
        <w:t xml:space="preserve"> </w:t>
      </w:r>
      <w:r w:rsidR="000B5939">
        <w:rPr>
          <w:lang w:val="ru-RU"/>
        </w:rPr>
        <w:t>призыв</w:t>
      </w:r>
      <w:r w:rsidR="000B5939" w:rsidRPr="00234FE1">
        <w:rPr>
          <w:lang w:val="ru-RU"/>
        </w:rPr>
        <w:t xml:space="preserve"> </w:t>
      </w:r>
      <w:r w:rsidR="006C7859">
        <w:rPr>
          <w:lang w:val="ru-RU"/>
        </w:rPr>
        <w:t>к</w:t>
      </w:r>
      <w:r w:rsidR="006C7859" w:rsidRPr="00234FE1">
        <w:rPr>
          <w:lang w:val="ru-RU"/>
        </w:rPr>
        <w:t xml:space="preserve"> </w:t>
      </w:r>
      <w:r w:rsidR="006C7859">
        <w:rPr>
          <w:lang w:val="ru-RU"/>
        </w:rPr>
        <w:t>потенциальным</w:t>
      </w:r>
      <w:r w:rsidR="006C7859" w:rsidRPr="00234FE1">
        <w:rPr>
          <w:lang w:val="ru-RU"/>
        </w:rPr>
        <w:t xml:space="preserve"> </w:t>
      </w:r>
      <w:r w:rsidR="006C7859">
        <w:rPr>
          <w:lang w:val="ru-RU"/>
        </w:rPr>
        <w:t>донорам</w:t>
      </w:r>
      <w:r w:rsidR="006C7859" w:rsidRPr="00234FE1">
        <w:rPr>
          <w:lang w:val="ru-RU"/>
        </w:rPr>
        <w:t xml:space="preserve"> </w:t>
      </w:r>
      <w:r w:rsidR="004E17B0">
        <w:rPr>
          <w:lang w:val="ru-RU"/>
        </w:rPr>
        <w:t>вносить</w:t>
      </w:r>
      <w:r w:rsidR="004E17B0" w:rsidRPr="00234FE1">
        <w:rPr>
          <w:lang w:val="ru-RU"/>
        </w:rPr>
        <w:t xml:space="preserve"> </w:t>
      </w:r>
      <w:r w:rsidR="004E17B0">
        <w:rPr>
          <w:lang w:val="ru-RU"/>
        </w:rPr>
        <w:t>взносы</w:t>
      </w:r>
      <w:r w:rsidR="004E17B0" w:rsidRPr="00234FE1">
        <w:rPr>
          <w:lang w:val="ru-RU"/>
        </w:rPr>
        <w:t xml:space="preserve"> </w:t>
      </w:r>
      <w:r w:rsidR="004E17B0">
        <w:rPr>
          <w:lang w:val="ru-RU"/>
        </w:rPr>
        <w:t>в</w:t>
      </w:r>
      <w:r w:rsidR="004E17B0" w:rsidRPr="00234FE1">
        <w:rPr>
          <w:lang w:val="ru-RU"/>
        </w:rPr>
        <w:t xml:space="preserve"> </w:t>
      </w:r>
      <w:r w:rsidR="004E17B0">
        <w:rPr>
          <w:lang w:val="ru-RU"/>
        </w:rPr>
        <w:t>пользу</w:t>
      </w:r>
      <w:r w:rsidR="004E17B0" w:rsidRPr="00234FE1">
        <w:rPr>
          <w:lang w:val="ru-RU"/>
        </w:rPr>
        <w:t xml:space="preserve"> </w:t>
      </w:r>
      <w:r w:rsidR="004E17B0">
        <w:rPr>
          <w:lang w:val="ru-RU"/>
        </w:rPr>
        <w:t>Конвенции</w:t>
      </w:r>
      <w:r w:rsidR="004E17B0" w:rsidRPr="00234FE1">
        <w:rPr>
          <w:lang w:val="ru-RU"/>
        </w:rPr>
        <w:t xml:space="preserve"> 2003</w:t>
      </w:r>
      <w:r w:rsidR="004E17B0" w:rsidRPr="004E17B0">
        <w:rPr>
          <w:lang w:val="en-US"/>
        </w:rPr>
        <w:t> </w:t>
      </w:r>
      <w:r w:rsidR="004E17B0">
        <w:rPr>
          <w:lang w:val="ru-RU"/>
        </w:rPr>
        <w:t>г</w:t>
      </w:r>
      <w:r w:rsidR="004E17B0" w:rsidRPr="00234FE1">
        <w:rPr>
          <w:lang w:val="ru-RU"/>
        </w:rPr>
        <w:t>.</w:t>
      </w:r>
      <w:r w:rsidR="00C902E0" w:rsidRPr="00234FE1">
        <w:rPr>
          <w:lang w:val="ru-RU"/>
        </w:rPr>
        <w:t xml:space="preserve"> </w:t>
      </w:r>
      <w:r w:rsidR="0028569D">
        <w:rPr>
          <w:lang w:val="ru-RU"/>
        </w:rPr>
        <w:t>Третья</w:t>
      </w:r>
      <w:r w:rsidR="0028569D" w:rsidRPr="00234FE1">
        <w:rPr>
          <w:lang w:val="ru-RU"/>
        </w:rPr>
        <w:t xml:space="preserve"> </w:t>
      </w:r>
      <w:r w:rsidR="0028569D">
        <w:rPr>
          <w:lang w:val="ru-RU"/>
        </w:rPr>
        <w:t>проблема</w:t>
      </w:r>
      <w:r w:rsidR="0028569D" w:rsidRPr="00234FE1">
        <w:rPr>
          <w:lang w:val="ru-RU"/>
        </w:rPr>
        <w:t xml:space="preserve"> </w:t>
      </w:r>
      <w:r w:rsidR="0028569D">
        <w:rPr>
          <w:lang w:val="ru-RU"/>
        </w:rPr>
        <w:t>связана</w:t>
      </w:r>
      <w:r w:rsidR="0028569D" w:rsidRPr="00234FE1">
        <w:rPr>
          <w:lang w:val="ru-RU"/>
        </w:rPr>
        <w:t xml:space="preserve"> </w:t>
      </w:r>
      <w:r w:rsidR="0028569D">
        <w:rPr>
          <w:lang w:val="ru-RU"/>
        </w:rPr>
        <w:t>с</w:t>
      </w:r>
      <w:r w:rsidR="0028569D" w:rsidRPr="00234FE1">
        <w:rPr>
          <w:lang w:val="ru-RU"/>
        </w:rPr>
        <w:t xml:space="preserve"> </w:t>
      </w:r>
      <w:r w:rsidR="00234FE1">
        <w:rPr>
          <w:lang w:val="ru-RU"/>
        </w:rPr>
        <w:t xml:space="preserve">просветительской и коммуникационной деятельностью, </w:t>
      </w:r>
      <w:r w:rsidR="00AF47DD">
        <w:rPr>
          <w:lang w:val="ru-RU"/>
        </w:rPr>
        <w:t xml:space="preserve">которая не только </w:t>
      </w:r>
      <w:r w:rsidR="00234FE1">
        <w:rPr>
          <w:lang w:val="ru-RU"/>
        </w:rPr>
        <w:t>име</w:t>
      </w:r>
      <w:r w:rsidR="00AF47DD">
        <w:rPr>
          <w:lang w:val="ru-RU"/>
        </w:rPr>
        <w:t>ет</w:t>
      </w:r>
      <w:r w:rsidR="00234FE1">
        <w:rPr>
          <w:lang w:val="ru-RU"/>
        </w:rPr>
        <w:t xml:space="preserve"> решающее значение для </w:t>
      </w:r>
      <w:r w:rsidR="004D4F77">
        <w:rPr>
          <w:lang w:val="ru-RU"/>
        </w:rPr>
        <w:t>расширения признания важности охраны нематериального культурного наследия, но и</w:t>
      </w:r>
      <w:r w:rsidR="00AF47DD">
        <w:rPr>
          <w:lang w:val="ru-RU"/>
        </w:rPr>
        <w:t xml:space="preserve"> является самостоятельной мерой по охране. Секретариат</w:t>
      </w:r>
      <w:r w:rsidR="00AF47DD" w:rsidRPr="0075536B">
        <w:rPr>
          <w:lang w:val="ru-RU"/>
        </w:rPr>
        <w:t xml:space="preserve"> </w:t>
      </w:r>
      <w:r w:rsidR="00F64D20">
        <w:rPr>
          <w:lang w:val="ru-RU"/>
        </w:rPr>
        <w:t>выдвинул</w:t>
      </w:r>
      <w:r w:rsidR="00F64D20" w:rsidRPr="0075536B">
        <w:rPr>
          <w:lang w:val="ru-RU"/>
        </w:rPr>
        <w:t xml:space="preserve"> </w:t>
      </w:r>
      <w:r w:rsidR="00F64D20">
        <w:rPr>
          <w:lang w:val="ru-RU"/>
        </w:rPr>
        <w:t>новую</w:t>
      </w:r>
      <w:r w:rsidR="00F64D20" w:rsidRPr="0075536B">
        <w:rPr>
          <w:lang w:val="ru-RU"/>
        </w:rPr>
        <w:t xml:space="preserve"> </w:t>
      </w:r>
      <w:r w:rsidR="00F64D20">
        <w:rPr>
          <w:lang w:val="ru-RU"/>
        </w:rPr>
        <w:t>инициативу</w:t>
      </w:r>
      <w:r w:rsidR="00F64D20" w:rsidRPr="0075536B">
        <w:rPr>
          <w:lang w:val="ru-RU"/>
        </w:rPr>
        <w:t xml:space="preserve"> </w:t>
      </w:r>
      <w:r w:rsidR="00F64D20">
        <w:rPr>
          <w:lang w:val="ru-RU"/>
        </w:rPr>
        <w:t>по</w:t>
      </w:r>
      <w:r w:rsidR="00F64D20" w:rsidRPr="0075536B">
        <w:rPr>
          <w:lang w:val="ru-RU"/>
        </w:rPr>
        <w:t xml:space="preserve"> </w:t>
      </w:r>
      <w:r w:rsidR="00F64D20">
        <w:rPr>
          <w:lang w:val="ru-RU"/>
        </w:rPr>
        <w:t>разработке</w:t>
      </w:r>
      <w:r w:rsidR="00F64D20" w:rsidRPr="0075536B">
        <w:rPr>
          <w:lang w:val="ru-RU"/>
        </w:rPr>
        <w:t xml:space="preserve"> </w:t>
      </w:r>
      <w:r w:rsidR="00F64D20">
        <w:rPr>
          <w:lang w:val="ru-RU"/>
        </w:rPr>
        <w:t>просветительско</w:t>
      </w:r>
      <w:r w:rsidR="00F64D20" w:rsidRPr="0075536B">
        <w:rPr>
          <w:lang w:val="ru-RU"/>
        </w:rPr>
        <w:t>-</w:t>
      </w:r>
      <w:r w:rsidR="00F64D20">
        <w:rPr>
          <w:lang w:val="ru-RU"/>
        </w:rPr>
        <w:t>информационного</w:t>
      </w:r>
      <w:r w:rsidR="00F64D20" w:rsidRPr="0075536B">
        <w:rPr>
          <w:lang w:val="ru-RU"/>
        </w:rPr>
        <w:t xml:space="preserve"> </w:t>
      </w:r>
      <w:r w:rsidR="00F64D20">
        <w:rPr>
          <w:lang w:val="ru-RU"/>
        </w:rPr>
        <w:t>плана</w:t>
      </w:r>
      <w:r w:rsidR="00420F19" w:rsidRPr="0075536B">
        <w:rPr>
          <w:lang w:val="ru-RU"/>
        </w:rPr>
        <w:t xml:space="preserve">, чтобы иметь возможность </w:t>
      </w:r>
      <w:r w:rsidR="00420F19">
        <w:rPr>
          <w:lang w:val="ru-RU"/>
        </w:rPr>
        <w:t>лучше</w:t>
      </w:r>
      <w:r w:rsidR="00420F19" w:rsidRPr="0075536B">
        <w:rPr>
          <w:lang w:val="ru-RU"/>
        </w:rPr>
        <w:t xml:space="preserve"> </w:t>
      </w:r>
      <w:r w:rsidR="00420F19">
        <w:rPr>
          <w:lang w:val="ru-RU"/>
        </w:rPr>
        <w:t>поддерживать</w:t>
      </w:r>
      <w:r w:rsidR="00420F19" w:rsidRPr="0075536B">
        <w:rPr>
          <w:lang w:val="ru-RU"/>
        </w:rPr>
        <w:t xml:space="preserve"> </w:t>
      </w:r>
      <w:r w:rsidR="00420F19">
        <w:rPr>
          <w:lang w:val="ru-RU"/>
        </w:rPr>
        <w:t>цели</w:t>
      </w:r>
      <w:r w:rsidR="00420F19" w:rsidRPr="0075536B">
        <w:rPr>
          <w:lang w:val="ru-RU"/>
        </w:rPr>
        <w:t xml:space="preserve"> </w:t>
      </w:r>
      <w:r w:rsidR="00420F19">
        <w:rPr>
          <w:lang w:val="ru-RU"/>
        </w:rPr>
        <w:t>и</w:t>
      </w:r>
      <w:r w:rsidR="00420F19" w:rsidRPr="0075536B">
        <w:rPr>
          <w:lang w:val="ru-RU"/>
        </w:rPr>
        <w:t xml:space="preserve"> </w:t>
      </w:r>
      <w:r w:rsidR="00420F19">
        <w:rPr>
          <w:lang w:val="ru-RU"/>
        </w:rPr>
        <w:t>развитие</w:t>
      </w:r>
      <w:r w:rsidR="00420F19" w:rsidRPr="0075536B">
        <w:rPr>
          <w:lang w:val="ru-RU"/>
        </w:rPr>
        <w:t xml:space="preserve"> </w:t>
      </w:r>
      <w:r w:rsidR="00420F19">
        <w:rPr>
          <w:lang w:val="ru-RU"/>
        </w:rPr>
        <w:t>Конвенции</w:t>
      </w:r>
      <w:r w:rsidR="00420F19" w:rsidRPr="0075536B">
        <w:rPr>
          <w:lang w:val="ru-RU"/>
        </w:rPr>
        <w:t xml:space="preserve"> </w:t>
      </w:r>
      <w:r w:rsidR="00420F19">
        <w:rPr>
          <w:lang w:val="ru-RU"/>
        </w:rPr>
        <w:t>и</w:t>
      </w:r>
      <w:r w:rsidR="00420F19" w:rsidRPr="0075536B">
        <w:rPr>
          <w:lang w:val="ru-RU"/>
        </w:rPr>
        <w:t xml:space="preserve"> </w:t>
      </w:r>
      <w:r w:rsidR="00420F19">
        <w:rPr>
          <w:lang w:val="ru-RU"/>
        </w:rPr>
        <w:t>мобилизовать</w:t>
      </w:r>
      <w:r w:rsidR="00420F19" w:rsidRPr="0075536B">
        <w:rPr>
          <w:lang w:val="ru-RU"/>
        </w:rPr>
        <w:t xml:space="preserve"> </w:t>
      </w:r>
      <w:r w:rsidR="0075536B">
        <w:rPr>
          <w:lang w:val="ru-RU"/>
        </w:rPr>
        <w:t>финансовую поддержку в долгосрочной перспективе.</w:t>
      </w:r>
    </w:p>
    <w:p w:rsidR="00C902E0" w:rsidRPr="00043A53" w:rsidRDefault="0075536B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Жизнь</w:t>
      </w:r>
      <w:r w:rsidRPr="006E693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E6935">
        <w:rPr>
          <w:lang w:val="ru-RU"/>
        </w:rPr>
        <w:t xml:space="preserve"> </w:t>
      </w:r>
      <w:r>
        <w:rPr>
          <w:lang w:val="ru-RU"/>
        </w:rPr>
        <w:t>не</w:t>
      </w:r>
      <w:r w:rsidRPr="006E6935">
        <w:rPr>
          <w:lang w:val="ru-RU"/>
        </w:rPr>
        <w:t xml:space="preserve"> </w:t>
      </w:r>
      <w:r>
        <w:rPr>
          <w:lang w:val="ru-RU"/>
        </w:rPr>
        <w:t>статична</w:t>
      </w:r>
      <w:r w:rsidRPr="006E6935">
        <w:rPr>
          <w:lang w:val="ru-RU"/>
        </w:rPr>
        <w:t xml:space="preserve">. </w:t>
      </w:r>
      <w:r>
        <w:rPr>
          <w:lang w:val="ru-RU"/>
        </w:rPr>
        <w:t>Скорее</w:t>
      </w:r>
      <w:r w:rsidRPr="00781109">
        <w:rPr>
          <w:lang w:val="ru-RU"/>
        </w:rPr>
        <w:t xml:space="preserve">, </w:t>
      </w:r>
      <w:r w:rsidR="00781109">
        <w:rPr>
          <w:lang w:val="ru-RU"/>
        </w:rPr>
        <w:t>она</w:t>
      </w:r>
      <w:r w:rsidR="00781109" w:rsidRPr="00781109">
        <w:rPr>
          <w:lang w:val="ru-RU"/>
        </w:rPr>
        <w:t xml:space="preserve"> </w:t>
      </w:r>
      <w:r w:rsidR="00781109">
        <w:rPr>
          <w:lang w:val="ru-RU"/>
        </w:rPr>
        <w:t>постоянно</w:t>
      </w:r>
      <w:r w:rsidR="00781109" w:rsidRPr="00781109">
        <w:rPr>
          <w:lang w:val="ru-RU"/>
        </w:rPr>
        <w:t xml:space="preserve"> </w:t>
      </w:r>
      <w:r w:rsidR="00781109">
        <w:rPr>
          <w:lang w:val="ru-RU"/>
        </w:rPr>
        <w:t>растет</w:t>
      </w:r>
      <w:r w:rsidR="00781109" w:rsidRPr="00781109">
        <w:rPr>
          <w:lang w:val="ru-RU"/>
        </w:rPr>
        <w:t xml:space="preserve"> </w:t>
      </w:r>
      <w:r w:rsidR="00781109">
        <w:rPr>
          <w:lang w:val="ru-RU"/>
        </w:rPr>
        <w:t xml:space="preserve">в соответствии с потребностями международного сообщества; в свою очередь, работа Секретариата </w:t>
      </w:r>
      <w:r w:rsidR="00130F9B">
        <w:rPr>
          <w:lang w:val="ru-RU"/>
        </w:rPr>
        <w:t xml:space="preserve">строится вокруг этих изменений. </w:t>
      </w:r>
      <w:r w:rsidR="00B40F52">
        <w:rPr>
          <w:lang w:val="ru-RU"/>
        </w:rPr>
        <w:t>Вначале</w:t>
      </w:r>
      <w:r w:rsidR="00B40F52" w:rsidRPr="007634E0">
        <w:rPr>
          <w:lang w:val="ru-RU"/>
        </w:rPr>
        <w:t xml:space="preserve"> </w:t>
      </w:r>
      <w:r w:rsidR="00B40F52">
        <w:rPr>
          <w:lang w:val="ru-RU"/>
        </w:rPr>
        <w:t>значительные</w:t>
      </w:r>
      <w:r w:rsidR="00B40F52" w:rsidRPr="007634E0">
        <w:rPr>
          <w:lang w:val="ru-RU"/>
        </w:rPr>
        <w:t xml:space="preserve"> </w:t>
      </w:r>
      <w:r w:rsidR="00B40F52">
        <w:rPr>
          <w:lang w:val="ru-RU"/>
        </w:rPr>
        <w:t>усилия</w:t>
      </w:r>
      <w:r w:rsidR="00B40F52" w:rsidRPr="007634E0">
        <w:rPr>
          <w:lang w:val="ru-RU"/>
        </w:rPr>
        <w:t xml:space="preserve"> </w:t>
      </w:r>
      <w:r w:rsidR="00084A1A">
        <w:rPr>
          <w:lang w:val="ru-RU"/>
        </w:rPr>
        <w:t>направлялись</w:t>
      </w:r>
      <w:r w:rsidR="00084A1A" w:rsidRPr="007634E0">
        <w:rPr>
          <w:lang w:val="ru-RU"/>
        </w:rPr>
        <w:t xml:space="preserve"> </w:t>
      </w:r>
      <w:r w:rsidR="00084A1A">
        <w:rPr>
          <w:lang w:val="ru-RU"/>
        </w:rPr>
        <w:t>на</w:t>
      </w:r>
      <w:r w:rsidR="00084A1A" w:rsidRPr="007634E0">
        <w:rPr>
          <w:lang w:val="ru-RU"/>
        </w:rPr>
        <w:t xml:space="preserve"> </w:t>
      </w:r>
      <w:r w:rsidR="00084A1A">
        <w:rPr>
          <w:lang w:val="ru-RU"/>
        </w:rPr>
        <w:t>поощрение</w:t>
      </w:r>
      <w:r w:rsidR="00084A1A" w:rsidRPr="007634E0">
        <w:rPr>
          <w:lang w:val="ru-RU"/>
        </w:rPr>
        <w:t xml:space="preserve"> </w:t>
      </w:r>
      <w:r w:rsidR="00084A1A">
        <w:rPr>
          <w:lang w:val="ru-RU"/>
        </w:rPr>
        <w:t>ратификации</w:t>
      </w:r>
      <w:r w:rsidR="00084A1A" w:rsidRPr="007634E0">
        <w:rPr>
          <w:lang w:val="ru-RU"/>
        </w:rPr>
        <w:t xml:space="preserve"> </w:t>
      </w:r>
      <w:r w:rsidR="00084A1A">
        <w:rPr>
          <w:lang w:val="ru-RU"/>
        </w:rPr>
        <w:t>для</w:t>
      </w:r>
      <w:r w:rsidR="00084A1A" w:rsidRPr="007634E0">
        <w:rPr>
          <w:lang w:val="ru-RU"/>
        </w:rPr>
        <w:t xml:space="preserve"> </w:t>
      </w:r>
      <w:r w:rsidR="00084A1A">
        <w:rPr>
          <w:lang w:val="ru-RU"/>
        </w:rPr>
        <w:t>получения</w:t>
      </w:r>
      <w:r w:rsidR="00084A1A" w:rsidRPr="007634E0">
        <w:rPr>
          <w:lang w:val="ru-RU"/>
        </w:rPr>
        <w:t xml:space="preserve"> </w:t>
      </w:r>
      <w:r w:rsidR="00084A1A">
        <w:rPr>
          <w:lang w:val="ru-RU"/>
        </w:rPr>
        <w:t>международной</w:t>
      </w:r>
      <w:r w:rsidR="00084A1A" w:rsidRPr="007634E0">
        <w:rPr>
          <w:lang w:val="ru-RU"/>
        </w:rPr>
        <w:t xml:space="preserve"> </w:t>
      </w:r>
      <w:r w:rsidR="00084A1A">
        <w:rPr>
          <w:lang w:val="ru-RU"/>
        </w:rPr>
        <w:t>поддержки</w:t>
      </w:r>
      <w:r w:rsidR="00084A1A" w:rsidRPr="007634E0">
        <w:rPr>
          <w:lang w:val="ru-RU"/>
        </w:rPr>
        <w:t xml:space="preserve"> </w:t>
      </w:r>
      <w:r w:rsidR="007634E0">
        <w:rPr>
          <w:lang w:val="ru-RU"/>
        </w:rPr>
        <w:t>охраны</w:t>
      </w:r>
      <w:r w:rsidR="007634E0" w:rsidRPr="007634E0">
        <w:rPr>
          <w:lang w:val="ru-RU"/>
        </w:rPr>
        <w:t xml:space="preserve"> </w:t>
      </w:r>
      <w:r w:rsidR="007634E0">
        <w:rPr>
          <w:lang w:val="ru-RU"/>
        </w:rPr>
        <w:t>нематериального</w:t>
      </w:r>
      <w:r w:rsidR="007634E0" w:rsidRPr="007634E0">
        <w:rPr>
          <w:lang w:val="ru-RU"/>
        </w:rPr>
        <w:t xml:space="preserve"> </w:t>
      </w:r>
      <w:r w:rsidR="007634E0">
        <w:rPr>
          <w:lang w:val="ru-RU"/>
        </w:rPr>
        <w:t>культурного</w:t>
      </w:r>
      <w:r w:rsidR="007634E0" w:rsidRPr="007634E0">
        <w:rPr>
          <w:lang w:val="ru-RU"/>
        </w:rPr>
        <w:t xml:space="preserve"> </w:t>
      </w:r>
      <w:r w:rsidR="007634E0">
        <w:rPr>
          <w:lang w:val="ru-RU"/>
        </w:rPr>
        <w:t>наследия</w:t>
      </w:r>
      <w:r w:rsidR="007634E0" w:rsidRPr="007634E0">
        <w:rPr>
          <w:lang w:val="ru-RU"/>
        </w:rPr>
        <w:t xml:space="preserve">, </w:t>
      </w:r>
      <w:r w:rsidR="00AA241D" w:rsidRPr="007634E0">
        <w:rPr>
          <w:lang w:val="ru-RU"/>
        </w:rPr>
        <w:t xml:space="preserve">на то время </w:t>
      </w:r>
      <w:r w:rsidR="007634E0" w:rsidRPr="007634E0">
        <w:rPr>
          <w:lang w:val="ru-RU"/>
        </w:rPr>
        <w:t>нового понятия.</w:t>
      </w:r>
      <w:r w:rsidR="001647F6">
        <w:rPr>
          <w:lang w:val="ru-RU"/>
        </w:rPr>
        <w:t xml:space="preserve"> Следующим</w:t>
      </w:r>
      <w:r w:rsidR="001647F6" w:rsidRPr="00625D51">
        <w:rPr>
          <w:lang w:val="ru-RU"/>
        </w:rPr>
        <w:t xml:space="preserve"> </w:t>
      </w:r>
      <w:r w:rsidR="001647F6">
        <w:rPr>
          <w:lang w:val="ru-RU"/>
        </w:rPr>
        <w:t>шагом</w:t>
      </w:r>
      <w:r w:rsidR="001647F6" w:rsidRPr="00625D51">
        <w:rPr>
          <w:lang w:val="ru-RU"/>
        </w:rPr>
        <w:t xml:space="preserve"> </w:t>
      </w:r>
      <w:r w:rsidR="00091B7E">
        <w:rPr>
          <w:lang w:val="ru-RU"/>
        </w:rPr>
        <w:t>стал</w:t>
      </w:r>
      <w:r w:rsidR="00DA1015">
        <w:rPr>
          <w:lang w:val="ru-RU"/>
        </w:rPr>
        <w:t>о</w:t>
      </w:r>
      <w:r w:rsidR="00091B7E" w:rsidRPr="00625D51">
        <w:rPr>
          <w:lang w:val="ru-RU"/>
        </w:rPr>
        <w:t xml:space="preserve"> </w:t>
      </w:r>
      <w:r w:rsidR="00DA1015">
        <w:rPr>
          <w:lang w:val="ru-RU"/>
        </w:rPr>
        <w:t>учреждение</w:t>
      </w:r>
      <w:r w:rsidR="00091B7E" w:rsidRPr="00625D51">
        <w:rPr>
          <w:lang w:val="ru-RU"/>
        </w:rPr>
        <w:t xml:space="preserve"> </w:t>
      </w:r>
      <w:r w:rsidR="00091B7E">
        <w:rPr>
          <w:lang w:val="ru-RU"/>
        </w:rPr>
        <w:t>процедур</w:t>
      </w:r>
      <w:r w:rsidR="00091B7E" w:rsidRPr="00625D51">
        <w:rPr>
          <w:lang w:val="ru-RU"/>
        </w:rPr>
        <w:t xml:space="preserve"> </w:t>
      </w:r>
      <w:r w:rsidR="00153229">
        <w:rPr>
          <w:lang w:val="ru-RU"/>
        </w:rPr>
        <w:t>путем</w:t>
      </w:r>
      <w:r w:rsidR="00153229" w:rsidRPr="00625D51">
        <w:rPr>
          <w:lang w:val="ru-RU"/>
        </w:rPr>
        <w:t xml:space="preserve"> </w:t>
      </w:r>
      <w:r w:rsidR="00153229">
        <w:rPr>
          <w:lang w:val="ru-RU"/>
        </w:rPr>
        <w:t>разработки</w:t>
      </w:r>
      <w:r w:rsidR="00153229" w:rsidRPr="00625D51">
        <w:rPr>
          <w:lang w:val="ru-RU"/>
        </w:rPr>
        <w:t xml:space="preserve"> </w:t>
      </w:r>
      <w:r w:rsidR="00153229">
        <w:rPr>
          <w:lang w:val="ru-RU"/>
        </w:rPr>
        <w:t>Оперативного</w:t>
      </w:r>
      <w:r w:rsidR="00153229" w:rsidRPr="00625D51">
        <w:rPr>
          <w:lang w:val="ru-RU"/>
        </w:rPr>
        <w:t xml:space="preserve"> </w:t>
      </w:r>
      <w:r w:rsidR="00153229">
        <w:rPr>
          <w:lang w:val="ru-RU"/>
        </w:rPr>
        <w:t>руководства</w:t>
      </w:r>
      <w:r w:rsidR="001647F6" w:rsidRPr="00625D51">
        <w:rPr>
          <w:lang w:val="ru-RU"/>
        </w:rPr>
        <w:t xml:space="preserve"> </w:t>
      </w:r>
      <w:r w:rsidR="0091211B">
        <w:rPr>
          <w:lang w:val="ru-RU"/>
        </w:rPr>
        <w:t>и</w:t>
      </w:r>
      <w:r w:rsidR="0091211B" w:rsidRPr="00625D51">
        <w:rPr>
          <w:lang w:val="ru-RU"/>
        </w:rPr>
        <w:t xml:space="preserve"> </w:t>
      </w:r>
      <w:r w:rsidR="0091211B">
        <w:rPr>
          <w:lang w:val="ru-RU"/>
        </w:rPr>
        <w:t>накоплени</w:t>
      </w:r>
      <w:r w:rsidR="00DA1015">
        <w:rPr>
          <w:lang w:val="ru-RU"/>
        </w:rPr>
        <w:t>я</w:t>
      </w:r>
      <w:r w:rsidR="0091211B" w:rsidRPr="00625D51">
        <w:rPr>
          <w:lang w:val="ru-RU"/>
        </w:rPr>
        <w:t xml:space="preserve"> </w:t>
      </w:r>
      <w:r w:rsidR="0091211B">
        <w:rPr>
          <w:lang w:val="ru-RU"/>
        </w:rPr>
        <w:t>опыта</w:t>
      </w:r>
      <w:r w:rsidR="0091211B" w:rsidRPr="00625D51">
        <w:rPr>
          <w:lang w:val="ru-RU"/>
        </w:rPr>
        <w:t xml:space="preserve"> </w:t>
      </w:r>
      <w:r w:rsidR="00102D05">
        <w:rPr>
          <w:lang w:val="ru-RU"/>
        </w:rPr>
        <w:t>в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отношении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Списков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и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других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механизмов</w:t>
      </w:r>
      <w:r w:rsidR="00102D05" w:rsidRPr="00625D51">
        <w:rPr>
          <w:lang w:val="ru-RU"/>
        </w:rPr>
        <w:t xml:space="preserve">; </w:t>
      </w:r>
      <w:r w:rsidR="00102D05">
        <w:rPr>
          <w:lang w:val="ru-RU"/>
        </w:rPr>
        <w:t>последняя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часть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этого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этапа</w:t>
      </w:r>
      <w:r w:rsidR="00102D05" w:rsidRPr="00625D51">
        <w:rPr>
          <w:lang w:val="ru-RU"/>
        </w:rPr>
        <w:t xml:space="preserve"> </w:t>
      </w:r>
      <w:r w:rsidR="00102D05">
        <w:rPr>
          <w:lang w:val="ru-RU"/>
        </w:rPr>
        <w:t>совпала</w:t>
      </w:r>
      <w:r w:rsidR="00102D05" w:rsidRPr="00625D51">
        <w:rPr>
          <w:lang w:val="ru-RU"/>
        </w:rPr>
        <w:t xml:space="preserve"> </w:t>
      </w:r>
      <w:r w:rsidR="00F476DD">
        <w:rPr>
          <w:lang w:val="ru-RU"/>
        </w:rPr>
        <w:t xml:space="preserve">с </w:t>
      </w:r>
      <w:r w:rsidR="00625D51">
        <w:rPr>
          <w:lang w:val="ru-RU"/>
        </w:rPr>
        <w:t>разработкой</w:t>
      </w:r>
      <w:r w:rsidR="00625D51" w:rsidRPr="00625D51">
        <w:rPr>
          <w:lang w:val="ru-RU"/>
        </w:rPr>
        <w:t xml:space="preserve"> </w:t>
      </w:r>
      <w:r w:rsidR="00625D51">
        <w:rPr>
          <w:lang w:val="ru-RU"/>
        </w:rPr>
        <w:t>стратегии</w:t>
      </w:r>
      <w:r w:rsidR="00625D51" w:rsidRPr="00625D51">
        <w:rPr>
          <w:lang w:val="ru-RU"/>
        </w:rPr>
        <w:t xml:space="preserve"> </w:t>
      </w:r>
      <w:r w:rsidR="00625D51">
        <w:rPr>
          <w:lang w:val="ru-RU"/>
        </w:rPr>
        <w:t>по</w:t>
      </w:r>
      <w:r w:rsidR="00625D51" w:rsidRPr="00625D51">
        <w:rPr>
          <w:lang w:val="ru-RU"/>
        </w:rPr>
        <w:t xml:space="preserve"> </w:t>
      </w:r>
      <w:r w:rsidR="00625D51">
        <w:rPr>
          <w:lang w:val="ru-RU"/>
        </w:rPr>
        <w:t>укреплению</w:t>
      </w:r>
      <w:r w:rsidR="00625D51" w:rsidRPr="00625D51">
        <w:rPr>
          <w:lang w:val="ru-RU"/>
        </w:rPr>
        <w:t xml:space="preserve"> </w:t>
      </w:r>
      <w:r w:rsidR="00625D51">
        <w:rPr>
          <w:lang w:val="ru-RU"/>
        </w:rPr>
        <w:t>потенциала</w:t>
      </w:r>
      <w:r w:rsidR="00DA1015">
        <w:rPr>
          <w:lang w:val="ru-RU"/>
        </w:rPr>
        <w:t xml:space="preserve"> </w:t>
      </w:r>
      <w:r w:rsidR="00625D51">
        <w:rPr>
          <w:lang w:val="ru-RU"/>
        </w:rPr>
        <w:t>под руководством Секр</w:t>
      </w:r>
      <w:r w:rsidR="00DA1015">
        <w:rPr>
          <w:lang w:val="ru-RU"/>
        </w:rPr>
        <w:t xml:space="preserve">етариата. </w:t>
      </w:r>
      <w:r w:rsidR="001E7813">
        <w:rPr>
          <w:lang w:val="ru-RU"/>
        </w:rPr>
        <w:t>Отметив</w:t>
      </w:r>
      <w:r w:rsidR="001E7813" w:rsidRPr="00891D2B">
        <w:rPr>
          <w:lang w:val="ru-RU"/>
        </w:rPr>
        <w:t xml:space="preserve"> </w:t>
      </w:r>
      <w:r w:rsidR="001E7813">
        <w:rPr>
          <w:lang w:val="ru-RU"/>
        </w:rPr>
        <w:t>десятую</w:t>
      </w:r>
      <w:r w:rsidR="001E7813" w:rsidRPr="00891D2B">
        <w:rPr>
          <w:lang w:val="ru-RU"/>
        </w:rPr>
        <w:t xml:space="preserve"> </w:t>
      </w:r>
      <w:r w:rsidR="001E7813">
        <w:rPr>
          <w:lang w:val="ru-RU"/>
        </w:rPr>
        <w:t>годовщину</w:t>
      </w:r>
      <w:r w:rsidR="001E7813" w:rsidRPr="00891D2B">
        <w:rPr>
          <w:lang w:val="ru-RU"/>
        </w:rPr>
        <w:t xml:space="preserve"> </w:t>
      </w:r>
      <w:r w:rsidR="001E7813">
        <w:rPr>
          <w:lang w:val="ru-RU"/>
        </w:rPr>
        <w:t>своего</w:t>
      </w:r>
      <w:r w:rsidR="001E7813" w:rsidRPr="00891D2B">
        <w:rPr>
          <w:lang w:val="ru-RU"/>
        </w:rPr>
        <w:t xml:space="preserve"> </w:t>
      </w:r>
      <w:r w:rsidR="001E7813">
        <w:rPr>
          <w:lang w:val="ru-RU"/>
        </w:rPr>
        <w:t>вступления</w:t>
      </w:r>
      <w:r w:rsidR="00C17534" w:rsidRPr="00891D2B">
        <w:rPr>
          <w:lang w:val="ru-RU"/>
        </w:rPr>
        <w:t xml:space="preserve"> </w:t>
      </w:r>
      <w:r w:rsidR="001E7813">
        <w:rPr>
          <w:lang w:val="ru-RU"/>
        </w:rPr>
        <w:t>в</w:t>
      </w:r>
      <w:r w:rsidR="001E7813" w:rsidRPr="00891D2B">
        <w:rPr>
          <w:lang w:val="ru-RU"/>
        </w:rPr>
        <w:t xml:space="preserve"> </w:t>
      </w:r>
      <w:r w:rsidR="001E7813">
        <w:rPr>
          <w:lang w:val="ru-RU"/>
        </w:rPr>
        <w:t>силу</w:t>
      </w:r>
      <w:r w:rsidR="00C17534" w:rsidRPr="00891D2B">
        <w:rPr>
          <w:lang w:val="ru-RU"/>
        </w:rPr>
        <w:t xml:space="preserve"> в 2016</w:t>
      </w:r>
      <w:r w:rsidR="00C17534">
        <w:rPr>
          <w:lang w:val="en-US"/>
        </w:rPr>
        <w:t> </w:t>
      </w:r>
      <w:r w:rsidR="00C17534" w:rsidRPr="00891D2B">
        <w:rPr>
          <w:lang w:val="ru-RU"/>
        </w:rPr>
        <w:t xml:space="preserve">г., </w:t>
      </w:r>
      <w:r w:rsidR="00C17534">
        <w:rPr>
          <w:lang w:val="ru-RU"/>
        </w:rPr>
        <w:t>Конвенция</w:t>
      </w:r>
      <w:r w:rsidR="00C17534" w:rsidRPr="00891D2B">
        <w:rPr>
          <w:lang w:val="ru-RU"/>
        </w:rPr>
        <w:t xml:space="preserve"> </w:t>
      </w:r>
      <w:r w:rsidR="00C17534">
        <w:rPr>
          <w:lang w:val="ru-RU"/>
        </w:rPr>
        <w:t>теперь</w:t>
      </w:r>
      <w:r w:rsidR="00C17534" w:rsidRPr="00891D2B">
        <w:rPr>
          <w:lang w:val="ru-RU"/>
        </w:rPr>
        <w:t xml:space="preserve"> </w:t>
      </w:r>
      <w:r w:rsidR="00C17534">
        <w:rPr>
          <w:lang w:val="ru-RU"/>
        </w:rPr>
        <w:t>находится</w:t>
      </w:r>
      <w:r w:rsidR="00C17534" w:rsidRPr="00891D2B">
        <w:rPr>
          <w:lang w:val="ru-RU"/>
        </w:rPr>
        <w:t xml:space="preserve"> </w:t>
      </w:r>
      <w:r w:rsidR="00C17534">
        <w:rPr>
          <w:lang w:val="ru-RU"/>
        </w:rPr>
        <w:t>в</w:t>
      </w:r>
      <w:r w:rsidR="00C17534" w:rsidRPr="00891D2B">
        <w:rPr>
          <w:lang w:val="ru-RU"/>
        </w:rPr>
        <w:t xml:space="preserve"> </w:t>
      </w:r>
      <w:r w:rsidR="00C17534">
        <w:rPr>
          <w:lang w:val="ru-RU"/>
        </w:rPr>
        <w:t>начале</w:t>
      </w:r>
      <w:r w:rsidR="00C17534" w:rsidRPr="00891D2B">
        <w:rPr>
          <w:lang w:val="ru-RU"/>
        </w:rPr>
        <w:t xml:space="preserve"> </w:t>
      </w:r>
      <w:r w:rsidR="00C17534">
        <w:rPr>
          <w:lang w:val="ru-RU"/>
        </w:rPr>
        <w:t>еще</w:t>
      </w:r>
      <w:r w:rsidR="00C17534" w:rsidRPr="00891D2B">
        <w:rPr>
          <w:lang w:val="ru-RU"/>
        </w:rPr>
        <w:t xml:space="preserve"> </w:t>
      </w:r>
      <w:r w:rsidR="00C17534">
        <w:rPr>
          <w:lang w:val="ru-RU"/>
        </w:rPr>
        <w:t>одного</w:t>
      </w:r>
      <w:r w:rsidR="00C17534" w:rsidRPr="00891D2B">
        <w:rPr>
          <w:lang w:val="ru-RU"/>
        </w:rPr>
        <w:t xml:space="preserve"> </w:t>
      </w:r>
      <w:r w:rsidR="00C17534">
        <w:rPr>
          <w:lang w:val="ru-RU"/>
        </w:rPr>
        <w:t>этапа</w:t>
      </w:r>
      <w:r w:rsidR="001C239E" w:rsidRPr="00891D2B">
        <w:rPr>
          <w:lang w:val="ru-RU"/>
        </w:rPr>
        <w:t xml:space="preserve">, </w:t>
      </w:r>
      <w:r w:rsidR="001C239E">
        <w:rPr>
          <w:lang w:val="ru-RU"/>
        </w:rPr>
        <w:t>который</w:t>
      </w:r>
      <w:r w:rsidR="001C239E" w:rsidRPr="00891D2B">
        <w:rPr>
          <w:lang w:val="ru-RU"/>
        </w:rPr>
        <w:t xml:space="preserve"> </w:t>
      </w:r>
      <w:r w:rsidR="001C239E">
        <w:rPr>
          <w:lang w:val="ru-RU"/>
        </w:rPr>
        <w:t>требует</w:t>
      </w:r>
      <w:r w:rsidR="001C239E" w:rsidRPr="00891D2B">
        <w:rPr>
          <w:lang w:val="ru-RU"/>
        </w:rPr>
        <w:t xml:space="preserve"> </w:t>
      </w:r>
      <w:r w:rsidR="001C239E">
        <w:rPr>
          <w:lang w:val="ru-RU"/>
        </w:rPr>
        <w:t>систематического</w:t>
      </w:r>
      <w:r w:rsidR="001C239E" w:rsidRPr="00891D2B">
        <w:rPr>
          <w:lang w:val="ru-RU"/>
        </w:rPr>
        <w:t xml:space="preserve"> </w:t>
      </w:r>
      <w:r w:rsidR="001C239E">
        <w:rPr>
          <w:lang w:val="ru-RU"/>
        </w:rPr>
        <w:t>и</w:t>
      </w:r>
      <w:r w:rsidR="001C239E" w:rsidRPr="00891D2B">
        <w:rPr>
          <w:lang w:val="ru-RU"/>
        </w:rPr>
        <w:t xml:space="preserve"> </w:t>
      </w:r>
      <w:r w:rsidR="001C239E">
        <w:rPr>
          <w:lang w:val="ru-RU"/>
        </w:rPr>
        <w:t>широкого</w:t>
      </w:r>
      <w:r w:rsidR="001C239E" w:rsidRPr="00891D2B">
        <w:rPr>
          <w:lang w:val="ru-RU"/>
        </w:rPr>
        <w:t xml:space="preserve"> </w:t>
      </w:r>
      <w:r w:rsidR="00891D2B">
        <w:rPr>
          <w:lang w:val="ru-RU"/>
        </w:rPr>
        <w:t>критического анализа воздействия Конвенции на разных уровнях. В</w:t>
      </w:r>
      <w:r w:rsidR="00891D2B" w:rsidRPr="002D3120">
        <w:rPr>
          <w:lang w:val="ru-RU"/>
        </w:rPr>
        <w:t xml:space="preserve"> </w:t>
      </w:r>
      <w:r w:rsidR="00891D2B">
        <w:rPr>
          <w:lang w:val="ru-RU"/>
        </w:rPr>
        <w:t>этом</w:t>
      </w:r>
      <w:r w:rsidR="00891D2B" w:rsidRPr="002D3120">
        <w:rPr>
          <w:lang w:val="ru-RU"/>
        </w:rPr>
        <w:t xml:space="preserve"> </w:t>
      </w:r>
      <w:r w:rsidR="00891D2B">
        <w:rPr>
          <w:lang w:val="ru-RU"/>
        </w:rPr>
        <w:t>смысле</w:t>
      </w:r>
      <w:r w:rsidR="00891D2B" w:rsidRPr="002D3120">
        <w:rPr>
          <w:lang w:val="ru-RU"/>
        </w:rPr>
        <w:t xml:space="preserve"> </w:t>
      </w:r>
      <w:r w:rsidR="00891D2B">
        <w:rPr>
          <w:lang w:val="ru-RU"/>
        </w:rPr>
        <w:t>разработка</w:t>
      </w:r>
      <w:r w:rsidR="00891D2B" w:rsidRPr="002D3120">
        <w:rPr>
          <w:lang w:val="ru-RU"/>
        </w:rPr>
        <w:t xml:space="preserve"> </w:t>
      </w:r>
      <w:r w:rsidR="00891D2B">
        <w:rPr>
          <w:lang w:val="ru-RU"/>
        </w:rPr>
        <w:t>общей</w:t>
      </w:r>
      <w:r w:rsidR="00891D2B" w:rsidRPr="002D3120">
        <w:rPr>
          <w:lang w:val="ru-RU"/>
        </w:rPr>
        <w:t xml:space="preserve"> </w:t>
      </w:r>
      <w:r w:rsidR="004604A4">
        <w:rPr>
          <w:lang w:val="ru-RU"/>
        </w:rPr>
        <w:t>системы оценки</w:t>
      </w:r>
      <w:r w:rsidR="004604A4" w:rsidRPr="002D3120">
        <w:rPr>
          <w:lang w:val="ru-RU"/>
        </w:rPr>
        <w:t xml:space="preserve"> </w:t>
      </w:r>
      <w:r w:rsidR="00891D2B">
        <w:rPr>
          <w:lang w:val="ru-RU"/>
        </w:rPr>
        <w:t>результатов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Конвенции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является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амбициозным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мероприятием</w:t>
      </w:r>
      <w:r w:rsidR="002D3120" w:rsidRPr="002D3120">
        <w:rPr>
          <w:lang w:val="ru-RU"/>
        </w:rPr>
        <w:t xml:space="preserve">, которое должно позволить </w:t>
      </w:r>
      <w:r w:rsidR="002D3120">
        <w:rPr>
          <w:lang w:val="ru-RU"/>
        </w:rPr>
        <w:t>значительно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усилить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контроль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за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влиянием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Конвенции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на</w:t>
      </w:r>
      <w:r w:rsidR="002D3120" w:rsidRPr="002D3120">
        <w:rPr>
          <w:lang w:val="ru-RU"/>
        </w:rPr>
        <w:t xml:space="preserve"> </w:t>
      </w:r>
      <w:r w:rsidR="002D3120">
        <w:rPr>
          <w:lang w:val="ru-RU"/>
        </w:rPr>
        <w:t>разных уровнях.</w:t>
      </w:r>
    </w:p>
    <w:p w:rsidR="00C902E0" w:rsidRPr="00D967F4" w:rsidRDefault="00F01901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/>
        </w:rPr>
      </w:pPr>
      <w:r>
        <w:rPr>
          <w:lang w:val="ru-RU"/>
        </w:rPr>
        <w:t>Секретариат</w:t>
      </w:r>
      <w:r w:rsidRPr="00FD1C91">
        <w:rPr>
          <w:lang w:val="ru-RU"/>
        </w:rPr>
        <w:t xml:space="preserve"> </w:t>
      </w:r>
      <w:r>
        <w:rPr>
          <w:lang w:val="ru-RU"/>
        </w:rPr>
        <w:t>продолжает</w:t>
      </w:r>
      <w:r w:rsidRPr="00FD1C91">
        <w:rPr>
          <w:lang w:val="ru-RU"/>
        </w:rPr>
        <w:t xml:space="preserve"> </w:t>
      </w:r>
      <w:r>
        <w:rPr>
          <w:lang w:val="ru-RU"/>
        </w:rPr>
        <w:t>стремиться</w:t>
      </w:r>
      <w:r w:rsidRPr="00FD1C91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FD1C91">
        <w:rPr>
          <w:lang w:val="ru-RU"/>
        </w:rPr>
        <w:t xml:space="preserve">, </w:t>
      </w:r>
      <w:r>
        <w:rPr>
          <w:lang w:val="ru-RU"/>
        </w:rPr>
        <w:t>чтобы</w:t>
      </w:r>
      <w:r w:rsidRPr="00FD1C91">
        <w:rPr>
          <w:lang w:val="ru-RU"/>
        </w:rPr>
        <w:t xml:space="preserve"> </w:t>
      </w:r>
      <w:r>
        <w:rPr>
          <w:lang w:val="ru-RU"/>
        </w:rPr>
        <w:t>Конвенция</w:t>
      </w:r>
      <w:r w:rsidRPr="00FD1C91">
        <w:rPr>
          <w:lang w:val="ru-RU"/>
        </w:rPr>
        <w:t xml:space="preserve"> </w:t>
      </w:r>
      <w:r>
        <w:rPr>
          <w:lang w:val="ru-RU"/>
        </w:rPr>
        <w:t>вносила</w:t>
      </w:r>
      <w:r w:rsidRPr="00FD1C91">
        <w:rPr>
          <w:lang w:val="ru-RU"/>
        </w:rPr>
        <w:t xml:space="preserve"> </w:t>
      </w:r>
      <w:r>
        <w:rPr>
          <w:lang w:val="ru-RU"/>
        </w:rPr>
        <w:t>весомый</w:t>
      </w:r>
      <w:r w:rsidRPr="00FD1C91">
        <w:rPr>
          <w:lang w:val="ru-RU"/>
        </w:rPr>
        <w:t xml:space="preserve"> </w:t>
      </w:r>
      <w:r>
        <w:rPr>
          <w:lang w:val="ru-RU"/>
        </w:rPr>
        <w:t>вклад</w:t>
      </w:r>
      <w:r w:rsidRPr="00FD1C91">
        <w:rPr>
          <w:lang w:val="ru-RU"/>
        </w:rPr>
        <w:t xml:space="preserve"> </w:t>
      </w:r>
      <w:r w:rsidR="00AA241D">
        <w:rPr>
          <w:lang w:val="ru-RU"/>
        </w:rPr>
        <w:t xml:space="preserve">в </w:t>
      </w:r>
      <w:r w:rsidR="00CF5592">
        <w:rPr>
          <w:lang w:val="ru-RU"/>
        </w:rPr>
        <w:t>достижение</w:t>
      </w:r>
      <w:r w:rsidR="00CF5592" w:rsidRPr="00FD1C91">
        <w:rPr>
          <w:lang w:val="ru-RU"/>
        </w:rPr>
        <w:t xml:space="preserve"> </w:t>
      </w:r>
      <w:r w:rsidR="00CF5592">
        <w:rPr>
          <w:lang w:val="ru-RU"/>
        </w:rPr>
        <w:t>Целей</w:t>
      </w:r>
      <w:r w:rsidR="00CF5592" w:rsidRPr="00FD1C91">
        <w:rPr>
          <w:lang w:val="ru-RU"/>
        </w:rPr>
        <w:t xml:space="preserve"> </w:t>
      </w:r>
      <w:r w:rsidR="00CF5592">
        <w:rPr>
          <w:lang w:val="ru-RU"/>
        </w:rPr>
        <w:t>в</w:t>
      </w:r>
      <w:r w:rsidR="00CF5592" w:rsidRPr="00FD1C91">
        <w:rPr>
          <w:lang w:val="ru-RU"/>
        </w:rPr>
        <w:t xml:space="preserve"> </w:t>
      </w:r>
      <w:r w:rsidR="00CF5592">
        <w:rPr>
          <w:lang w:val="ru-RU"/>
        </w:rPr>
        <w:t>области</w:t>
      </w:r>
      <w:r w:rsidR="00CF5592" w:rsidRPr="00FD1C91">
        <w:rPr>
          <w:lang w:val="ru-RU"/>
        </w:rPr>
        <w:t xml:space="preserve"> </w:t>
      </w:r>
      <w:r w:rsidR="00CF5592">
        <w:rPr>
          <w:lang w:val="ru-RU"/>
        </w:rPr>
        <w:t>устойчивого</w:t>
      </w:r>
      <w:r w:rsidR="00CF5592" w:rsidRPr="00FD1C91">
        <w:rPr>
          <w:lang w:val="ru-RU"/>
        </w:rPr>
        <w:t xml:space="preserve"> </w:t>
      </w:r>
      <w:r w:rsidR="00CF5592">
        <w:rPr>
          <w:lang w:val="ru-RU"/>
        </w:rPr>
        <w:t>развития</w:t>
      </w:r>
      <w:r w:rsidR="00CF5592" w:rsidRPr="00FD1C91">
        <w:rPr>
          <w:lang w:val="ru-RU"/>
        </w:rPr>
        <w:t>;</w:t>
      </w:r>
      <w:r w:rsidR="00CF5592">
        <w:rPr>
          <w:lang w:val="ru-RU"/>
        </w:rPr>
        <w:t xml:space="preserve"> это будет </w:t>
      </w:r>
      <w:r w:rsidR="00FD1C91">
        <w:rPr>
          <w:lang w:val="ru-RU"/>
        </w:rPr>
        <w:t>еще более актуальным в ближайшем будущем, поскольку текущая Программа</w:t>
      </w:r>
      <w:r w:rsidR="00FD1C91" w:rsidRPr="00FD1C91">
        <w:rPr>
          <w:lang w:val="ru-RU"/>
        </w:rPr>
        <w:t xml:space="preserve"> </w:t>
      </w:r>
      <w:r w:rsidR="00FD1C91">
        <w:rPr>
          <w:lang w:val="ru-RU"/>
        </w:rPr>
        <w:t>и</w:t>
      </w:r>
      <w:r w:rsidR="00FD1C91" w:rsidRPr="00FD1C91">
        <w:rPr>
          <w:lang w:val="ru-RU"/>
        </w:rPr>
        <w:t xml:space="preserve"> </w:t>
      </w:r>
      <w:r w:rsidR="00FD1C91">
        <w:rPr>
          <w:lang w:val="ru-RU"/>
        </w:rPr>
        <w:t>Бюджет</w:t>
      </w:r>
      <w:r w:rsidR="00FD1C91" w:rsidRPr="00FD1C91">
        <w:rPr>
          <w:lang w:val="ru-RU"/>
        </w:rPr>
        <w:t xml:space="preserve"> </w:t>
      </w:r>
      <w:r w:rsidR="00FD1C91">
        <w:rPr>
          <w:lang w:val="ru-RU"/>
        </w:rPr>
        <w:t>ЮНЕСКО</w:t>
      </w:r>
      <w:r w:rsidR="00FD1C91" w:rsidRPr="00FD1C91">
        <w:rPr>
          <w:lang w:val="ru-RU"/>
        </w:rPr>
        <w:t xml:space="preserve"> </w:t>
      </w:r>
      <w:r w:rsidR="00FD1C91">
        <w:rPr>
          <w:lang w:val="ru-RU"/>
        </w:rPr>
        <w:t>уделяют особое внимание данному вопросу. Например</w:t>
      </w:r>
      <w:r w:rsidR="00FD1C91" w:rsidRPr="008769D5">
        <w:rPr>
          <w:lang w:val="ru-RU"/>
        </w:rPr>
        <w:t xml:space="preserve">, </w:t>
      </w:r>
      <w:r w:rsidR="0052310E">
        <w:rPr>
          <w:lang w:val="ru-RU"/>
        </w:rPr>
        <w:t>была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начата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практическая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реализация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новой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главы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об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охране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нематериального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культурного</w:t>
      </w:r>
      <w:r w:rsidR="0052310E" w:rsidRPr="008769D5">
        <w:rPr>
          <w:lang w:val="ru-RU"/>
        </w:rPr>
        <w:t xml:space="preserve"> </w:t>
      </w:r>
      <w:r w:rsidR="0052310E">
        <w:rPr>
          <w:lang w:val="ru-RU"/>
        </w:rPr>
        <w:t>наследия</w:t>
      </w:r>
      <w:r w:rsidR="0052310E" w:rsidRPr="008769D5">
        <w:rPr>
          <w:lang w:val="ru-RU"/>
        </w:rPr>
        <w:t xml:space="preserve"> </w:t>
      </w:r>
      <w:r w:rsidR="008769D5">
        <w:rPr>
          <w:lang w:val="ru-RU"/>
        </w:rPr>
        <w:t>и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устойчивом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развитии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на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национальном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уровне</w:t>
      </w:r>
      <w:r w:rsidR="008769D5" w:rsidRPr="008769D5">
        <w:rPr>
          <w:lang w:val="ru-RU"/>
        </w:rPr>
        <w:t xml:space="preserve">, </w:t>
      </w:r>
      <w:r w:rsidR="008769D5">
        <w:rPr>
          <w:lang w:val="ru-RU"/>
        </w:rPr>
        <w:t>наиболее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заметн</w:t>
      </w:r>
      <w:r w:rsidR="0038540B">
        <w:rPr>
          <w:lang w:val="ru-RU"/>
        </w:rPr>
        <w:t>ая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в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t>области</w:t>
      </w:r>
      <w:r w:rsidR="008769D5" w:rsidRPr="008769D5">
        <w:rPr>
          <w:lang w:val="ru-RU"/>
        </w:rPr>
        <w:t xml:space="preserve"> </w:t>
      </w:r>
      <w:r w:rsidR="008769D5">
        <w:rPr>
          <w:lang w:val="ru-RU"/>
        </w:rPr>
        <w:lastRenderedPageBreak/>
        <w:t xml:space="preserve">нематериального культурного наследия и образования. </w:t>
      </w:r>
      <w:r w:rsidR="002F782B">
        <w:rPr>
          <w:lang w:val="ru-RU"/>
        </w:rPr>
        <w:t>В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то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время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как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школы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и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неформальные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образовательные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программы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могут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играть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важную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роль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в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охране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нематериального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культурного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наследия</w:t>
      </w:r>
      <w:r w:rsidR="002F782B" w:rsidRPr="00E84DB5">
        <w:rPr>
          <w:lang w:val="ru-RU"/>
        </w:rPr>
        <w:t xml:space="preserve">, </w:t>
      </w:r>
      <w:r w:rsidR="002F782B">
        <w:rPr>
          <w:lang w:val="ru-RU"/>
        </w:rPr>
        <w:t>его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интеграция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в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учебные</w:t>
      </w:r>
      <w:r w:rsidR="002F782B" w:rsidRPr="00E84DB5">
        <w:rPr>
          <w:lang w:val="ru-RU"/>
        </w:rPr>
        <w:t xml:space="preserve"> </w:t>
      </w:r>
      <w:r w:rsidR="002F782B">
        <w:rPr>
          <w:lang w:val="ru-RU"/>
        </w:rPr>
        <w:t>программы</w:t>
      </w:r>
      <w:r w:rsidR="002F782B" w:rsidRPr="00E84DB5">
        <w:rPr>
          <w:lang w:val="ru-RU"/>
        </w:rPr>
        <w:t xml:space="preserve"> </w:t>
      </w:r>
      <w:r w:rsidR="00E84DB5">
        <w:rPr>
          <w:lang w:val="ru-RU"/>
        </w:rPr>
        <w:t>может</w:t>
      </w:r>
      <w:r w:rsidR="00E84DB5" w:rsidRPr="00E84DB5">
        <w:rPr>
          <w:lang w:val="ru-RU"/>
        </w:rPr>
        <w:t xml:space="preserve"> </w:t>
      </w:r>
      <w:r w:rsidR="00E84DB5">
        <w:rPr>
          <w:lang w:val="ru-RU"/>
        </w:rPr>
        <w:t>стать</w:t>
      </w:r>
      <w:r w:rsidR="00E84DB5" w:rsidRPr="00E84DB5">
        <w:rPr>
          <w:lang w:val="ru-RU"/>
        </w:rPr>
        <w:t xml:space="preserve"> </w:t>
      </w:r>
      <w:r w:rsidR="00E84DB5">
        <w:rPr>
          <w:lang w:val="ru-RU"/>
        </w:rPr>
        <w:t>ключевым моментом повышения актуальности и качества образования.</w:t>
      </w:r>
      <w:r w:rsidR="00C902E0" w:rsidRPr="00E84DB5">
        <w:rPr>
          <w:lang w:val="ru-RU"/>
        </w:rPr>
        <w:t xml:space="preserve"> </w:t>
      </w:r>
      <w:r w:rsidR="000A492B">
        <w:rPr>
          <w:lang w:val="ru-RU"/>
        </w:rPr>
        <w:t>Анализ</w:t>
      </w:r>
      <w:r w:rsidR="000A492B" w:rsidRPr="00280E55">
        <w:rPr>
          <w:lang w:val="ru-RU"/>
        </w:rPr>
        <w:t xml:space="preserve">, </w:t>
      </w:r>
      <w:r w:rsidR="00DE5C5B">
        <w:rPr>
          <w:lang w:val="ru-RU"/>
        </w:rPr>
        <w:t>инициированный</w:t>
      </w:r>
      <w:r w:rsidR="000A492B" w:rsidRPr="00280E55">
        <w:rPr>
          <w:lang w:val="ru-RU"/>
        </w:rPr>
        <w:t xml:space="preserve"> </w:t>
      </w:r>
      <w:r w:rsidR="000A492B">
        <w:rPr>
          <w:lang w:val="ru-RU"/>
        </w:rPr>
        <w:t>Секретариатом</w:t>
      </w:r>
      <w:r w:rsidR="000A492B" w:rsidRPr="00280E55">
        <w:rPr>
          <w:lang w:val="ru-RU"/>
        </w:rPr>
        <w:t xml:space="preserve"> </w:t>
      </w:r>
      <w:r w:rsidR="000A492B">
        <w:rPr>
          <w:lang w:val="ru-RU"/>
        </w:rPr>
        <w:t>в</w:t>
      </w:r>
      <w:r w:rsidR="000A492B" w:rsidRPr="00280E55">
        <w:rPr>
          <w:lang w:val="ru-RU"/>
        </w:rPr>
        <w:t xml:space="preserve"> </w:t>
      </w:r>
      <w:r w:rsidR="000A492B">
        <w:rPr>
          <w:lang w:val="ru-RU"/>
        </w:rPr>
        <w:t>отношении</w:t>
      </w:r>
      <w:r w:rsidR="000A492B" w:rsidRPr="00280E55">
        <w:rPr>
          <w:lang w:val="ru-RU"/>
        </w:rPr>
        <w:t xml:space="preserve"> </w:t>
      </w:r>
      <w:r w:rsidR="00DE5C5B">
        <w:rPr>
          <w:lang w:val="ru-RU"/>
        </w:rPr>
        <w:t>нематериального</w:t>
      </w:r>
      <w:r w:rsidR="00DE5C5B" w:rsidRPr="00280E55">
        <w:rPr>
          <w:lang w:val="ru-RU"/>
        </w:rPr>
        <w:t xml:space="preserve"> </w:t>
      </w:r>
      <w:r w:rsidR="00DE5C5B">
        <w:rPr>
          <w:lang w:val="ru-RU"/>
        </w:rPr>
        <w:t>культурного</w:t>
      </w:r>
      <w:r w:rsidR="00DE5C5B" w:rsidRPr="00280E55">
        <w:rPr>
          <w:lang w:val="ru-RU"/>
        </w:rPr>
        <w:t xml:space="preserve"> </w:t>
      </w:r>
      <w:r w:rsidR="00DE5C5B">
        <w:rPr>
          <w:lang w:val="ru-RU"/>
        </w:rPr>
        <w:t>наследия</w:t>
      </w:r>
      <w:r w:rsidR="00DE5C5B" w:rsidRPr="00280E55">
        <w:rPr>
          <w:lang w:val="ru-RU"/>
        </w:rPr>
        <w:t xml:space="preserve"> </w:t>
      </w:r>
      <w:r w:rsidR="00174882">
        <w:rPr>
          <w:lang w:val="ru-RU"/>
        </w:rPr>
        <w:t>в</w:t>
      </w:r>
      <w:r w:rsidR="00174882" w:rsidRPr="00280E55">
        <w:rPr>
          <w:lang w:val="ru-RU"/>
        </w:rPr>
        <w:t xml:space="preserve"> </w:t>
      </w:r>
      <w:r w:rsidR="00174882">
        <w:rPr>
          <w:lang w:val="ru-RU"/>
        </w:rPr>
        <w:t>чрезвычайных</w:t>
      </w:r>
      <w:r w:rsidR="00174882" w:rsidRPr="00280E55">
        <w:rPr>
          <w:lang w:val="ru-RU"/>
        </w:rPr>
        <w:t xml:space="preserve"> </w:t>
      </w:r>
      <w:r w:rsidR="00174882">
        <w:rPr>
          <w:lang w:val="ru-RU"/>
        </w:rPr>
        <w:t>ситуациях</w:t>
      </w:r>
      <w:r w:rsidR="00174882" w:rsidRPr="00280E55">
        <w:rPr>
          <w:lang w:val="ru-RU"/>
        </w:rPr>
        <w:t xml:space="preserve">, </w:t>
      </w:r>
      <w:r w:rsidR="00174882">
        <w:rPr>
          <w:lang w:val="ru-RU"/>
        </w:rPr>
        <w:t>является</w:t>
      </w:r>
      <w:r w:rsidR="00174882" w:rsidRPr="00280E55">
        <w:rPr>
          <w:lang w:val="ru-RU"/>
        </w:rPr>
        <w:t xml:space="preserve"> </w:t>
      </w:r>
      <w:r w:rsidR="00174882">
        <w:rPr>
          <w:lang w:val="ru-RU"/>
        </w:rPr>
        <w:t>другим</w:t>
      </w:r>
      <w:r w:rsidR="00174882" w:rsidRPr="00280E55">
        <w:rPr>
          <w:lang w:val="ru-RU"/>
        </w:rPr>
        <w:t xml:space="preserve"> </w:t>
      </w:r>
      <w:r w:rsidR="00174882">
        <w:rPr>
          <w:lang w:val="ru-RU"/>
        </w:rPr>
        <w:t>примером</w:t>
      </w:r>
      <w:r w:rsidR="00174882" w:rsidRPr="00280E55">
        <w:rPr>
          <w:lang w:val="ru-RU"/>
        </w:rPr>
        <w:t xml:space="preserve"> </w:t>
      </w:r>
      <w:r w:rsidR="00875F05">
        <w:rPr>
          <w:lang w:val="ru-RU"/>
        </w:rPr>
        <w:t>значимости</w:t>
      </w:r>
      <w:r w:rsidR="00875F05" w:rsidRPr="00280E55">
        <w:rPr>
          <w:lang w:val="ru-RU"/>
        </w:rPr>
        <w:t xml:space="preserve"> </w:t>
      </w:r>
      <w:r w:rsidR="00875F05">
        <w:rPr>
          <w:lang w:val="ru-RU"/>
        </w:rPr>
        <w:t>Конвенции</w:t>
      </w:r>
      <w:r w:rsidR="00875F05" w:rsidRPr="00280E55">
        <w:rPr>
          <w:lang w:val="ru-RU"/>
        </w:rPr>
        <w:t xml:space="preserve"> </w:t>
      </w:r>
      <w:r w:rsidR="00CC0287">
        <w:rPr>
          <w:lang w:val="ru-RU"/>
        </w:rPr>
        <w:t xml:space="preserve">в </w:t>
      </w:r>
      <w:r w:rsidR="00875F05">
        <w:rPr>
          <w:lang w:val="ru-RU"/>
        </w:rPr>
        <w:t>современном</w:t>
      </w:r>
      <w:r w:rsidR="00875F05" w:rsidRPr="00280E55">
        <w:rPr>
          <w:lang w:val="ru-RU"/>
        </w:rPr>
        <w:t xml:space="preserve"> </w:t>
      </w:r>
      <w:r w:rsidR="00875F05">
        <w:rPr>
          <w:lang w:val="ru-RU"/>
        </w:rPr>
        <w:t>международном</w:t>
      </w:r>
      <w:r w:rsidR="00875F05" w:rsidRPr="00280E55">
        <w:rPr>
          <w:lang w:val="ru-RU"/>
        </w:rPr>
        <w:t xml:space="preserve"> </w:t>
      </w:r>
      <w:r w:rsidR="00875F05">
        <w:rPr>
          <w:lang w:val="ru-RU"/>
        </w:rPr>
        <w:t>контексте</w:t>
      </w:r>
      <w:r w:rsidR="00875F05" w:rsidRPr="00280E55">
        <w:rPr>
          <w:lang w:val="ru-RU"/>
        </w:rPr>
        <w:t xml:space="preserve">, </w:t>
      </w:r>
      <w:r w:rsidR="00875F05">
        <w:rPr>
          <w:lang w:val="ru-RU"/>
        </w:rPr>
        <w:t>а</w:t>
      </w:r>
      <w:r w:rsidR="00875F05" w:rsidRPr="00280E55">
        <w:rPr>
          <w:lang w:val="ru-RU"/>
        </w:rPr>
        <w:t xml:space="preserve"> </w:t>
      </w:r>
      <w:r w:rsidR="00875F05">
        <w:rPr>
          <w:lang w:val="ru-RU"/>
        </w:rPr>
        <w:t>также</w:t>
      </w:r>
      <w:r w:rsidR="00875F05" w:rsidRPr="00280E55">
        <w:rPr>
          <w:lang w:val="ru-RU"/>
        </w:rPr>
        <w:t xml:space="preserve"> </w:t>
      </w:r>
      <w:r w:rsidR="00524C2B">
        <w:rPr>
          <w:lang w:val="ru-RU"/>
        </w:rPr>
        <w:t>в отношении</w:t>
      </w:r>
      <w:r w:rsidR="00875F05" w:rsidRPr="00280E55">
        <w:rPr>
          <w:lang w:val="ru-RU"/>
        </w:rPr>
        <w:t xml:space="preserve"> </w:t>
      </w:r>
      <w:r w:rsidR="00875F05">
        <w:rPr>
          <w:lang w:val="ru-RU"/>
        </w:rPr>
        <w:t>сообществ</w:t>
      </w:r>
      <w:r w:rsidR="00280E55" w:rsidRPr="00280E55">
        <w:rPr>
          <w:lang w:val="ru-RU"/>
        </w:rPr>
        <w:t xml:space="preserve">, </w:t>
      </w:r>
      <w:r w:rsidR="00280E55">
        <w:rPr>
          <w:lang w:val="ru-RU"/>
        </w:rPr>
        <w:t>для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которых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нематериальное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культурное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наследие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может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быть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важным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>источником</w:t>
      </w:r>
      <w:r w:rsidR="00280E55" w:rsidRPr="00280E55">
        <w:rPr>
          <w:lang w:val="ru-RU"/>
        </w:rPr>
        <w:t xml:space="preserve"> </w:t>
      </w:r>
      <w:r w:rsidR="00280E55">
        <w:rPr>
          <w:lang w:val="ru-RU"/>
        </w:rPr>
        <w:t xml:space="preserve">обеспечения готовности, </w:t>
      </w:r>
      <w:r w:rsidR="00D967F4">
        <w:rPr>
          <w:lang w:val="ru-RU"/>
        </w:rPr>
        <w:t>устойчивости и восстановления.</w:t>
      </w:r>
    </w:p>
    <w:p w:rsidR="00C902E0" w:rsidRPr="006D161B" w:rsidRDefault="00E21CD8" w:rsidP="00430A07">
      <w:pPr>
        <w:pStyle w:val="COMPara"/>
        <w:numPr>
          <w:ilvl w:val="0"/>
          <w:numId w:val="10"/>
        </w:numPr>
        <w:ind w:left="567" w:hanging="567"/>
        <w:jc w:val="both"/>
        <w:rPr>
          <w:lang w:val="ru-RU" w:eastAsia="fr-FR"/>
        </w:rPr>
      </w:pPr>
      <w:r>
        <w:rPr>
          <w:lang w:val="ru-RU"/>
        </w:rPr>
        <w:t>Ситуация</w:t>
      </w:r>
      <w:r w:rsidRPr="005C104B">
        <w:rPr>
          <w:lang w:val="ru-RU"/>
        </w:rPr>
        <w:t xml:space="preserve"> </w:t>
      </w:r>
      <w:r>
        <w:rPr>
          <w:lang w:val="ru-RU"/>
        </w:rPr>
        <w:t>с</w:t>
      </w:r>
      <w:r w:rsidRPr="005C104B">
        <w:rPr>
          <w:lang w:val="ru-RU"/>
        </w:rPr>
        <w:t xml:space="preserve"> </w:t>
      </w:r>
      <w:r>
        <w:rPr>
          <w:lang w:val="ru-RU"/>
        </w:rPr>
        <w:t>кадровыми</w:t>
      </w:r>
      <w:r w:rsidRPr="005C104B">
        <w:rPr>
          <w:lang w:val="ru-RU"/>
        </w:rPr>
        <w:t xml:space="preserve"> </w:t>
      </w:r>
      <w:r>
        <w:rPr>
          <w:lang w:val="ru-RU"/>
        </w:rPr>
        <w:t>ресурсами</w:t>
      </w:r>
      <w:r w:rsidRPr="005C104B">
        <w:rPr>
          <w:lang w:val="ru-RU"/>
        </w:rPr>
        <w:t xml:space="preserve"> </w:t>
      </w:r>
      <w:r>
        <w:rPr>
          <w:lang w:val="ru-RU"/>
        </w:rPr>
        <w:t>Секции</w:t>
      </w:r>
      <w:r w:rsidRPr="005C104B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5C104B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5C104B">
        <w:rPr>
          <w:lang w:val="ru-RU"/>
        </w:rPr>
        <w:t xml:space="preserve"> </w:t>
      </w:r>
      <w:r>
        <w:rPr>
          <w:lang w:val="ru-RU"/>
        </w:rPr>
        <w:t>наследия</w:t>
      </w:r>
      <w:r w:rsidRPr="005C104B">
        <w:rPr>
          <w:lang w:val="ru-RU"/>
        </w:rPr>
        <w:t xml:space="preserve"> </w:t>
      </w:r>
      <w:r w:rsidR="005C104B">
        <w:rPr>
          <w:lang w:val="ru-RU"/>
        </w:rPr>
        <w:t>остается главной проблемой. В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дополнение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к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постоянному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персоналу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Секция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должна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полагаться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на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ряд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лиц</w:t>
      </w:r>
      <w:r w:rsidR="005C104B" w:rsidRPr="00FD0E25">
        <w:rPr>
          <w:lang w:val="ru-RU"/>
        </w:rPr>
        <w:t xml:space="preserve">, </w:t>
      </w:r>
      <w:r w:rsidR="005C104B">
        <w:rPr>
          <w:lang w:val="ru-RU"/>
        </w:rPr>
        <w:t>работающих</w:t>
      </w:r>
      <w:r w:rsidR="005C104B" w:rsidRPr="00FD0E25">
        <w:rPr>
          <w:lang w:val="ru-RU"/>
        </w:rPr>
        <w:t xml:space="preserve"> </w:t>
      </w:r>
      <w:r w:rsidR="00203EA3">
        <w:rPr>
          <w:lang w:val="ru-RU"/>
        </w:rPr>
        <w:t>по</w:t>
      </w:r>
      <w:r w:rsidR="00203EA3" w:rsidRPr="00FD0E25">
        <w:rPr>
          <w:lang w:val="ru-RU"/>
        </w:rPr>
        <w:t xml:space="preserve"> </w:t>
      </w:r>
      <w:r w:rsidR="00203EA3">
        <w:rPr>
          <w:lang w:val="ru-RU"/>
        </w:rPr>
        <w:t>разным</w:t>
      </w:r>
      <w:r w:rsidR="00203EA3" w:rsidRPr="00FD0E25">
        <w:rPr>
          <w:lang w:val="ru-RU"/>
        </w:rPr>
        <w:t xml:space="preserve"> </w:t>
      </w:r>
      <w:r w:rsidR="00203EA3">
        <w:rPr>
          <w:lang w:val="ru-RU"/>
        </w:rPr>
        <w:t>вопросам</w:t>
      </w:r>
      <w:r w:rsidR="00203EA3" w:rsidRPr="00FD0E25">
        <w:rPr>
          <w:lang w:val="ru-RU"/>
        </w:rPr>
        <w:t xml:space="preserve"> </w:t>
      </w:r>
      <w:r w:rsidR="005C104B">
        <w:rPr>
          <w:lang w:val="ru-RU"/>
        </w:rPr>
        <w:t>на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временной</w:t>
      </w:r>
      <w:r w:rsidR="005C104B" w:rsidRPr="00FD0E25">
        <w:rPr>
          <w:lang w:val="ru-RU"/>
        </w:rPr>
        <w:t xml:space="preserve"> </w:t>
      </w:r>
      <w:r w:rsidR="005C104B">
        <w:rPr>
          <w:lang w:val="ru-RU"/>
        </w:rPr>
        <w:t>основе</w:t>
      </w:r>
      <w:r w:rsidR="00203EA3" w:rsidRPr="00FD0E25">
        <w:rPr>
          <w:lang w:val="ru-RU"/>
        </w:rPr>
        <w:t xml:space="preserve">; </w:t>
      </w:r>
      <w:r w:rsidR="00203EA3" w:rsidRPr="00203EA3">
        <w:rPr>
          <w:lang w:val="ru-RU"/>
        </w:rPr>
        <w:t>это</w:t>
      </w:r>
      <w:r w:rsidR="00203EA3" w:rsidRPr="00FD0E25">
        <w:rPr>
          <w:lang w:val="ru-RU"/>
        </w:rPr>
        <w:t xml:space="preserve"> </w:t>
      </w:r>
      <w:r w:rsidR="00203EA3" w:rsidRPr="00203EA3">
        <w:rPr>
          <w:lang w:val="ru-RU"/>
        </w:rPr>
        <w:t>касается</w:t>
      </w:r>
      <w:r w:rsidR="00203EA3" w:rsidRPr="00FD0E25">
        <w:rPr>
          <w:lang w:val="ru-RU"/>
        </w:rPr>
        <w:t xml:space="preserve"> </w:t>
      </w:r>
      <w:r w:rsidR="00203EA3" w:rsidRPr="00203EA3">
        <w:rPr>
          <w:lang w:val="ru-RU"/>
        </w:rPr>
        <w:t>даже</w:t>
      </w:r>
      <w:r w:rsidR="00203EA3" w:rsidRPr="00FD0E25">
        <w:rPr>
          <w:lang w:val="ru-RU"/>
        </w:rPr>
        <w:t xml:space="preserve"> </w:t>
      </w:r>
      <w:r w:rsidR="00203EA3" w:rsidRPr="00203EA3">
        <w:rPr>
          <w:lang w:val="ru-RU"/>
        </w:rPr>
        <w:t>выполнения</w:t>
      </w:r>
      <w:r w:rsidR="00203EA3" w:rsidRPr="00FD0E25">
        <w:rPr>
          <w:lang w:val="ru-RU"/>
        </w:rPr>
        <w:t xml:space="preserve"> </w:t>
      </w:r>
      <w:r w:rsidR="00203EA3" w:rsidRPr="00203EA3">
        <w:rPr>
          <w:lang w:val="ru-RU"/>
        </w:rPr>
        <w:t>основных</w:t>
      </w:r>
      <w:r w:rsidR="00203EA3" w:rsidRPr="00FD0E25">
        <w:rPr>
          <w:lang w:val="ru-RU"/>
        </w:rPr>
        <w:t xml:space="preserve"> </w:t>
      </w:r>
      <w:r w:rsidR="00203EA3" w:rsidRPr="00203EA3">
        <w:rPr>
          <w:lang w:val="ru-RU"/>
        </w:rPr>
        <w:t>функций</w:t>
      </w:r>
      <w:r w:rsidR="00203EA3" w:rsidRPr="00FD0E25">
        <w:rPr>
          <w:lang w:val="ru-RU"/>
        </w:rPr>
        <w:t xml:space="preserve"> </w:t>
      </w:r>
      <w:r w:rsidR="00203EA3" w:rsidRPr="00203EA3">
        <w:rPr>
          <w:lang w:val="ru-RU"/>
        </w:rPr>
        <w:t>Секретариата</w:t>
      </w:r>
      <w:r w:rsidR="00203EA3" w:rsidRPr="00FD0E25">
        <w:rPr>
          <w:lang w:val="ru-RU"/>
        </w:rPr>
        <w:t xml:space="preserve">. </w:t>
      </w:r>
      <w:r w:rsidR="00FD0E25">
        <w:rPr>
          <w:lang w:val="ru-RU"/>
        </w:rPr>
        <w:t>За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последние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годы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с</w:t>
      </w:r>
      <w:r w:rsidR="00E8339B">
        <w:rPr>
          <w:lang w:val="ru-RU"/>
        </w:rPr>
        <w:t>итуация</w:t>
      </w:r>
      <w:r w:rsidR="00E8339B" w:rsidRPr="00670C21">
        <w:rPr>
          <w:lang w:val="ru-RU"/>
        </w:rPr>
        <w:t xml:space="preserve"> </w:t>
      </w:r>
      <w:r w:rsidR="00FD0E25">
        <w:rPr>
          <w:lang w:val="ru-RU"/>
        </w:rPr>
        <w:t>усугубилась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в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свете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сохраняющихся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финансовых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трудностей</w:t>
      </w:r>
      <w:r w:rsidR="00FD0E25" w:rsidRPr="00670C21">
        <w:rPr>
          <w:lang w:val="ru-RU"/>
        </w:rPr>
        <w:t xml:space="preserve">, </w:t>
      </w:r>
      <w:r w:rsidR="00FD0E25">
        <w:rPr>
          <w:lang w:val="ru-RU"/>
        </w:rPr>
        <w:t>с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которыми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сталкивается</w:t>
      </w:r>
      <w:r w:rsidR="00FD0E25" w:rsidRPr="00670C21">
        <w:rPr>
          <w:lang w:val="ru-RU"/>
        </w:rPr>
        <w:t xml:space="preserve"> </w:t>
      </w:r>
      <w:r w:rsidR="00FD0E25">
        <w:rPr>
          <w:lang w:val="ru-RU"/>
        </w:rPr>
        <w:t>ЮНЕСКО</w:t>
      </w:r>
      <w:r w:rsidR="006171E5" w:rsidRPr="00670C21">
        <w:rPr>
          <w:lang w:val="ru-RU"/>
        </w:rPr>
        <w:t xml:space="preserve">, </w:t>
      </w:r>
      <w:r w:rsidR="006171E5">
        <w:rPr>
          <w:lang w:val="ru-RU"/>
        </w:rPr>
        <w:t>истощени</w:t>
      </w:r>
      <w:r w:rsidR="00F476DD">
        <w:rPr>
          <w:lang w:val="ru-RU"/>
        </w:rPr>
        <w:t>я</w:t>
      </w:r>
      <w:r w:rsidR="006171E5" w:rsidRPr="00670C21">
        <w:rPr>
          <w:lang w:val="ru-RU"/>
        </w:rPr>
        <w:t xml:space="preserve"> </w:t>
      </w:r>
      <w:proofErr w:type="spellStart"/>
      <w:r w:rsidR="006171E5">
        <w:rPr>
          <w:lang w:val="ru-RU"/>
        </w:rPr>
        <w:t>субфонда</w:t>
      </w:r>
      <w:proofErr w:type="spellEnd"/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Фонда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нематериального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культурного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наследия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для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повышения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кадрового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потенциала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и</w:t>
      </w:r>
      <w:r w:rsidR="00670C21" w:rsidRPr="00670C21">
        <w:rPr>
          <w:lang w:val="ru-RU"/>
        </w:rPr>
        <w:t xml:space="preserve"> </w:t>
      </w:r>
      <w:r w:rsidR="00670C21">
        <w:rPr>
          <w:lang w:val="ru-RU"/>
        </w:rPr>
        <w:t>постоянн</w:t>
      </w:r>
      <w:r w:rsidR="00F476DD">
        <w:rPr>
          <w:lang w:val="ru-RU"/>
        </w:rPr>
        <w:t>ого</w:t>
      </w:r>
      <w:r w:rsidR="00670C21">
        <w:rPr>
          <w:lang w:val="ru-RU"/>
        </w:rPr>
        <w:t xml:space="preserve"> рост</w:t>
      </w:r>
      <w:r w:rsidR="009B5AF1">
        <w:rPr>
          <w:lang w:val="ru-RU"/>
        </w:rPr>
        <w:t>а</w:t>
      </w:r>
      <w:r w:rsidR="00670C21">
        <w:rPr>
          <w:lang w:val="ru-RU"/>
        </w:rPr>
        <w:t xml:space="preserve"> рабочей нагрузки</w:t>
      </w:r>
      <w:r w:rsidR="00863C9D">
        <w:rPr>
          <w:lang w:val="ru-RU"/>
        </w:rPr>
        <w:t xml:space="preserve">, </w:t>
      </w:r>
      <w:r w:rsidR="000F6B15">
        <w:rPr>
          <w:lang w:val="ru-RU"/>
        </w:rPr>
        <w:t xml:space="preserve">являющейся </w:t>
      </w:r>
      <w:r w:rsidR="00863C9D">
        <w:rPr>
          <w:lang w:val="ru-RU"/>
        </w:rPr>
        <w:t>о</w:t>
      </w:r>
      <w:r w:rsidR="003A1459">
        <w:rPr>
          <w:lang w:val="ru-RU"/>
        </w:rPr>
        <w:t>траж</w:t>
      </w:r>
      <w:r w:rsidR="000F6B15">
        <w:rPr>
          <w:lang w:val="ru-RU"/>
        </w:rPr>
        <w:t>ением</w:t>
      </w:r>
      <w:r w:rsidR="003A1459">
        <w:rPr>
          <w:lang w:val="ru-RU"/>
        </w:rPr>
        <w:t xml:space="preserve"> </w:t>
      </w:r>
      <w:r w:rsidR="00863C9D">
        <w:rPr>
          <w:lang w:val="ru-RU"/>
        </w:rPr>
        <w:t>почти всеобщ</w:t>
      </w:r>
      <w:r w:rsidR="000F6B15">
        <w:rPr>
          <w:lang w:val="ru-RU"/>
        </w:rPr>
        <w:t>ей</w:t>
      </w:r>
      <w:r w:rsidR="003A1459">
        <w:rPr>
          <w:lang w:val="ru-RU"/>
        </w:rPr>
        <w:t xml:space="preserve"> ратификаци</w:t>
      </w:r>
      <w:r w:rsidR="000F6B15">
        <w:rPr>
          <w:lang w:val="ru-RU"/>
        </w:rPr>
        <w:t>и</w:t>
      </w:r>
      <w:r w:rsidR="003A1459">
        <w:rPr>
          <w:lang w:val="ru-RU"/>
        </w:rPr>
        <w:t xml:space="preserve"> Конвенции</w:t>
      </w:r>
      <w:r w:rsidR="003A1459" w:rsidRPr="00DA4F21">
        <w:rPr>
          <w:lang w:val="ru-RU"/>
        </w:rPr>
        <w:t>.</w:t>
      </w:r>
      <w:r w:rsidR="00C902E0" w:rsidRPr="00DA4F21">
        <w:rPr>
          <w:lang w:val="ru-RU"/>
        </w:rPr>
        <w:t xml:space="preserve"> </w:t>
      </w:r>
      <w:r w:rsidR="00BD36A4">
        <w:rPr>
          <w:lang w:val="ru-RU"/>
        </w:rPr>
        <w:t>Раз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Секретариат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должен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реагировать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на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устремления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и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пожелания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руководящих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органов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Конвенции</w:t>
      </w:r>
      <w:r w:rsidR="00BD36A4" w:rsidRPr="00241429">
        <w:rPr>
          <w:lang w:val="ru-RU"/>
        </w:rPr>
        <w:t xml:space="preserve"> 2003</w:t>
      </w:r>
      <w:r w:rsidR="00BD36A4" w:rsidRPr="00BD36A4">
        <w:rPr>
          <w:lang w:val="en-US"/>
        </w:rPr>
        <w:t> </w:t>
      </w:r>
      <w:r w:rsidR="00BD36A4">
        <w:rPr>
          <w:lang w:val="ru-RU"/>
        </w:rPr>
        <w:t>г</w:t>
      </w:r>
      <w:r w:rsidR="00BD36A4" w:rsidRPr="00241429">
        <w:rPr>
          <w:lang w:val="ru-RU"/>
        </w:rPr>
        <w:t xml:space="preserve">. </w:t>
      </w:r>
      <w:r w:rsidR="000720F0">
        <w:rPr>
          <w:lang w:val="ru-RU"/>
        </w:rPr>
        <w:t>по</w:t>
      </w:r>
      <w:r w:rsidR="000720F0" w:rsidRPr="00241429">
        <w:rPr>
          <w:lang w:val="ru-RU"/>
        </w:rPr>
        <w:t xml:space="preserve"> </w:t>
      </w:r>
      <w:r w:rsidR="00326704">
        <w:rPr>
          <w:lang w:val="ru-RU"/>
        </w:rPr>
        <w:t>и</w:t>
      </w:r>
      <w:r w:rsidR="00BD36A4">
        <w:rPr>
          <w:lang w:val="ru-RU"/>
        </w:rPr>
        <w:t>нициирова</w:t>
      </w:r>
      <w:r w:rsidR="00326704">
        <w:rPr>
          <w:lang w:val="ru-RU"/>
        </w:rPr>
        <w:t>ни</w:t>
      </w:r>
      <w:r w:rsidR="000720F0">
        <w:rPr>
          <w:lang w:val="ru-RU"/>
        </w:rPr>
        <w:t>ю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углубленн</w:t>
      </w:r>
      <w:r w:rsidR="00326704">
        <w:rPr>
          <w:lang w:val="ru-RU"/>
        </w:rPr>
        <w:t>ой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проработк</w:t>
      </w:r>
      <w:r w:rsidR="00326704">
        <w:rPr>
          <w:lang w:val="ru-RU"/>
        </w:rPr>
        <w:t>и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ряда</w:t>
      </w:r>
      <w:r w:rsidR="00BD36A4" w:rsidRPr="00241429">
        <w:rPr>
          <w:lang w:val="ru-RU"/>
        </w:rPr>
        <w:t xml:space="preserve"> </w:t>
      </w:r>
      <w:r w:rsidR="00BD36A4">
        <w:rPr>
          <w:lang w:val="ru-RU"/>
        </w:rPr>
        <w:t>вопросов</w:t>
      </w:r>
      <w:r w:rsidR="000E20E1" w:rsidRPr="00241429">
        <w:rPr>
          <w:lang w:val="ru-RU"/>
        </w:rPr>
        <w:t xml:space="preserve"> </w:t>
      </w:r>
      <w:r w:rsidR="000E20E1">
        <w:rPr>
          <w:lang w:val="ru-RU"/>
        </w:rPr>
        <w:t>для</w:t>
      </w:r>
      <w:r w:rsidR="000E20E1" w:rsidRPr="00241429">
        <w:rPr>
          <w:lang w:val="ru-RU"/>
        </w:rPr>
        <w:t xml:space="preserve"> </w:t>
      </w:r>
      <w:r w:rsidR="000E20E1">
        <w:rPr>
          <w:lang w:val="ru-RU"/>
        </w:rPr>
        <w:t>рассмотрения</w:t>
      </w:r>
      <w:r w:rsidR="000E20E1" w:rsidRPr="00241429">
        <w:rPr>
          <w:lang w:val="ru-RU"/>
        </w:rPr>
        <w:t xml:space="preserve"> </w:t>
      </w:r>
      <w:r w:rsidR="000E20E1">
        <w:rPr>
          <w:lang w:val="ru-RU"/>
        </w:rPr>
        <w:t>воздействия</w:t>
      </w:r>
      <w:r w:rsidR="000E20E1" w:rsidRPr="00241429">
        <w:rPr>
          <w:lang w:val="ru-RU"/>
        </w:rPr>
        <w:t xml:space="preserve"> </w:t>
      </w:r>
      <w:r w:rsidR="000E20E1">
        <w:rPr>
          <w:lang w:val="ru-RU"/>
        </w:rPr>
        <w:t>Конвенции</w:t>
      </w:r>
      <w:r w:rsidR="000E20E1" w:rsidRPr="00241429">
        <w:rPr>
          <w:lang w:val="ru-RU"/>
        </w:rPr>
        <w:t xml:space="preserve"> </w:t>
      </w:r>
      <w:r w:rsidR="00C636D7">
        <w:rPr>
          <w:lang w:val="ru-RU"/>
        </w:rPr>
        <w:t>и</w:t>
      </w:r>
      <w:r w:rsidR="00C636D7" w:rsidRPr="00241429">
        <w:rPr>
          <w:lang w:val="ru-RU"/>
        </w:rPr>
        <w:t xml:space="preserve"> </w:t>
      </w:r>
      <w:r w:rsidR="00C636D7">
        <w:rPr>
          <w:lang w:val="ru-RU"/>
        </w:rPr>
        <w:t>размышления</w:t>
      </w:r>
      <w:r w:rsidR="00C636D7" w:rsidRPr="00241429">
        <w:rPr>
          <w:lang w:val="ru-RU"/>
        </w:rPr>
        <w:t xml:space="preserve"> </w:t>
      </w:r>
      <w:r w:rsidR="00C636D7">
        <w:rPr>
          <w:lang w:val="ru-RU"/>
        </w:rPr>
        <w:t>над</w:t>
      </w:r>
      <w:r w:rsidR="00C636D7" w:rsidRPr="00241429">
        <w:rPr>
          <w:lang w:val="ru-RU"/>
        </w:rPr>
        <w:t xml:space="preserve"> </w:t>
      </w:r>
      <w:r w:rsidR="00C636D7">
        <w:rPr>
          <w:lang w:val="ru-RU"/>
        </w:rPr>
        <w:t>будущими</w:t>
      </w:r>
      <w:r w:rsidR="00C636D7" w:rsidRPr="00241429">
        <w:rPr>
          <w:lang w:val="ru-RU"/>
        </w:rPr>
        <w:t xml:space="preserve"> </w:t>
      </w:r>
      <w:r w:rsidR="00C636D7">
        <w:rPr>
          <w:lang w:val="ru-RU"/>
        </w:rPr>
        <w:t>направлениями</w:t>
      </w:r>
      <w:r w:rsidR="00C636D7" w:rsidRPr="00241429">
        <w:rPr>
          <w:lang w:val="ru-RU"/>
        </w:rPr>
        <w:t xml:space="preserve"> </w:t>
      </w:r>
      <w:r w:rsidR="00C636D7" w:rsidRPr="000720F0">
        <w:rPr>
          <w:lang w:val="ru-RU"/>
        </w:rPr>
        <w:t>деятельности</w:t>
      </w:r>
      <w:r w:rsidR="00C057F9" w:rsidRPr="00241429">
        <w:rPr>
          <w:lang w:val="ru-RU"/>
        </w:rPr>
        <w:t xml:space="preserve">, </w:t>
      </w:r>
      <w:r w:rsidR="00C057F9" w:rsidRPr="000720F0">
        <w:rPr>
          <w:lang w:val="ru-RU"/>
        </w:rPr>
        <w:t>следует</w:t>
      </w:r>
      <w:r w:rsidR="00C057F9" w:rsidRPr="00241429">
        <w:rPr>
          <w:lang w:val="ru-RU"/>
        </w:rPr>
        <w:t xml:space="preserve"> </w:t>
      </w:r>
      <w:r w:rsidR="009C20DC" w:rsidRPr="000720F0">
        <w:rPr>
          <w:lang w:val="ru-RU"/>
        </w:rPr>
        <w:t>добиться</w:t>
      </w:r>
      <w:r w:rsidR="009C20DC" w:rsidRPr="00241429">
        <w:rPr>
          <w:lang w:val="ru-RU"/>
        </w:rPr>
        <w:t xml:space="preserve"> </w:t>
      </w:r>
      <w:r w:rsidR="009C20DC" w:rsidRPr="000720F0">
        <w:rPr>
          <w:lang w:val="ru-RU"/>
        </w:rPr>
        <w:t>устойчивой</w:t>
      </w:r>
      <w:r w:rsidR="009C20DC" w:rsidRPr="00241429">
        <w:rPr>
          <w:lang w:val="ru-RU"/>
        </w:rPr>
        <w:t xml:space="preserve"> </w:t>
      </w:r>
      <w:r w:rsidR="009C20DC" w:rsidRPr="000720F0">
        <w:rPr>
          <w:lang w:val="ru-RU"/>
        </w:rPr>
        <w:t>поддержки</w:t>
      </w:r>
      <w:r w:rsidR="009C20DC" w:rsidRPr="00241429">
        <w:rPr>
          <w:lang w:val="ru-RU"/>
        </w:rPr>
        <w:t xml:space="preserve"> </w:t>
      </w:r>
      <w:r w:rsidR="009C20DC" w:rsidRPr="000720F0">
        <w:rPr>
          <w:lang w:val="ru-RU"/>
        </w:rPr>
        <w:t>государств</w:t>
      </w:r>
      <w:r w:rsidR="000720F0">
        <w:rPr>
          <w:lang w:val="ru-RU"/>
        </w:rPr>
        <w:t>ами</w:t>
      </w:r>
      <w:r w:rsidR="009C20DC" w:rsidRPr="00241429">
        <w:rPr>
          <w:lang w:val="ru-RU"/>
        </w:rPr>
        <w:t>-</w:t>
      </w:r>
      <w:r w:rsidR="009C20DC" w:rsidRPr="000720F0">
        <w:rPr>
          <w:lang w:val="ru-RU"/>
        </w:rPr>
        <w:t>участник</w:t>
      </w:r>
      <w:r w:rsidR="000720F0">
        <w:rPr>
          <w:lang w:val="ru-RU"/>
        </w:rPr>
        <w:t>ами</w:t>
      </w:r>
      <w:r w:rsidR="009C20DC" w:rsidRPr="00241429">
        <w:rPr>
          <w:lang w:val="ru-RU"/>
        </w:rPr>
        <w:t xml:space="preserve"> </w:t>
      </w:r>
      <w:r w:rsidR="009C20DC" w:rsidRPr="000720F0">
        <w:rPr>
          <w:lang w:val="ru-RU"/>
        </w:rPr>
        <w:t>кадровых</w:t>
      </w:r>
      <w:r w:rsidR="009C20DC" w:rsidRPr="00241429">
        <w:rPr>
          <w:lang w:val="ru-RU"/>
        </w:rPr>
        <w:t xml:space="preserve"> </w:t>
      </w:r>
      <w:r w:rsidR="009C20DC" w:rsidRPr="000720F0">
        <w:rPr>
          <w:lang w:val="ru-RU"/>
        </w:rPr>
        <w:t>ресурсов</w:t>
      </w:r>
      <w:r w:rsidR="009C20DC" w:rsidRPr="00241429">
        <w:rPr>
          <w:lang w:val="ru-RU"/>
        </w:rPr>
        <w:t xml:space="preserve"> </w:t>
      </w:r>
      <w:r w:rsidR="009C20DC" w:rsidRPr="000720F0">
        <w:rPr>
          <w:lang w:val="ru-RU"/>
        </w:rPr>
        <w:t>Секретариата</w:t>
      </w:r>
      <w:r w:rsidR="009C20DC" w:rsidRPr="00241429">
        <w:rPr>
          <w:lang w:val="ru-RU"/>
        </w:rPr>
        <w:t>.</w:t>
      </w:r>
      <w:r w:rsidR="00241429">
        <w:rPr>
          <w:lang w:val="ru-RU"/>
        </w:rPr>
        <w:t xml:space="preserve"> На</w:t>
      </w:r>
      <w:r w:rsidR="00241429" w:rsidRPr="00241429">
        <w:rPr>
          <w:lang w:val="ru-RU"/>
        </w:rPr>
        <w:t xml:space="preserve"> </w:t>
      </w:r>
      <w:r w:rsidR="00241429">
        <w:rPr>
          <w:lang w:val="ru-RU"/>
        </w:rPr>
        <w:t>настоящей</w:t>
      </w:r>
      <w:r w:rsidR="00241429" w:rsidRPr="00241429">
        <w:rPr>
          <w:lang w:val="ru-RU"/>
        </w:rPr>
        <w:t xml:space="preserve"> </w:t>
      </w:r>
      <w:r w:rsidR="00241429">
        <w:rPr>
          <w:lang w:val="ru-RU"/>
        </w:rPr>
        <w:t>сессии</w:t>
      </w:r>
      <w:r w:rsidR="00241429" w:rsidRPr="00241429">
        <w:rPr>
          <w:lang w:val="ru-RU"/>
        </w:rPr>
        <w:t xml:space="preserve"> </w:t>
      </w:r>
      <w:r w:rsidR="00241429">
        <w:rPr>
          <w:lang w:val="ru-RU"/>
        </w:rPr>
        <w:t>Генеральной</w:t>
      </w:r>
      <w:r w:rsidR="00241429" w:rsidRPr="00241429">
        <w:rPr>
          <w:lang w:val="ru-RU"/>
        </w:rPr>
        <w:t xml:space="preserve"> </w:t>
      </w:r>
      <w:r w:rsidR="00241429">
        <w:rPr>
          <w:lang w:val="ru-RU"/>
        </w:rPr>
        <w:t>ассамблеи</w:t>
      </w:r>
      <w:r w:rsidR="00241429" w:rsidRPr="00241429">
        <w:rPr>
          <w:lang w:val="ru-RU"/>
        </w:rPr>
        <w:t xml:space="preserve"> </w:t>
      </w:r>
      <w:r w:rsidR="00241429">
        <w:rPr>
          <w:lang w:val="ru-RU"/>
        </w:rPr>
        <w:t xml:space="preserve">принимаются к рассмотрению </w:t>
      </w:r>
      <w:r w:rsidR="0079607B">
        <w:rPr>
          <w:lang w:val="ru-RU"/>
        </w:rPr>
        <w:t xml:space="preserve">способы </w:t>
      </w:r>
      <w:r w:rsidR="00241429">
        <w:rPr>
          <w:lang w:val="ru-RU"/>
        </w:rPr>
        <w:t xml:space="preserve">решения </w:t>
      </w:r>
      <w:r w:rsidR="0079607B">
        <w:rPr>
          <w:lang w:val="ru-RU"/>
        </w:rPr>
        <w:t xml:space="preserve">одного из самых серьезных недостатков в деятельности </w:t>
      </w:r>
      <w:r w:rsidR="0079607B" w:rsidRPr="006D161B">
        <w:rPr>
          <w:lang w:val="ru-RU"/>
        </w:rPr>
        <w:t xml:space="preserve">Секретариата </w:t>
      </w:r>
      <w:r w:rsidR="00C902E0" w:rsidRPr="006D161B">
        <w:rPr>
          <w:lang w:val="ru-RU"/>
        </w:rPr>
        <w:t xml:space="preserve">(см. документ </w:t>
      </w:r>
      <w:r w:rsidR="00C902E0" w:rsidRPr="006D161B">
        <w:t>ITH</w:t>
      </w:r>
      <w:r w:rsidR="00C902E0" w:rsidRPr="006D161B">
        <w:rPr>
          <w:lang w:val="ru-RU"/>
        </w:rPr>
        <w:t>/18/7.</w:t>
      </w:r>
      <w:r w:rsidR="00C902E0" w:rsidRPr="006D161B">
        <w:t>GA</w:t>
      </w:r>
      <w:r w:rsidR="00C902E0" w:rsidRPr="006D161B">
        <w:rPr>
          <w:lang w:val="ru-RU"/>
        </w:rPr>
        <w:t xml:space="preserve">/8). </w:t>
      </w:r>
      <w:r w:rsidR="00867386" w:rsidRPr="006D161B">
        <w:rPr>
          <w:lang w:val="ru-RU"/>
        </w:rPr>
        <w:t>Это касается необходимости более эффективного управления некоторыми основными функциями Секретариата, а именно, механизм</w:t>
      </w:r>
      <w:r w:rsidR="006D161B" w:rsidRPr="006D161B">
        <w:rPr>
          <w:lang w:val="ru-RU"/>
        </w:rPr>
        <w:t>ом</w:t>
      </w:r>
      <w:r w:rsidR="00867386" w:rsidRPr="006D161B">
        <w:rPr>
          <w:lang w:val="ru-RU"/>
        </w:rPr>
        <w:t xml:space="preserve"> оказания Международной помощи, который можно было бы </w:t>
      </w:r>
      <w:r w:rsidR="006D161B" w:rsidRPr="006D161B">
        <w:rPr>
          <w:lang w:val="ru-RU"/>
        </w:rPr>
        <w:t xml:space="preserve">лучше </w:t>
      </w:r>
      <w:r w:rsidR="00867386" w:rsidRPr="006D161B">
        <w:rPr>
          <w:lang w:val="ru-RU"/>
        </w:rPr>
        <w:t xml:space="preserve">использовать </w:t>
      </w:r>
      <w:r w:rsidR="00511B94" w:rsidRPr="006D161B">
        <w:rPr>
          <w:lang w:val="ru-RU"/>
        </w:rPr>
        <w:t>для укрепления знаний и потенциала по эффективной охране нематериального культурного наследия.</w:t>
      </w:r>
    </w:p>
    <w:p w:rsidR="00C902E0" w:rsidRPr="00BB765B" w:rsidRDefault="000C233F" w:rsidP="00E22EA0">
      <w:pPr>
        <w:pStyle w:val="GAPara"/>
        <w:jc w:val="both"/>
        <w:rPr>
          <w:lang w:val="ru-RU"/>
        </w:rPr>
      </w:pPr>
      <w:r w:rsidRPr="008006BB">
        <w:rPr>
          <w:lang w:val="ru-RU"/>
        </w:rPr>
        <w:t xml:space="preserve">Генеральной ассамблее предлагается </w:t>
      </w:r>
      <w:r w:rsidRPr="002402C9">
        <w:rPr>
          <w:lang w:val="ru-RU"/>
        </w:rPr>
        <w:t xml:space="preserve">принять </w:t>
      </w:r>
      <w:r w:rsidRPr="008006BB">
        <w:rPr>
          <w:lang w:val="ru-RU"/>
        </w:rPr>
        <w:t>резолюцию следующего содержания</w:t>
      </w:r>
      <w:r w:rsidR="00C902E0" w:rsidRPr="00BB765B">
        <w:rPr>
          <w:lang w:val="ru-RU"/>
        </w:rPr>
        <w:t>:</w:t>
      </w:r>
    </w:p>
    <w:p w:rsidR="00C902E0" w:rsidRPr="00BB765B" w:rsidRDefault="00C902E0" w:rsidP="00430A07">
      <w:pPr>
        <w:pStyle w:val="COMPara"/>
        <w:spacing w:before="360"/>
        <w:ind w:left="567" w:firstLine="0"/>
        <w:jc w:val="both"/>
        <w:rPr>
          <w:lang w:val="ru-RU"/>
        </w:rPr>
      </w:pPr>
      <w:r>
        <w:rPr>
          <w:b/>
          <w:lang w:val="ru-RU"/>
        </w:rPr>
        <w:t>ПРОЕКТ РЕЗОЛЮЦИИ</w:t>
      </w:r>
      <w:r w:rsidRPr="00BB765B">
        <w:rPr>
          <w:b/>
          <w:lang w:val="ru-RU"/>
        </w:rPr>
        <w:t xml:space="preserve"> 7.</w:t>
      </w:r>
      <w:r w:rsidRPr="007C6F2C">
        <w:rPr>
          <w:b/>
        </w:rPr>
        <w:t>GA</w:t>
      </w:r>
      <w:r w:rsidRPr="00BB765B">
        <w:rPr>
          <w:b/>
          <w:lang w:val="ru-RU"/>
        </w:rPr>
        <w:t xml:space="preserve"> 7</w:t>
      </w:r>
    </w:p>
    <w:p w:rsidR="00C902E0" w:rsidRPr="00BB765B" w:rsidRDefault="00C902E0" w:rsidP="00430A07">
      <w:pPr>
        <w:pStyle w:val="GAPreambulaResolution"/>
        <w:rPr>
          <w:lang w:val="ru-RU"/>
        </w:rPr>
      </w:pPr>
      <w:r>
        <w:rPr>
          <w:lang w:val="ru-RU"/>
        </w:rPr>
        <w:t>Генеральная ассамблея</w:t>
      </w:r>
      <w:r w:rsidRPr="00BB765B">
        <w:rPr>
          <w:lang w:val="ru-RU"/>
        </w:rPr>
        <w:t>,</w:t>
      </w:r>
    </w:p>
    <w:p w:rsidR="00C902E0" w:rsidRDefault="00C902E0" w:rsidP="00430A07">
      <w:pPr>
        <w:pStyle w:val="COMParaDecision"/>
        <w:numPr>
          <w:ilvl w:val="0"/>
          <w:numId w:val="21"/>
        </w:numPr>
        <w:ind w:left="1134" w:hanging="567"/>
      </w:pPr>
      <w:r>
        <w:rPr>
          <w:lang w:val="ru-RU"/>
        </w:rPr>
        <w:t>Рассмотрев</w:t>
      </w:r>
      <w:r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>
        <w:rPr>
          <w:u w:val="none"/>
        </w:rPr>
        <w:t xml:space="preserve"> ITH/18/7.GA</w:t>
      </w:r>
      <w:r w:rsidRPr="00F32C23">
        <w:rPr>
          <w:u w:val="none"/>
        </w:rPr>
        <w:t>/</w:t>
      </w:r>
      <w:r>
        <w:rPr>
          <w:u w:val="none"/>
        </w:rPr>
        <w:t>7,</w:t>
      </w:r>
    </w:p>
    <w:p w:rsidR="00C902E0" w:rsidRPr="00182389" w:rsidRDefault="00994C3C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994C3C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="00C902E0"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непрерывную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своевременную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="00950B2B">
        <w:rPr>
          <w:u w:val="none"/>
          <w:lang w:val="ru-RU"/>
        </w:rPr>
        <w:t>ддержку</w:t>
      </w:r>
      <w:r w:rsidRPr="00994C3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оказываемую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эффективному</w:t>
      </w:r>
      <w:r w:rsidRPr="00994C3C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управлению Конвенцией</w:t>
      </w:r>
      <w:r w:rsidR="000F6B15">
        <w:rPr>
          <w:u w:val="none"/>
          <w:lang w:val="ru-RU"/>
        </w:rPr>
        <w:t>,</w:t>
      </w:r>
      <w:r w:rsidRPr="0018238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="00A60D80" w:rsidRPr="00182389">
        <w:rPr>
          <w:u w:val="none"/>
          <w:lang w:val="ru-RU"/>
        </w:rPr>
        <w:t xml:space="preserve"> </w:t>
      </w:r>
      <w:r w:rsidR="00A60D80">
        <w:rPr>
          <w:u w:val="none"/>
          <w:lang w:val="ru-RU"/>
        </w:rPr>
        <w:t>за</w:t>
      </w:r>
      <w:r w:rsidR="00A60D80" w:rsidRPr="00182389">
        <w:rPr>
          <w:u w:val="none"/>
          <w:lang w:val="ru-RU"/>
        </w:rPr>
        <w:t xml:space="preserve"> </w:t>
      </w:r>
      <w:r w:rsidR="00A60D80">
        <w:rPr>
          <w:u w:val="none"/>
          <w:lang w:val="ru-RU"/>
        </w:rPr>
        <w:t>осуществление</w:t>
      </w:r>
      <w:r w:rsidR="00A60D80" w:rsidRPr="00182389">
        <w:rPr>
          <w:u w:val="none"/>
          <w:lang w:val="ru-RU"/>
        </w:rPr>
        <w:t xml:space="preserve"> </w:t>
      </w:r>
      <w:r w:rsidR="00A60D80">
        <w:rPr>
          <w:u w:val="none"/>
          <w:lang w:val="ru-RU"/>
        </w:rPr>
        <w:t>руководства</w:t>
      </w:r>
      <w:r w:rsidR="00A60D80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различными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механизмами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в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рамках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Конвенции</w:t>
      </w:r>
      <w:r w:rsidR="00F57835" w:rsidRPr="00182389">
        <w:rPr>
          <w:u w:val="none"/>
          <w:lang w:val="ru-RU"/>
        </w:rPr>
        <w:t xml:space="preserve">, </w:t>
      </w:r>
      <w:r w:rsidR="00F57835">
        <w:rPr>
          <w:u w:val="none"/>
          <w:lang w:val="ru-RU"/>
        </w:rPr>
        <w:t>признавая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ряд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новых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инициатив</w:t>
      </w:r>
      <w:r w:rsidR="00F57835" w:rsidRPr="00182389">
        <w:rPr>
          <w:u w:val="none"/>
          <w:lang w:val="ru-RU"/>
        </w:rPr>
        <w:t xml:space="preserve">, </w:t>
      </w:r>
      <w:r w:rsidR="00F57835">
        <w:rPr>
          <w:u w:val="none"/>
          <w:lang w:val="ru-RU"/>
        </w:rPr>
        <w:t>предпринятых</w:t>
      </w:r>
      <w:r w:rsidR="00F57835" w:rsidRPr="00182389">
        <w:rPr>
          <w:u w:val="none"/>
          <w:lang w:val="ru-RU"/>
        </w:rPr>
        <w:t xml:space="preserve"> </w:t>
      </w:r>
      <w:r w:rsidR="00F57835">
        <w:rPr>
          <w:u w:val="none"/>
          <w:lang w:val="ru-RU"/>
        </w:rPr>
        <w:t>для</w:t>
      </w:r>
      <w:r w:rsidR="00F57835" w:rsidRPr="00182389">
        <w:rPr>
          <w:u w:val="none"/>
          <w:lang w:val="ru-RU"/>
        </w:rPr>
        <w:t xml:space="preserve"> </w:t>
      </w:r>
      <w:r w:rsidR="006973FF">
        <w:rPr>
          <w:u w:val="none"/>
          <w:lang w:val="ru-RU"/>
        </w:rPr>
        <w:t>улучшения</w:t>
      </w:r>
      <w:r w:rsidR="006973FF" w:rsidRPr="00182389">
        <w:rPr>
          <w:u w:val="none"/>
          <w:lang w:val="ru-RU"/>
        </w:rPr>
        <w:t xml:space="preserve"> </w:t>
      </w:r>
      <w:r w:rsidR="006973FF">
        <w:rPr>
          <w:u w:val="none"/>
          <w:lang w:val="ru-RU"/>
        </w:rPr>
        <w:t>методов</w:t>
      </w:r>
      <w:r w:rsidR="006973FF" w:rsidRPr="00182389">
        <w:rPr>
          <w:u w:val="none"/>
          <w:lang w:val="ru-RU"/>
        </w:rPr>
        <w:t xml:space="preserve"> </w:t>
      </w:r>
      <w:r w:rsidR="006973FF">
        <w:rPr>
          <w:u w:val="none"/>
          <w:lang w:val="ru-RU"/>
        </w:rPr>
        <w:t>работы</w:t>
      </w:r>
      <w:r w:rsidR="00182389" w:rsidRPr="00182389">
        <w:rPr>
          <w:u w:val="none"/>
          <w:lang w:val="ru-RU"/>
        </w:rPr>
        <w:t>,</w:t>
      </w:r>
      <w:r w:rsidR="006973FF" w:rsidRPr="00182389">
        <w:rPr>
          <w:u w:val="none"/>
          <w:lang w:val="ru-RU"/>
        </w:rPr>
        <w:t xml:space="preserve"> </w:t>
      </w:r>
      <w:r w:rsidR="006973FF">
        <w:rPr>
          <w:u w:val="none"/>
          <w:lang w:val="ru-RU"/>
        </w:rPr>
        <w:t>и</w:t>
      </w:r>
      <w:r w:rsidR="006973FF" w:rsidRPr="00182389">
        <w:rPr>
          <w:u w:val="none"/>
          <w:lang w:val="ru-RU"/>
        </w:rPr>
        <w:t xml:space="preserve"> </w:t>
      </w:r>
      <w:r w:rsidR="00A43D9F">
        <w:rPr>
          <w:u w:val="none"/>
          <w:lang w:val="ru-RU"/>
        </w:rPr>
        <w:t>высокий</w:t>
      </w:r>
      <w:r w:rsidR="00A43D9F" w:rsidRPr="00182389">
        <w:rPr>
          <w:u w:val="none"/>
          <w:lang w:val="ru-RU"/>
        </w:rPr>
        <w:t xml:space="preserve"> </w:t>
      </w:r>
      <w:r w:rsidR="00A43D9F">
        <w:rPr>
          <w:u w:val="none"/>
          <w:lang w:val="ru-RU"/>
        </w:rPr>
        <w:t>уровень</w:t>
      </w:r>
      <w:r w:rsidR="00A43D9F" w:rsidRPr="00182389">
        <w:rPr>
          <w:u w:val="none"/>
          <w:lang w:val="ru-RU"/>
        </w:rPr>
        <w:t xml:space="preserve"> </w:t>
      </w:r>
      <w:r w:rsidR="004C3CCB">
        <w:rPr>
          <w:u w:val="none"/>
          <w:lang w:val="ru-RU"/>
        </w:rPr>
        <w:t xml:space="preserve">требуемых </w:t>
      </w:r>
      <w:r w:rsidR="00A43D9F">
        <w:rPr>
          <w:u w:val="none"/>
          <w:lang w:val="ru-RU"/>
        </w:rPr>
        <w:t>ресурсов</w:t>
      </w:r>
      <w:r w:rsidR="00F20A12" w:rsidRPr="00182389">
        <w:rPr>
          <w:u w:val="none"/>
          <w:lang w:val="ru-RU"/>
        </w:rPr>
        <w:t>;</w:t>
      </w:r>
    </w:p>
    <w:p w:rsidR="00C902E0" w:rsidRPr="00A72E5D" w:rsidRDefault="00F20A12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Выражает</w:t>
      </w:r>
      <w:r w:rsidRPr="00A72E5D">
        <w:rPr>
          <w:lang w:val="ru-RU"/>
        </w:rPr>
        <w:t xml:space="preserve"> </w:t>
      </w:r>
      <w:r>
        <w:rPr>
          <w:lang w:val="ru-RU"/>
        </w:rPr>
        <w:t>далее</w:t>
      </w:r>
      <w:r w:rsidRPr="00A72E5D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="00C902E0"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A72E5D">
        <w:rPr>
          <w:u w:val="none"/>
          <w:lang w:val="ru-RU"/>
        </w:rPr>
        <w:t xml:space="preserve">, </w:t>
      </w:r>
      <w:r>
        <w:rPr>
          <w:u w:val="none"/>
          <w:lang w:val="ru-RU"/>
        </w:rPr>
        <w:t>прилагаемые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механизма</w:t>
      </w:r>
      <w:r w:rsidRPr="00A72E5D">
        <w:rPr>
          <w:u w:val="none"/>
          <w:lang w:val="ru-RU"/>
        </w:rPr>
        <w:t xml:space="preserve"> </w:t>
      </w:r>
      <w:r w:rsidR="00FD4040">
        <w:rPr>
          <w:u w:val="none"/>
          <w:lang w:val="ru-RU"/>
        </w:rPr>
        <w:t>м</w:t>
      </w:r>
      <w:r>
        <w:rPr>
          <w:u w:val="none"/>
          <w:lang w:val="ru-RU"/>
        </w:rPr>
        <w:t>еждународной</w:t>
      </w:r>
      <w:r w:rsidRPr="00A72E5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помощи</w:t>
      </w:r>
      <w:r w:rsidR="00A72E5D" w:rsidRPr="00A72E5D">
        <w:rPr>
          <w:u w:val="none"/>
          <w:lang w:val="ru-RU"/>
        </w:rPr>
        <w:t>,</w:t>
      </w:r>
      <w:r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и</w:t>
      </w:r>
      <w:r w:rsidR="00AD19D7" w:rsidRPr="00A72E5D">
        <w:rPr>
          <w:u w:val="none"/>
          <w:lang w:val="ru-RU"/>
        </w:rPr>
        <w:t xml:space="preserve"> </w:t>
      </w:r>
      <w:r w:rsidR="00AD19D7" w:rsidRPr="00AD19D7">
        <w:rPr>
          <w:lang w:val="ru-RU"/>
        </w:rPr>
        <w:t>призывает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Секретариат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продолжать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п</w:t>
      </w:r>
      <w:r w:rsidR="0061534F">
        <w:rPr>
          <w:u w:val="none"/>
          <w:lang w:val="ru-RU"/>
        </w:rPr>
        <w:t>одобные начинания</w:t>
      </w:r>
      <w:r w:rsidR="00B3628D">
        <w:rPr>
          <w:u w:val="none"/>
          <w:lang w:val="ru-RU"/>
        </w:rPr>
        <w:t xml:space="preserve"> в стремлении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обеспечить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более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широкий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доступ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государств</w:t>
      </w:r>
      <w:r w:rsidR="00AD19D7" w:rsidRPr="00A72E5D">
        <w:rPr>
          <w:u w:val="none"/>
          <w:lang w:val="ru-RU"/>
        </w:rPr>
        <w:t>-</w:t>
      </w:r>
      <w:r w:rsidR="00AD19D7">
        <w:rPr>
          <w:u w:val="none"/>
          <w:lang w:val="ru-RU"/>
        </w:rPr>
        <w:t>участников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к</w:t>
      </w:r>
      <w:r w:rsidR="00AD19D7" w:rsidRPr="00A72E5D">
        <w:rPr>
          <w:u w:val="none"/>
          <w:lang w:val="ru-RU"/>
        </w:rPr>
        <w:t xml:space="preserve"> </w:t>
      </w:r>
      <w:r w:rsidR="00AD19D7">
        <w:rPr>
          <w:u w:val="none"/>
          <w:lang w:val="ru-RU"/>
        </w:rPr>
        <w:t>Фонду</w:t>
      </w:r>
      <w:r w:rsidR="002876A0" w:rsidRPr="00A72E5D">
        <w:rPr>
          <w:u w:val="none"/>
          <w:lang w:val="ru-RU"/>
        </w:rPr>
        <w:t xml:space="preserve"> </w:t>
      </w:r>
      <w:r w:rsidR="002876A0">
        <w:rPr>
          <w:u w:val="none"/>
          <w:lang w:val="ru-RU"/>
        </w:rPr>
        <w:t>при</w:t>
      </w:r>
      <w:r w:rsidR="002876A0" w:rsidRPr="00A72E5D">
        <w:rPr>
          <w:u w:val="none"/>
          <w:lang w:val="ru-RU"/>
        </w:rPr>
        <w:t xml:space="preserve"> </w:t>
      </w:r>
      <w:r w:rsidR="002876A0">
        <w:rPr>
          <w:u w:val="none"/>
          <w:lang w:val="ru-RU"/>
        </w:rPr>
        <w:t>совершенствовании</w:t>
      </w:r>
      <w:r w:rsidR="002876A0" w:rsidRPr="00A72E5D">
        <w:rPr>
          <w:u w:val="none"/>
          <w:lang w:val="ru-RU"/>
        </w:rPr>
        <w:t xml:space="preserve"> </w:t>
      </w:r>
      <w:r w:rsidR="002876A0">
        <w:rPr>
          <w:u w:val="none"/>
          <w:lang w:val="ru-RU"/>
        </w:rPr>
        <w:t>мониторинга</w:t>
      </w:r>
      <w:r w:rsidR="002876A0" w:rsidRPr="00A72E5D">
        <w:rPr>
          <w:u w:val="none"/>
          <w:lang w:val="ru-RU"/>
        </w:rPr>
        <w:t xml:space="preserve"> </w:t>
      </w:r>
      <w:r w:rsidR="002876A0">
        <w:rPr>
          <w:u w:val="none"/>
          <w:lang w:val="ru-RU"/>
        </w:rPr>
        <w:t>и</w:t>
      </w:r>
      <w:r w:rsidR="002876A0" w:rsidRPr="00A72E5D">
        <w:rPr>
          <w:u w:val="none"/>
          <w:lang w:val="ru-RU"/>
        </w:rPr>
        <w:t xml:space="preserve"> </w:t>
      </w:r>
      <w:r w:rsidR="002876A0">
        <w:rPr>
          <w:u w:val="none"/>
          <w:lang w:val="ru-RU"/>
        </w:rPr>
        <w:t>оценки</w:t>
      </w:r>
      <w:r w:rsidR="002876A0" w:rsidRPr="00A72E5D">
        <w:rPr>
          <w:u w:val="none"/>
          <w:lang w:val="ru-RU"/>
        </w:rPr>
        <w:t xml:space="preserve"> </w:t>
      </w:r>
      <w:r w:rsidR="002876A0">
        <w:rPr>
          <w:u w:val="none"/>
          <w:lang w:val="ru-RU"/>
        </w:rPr>
        <w:t>воздействия</w:t>
      </w:r>
      <w:r w:rsidR="002876A0" w:rsidRPr="00A72E5D">
        <w:rPr>
          <w:u w:val="none"/>
          <w:lang w:val="ru-RU"/>
        </w:rPr>
        <w:t xml:space="preserve"> </w:t>
      </w:r>
      <w:r w:rsidR="002876A0">
        <w:rPr>
          <w:u w:val="none"/>
          <w:lang w:val="ru-RU"/>
        </w:rPr>
        <w:t>проектов</w:t>
      </w:r>
      <w:r w:rsidR="002876A0" w:rsidRPr="00A72E5D">
        <w:rPr>
          <w:u w:val="none"/>
          <w:lang w:val="ru-RU"/>
        </w:rPr>
        <w:t xml:space="preserve"> </w:t>
      </w:r>
      <w:r w:rsidR="00FD4040">
        <w:rPr>
          <w:u w:val="none"/>
          <w:lang w:val="ru-RU"/>
        </w:rPr>
        <w:t>международной</w:t>
      </w:r>
      <w:r w:rsidR="00FD4040" w:rsidRPr="00A72E5D">
        <w:rPr>
          <w:u w:val="none"/>
          <w:lang w:val="ru-RU"/>
        </w:rPr>
        <w:t xml:space="preserve"> </w:t>
      </w:r>
      <w:r w:rsidR="00A72E5D">
        <w:rPr>
          <w:u w:val="none"/>
          <w:lang w:val="ru-RU"/>
        </w:rPr>
        <w:t>помощи</w:t>
      </w:r>
      <w:r w:rsidR="00A72E5D" w:rsidRPr="00A72E5D">
        <w:rPr>
          <w:u w:val="none"/>
          <w:lang w:val="ru-RU"/>
        </w:rPr>
        <w:t>;</w:t>
      </w:r>
    </w:p>
    <w:p w:rsidR="00C902E0" w:rsidRPr="004B1671" w:rsidRDefault="008F5EA8" w:rsidP="00430A07">
      <w:pPr>
        <w:pStyle w:val="COMParaDecision"/>
        <w:numPr>
          <w:ilvl w:val="0"/>
          <w:numId w:val="21"/>
        </w:numPr>
        <w:ind w:left="1134" w:hanging="567"/>
        <w:rPr>
          <w:lang w:val="ru-RU"/>
        </w:rPr>
      </w:pPr>
      <w:r>
        <w:rPr>
          <w:lang w:val="ru-RU"/>
        </w:rPr>
        <w:t>Выражает</w:t>
      </w:r>
      <w:r w:rsidRPr="004B1671">
        <w:rPr>
          <w:lang w:val="ru-RU"/>
        </w:rPr>
        <w:t xml:space="preserve"> </w:t>
      </w:r>
      <w:r>
        <w:rPr>
          <w:lang w:val="ru-RU"/>
        </w:rPr>
        <w:t>благодарность</w:t>
      </w:r>
      <w:r w:rsidR="00C902E0" w:rsidRPr="004B1671">
        <w:rPr>
          <w:u w:val="none"/>
          <w:lang w:val="ru-RU"/>
        </w:rPr>
        <w:t xml:space="preserve"> </w:t>
      </w:r>
      <w:r w:rsidR="00A72E5D">
        <w:rPr>
          <w:u w:val="none"/>
          <w:lang w:val="ru-RU"/>
        </w:rPr>
        <w:t>Секретариат</w:t>
      </w:r>
      <w:r>
        <w:rPr>
          <w:u w:val="none"/>
          <w:lang w:val="ru-RU"/>
        </w:rPr>
        <w:t>у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за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существенную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4B1671">
        <w:rPr>
          <w:u w:val="none"/>
          <w:lang w:val="ru-RU"/>
        </w:rPr>
        <w:t xml:space="preserve">, </w:t>
      </w:r>
      <w:r>
        <w:rPr>
          <w:u w:val="none"/>
          <w:lang w:val="ru-RU"/>
        </w:rPr>
        <w:t>оказанную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разработке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общей</w:t>
      </w:r>
      <w:r w:rsidRPr="004B1671">
        <w:rPr>
          <w:u w:val="none"/>
          <w:lang w:val="ru-RU"/>
        </w:rPr>
        <w:t xml:space="preserve"> </w:t>
      </w:r>
      <w:r w:rsidR="00FD4040">
        <w:rPr>
          <w:u w:val="none"/>
          <w:lang w:val="ru-RU"/>
        </w:rPr>
        <w:t>системы</w:t>
      </w:r>
      <w:r w:rsidR="00FD4040" w:rsidRPr="004B1671">
        <w:rPr>
          <w:u w:val="none"/>
          <w:lang w:val="ru-RU"/>
        </w:rPr>
        <w:t xml:space="preserve"> </w:t>
      </w:r>
      <w:r w:rsidR="00FD4040">
        <w:rPr>
          <w:u w:val="none"/>
          <w:lang w:val="ru-RU"/>
        </w:rPr>
        <w:t xml:space="preserve">оценки </w:t>
      </w:r>
      <w:r>
        <w:rPr>
          <w:u w:val="none"/>
          <w:lang w:val="ru-RU"/>
        </w:rPr>
        <w:t>результатов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выполнения</w:t>
      </w:r>
      <w:r w:rsidRPr="004B1671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Конвенции</w:t>
      </w:r>
      <w:r w:rsidR="004B1671" w:rsidRPr="004B1671">
        <w:rPr>
          <w:u w:val="none"/>
          <w:lang w:val="ru-RU"/>
        </w:rPr>
        <w:t xml:space="preserve">, </w:t>
      </w:r>
      <w:r w:rsidR="004B1671">
        <w:rPr>
          <w:u w:val="none"/>
          <w:lang w:val="ru-RU"/>
        </w:rPr>
        <w:t>которая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станет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важным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инструментом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для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оценки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воздействия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Конвенции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на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различных</w:t>
      </w:r>
      <w:r w:rsidR="004B1671" w:rsidRPr="004B1671">
        <w:rPr>
          <w:u w:val="none"/>
          <w:lang w:val="ru-RU"/>
        </w:rPr>
        <w:t xml:space="preserve"> </w:t>
      </w:r>
      <w:r w:rsidR="004B1671">
        <w:rPr>
          <w:u w:val="none"/>
          <w:lang w:val="ru-RU"/>
        </w:rPr>
        <w:t>уровнях;</w:t>
      </w:r>
    </w:p>
    <w:p w:rsidR="00C902E0" w:rsidRPr="002E4AC9" w:rsidRDefault="00EA5C74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Высоко</w:t>
      </w:r>
      <w:r w:rsidRPr="002E4AC9">
        <w:rPr>
          <w:lang w:val="ru-RU"/>
        </w:rPr>
        <w:t xml:space="preserve"> </w:t>
      </w:r>
      <w:r>
        <w:rPr>
          <w:lang w:val="ru-RU"/>
        </w:rPr>
        <w:t>оценивает</w:t>
      </w:r>
      <w:r w:rsidR="00C902E0"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постоянные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усилия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="00AD48DF" w:rsidRPr="002E4AC9">
        <w:rPr>
          <w:u w:val="none"/>
          <w:lang w:val="ru-RU"/>
        </w:rPr>
        <w:t xml:space="preserve">, </w:t>
      </w:r>
      <w:r w:rsidR="00AD48DF">
        <w:rPr>
          <w:u w:val="none"/>
          <w:lang w:val="ru-RU"/>
        </w:rPr>
        <w:t>направленные</w:t>
      </w:r>
      <w:r w:rsidR="00AD48DF" w:rsidRPr="002E4AC9">
        <w:rPr>
          <w:u w:val="none"/>
          <w:lang w:val="ru-RU"/>
        </w:rPr>
        <w:t xml:space="preserve"> </w:t>
      </w:r>
      <w:r w:rsidR="00AD48DF">
        <w:rPr>
          <w:u w:val="none"/>
          <w:lang w:val="ru-RU"/>
        </w:rPr>
        <w:t>на</w:t>
      </w:r>
      <w:r w:rsidR="00AD48DF"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</w:t>
      </w:r>
      <w:r w:rsidR="00AD48DF">
        <w:rPr>
          <w:u w:val="none"/>
          <w:lang w:val="ru-RU"/>
        </w:rPr>
        <w:t>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национального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</w:t>
      </w:r>
      <w:r w:rsidRPr="002E4AC9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2E4AC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посредством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глобальной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программы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по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укреплению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потенциала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и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глобальной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сети</w:t>
      </w:r>
      <w:r w:rsidR="0052373F" w:rsidRPr="002E4AC9">
        <w:rPr>
          <w:u w:val="none"/>
          <w:lang w:val="ru-RU"/>
        </w:rPr>
        <w:t xml:space="preserve"> </w:t>
      </w:r>
      <w:proofErr w:type="spellStart"/>
      <w:r w:rsidR="0052373F">
        <w:rPr>
          <w:u w:val="none"/>
          <w:lang w:val="ru-RU"/>
        </w:rPr>
        <w:t>фасилитаторов</w:t>
      </w:r>
      <w:proofErr w:type="spellEnd"/>
      <w:r w:rsidR="00AD48DF" w:rsidRPr="002E4AC9">
        <w:rPr>
          <w:u w:val="none"/>
          <w:lang w:val="ru-RU"/>
        </w:rPr>
        <w:t>,</w:t>
      </w:r>
      <w:r w:rsidR="0052373F" w:rsidRPr="002E4AC9">
        <w:rPr>
          <w:u w:val="none"/>
          <w:lang w:val="ru-RU"/>
        </w:rPr>
        <w:t xml:space="preserve"> </w:t>
      </w:r>
      <w:r w:rsidR="0052373F">
        <w:rPr>
          <w:u w:val="none"/>
          <w:lang w:val="ru-RU"/>
        </w:rPr>
        <w:t>и</w:t>
      </w:r>
      <w:r w:rsidR="0052373F" w:rsidRPr="002E4AC9">
        <w:rPr>
          <w:u w:val="none"/>
          <w:lang w:val="ru-RU"/>
        </w:rPr>
        <w:t xml:space="preserve"> </w:t>
      </w:r>
      <w:r w:rsidR="00DA753A" w:rsidRPr="00DA753A">
        <w:rPr>
          <w:lang w:val="ru-RU"/>
        </w:rPr>
        <w:t>выражает</w:t>
      </w:r>
      <w:r w:rsidR="00DA753A" w:rsidRPr="002E4AC9">
        <w:rPr>
          <w:lang w:val="ru-RU"/>
        </w:rPr>
        <w:t xml:space="preserve"> </w:t>
      </w:r>
      <w:r w:rsidR="00DA753A" w:rsidRPr="00DA753A">
        <w:rPr>
          <w:lang w:val="ru-RU"/>
        </w:rPr>
        <w:t>признательность</w:t>
      </w:r>
      <w:r w:rsidR="00DA753A" w:rsidRPr="002E4AC9">
        <w:rPr>
          <w:u w:val="none"/>
          <w:lang w:val="ru-RU"/>
        </w:rPr>
        <w:t xml:space="preserve"> </w:t>
      </w:r>
      <w:r w:rsidR="00DA753A">
        <w:rPr>
          <w:u w:val="none"/>
          <w:lang w:val="ru-RU"/>
        </w:rPr>
        <w:t>за</w:t>
      </w:r>
      <w:r w:rsidR="00DA753A" w:rsidRPr="002E4AC9">
        <w:rPr>
          <w:u w:val="none"/>
          <w:lang w:val="ru-RU"/>
        </w:rPr>
        <w:t xml:space="preserve"> </w:t>
      </w:r>
      <w:r w:rsidR="00627D01">
        <w:rPr>
          <w:u w:val="none"/>
          <w:lang w:val="ru-RU"/>
        </w:rPr>
        <w:t>работу</w:t>
      </w:r>
      <w:r w:rsidR="00627D01" w:rsidRPr="002E4AC9">
        <w:rPr>
          <w:u w:val="none"/>
          <w:lang w:val="ru-RU"/>
        </w:rPr>
        <w:t xml:space="preserve"> </w:t>
      </w:r>
      <w:r w:rsidR="00942567" w:rsidRPr="00627D01">
        <w:rPr>
          <w:u w:val="none"/>
          <w:lang w:val="ru-RU"/>
        </w:rPr>
        <w:t>п</w:t>
      </w:r>
      <w:r w:rsidR="00627D01">
        <w:rPr>
          <w:u w:val="none"/>
          <w:lang w:val="ru-RU"/>
        </w:rPr>
        <w:t>о</w:t>
      </w:r>
      <w:r w:rsidR="00627D01" w:rsidRPr="002E4AC9">
        <w:rPr>
          <w:u w:val="none"/>
          <w:lang w:val="ru-RU"/>
        </w:rPr>
        <w:t xml:space="preserve"> </w:t>
      </w:r>
      <w:r w:rsidR="00942567">
        <w:rPr>
          <w:u w:val="none"/>
          <w:lang w:val="ru-RU"/>
        </w:rPr>
        <w:t>переориентации</w:t>
      </w:r>
      <w:r w:rsidR="00942567" w:rsidRPr="002E4AC9">
        <w:rPr>
          <w:u w:val="none"/>
          <w:lang w:val="ru-RU"/>
        </w:rPr>
        <w:t xml:space="preserve"> </w:t>
      </w:r>
      <w:r w:rsidR="00942567">
        <w:rPr>
          <w:u w:val="none"/>
          <w:lang w:val="ru-RU"/>
        </w:rPr>
        <w:t>стратегического</w:t>
      </w:r>
      <w:r w:rsidR="00942567" w:rsidRPr="002E4AC9">
        <w:rPr>
          <w:u w:val="none"/>
          <w:lang w:val="ru-RU"/>
        </w:rPr>
        <w:t xml:space="preserve"> </w:t>
      </w:r>
      <w:r w:rsidR="00942567">
        <w:rPr>
          <w:u w:val="none"/>
          <w:lang w:val="ru-RU"/>
        </w:rPr>
        <w:t>подхода</w:t>
      </w:r>
      <w:r w:rsidR="00942567" w:rsidRPr="002E4AC9">
        <w:rPr>
          <w:u w:val="none"/>
          <w:lang w:val="ru-RU"/>
        </w:rPr>
        <w:t xml:space="preserve"> </w:t>
      </w:r>
      <w:r w:rsidR="00942567">
        <w:rPr>
          <w:u w:val="none"/>
          <w:lang w:val="ru-RU"/>
        </w:rPr>
        <w:t>с</w:t>
      </w:r>
      <w:r w:rsidR="00942567" w:rsidRPr="002E4AC9">
        <w:rPr>
          <w:u w:val="none"/>
          <w:lang w:val="ru-RU"/>
        </w:rPr>
        <w:t xml:space="preserve"> </w:t>
      </w:r>
      <w:r w:rsidR="00942567">
        <w:rPr>
          <w:u w:val="none"/>
          <w:lang w:val="ru-RU"/>
        </w:rPr>
        <w:t>тем</w:t>
      </w:r>
      <w:r w:rsidR="00942567" w:rsidRPr="002E4AC9">
        <w:rPr>
          <w:u w:val="none"/>
          <w:lang w:val="ru-RU"/>
        </w:rPr>
        <w:t xml:space="preserve">, </w:t>
      </w:r>
      <w:r w:rsidR="00942567">
        <w:rPr>
          <w:u w:val="none"/>
          <w:lang w:val="ru-RU"/>
        </w:rPr>
        <w:lastRenderedPageBreak/>
        <w:t>чтобы</w:t>
      </w:r>
      <w:r w:rsidR="00942567" w:rsidRPr="002E4AC9">
        <w:rPr>
          <w:u w:val="none"/>
          <w:lang w:val="ru-RU"/>
        </w:rPr>
        <w:t xml:space="preserve"> </w:t>
      </w:r>
      <w:r w:rsidR="00942567">
        <w:rPr>
          <w:u w:val="none"/>
          <w:lang w:val="ru-RU"/>
        </w:rPr>
        <w:t>обеспечить</w:t>
      </w:r>
      <w:r w:rsidR="00942567" w:rsidRPr="002E4AC9">
        <w:rPr>
          <w:u w:val="none"/>
          <w:lang w:val="ru-RU"/>
        </w:rPr>
        <w:t xml:space="preserve"> </w:t>
      </w:r>
      <w:r w:rsidR="003756BB">
        <w:rPr>
          <w:u w:val="none"/>
          <w:lang w:val="ru-RU"/>
        </w:rPr>
        <w:t>сохранение</w:t>
      </w:r>
      <w:r w:rsidR="003756BB" w:rsidRPr="002E4AC9">
        <w:rPr>
          <w:u w:val="none"/>
          <w:lang w:val="ru-RU"/>
        </w:rPr>
        <w:t xml:space="preserve"> </w:t>
      </w:r>
      <w:r w:rsidR="003756BB">
        <w:rPr>
          <w:u w:val="none"/>
          <w:lang w:val="ru-RU"/>
        </w:rPr>
        <w:t>актуальности</w:t>
      </w:r>
      <w:r w:rsidR="003756BB" w:rsidRPr="002E4AC9">
        <w:rPr>
          <w:u w:val="none"/>
          <w:lang w:val="ru-RU"/>
        </w:rPr>
        <w:t xml:space="preserve"> </w:t>
      </w:r>
      <w:r w:rsidR="00FD4040">
        <w:rPr>
          <w:u w:val="none"/>
          <w:lang w:val="ru-RU"/>
        </w:rPr>
        <w:t>программы</w:t>
      </w:r>
      <w:r w:rsidR="00FD4040" w:rsidRPr="002E4AC9">
        <w:rPr>
          <w:u w:val="none"/>
          <w:lang w:val="ru-RU"/>
        </w:rPr>
        <w:t xml:space="preserve"> </w:t>
      </w:r>
      <w:r w:rsidR="004604A4">
        <w:rPr>
          <w:u w:val="none"/>
          <w:lang w:val="ru-RU"/>
        </w:rPr>
        <w:t>для</w:t>
      </w:r>
      <w:r w:rsidR="003756BB" w:rsidRPr="002E4AC9">
        <w:rPr>
          <w:u w:val="none"/>
          <w:lang w:val="ru-RU"/>
        </w:rPr>
        <w:t xml:space="preserve"> </w:t>
      </w:r>
      <w:r w:rsidR="002E4AC9">
        <w:rPr>
          <w:u w:val="none"/>
          <w:lang w:val="ru-RU"/>
        </w:rPr>
        <w:t>изменяющихся</w:t>
      </w:r>
      <w:r w:rsidR="002E4AC9" w:rsidRPr="002E4AC9">
        <w:rPr>
          <w:u w:val="none"/>
          <w:lang w:val="ru-RU"/>
        </w:rPr>
        <w:t xml:space="preserve"> </w:t>
      </w:r>
      <w:r w:rsidR="002E4AC9">
        <w:rPr>
          <w:u w:val="none"/>
          <w:lang w:val="ru-RU"/>
        </w:rPr>
        <w:t>потребностей</w:t>
      </w:r>
      <w:r w:rsidR="002E4AC9" w:rsidRPr="002E4AC9">
        <w:rPr>
          <w:u w:val="none"/>
          <w:lang w:val="ru-RU"/>
        </w:rPr>
        <w:t xml:space="preserve"> </w:t>
      </w:r>
      <w:r w:rsidR="002E4AC9">
        <w:rPr>
          <w:u w:val="none"/>
          <w:lang w:val="ru-RU"/>
        </w:rPr>
        <w:t>государств</w:t>
      </w:r>
      <w:r w:rsidR="002E4AC9" w:rsidRPr="002E4AC9">
        <w:rPr>
          <w:u w:val="none"/>
          <w:lang w:val="ru-RU"/>
        </w:rPr>
        <w:t>-</w:t>
      </w:r>
      <w:r w:rsidR="002E4AC9">
        <w:rPr>
          <w:u w:val="none"/>
          <w:lang w:val="ru-RU"/>
        </w:rPr>
        <w:t>участников</w:t>
      </w:r>
      <w:r w:rsidR="002E4AC9" w:rsidRPr="002E4AC9">
        <w:rPr>
          <w:u w:val="none"/>
          <w:lang w:val="ru-RU"/>
        </w:rPr>
        <w:t xml:space="preserve"> </w:t>
      </w:r>
      <w:r w:rsidR="002E4AC9">
        <w:rPr>
          <w:u w:val="none"/>
          <w:lang w:val="ru-RU"/>
        </w:rPr>
        <w:t xml:space="preserve">по укреплению потенциала, а также </w:t>
      </w:r>
      <w:r w:rsidR="006F1A74">
        <w:rPr>
          <w:u w:val="none"/>
          <w:lang w:val="ru-RU"/>
        </w:rPr>
        <w:t>общего международного контекста выполнения Конвенции;</w:t>
      </w:r>
    </w:p>
    <w:p w:rsidR="00C902E0" w:rsidRPr="0000647C" w:rsidRDefault="00636830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Подчеркивает</w:t>
      </w:r>
      <w:r w:rsidR="00C902E0"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главную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роль</w:t>
      </w:r>
      <w:r w:rsidRPr="0000647C">
        <w:rPr>
          <w:u w:val="none"/>
          <w:lang w:val="ru-RU"/>
        </w:rPr>
        <w:t xml:space="preserve">, </w:t>
      </w:r>
      <w:r>
        <w:rPr>
          <w:u w:val="none"/>
          <w:lang w:val="ru-RU"/>
        </w:rPr>
        <w:t>которую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образование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играет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охране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посредством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его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передачи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00647C">
        <w:rPr>
          <w:u w:val="none"/>
          <w:lang w:val="ru-RU"/>
        </w:rPr>
        <w:t xml:space="preserve"> </w:t>
      </w:r>
      <w:r w:rsidRPr="0000647C">
        <w:rPr>
          <w:lang w:val="ru-RU"/>
        </w:rPr>
        <w:t>приветствует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новый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приоритет</w:t>
      </w:r>
      <w:r w:rsidRPr="0000647C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финансирования</w:t>
      </w:r>
      <w:r w:rsidRPr="0000647C">
        <w:rPr>
          <w:u w:val="none"/>
          <w:lang w:val="ru-RU"/>
        </w:rPr>
        <w:t xml:space="preserve"> </w:t>
      </w:r>
      <w:r w:rsidR="0000647C">
        <w:rPr>
          <w:u w:val="none"/>
          <w:lang w:val="ru-RU"/>
        </w:rPr>
        <w:t>для</w:t>
      </w:r>
      <w:r w:rsidR="0000647C" w:rsidRPr="0000647C">
        <w:rPr>
          <w:u w:val="none"/>
          <w:lang w:val="ru-RU"/>
        </w:rPr>
        <w:t xml:space="preserve"> </w:t>
      </w:r>
      <w:r w:rsidR="0000647C">
        <w:rPr>
          <w:u w:val="none"/>
          <w:lang w:val="ru-RU"/>
        </w:rPr>
        <w:t>выполнения</w:t>
      </w:r>
      <w:r w:rsidR="0000647C" w:rsidRPr="0000647C">
        <w:rPr>
          <w:u w:val="none"/>
          <w:lang w:val="ru-RU"/>
        </w:rPr>
        <w:t xml:space="preserve"> </w:t>
      </w:r>
      <w:r w:rsidR="0000647C">
        <w:rPr>
          <w:u w:val="none"/>
          <w:lang w:val="ru-RU"/>
        </w:rPr>
        <w:t>Конвенции</w:t>
      </w:r>
      <w:r w:rsidR="0000647C" w:rsidRPr="0000647C">
        <w:rPr>
          <w:u w:val="none"/>
          <w:lang w:val="ru-RU"/>
        </w:rPr>
        <w:t xml:space="preserve"> </w:t>
      </w:r>
      <w:r w:rsidR="0000647C">
        <w:rPr>
          <w:u w:val="none"/>
          <w:lang w:val="ru-RU"/>
        </w:rPr>
        <w:t>в</w:t>
      </w:r>
      <w:r w:rsidR="0000647C" w:rsidRPr="0000647C">
        <w:rPr>
          <w:u w:val="none"/>
          <w:lang w:val="ru-RU"/>
        </w:rPr>
        <w:t xml:space="preserve"> </w:t>
      </w:r>
      <w:r w:rsidR="0000647C">
        <w:rPr>
          <w:u w:val="none"/>
          <w:lang w:val="ru-RU"/>
        </w:rPr>
        <w:t>этом</w:t>
      </w:r>
      <w:r w:rsidR="0000647C" w:rsidRPr="0000647C">
        <w:rPr>
          <w:u w:val="none"/>
          <w:lang w:val="ru-RU"/>
        </w:rPr>
        <w:t xml:space="preserve"> </w:t>
      </w:r>
      <w:r w:rsidR="0000647C">
        <w:rPr>
          <w:u w:val="none"/>
          <w:lang w:val="ru-RU"/>
        </w:rPr>
        <w:t>отношении</w:t>
      </w:r>
      <w:r w:rsidR="0000647C" w:rsidRPr="0000647C">
        <w:rPr>
          <w:u w:val="none"/>
          <w:lang w:val="ru-RU"/>
        </w:rPr>
        <w:t>;</w:t>
      </w:r>
    </w:p>
    <w:p w:rsidR="00C902E0" w:rsidRPr="00A44E69" w:rsidRDefault="0000647C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Приветствует</w:t>
      </w:r>
      <w:r w:rsidR="00C902E0" w:rsidRPr="00A44E6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реализацию</w:t>
      </w:r>
      <w:r w:rsidRPr="00A44E69">
        <w:rPr>
          <w:u w:val="none"/>
          <w:lang w:val="ru-RU"/>
        </w:rPr>
        <w:t xml:space="preserve"> </w:t>
      </w:r>
      <w:r>
        <w:rPr>
          <w:u w:val="none"/>
          <w:lang w:val="ru-RU"/>
        </w:rPr>
        <w:t>инициативы</w:t>
      </w:r>
      <w:r w:rsidRPr="00A44E6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</w:t>
      </w:r>
      <w:r w:rsidRPr="00A44E69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разработке</w:t>
      </w:r>
      <w:r w:rsidRPr="00A44E6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просветительско</w:t>
      </w:r>
      <w:r w:rsidRPr="00A44E69">
        <w:rPr>
          <w:u w:val="none"/>
          <w:lang w:val="ru-RU"/>
        </w:rPr>
        <w:t>-</w:t>
      </w:r>
      <w:r>
        <w:rPr>
          <w:u w:val="none"/>
          <w:lang w:val="ru-RU"/>
        </w:rPr>
        <w:t>коммуникационного</w:t>
      </w:r>
      <w:r w:rsidRPr="00A44E69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плана</w:t>
      </w:r>
      <w:r w:rsidRPr="00A44E69">
        <w:rPr>
          <w:u w:val="none"/>
          <w:lang w:val="ru-RU"/>
        </w:rPr>
        <w:t xml:space="preserve">, </w:t>
      </w:r>
      <w:r>
        <w:rPr>
          <w:u w:val="none"/>
          <w:lang w:val="ru-RU"/>
        </w:rPr>
        <w:t>направленного</w:t>
      </w:r>
      <w:r w:rsidRPr="00A44E69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A44E69">
        <w:rPr>
          <w:u w:val="none"/>
          <w:lang w:val="ru-RU"/>
        </w:rPr>
        <w:t xml:space="preserve"> </w:t>
      </w:r>
      <w:r w:rsidR="00A44E69">
        <w:rPr>
          <w:u w:val="none"/>
          <w:lang w:val="ru-RU"/>
        </w:rPr>
        <w:t>повышение</w:t>
      </w:r>
      <w:r w:rsidR="00A44E69" w:rsidRPr="00A44E69">
        <w:rPr>
          <w:u w:val="none"/>
          <w:lang w:val="ru-RU"/>
        </w:rPr>
        <w:t xml:space="preserve"> </w:t>
      </w:r>
      <w:r w:rsidR="00A44E69">
        <w:rPr>
          <w:u w:val="none"/>
          <w:lang w:val="ru-RU"/>
        </w:rPr>
        <w:t>осведомленности о Конвенции и ее наглядности;</w:t>
      </w:r>
    </w:p>
    <w:p w:rsidR="00C902E0" w:rsidRPr="00D03A00" w:rsidRDefault="00782CF2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Отмечает</w:t>
      </w:r>
      <w:r w:rsidR="00C902E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растущую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актуальность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Конвенции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в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международном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контексте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чрезвычайных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ситуаций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и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признаёт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роль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нематериального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культурного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наследия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в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качестве</w:t>
      </w:r>
      <w:r w:rsidR="00D03A00" w:rsidRPr="00D03A00">
        <w:rPr>
          <w:u w:val="none"/>
          <w:lang w:val="ru-RU"/>
        </w:rPr>
        <w:t xml:space="preserve"> </w:t>
      </w:r>
      <w:r w:rsidR="00D03A00">
        <w:rPr>
          <w:u w:val="none"/>
          <w:lang w:val="ru-RU"/>
        </w:rPr>
        <w:t>мощного</w:t>
      </w:r>
      <w:r w:rsidR="00D03A00" w:rsidRPr="00D03A00">
        <w:rPr>
          <w:u w:val="none"/>
          <w:lang w:val="ru-RU"/>
        </w:rPr>
        <w:t xml:space="preserve"> </w:t>
      </w:r>
      <w:r w:rsidR="004C4152">
        <w:rPr>
          <w:u w:val="none"/>
          <w:lang w:val="ru-RU"/>
        </w:rPr>
        <w:t>средства обеспечения устойчивости и восстановления;</w:t>
      </w:r>
    </w:p>
    <w:p w:rsidR="00C902E0" w:rsidRPr="008F49CD" w:rsidRDefault="008959B0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Призывает</w:t>
      </w:r>
      <w:r w:rsidR="00C902E0"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очередной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раз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государства</w:t>
      </w:r>
      <w:r w:rsidRPr="008F49CD">
        <w:rPr>
          <w:u w:val="none"/>
          <w:lang w:val="ru-RU"/>
        </w:rPr>
        <w:t>-</w:t>
      </w:r>
      <w:r>
        <w:rPr>
          <w:u w:val="none"/>
          <w:lang w:val="ru-RU"/>
        </w:rPr>
        <w:t>участников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оказать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поддержку</w:t>
      </w:r>
      <w:r w:rsidRPr="008F49CD">
        <w:rPr>
          <w:u w:val="none"/>
          <w:lang w:val="ru-RU"/>
        </w:rPr>
        <w:t xml:space="preserve">, </w:t>
      </w:r>
      <w:r w:rsidRPr="008959B0">
        <w:rPr>
          <w:u w:val="none"/>
          <w:lang w:val="ru-RU"/>
        </w:rPr>
        <w:t>особенн</w:t>
      </w:r>
      <w:r>
        <w:rPr>
          <w:u w:val="none"/>
          <w:lang w:val="ru-RU"/>
        </w:rPr>
        <w:t>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путем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внесения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взносов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Фонд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нематериального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культурного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наследия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на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оперативные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проекты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и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взносов</w:t>
      </w:r>
      <w:r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в</w:t>
      </w:r>
      <w:r w:rsidR="00E74401" w:rsidRPr="008F49CD">
        <w:rPr>
          <w:u w:val="none"/>
          <w:lang w:val="ru-RU"/>
        </w:rPr>
        <w:t xml:space="preserve"> </w:t>
      </w:r>
      <w:proofErr w:type="spellStart"/>
      <w:r>
        <w:rPr>
          <w:u w:val="none"/>
          <w:lang w:val="ru-RU"/>
        </w:rPr>
        <w:t>субфонд</w:t>
      </w:r>
      <w:proofErr w:type="spellEnd"/>
      <w:r w:rsidR="000F6B15">
        <w:rPr>
          <w:u w:val="none"/>
          <w:lang w:val="ru-RU"/>
        </w:rPr>
        <w:t>,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целью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укрепления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кадрового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потенциала</w:t>
      </w:r>
      <w:r w:rsidRPr="008F49CD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Секретариата</w:t>
      </w:r>
      <w:r w:rsidR="00E74401"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для</w:t>
      </w:r>
      <w:r w:rsidR="00E74401"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того</w:t>
      </w:r>
      <w:r w:rsidR="00E74401" w:rsidRPr="008F49CD">
        <w:rPr>
          <w:u w:val="none"/>
          <w:lang w:val="ru-RU"/>
        </w:rPr>
        <w:t xml:space="preserve">, </w:t>
      </w:r>
      <w:r w:rsidR="00E74401">
        <w:rPr>
          <w:u w:val="none"/>
          <w:lang w:val="ru-RU"/>
        </w:rPr>
        <w:t>чтобы</w:t>
      </w:r>
      <w:r w:rsidR="00E74401"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он</w:t>
      </w:r>
      <w:r w:rsidR="00E74401"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мог</w:t>
      </w:r>
      <w:r w:rsidR="00E74401"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удовлетворять</w:t>
      </w:r>
      <w:r w:rsidR="00E74401"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растущие</w:t>
      </w:r>
      <w:r w:rsidR="00E74401" w:rsidRPr="008F49CD">
        <w:rPr>
          <w:u w:val="none"/>
          <w:lang w:val="ru-RU"/>
        </w:rPr>
        <w:t xml:space="preserve"> </w:t>
      </w:r>
      <w:r w:rsidR="00E74401">
        <w:rPr>
          <w:u w:val="none"/>
          <w:lang w:val="ru-RU"/>
        </w:rPr>
        <w:t>потребности</w:t>
      </w:r>
      <w:r w:rsidR="00E74401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для</w:t>
      </w:r>
      <w:r w:rsidR="00D93D26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непрерывного</w:t>
      </w:r>
      <w:r w:rsidR="00D93D26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эффективного</w:t>
      </w:r>
      <w:r w:rsidR="00D93D26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управления</w:t>
      </w:r>
      <w:r w:rsidR="00D93D26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Конвенцией</w:t>
      </w:r>
      <w:r w:rsidR="00D93D26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и</w:t>
      </w:r>
      <w:r w:rsidR="00D93D26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ее</w:t>
      </w:r>
      <w:r w:rsidR="00D93D26" w:rsidRPr="008F49CD">
        <w:rPr>
          <w:u w:val="none"/>
          <w:lang w:val="ru-RU"/>
        </w:rPr>
        <w:t xml:space="preserve"> </w:t>
      </w:r>
      <w:r w:rsidR="00D93D26">
        <w:rPr>
          <w:u w:val="none"/>
          <w:lang w:val="ru-RU"/>
        </w:rPr>
        <w:t>выполнения</w:t>
      </w:r>
      <w:r w:rsidR="00D93D26" w:rsidRPr="008F49CD">
        <w:rPr>
          <w:u w:val="none"/>
          <w:lang w:val="ru-RU"/>
        </w:rPr>
        <w:t>;</w:t>
      </w:r>
    </w:p>
    <w:p w:rsidR="00C902E0" w:rsidRPr="008959B0" w:rsidRDefault="00DA4F21" w:rsidP="00430A07">
      <w:pPr>
        <w:pStyle w:val="COMParaDecision"/>
        <w:numPr>
          <w:ilvl w:val="0"/>
          <w:numId w:val="21"/>
        </w:numPr>
        <w:ind w:left="1134" w:hanging="567"/>
        <w:rPr>
          <w:u w:val="none"/>
          <w:lang w:val="ru-RU"/>
        </w:rPr>
      </w:pPr>
      <w:r>
        <w:rPr>
          <w:lang w:val="ru-RU"/>
        </w:rPr>
        <w:t>Пр</w:t>
      </w:r>
      <w:r w:rsidR="008959B0">
        <w:rPr>
          <w:lang w:val="ru-RU"/>
        </w:rPr>
        <w:t>осит</w:t>
      </w:r>
      <w:r w:rsidR="00C902E0" w:rsidRPr="008959B0">
        <w:rPr>
          <w:u w:val="none"/>
          <w:lang w:val="ru-RU"/>
        </w:rPr>
        <w:t xml:space="preserve"> </w:t>
      </w:r>
      <w:r>
        <w:rPr>
          <w:u w:val="none"/>
          <w:lang w:val="ru-RU"/>
        </w:rPr>
        <w:t>Секретариат</w:t>
      </w:r>
      <w:r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представить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доклад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о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своей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деятельности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за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период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с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января</w:t>
      </w:r>
      <w:r w:rsidR="008959B0" w:rsidRPr="008959B0">
        <w:rPr>
          <w:u w:val="none"/>
          <w:lang w:val="ru-RU"/>
        </w:rPr>
        <w:t xml:space="preserve"> 2018</w:t>
      </w:r>
      <w:r w:rsidR="008959B0" w:rsidRPr="008959B0">
        <w:rPr>
          <w:u w:val="none"/>
          <w:lang w:val="en-US"/>
        </w:rPr>
        <w:t> </w:t>
      </w:r>
      <w:r w:rsidR="008959B0">
        <w:rPr>
          <w:u w:val="none"/>
          <w:lang w:val="ru-RU"/>
        </w:rPr>
        <w:t>г</w:t>
      </w:r>
      <w:r w:rsidR="008959B0" w:rsidRPr="008959B0">
        <w:rPr>
          <w:u w:val="none"/>
          <w:lang w:val="ru-RU"/>
        </w:rPr>
        <w:t xml:space="preserve">. </w:t>
      </w:r>
      <w:r w:rsidR="008959B0">
        <w:rPr>
          <w:u w:val="none"/>
          <w:lang w:val="ru-RU"/>
        </w:rPr>
        <w:t>по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декабрь</w:t>
      </w:r>
      <w:r w:rsidR="008959B0" w:rsidRPr="008959B0">
        <w:rPr>
          <w:u w:val="none"/>
          <w:lang w:val="ru-RU"/>
        </w:rPr>
        <w:t xml:space="preserve"> 2019</w:t>
      </w:r>
      <w:r w:rsidR="008959B0" w:rsidRPr="008959B0">
        <w:rPr>
          <w:u w:val="none"/>
          <w:lang w:val="en-US"/>
        </w:rPr>
        <w:t> </w:t>
      </w:r>
      <w:r w:rsidR="008959B0">
        <w:rPr>
          <w:u w:val="none"/>
          <w:lang w:val="ru-RU"/>
        </w:rPr>
        <w:t>г</w:t>
      </w:r>
      <w:r w:rsidR="008959B0" w:rsidRPr="008959B0">
        <w:rPr>
          <w:u w:val="none"/>
          <w:lang w:val="ru-RU"/>
        </w:rPr>
        <w:t xml:space="preserve">. </w:t>
      </w:r>
      <w:r w:rsidR="008959B0">
        <w:rPr>
          <w:u w:val="none"/>
          <w:lang w:val="ru-RU"/>
        </w:rPr>
        <w:t>на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рассмотрение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Генеральной</w:t>
      </w:r>
      <w:r w:rsidR="008959B0" w:rsidRPr="008959B0">
        <w:rPr>
          <w:u w:val="none"/>
          <w:lang w:val="ru-RU"/>
        </w:rPr>
        <w:t xml:space="preserve"> </w:t>
      </w:r>
      <w:r w:rsidR="008959B0">
        <w:rPr>
          <w:u w:val="none"/>
          <w:lang w:val="ru-RU"/>
        </w:rPr>
        <w:t>ассамблее на ее восьмой сессии</w:t>
      </w:r>
      <w:r w:rsidR="00C902E0" w:rsidRPr="008959B0">
        <w:rPr>
          <w:u w:val="none"/>
          <w:lang w:val="ru-RU"/>
        </w:rPr>
        <w:t>.</w:t>
      </w:r>
    </w:p>
    <w:p w:rsidR="00C902E0" w:rsidRPr="00FF1667" w:rsidRDefault="00C902E0" w:rsidP="006F1A74">
      <w:pPr>
        <w:pStyle w:val="GAPara"/>
        <w:numPr>
          <w:ilvl w:val="0"/>
          <w:numId w:val="0"/>
        </w:numPr>
        <w:ind w:left="567"/>
        <w:jc w:val="center"/>
        <w:rPr>
          <w:b/>
        </w:rPr>
      </w:pPr>
      <w:r w:rsidRPr="008959B0">
        <w:rPr>
          <w:b/>
          <w:lang w:val="ru-RU"/>
        </w:rPr>
        <w:br w:type="page"/>
      </w:r>
      <w:r>
        <w:rPr>
          <w:b/>
          <w:lang w:val="ru-RU"/>
        </w:rPr>
        <w:lastRenderedPageBreak/>
        <w:t>Приложение</w:t>
      </w:r>
    </w:p>
    <w:p w:rsidR="00C902E0" w:rsidRPr="00BF0E21" w:rsidRDefault="00C902E0" w:rsidP="00655574">
      <w:pPr>
        <w:pStyle w:val="COMParaDecision"/>
        <w:ind w:left="0" w:firstLine="0"/>
        <w:jc w:val="center"/>
        <w:rPr>
          <w:rFonts w:eastAsia="Malgun Gothic"/>
          <w:b/>
          <w:lang w:eastAsia="ko-KR"/>
        </w:rPr>
      </w:pPr>
      <w:r>
        <w:rPr>
          <w:b/>
          <w:lang w:val="ru-RU"/>
        </w:rPr>
        <w:t>Оценка согласно Показателям эффективности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8"/>
        <w:gridCol w:w="1590"/>
        <w:gridCol w:w="5746"/>
      </w:tblGrid>
      <w:tr w:rsidR="00E377E1" w:rsidRPr="00E22EA0" w:rsidTr="00952F90">
        <w:trPr>
          <w:cantSplit/>
        </w:trPr>
        <w:tc>
          <w:tcPr>
            <w:tcW w:w="1189" w:type="pct"/>
            <w:shd w:val="clear" w:color="auto" w:fill="808080"/>
            <w:vAlign w:val="center"/>
          </w:tcPr>
          <w:p w:rsidR="00C902E0" w:rsidRPr="009205C1" w:rsidRDefault="00C902E0" w:rsidP="009717DB">
            <w:pPr>
              <w:keepNext/>
              <w:spacing w:before="120" w:after="120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38C/5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Показатель эффективности</w:t>
            </w: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 1</w:t>
            </w:r>
          </w:p>
        </w:tc>
        <w:tc>
          <w:tcPr>
            <w:tcW w:w="3811" w:type="pct"/>
            <w:gridSpan w:val="2"/>
            <w:shd w:val="clear" w:color="auto" w:fill="808080"/>
            <w:vAlign w:val="center"/>
          </w:tcPr>
          <w:p w:rsidR="00C902E0" w:rsidRPr="0083611E" w:rsidRDefault="00C902E0" w:rsidP="00491890">
            <w:pPr>
              <w:keepNext/>
              <w:spacing w:before="120" w:after="120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Руководящие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органы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Конвенции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2003</w:t>
            </w:r>
            <w:r w:rsidRPr="00BB765B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г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осуществляют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полноценное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управление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благодаря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эффективной</w:t>
            </w:r>
            <w:r w:rsidRPr="0083611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организации</w:t>
            </w:r>
            <w:r w:rsidR="0049189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предусмотренных нормативными документами совещаний</w:t>
            </w:r>
          </w:p>
        </w:tc>
      </w:tr>
      <w:tr w:rsidR="00E377E1" w:rsidRPr="003F565B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15" w:type="pct"/>
            <w:gridSpan w:val="2"/>
            <w:shd w:val="clear" w:color="auto" w:fill="D9D9D9"/>
            <w:vAlign w:val="center"/>
          </w:tcPr>
          <w:p w:rsidR="00C902E0" w:rsidRPr="001C6031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C902E0" w:rsidRPr="00615898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Оценка прогресса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  <w:t>01/01/201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− 31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12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</w:tr>
      <w:tr w:rsidR="00E377E1" w:rsidRPr="00E22EA0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5" w:type="pct"/>
            <w:gridSpan w:val="2"/>
          </w:tcPr>
          <w:p w:rsidR="00C902E0" w:rsidRPr="00E22EA0" w:rsidRDefault="00236AD5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Решения</w:t>
            </w:r>
            <w:r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обеспечивающие</w:t>
            </w:r>
            <w:r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стратегическое</w:t>
            </w:r>
            <w:r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руководство</w:t>
            </w:r>
            <w:r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или</w:t>
            </w:r>
            <w:r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финансовую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поддержку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выполнения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Конвенции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принятые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двенадцати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регламентных</w:t>
            </w:r>
            <w:r w:rsidR="006B1F19"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6B1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совещаниях</w:t>
            </w:r>
            <w:r w:rsidR="00C902E0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  <w:p w:rsidR="00C902E0" w:rsidRPr="00E22EA0" w:rsidRDefault="00C902E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100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планов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охране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нематериального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культурного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наследия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включая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языки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коренных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народов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языки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находящиеся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</w:t>
            </w:r>
            <w:r w:rsidR="00CD13CD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13C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угрозой</w:t>
            </w:r>
            <w:r w:rsidR="00F36429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F364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разработаны</w:t>
            </w:r>
            <w:r w:rsidR="00F36429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364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="00F36429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</w:t>
            </w:r>
            <w:r w:rsidR="00F364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или</w:t>
            </w:r>
            <w:r w:rsidR="00F36429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364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реализованы</w:t>
            </w:r>
            <w:r w:rsidR="00F36429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364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государствами</w:t>
            </w:r>
            <w:r w:rsidR="00F36429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– </w:t>
            </w:r>
            <w:r w:rsidR="00F364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членами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  <w:p w:rsidR="00C902E0" w:rsidRPr="00E22EA0" w:rsidRDefault="00C902E0" w:rsidP="00E377E1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30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заявок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международную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помощь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представлены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5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эффективно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реализованы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государствами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377E1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  <w:r w:rsidR="00CD24DC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CD24D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членами</w:t>
            </w:r>
            <w:r w:rsidR="00E377E1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; 65 </w:t>
            </w:r>
            <w:r w:rsidR="00E377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номинаций</w:t>
            </w:r>
            <w:r w:rsidR="00E377E1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377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представлено</w:t>
            </w:r>
            <w:r w:rsidR="00E377E1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377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государствами</w:t>
            </w:r>
            <w:r w:rsidR="00E377E1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– </w:t>
            </w:r>
            <w:r w:rsidR="00E377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членами</w:t>
            </w:r>
            <w:r w:rsidR="00E377E1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377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r w:rsidR="00E377E1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377E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обработано, включая одну популяризованную и распространенную передовую практику по охране</w:t>
            </w:r>
            <w:r w:rsidRPr="00E22EA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985" w:type="pct"/>
          </w:tcPr>
          <w:p w:rsidR="00C902E0" w:rsidRPr="00130F37" w:rsidRDefault="0049189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Проведено</w:t>
            </w:r>
            <w:r w:rsidRPr="00130F37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C902E0" w:rsidRPr="00130F37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18</w:t>
            </w:r>
            <w:r w:rsidR="00C902E0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регламентных</w:t>
            </w:r>
            <w:r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совещаний</w:t>
            </w:r>
            <w:r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принятием</w:t>
            </w:r>
            <w:r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решений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AD53D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обеспечивающих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стратегическое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руководство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или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финансовую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поддержку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выполнения</w:t>
            </w:r>
            <w:r w:rsidR="00DB71D7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B71D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Конвенции</w:t>
            </w:r>
            <w:r w:rsidR="00C902E0" w:rsidRPr="00130F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:</w:t>
            </w:r>
          </w:p>
          <w:p w:rsidR="00C902E0" w:rsidRPr="00BB765B" w:rsidRDefault="00C902E0" w:rsidP="00655574">
            <w:pPr>
              <w:pStyle w:val="ListParagraph"/>
              <w:numPr>
                <w:ilvl w:val="0"/>
                <w:numId w:val="23"/>
              </w:numPr>
              <w:ind w:left="802" w:hanging="425"/>
              <w:contextualSpacing w:val="0"/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Одна Генеральная ассамблея</w:t>
            </w:r>
            <w:r w:rsidRPr="00BB76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(30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Мая</w:t>
            </w:r>
            <w:r w:rsidRPr="00BB76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2567C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−</w:t>
            </w:r>
            <w:r w:rsidRPr="00BB76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Июня</w:t>
            </w:r>
            <w:r w:rsidRPr="00BB76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2016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г.</w:t>
            </w:r>
            <w:r w:rsidRPr="00BB76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);</w:t>
            </w:r>
          </w:p>
          <w:p w:rsidR="00C902E0" w:rsidRPr="002567C5" w:rsidRDefault="002567C5" w:rsidP="00655574">
            <w:pPr>
              <w:pStyle w:val="ListParagraph"/>
              <w:numPr>
                <w:ilvl w:val="0"/>
                <w:numId w:val="23"/>
              </w:numPr>
              <w:ind w:left="802" w:hanging="425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Две сессии Межправительственного комитета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(28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ноября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47302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–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2</w:t>
            </w:r>
            <w:r w:rsidR="00473021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 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декабря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2016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 г.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; 4</w:t>
            </w:r>
            <w:r w:rsidRPr="002567C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−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9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декабря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2017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 г.</w:t>
            </w:r>
            <w:r w:rsidR="00C902E0" w:rsidRPr="002567C5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);</w:t>
            </w:r>
          </w:p>
          <w:p w:rsidR="00C902E0" w:rsidRPr="002567C5" w:rsidRDefault="002567C5" w:rsidP="00655574">
            <w:pPr>
              <w:pStyle w:val="ListParagraph"/>
              <w:numPr>
                <w:ilvl w:val="0"/>
                <w:numId w:val="23"/>
              </w:numPr>
              <w:ind w:left="802" w:hanging="425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Шесть совещаний Оценочного органа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март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июнь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сентябрь</w:t>
            </w:r>
            <w:r w:rsidR="00C902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2016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г.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март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июнь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сентябрь</w:t>
            </w:r>
            <w:r w:rsidR="00C902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г.</w:t>
            </w:r>
            <w:r w:rsidR="00C902E0" w:rsidRPr="002567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);</w:t>
            </w:r>
          </w:p>
          <w:p w:rsidR="00C902E0" w:rsidRPr="002B6E5F" w:rsidRDefault="002B6E5F" w:rsidP="00655574">
            <w:pPr>
              <w:pStyle w:val="ListParagraph"/>
              <w:numPr>
                <w:ilvl w:val="0"/>
                <w:numId w:val="23"/>
              </w:numPr>
              <w:ind w:left="802" w:hanging="425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Три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очных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совещания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Президиума Комитета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июнь</w:t>
            </w:r>
            <w:r w:rsidR="00C902E0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> 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2016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 г.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;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октябрь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2016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 г. и октябрь 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г.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);</w:t>
            </w:r>
          </w:p>
          <w:p w:rsidR="00C902E0" w:rsidRPr="002B6E5F" w:rsidRDefault="002B6E5F" w:rsidP="00655574">
            <w:pPr>
              <w:pStyle w:val="ListParagraph"/>
              <w:numPr>
                <w:ilvl w:val="0"/>
                <w:numId w:val="23"/>
              </w:numPr>
              <w:ind w:left="802" w:hanging="425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Пять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электронных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консультаций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Президиума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Комитета</w:t>
            </w:r>
            <w:r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март</w:t>
            </w:r>
            <w:r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апрель</w:t>
            </w:r>
            <w:r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2016</w:t>
            </w:r>
            <w:r w:rsidRPr="002B6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;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июнь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2016</w:t>
            </w:r>
            <w:r w:rsidRPr="002B6E5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февраль – март 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г.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;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май</w:t>
            </w:r>
            <w:r w:rsidR="009732FA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2017</w:t>
            </w:r>
            <w:r w:rsidR="009732FA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 г.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; </w:t>
            </w:r>
            <w:r w:rsidR="009732FA" w:rsidRPr="009732FA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и август</w:t>
            </w:r>
            <w:r w:rsidR="009732FA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– сентябрь </w:t>
            </w:r>
            <w:r w:rsidR="00C902E0" w:rsidRPr="002B6E5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2017</w:t>
            </w:r>
            <w:r w:rsidR="009732FA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 г.</w:t>
            </w:r>
            <w:r w:rsidR="00C902E0" w:rsidRPr="002B6E5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);</w:t>
            </w:r>
          </w:p>
          <w:p w:rsidR="00C902E0" w:rsidRPr="009732FA" w:rsidRDefault="009732FA" w:rsidP="00655574">
            <w:pPr>
              <w:pStyle w:val="ListParagraph"/>
              <w:numPr>
                <w:ilvl w:val="0"/>
                <w:numId w:val="23"/>
              </w:numPr>
              <w:ind w:left="802" w:hanging="425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Одно</w:t>
            </w:r>
            <w:r w:rsidRPr="009732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совещание</w:t>
            </w:r>
            <w:r w:rsidRPr="009732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межправительственной рабочей группы открытого состава </w:t>
            </w:r>
            <w:r w:rsidR="00C902E0" w:rsidRPr="009732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Чэнду</w:t>
            </w:r>
            <w:r w:rsidR="00C902E0" w:rsidRPr="009732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11</w:t>
            </w:r>
            <w:r w:rsidRPr="002567C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−</w:t>
            </w:r>
            <w:r w:rsidR="00C902E0" w:rsidRPr="009732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июня</w:t>
            </w:r>
            <w:r w:rsidR="00C902E0" w:rsidRPr="009732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2017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 г.</w:t>
            </w:r>
            <w:r w:rsidR="00C902E0" w:rsidRPr="009732F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).</w:t>
            </w:r>
          </w:p>
          <w:p w:rsidR="00C902E0" w:rsidRPr="00B52FAE" w:rsidRDefault="00130F37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Утверждены</w:t>
            </w:r>
            <w:r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планы</w:t>
            </w:r>
            <w:r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</w:t>
            </w:r>
            <w:r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использованию</w:t>
            </w:r>
            <w:r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средств</w:t>
            </w:r>
            <w:r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Фонда</w:t>
            </w:r>
            <w:r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; </w:t>
            </w:r>
            <w:r w:rsidR="00577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пересмотрено</w:t>
            </w:r>
            <w:r w:rsidR="00577B23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77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Оперативное</w:t>
            </w:r>
            <w:r w:rsidR="00577B23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77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руководство</w:t>
            </w:r>
            <w:r w:rsidR="00577B23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13933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E1393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ОР</w:t>
            </w:r>
            <w:r w:rsidR="00E13933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) </w:t>
            </w:r>
            <w:r w:rsidR="00577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="00577B23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77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учетом</w:t>
            </w:r>
            <w:r w:rsidR="00577B23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увеличения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суммы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заявок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международную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помощь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МП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),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утверждаемых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D7D6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Президиумом</w:t>
            </w:r>
            <w:r w:rsidR="002D7D61" w:rsidRP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;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утверждена новая глава ОР об охране нематериального культурного наследия и устойчивом развитии на национальном уровне.</w:t>
            </w:r>
          </w:p>
          <w:p w:rsidR="00C902E0" w:rsidRPr="009C5148" w:rsidRDefault="00C902E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87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номинаций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11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предложений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Реестр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передовых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практик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охране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РПП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) </w:t>
            </w:r>
            <w:r w:rsidR="00B52FA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="00B52FAE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36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заявок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МП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представлено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24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заявки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r w:rsidR="007556E4" w:rsidRP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МП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каждая из которых включала план по охране, </w:t>
            </w:r>
            <w:r w:rsidR="007556E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обработано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(в цикле 2016</w:t>
            </w:r>
            <w:r w:rsidR="009C5148" w:rsidRPr="002567C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−</w:t>
            </w:r>
            <w:r w:rsidR="009C514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2017 гг.).</w:t>
            </w:r>
          </w:p>
          <w:p w:rsidR="00C902E0" w:rsidRPr="00D8442F" w:rsidRDefault="00C902E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8442F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20</w:t>
            </w:r>
            <w:r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заявок</w:t>
            </w:r>
            <w:r w:rsidR="009C5148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</w:t>
            </w:r>
            <w:r w:rsidR="009C5148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МП</w:t>
            </w:r>
            <w:r w:rsidR="009C5148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обработано</w:t>
            </w:r>
            <w:r w:rsidR="009C5148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/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проанализировано</w:t>
            </w:r>
            <w:r w:rsidR="009C5148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="009C5148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представлено</w:t>
            </w:r>
            <w:r w:rsidR="009C5148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C514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Президиуму</w:t>
            </w:r>
            <w:r w:rsidR="00D8442F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; </w:t>
            </w:r>
            <w:r w:rsid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из</w:t>
            </w:r>
            <w:r w:rsidR="00D8442F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них</w:t>
            </w:r>
            <w:r w:rsidR="00D8442F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14 </w:t>
            </w:r>
            <w:r w:rsid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одобрено</w:t>
            </w:r>
            <w:r w:rsidR="00D8442F" w:rsidRPr="00D844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D8442F">
              <w:rPr>
                <w:rFonts w:ascii="Arial" w:hAnsi="Arial" w:cs="Arial"/>
                <w:sz w:val="20"/>
                <w:szCs w:val="20"/>
                <w:lang w:val="ru-RU"/>
              </w:rPr>
              <w:t>(11.</w:t>
            </w:r>
            <w:r w:rsidRPr="007A71E8">
              <w:rPr>
                <w:rFonts w:ascii="Arial" w:hAnsi="Arial" w:cs="Arial"/>
                <w:sz w:val="20"/>
                <w:szCs w:val="20"/>
                <w:lang w:val="en-GB"/>
              </w:rPr>
              <w:t>COM</w:t>
            </w:r>
            <w:r w:rsidRPr="00D8442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A71E8">
              <w:rPr>
                <w:rFonts w:ascii="Arial" w:hAnsi="Arial" w:cs="Arial"/>
                <w:sz w:val="20"/>
                <w:szCs w:val="20"/>
                <w:lang w:val="en-GB"/>
              </w:rPr>
              <w:t>BUR</w:t>
            </w:r>
            <w:r w:rsidRPr="00D8442F"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  <w:r w:rsidRPr="00D8442F">
              <w:rPr>
                <w:rFonts w:ascii="Arial" w:eastAsia="Malgun Gothic" w:hAnsi="Arial" w:cs="Arial"/>
                <w:sz w:val="20"/>
                <w:szCs w:val="20"/>
                <w:lang w:val="ru-RU" w:eastAsia="ko-KR"/>
              </w:rPr>
              <w:t xml:space="preserve">-3 </w:t>
            </w:r>
            <w:r w:rsidR="00D8442F">
              <w:rPr>
                <w:rFonts w:ascii="Arial" w:eastAsia="Malgun Gothic" w:hAnsi="Arial" w:cs="Arial"/>
                <w:sz w:val="20"/>
                <w:szCs w:val="20"/>
                <w:lang w:val="ru-RU" w:eastAsia="ko-KR"/>
              </w:rPr>
              <w:t>и</w:t>
            </w:r>
            <w:r w:rsidRPr="00D8442F">
              <w:rPr>
                <w:rFonts w:ascii="Arial" w:eastAsia="Malgun Gothic" w:hAnsi="Arial" w:cs="Arial"/>
                <w:sz w:val="20"/>
                <w:szCs w:val="20"/>
                <w:lang w:val="ru-RU" w:eastAsia="ko-KR"/>
              </w:rPr>
              <w:t xml:space="preserve"> </w:t>
            </w:r>
            <w:r w:rsidRPr="00D8442F">
              <w:rPr>
                <w:rFonts w:ascii="Arial" w:hAnsi="Arial" w:cs="Arial"/>
                <w:sz w:val="20"/>
                <w:szCs w:val="20"/>
                <w:lang w:val="ru-RU"/>
              </w:rPr>
              <w:t>12.</w:t>
            </w:r>
            <w:r w:rsidRPr="007A71E8">
              <w:rPr>
                <w:rFonts w:ascii="Arial" w:hAnsi="Arial" w:cs="Arial"/>
                <w:sz w:val="20"/>
                <w:szCs w:val="20"/>
                <w:lang w:val="en-GB"/>
              </w:rPr>
              <w:t>COM</w:t>
            </w:r>
            <w:r w:rsidRPr="00D8442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A71E8">
              <w:rPr>
                <w:rFonts w:ascii="Arial" w:hAnsi="Arial" w:cs="Arial"/>
                <w:sz w:val="20"/>
                <w:szCs w:val="20"/>
                <w:lang w:val="en-GB"/>
              </w:rPr>
              <w:t>BUR</w:t>
            </w:r>
            <w:r w:rsidRPr="00D8442F">
              <w:rPr>
                <w:rFonts w:ascii="Arial" w:hAnsi="Arial" w:cs="Arial"/>
                <w:sz w:val="20"/>
                <w:szCs w:val="20"/>
                <w:lang w:val="ru-RU"/>
              </w:rPr>
              <w:t xml:space="preserve"> 1,2 &amp; 4), 10 </w:t>
            </w:r>
            <w:r w:rsidR="006E186D">
              <w:rPr>
                <w:rFonts w:ascii="Arial" w:hAnsi="Arial" w:cs="Arial"/>
                <w:sz w:val="20"/>
                <w:szCs w:val="20"/>
                <w:lang w:val="ru-RU"/>
              </w:rPr>
              <w:t>эффективно реализовано государствами – членами и 13 еще находятся в процессе реализации.</w:t>
            </w:r>
          </w:p>
          <w:p w:rsidR="00C902E0" w:rsidRPr="0010593C" w:rsidRDefault="00811B3B" w:rsidP="00393620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Разработан</w:t>
            </w:r>
            <w:r w:rsidR="003936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ы</w:t>
            </w:r>
            <w:r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34" w:history="1">
              <w:r w:rsidRPr="00E22EA0">
                <w:rPr>
                  <w:rStyle w:val="Hyperlink"/>
                  <w:rFonts w:ascii="Arial" w:hAnsi="Arial" w:cs="Arial"/>
                  <w:sz w:val="20"/>
                  <w:szCs w:val="20"/>
                  <w:lang w:val="ru-RU"/>
                </w:rPr>
                <w:t>новый интерфейс</w:t>
              </w:r>
            </w:hyperlink>
            <w:r w:rsidR="00941AC2"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представления периодических докладов, позволяющий всем заинтересованным сторонам </w:t>
            </w:r>
            <w:r w:rsidR="00941A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просматривать</w:t>
            </w:r>
            <w:r w:rsidR="00941AC2"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41A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представленные</w:t>
            </w:r>
            <w:r w:rsidR="00941AC2"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41A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доклады</w:t>
            </w:r>
            <w:r w:rsidR="00941AC2"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A9538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консультироваться</w:t>
            </w:r>
            <w:r w:rsidR="00A9538E"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насчет</w:t>
            </w:r>
            <w:r w:rsidR="0010593C"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графика представления докладов в будущем и осуществлять поиск по </w:t>
            </w:r>
            <w:r w:rsidR="0008468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типу доклада</w:t>
            </w:r>
            <w:r w:rsid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546B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статусу и стране;</w:t>
            </w:r>
            <w:r w:rsidR="00C902E0" w:rsidRPr="0010593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08468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онлайн</w:t>
            </w:r>
            <w:r w:rsidR="003936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овый и</w:t>
            </w:r>
            <w:r w:rsidR="0008468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нструмент для представления докладов об элементах ССО</w:t>
            </w:r>
            <w:r w:rsidR="00B735F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на цикл 2018 г.</w:t>
            </w:r>
          </w:p>
        </w:tc>
      </w:tr>
    </w:tbl>
    <w:p w:rsidR="00C902E0" w:rsidRPr="0010593C" w:rsidRDefault="00C902E0" w:rsidP="00655574">
      <w:pPr>
        <w:pStyle w:val="COMPara"/>
        <w:ind w:left="360"/>
        <w:jc w:val="both"/>
        <w:rPr>
          <w:rFonts w:eastAsia="Malgun Gothic"/>
          <w:highlight w:val="cyan"/>
          <w:lang w:val="ru-RU" w:eastAsia="ko-KR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9"/>
        <w:gridCol w:w="1589"/>
        <w:gridCol w:w="5754"/>
      </w:tblGrid>
      <w:tr w:rsidR="00C902E0" w:rsidRPr="00E22EA0" w:rsidTr="00952F90">
        <w:trPr>
          <w:cantSplit/>
        </w:trPr>
        <w:tc>
          <w:tcPr>
            <w:tcW w:w="1188" w:type="pct"/>
            <w:shd w:val="clear" w:color="auto" w:fill="808080"/>
            <w:vAlign w:val="center"/>
          </w:tcPr>
          <w:p w:rsidR="00C902E0" w:rsidRPr="009205C1" w:rsidRDefault="00C902E0" w:rsidP="009717DB">
            <w:pPr>
              <w:keepNext/>
              <w:spacing w:before="120" w:after="120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lastRenderedPageBreak/>
              <w:t xml:space="preserve">38C/5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Показатель эффективности</w:t>
            </w: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 2</w:t>
            </w:r>
          </w:p>
        </w:tc>
        <w:tc>
          <w:tcPr>
            <w:tcW w:w="3812" w:type="pct"/>
            <w:gridSpan w:val="2"/>
            <w:shd w:val="clear" w:color="auto" w:fill="808080"/>
            <w:vAlign w:val="center"/>
          </w:tcPr>
          <w:p w:rsidR="00C902E0" w:rsidRPr="00BB765B" w:rsidRDefault="00C902E0" w:rsidP="009717DB">
            <w:pPr>
              <w:pStyle w:val="Default"/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Количество государств-участников, получивших поддержку, направленную на укрепление кадровых и институциональных ресурсов в деле охраны нематериального культурного наследия и на включение нематериального культурного наследия в национальную политику</w:t>
            </w:r>
          </w:p>
        </w:tc>
      </w:tr>
      <w:tr w:rsidR="00C902E0" w:rsidRPr="003F565B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13" w:type="pct"/>
            <w:gridSpan w:val="2"/>
            <w:shd w:val="clear" w:color="auto" w:fill="D9D9D9"/>
            <w:vAlign w:val="center"/>
          </w:tcPr>
          <w:p w:rsidR="00C902E0" w:rsidRPr="001C6031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2987" w:type="pct"/>
            <w:shd w:val="clear" w:color="auto" w:fill="D9D9D9"/>
            <w:vAlign w:val="center"/>
          </w:tcPr>
          <w:p w:rsidR="00C902E0" w:rsidRPr="00615898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Оценка прогресса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  <w:t>01/01/201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− 30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06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</w:tr>
      <w:tr w:rsidR="00C902E0" w:rsidRPr="00E22EA0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3" w:type="pct"/>
            <w:gridSpan w:val="2"/>
          </w:tcPr>
          <w:p w:rsidR="00C902E0" w:rsidRPr="00C62A1E" w:rsidRDefault="00C62A1E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Разработка или пересмотр политики в 15 государствах и укрепление кадровых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институциональ</w:t>
            </w:r>
            <w:r w:rsidR="0082365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ресурсов в 25 государствах.</w:t>
            </w:r>
          </w:p>
          <w:p w:rsidR="00C902E0" w:rsidRPr="001F0F19" w:rsidRDefault="00C902E0" w:rsidP="001F0F19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/>
              <w:contextualSpacing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20% </w:t>
            </w:r>
            <w:r w:rsid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обученных</w:t>
            </w:r>
            <w:r w:rsidR="001F0F19" w:rsidRP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специалистов</w:t>
            </w:r>
            <w:r w:rsidR="001F0F19" w:rsidRP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сферы</w:t>
            </w:r>
            <w:r w:rsidR="001F0F19" w:rsidRP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культуры</w:t>
            </w:r>
            <w:r w:rsidR="001F0F19" w:rsidRP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– </w:t>
            </w:r>
            <w:r w:rsid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женщины</w:t>
            </w:r>
            <w:r w:rsidR="001F0F19" w:rsidRP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1F0F1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вносящие важный вклад в процесс принятия решений в области культуры на национальном уровне</w:t>
            </w:r>
            <w:r w:rsidRPr="001F0F1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987" w:type="pct"/>
          </w:tcPr>
          <w:p w:rsidR="00C902E0" w:rsidRPr="0085095B" w:rsidRDefault="00B92106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Была разработана или пересмотрена политика в</w:t>
            </w:r>
            <w:r w:rsidR="006B2D2C" w:rsidRPr="00B92106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19 </w:t>
            </w:r>
            <w:r w:rsidR="006B2D2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государствах</w:t>
            </w:r>
            <w:r w:rsidR="006B2D2C" w:rsidRPr="00B92106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6B2D2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из</w:t>
            </w:r>
            <w:r w:rsidR="006B2D2C" w:rsidRPr="00B92106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41, </w:t>
            </w:r>
            <w:r w:rsidR="006B2D2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получившего</w:t>
            </w:r>
            <w:r w:rsidR="006B2D2C" w:rsidRPr="00B92106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поддержку</w:t>
            </w:r>
            <w:r w:rsidRPr="00B92106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по</w:t>
            </w:r>
            <w:r w:rsidRPr="00B92106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вопросам</w:t>
            </w:r>
            <w:r w:rsidRPr="00B92106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политики в рамках программы по укреплению потенциала</w:t>
            </w:r>
            <w:r w:rsidR="004B127B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. Укрепление</w:t>
            </w:r>
            <w:r w:rsidR="004B127B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4B127B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кадровых</w:t>
            </w:r>
            <w:r w:rsidR="004B127B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4B127B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и</w:t>
            </w:r>
            <w:r w:rsidR="004B127B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4B127B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институциональных</w:t>
            </w:r>
            <w:r w:rsidR="004B127B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4B127B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ресурсов</w:t>
            </w:r>
            <w:r w:rsidR="004B127B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4B127B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в</w:t>
            </w:r>
            <w:r w:rsidR="004B127B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40 </w:t>
            </w:r>
            <w:r w:rsidR="004B127B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государствах</w:t>
            </w:r>
            <w:r w:rsidR="004B127B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,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получивших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поддержку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 xml:space="preserve">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в рамках всеобъемлющих многолетних проектов. В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 xml:space="preserve"> 31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государстве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проекты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завершены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 xml:space="preserve">,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а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в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 xml:space="preserve"> 9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они</w:t>
            </w:r>
            <w:r w:rsidR="00E8534C" w:rsidRP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en-US" w:eastAsia="ko-KR"/>
              </w:rPr>
              <w:t xml:space="preserve"> </w:t>
            </w:r>
            <w:r w:rsidR="00E8534C">
              <w:rPr>
                <w:rFonts w:ascii="Arial" w:eastAsia="Malgun Gothic" w:hAnsi="Arial" w:cs="Arial"/>
                <w:color w:val="000000"/>
                <w:sz w:val="20"/>
                <w:szCs w:val="20"/>
                <w:lang w:val="ru-RU" w:eastAsia="ko-KR"/>
              </w:rPr>
              <w:t>продолжаются</w:t>
            </w:r>
            <w:r w:rsidR="00C902E0" w:rsidRPr="0085095B">
              <w:rPr>
                <w:rFonts w:ascii="Arial" w:eastAsia="Malgun Gothic" w:hAnsi="Arial" w:cs="Arial"/>
                <w:color w:val="000000"/>
                <w:sz w:val="20"/>
                <w:szCs w:val="20"/>
                <w:lang w:val="en-GB" w:eastAsia="ko-KR"/>
              </w:rPr>
              <w:t>.</w:t>
            </w:r>
          </w:p>
          <w:p w:rsidR="00C902E0" w:rsidRPr="00E27607" w:rsidRDefault="00C902E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45%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обученных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ЮНЕСКО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специалистов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сферы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культуры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–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женщины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;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нет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данных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относительно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вклада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процесс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принятия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решений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;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соответствующий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механизм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разрабатывается</w:t>
            </w:r>
            <w:r w:rsidR="00E27607" w:rsidRPr="00E2760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C902E0" w:rsidRPr="000A4906" w:rsidRDefault="006B53AD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Сеть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фасилитаторов</w:t>
            </w:r>
            <w:proofErr w:type="spellEnd"/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укреплена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благодаря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четырем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обучающим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семинарам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для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фасилитаторов</w:t>
            </w:r>
            <w:proofErr w:type="spellEnd"/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одного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глобального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трех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региональных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F2FE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разработке</w:t>
            </w:r>
            <w:r w:rsidR="002F2FED"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F2FE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</w:t>
            </w:r>
            <w:r w:rsidR="002F2FED"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F2FE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распространению</w:t>
            </w:r>
            <w:r w:rsidR="002F2FED"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F2FE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аудиовизуальных</w:t>
            </w:r>
            <w:r w:rsidR="002F2FED"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F2FE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учебных</w:t>
            </w:r>
            <w:r w:rsidR="002F2FED"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2F2FE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материалов</w:t>
            </w:r>
            <w:r w:rsidR="002F2FED"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</w:t>
            </w:r>
            <w:r w:rsidR="000A4906" w:rsidRP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82365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охранным планам</w:t>
            </w:r>
            <w:r w:rsidR="000A49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 разработке политики и гендерной проблематике.</w:t>
            </w:r>
          </w:p>
          <w:p w:rsidR="00C902E0" w:rsidRPr="005660C5" w:rsidRDefault="00D03582" w:rsidP="005660C5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Обновлены</w:t>
            </w:r>
            <w:r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основные</w:t>
            </w:r>
            <w:r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учебные</w:t>
            </w:r>
            <w:r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материалы</w:t>
            </w:r>
            <w:r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целью</w:t>
            </w:r>
            <w:r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отражения</w:t>
            </w:r>
            <w:r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решений</w:t>
            </w:r>
            <w:r w:rsidR="005660C5"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регламентных совещаний </w:t>
            </w:r>
            <w:r w:rsidR="00C902E0"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(15 </w:t>
            </w:r>
            <w:r w:rsid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разделов</w:t>
            </w:r>
            <w:r w:rsidR="00C902E0"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; 3 </w:t>
            </w:r>
            <w:r w:rsid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языка</w:t>
            </w:r>
            <w:r w:rsidR="00C902E0" w:rsidRPr="005660C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).</w:t>
            </w:r>
          </w:p>
        </w:tc>
      </w:tr>
    </w:tbl>
    <w:p w:rsidR="00C902E0" w:rsidRPr="005660C5" w:rsidRDefault="00C902E0" w:rsidP="00655574">
      <w:pPr>
        <w:pStyle w:val="COMPara"/>
        <w:ind w:left="360"/>
        <w:jc w:val="both"/>
        <w:rPr>
          <w:rFonts w:eastAsia="Malgun Gothic"/>
          <w:highlight w:val="cyan"/>
          <w:lang w:val="ru-RU" w:eastAsia="ko-KR"/>
        </w:rPr>
      </w:pP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9"/>
        <w:gridCol w:w="1589"/>
        <w:gridCol w:w="5754"/>
      </w:tblGrid>
      <w:tr w:rsidR="00C902E0" w:rsidRPr="00E22EA0" w:rsidTr="00952F90">
        <w:trPr>
          <w:cantSplit/>
        </w:trPr>
        <w:tc>
          <w:tcPr>
            <w:tcW w:w="1188" w:type="pct"/>
            <w:shd w:val="clear" w:color="auto" w:fill="808080"/>
            <w:vAlign w:val="center"/>
          </w:tcPr>
          <w:p w:rsidR="00C902E0" w:rsidRPr="009205C1" w:rsidRDefault="00C902E0" w:rsidP="009717DB">
            <w:pPr>
              <w:keepNext/>
              <w:spacing w:before="120" w:after="120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38C/5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Показатель эффективности</w:t>
            </w: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 3</w:t>
            </w:r>
          </w:p>
        </w:tc>
        <w:tc>
          <w:tcPr>
            <w:tcW w:w="3812" w:type="pct"/>
            <w:gridSpan w:val="2"/>
            <w:shd w:val="clear" w:color="auto" w:fill="808080"/>
            <w:vAlign w:val="center"/>
          </w:tcPr>
          <w:p w:rsidR="00C902E0" w:rsidRPr="009C1A90" w:rsidRDefault="00C902E0" w:rsidP="009717DB">
            <w:pPr>
              <w:pStyle w:val="Default"/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Количество периодических докладов о выполнении Конвенции на национальном уровне, представленных государствами-участниками и рассмотренных Комитетом, а также докладов, касающихся гендерных проблем и ха</w:t>
            </w:r>
            <w:r w:rsidR="00E06288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рактеризующих политические меры,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способствующие равноправному доступу и участию в культурной жизни.</w:t>
            </w:r>
          </w:p>
        </w:tc>
      </w:tr>
      <w:tr w:rsidR="00C902E0" w:rsidRPr="003F565B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13" w:type="pct"/>
            <w:gridSpan w:val="2"/>
            <w:shd w:val="clear" w:color="auto" w:fill="D9D9D9"/>
            <w:vAlign w:val="center"/>
          </w:tcPr>
          <w:p w:rsidR="00C902E0" w:rsidRPr="001C6031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2987" w:type="pct"/>
            <w:shd w:val="clear" w:color="auto" w:fill="D9D9D9"/>
            <w:vAlign w:val="center"/>
          </w:tcPr>
          <w:p w:rsidR="00C902E0" w:rsidRPr="00615898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Оценка прогресса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  <w:t>01/01/201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− 31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12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</w:tr>
      <w:tr w:rsidR="00C902E0" w:rsidRPr="00E22EA0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3" w:type="pct"/>
            <w:gridSpan w:val="2"/>
          </w:tcPr>
          <w:p w:rsidR="00C902E0" w:rsidRPr="00BB765B" w:rsidRDefault="00C902E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B765B">
              <w:rPr>
                <w:rFonts w:ascii="Arial" w:hAnsi="Arial" w:cs="Arial"/>
                <w:sz w:val="20"/>
                <w:szCs w:val="20"/>
                <w:lang w:val="ru-RU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докладов, 20 из которых учитывают гендерные проблемы.</w:t>
            </w:r>
          </w:p>
        </w:tc>
        <w:tc>
          <w:tcPr>
            <w:tcW w:w="2987" w:type="pct"/>
          </w:tcPr>
          <w:p w:rsidR="00C902E0" w:rsidRPr="00CB7203" w:rsidRDefault="00C902E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B765B">
              <w:rPr>
                <w:rFonts w:ascii="Arial" w:hAnsi="Arial" w:cs="Arial"/>
                <w:sz w:val="20"/>
                <w:szCs w:val="20"/>
                <w:lang w:val="ru-RU"/>
              </w:rPr>
              <w:t xml:space="preserve">35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представленных и рассмотренных Комитетом докладов, 14 из которых учитывают гендерные проблемы. Из них:</w:t>
            </w:r>
          </w:p>
          <w:p w:rsidR="00C902E0" w:rsidRPr="00BB765B" w:rsidRDefault="00C902E0" w:rsidP="009717DB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6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представленных периодических докладов о выполнении Конвенции на национальным уровне, обработанных Секретариатом и рассмотренных на одиннадцатой сессии Комитета; 1 из них учитывает гендерные проблемы.</w:t>
            </w:r>
          </w:p>
          <w:p w:rsidR="00C902E0" w:rsidRPr="00BB765B" w:rsidRDefault="00C902E0" w:rsidP="009717DB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65B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11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представленных периодических докладов о выполнении Конвенции на национальном уровне, обработанных Секретариатом и рассмотренных на двенадцатой сессии Комитета; 3 из них учитывают гендерные проблемы.</w:t>
            </w:r>
          </w:p>
          <w:p w:rsidR="00C902E0" w:rsidRPr="00BB765B" w:rsidRDefault="00C902E0" w:rsidP="009717DB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65B">
              <w:rPr>
                <w:rFonts w:ascii="Arial" w:hAnsi="Arial" w:cs="Arial"/>
                <w:sz w:val="20"/>
                <w:szCs w:val="20"/>
                <w:lang w:val="ru-RU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представленных периодических докладов об элементах, включенных в ССО, обработанных Секретариатом и рассмотренных на одиннадцатой сессии Комитета; 3 из них учитывают гендерные проблемы.</w:t>
            </w:r>
          </w:p>
          <w:p w:rsidR="00C902E0" w:rsidRPr="00BB765B" w:rsidRDefault="00C902E0" w:rsidP="009717DB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B765B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12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представленных периодических докладов об элементах, включенных в ССО, обработанных Секретариатом и рассмотренных на двенадцатой сессии Комитета; 7 из них учитывают гендерные проблемы.</w:t>
            </w:r>
          </w:p>
        </w:tc>
      </w:tr>
    </w:tbl>
    <w:p w:rsidR="00C902E0" w:rsidRPr="00BB765B" w:rsidRDefault="00C902E0" w:rsidP="00655574">
      <w:pPr>
        <w:pStyle w:val="COMPara"/>
        <w:ind w:left="360"/>
        <w:jc w:val="both"/>
        <w:rPr>
          <w:rFonts w:eastAsia="Malgun Gothic"/>
          <w:highlight w:val="cyan"/>
          <w:lang w:val="ru-RU"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7"/>
        <w:gridCol w:w="1591"/>
        <w:gridCol w:w="5750"/>
      </w:tblGrid>
      <w:tr w:rsidR="00C902E0" w:rsidRPr="00E22EA0" w:rsidTr="009717DB">
        <w:trPr>
          <w:cantSplit/>
        </w:trPr>
        <w:tc>
          <w:tcPr>
            <w:tcW w:w="1188" w:type="pct"/>
            <w:shd w:val="clear" w:color="auto" w:fill="808080"/>
            <w:vAlign w:val="center"/>
          </w:tcPr>
          <w:p w:rsidR="00C902E0" w:rsidRPr="009205C1" w:rsidRDefault="00C902E0" w:rsidP="009717DB">
            <w:pPr>
              <w:keepNext/>
              <w:spacing w:before="120" w:after="120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38C/5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Показатель эффективности</w:t>
            </w: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 4</w:t>
            </w:r>
          </w:p>
        </w:tc>
        <w:tc>
          <w:tcPr>
            <w:tcW w:w="3812" w:type="pct"/>
            <w:gridSpan w:val="2"/>
            <w:shd w:val="clear" w:color="auto" w:fill="808080"/>
            <w:vAlign w:val="center"/>
          </w:tcPr>
          <w:p w:rsidR="00C902E0" w:rsidRPr="00BB765B" w:rsidRDefault="00C902E0" w:rsidP="009717DB">
            <w:pPr>
              <w:pStyle w:val="Default"/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Увеличение количества государств-участников Конвенции</w:t>
            </w:r>
          </w:p>
        </w:tc>
      </w:tr>
      <w:tr w:rsidR="00C902E0" w:rsidRPr="003F565B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14" w:type="pct"/>
            <w:gridSpan w:val="2"/>
            <w:shd w:val="clear" w:color="auto" w:fill="D9D9D9"/>
            <w:vAlign w:val="center"/>
          </w:tcPr>
          <w:p w:rsidR="00C902E0" w:rsidRPr="001C6031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2986" w:type="pct"/>
            <w:shd w:val="clear" w:color="auto" w:fill="D9D9D9"/>
            <w:vAlign w:val="center"/>
          </w:tcPr>
          <w:p w:rsidR="00C902E0" w:rsidRPr="001C6031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Оценка прогресса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  <w:t>01/01/201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6 − 31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12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</w:t>
            </w:r>
          </w:p>
        </w:tc>
      </w:tr>
      <w:tr w:rsidR="00C902E0" w:rsidRPr="00390923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4" w:type="pct"/>
            <w:gridSpan w:val="2"/>
          </w:tcPr>
          <w:p w:rsidR="00C902E0" w:rsidRPr="00BB765B" w:rsidRDefault="00C902E0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B765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5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новых ратификаций, включая 2 из Африки</w:t>
            </w:r>
            <w:r w:rsidRPr="00BB765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986" w:type="pct"/>
          </w:tcPr>
          <w:p w:rsidR="00C902E0" w:rsidRPr="00D118FD" w:rsidRDefault="00C902E0" w:rsidP="00952F90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B765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11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новых ратификаций</w:t>
            </w:r>
            <w:r w:rsidRPr="00BB765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Гана, Гвинея-Бисау, Кабо-Верде, Мальта, Острова Кука,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Сент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-Китс и Невис, Суринам, Таиланд, Тимор-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Лешти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Тувалу и Южный Судан),</w:t>
            </w:r>
            <w:r w:rsidRPr="00BB765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включая </w:t>
            </w:r>
            <w:r w:rsidRPr="00BB765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 Африки</w:t>
            </w:r>
            <w:r w:rsidRPr="00BB765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</w:t>
            </w:r>
            <w:r w:rsidR="00D118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Расширение</w:t>
            </w:r>
            <w:r w:rsidR="00D118FD" w:rsidRPr="00D118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118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территориального</w:t>
            </w:r>
            <w:r w:rsidR="00D118FD" w:rsidRPr="00D118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118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применения</w:t>
            </w:r>
            <w:r w:rsidR="00D118FD" w:rsidRPr="00D118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118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Конвенции</w:t>
            </w:r>
            <w:r w:rsidR="00D118FD" w:rsidRPr="00D118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118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Нидерландами</w:t>
            </w:r>
            <w:r w:rsidR="00D118FD" w:rsidRPr="00D118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118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</w:t>
            </w:r>
            <w:r w:rsidR="00D118FD" w:rsidRPr="00D118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18F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Кюросао</w:t>
            </w:r>
            <w:proofErr w:type="spellEnd"/>
            <w:r w:rsidRPr="00D118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C902E0" w:rsidRPr="00D118FD" w:rsidRDefault="00C902E0" w:rsidP="00655574">
      <w:pPr>
        <w:pStyle w:val="COMPara"/>
        <w:ind w:left="360"/>
        <w:jc w:val="both"/>
        <w:rPr>
          <w:rFonts w:eastAsia="Malgun Gothic"/>
          <w:highlight w:val="cyan"/>
          <w:lang w:val="en-US" w:eastAsia="ko-K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7"/>
        <w:gridCol w:w="1591"/>
        <w:gridCol w:w="5750"/>
      </w:tblGrid>
      <w:tr w:rsidR="006F0F2E" w:rsidRPr="00E22EA0" w:rsidTr="009717DB">
        <w:trPr>
          <w:cantSplit/>
        </w:trPr>
        <w:tc>
          <w:tcPr>
            <w:tcW w:w="1188" w:type="pct"/>
            <w:shd w:val="clear" w:color="auto" w:fill="808080"/>
            <w:vAlign w:val="center"/>
          </w:tcPr>
          <w:p w:rsidR="00C902E0" w:rsidRPr="009205C1" w:rsidRDefault="00C902E0" w:rsidP="009717DB">
            <w:pPr>
              <w:keepNext/>
              <w:spacing w:before="120" w:after="120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38C/5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ru-RU"/>
              </w:rPr>
              <w:t>Показатель эффективности</w:t>
            </w:r>
            <w:r w:rsidRPr="009205C1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 5</w:t>
            </w:r>
          </w:p>
        </w:tc>
        <w:tc>
          <w:tcPr>
            <w:tcW w:w="3812" w:type="pct"/>
            <w:gridSpan w:val="2"/>
            <w:shd w:val="clear" w:color="auto" w:fill="808080"/>
            <w:vAlign w:val="center"/>
          </w:tcPr>
          <w:p w:rsidR="00C902E0" w:rsidRPr="003870DA" w:rsidRDefault="008C0D5C" w:rsidP="003870DA">
            <w:pPr>
              <w:pStyle w:val="Default"/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Количество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организаций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внутри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и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вне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системы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Организации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Объединенных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Наций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,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гражданского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общества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и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частного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сектора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,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способствующих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осуществлению</w:t>
            </w:r>
            <w:r w:rsidRPr="003870DA"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программы</w:t>
            </w:r>
          </w:p>
        </w:tc>
      </w:tr>
      <w:tr w:rsidR="006F0F2E" w:rsidRPr="003F565B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14" w:type="pct"/>
            <w:gridSpan w:val="2"/>
            <w:shd w:val="clear" w:color="auto" w:fill="D9D9D9"/>
            <w:vAlign w:val="center"/>
          </w:tcPr>
          <w:p w:rsidR="00C902E0" w:rsidRPr="001C6031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Цель</w:t>
            </w:r>
          </w:p>
        </w:tc>
        <w:tc>
          <w:tcPr>
            <w:tcW w:w="2986" w:type="pct"/>
            <w:shd w:val="clear" w:color="auto" w:fill="D9D9D9"/>
            <w:vAlign w:val="center"/>
          </w:tcPr>
          <w:p w:rsidR="00C902E0" w:rsidRPr="00615898" w:rsidRDefault="00C902E0" w:rsidP="009717D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Оценка прогресса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: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  <w:t>01/01/201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− 31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12</w:t>
            </w:r>
            <w:r w:rsidRPr="001C603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 г.</w:t>
            </w:r>
          </w:p>
        </w:tc>
      </w:tr>
      <w:tr w:rsidR="006F0F2E" w:rsidRPr="00390923" w:rsidTr="00952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4" w:type="pct"/>
            <w:gridSpan w:val="2"/>
          </w:tcPr>
          <w:p w:rsidR="00C902E0" w:rsidRPr="006F0F2E" w:rsidRDefault="00C902E0" w:rsidP="0068455F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аккредитованных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НПО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;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20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подтвердивших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аккредитацию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НПО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;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4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центра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категории</w:t>
            </w:r>
            <w:r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полной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мере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внося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вклад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поддержку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программы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ЮНЕСКО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эффективному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выполнению</w:t>
            </w:r>
            <w:r w:rsidR="006F0F2E" w:rsidRPr="00E22EA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Конвенции</w:t>
            </w:r>
            <w:r w:rsidR="006F0F2E" w:rsidRPr="006F0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2003 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</w:t>
            </w:r>
            <w:r w:rsidR="006F0F2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86" w:type="pct"/>
          </w:tcPr>
          <w:p w:rsidR="00C902E0" w:rsidRDefault="00E1035F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Оказано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содействие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аккредитации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24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НПО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шестой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сессией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Генеральной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ассамблеи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2016</w:t>
            </w:r>
            <w:r w:rsidRPr="00952F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.,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также</w:t>
            </w:r>
            <w:r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обзору</w:t>
            </w:r>
            <w:r w:rsidR="00195D22"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50 </w:t>
            </w:r>
            <w:r w:rsid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заявок</w:t>
            </w:r>
            <w:r w:rsidR="00195D22"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</w:t>
            </w:r>
            <w:r w:rsidR="00195D22" w:rsidRP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аккредитацию Комитетом</w:t>
            </w:r>
            <w:r w:rsidR="00195D22" w:rsidRPr="00195D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="00195D22" w:rsidRPr="00195D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2017 </w:t>
            </w:r>
            <w:r w:rsidR="00195D2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</w:t>
            </w:r>
            <w:r w:rsidR="00195D22" w:rsidRPr="00195D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C902E0" w:rsidRPr="00120EF6" w:rsidRDefault="00120EF6" w:rsidP="00655574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Оказано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содействие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продлению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аккредитации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Комитетом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42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НПО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2017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59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обработанных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заявок</w:t>
            </w:r>
            <w:r w:rsidRP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  <w:p w:rsidR="00C902E0" w:rsidRPr="00BB6E41" w:rsidRDefault="00C902E0" w:rsidP="0068455F">
            <w:pPr>
              <w:pStyle w:val="ListParagraph"/>
              <w:numPr>
                <w:ilvl w:val="0"/>
                <w:numId w:val="20"/>
              </w:numPr>
              <w:spacing w:before="60" w:after="60"/>
              <w:ind w:left="360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6 </w:t>
            </w:r>
            <w:r w:rsid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центров</w:t>
            </w:r>
            <w:r w:rsidR="00120EF6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120EF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категории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2</w:t>
            </w:r>
            <w:r w:rsidR="00120EF6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вносят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вклад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поддержку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программы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ЮНЕСКО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эффективному выполнению Конвенции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2003 </w:t>
            </w:r>
            <w:r w:rsidR="0068455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</w:t>
            </w:r>
            <w:r w:rsidR="0068455F" w:rsidRPr="0068455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C902E0" w:rsidRPr="00BB765B" w:rsidRDefault="00C902E0" w:rsidP="005E47FE">
      <w:pPr>
        <w:pStyle w:val="GAParaResolution"/>
        <w:numPr>
          <w:ilvl w:val="0"/>
          <w:numId w:val="0"/>
        </w:numPr>
        <w:ind w:left="1134" w:hanging="567"/>
        <w:rPr>
          <w:lang w:val="en-US"/>
        </w:rPr>
      </w:pPr>
    </w:p>
    <w:sectPr w:rsidR="00C902E0" w:rsidRPr="00BB765B" w:rsidSect="00655736">
      <w:headerReference w:type="even" r:id="rId35"/>
      <w:headerReference w:type="default" r:id="rId36"/>
      <w:headerReference w:type="first" r:id="rId37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2E" w:rsidRDefault="00B15C2E" w:rsidP="00655736">
      <w:r>
        <w:separator/>
      </w:r>
    </w:p>
  </w:endnote>
  <w:endnote w:type="continuationSeparator" w:id="0">
    <w:p w:rsidR="00B15C2E" w:rsidRDefault="00B15C2E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2E" w:rsidRDefault="00B15C2E" w:rsidP="00655736">
      <w:r>
        <w:separator/>
      </w:r>
    </w:p>
  </w:footnote>
  <w:footnote w:type="continuationSeparator" w:id="0">
    <w:p w:rsidR="00B15C2E" w:rsidRDefault="00B15C2E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2E" w:rsidRPr="00C23A97" w:rsidRDefault="00B15C2E">
    <w:pPr>
      <w:pStyle w:val="Header"/>
      <w:rPr>
        <w:rFonts w:ascii="Arial" w:hAnsi="Arial" w:cs="Arial"/>
      </w:rPr>
    </w:pPr>
    <w:r>
      <w:rPr>
        <w:rFonts w:ascii="Arial" w:hAnsi="Arial" w:cs="Arial"/>
      </w:rPr>
      <w:t>ITH/18/7.GA/</w:t>
    </w:r>
    <w:r>
      <w:rPr>
        <w:rFonts w:ascii="Arial" w:hAnsi="Arial" w:cs="Arial"/>
        <w:lang w:val="ru-RU"/>
      </w:rPr>
      <w:t>7</w:t>
    </w:r>
    <w:r>
      <w:rPr>
        <w:rFonts w:ascii="Arial" w:hAnsi="Arial" w:cs="Arial"/>
      </w:rPr>
      <w:t xml:space="preserve"> – </w:t>
    </w:r>
    <w:r>
      <w:rPr>
        <w:rFonts w:ascii="Arial" w:hAnsi="Arial" w:cs="Arial"/>
        <w:bCs/>
        <w:lang w:val="ru-RU"/>
      </w:rPr>
      <w:t>страница</w:t>
    </w:r>
    <w:r w:rsidRPr="00C23A97">
      <w:rPr>
        <w:rStyle w:val="PageNumber"/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22EA0">
      <w:rPr>
        <w:rStyle w:val="PageNumber"/>
        <w:rFonts w:ascii="Arial" w:hAnsi="Arial" w:cs="Arial"/>
        <w:noProof/>
      </w:rPr>
      <w:t>14</w:t>
    </w:r>
    <w:r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2E" w:rsidRPr="0063300C" w:rsidRDefault="00B15C2E" w:rsidP="0063300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ITH/18/7.GA/</w:t>
    </w:r>
    <w:r>
      <w:rPr>
        <w:rFonts w:ascii="Arial" w:hAnsi="Arial" w:cs="Arial"/>
        <w:lang w:val="ru-RU"/>
      </w:rPr>
      <w:t>7</w:t>
    </w:r>
    <w:r>
      <w:rPr>
        <w:rFonts w:ascii="Arial" w:hAnsi="Arial" w:cs="Arial"/>
      </w:rPr>
      <w:t xml:space="preserve"> – </w:t>
    </w:r>
    <w:r>
      <w:rPr>
        <w:rFonts w:ascii="Arial" w:hAnsi="Arial" w:cs="Arial"/>
        <w:lang w:val="ru-RU"/>
      </w:rPr>
      <w:t>страница</w:t>
    </w:r>
    <w:r>
      <w:rPr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22EA0">
      <w:rPr>
        <w:rStyle w:val="PageNumber"/>
        <w:rFonts w:ascii="Arial" w:hAnsi="Arial" w:cs="Arial"/>
        <w:noProof/>
      </w:rPr>
      <w:t>13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2E" w:rsidRPr="008724E5" w:rsidRDefault="00B15C2E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100965</wp:posOffset>
          </wp:positionH>
          <wp:positionV relativeFrom="page">
            <wp:posOffset>237490</wp:posOffset>
          </wp:positionV>
          <wp:extent cx="2530800" cy="1443600"/>
          <wp:effectExtent l="0" t="0" r="3175" b="4445"/>
          <wp:wrapNone/>
          <wp:docPr id="1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800" cy="14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C2E" w:rsidRPr="002402C9" w:rsidRDefault="00B15C2E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7</w:t>
    </w:r>
    <w:r w:rsidRPr="002402C9">
      <w:rPr>
        <w:rFonts w:ascii="Arial" w:hAnsi="Arial" w:cs="Arial"/>
        <w:b/>
        <w:sz w:val="44"/>
        <w:szCs w:val="44"/>
        <w:lang w:val="nl-BE"/>
      </w:rPr>
      <w:t xml:space="preserve"> </w:t>
    </w:r>
    <w:proofErr w:type="gramStart"/>
    <w:r w:rsidRPr="002402C9">
      <w:rPr>
        <w:rFonts w:ascii="Arial" w:hAnsi="Arial" w:cs="Arial"/>
        <w:b/>
        <w:sz w:val="44"/>
        <w:szCs w:val="44"/>
        <w:lang w:val="nl-BE"/>
      </w:rPr>
      <w:t>GA</w:t>
    </w:r>
    <w:proofErr w:type="gramEnd"/>
  </w:p>
  <w:p w:rsidR="00B15C2E" w:rsidRPr="002402C9" w:rsidRDefault="00B15C2E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8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  <w:r w:rsidRPr="002402C9">
      <w:rPr>
        <w:rFonts w:ascii="Arial" w:hAnsi="Arial" w:cs="Arial"/>
        <w:b/>
        <w:sz w:val="22"/>
        <w:szCs w:val="22"/>
        <w:lang w:val="nl-BE"/>
      </w:rPr>
      <w:t>.GA/</w:t>
    </w:r>
    <w:r>
      <w:rPr>
        <w:rFonts w:ascii="Arial" w:hAnsi="Arial" w:cs="Arial"/>
        <w:b/>
        <w:sz w:val="22"/>
        <w:szCs w:val="22"/>
        <w:lang w:val="nl-BE"/>
      </w:rPr>
      <w:t>7</w:t>
    </w:r>
  </w:p>
  <w:p w:rsidR="00B15C2E" w:rsidRPr="002402C9" w:rsidRDefault="00B15C2E" w:rsidP="00B15C2E">
    <w:pPr>
      <w:jc w:val="right"/>
      <w:rPr>
        <w:rFonts w:ascii="Arial" w:hAnsi="Arial" w:cs="Arial"/>
        <w:b/>
        <w:sz w:val="22"/>
        <w:szCs w:val="22"/>
        <w:lang w:val="ru-RU"/>
      </w:rPr>
    </w:pPr>
    <w:r>
      <w:rPr>
        <w:rFonts w:ascii="Arial" w:hAnsi="Arial" w:cs="Arial"/>
        <w:b/>
        <w:sz w:val="22"/>
        <w:szCs w:val="22"/>
        <w:lang w:val="ru-RU"/>
      </w:rPr>
      <w:t>Париж, 4</w:t>
    </w:r>
    <w:r w:rsidRPr="00B15C2E">
      <w:rPr>
        <w:rFonts w:ascii="Arial" w:hAnsi="Arial" w:cs="Arial"/>
        <w:b/>
        <w:sz w:val="22"/>
        <w:szCs w:val="22"/>
        <w:lang w:val="nl-BE"/>
      </w:rPr>
      <w:t xml:space="preserve"> </w:t>
    </w:r>
    <w:proofErr w:type="spellStart"/>
    <w:r w:rsidRPr="00B15C2E">
      <w:rPr>
        <w:rFonts w:ascii="Arial" w:hAnsi="Arial" w:cs="Arial"/>
        <w:b/>
        <w:sz w:val="22"/>
        <w:szCs w:val="22"/>
        <w:lang w:val="nl-BE"/>
      </w:rPr>
      <w:t>мая</w:t>
    </w:r>
    <w:proofErr w:type="spellEnd"/>
    <w:r w:rsidRPr="00B15C2E">
      <w:rPr>
        <w:rFonts w:ascii="Arial" w:hAnsi="Arial" w:cs="Arial"/>
        <w:b/>
        <w:sz w:val="22"/>
        <w:szCs w:val="22"/>
        <w:lang w:val="nl-BE"/>
      </w:rPr>
      <w:t xml:space="preserve"> </w:t>
    </w:r>
    <w:smartTag w:uri="urn:schemas-microsoft-com:office:smarttags" w:element="metricconverter">
      <w:smartTagPr>
        <w:attr w:name="ProductID" w:val="2018 г"/>
      </w:smartTagPr>
      <w:r w:rsidRPr="002402C9">
        <w:rPr>
          <w:rFonts w:ascii="Arial" w:hAnsi="Arial" w:cs="Arial"/>
          <w:b/>
          <w:sz w:val="22"/>
          <w:szCs w:val="22"/>
          <w:lang w:val="ru-RU"/>
        </w:rPr>
        <w:t>201</w:t>
      </w:r>
      <w:r>
        <w:rPr>
          <w:rFonts w:ascii="Arial" w:hAnsi="Arial" w:cs="Arial"/>
          <w:b/>
          <w:sz w:val="22"/>
          <w:szCs w:val="22"/>
          <w:lang w:val="ru-RU"/>
        </w:rPr>
        <w:t>8</w:t>
      </w: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г</w:t>
      </w:r>
    </w:smartTag>
    <w:r>
      <w:rPr>
        <w:rFonts w:ascii="Arial" w:hAnsi="Arial" w:cs="Arial"/>
        <w:b/>
        <w:sz w:val="22"/>
        <w:szCs w:val="22"/>
        <w:lang w:val="ru-RU"/>
      </w:rPr>
      <w:t>.</w:t>
    </w:r>
  </w:p>
  <w:p w:rsidR="00B15C2E" w:rsidRPr="002402C9" w:rsidRDefault="00B15C2E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be-BY"/>
      </w:rPr>
      <w:t>англ</w:t>
    </w:r>
    <w:proofErr w:type="spellStart"/>
    <w:r>
      <w:rPr>
        <w:rFonts w:ascii="Arial" w:hAnsi="Arial" w:cs="Arial"/>
        <w:b/>
        <w:sz w:val="22"/>
        <w:szCs w:val="22"/>
        <w:lang w:val="ru-RU"/>
      </w:rPr>
      <w:t>ийский</w:t>
    </w:r>
    <w:proofErr w:type="spellEnd"/>
  </w:p>
  <w:p w:rsidR="00B15C2E" w:rsidRPr="002402C9" w:rsidRDefault="00B15C2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FC0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807A4"/>
    <w:multiLevelType w:val="hybridMultilevel"/>
    <w:tmpl w:val="DC64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A7F8F"/>
    <w:multiLevelType w:val="hybridMultilevel"/>
    <w:tmpl w:val="6466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8B5"/>
    <w:multiLevelType w:val="hybridMultilevel"/>
    <w:tmpl w:val="9F38A022"/>
    <w:lvl w:ilvl="0" w:tplc="017A214A">
      <w:start w:val="8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2076761"/>
    <w:multiLevelType w:val="hybridMultilevel"/>
    <w:tmpl w:val="7C2E90C6"/>
    <w:lvl w:ilvl="0" w:tplc="040C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38F54C01"/>
    <w:multiLevelType w:val="hybridMultilevel"/>
    <w:tmpl w:val="F1A04292"/>
    <w:lvl w:ilvl="0" w:tplc="36245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4" w15:restartNumberingAfterBreak="0">
    <w:nsid w:val="431A7031"/>
    <w:multiLevelType w:val="hybridMultilevel"/>
    <w:tmpl w:val="B05EB6AE"/>
    <w:lvl w:ilvl="0" w:tplc="040C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0094026"/>
    <w:multiLevelType w:val="hybridMultilevel"/>
    <w:tmpl w:val="5C661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D343E"/>
    <w:multiLevelType w:val="hybridMultilevel"/>
    <w:tmpl w:val="FE408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AE9"/>
    <w:multiLevelType w:val="hybridMultilevel"/>
    <w:tmpl w:val="DFE29FF2"/>
    <w:lvl w:ilvl="0" w:tplc="87983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B82F79"/>
    <w:multiLevelType w:val="hybridMultilevel"/>
    <w:tmpl w:val="EE7243B4"/>
    <w:lvl w:ilvl="0" w:tplc="4F7CBCD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5"/>
  </w:num>
  <w:num w:numId="5">
    <w:abstractNumId w:val="23"/>
  </w:num>
  <w:num w:numId="6">
    <w:abstractNumId w:val="21"/>
  </w:num>
  <w:num w:numId="7">
    <w:abstractNumId w:val="4"/>
  </w:num>
  <w:num w:numId="8">
    <w:abstractNumId w:val="6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22"/>
  </w:num>
  <w:num w:numId="16">
    <w:abstractNumId w:val="18"/>
  </w:num>
  <w:num w:numId="17">
    <w:abstractNumId w:val="19"/>
  </w:num>
  <w:num w:numId="18">
    <w:abstractNumId w:val="1"/>
  </w:num>
  <w:num w:numId="19">
    <w:abstractNumId w:val="10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4"/>
  </w:num>
  <w:num w:numId="25">
    <w:abstractNumId w:val="16"/>
  </w:num>
  <w:num w:numId="26">
    <w:abstractNumId w:val="8"/>
    <w:lvlOverride w:ilvl="0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F5"/>
    <w:rsid w:val="0000081F"/>
    <w:rsid w:val="000048ED"/>
    <w:rsid w:val="00005BBC"/>
    <w:rsid w:val="0000647C"/>
    <w:rsid w:val="00007FE3"/>
    <w:rsid w:val="00015F5D"/>
    <w:rsid w:val="000269B9"/>
    <w:rsid w:val="00033546"/>
    <w:rsid w:val="00041A66"/>
    <w:rsid w:val="00043A53"/>
    <w:rsid w:val="000465D0"/>
    <w:rsid w:val="00047598"/>
    <w:rsid w:val="0005176E"/>
    <w:rsid w:val="00052915"/>
    <w:rsid w:val="0006670E"/>
    <w:rsid w:val="0007096B"/>
    <w:rsid w:val="000720F0"/>
    <w:rsid w:val="00074509"/>
    <w:rsid w:val="000765F7"/>
    <w:rsid w:val="00077AB7"/>
    <w:rsid w:val="00077DA4"/>
    <w:rsid w:val="0008039F"/>
    <w:rsid w:val="00081CD8"/>
    <w:rsid w:val="00082B14"/>
    <w:rsid w:val="00083959"/>
    <w:rsid w:val="00084686"/>
    <w:rsid w:val="00084A1A"/>
    <w:rsid w:val="00085D00"/>
    <w:rsid w:val="00086975"/>
    <w:rsid w:val="00091B7E"/>
    <w:rsid w:val="00095EE9"/>
    <w:rsid w:val="000A2460"/>
    <w:rsid w:val="000A3862"/>
    <w:rsid w:val="000A4906"/>
    <w:rsid w:val="000A492B"/>
    <w:rsid w:val="000A6704"/>
    <w:rsid w:val="000A7F0E"/>
    <w:rsid w:val="000B21DB"/>
    <w:rsid w:val="000B5939"/>
    <w:rsid w:val="000C02D1"/>
    <w:rsid w:val="000C0D61"/>
    <w:rsid w:val="000C10A8"/>
    <w:rsid w:val="000C233F"/>
    <w:rsid w:val="000D5119"/>
    <w:rsid w:val="000D7865"/>
    <w:rsid w:val="000D7C4B"/>
    <w:rsid w:val="000E07B8"/>
    <w:rsid w:val="000E20E1"/>
    <w:rsid w:val="000E7187"/>
    <w:rsid w:val="000E7DE1"/>
    <w:rsid w:val="000F2A5E"/>
    <w:rsid w:val="000F3A3F"/>
    <w:rsid w:val="000F6B15"/>
    <w:rsid w:val="00102557"/>
    <w:rsid w:val="00102D05"/>
    <w:rsid w:val="00103889"/>
    <w:rsid w:val="001050EE"/>
    <w:rsid w:val="0010593C"/>
    <w:rsid w:val="00107309"/>
    <w:rsid w:val="00111422"/>
    <w:rsid w:val="001178E8"/>
    <w:rsid w:val="00120EF6"/>
    <w:rsid w:val="00130471"/>
    <w:rsid w:val="00130891"/>
    <w:rsid w:val="00130F37"/>
    <w:rsid w:val="00130F9B"/>
    <w:rsid w:val="00140414"/>
    <w:rsid w:val="001437FA"/>
    <w:rsid w:val="00153229"/>
    <w:rsid w:val="00156B7C"/>
    <w:rsid w:val="00161792"/>
    <w:rsid w:val="001647F6"/>
    <w:rsid w:val="00164D56"/>
    <w:rsid w:val="00165BA0"/>
    <w:rsid w:val="00167B10"/>
    <w:rsid w:val="0017402F"/>
    <w:rsid w:val="00174882"/>
    <w:rsid w:val="00174DB7"/>
    <w:rsid w:val="001812A3"/>
    <w:rsid w:val="00182389"/>
    <w:rsid w:val="0018484B"/>
    <w:rsid w:val="00184E01"/>
    <w:rsid w:val="00194C82"/>
    <w:rsid w:val="00195D22"/>
    <w:rsid w:val="00196C1B"/>
    <w:rsid w:val="001A0803"/>
    <w:rsid w:val="001A102F"/>
    <w:rsid w:val="001B06D4"/>
    <w:rsid w:val="001B0F73"/>
    <w:rsid w:val="001B1626"/>
    <w:rsid w:val="001C239E"/>
    <w:rsid w:val="001C517C"/>
    <w:rsid w:val="001C6031"/>
    <w:rsid w:val="001C6B60"/>
    <w:rsid w:val="001D0F19"/>
    <w:rsid w:val="001D5C04"/>
    <w:rsid w:val="001E228D"/>
    <w:rsid w:val="001E46C9"/>
    <w:rsid w:val="001E7813"/>
    <w:rsid w:val="001E79C9"/>
    <w:rsid w:val="001F00CA"/>
    <w:rsid w:val="001F0F19"/>
    <w:rsid w:val="001F4FEE"/>
    <w:rsid w:val="001F5E99"/>
    <w:rsid w:val="00201B3F"/>
    <w:rsid w:val="00202620"/>
    <w:rsid w:val="00203EA3"/>
    <w:rsid w:val="00206116"/>
    <w:rsid w:val="00211370"/>
    <w:rsid w:val="00211708"/>
    <w:rsid w:val="00211E07"/>
    <w:rsid w:val="0021360E"/>
    <w:rsid w:val="00215BF1"/>
    <w:rsid w:val="00216534"/>
    <w:rsid w:val="00220394"/>
    <w:rsid w:val="00222A2D"/>
    <w:rsid w:val="00223029"/>
    <w:rsid w:val="002232C8"/>
    <w:rsid w:val="00224A69"/>
    <w:rsid w:val="00224E80"/>
    <w:rsid w:val="00225C35"/>
    <w:rsid w:val="00232FE4"/>
    <w:rsid w:val="00234745"/>
    <w:rsid w:val="00234FE1"/>
    <w:rsid w:val="002351B7"/>
    <w:rsid w:val="00236AD5"/>
    <w:rsid w:val="002402C9"/>
    <w:rsid w:val="002407AF"/>
    <w:rsid w:val="00241429"/>
    <w:rsid w:val="00244A94"/>
    <w:rsid w:val="00245A04"/>
    <w:rsid w:val="00247509"/>
    <w:rsid w:val="00250B87"/>
    <w:rsid w:val="00254382"/>
    <w:rsid w:val="002567C5"/>
    <w:rsid w:val="0026242D"/>
    <w:rsid w:val="002733E2"/>
    <w:rsid w:val="00274239"/>
    <w:rsid w:val="002747FA"/>
    <w:rsid w:val="00280E55"/>
    <w:rsid w:val="0028569D"/>
    <w:rsid w:val="002876A0"/>
    <w:rsid w:val="002921FD"/>
    <w:rsid w:val="002967AF"/>
    <w:rsid w:val="002A248B"/>
    <w:rsid w:val="002A255E"/>
    <w:rsid w:val="002A4AA4"/>
    <w:rsid w:val="002A608B"/>
    <w:rsid w:val="002A66C3"/>
    <w:rsid w:val="002A6B19"/>
    <w:rsid w:val="002A7A5A"/>
    <w:rsid w:val="002A7B51"/>
    <w:rsid w:val="002A7D95"/>
    <w:rsid w:val="002B4BF1"/>
    <w:rsid w:val="002B613B"/>
    <w:rsid w:val="002B6D30"/>
    <w:rsid w:val="002B6E5F"/>
    <w:rsid w:val="002C09E3"/>
    <w:rsid w:val="002C25BA"/>
    <w:rsid w:val="002C459A"/>
    <w:rsid w:val="002C7384"/>
    <w:rsid w:val="002D3120"/>
    <w:rsid w:val="002D620C"/>
    <w:rsid w:val="002D7324"/>
    <w:rsid w:val="002D7D61"/>
    <w:rsid w:val="002E1DEF"/>
    <w:rsid w:val="002E4AC9"/>
    <w:rsid w:val="002E6363"/>
    <w:rsid w:val="002E79D0"/>
    <w:rsid w:val="002F2FED"/>
    <w:rsid w:val="002F7512"/>
    <w:rsid w:val="002F782B"/>
    <w:rsid w:val="003006FE"/>
    <w:rsid w:val="00305A26"/>
    <w:rsid w:val="00317566"/>
    <w:rsid w:val="0032638E"/>
    <w:rsid w:val="00326704"/>
    <w:rsid w:val="003302D0"/>
    <w:rsid w:val="003344BF"/>
    <w:rsid w:val="00336589"/>
    <w:rsid w:val="00336B1C"/>
    <w:rsid w:val="003401F3"/>
    <w:rsid w:val="00342FB8"/>
    <w:rsid w:val="00345CB4"/>
    <w:rsid w:val="003468D3"/>
    <w:rsid w:val="00353BFA"/>
    <w:rsid w:val="003563C3"/>
    <w:rsid w:val="00360A06"/>
    <w:rsid w:val="00366847"/>
    <w:rsid w:val="003721E4"/>
    <w:rsid w:val="0037377F"/>
    <w:rsid w:val="003756BB"/>
    <w:rsid w:val="00382DD9"/>
    <w:rsid w:val="0038411D"/>
    <w:rsid w:val="003847C6"/>
    <w:rsid w:val="0038540B"/>
    <w:rsid w:val="003870DA"/>
    <w:rsid w:val="00387349"/>
    <w:rsid w:val="00390758"/>
    <w:rsid w:val="00390923"/>
    <w:rsid w:val="003925CC"/>
    <w:rsid w:val="00393620"/>
    <w:rsid w:val="00394344"/>
    <w:rsid w:val="00396B50"/>
    <w:rsid w:val="003A0159"/>
    <w:rsid w:val="003A1459"/>
    <w:rsid w:val="003A3E77"/>
    <w:rsid w:val="003A3F97"/>
    <w:rsid w:val="003B06BA"/>
    <w:rsid w:val="003B1974"/>
    <w:rsid w:val="003B4E26"/>
    <w:rsid w:val="003C0109"/>
    <w:rsid w:val="003D069C"/>
    <w:rsid w:val="003D3FB8"/>
    <w:rsid w:val="003D7646"/>
    <w:rsid w:val="003E1C52"/>
    <w:rsid w:val="003E25F7"/>
    <w:rsid w:val="003F113A"/>
    <w:rsid w:val="003F1AFD"/>
    <w:rsid w:val="003F565B"/>
    <w:rsid w:val="003F59AC"/>
    <w:rsid w:val="0040099B"/>
    <w:rsid w:val="00402C6F"/>
    <w:rsid w:val="00406482"/>
    <w:rsid w:val="00410DF4"/>
    <w:rsid w:val="00414643"/>
    <w:rsid w:val="00415DE1"/>
    <w:rsid w:val="004177EE"/>
    <w:rsid w:val="00417A2D"/>
    <w:rsid w:val="00420F19"/>
    <w:rsid w:val="00421124"/>
    <w:rsid w:val="00421DB6"/>
    <w:rsid w:val="00422A2D"/>
    <w:rsid w:val="00423B21"/>
    <w:rsid w:val="00424B62"/>
    <w:rsid w:val="00425FB6"/>
    <w:rsid w:val="00430A07"/>
    <w:rsid w:val="0043447E"/>
    <w:rsid w:val="004421E5"/>
    <w:rsid w:val="00442314"/>
    <w:rsid w:val="00452284"/>
    <w:rsid w:val="00455D90"/>
    <w:rsid w:val="004604A4"/>
    <w:rsid w:val="00470AC0"/>
    <w:rsid w:val="00471566"/>
    <w:rsid w:val="00472756"/>
    <w:rsid w:val="00473021"/>
    <w:rsid w:val="0047624F"/>
    <w:rsid w:val="00476E16"/>
    <w:rsid w:val="00480DE9"/>
    <w:rsid w:val="004856CA"/>
    <w:rsid w:val="004912A6"/>
    <w:rsid w:val="00491890"/>
    <w:rsid w:val="0049705E"/>
    <w:rsid w:val="004A2C19"/>
    <w:rsid w:val="004A34A0"/>
    <w:rsid w:val="004A522F"/>
    <w:rsid w:val="004B127B"/>
    <w:rsid w:val="004B1671"/>
    <w:rsid w:val="004B4BB6"/>
    <w:rsid w:val="004C3CCB"/>
    <w:rsid w:val="004C4152"/>
    <w:rsid w:val="004D3A5C"/>
    <w:rsid w:val="004D4A32"/>
    <w:rsid w:val="004D4E48"/>
    <w:rsid w:val="004D4F77"/>
    <w:rsid w:val="004D7E82"/>
    <w:rsid w:val="004E10BA"/>
    <w:rsid w:val="004E17B0"/>
    <w:rsid w:val="004F1223"/>
    <w:rsid w:val="004F47E2"/>
    <w:rsid w:val="0050473C"/>
    <w:rsid w:val="00507C55"/>
    <w:rsid w:val="00510124"/>
    <w:rsid w:val="00511B94"/>
    <w:rsid w:val="00517A13"/>
    <w:rsid w:val="0052150E"/>
    <w:rsid w:val="0052310E"/>
    <w:rsid w:val="0052373F"/>
    <w:rsid w:val="00524C2B"/>
    <w:rsid w:val="00524C74"/>
    <w:rsid w:val="0052678D"/>
    <w:rsid w:val="00526B7B"/>
    <w:rsid w:val="00527933"/>
    <w:rsid w:val="005308CE"/>
    <w:rsid w:val="0053571E"/>
    <w:rsid w:val="00535B80"/>
    <w:rsid w:val="00545CE5"/>
    <w:rsid w:val="00546B1F"/>
    <w:rsid w:val="005523DB"/>
    <w:rsid w:val="005541A9"/>
    <w:rsid w:val="005566FA"/>
    <w:rsid w:val="00560E1F"/>
    <w:rsid w:val="005660C5"/>
    <w:rsid w:val="0057439C"/>
    <w:rsid w:val="00576032"/>
    <w:rsid w:val="00577B23"/>
    <w:rsid w:val="0058237D"/>
    <w:rsid w:val="00586344"/>
    <w:rsid w:val="0059476C"/>
    <w:rsid w:val="005A43D0"/>
    <w:rsid w:val="005A6F64"/>
    <w:rsid w:val="005B0127"/>
    <w:rsid w:val="005B1595"/>
    <w:rsid w:val="005B414B"/>
    <w:rsid w:val="005B7A35"/>
    <w:rsid w:val="005C00F5"/>
    <w:rsid w:val="005C104B"/>
    <w:rsid w:val="005C1897"/>
    <w:rsid w:val="005C4B73"/>
    <w:rsid w:val="005C7507"/>
    <w:rsid w:val="005D2217"/>
    <w:rsid w:val="005D35EB"/>
    <w:rsid w:val="005D57E0"/>
    <w:rsid w:val="005E1D2B"/>
    <w:rsid w:val="005E47FE"/>
    <w:rsid w:val="005E6F8B"/>
    <w:rsid w:val="005F2E72"/>
    <w:rsid w:val="00600D93"/>
    <w:rsid w:val="00607F0B"/>
    <w:rsid w:val="006104B3"/>
    <w:rsid w:val="00612CE5"/>
    <w:rsid w:val="00613A5E"/>
    <w:rsid w:val="0061497B"/>
    <w:rsid w:val="0061534F"/>
    <w:rsid w:val="00615898"/>
    <w:rsid w:val="00615D9D"/>
    <w:rsid w:val="006171E5"/>
    <w:rsid w:val="0062219D"/>
    <w:rsid w:val="006231A6"/>
    <w:rsid w:val="00623980"/>
    <w:rsid w:val="00625D51"/>
    <w:rsid w:val="00627D01"/>
    <w:rsid w:val="00630BF7"/>
    <w:rsid w:val="0063300C"/>
    <w:rsid w:val="00636830"/>
    <w:rsid w:val="006425CA"/>
    <w:rsid w:val="00644A83"/>
    <w:rsid w:val="00651C4D"/>
    <w:rsid w:val="00655574"/>
    <w:rsid w:val="00655736"/>
    <w:rsid w:val="00663B8D"/>
    <w:rsid w:val="00670C21"/>
    <w:rsid w:val="00672241"/>
    <w:rsid w:val="00675131"/>
    <w:rsid w:val="0068455F"/>
    <w:rsid w:val="00687405"/>
    <w:rsid w:val="0069214A"/>
    <w:rsid w:val="00696C8D"/>
    <w:rsid w:val="006973FF"/>
    <w:rsid w:val="00697977"/>
    <w:rsid w:val="006A2AC2"/>
    <w:rsid w:val="006A3617"/>
    <w:rsid w:val="006B1F19"/>
    <w:rsid w:val="006B2D2C"/>
    <w:rsid w:val="006B53AD"/>
    <w:rsid w:val="006B7326"/>
    <w:rsid w:val="006C541A"/>
    <w:rsid w:val="006C7859"/>
    <w:rsid w:val="006D07DC"/>
    <w:rsid w:val="006D161B"/>
    <w:rsid w:val="006D6E8A"/>
    <w:rsid w:val="006E186D"/>
    <w:rsid w:val="006E3717"/>
    <w:rsid w:val="006E46E4"/>
    <w:rsid w:val="006E6935"/>
    <w:rsid w:val="006E7663"/>
    <w:rsid w:val="006F0F2E"/>
    <w:rsid w:val="006F1A74"/>
    <w:rsid w:val="006F21CB"/>
    <w:rsid w:val="00700839"/>
    <w:rsid w:val="00700B9E"/>
    <w:rsid w:val="0070381C"/>
    <w:rsid w:val="00704803"/>
    <w:rsid w:val="00706855"/>
    <w:rsid w:val="00713040"/>
    <w:rsid w:val="0071697E"/>
    <w:rsid w:val="00717DA5"/>
    <w:rsid w:val="0072684F"/>
    <w:rsid w:val="00732785"/>
    <w:rsid w:val="0073567E"/>
    <w:rsid w:val="00741B7F"/>
    <w:rsid w:val="00741FF9"/>
    <w:rsid w:val="007427A6"/>
    <w:rsid w:val="00744484"/>
    <w:rsid w:val="00751FAC"/>
    <w:rsid w:val="00752C25"/>
    <w:rsid w:val="0075536B"/>
    <w:rsid w:val="007556E4"/>
    <w:rsid w:val="007633DC"/>
    <w:rsid w:val="007634E0"/>
    <w:rsid w:val="0076697B"/>
    <w:rsid w:val="00767CAD"/>
    <w:rsid w:val="00773188"/>
    <w:rsid w:val="00775F6B"/>
    <w:rsid w:val="00776620"/>
    <w:rsid w:val="00777838"/>
    <w:rsid w:val="00781109"/>
    <w:rsid w:val="00782CF2"/>
    <w:rsid w:val="00783782"/>
    <w:rsid w:val="00784B8C"/>
    <w:rsid w:val="00787169"/>
    <w:rsid w:val="0079459E"/>
    <w:rsid w:val="00794962"/>
    <w:rsid w:val="0079607B"/>
    <w:rsid w:val="0079668D"/>
    <w:rsid w:val="00796A88"/>
    <w:rsid w:val="007A71E8"/>
    <w:rsid w:val="007B65D3"/>
    <w:rsid w:val="007B6724"/>
    <w:rsid w:val="007C6F2C"/>
    <w:rsid w:val="007D1721"/>
    <w:rsid w:val="007D2284"/>
    <w:rsid w:val="007D4D77"/>
    <w:rsid w:val="007D6FE4"/>
    <w:rsid w:val="007E68C5"/>
    <w:rsid w:val="007F1667"/>
    <w:rsid w:val="0080240B"/>
    <w:rsid w:val="00802609"/>
    <w:rsid w:val="0080458E"/>
    <w:rsid w:val="00807FA0"/>
    <w:rsid w:val="00811B3B"/>
    <w:rsid w:val="00812B67"/>
    <w:rsid w:val="008168D6"/>
    <w:rsid w:val="008173EC"/>
    <w:rsid w:val="00820245"/>
    <w:rsid w:val="00823653"/>
    <w:rsid w:val="00823A11"/>
    <w:rsid w:val="0083611E"/>
    <w:rsid w:val="00836BFE"/>
    <w:rsid w:val="0083732F"/>
    <w:rsid w:val="00840CC1"/>
    <w:rsid w:val="00841EDB"/>
    <w:rsid w:val="00842051"/>
    <w:rsid w:val="008423A3"/>
    <w:rsid w:val="008435A7"/>
    <w:rsid w:val="008447C2"/>
    <w:rsid w:val="008477B0"/>
    <w:rsid w:val="0085095B"/>
    <w:rsid w:val="0085414A"/>
    <w:rsid w:val="0086269D"/>
    <w:rsid w:val="00863C9D"/>
    <w:rsid w:val="0086543A"/>
    <w:rsid w:val="008654CF"/>
    <w:rsid w:val="008660DF"/>
    <w:rsid w:val="00867386"/>
    <w:rsid w:val="008724E5"/>
    <w:rsid w:val="008736D1"/>
    <w:rsid w:val="00875F05"/>
    <w:rsid w:val="008769D5"/>
    <w:rsid w:val="0088036A"/>
    <w:rsid w:val="00881E7A"/>
    <w:rsid w:val="008839AA"/>
    <w:rsid w:val="00884A9D"/>
    <w:rsid w:val="0088512B"/>
    <w:rsid w:val="0089030E"/>
    <w:rsid w:val="00891D2B"/>
    <w:rsid w:val="00892818"/>
    <w:rsid w:val="008959B0"/>
    <w:rsid w:val="008A2B2D"/>
    <w:rsid w:val="008A37B9"/>
    <w:rsid w:val="008A4E1E"/>
    <w:rsid w:val="008B0FE4"/>
    <w:rsid w:val="008B137B"/>
    <w:rsid w:val="008B4D3E"/>
    <w:rsid w:val="008C0D5C"/>
    <w:rsid w:val="008C296C"/>
    <w:rsid w:val="008C4452"/>
    <w:rsid w:val="008C4633"/>
    <w:rsid w:val="008D0858"/>
    <w:rsid w:val="008D4305"/>
    <w:rsid w:val="008D4815"/>
    <w:rsid w:val="008E0AF9"/>
    <w:rsid w:val="008E6941"/>
    <w:rsid w:val="008E7312"/>
    <w:rsid w:val="008F4282"/>
    <w:rsid w:val="008F49CD"/>
    <w:rsid w:val="008F5EA8"/>
    <w:rsid w:val="008F74DE"/>
    <w:rsid w:val="009048D1"/>
    <w:rsid w:val="00904AEB"/>
    <w:rsid w:val="00906422"/>
    <w:rsid w:val="00906C2D"/>
    <w:rsid w:val="00911B58"/>
    <w:rsid w:val="0091211B"/>
    <w:rsid w:val="009131D8"/>
    <w:rsid w:val="009163A7"/>
    <w:rsid w:val="009205C1"/>
    <w:rsid w:val="0092593A"/>
    <w:rsid w:val="00926ED7"/>
    <w:rsid w:val="00927494"/>
    <w:rsid w:val="009322A1"/>
    <w:rsid w:val="009402D3"/>
    <w:rsid w:val="00941AC2"/>
    <w:rsid w:val="00942567"/>
    <w:rsid w:val="009446AF"/>
    <w:rsid w:val="00945D20"/>
    <w:rsid w:val="00946D0B"/>
    <w:rsid w:val="00947905"/>
    <w:rsid w:val="00950B2B"/>
    <w:rsid w:val="00952F90"/>
    <w:rsid w:val="00961F80"/>
    <w:rsid w:val="009717DB"/>
    <w:rsid w:val="00972413"/>
    <w:rsid w:val="009732FA"/>
    <w:rsid w:val="009774CD"/>
    <w:rsid w:val="009823C2"/>
    <w:rsid w:val="00985A16"/>
    <w:rsid w:val="00994C3C"/>
    <w:rsid w:val="009A18CD"/>
    <w:rsid w:val="009A5EAA"/>
    <w:rsid w:val="009A7EA4"/>
    <w:rsid w:val="009B2346"/>
    <w:rsid w:val="009B269C"/>
    <w:rsid w:val="009B2DE0"/>
    <w:rsid w:val="009B5AF1"/>
    <w:rsid w:val="009C1A90"/>
    <w:rsid w:val="009C20DC"/>
    <w:rsid w:val="009C5148"/>
    <w:rsid w:val="009D1B80"/>
    <w:rsid w:val="009D37FC"/>
    <w:rsid w:val="009E0830"/>
    <w:rsid w:val="009E3D06"/>
    <w:rsid w:val="009E4391"/>
    <w:rsid w:val="009E503D"/>
    <w:rsid w:val="009F67C7"/>
    <w:rsid w:val="00A116AC"/>
    <w:rsid w:val="00A12558"/>
    <w:rsid w:val="00A13903"/>
    <w:rsid w:val="00A25FD3"/>
    <w:rsid w:val="00A32316"/>
    <w:rsid w:val="00A341DC"/>
    <w:rsid w:val="00A34ED5"/>
    <w:rsid w:val="00A43D9F"/>
    <w:rsid w:val="00A44E69"/>
    <w:rsid w:val="00A45DBF"/>
    <w:rsid w:val="00A46493"/>
    <w:rsid w:val="00A51B2A"/>
    <w:rsid w:val="00A6065A"/>
    <w:rsid w:val="00A60D80"/>
    <w:rsid w:val="00A60DF5"/>
    <w:rsid w:val="00A72E5D"/>
    <w:rsid w:val="00A74161"/>
    <w:rsid w:val="00A755A2"/>
    <w:rsid w:val="00A76E77"/>
    <w:rsid w:val="00A8056E"/>
    <w:rsid w:val="00A81679"/>
    <w:rsid w:val="00A86266"/>
    <w:rsid w:val="00A90B32"/>
    <w:rsid w:val="00A94B5B"/>
    <w:rsid w:val="00A9538E"/>
    <w:rsid w:val="00AA241D"/>
    <w:rsid w:val="00AA612B"/>
    <w:rsid w:val="00AA6660"/>
    <w:rsid w:val="00AA7E90"/>
    <w:rsid w:val="00AB0A78"/>
    <w:rsid w:val="00AB2C36"/>
    <w:rsid w:val="00AB70B6"/>
    <w:rsid w:val="00AC3787"/>
    <w:rsid w:val="00AC77B2"/>
    <w:rsid w:val="00AD07CA"/>
    <w:rsid w:val="00AD19D7"/>
    <w:rsid w:val="00AD1A86"/>
    <w:rsid w:val="00AD48DF"/>
    <w:rsid w:val="00AD53D1"/>
    <w:rsid w:val="00AD5750"/>
    <w:rsid w:val="00AE103E"/>
    <w:rsid w:val="00AE39A8"/>
    <w:rsid w:val="00AF0A07"/>
    <w:rsid w:val="00AF47DD"/>
    <w:rsid w:val="00AF4AEC"/>
    <w:rsid w:val="00AF625E"/>
    <w:rsid w:val="00AF69DA"/>
    <w:rsid w:val="00AF711B"/>
    <w:rsid w:val="00AF7986"/>
    <w:rsid w:val="00B02772"/>
    <w:rsid w:val="00B056F1"/>
    <w:rsid w:val="00B13186"/>
    <w:rsid w:val="00B149B1"/>
    <w:rsid w:val="00B15C2E"/>
    <w:rsid w:val="00B2005E"/>
    <w:rsid w:val="00B24052"/>
    <w:rsid w:val="00B253C7"/>
    <w:rsid w:val="00B27689"/>
    <w:rsid w:val="00B27CED"/>
    <w:rsid w:val="00B3628D"/>
    <w:rsid w:val="00B3701B"/>
    <w:rsid w:val="00B40F52"/>
    <w:rsid w:val="00B43AE4"/>
    <w:rsid w:val="00B52FAE"/>
    <w:rsid w:val="00B708DA"/>
    <w:rsid w:val="00B735F5"/>
    <w:rsid w:val="00B73A90"/>
    <w:rsid w:val="00B82AC5"/>
    <w:rsid w:val="00B84A06"/>
    <w:rsid w:val="00B84FF6"/>
    <w:rsid w:val="00B92106"/>
    <w:rsid w:val="00B94D3F"/>
    <w:rsid w:val="00B97DB0"/>
    <w:rsid w:val="00BA2AE8"/>
    <w:rsid w:val="00BA5C0A"/>
    <w:rsid w:val="00BA7D17"/>
    <w:rsid w:val="00BB04AF"/>
    <w:rsid w:val="00BB6073"/>
    <w:rsid w:val="00BB6E41"/>
    <w:rsid w:val="00BB765B"/>
    <w:rsid w:val="00BD36A4"/>
    <w:rsid w:val="00BD3CF5"/>
    <w:rsid w:val="00BD52C9"/>
    <w:rsid w:val="00BD5F0E"/>
    <w:rsid w:val="00BD79B1"/>
    <w:rsid w:val="00BD7FB4"/>
    <w:rsid w:val="00BE0622"/>
    <w:rsid w:val="00BE3D65"/>
    <w:rsid w:val="00BE60F0"/>
    <w:rsid w:val="00BE6354"/>
    <w:rsid w:val="00BE63B1"/>
    <w:rsid w:val="00BE781B"/>
    <w:rsid w:val="00BF0E21"/>
    <w:rsid w:val="00C057F9"/>
    <w:rsid w:val="00C17534"/>
    <w:rsid w:val="00C1784F"/>
    <w:rsid w:val="00C227AD"/>
    <w:rsid w:val="00C23A97"/>
    <w:rsid w:val="00C326D6"/>
    <w:rsid w:val="00C351A7"/>
    <w:rsid w:val="00C43C73"/>
    <w:rsid w:val="00C44B49"/>
    <w:rsid w:val="00C453EE"/>
    <w:rsid w:val="00C62A1E"/>
    <w:rsid w:val="00C636D7"/>
    <w:rsid w:val="00C67252"/>
    <w:rsid w:val="00C70EA7"/>
    <w:rsid w:val="00C73586"/>
    <w:rsid w:val="00C7516E"/>
    <w:rsid w:val="00C75770"/>
    <w:rsid w:val="00C765D9"/>
    <w:rsid w:val="00C87940"/>
    <w:rsid w:val="00C87F81"/>
    <w:rsid w:val="00C90052"/>
    <w:rsid w:val="00C902E0"/>
    <w:rsid w:val="00CA099D"/>
    <w:rsid w:val="00CA150D"/>
    <w:rsid w:val="00CB03E7"/>
    <w:rsid w:val="00CB369A"/>
    <w:rsid w:val="00CB7203"/>
    <w:rsid w:val="00CC0287"/>
    <w:rsid w:val="00CC1E79"/>
    <w:rsid w:val="00CC69BE"/>
    <w:rsid w:val="00CD13CD"/>
    <w:rsid w:val="00CD21DB"/>
    <w:rsid w:val="00CD24DC"/>
    <w:rsid w:val="00CD3715"/>
    <w:rsid w:val="00CE47C2"/>
    <w:rsid w:val="00CF015D"/>
    <w:rsid w:val="00CF4E4A"/>
    <w:rsid w:val="00CF5592"/>
    <w:rsid w:val="00D00B2B"/>
    <w:rsid w:val="00D03582"/>
    <w:rsid w:val="00D03A00"/>
    <w:rsid w:val="00D0657D"/>
    <w:rsid w:val="00D0715D"/>
    <w:rsid w:val="00D118FD"/>
    <w:rsid w:val="00D12CCE"/>
    <w:rsid w:val="00D21F36"/>
    <w:rsid w:val="00D24877"/>
    <w:rsid w:val="00D24EC4"/>
    <w:rsid w:val="00D406EE"/>
    <w:rsid w:val="00D42EA3"/>
    <w:rsid w:val="00D44D01"/>
    <w:rsid w:val="00D453B8"/>
    <w:rsid w:val="00D45B5C"/>
    <w:rsid w:val="00D462D2"/>
    <w:rsid w:val="00D4715C"/>
    <w:rsid w:val="00D56966"/>
    <w:rsid w:val="00D576B0"/>
    <w:rsid w:val="00D620ED"/>
    <w:rsid w:val="00D62E3D"/>
    <w:rsid w:val="00D64524"/>
    <w:rsid w:val="00D777DD"/>
    <w:rsid w:val="00D82689"/>
    <w:rsid w:val="00D83668"/>
    <w:rsid w:val="00D8442F"/>
    <w:rsid w:val="00D8484F"/>
    <w:rsid w:val="00D84FCE"/>
    <w:rsid w:val="00D93D26"/>
    <w:rsid w:val="00D943AA"/>
    <w:rsid w:val="00D95A8A"/>
    <w:rsid w:val="00D95C4C"/>
    <w:rsid w:val="00D967F4"/>
    <w:rsid w:val="00D972C1"/>
    <w:rsid w:val="00DA1015"/>
    <w:rsid w:val="00DA209F"/>
    <w:rsid w:val="00DA36ED"/>
    <w:rsid w:val="00DA4F21"/>
    <w:rsid w:val="00DA6240"/>
    <w:rsid w:val="00DA753A"/>
    <w:rsid w:val="00DB50B3"/>
    <w:rsid w:val="00DB5F69"/>
    <w:rsid w:val="00DB71D7"/>
    <w:rsid w:val="00DC08BE"/>
    <w:rsid w:val="00DC653A"/>
    <w:rsid w:val="00DE174B"/>
    <w:rsid w:val="00DE3465"/>
    <w:rsid w:val="00DE34F1"/>
    <w:rsid w:val="00DE4A70"/>
    <w:rsid w:val="00DE5C5B"/>
    <w:rsid w:val="00DF1F3D"/>
    <w:rsid w:val="00DF4942"/>
    <w:rsid w:val="00E047B5"/>
    <w:rsid w:val="00E06288"/>
    <w:rsid w:val="00E1035F"/>
    <w:rsid w:val="00E1254D"/>
    <w:rsid w:val="00E13933"/>
    <w:rsid w:val="00E2094E"/>
    <w:rsid w:val="00E21CD8"/>
    <w:rsid w:val="00E22EA0"/>
    <w:rsid w:val="00E2387B"/>
    <w:rsid w:val="00E2651D"/>
    <w:rsid w:val="00E26B5B"/>
    <w:rsid w:val="00E27607"/>
    <w:rsid w:val="00E3014A"/>
    <w:rsid w:val="00E377E1"/>
    <w:rsid w:val="00E42E32"/>
    <w:rsid w:val="00E4469F"/>
    <w:rsid w:val="00E44E53"/>
    <w:rsid w:val="00E452BE"/>
    <w:rsid w:val="00E506E8"/>
    <w:rsid w:val="00E60B1B"/>
    <w:rsid w:val="00E627B1"/>
    <w:rsid w:val="00E62D4B"/>
    <w:rsid w:val="00E70565"/>
    <w:rsid w:val="00E719D8"/>
    <w:rsid w:val="00E73290"/>
    <w:rsid w:val="00E74401"/>
    <w:rsid w:val="00E75BC2"/>
    <w:rsid w:val="00E75C00"/>
    <w:rsid w:val="00E81718"/>
    <w:rsid w:val="00E81C14"/>
    <w:rsid w:val="00E8339B"/>
    <w:rsid w:val="00E84DB5"/>
    <w:rsid w:val="00E8534C"/>
    <w:rsid w:val="00E902B6"/>
    <w:rsid w:val="00E9376C"/>
    <w:rsid w:val="00E94830"/>
    <w:rsid w:val="00EA0B48"/>
    <w:rsid w:val="00EA0F21"/>
    <w:rsid w:val="00EA233D"/>
    <w:rsid w:val="00EA2C84"/>
    <w:rsid w:val="00EA335E"/>
    <w:rsid w:val="00EA528C"/>
    <w:rsid w:val="00EA541E"/>
    <w:rsid w:val="00EA5B7E"/>
    <w:rsid w:val="00EA5C74"/>
    <w:rsid w:val="00EB110F"/>
    <w:rsid w:val="00EB2940"/>
    <w:rsid w:val="00EB3EF7"/>
    <w:rsid w:val="00EC1508"/>
    <w:rsid w:val="00EC1E86"/>
    <w:rsid w:val="00EC5125"/>
    <w:rsid w:val="00EC6131"/>
    <w:rsid w:val="00ED6F29"/>
    <w:rsid w:val="00ED736F"/>
    <w:rsid w:val="00EE60F1"/>
    <w:rsid w:val="00EF23D9"/>
    <w:rsid w:val="00EF34E2"/>
    <w:rsid w:val="00F01901"/>
    <w:rsid w:val="00F020B5"/>
    <w:rsid w:val="00F12056"/>
    <w:rsid w:val="00F1291A"/>
    <w:rsid w:val="00F13685"/>
    <w:rsid w:val="00F13E6B"/>
    <w:rsid w:val="00F16769"/>
    <w:rsid w:val="00F20A12"/>
    <w:rsid w:val="00F25D1E"/>
    <w:rsid w:val="00F31F80"/>
    <w:rsid w:val="00F32C23"/>
    <w:rsid w:val="00F33C16"/>
    <w:rsid w:val="00F34AD1"/>
    <w:rsid w:val="00F36429"/>
    <w:rsid w:val="00F36A19"/>
    <w:rsid w:val="00F4076A"/>
    <w:rsid w:val="00F40D13"/>
    <w:rsid w:val="00F41D50"/>
    <w:rsid w:val="00F45502"/>
    <w:rsid w:val="00F476DD"/>
    <w:rsid w:val="00F53DE9"/>
    <w:rsid w:val="00F576CB"/>
    <w:rsid w:val="00F57835"/>
    <w:rsid w:val="00F616DB"/>
    <w:rsid w:val="00F64D20"/>
    <w:rsid w:val="00F6775B"/>
    <w:rsid w:val="00F71A02"/>
    <w:rsid w:val="00F71DF4"/>
    <w:rsid w:val="00F7772A"/>
    <w:rsid w:val="00F83ECF"/>
    <w:rsid w:val="00F84FE2"/>
    <w:rsid w:val="00F91FA6"/>
    <w:rsid w:val="00F93C57"/>
    <w:rsid w:val="00F94ABB"/>
    <w:rsid w:val="00FA1B2C"/>
    <w:rsid w:val="00FB17B8"/>
    <w:rsid w:val="00FB36A6"/>
    <w:rsid w:val="00FB39E7"/>
    <w:rsid w:val="00FB3C4B"/>
    <w:rsid w:val="00FB40B7"/>
    <w:rsid w:val="00FC49FF"/>
    <w:rsid w:val="00FC52FD"/>
    <w:rsid w:val="00FD0E25"/>
    <w:rsid w:val="00FD1226"/>
    <w:rsid w:val="00FD1C91"/>
    <w:rsid w:val="00FD4040"/>
    <w:rsid w:val="00FD624F"/>
    <w:rsid w:val="00FF1667"/>
    <w:rsid w:val="00FF197B"/>
    <w:rsid w:val="00FF4830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  <w14:docId w14:val="3557F282"/>
  <w15:docId w15:val="{15967891-4FC8-4635-A9EE-0AE9F827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B4"/>
    <w:rPr>
      <w:rFonts w:ascii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be-BY"/>
    </w:rPr>
  </w:style>
  <w:style w:type="paragraph" w:styleId="Heading4">
    <w:name w:val="heading 4"/>
    <w:aliases w:val="GA Heading,COM Heading"/>
    <w:basedOn w:val="Normal"/>
    <w:next w:val="Normal"/>
    <w:link w:val="Heading4Char"/>
    <w:uiPriority w:val="99"/>
    <w:qFormat/>
    <w:rsid w:val="00F71A02"/>
    <w:pPr>
      <w:keepNext/>
      <w:keepLines/>
      <w:numPr>
        <w:numId w:val="13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4Char">
    <w:name w:val="Heading 4 Char"/>
    <w:aliases w:val="GA Heading Char,COM Heading Char"/>
    <w:basedOn w:val="DefaultParagraphFont"/>
    <w:link w:val="Heading4"/>
    <w:uiPriority w:val="99"/>
    <w:locked/>
    <w:rsid w:val="00F71A02"/>
    <w:rPr>
      <w:rFonts w:ascii="Arial" w:hAnsi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8724E5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 w:eastAsia="be-BY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rsid w:val="008724E5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en-GB" w:eastAsia="be-BY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724E5"/>
    <w:rPr>
      <w:rFonts w:ascii="Tahoma" w:hAnsi="Tahoma"/>
      <w:sz w:val="16"/>
      <w:szCs w:val="16"/>
      <w:lang w:val="en-GB" w:eastAsia="be-BY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4E5"/>
    <w:rPr>
      <w:rFonts w:ascii="Tahoma" w:hAnsi="Tahoma"/>
      <w:sz w:val="16"/>
      <w:lang w:val="en-GB"/>
    </w:rPr>
  </w:style>
  <w:style w:type="paragraph" w:customStyle="1" w:styleId="Sansinterligne2">
    <w:name w:val="Sans interligne2"/>
    <w:uiPriority w:val="99"/>
    <w:rPr>
      <w:rFonts w:ascii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pPr>
      <w:ind w:left="720"/>
      <w:contextualSpacing/>
    </w:pPr>
  </w:style>
  <w:style w:type="paragraph" w:customStyle="1" w:styleId="b">
    <w:name w:val="(b)"/>
    <w:basedOn w:val="Normal"/>
    <w:uiPriority w:val="99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z w:val="22"/>
      <w:lang w:eastAsia="en-US"/>
    </w:rPr>
  </w:style>
  <w:style w:type="paragraph" w:customStyle="1" w:styleId="Par">
    <w:name w:val="Par"/>
    <w:basedOn w:val="Normal"/>
    <w:uiPriority w:val="99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z w:val="22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customStyle="1" w:styleId="TIRETbul1cm">
    <w:name w:val="TIRET bul 1cm"/>
    <w:basedOn w:val="Normal"/>
    <w:uiPriority w:val="99"/>
    <w:pPr>
      <w:numPr>
        <w:numId w:val="7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hAnsi="Arial"/>
      <w:sz w:val="22"/>
      <w:lang w:eastAsia="zh-CN"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customStyle="1" w:styleId="Sansinterligne1">
    <w:name w:val="Sans interligne1"/>
    <w:uiPriority w:val="99"/>
    <w:rsid w:val="0057439C"/>
    <w:rPr>
      <w:rFonts w:ascii="Times New Roman" w:hAnsi="Times New Roman"/>
      <w:sz w:val="24"/>
      <w:szCs w:val="24"/>
      <w:lang w:val="fr-FR" w:eastAsia="fr-FR"/>
    </w:rPr>
  </w:style>
  <w:style w:type="paragraph" w:customStyle="1" w:styleId="GAPara">
    <w:name w:val="GA Para"/>
    <w:uiPriority w:val="99"/>
    <w:rsid w:val="00345CB4"/>
    <w:pPr>
      <w:numPr>
        <w:numId w:val="10"/>
      </w:numPr>
      <w:spacing w:after="120"/>
      <w:ind w:left="567" w:hanging="567"/>
    </w:pPr>
    <w:rPr>
      <w:rFonts w:ascii="Arial" w:hAnsi="Arial" w:cs="Arial"/>
      <w:lang w:val="en-GB"/>
    </w:rPr>
  </w:style>
  <w:style w:type="paragraph" w:customStyle="1" w:styleId="GATitleResolution">
    <w:name w:val="GA Title Resolution"/>
    <w:basedOn w:val="Normal"/>
    <w:uiPriority w:val="99"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uiPriority w:val="99"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uiPriority w:val="99"/>
    <w:rsid w:val="00345CB4"/>
    <w:pPr>
      <w:numPr>
        <w:numId w:val="11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paragraph" w:styleId="ListParagraph">
    <w:name w:val="List Paragraph"/>
    <w:basedOn w:val="Normal"/>
    <w:uiPriority w:val="99"/>
    <w:qFormat/>
    <w:rsid w:val="00430A07"/>
    <w:pPr>
      <w:ind w:left="720"/>
      <w:contextualSpacing/>
    </w:pPr>
  </w:style>
  <w:style w:type="paragraph" w:customStyle="1" w:styleId="COMParaDecision">
    <w:name w:val="COM Para Decision"/>
    <w:basedOn w:val="Normal"/>
    <w:uiPriority w:val="99"/>
    <w:rsid w:val="00430A07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  <w:lang w:val="en-GB"/>
    </w:rPr>
  </w:style>
  <w:style w:type="paragraph" w:customStyle="1" w:styleId="COMPara">
    <w:name w:val="COM Para"/>
    <w:uiPriority w:val="99"/>
    <w:rsid w:val="00430A07"/>
    <w:pPr>
      <w:spacing w:after="120"/>
      <w:ind w:left="502" w:hanging="360"/>
    </w:pPr>
    <w:rPr>
      <w:rFonts w:ascii="Arial" w:hAnsi="Arial" w:cs="Arial"/>
      <w:lang w:val="en-GB"/>
    </w:rPr>
  </w:style>
  <w:style w:type="paragraph" w:customStyle="1" w:styleId="COMTitleDecision">
    <w:name w:val="COM Title Decision"/>
    <w:basedOn w:val="Normal"/>
    <w:uiPriority w:val="99"/>
    <w:rsid w:val="00430A07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uiPriority w:val="99"/>
    <w:rsid w:val="00430A07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430A07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430A07"/>
  </w:style>
  <w:style w:type="paragraph" w:customStyle="1" w:styleId="Default">
    <w:name w:val="Default"/>
    <w:link w:val="DefaultChar"/>
    <w:uiPriority w:val="99"/>
    <w:rsid w:val="00430A07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fr-FR"/>
    </w:rPr>
  </w:style>
  <w:style w:type="character" w:customStyle="1" w:styleId="DefaultChar">
    <w:name w:val="Default Char"/>
    <w:link w:val="Default"/>
    <w:uiPriority w:val="99"/>
    <w:locked/>
    <w:rsid w:val="00430A07"/>
    <w:rPr>
      <w:rFonts w:ascii="Arial" w:eastAsia="SimSun" w:hAnsi="Arial"/>
      <w:color w:val="000000"/>
      <w:sz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rsid w:val="00430A07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rsid w:val="00430A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30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A07"/>
    <w:rPr>
      <w:rFonts w:eastAsia="SimSun" w:cs="Times New Roman"/>
      <w:lang w:val="fr-FR" w:eastAsia="fr-FR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0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0A07"/>
    <w:rPr>
      <w:rFonts w:eastAsia="SimSun" w:cs="Times New Roman"/>
      <w:b/>
      <w:bCs/>
      <w:lang w:val="fr-FR" w:eastAsia="fr-FR" w:bidi="ar-SA"/>
    </w:rPr>
  </w:style>
  <w:style w:type="character" w:customStyle="1" w:styleId="textview">
    <w:name w:val="textview"/>
    <w:basedOn w:val="DefaultParagraphFont"/>
    <w:uiPriority w:val="99"/>
    <w:rsid w:val="00430A0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30A07"/>
    <w:pPr>
      <w:spacing w:before="60" w:after="60"/>
      <w:jc w:val="both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0A07"/>
    <w:rPr>
      <w:rFonts w:ascii="Arial" w:eastAsia="SimSun" w:hAnsi="Arial" w:cs="Times New Roman"/>
      <w:lang w:val="en-GB" w:eastAsia="fr-FR" w:bidi="ar-SA"/>
    </w:rPr>
  </w:style>
  <w:style w:type="character" w:styleId="FootnoteReference">
    <w:name w:val="footnote reference"/>
    <w:basedOn w:val="DefaultParagraphFont"/>
    <w:uiPriority w:val="99"/>
    <w:rsid w:val="00430A07"/>
    <w:rPr>
      <w:rFonts w:cs="Times New Roman"/>
      <w:vertAlign w:val="superscript"/>
    </w:rPr>
  </w:style>
  <w:style w:type="character" w:customStyle="1" w:styleId="atenuated">
    <w:name w:val="atenuated"/>
    <w:basedOn w:val="DefaultParagraphFont"/>
    <w:uiPriority w:val="99"/>
    <w:rsid w:val="00430A07"/>
    <w:rPr>
      <w:rFonts w:cs="Times New Roman"/>
    </w:rPr>
  </w:style>
  <w:style w:type="paragraph" w:styleId="ListBullet">
    <w:name w:val="List Bullet"/>
    <w:basedOn w:val="Normal"/>
    <w:uiPriority w:val="99"/>
    <w:rsid w:val="00430A07"/>
    <w:pPr>
      <w:numPr>
        <w:numId w:val="14"/>
      </w:numPr>
      <w:spacing w:before="120" w:after="120" w:line="240" w:lineRule="exact"/>
      <w:contextualSpacing/>
    </w:pPr>
    <w:rPr>
      <w:rFonts w:ascii="Calibri" w:hAnsi="Calibri" w:cs="Arial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430A07"/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h.unesco.org/doc/src/ITH-16-11.COM_2.BUR-Decisions-EN.docx" TargetMode="External"/><Relationship Id="rId18" Type="http://schemas.openxmlformats.org/officeDocument/2006/relationships/hyperlink" Target="https://ich.unesco.org/doc/src/ITH-18-7.GA-6-RU.docx" TargetMode="External"/><Relationship Id="rId26" Type="http://schemas.openxmlformats.org/officeDocument/2006/relationships/hyperlink" Target="https://ich.unesco.org/doc/src/ITH-18-7.GA-10-RU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ch.unesco.org/en/guidance-note-on-inventorying-00966" TargetMode="External"/><Relationship Id="rId34" Type="http://schemas.openxmlformats.org/officeDocument/2006/relationships/hyperlink" Target="https://ich.unesco.org/en/submissions-and-deadlines-00861" TargetMode="External"/><Relationship Id="rId7" Type="http://schemas.openxmlformats.org/officeDocument/2006/relationships/hyperlink" Target="https://ich.unesco.org/doc/src/ITH-16-6.GA-6-RU.docx" TargetMode="External"/><Relationship Id="rId12" Type="http://schemas.openxmlformats.org/officeDocument/2006/relationships/hyperlink" Target="http://unesdoc.unesco.org/images/0024/002443/244305r.pdf" TargetMode="External"/><Relationship Id="rId17" Type="http://schemas.openxmlformats.org/officeDocument/2006/relationships/hyperlink" Target="https://ich.unesco.org/doc/src/ITH-14-9.COM-6-EN_.doc" TargetMode="External"/><Relationship Id="rId25" Type="http://schemas.openxmlformats.org/officeDocument/2006/relationships/hyperlink" Target="https://ich.unesco.org/doc/src/ITH-18-7.GA-9-RU.docx" TargetMode="External"/><Relationship Id="rId33" Type="http://schemas.openxmlformats.org/officeDocument/2006/relationships/hyperlink" Target="https://ich.unesco.org/doc/src/ITH-18-7.GA-INF.7-EN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ch.unesco.org/doc/src/ITH-16-6.GA-6-RU.docx" TargetMode="External"/><Relationship Id="rId20" Type="http://schemas.openxmlformats.org/officeDocument/2006/relationships/hyperlink" Target="https://ich.unesco.org/en/decisions/10.COM/10" TargetMode="External"/><Relationship Id="rId29" Type="http://schemas.openxmlformats.org/officeDocument/2006/relationships/hyperlink" Target="https://ich.unesco.org/en/Decisions/12.COM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esdoc.unesco.org/images/0025/002588/258802e.pdf" TargetMode="External"/><Relationship Id="rId24" Type="http://schemas.openxmlformats.org/officeDocument/2006/relationships/hyperlink" Target="https://ich.unesco.org/en/submissions-and-deadlines-00861" TargetMode="External"/><Relationship Id="rId32" Type="http://schemas.openxmlformats.org/officeDocument/2006/relationships/hyperlink" Target="https://ich.unesco.org/doc/src/ITH-17-12.COM-15-EN.docx" TargetMode="External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ch.unesco.org/doc/src/ITH-15-10.COM-7.b_EN.docx" TargetMode="External"/><Relationship Id="rId23" Type="http://schemas.openxmlformats.org/officeDocument/2006/relationships/hyperlink" Target="https://ich.unesco.org/" TargetMode="External"/><Relationship Id="rId28" Type="http://schemas.openxmlformats.org/officeDocument/2006/relationships/hyperlink" Target="https://ich.unesco.org/en/project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ich.unesco.org/doc/src/ITH-17-12.COM-7-EN.docx" TargetMode="External"/><Relationship Id="rId19" Type="http://schemas.openxmlformats.org/officeDocument/2006/relationships/hyperlink" Target="https://ich.unesco.org/doc/src/ITH-18-7.GA-11-RU.docx" TargetMode="External"/><Relationship Id="rId31" Type="http://schemas.openxmlformats.org/officeDocument/2006/relationships/hyperlink" Target="https://ich.unesco.org/en/Decisions/11.COM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h.unesco.org/doc/src/ITH-17-12.COM-5.b-EN.docx" TargetMode="External"/><Relationship Id="rId14" Type="http://schemas.openxmlformats.org/officeDocument/2006/relationships/hyperlink" Target="https://ich.unesco.org/doc/src/ITH-17-12.COM_2.BUR-INF.3-EN.doc" TargetMode="External"/><Relationship Id="rId22" Type="http://schemas.openxmlformats.org/officeDocument/2006/relationships/hyperlink" Target="https://ich.unesco.org/doc/src/ITH-18-7.GA-8-RU.docx" TargetMode="External"/><Relationship Id="rId27" Type="http://schemas.openxmlformats.org/officeDocument/2006/relationships/hyperlink" Target="https://ich.unesco.org/en/capacity-building" TargetMode="External"/><Relationship Id="rId30" Type="http://schemas.openxmlformats.org/officeDocument/2006/relationships/hyperlink" Target="https://ich.unesco.org/en/Decisions/12.COM/6" TargetMode="External"/><Relationship Id="rId35" Type="http://schemas.openxmlformats.org/officeDocument/2006/relationships/header" Target="header1.xml"/><Relationship Id="rId8" Type="http://schemas.openxmlformats.org/officeDocument/2006/relationships/hyperlink" Target="https://ich.unesco.org/doc/src/ITH-16-11.COM-5-EN.docx" TargetMode="External"/><Relationship Id="rId3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5300</Words>
  <Characters>39540</Characters>
  <Application>Microsoft Office Word</Application>
  <DocSecurity>0</DocSecurity>
  <Lines>329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КОНВЕНЦИЯ ОБ ОХРАНЕ</vt:lpstr>
      <vt:lpstr>КОНВЕНЦИЯ ОБ ОХРАНЕ</vt:lpstr>
    </vt:vector>
  </TitlesOfParts>
  <Company>UNESCO</Company>
  <LinksUpToDate>false</LinksUpToDate>
  <CharactersWithSpaces>44751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КОНВЕНЦИЯ ОБ ОХРАНЕ</dc:title>
  <dc:subject/>
  <dc:creator>UNESCO</dc:creator>
  <cp:keywords/>
  <dc:description/>
  <cp:lastModifiedBy>Shin, Eunkyung</cp:lastModifiedBy>
  <cp:revision>6</cp:revision>
  <cp:lastPrinted>2011-08-06T09:22:00Z</cp:lastPrinted>
  <dcterms:created xsi:type="dcterms:W3CDTF">2018-04-27T10:07:00Z</dcterms:created>
  <dcterms:modified xsi:type="dcterms:W3CDTF">2018-05-04T08:44:00Z</dcterms:modified>
</cp:coreProperties>
</file>