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9B" w:rsidRPr="00713FCD" w:rsidRDefault="005967BC" w:rsidP="00713FCD">
      <w:pPr>
        <w:spacing w:before="1440"/>
        <w:contextualSpacing/>
        <w:jc w:val="center"/>
        <w:rPr>
          <w:rFonts w:ascii="Arial" w:hAnsi="Arial"/>
          <w:b/>
          <w:sz w:val="22"/>
          <w:lang w:val="ru-RU"/>
        </w:rPr>
      </w:pPr>
      <w:r w:rsidRPr="00C42A1E">
        <w:rPr>
          <w:rFonts w:ascii="Arial" w:hAnsi="Arial"/>
          <w:b/>
          <w:sz w:val="22"/>
          <w:lang w:val="ru-RU"/>
        </w:rPr>
        <w:t>КОНВЕНЦИЯ О</w:t>
      </w:r>
      <w:r>
        <w:rPr>
          <w:rFonts w:ascii="Arial" w:hAnsi="Arial"/>
          <w:b/>
          <w:sz w:val="22"/>
          <w:lang w:val="ru-RU"/>
        </w:rPr>
        <w:t>Б</w:t>
      </w:r>
      <w:r w:rsidRPr="00C42A1E">
        <w:rPr>
          <w:rFonts w:ascii="Arial" w:hAnsi="Arial"/>
          <w:b/>
          <w:sz w:val="22"/>
          <w:lang w:val="ru-RU"/>
        </w:rPr>
        <w:t xml:space="preserve"> </w:t>
      </w:r>
      <w:r>
        <w:rPr>
          <w:rFonts w:ascii="Arial" w:hAnsi="Arial"/>
          <w:b/>
          <w:sz w:val="22"/>
          <w:lang w:val="ru-RU"/>
        </w:rPr>
        <w:t>ОХРАНЕ</w:t>
      </w:r>
      <w:r w:rsidRPr="00C42A1E">
        <w:rPr>
          <w:rFonts w:ascii="Arial" w:hAnsi="Arial"/>
          <w:b/>
          <w:sz w:val="22"/>
          <w:lang w:val="ru-RU"/>
        </w:rPr>
        <w:t xml:space="preserve"> </w:t>
      </w:r>
    </w:p>
    <w:p w:rsidR="00655736" w:rsidRPr="005967BC" w:rsidRDefault="005967BC" w:rsidP="00713FCD">
      <w:pPr>
        <w:spacing w:before="1440"/>
        <w:contextualSpacing/>
        <w:jc w:val="center"/>
        <w:rPr>
          <w:rFonts w:ascii="Arial" w:hAnsi="Arial"/>
          <w:b/>
          <w:sz w:val="22"/>
          <w:lang w:val="ru-RU"/>
        </w:rPr>
      </w:pPr>
      <w:r w:rsidRPr="00C42A1E">
        <w:rPr>
          <w:rFonts w:ascii="Arial" w:hAnsi="Arial"/>
          <w:b/>
          <w:sz w:val="22"/>
          <w:lang w:val="ru-RU"/>
        </w:rPr>
        <w:t>НЕМАТ</w:t>
      </w:r>
      <w:r>
        <w:rPr>
          <w:rFonts w:ascii="Arial" w:hAnsi="Arial"/>
          <w:b/>
          <w:sz w:val="22"/>
          <w:lang w:val="ru-RU"/>
        </w:rPr>
        <w:t>ЕРИАЛЬНОГО КУЛЬТУРНОГО НАСЛЕДИЯ</w:t>
      </w:r>
    </w:p>
    <w:p w:rsidR="00655736" w:rsidRPr="005967BC" w:rsidRDefault="005967BC" w:rsidP="00AA3B20">
      <w:pPr>
        <w:spacing w:before="1200"/>
        <w:jc w:val="center"/>
        <w:rPr>
          <w:rFonts w:ascii="Arial" w:hAnsi="Arial" w:cs="Arial"/>
          <w:b/>
          <w:sz w:val="22"/>
          <w:szCs w:val="22"/>
          <w:highlight w:val="lightGray"/>
          <w:lang w:val="ru-RU"/>
        </w:rPr>
      </w:pPr>
      <w:r w:rsidRPr="005967BC">
        <w:rPr>
          <w:rFonts w:ascii="Arial" w:hAnsi="Arial" w:cs="Arial"/>
          <w:b/>
          <w:sz w:val="22"/>
          <w:szCs w:val="22"/>
          <w:lang w:val="ru-RU"/>
        </w:rPr>
        <w:t>ГЕН</w:t>
      </w:r>
      <w:r w:rsidR="00D337C0">
        <w:rPr>
          <w:rFonts w:ascii="Arial" w:hAnsi="Arial" w:cs="Arial"/>
          <w:b/>
          <w:sz w:val="22"/>
          <w:szCs w:val="22"/>
          <w:lang w:val="ru-RU"/>
        </w:rPr>
        <w:t xml:space="preserve">ЕРАЛЬНАЯ АССАМБЛЕЯ ГОСУДАРСТВ – </w:t>
      </w:r>
      <w:r w:rsidRPr="005967BC">
        <w:rPr>
          <w:rFonts w:ascii="Arial" w:hAnsi="Arial" w:cs="Arial"/>
          <w:b/>
          <w:sz w:val="22"/>
          <w:szCs w:val="22"/>
          <w:lang w:val="ru-RU"/>
        </w:rPr>
        <w:t>УЧАСТНИКОВ КОНВЕНЦИИ</w:t>
      </w:r>
    </w:p>
    <w:p w:rsidR="0049359A" w:rsidRPr="00B10513" w:rsidRDefault="0049359A" w:rsidP="00031D73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10513">
        <w:rPr>
          <w:rFonts w:ascii="Arial" w:hAnsi="Arial" w:cs="Arial"/>
          <w:b/>
          <w:sz w:val="22"/>
          <w:szCs w:val="22"/>
          <w:lang w:val="ru-RU"/>
        </w:rPr>
        <w:t>Седьмая сессия</w:t>
      </w:r>
    </w:p>
    <w:p w:rsidR="0049359A" w:rsidRPr="00B10513" w:rsidRDefault="0049359A" w:rsidP="00031D73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10513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49359A" w:rsidRDefault="0049359A" w:rsidP="008645BB">
      <w:pPr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10513">
        <w:rPr>
          <w:rFonts w:ascii="Arial" w:hAnsi="Arial" w:cs="Arial"/>
          <w:b/>
          <w:sz w:val="22"/>
          <w:szCs w:val="22"/>
          <w:lang w:val="ru-RU"/>
        </w:rPr>
        <w:t>4 – 6 июня 2018 г.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117A92" w:rsidRPr="009309DF" w:rsidTr="008645BB">
        <w:trPr>
          <w:jc w:val="center"/>
        </w:trPr>
        <w:tc>
          <w:tcPr>
            <w:tcW w:w="5670" w:type="dxa"/>
            <w:vAlign w:val="center"/>
          </w:tcPr>
          <w:p w:rsidR="00117A92" w:rsidRPr="00F74071" w:rsidRDefault="00117A92" w:rsidP="008645BB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E4D79">
              <w:rPr>
                <w:rFonts w:ascii="Arial" w:hAnsi="Arial" w:cs="Arial"/>
                <w:b/>
                <w:bCs/>
                <w:sz w:val="36"/>
                <w:szCs w:val="28"/>
              </w:rPr>
              <w:t>Резолюции</w:t>
            </w:r>
            <w:proofErr w:type="spellEnd"/>
          </w:p>
        </w:tc>
      </w:tr>
    </w:tbl>
    <w:p w:rsidR="00CA3493" w:rsidRDefault="00BB1E8F" w:rsidP="008645BB">
      <w:pPr>
        <w:pStyle w:val="GATitleResolution"/>
        <w:ind w:left="0" w:hanging="1"/>
        <w:rPr>
          <w:rFonts w:cs="Arial"/>
          <w:b w:val="0"/>
          <w:lang w:val="ru-RU"/>
        </w:rPr>
      </w:pPr>
      <w:r>
        <w:rPr>
          <w:rFonts w:cs="Arial"/>
          <w:b w:val="0"/>
          <w:lang w:val="ru-RU"/>
        </w:rPr>
        <w:br w:type="page"/>
      </w:r>
    </w:p>
    <w:p w:rsidR="00CA3493" w:rsidRPr="002402C9" w:rsidRDefault="00CA3493" w:rsidP="008645BB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lastRenderedPageBreak/>
        <w:t>РЕЗОЛЮЦИЯ</w:t>
      </w:r>
      <w:r w:rsidRPr="002402C9">
        <w:rPr>
          <w:lang w:val="ru-RU"/>
        </w:rPr>
        <w:t xml:space="preserve"> </w:t>
      </w:r>
      <w:r>
        <w:rPr>
          <w:lang w:val="ru-RU"/>
        </w:rPr>
        <w:t>7</w:t>
      </w:r>
      <w:r w:rsidRPr="002402C9">
        <w:rPr>
          <w:lang w:val="ru-RU"/>
        </w:rPr>
        <w:t xml:space="preserve">.GA </w:t>
      </w:r>
      <w:r>
        <w:rPr>
          <w:lang w:val="ru-RU"/>
        </w:rPr>
        <w:t>2</w:t>
      </w:r>
    </w:p>
    <w:p w:rsidR="00CA3493" w:rsidRPr="002402C9" w:rsidRDefault="00CA3493" w:rsidP="008645BB">
      <w:pPr>
        <w:pStyle w:val="GAPreambulaResolution"/>
        <w:ind w:left="0"/>
        <w:rPr>
          <w:rFonts w:eastAsia="SimSun"/>
          <w:lang w:val="ru-RU"/>
        </w:rPr>
      </w:pPr>
      <w:r w:rsidRPr="002402C9">
        <w:rPr>
          <w:lang w:val="ru-RU"/>
        </w:rPr>
        <w:t xml:space="preserve">Генеральная </w:t>
      </w:r>
      <w:r>
        <w:rPr>
          <w:lang w:val="ru-RU"/>
        </w:rPr>
        <w:t>а</w:t>
      </w:r>
      <w:r w:rsidRPr="002402C9">
        <w:rPr>
          <w:lang w:val="ru-RU"/>
        </w:rPr>
        <w:t>ссамблея,</w:t>
      </w:r>
    </w:p>
    <w:p w:rsidR="00CA3493" w:rsidRPr="00A75C93" w:rsidRDefault="00CA3493" w:rsidP="008645BB">
      <w:pPr>
        <w:pStyle w:val="GAParaResolution"/>
        <w:numPr>
          <w:ilvl w:val="0"/>
          <w:numId w:val="2"/>
        </w:numPr>
        <w:ind w:left="567" w:hanging="567"/>
        <w:rPr>
          <w:u w:val="none"/>
          <w:lang w:val="ru-RU"/>
        </w:rPr>
      </w:pPr>
      <w:r w:rsidRPr="002402C9">
        <w:rPr>
          <w:lang w:val="ru-RU"/>
        </w:rPr>
        <w:t>Рассмотрев</w:t>
      </w:r>
      <w:r w:rsidRPr="00A75C93">
        <w:rPr>
          <w:u w:val="none"/>
          <w:lang w:val="ru-RU"/>
        </w:rPr>
        <w:t xml:space="preserve"> документ </w:t>
      </w:r>
      <w:hyperlink r:id="rId8" w:history="1">
        <w:r w:rsidRPr="003628A5">
          <w:rPr>
            <w:rStyle w:val="Hyperlink"/>
            <w:lang w:val="ru-RU"/>
          </w:rPr>
          <w:t>ITH/18/7.GA/2</w:t>
        </w:r>
      </w:hyperlink>
      <w:r w:rsidRPr="00A75C93">
        <w:rPr>
          <w:u w:val="none"/>
          <w:lang w:val="ru-RU"/>
        </w:rPr>
        <w:t>,</w:t>
      </w:r>
    </w:p>
    <w:p w:rsidR="00CA3493" w:rsidRPr="002402C9" w:rsidRDefault="00CA3493" w:rsidP="008645BB">
      <w:pPr>
        <w:pStyle w:val="GAParaResolution"/>
        <w:numPr>
          <w:ilvl w:val="0"/>
          <w:numId w:val="2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A75C93">
        <w:rPr>
          <w:u w:val="none"/>
          <w:lang w:val="ru-RU"/>
        </w:rPr>
        <w:t xml:space="preserve"> на статью 3 своих Правил процедуры,</w:t>
      </w:r>
    </w:p>
    <w:p w:rsidR="00CA3493" w:rsidRPr="000C1004" w:rsidRDefault="00CA3493" w:rsidP="008645BB">
      <w:pPr>
        <w:pStyle w:val="GAParaResolution"/>
        <w:numPr>
          <w:ilvl w:val="0"/>
          <w:numId w:val="2"/>
        </w:numPr>
        <w:ind w:left="567" w:hanging="567"/>
        <w:rPr>
          <w:lang w:val="ru-RU"/>
        </w:rPr>
      </w:pPr>
      <w:r>
        <w:rPr>
          <w:lang w:val="ru-RU"/>
        </w:rPr>
        <w:t>Избирает</w:t>
      </w:r>
      <w:r w:rsidRPr="000C1004">
        <w:rPr>
          <w:u w:val="none"/>
          <w:lang w:val="ru-RU"/>
        </w:rPr>
        <w:t xml:space="preserve"> </w:t>
      </w:r>
      <w:r w:rsidR="00AF4194">
        <w:rPr>
          <w:u w:val="none"/>
          <w:lang w:val="ru-RU"/>
        </w:rPr>
        <w:t xml:space="preserve">Е.П. госпожу </w:t>
      </w:r>
      <w:proofErr w:type="spellStart"/>
      <w:r w:rsidR="00713F60">
        <w:rPr>
          <w:u w:val="none"/>
          <w:lang w:val="ru-RU"/>
        </w:rPr>
        <w:t>Винченцу</w:t>
      </w:r>
      <w:proofErr w:type="spellEnd"/>
      <w:r w:rsidR="00713F60" w:rsidRPr="000C1004">
        <w:rPr>
          <w:u w:val="none"/>
          <w:lang w:val="ru-RU"/>
        </w:rPr>
        <w:t xml:space="preserve"> </w:t>
      </w:r>
      <w:proofErr w:type="spellStart"/>
      <w:r w:rsidR="00713F60">
        <w:rPr>
          <w:u w:val="none"/>
          <w:lang w:val="ru-RU"/>
        </w:rPr>
        <w:t>Ломонако</w:t>
      </w:r>
      <w:proofErr w:type="spellEnd"/>
      <w:r w:rsidR="00713F60">
        <w:rPr>
          <w:u w:val="none"/>
          <w:lang w:val="ru-RU"/>
        </w:rPr>
        <w:t xml:space="preserve"> </w:t>
      </w:r>
      <w:r w:rsidRPr="000C1004">
        <w:rPr>
          <w:u w:val="none"/>
          <w:lang w:val="ru-RU"/>
        </w:rPr>
        <w:t>(</w:t>
      </w:r>
      <w:r w:rsidR="00713F60">
        <w:rPr>
          <w:u w:val="none"/>
          <w:lang w:val="ru-RU"/>
        </w:rPr>
        <w:t>Италия</w:t>
      </w:r>
      <w:r w:rsidRPr="000C1004">
        <w:rPr>
          <w:u w:val="none"/>
          <w:lang w:val="ru-RU"/>
        </w:rPr>
        <w:t>) Председателем Генеральной ассамблеи;</w:t>
      </w:r>
    </w:p>
    <w:p w:rsidR="00CA3493" w:rsidRPr="000C1004" w:rsidRDefault="00CA3493" w:rsidP="008645BB">
      <w:pPr>
        <w:pStyle w:val="GAParaResolution"/>
        <w:numPr>
          <w:ilvl w:val="0"/>
          <w:numId w:val="2"/>
        </w:numPr>
        <w:ind w:left="567" w:hanging="567"/>
        <w:rPr>
          <w:lang w:val="ru-RU"/>
        </w:rPr>
      </w:pPr>
      <w:r>
        <w:rPr>
          <w:lang w:val="ru-RU"/>
        </w:rPr>
        <w:t>Избирает</w:t>
      </w:r>
      <w:r w:rsidRPr="000C1004">
        <w:rPr>
          <w:u w:val="none"/>
          <w:lang w:val="ru-RU"/>
        </w:rPr>
        <w:t xml:space="preserve"> </w:t>
      </w:r>
      <w:proofErr w:type="gramStart"/>
      <w:r w:rsidR="00AF4194">
        <w:rPr>
          <w:u w:val="none"/>
          <w:lang w:val="ru-RU"/>
        </w:rPr>
        <w:t xml:space="preserve">господина </w:t>
      </w:r>
      <w:r w:rsidR="00333284">
        <w:rPr>
          <w:u w:val="none"/>
          <w:lang w:val="ru-RU"/>
        </w:rPr>
        <w:t xml:space="preserve"> </w:t>
      </w:r>
      <w:proofErr w:type="spellStart"/>
      <w:r w:rsidR="00BC4625">
        <w:rPr>
          <w:u w:val="none"/>
          <w:lang w:val="ru-RU"/>
        </w:rPr>
        <w:t>Валида</w:t>
      </w:r>
      <w:proofErr w:type="spellEnd"/>
      <w:proofErr w:type="gramEnd"/>
      <w:r w:rsidR="00BC4625">
        <w:rPr>
          <w:u w:val="none"/>
          <w:lang w:val="ru-RU"/>
        </w:rPr>
        <w:t xml:space="preserve"> </w:t>
      </w:r>
      <w:proofErr w:type="spellStart"/>
      <w:r w:rsidR="00B93724">
        <w:rPr>
          <w:u w:val="none"/>
          <w:lang w:val="ru-RU"/>
        </w:rPr>
        <w:t>А</w:t>
      </w:r>
      <w:r w:rsidR="00BC4625">
        <w:rPr>
          <w:u w:val="none"/>
          <w:lang w:val="ru-RU"/>
        </w:rPr>
        <w:t>ль</w:t>
      </w:r>
      <w:r w:rsidR="00A413D6">
        <w:rPr>
          <w:u w:val="none"/>
          <w:lang w:val="ru-RU"/>
        </w:rPr>
        <w:t>с</w:t>
      </w:r>
      <w:r w:rsidR="00BC4625">
        <w:rPr>
          <w:u w:val="none"/>
          <w:lang w:val="ru-RU"/>
        </w:rPr>
        <w:t>аифа</w:t>
      </w:r>
      <w:proofErr w:type="spellEnd"/>
      <w:r w:rsidRPr="000C1004">
        <w:rPr>
          <w:u w:val="none"/>
          <w:lang w:val="ru-RU"/>
        </w:rPr>
        <w:t xml:space="preserve"> (</w:t>
      </w:r>
      <w:r w:rsidR="00BC4625">
        <w:rPr>
          <w:u w:val="none"/>
          <w:lang w:val="ru-RU"/>
        </w:rPr>
        <w:t>Кувейт</w:t>
      </w:r>
      <w:r w:rsidRPr="000C1004">
        <w:rPr>
          <w:u w:val="none"/>
          <w:lang w:val="ru-RU"/>
        </w:rPr>
        <w:t xml:space="preserve">) </w:t>
      </w:r>
      <w:r>
        <w:rPr>
          <w:u w:val="none"/>
          <w:lang w:val="ru-RU"/>
        </w:rPr>
        <w:t>докладчиком</w:t>
      </w:r>
      <w:r w:rsidRPr="000C1004">
        <w:rPr>
          <w:u w:val="none"/>
          <w:lang w:val="ru-RU"/>
        </w:rPr>
        <w:t xml:space="preserve"> Генеральной ассамблеи;</w:t>
      </w:r>
    </w:p>
    <w:p w:rsidR="00CA3493" w:rsidRPr="008645BB" w:rsidRDefault="00CA3493" w:rsidP="008645BB">
      <w:pPr>
        <w:pStyle w:val="GAParaResolution"/>
        <w:numPr>
          <w:ilvl w:val="0"/>
          <w:numId w:val="2"/>
        </w:numPr>
        <w:ind w:left="567" w:hanging="567"/>
        <w:rPr>
          <w:lang w:val="ru-RU"/>
        </w:rPr>
      </w:pPr>
      <w:r>
        <w:rPr>
          <w:lang w:val="ru-RU"/>
        </w:rPr>
        <w:t>Избирает</w:t>
      </w:r>
      <w:r w:rsidRPr="000C1004">
        <w:rPr>
          <w:u w:val="none"/>
          <w:lang w:val="ru-RU"/>
        </w:rPr>
        <w:t xml:space="preserve"> </w:t>
      </w:r>
      <w:r w:rsidR="00BC4625">
        <w:rPr>
          <w:snapToGrid w:val="0"/>
          <w:u w:val="none"/>
          <w:lang w:val="ru-RU" w:eastAsia="en-US"/>
        </w:rPr>
        <w:t>Сербию</w:t>
      </w:r>
      <w:r>
        <w:rPr>
          <w:u w:val="none"/>
          <w:lang w:val="ru-RU"/>
        </w:rPr>
        <w:t xml:space="preserve">, </w:t>
      </w:r>
      <w:r w:rsidR="00AD150F">
        <w:rPr>
          <w:snapToGrid w:val="0"/>
          <w:u w:val="none"/>
          <w:lang w:val="ru-RU" w:eastAsia="en-US"/>
        </w:rPr>
        <w:t>Гватемалу</w:t>
      </w:r>
      <w:r w:rsidR="00AD150F">
        <w:rPr>
          <w:u w:val="none"/>
          <w:lang w:val="ru-RU"/>
        </w:rPr>
        <w:t xml:space="preserve">, </w:t>
      </w:r>
      <w:r w:rsidR="00713F60">
        <w:rPr>
          <w:snapToGrid w:val="0"/>
          <w:u w:val="none"/>
          <w:lang w:val="ru-RU" w:eastAsia="en-US"/>
        </w:rPr>
        <w:t>Казахстан</w:t>
      </w:r>
      <w:r>
        <w:rPr>
          <w:snapToGrid w:val="0"/>
          <w:u w:val="none"/>
          <w:lang w:val="ru-RU" w:eastAsia="en-US"/>
        </w:rPr>
        <w:t>,</w:t>
      </w:r>
      <w:r w:rsidRPr="002A0ABB">
        <w:rPr>
          <w:snapToGrid w:val="0"/>
          <w:u w:val="none"/>
          <w:lang w:val="ru-RU" w:eastAsia="en-US"/>
        </w:rPr>
        <w:t xml:space="preserve"> </w:t>
      </w:r>
      <w:r w:rsidR="00AD150F">
        <w:rPr>
          <w:u w:val="none"/>
          <w:lang w:val="ru-RU"/>
        </w:rPr>
        <w:t>Гамбию</w:t>
      </w:r>
      <w:r w:rsidR="00713F60" w:rsidRPr="002A0ABB">
        <w:rPr>
          <w:snapToGrid w:val="0"/>
          <w:u w:val="none"/>
          <w:lang w:val="ru-RU" w:eastAsia="en-US"/>
        </w:rPr>
        <w:t xml:space="preserve"> </w:t>
      </w:r>
      <w:r>
        <w:rPr>
          <w:snapToGrid w:val="0"/>
          <w:u w:val="none"/>
          <w:lang w:val="ru-RU" w:eastAsia="en-US"/>
        </w:rPr>
        <w:t xml:space="preserve">и </w:t>
      </w:r>
      <w:r w:rsidR="00713F60">
        <w:rPr>
          <w:snapToGrid w:val="0"/>
          <w:u w:val="none"/>
          <w:lang w:val="ru-RU" w:eastAsia="en-US"/>
        </w:rPr>
        <w:t>Иорданию</w:t>
      </w:r>
      <w:r w:rsidR="00713F60" w:rsidRPr="002A0ABB">
        <w:rPr>
          <w:snapToGrid w:val="0"/>
          <w:u w:val="none"/>
          <w:lang w:val="ru-RU" w:eastAsia="en-US"/>
        </w:rPr>
        <w:t xml:space="preserve"> </w:t>
      </w:r>
      <w:r w:rsidRPr="002A0ABB">
        <w:rPr>
          <w:snapToGrid w:val="0"/>
          <w:u w:val="none"/>
          <w:lang w:val="ru-RU" w:eastAsia="en-US"/>
        </w:rPr>
        <w:t>заместителями Председателя Генеральной ассамблеи</w:t>
      </w:r>
      <w:r>
        <w:rPr>
          <w:snapToGrid w:val="0"/>
          <w:u w:val="none"/>
          <w:lang w:val="ru-RU" w:eastAsia="en-US"/>
        </w:rPr>
        <w:t>.</w:t>
      </w:r>
    </w:p>
    <w:p w:rsidR="00CA3493" w:rsidRPr="002402C9" w:rsidRDefault="00ED08D7" w:rsidP="008645BB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 xml:space="preserve">РЕЗОЛЮЦИЯ </w:t>
      </w:r>
      <w:r w:rsidR="00CA3493">
        <w:rPr>
          <w:lang w:val="ru-RU"/>
        </w:rPr>
        <w:t>7</w:t>
      </w:r>
      <w:r w:rsidR="00CA3493" w:rsidRPr="002402C9">
        <w:rPr>
          <w:lang w:val="ru-RU"/>
        </w:rPr>
        <w:t xml:space="preserve">.GA </w:t>
      </w:r>
      <w:r w:rsidR="00CA3493">
        <w:rPr>
          <w:lang w:val="ru-RU"/>
        </w:rPr>
        <w:t>3</w:t>
      </w:r>
    </w:p>
    <w:p w:rsidR="00CA3493" w:rsidRPr="002402C9" w:rsidRDefault="00CA3493" w:rsidP="008645BB">
      <w:pPr>
        <w:pStyle w:val="GAPreambulaResolution"/>
        <w:ind w:left="0"/>
        <w:rPr>
          <w:rFonts w:eastAsia="SimSun"/>
          <w:lang w:val="ru-RU"/>
        </w:rPr>
      </w:pPr>
      <w:r w:rsidRPr="002402C9">
        <w:rPr>
          <w:lang w:val="ru-RU"/>
        </w:rPr>
        <w:t xml:space="preserve">Генеральная </w:t>
      </w:r>
      <w:r>
        <w:rPr>
          <w:lang w:val="ru-RU"/>
        </w:rPr>
        <w:t>а</w:t>
      </w:r>
      <w:r w:rsidRPr="002402C9">
        <w:rPr>
          <w:lang w:val="ru-RU"/>
        </w:rPr>
        <w:t>ссамблея,</w:t>
      </w:r>
    </w:p>
    <w:p w:rsidR="00CA3493" w:rsidRPr="002402C9" w:rsidRDefault="00CA3493" w:rsidP="008645BB">
      <w:pPr>
        <w:pStyle w:val="GAParaResolution"/>
        <w:numPr>
          <w:ilvl w:val="0"/>
          <w:numId w:val="47"/>
        </w:numPr>
        <w:ind w:left="567" w:hanging="567"/>
        <w:rPr>
          <w:lang w:val="ru-RU"/>
        </w:rPr>
      </w:pPr>
      <w:r w:rsidRPr="002402C9">
        <w:rPr>
          <w:lang w:val="ru-RU"/>
        </w:rPr>
        <w:t>Рассмотрев</w:t>
      </w:r>
      <w:r w:rsidRPr="00354539">
        <w:rPr>
          <w:u w:val="none"/>
          <w:lang w:val="ru-RU"/>
        </w:rPr>
        <w:t xml:space="preserve"> </w:t>
      </w:r>
      <w:r w:rsidRPr="0000780C">
        <w:rPr>
          <w:u w:val="none"/>
          <w:lang w:val="ru-RU"/>
        </w:rPr>
        <w:t xml:space="preserve">документ </w:t>
      </w:r>
      <w:hyperlink r:id="rId9" w:history="1">
        <w:r w:rsidRPr="003628A5">
          <w:rPr>
            <w:rStyle w:val="Hyperlink"/>
            <w:lang w:val="ru-RU"/>
          </w:rPr>
          <w:t>ITH/18/7.GA/3</w:t>
        </w:r>
      </w:hyperlink>
      <w:r w:rsidRPr="0000780C">
        <w:rPr>
          <w:u w:val="none"/>
          <w:lang w:val="ru-RU"/>
        </w:rPr>
        <w:t>,</w:t>
      </w:r>
    </w:p>
    <w:p w:rsidR="00CA3493" w:rsidRPr="009E1EAC" w:rsidRDefault="00CA3493" w:rsidP="008645BB">
      <w:pPr>
        <w:pStyle w:val="GAParaResolution"/>
        <w:numPr>
          <w:ilvl w:val="0"/>
          <w:numId w:val="47"/>
        </w:numPr>
        <w:ind w:left="567" w:hanging="567"/>
        <w:rPr>
          <w:lang w:val="ru-RU"/>
        </w:rPr>
      </w:pPr>
      <w:r>
        <w:rPr>
          <w:lang w:val="ru-RU"/>
        </w:rPr>
        <w:t>Утверждает</w:t>
      </w:r>
      <w:r w:rsidRPr="00354539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нижеследующую </w:t>
      </w:r>
      <w:r w:rsidRPr="00354539">
        <w:rPr>
          <w:u w:val="none"/>
          <w:lang w:val="ru-RU"/>
        </w:rPr>
        <w:t>повестку дня своей седьмой сессии</w:t>
      </w:r>
      <w:r>
        <w:rPr>
          <w:u w:val="none"/>
          <w:lang w:val="ru-RU"/>
        </w:rPr>
        <w:t xml:space="preserve"> (Париж, Штаб-квартира ЮНЕСКО, 4 </w:t>
      </w:r>
      <w:r w:rsidRPr="00F64992">
        <w:rPr>
          <w:u w:val="none"/>
          <w:lang w:val="ru-RU"/>
        </w:rPr>
        <w:t xml:space="preserve">– </w:t>
      </w:r>
      <w:r>
        <w:rPr>
          <w:u w:val="none"/>
          <w:lang w:val="ru-RU"/>
        </w:rPr>
        <w:t>6 июня 2018 г.):</w:t>
      </w:r>
    </w:p>
    <w:p w:rsidR="00CA3493" w:rsidRPr="00E24D8D" w:rsidRDefault="00CA3493" w:rsidP="008645BB">
      <w:pPr>
        <w:pStyle w:val="GAParaResolution"/>
        <w:spacing w:before="360" w:after="240"/>
        <w:ind w:left="567" w:firstLine="0"/>
        <w:rPr>
          <w:b/>
          <w:u w:val="none"/>
          <w:lang w:val="ru-RU"/>
        </w:rPr>
      </w:pPr>
      <w:r w:rsidRPr="00E24D8D">
        <w:rPr>
          <w:b/>
          <w:u w:val="none"/>
          <w:lang w:val="ru-RU"/>
        </w:rPr>
        <w:t>Повестка дня</w:t>
      </w:r>
    </w:p>
    <w:p w:rsidR="00CA3493" w:rsidRPr="000E498C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0E498C">
        <w:rPr>
          <w:u w:val="none"/>
          <w:lang w:val="ru-RU"/>
        </w:rPr>
        <w:t>Открытие</w:t>
      </w:r>
    </w:p>
    <w:p w:rsidR="00CA3493" w:rsidRPr="000E498C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0E498C">
        <w:rPr>
          <w:u w:val="none"/>
          <w:lang w:val="ru-RU"/>
        </w:rPr>
        <w:t>Выборы Президиума</w:t>
      </w:r>
    </w:p>
    <w:p w:rsidR="00CA3493" w:rsidRPr="000E498C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0E498C">
        <w:rPr>
          <w:u w:val="none"/>
          <w:lang w:val="ru-RU"/>
        </w:rPr>
        <w:t>Утверждение повестки дня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Распределение мест в Комитете</w:t>
      </w:r>
      <w:r w:rsidRPr="00C44874">
        <w:rPr>
          <w:u w:val="none"/>
          <w:lang w:val="ru-RU"/>
        </w:rPr>
        <w:t xml:space="preserve"> по избирательным группам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Доклад Комитета Генеральной ассамблее</w:t>
      </w:r>
    </w:p>
    <w:p w:rsidR="00CA3493" w:rsidRPr="007A3DD0" w:rsidRDefault="00CA3493" w:rsidP="008645BB">
      <w:pPr>
        <w:numPr>
          <w:ilvl w:val="0"/>
          <w:numId w:val="7"/>
        </w:numPr>
        <w:spacing w:after="120"/>
        <w:ind w:left="1134" w:hanging="567"/>
        <w:rPr>
          <w:rFonts w:ascii="Arial" w:eastAsia="SimSun" w:hAnsi="Arial" w:cs="Arial"/>
          <w:sz w:val="22"/>
          <w:szCs w:val="22"/>
          <w:lang w:val="ru-RU"/>
        </w:rPr>
      </w:pPr>
      <w:r w:rsidRPr="007A3DD0">
        <w:rPr>
          <w:rFonts w:ascii="Arial" w:eastAsia="SimSun" w:hAnsi="Arial" w:cs="Arial"/>
          <w:sz w:val="22"/>
          <w:szCs w:val="22"/>
          <w:lang w:val="ru-RU"/>
        </w:rPr>
        <w:t>Доклад Специальной неофициальной рабочей группы Комитета Генеральной ассамблее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Доклад Секретариата о своей деятельности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Использование средств Фонда нематериального культурного наследия</w:t>
      </w:r>
    </w:p>
    <w:p w:rsidR="00CA3493" w:rsidRPr="00EA4B38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EA4B38">
        <w:rPr>
          <w:u w:val="none"/>
          <w:lang w:val="ru-RU"/>
        </w:rPr>
        <w:t>Проект общей системы оценки результатов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Пересмотр положений Оперативного руководства по выполнению Конвенции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Аккредитация неправительственных организаций с целью выполнения консультативных функций при Комитете</w:t>
      </w:r>
    </w:p>
    <w:p w:rsidR="00CA3493" w:rsidRPr="00EA4B38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EA4B38">
        <w:rPr>
          <w:u w:val="none"/>
          <w:lang w:val="ru-RU"/>
        </w:rPr>
        <w:t>Контроль за реализацией соответствующих рекомендаций Рабочей группы открытого состава по вопросам управления, процедур</w:t>
      </w:r>
      <w:r w:rsidRPr="00C44874">
        <w:rPr>
          <w:u w:val="none"/>
          <w:lang w:val="ru-RU"/>
        </w:rPr>
        <w:t>ам</w:t>
      </w:r>
      <w:r w:rsidRPr="00EA4B38">
        <w:rPr>
          <w:u w:val="none"/>
          <w:lang w:val="ru-RU"/>
        </w:rPr>
        <w:t xml:space="preserve"> и метод</w:t>
      </w:r>
      <w:r w:rsidRPr="00C44874">
        <w:rPr>
          <w:u w:val="none"/>
          <w:lang w:val="ru-RU"/>
        </w:rPr>
        <w:t>ам</w:t>
      </w:r>
      <w:r w:rsidRPr="00EA4B38">
        <w:rPr>
          <w:u w:val="none"/>
          <w:lang w:val="ru-RU"/>
        </w:rPr>
        <w:t xml:space="preserve"> работы руководящих органов ЮНЕСКО (Резолюция 39 С/87)</w:t>
      </w:r>
    </w:p>
    <w:p w:rsidR="00CA3493" w:rsidRPr="000B6D7C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 w:rsidRPr="00597C6D">
        <w:rPr>
          <w:u w:val="none"/>
          <w:lang w:val="ru-RU"/>
        </w:rPr>
        <w:t>Пересмотр</w:t>
      </w:r>
      <w:r w:rsidRPr="000B6D7C">
        <w:rPr>
          <w:u w:val="none"/>
          <w:lang w:val="ru-RU"/>
        </w:rPr>
        <w:t xml:space="preserve"> </w:t>
      </w:r>
      <w:r w:rsidRPr="00597C6D">
        <w:rPr>
          <w:u w:val="none"/>
          <w:lang w:val="ru-RU"/>
        </w:rPr>
        <w:t>Правил процедуры Генеральной ассамблеи</w:t>
      </w:r>
    </w:p>
    <w:p w:rsidR="00CA3493" w:rsidRPr="003878C4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Выборы членов Межправительственного комитета по охране нематериального культурного наследия</w:t>
      </w:r>
    </w:p>
    <w:p w:rsidR="00CA3493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Прочие вопросы</w:t>
      </w:r>
    </w:p>
    <w:p w:rsidR="00CA3493" w:rsidRPr="00C44874" w:rsidRDefault="00CA3493" w:rsidP="008645BB">
      <w:pPr>
        <w:pStyle w:val="GAParaResolution"/>
        <w:numPr>
          <w:ilvl w:val="0"/>
          <w:numId w:val="7"/>
        </w:numPr>
        <w:ind w:left="1134" w:hanging="567"/>
        <w:rPr>
          <w:u w:val="none"/>
          <w:lang w:val="ru-RU"/>
        </w:rPr>
      </w:pPr>
      <w:r>
        <w:rPr>
          <w:u w:val="none"/>
          <w:lang w:val="ru-RU"/>
        </w:rPr>
        <w:t>Закрытие</w:t>
      </w:r>
    </w:p>
    <w:p w:rsidR="00CA3493" w:rsidRPr="002402C9" w:rsidRDefault="00ED08D7" w:rsidP="008645BB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lastRenderedPageBreak/>
        <w:t xml:space="preserve">РЕЗОЛЮЦИЯ </w:t>
      </w:r>
      <w:r w:rsidR="00CA3493">
        <w:rPr>
          <w:lang w:val="ru-RU"/>
        </w:rPr>
        <w:t>7</w:t>
      </w:r>
      <w:r w:rsidR="00CA3493" w:rsidRPr="002402C9">
        <w:rPr>
          <w:lang w:val="ru-RU"/>
        </w:rPr>
        <w:t xml:space="preserve">.GA </w:t>
      </w:r>
      <w:r w:rsidR="00CA3493">
        <w:rPr>
          <w:lang w:val="ru-RU"/>
        </w:rPr>
        <w:t>4</w:t>
      </w:r>
    </w:p>
    <w:p w:rsidR="00CA3493" w:rsidRPr="002402C9" w:rsidRDefault="00CA3493" w:rsidP="008645BB">
      <w:pPr>
        <w:pStyle w:val="GAPreambulaResolution"/>
        <w:ind w:left="0"/>
        <w:rPr>
          <w:rFonts w:eastAsia="SimSun"/>
          <w:lang w:val="ru-RU"/>
        </w:rPr>
      </w:pPr>
      <w:r w:rsidRPr="002402C9">
        <w:rPr>
          <w:lang w:val="ru-RU"/>
        </w:rPr>
        <w:t>Генеральная Ассамблея,</w:t>
      </w:r>
    </w:p>
    <w:p w:rsidR="00CA3493" w:rsidRPr="002402C9" w:rsidRDefault="00CA3493" w:rsidP="008645BB">
      <w:pPr>
        <w:pStyle w:val="GAParaResolution"/>
        <w:numPr>
          <w:ilvl w:val="0"/>
          <w:numId w:val="50"/>
        </w:numPr>
        <w:ind w:left="567" w:hanging="567"/>
        <w:rPr>
          <w:lang w:val="ru-RU"/>
        </w:rPr>
      </w:pPr>
      <w:r w:rsidRPr="002402C9">
        <w:rPr>
          <w:lang w:val="ru-RU"/>
        </w:rPr>
        <w:t>Рассмотрев</w:t>
      </w:r>
      <w:r w:rsidRPr="003A5186">
        <w:rPr>
          <w:u w:val="none"/>
          <w:lang w:val="ru-RU"/>
        </w:rPr>
        <w:t xml:space="preserve"> документ </w:t>
      </w:r>
      <w:hyperlink r:id="rId10" w:history="1">
        <w:r w:rsidRPr="003628A5">
          <w:rPr>
            <w:rStyle w:val="Hyperlink"/>
            <w:lang w:val="ru-RU"/>
          </w:rPr>
          <w:t>ITH/18/7.GA/4</w:t>
        </w:r>
      </w:hyperlink>
      <w:r w:rsidRPr="003A5186">
        <w:rPr>
          <w:u w:val="none"/>
          <w:lang w:val="ru-RU"/>
        </w:rPr>
        <w:t>,</w:t>
      </w:r>
    </w:p>
    <w:p w:rsidR="00CA3493" w:rsidRPr="002402C9" w:rsidRDefault="00CA3493" w:rsidP="008645BB">
      <w:pPr>
        <w:pStyle w:val="GAParaResolution"/>
        <w:numPr>
          <w:ilvl w:val="0"/>
          <w:numId w:val="50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3A5186">
        <w:rPr>
          <w:u w:val="none"/>
          <w:lang w:val="en-US"/>
        </w:rPr>
        <w:t xml:space="preserve"> </w:t>
      </w:r>
      <w:r w:rsidRPr="003A5186">
        <w:rPr>
          <w:u w:val="none"/>
          <w:lang w:val="ru-RU"/>
        </w:rPr>
        <w:t>на статью 6 Конвенции,</w:t>
      </w:r>
    </w:p>
    <w:p w:rsidR="00CA3493" w:rsidRPr="002402C9" w:rsidRDefault="00CA3493" w:rsidP="008645BB">
      <w:pPr>
        <w:pStyle w:val="GAParaResolution"/>
        <w:numPr>
          <w:ilvl w:val="0"/>
          <w:numId w:val="50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2402C9">
        <w:rPr>
          <w:lang w:val="ru-RU"/>
        </w:rPr>
        <w:t xml:space="preserve"> также</w:t>
      </w:r>
      <w:r w:rsidRPr="00A352E8">
        <w:rPr>
          <w:u w:val="none"/>
          <w:lang w:val="ru-RU"/>
        </w:rPr>
        <w:t xml:space="preserve"> на статью 13 Правил процедуры</w:t>
      </w:r>
      <w:r>
        <w:rPr>
          <w:u w:val="none"/>
          <w:lang w:val="ru-RU"/>
        </w:rPr>
        <w:t xml:space="preserve"> и </w:t>
      </w:r>
      <w:r w:rsidRPr="00A352E8">
        <w:rPr>
          <w:u w:val="none"/>
          <w:lang w:val="ru-RU"/>
        </w:rPr>
        <w:t xml:space="preserve">резолюцию </w:t>
      </w:r>
      <w:hyperlink r:id="rId11" w:history="1">
        <w:r w:rsidRPr="00A101E2">
          <w:rPr>
            <w:rStyle w:val="Hyperlink"/>
            <w:lang w:val="ru-RU"/>
          </w:rPr>
          <w:t>3.</w:t>
        </w:r>
        <w:r w:rsidRPr="00A101E2">
          <w:rPr>
            <w:rStyle w:val="Hyperlink"/>
            <w:lang w:val="en-US"/>
          </w:rPr>
          <w:t>GA </w:t>
        </w:r>
        <w:r w:rsidRPr="00A101E2">
          <w:rPr>
            <w:rStyle w:val="Hyperlink"/>
            <w:lang w:val="ru-RU"/>
          </w:rPr>
          <w:t>12</w:t>
        </w:r>
      </w:hyperlink>
      <w:r w:rsidRPr="00A352E8">
        <w:rPr>
          <w:u w:val="none"/>
          <w:lang w:val="ru-RU"/>
        </w:rPr>
        <w:t>,</w:t>
      </w:r>
    </w:p>
    <w:p w:rsidR="00CA3493" w:rsidRPr="008645BB" w:rsidRDefault="00CA3493" w:rsidP="008645BB">
      <w:pPr>
        <w:pStyle w:val="GAParaResolution"/>
        <w:numPr>
          <w:ilvl w:val="0"/>
          <w:numId w:val="50"/>
        </w:numPr>
        <w:ind w:left="567" w:hanging="567"/>
        <w:rPr>
          <w:lang w:val="ru-RU"/>
        </w:rPr>
      </w:pPr>
      <w:r>
        <w:rPr>
          <w:lang w:val="ru-RU"/>
        </w:rPr>
        <w:t>Постановляет</w:t>
      </w:r>
      <w:r w:rsidRPr="00DD4D14">
        <w:rPr>
          <w:u w:val="none"/>
          <w:lang w:val="ru-RU"/>
        </w:rPr>
        <w:t>, что для целей проведения выборов на её седьмой сессии 24 места в Комитете распределяются между избирательными группами следующим образом: Группа </w:t>
      </w:r>
      <w:r w:rsidRPr="00DD4D14">
        <w:rPr>
          <w:u w:val="none"/>
          <w:lang w:val="en-US"/>
        </w:rPr>
        <w:t>I</w:t>
      </w:r>
      <w:r w:rsidRPr="00DD4D14">
        <w:rPr>
          <w:u w:val="none"/>
          <w:lang w:val="ru-RU"/>
        </w:rPr>
        <w:t>: три места; Группа </w:t>
      </w:r>
      <w:r w:rsidRPr="00DD4D14">
        <w:rPr>
          <w:u w:val="none"/>
          <w:lang w:val="en-US"/>
        </w:rPr>
        <w:t>II</w:t>
      </w:r>
      <w:r w:rsidRPr="00DD4D14">
        <w:rPr>
          <w:u w:val="none"/>
          <w:lang w:val="ru-RU"/>
        </w:rPr>
        <w:t>: три места; Группа </w:t>
      </w:r>
      <w:r w:rsidRPr="00DD4D14">
        <w:rPr>
          <w:u w:val="none"/>
          <w:lang w:val="en-US"/>
        </w:rPr>
        <w:t>III</w:t>
      </w:r>
      <w:r w:rsidRPr="00DD4D14">
        <w:rPr>
          <w:u w:val="none"/>
          <w:lang w:val="ru-RU"/>
        </w:rPr>
        <w:t>: четыре места; Группа </w:t>
      </w:r>
      <w:r w:rsidRPr="00DD4D14">
        <w:rPr>
          <w:u w:val="none"/>
          <w:lang w:val="en-US"/>
        </w:rPr>
        <w:t>IV</w:t>
      </w:r>
      <w:r w:rsidRPr="00DD4D14">
        <w:rPr>
          <w:u w:val="none"/>
          <w:lang w:val="ru-RU"/>
        </w:rPr>
        <w:t>: пять мест; Группа </w:t>
      </w:r>
      <w:r w:rsidRPr="00DD4D14">
        <w:rPr>
          <w:u w:val="none"/>
          <w:lang w:val="en-US"/>
        </w:rPr>
        <w:t>V</w:t>
      </w:r>
      <w:r w:rsidRPr="00DD4D14">
        <w:rPr>
          <w:u w:val="none"/>
          <w:lang w:val="ru-RU"/>
        </w:rPr>
        <w:t>(</w:t>
      </w:r>
      <w:r w:rsidRPr="00DD4D14">
        <w:rPr>
          <w:u w:val="none"/>
          <w:lang w:val="en-US"/>
        </w:rPr>
        <w:t>a</w:t>
      </w:r>
      <w:r w:rsidRPr="00DD4D14">
        <w:rPr>
          <w:u w:val="none"/>
          <w:lang w:val="ru-RU"/>
        </w:rPr>
        <w:t>): шесть мест; Группа </w:t>
      </w:r>
      <w:r w:rsidRPr="00DD4D14">
        <w:rPr>
          <w:u w:val="none"/>
          <w:lang w:val="en-US"/>
        </w:rPr>
        <w:t>V</w:t>
      </w:r>
      <w:r w:rsidRPr="00DD4D14">
        <w:rPr>
          <w:u w:val="none"/>
          <w:lang w:val="ru-RU"/>
        </w:rPr>
        <w:t>(</w:t>
      </w:r>
      <w:r w:rsidRPr="00DD4D14">
        <w:rPr>
          <w:u w:val="none"/>
          <w:lang w:val="en-US"/>
        </w:rPr>
        <w:t>b</w:t>
      </w:r>
      <w:r w:rsidRPr="00DD4D14">
        <w:rPr>
          <w:u w:val="none"/>
          <w:lang w:val="ru-RU"/>
        </w:rPr>
        <w:t>): три места.</w:t>
      </w:r>
    </w:p>
    <w:p w:rsidR="00CA3493" w:rsidRPr="00CE01A0" w:rsidRDefault="00ED08D7" w:rsidP="008645BB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CE01A0">
        <w:rPr>
          <w:lang w:val="ru-RU"/>
        </w:rPr>
        <w:t xml:space="preserve"> </w:t>
      </w:r>
      <w:r w:rsidR="00CA3493" w:rsidRPr="00CE01A0">
        <w:rPr>
          <w:lang w:val="ru-RU"/>
        </w:rPr>
        <w:t>7.</w:t>
      </w:r>
      <w:r w:rsidR="00CA3493" w:rsidRPr="00EA145D">
        <w:t>GA</w:t>
      </w:r>
      <w:r w:rsidR="00CA3493" w:rsidRPr="00CE01A0">
        <w:rPr>
          <w:lang w:val="ru-RU"/>
        </w:rPr>
        <w:t xml:space="preserve"> 5</w:t>
      </w:r>
    </w:p>
    <w:p w:rsidR="00CA3493" w:rsidRPr="00CE01A0" w:rsidRDefault="00CA3493" w:rsidP="008645BB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CE01A0">
        <w:rPr>
          <w:lang w:val="ru-RU"/>
        </w:rPr>
        <w:t>,</w:t>
      </w:r>
    </w:p>
    <w:p w:rsidR="00CA3493" w:rsidRPr="00345CB4" w:rsidRDefault="00CA3493" w:rsidP="008645BB">
      <w:pPr>
        <w:pStyle w:val="COMParaDecision"/>
        <w:numPr>
          <w:ilvl w:val="0"/>
          <w:numId w:val="48"/>
        </w:numPr>
        <w:ind w:left="567" w:hanging="567"/>
      </w:pPr>
      <w:r>
        <w:rPr>
          <w:lang w:val="ru-RU"/>
        </w:rPr>
        <w:t>Рассмотрев</w:t>
      </w:r>
      <w:r w:rsidRPr="00F32C23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>
        <w:rPr>
          <w:u w:val="none"/>
        </w:rPr>
        <w:t xml:space="preserve"> </w:t>
      </w:r>
      <w:hyperlink r:id="rId12" w:history="1">
        <w:r w:rsidRPr="003628A5">
          <w:rPr>
            <w:rStyle w:val="Hyperlink"/>
          </w:rPr>
          <w:t>ITH/18/7.GA/5</w:t>
        </w:r>
      </w:hyperlink>
      <w:r w:rsidRPr="00F32C23">
        <w:rPr>
          <w:u w:val="none"/>
        </w:rPr>
        <w:t>,</w:t>
      </w:r>
    </w:p>
    <w:p w:rsidR="00CA3493" w:rsidRPr="00345CB4" w:rsidRDefault="00CA3493" w:rsidP="008645BB">
      <w:pPr>
        <w:pStyle w:val="COMParaDecision"/>
        <w:numPr>
          <w:ilvl w:val="0"/>
          <w:numId w:val="48"/>
        </w:numPr>
        <w:ind w:left="567" w:hanging="567"/>
      </w:pPr>
      <w:r>
        <w:rPr>
          <w:lang w:val="ru-RU"/>
        </w:rPr>
        <w:t>Ссылаясь</w:t>
      </w:r>
      <w:r w:rsidRPr="00F32C23">
        <w:rPr>
          <w:u w:val="none"/>
        </w:rPr>
        <w:t xml:space="preserve"> </w:t>
      </w:r>
      <w:r>
        <w:rPr>
          <w:u w:val="none"/>
          <w:lang w:val="ru-RU"/>
        </w:rPr>
        <w:t>на статью</w:t>
      </w:r>
      <w:r w:rsidRPr="005D60CA">
        <w:rPr>
          <w:u w:val="none"/>
        </w:rPr>
        <w:t xml:space="preserve"> 30 </w:t>
      </w:r>
      <w:r>
        <w:rPr>
          <w:u w:val="none"/>
          <w:lang w:val="ru-RU"/>
        </w:rPr>
        <w:t>Конвенции</w:t>
      </w:r>
      <w:r w:rsidRPr="00D52C71">
        <w:rPr>
          <w:u w:val="none"/>
        </w:rPr>
        <w:t>,</w:t>
      </w:r>
    </w:p>
    <w:p w:rsidR="00CA3493" w:rsidRPr="006942D3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u w:val="none"/>
          <w:lang w:val="ru-RU"/>
        </w:rPr>
      </w:pPr>
      <w:r>
        <w:rPr>
          <w:lang w:val="ru-RU"/>
        </w:rPr>
        <w:t>Приветствует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одиннадцать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</w:t>
      </w:r>
      <w:r w:rsidRPr="006942D3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Гану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Гвинею</w:t>
      </w:r>
      <w:r w:rsidRPr="006942D3">
        <w:rPr>
          <w:u w:val="none"/>
          <w:lang w:val="ru-RU"/>
        </w:rPr>
        <w:t>-</w:t>
      </w:r>
      <w:r>
        <w:rPr>
          <w:u w:val="none"/>
          <w:lang w:val="ru-RU"/>
        </w:rPr>
        <w:t>Бисау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Кабо</w:t>
      </w:r>
      <w:r w:rsidRPr="006942D3">
        <w:rPr>
          <w:u w:val="none"/>
          <w:lang w:val="ru-RU"/>
        </w:rPr>
        <w:t>-</w:t>
      </w:r>
      <w:r>
        <w:rPr>
          <w:u w:val="none"/>
          <w:lang w:val="ru-RU"/>
        </w:rPr>
        <w:t>Верде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Мальту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Острова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Кука</w:t>
      </w:r>
      <w:r w:rsidRPr="006942D3">
        <w:rPr>
          <w:u w:val="none"/>
          <w:lang w:val="ru-RU"/>
        </w:rPr>
        <w:t xml:space="preserve">, </w:t>
      </w:r>
      <w:proofErr w:type="spellStart"/>
      <w:r>
        <w:rPr>
          <w:u w:val="none"/>
          <w:lang w:val="ru-RU"/>
        </w:rPr>
        <w:t>Сент</w:t>
      </w:r>
      <w:proofErr w:type="spellEnd"/>
      <w:r w:rsidRPr="006942D3">
        <w:rPr>
          <w:u w:val="none"/>
          <w:lang w:val="ru-RU"/>
        </w:rPr>
        <w:t>-</w:t>
      </w:r>
      <w:r>
        <w:rPr>
          <w:u w:val="none"/>
          <w:lang w:val="ru-RU"/>
        </w:rPr>
        <w:t>Китс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Невис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Суринам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Таиланд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Тимор</w:t>
      </w:r>
      <w:r w:rsidRPr="006942D3">
        <w:rPr>
          <w:u w:val="none"/>
          <w:lang w:val="ru-RU"/>
        </w:rPr>
        <w:t>-</w:t>
      </w:r>
      <w:proofErr w:type="spellStart"/>
      <w:r>
        <w:rPr>
          <w:u w:val="none"/>
          <w:lang w:val="ru-RU"/>
        </w:rPr>
        <w:t>Лешти</w:t>
      </w:r>
      <w:proofErr w:type="spellEnd"/>
      <w:r>
        <w:rPr>
          <w:u w:val="none"/>
          <w:lang w:val="ru-RU"/>
        </w:rPr>
        <w:t>, Тувалу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 Южный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Судан</w:t>
      </w:r>
      <w:r w:rsidRPr="006942D3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которые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ратифицировали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Конвенцию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время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отчётного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периода</w:t>
      </w:r>
      <w:r w:rsidRPr="006942D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6942D3">
        <w:rPr>
          <w:u w:val="none"/>
          <w:lang w:val="ru-RU"/>
        </w:rPr>
        <w:t xml:space="preserve"> </w:t>
      </w:r>
      <w:r w:rsidR="00DE6F6D">
        <w:rPr>
          <w:u w:val="none"/>
          <w:lang w:val="ru-RU"/>
        </w:rPr>
        <w:t>три</w:t>
      </w:r>
      <w:r w:rsidR="00DE6F6D"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</w:t>
      </w:r>
      <w:r w:rsidRPr="006942D3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Кирибати</w:t>
      </w:r>
      <w:r w:rsidR="00DE6F6D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Сингапур</w:t>
      </w:r>
      <w:r w:rsidRPr="006942D3">
        <w:rPr>
          <w:u w:val="none"/>
          <w:lang w:val="ru-RU"/>
        </w:rPr>
        <w:t xml:space="preserve"> </w:t>
      </w:r>
      <w:r w:rsidR="00DE6F6D">
        <w:rPr>
          <w:u w:val="none"/>
          <w:lang w:val="ru-RU"/>
        </w:rPr>
        <w:t>и Соломоновы острова</w:t>
      </w:r>
      <w:r w:rsidRPr="006942D3">
        <w:rPr>
          <w:u w:val="none"/>
          <w:lang w:val="ru-RU"/>
        </w:rPr>
        <w:t xml:space="preserve">– </w:t>
      </w:r>
      <w:r>
        <w:rPr>
          <w:u w:val="none"/>
          <w:lang w:val="ru-RU"/>
        </w:rPr>
        <w:t>которые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ратифицировали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Конвенцию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отчётного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периода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6942D3">
        <w:rPr>
          <w:u w:val="none"/>
          <w:lang w:val="ru-RU"/>
        </w:rPr>
        <w:t xml:space="preserve"> </w:t>
      </w:r>
      <w:r w:rsidRPr="007A0BF2">
        <w:rPr>
          <w:lang w:val="ru-RU"/>
        </w:rPr>
        <w:t>выражает</w:t>
      </w:r>
      <w:r w:rsidRPr="006942D3">
        <w:rPr>
          <w:lang w:val="ru-RU"/>
        </w:rPr>
        <w:t xml:space="preserve"> </w:t>
      </w:r>
      <w:r w:rsidRPr="007A0BF2">
        <w:rPr>
          <w:lang w:val="ru-RU"/>
        </w:rPr>
        <w:t>удовлетворение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неуклонным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последовательным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темпом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ратификации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различных</w:t>
      </w:r>
      <w:r w:rsidRPr="006942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регионах</w:t>
      </w:r>
      <w:r w:rsidRPr="006942D3">
        <w:rPr>
          <w:u w:val="none"/>
          <w:lang w:val="ru-RU"/>
        </w:rPr>
        <w:t>;</w:t>
      </w:r>
    </w:p>
    <w:p w:rsidR="00CA3493" w:rsidRPr="00CA2F62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lang w:val="ru-RU"/>
        </w:rPr>
      </w:pPr>
      <w:r>
        <w:rPr>
          <w:lang w:val="ru-RU"/>
        </w:rPr>
        <w:t>Принимает</w:t>
      </w:r>
      <w:r w:rsidRPr="00CA2F62">
        <w:rPr>
          <w:lang w:val="ru-RU"/>
        </w:rPr>
        <w:t xml:space="preserve"> </w:t>
      </w:r>
      <w:r>
        <w:rPr>
          <w:lang w:val="ru-RU"/>
        </w:rPr>
        <w:t>во</w:t>
      </w:r>
      <w:r w:rsidRPr="00CA2F62">
        <w:rPr>
          <w:lang w:val="ru-RU"/>
        </w:rPr>
        <w:t xml:space="preserve"> </w:t>
      </w:r>
      <w:r>
        <w:rPr>
          <w:lang w:val="ru-RU"/>
        </w:rPr>
        <w:t>внимание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Комитета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ассамблее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деятельности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января</w:t>
      </w:r>
      <w:r w:rsidRPr="00CA2F62">
        <w:rPr>
          <w:u w:val="none"/>
          <w:lang w:val="ru-RU"/>
        </w:rPr>
        <w:t xml:space="preserve"> 2016</w:t>
      </w:r>
      <w:r w:rsidRPr="00761E4F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CA2F62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декабрь</w:t>
      </w:r>
      <w:r w:rsidRPr="00CA2F62">
        <w:rPr>
          <w:u w:val="none"/>
          <w:lang w:val="ru-RU"/>
        </w:rPr>
        <w:t xml:space="preserve"> 2017</w:t>
      </w:r>
      <w:r w:rsidRPr="00761E4F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CA2F62">
        <w:rPr>
          <w:u w:val="none"/>
          <w:lang w:val="ru-RU"/>
        </w:rPr>
        <w:t xml:space="preserve">., </w:t>
      </w:r>
      <w:r>
        <w:rPr>
          <w:u w:val="none"/>
          <w:lang w:val="ru-RU"/>
        </w:rPr>
        <w:t>который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прилагается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настоящему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документу</w:t>
      </w:r>
      <w:r w:rsidRPr="00CA2F62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CA2F62">
        <w:rPr>
          <w:u w:val="none"/>
          <w:lang w:val="ru-RU"/>
        </w:rPr>
        <w:t xml:space="preserve"> </w:t>
      </w:r>
      <w:r w:rsidRPr="00BB0079">
        <w:rPr>
          <w:lang w:val="ru-RU"/>
        </w:rPr>
        <w:t>благодарит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его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эффективную</w:t>
      </w:r>
      <w:r w:rsidRPr="00CA2F62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CA2F62">
        <w:rPr>
          <w:u w:val="none"/>
          <w:lang w:val="ru-RU"/>
        </w:rPr>
        <w:t>;</w:t>
      </w:r>
    </w:p>
    <w:p w:rsidR="00CA3493" w:rsidRPr="00920D87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920D87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920D87">
        <w:rPr>
          <w:u w:val="none"/>
          <w:lang w:val="ru-RU"/>
        </w:rPr>
        <w:t xml:space="preserve"> </w:t>
      </w:r>
      <w:r w:rsidRPr="00C505E7">
        <w:rPr>
          <w:u w:val="none"/>
          <w:lang w:val="ru-RU"/>
        </w:rPr>
        <w:t>Комитету</w:t>
      </w:r>
      <w:r w:rsidRPr="00920D87">
        <w:rPr>
          <w:u w:val="none"/>
          <w:lang w:val="ru-RU"/>
        </w:rPr>
        <w:t xml:space="preserve"> </w:t>
      </w:r>
      <w:r w:rsidRPr="00C505E7">
        <w:rPr>
          <w:u w:val="none"/>
          <w:lang w:val="ru-RU"/>
        </w:rPr>
        <w:t>за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прогресс,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достигнутый в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совершенствовании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управления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Конвенцией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особенности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проделанную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перспективную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разработке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общей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системы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результатов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определения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воздействия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разных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уровнях</w:t>
      </w:r>
      <w:r w:rsidRPr="00920D87">
        <w:rPr>
          <w:u w:val="none"/>
          <w:lang w:val="ru-RU"/>
        </w:rPr>
        <w:t xml:space="preserve">, </w:t>
      </w:r>
      <w:r>
        <w:rPr>
          <w:u w:val="none"/>
          <w:lang w:val="ru-RU"/>
        </w:rPr>
        <w:t>а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также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рабочей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группы</w:t>
      </w:r>
      <w:r w:rsidRPr="00920D87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созданной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 одиннадцатой</w:t>
      </w:r>
      <w:r w:rsidRPr="00920D8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 Комитета</w:t>
      </w:r>
      <w:r w:rsidRPr="00920D87">
        <w:rPr>
          <w:u w:val="none"/>
          <w:lang w:val="ru-RU"/>
        </w:rPr>
        <w:t>;</w:t>
      </w:r>
    </w:p>
    <w:p w:rsidR="00CA3493" w:rsidRPr="00CE61A9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CE61A9">
        <w:rPr>
          <w:lang w:val="ru-RU"/>
        </w:rPr>
        <w:t xml:space="preserve"> </w:t>
      </w:r>
      <w:r>
        <w:rPr>
          <w:lang w:val="ru-RU"/>
        </w:rPr>
        <w:t>далее</w:t>
      </w:r>
      <w:r w:rsidRPr="00CE61A9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CE61A9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Комитету</w:t>
      </w:r>
      <w:r w:rsidRPr="00CE61A9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за</w:t>
      </w:r>
      <w:r w:rsidRPr="00CE61A9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его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неизменное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приоритетное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внимание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укреплению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национальном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CE61A9">
        <w:rPr>
          <w:u w:val="none"/>
          <w:lang w:val="ru-RU"/>
        </w:rPr>
        <w:t xml:space="preserve"> </w:t>
      </w:r>
      <w:r w:rsidRPr="009F07CB">
        <w:rPr>
          <w:lang w:val="ru-RU"/>
        </w:rPr>
        <w:t>приветствует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особое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внимание</w:t>
      </w:r>
      <w:r w:rsidRPr="00CE61A9">
        <w:rPr>
          <w:u w:val="none"/>
          <w:lang w:val="ru-RU"/>
        </w:rPr>
        <w:t xml:space="preserve">, </w:t>
      </w:r>
      <w:r>
        <w:rPr>
          <w:u w:val="none"/>
          <w:lang w:val="ru-RU"/>
        </w:rPr>
        <w:t>уделяемое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последнее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время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формальном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неформальном</w:t>
      </w:r>
      <w:r w:rsidRPr="00CE61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образовании</w:t>
      </w:r>
      <w:r w:rsidRPr="00CE61A9">
        <w:rPr>
          <w:u w:val="none"/>
          <w:lang w:val="ru-RU"/>
        </w:rPr>
        <w:t>;</w:t>
      </w:r>
    </w:p>
    <w:p w:rsidR="00CA3493" w:rsidRPr="00674DD3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u w:val="none"/>
          <w:lang w:val="ru-RU"/>
        </w:rPr>
      </w:pPr>
      <w:r>
        <w:rPr>
          <w:lang w:val="ru-RU"/>
        </w:rPr>
        <w:t>Высоко</w:t>
      </w:r>
      <w:r w:rsidRPr="00674DD3">
        <w:rPr>
          <w:lang w:val="ru-RU"/>
        </w:rPr>
        <w:t xml:space="preserve"> </w:t>
      </w:r>
      <w:r>
        <w:rPr>
          <w:lang w:val="ru-RU"/>
        </w:rPr>
        <w:t>оценивает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внимание</w:t>
      </w:r>
      <w:r w:rsidRPr="00674DD3">
        <w:rPr>
          <w:u w:val="none"/>
          <w:lang w:val="ru-RU"/>
        </w:rPr>
        <w:t xml:space="preserve">, </w:t>
      </w:r>
      <w:r>
        <w:rPr>
          <w:u w:val="none"/>
          <w:lang w:val="ru-RU"/>
        </w:rPr>
        <w:t xml:space="preserve">уделяемое </w:t>
      </w:r>
      <w:r w:rsidRPr="00443430">
        <w:rPr>
          <w:u w:val="none"/>
          <w:lang w:val="ru-RU"/>
        </w:rPr>
        <w:t>Комитет</w:t>
      </w:r>
      <w:r>
        <w:rPr>
          <w:u w:val="none"/>
          <w:lang w:val="ru-RU"/>
        </w:rPr>
        <w:t>ом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необходимости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п</w:t>
      </w:r>
      <w:r>
        <w:rPr>
          <w:u w:val="none"/>
          <w:lang w:val="ru-RU"/>
        </w:rPr>
        <w:t>овышения наглядности</w:t>
      </w:r>
      <w:r w:rsidRPr="00674DD3">
        <w:rPr>
          <w:u w:val="none"/>
          <w:lang w:val="ru-RU"/>
        </w:rPr>
        <w:t xml:space="preserve"> </w:t>
      </w:r>
      <w:r w:rsidRPr="00443430">
        <w:rPr>
          <w:u w:val="none"/>
          <w:lang w:val="ru-RU"/>
        </w:rPr>
        <w:t>Конвенции</w:t>
      </w:r>
      <w:r w:rsidRPr="00674D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путём</w:t>
      </w:r>
      <w:r w:rsidRPr="00674DD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разработки</w:t>
      </w:r>
      <w:r w:rsidRPr="00674DD3">
        <w:rPr>
          <w:u w:val="none"/>
          <w:lang w:val="ru-RU"/>
        </w:rPr>
        <w:t xml:space="preserve"> </w:t>
      </w:r>
      <w:r w:rsidR="00590937">
        <w:rPr>
          <w:u w:val="none"/>
          <w:lang w:val="ru-RU"/>
        </w:rPr>
        <w:t xml:space="preserve">для </w:t>
      </w:r>
      <w:r>
        <w:rPr>
          <w:u w:val="none"/>
          <w:lang w:val="ru-RU"/>
        </w:rPr>
        <w:t>неё просветительских</w:t>
      </w:r>
      <w:r w:rsidRPr="00674D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674DD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коммуникационных</w:t>
      </w:r>
      <w:r w:rsidRPr="00674DD3">
        <w:rPr>
          <w:u w:val="none"/>
          <w:lang w:val="ru-RU"/>
        </w:rPr>
        <w:t xml:space="preserve"> </w:t>
      </w:r>
      <w:r w:rsidRPr="001818AE">
        <w:rPr>
          <w:u w:val="none"/>
          <w:lang w:val="ru-RU"/>
        </w:rPr>
        <w:t>материалов</w:t>
      </w:r>
      <w:r w:rsidRPr="00674DD3">
        <w:rPr>
          <w:u w:val="none"/>
          <w:lang w:val="ru-RU"/>
        </w:rPr>
        <w:t>;</w:t>
      </w:r>
    </w:p>
    <w:p w:rsidR="00CA3493" w:rsidRPr="00CF7DEF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lang w:val="ru-RU"/>
        </w:rPr>
      </w:pPr>
      <w:r>
        <w:rPr>
          <w:lang w:val="ru-RU"/>
        </w:rPr>
        <w:t>С</w:t>
      </w:r>
      <w:r w:rsidRPr="00CF7DEF">
        <w:rPr>
          <w:lang w:val="ru-RU"/>
        </w:rPr>
        <w:t xml:space="preserve"> </w:t>
      </w:r>
      <w:r>
        <w:rPr>
          <w:lang w:val="ru-RU"/>
        </w:rPr>
        <w:t>удовлетворением</w:t>
      </w:r>
      <w:r w:rsidRPr="00CF7DEF">
        <w:rPr>
          <w:lang w:val="ru-RU"/>
        </w:rPr>
        <w:t xml:space="preserve"> </w:t>
      </w:r>
      <w:r>
        <w:rPr>
          <w:lang w:val="ru-RU"/>
        </w:rPr>
        <w:t>отмечает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неизменный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интерес</w:t>
      </w:r>
      <w:r w:rsidRPr="00CF7DEF">
        <w:rPr>
          <w:u w:val="none"/>
          <w:lang w:val="ru-RU"/>
        </w:rPr>
        <w:t xml:space="preserve">, </w:t>
      </w:r>
      <w:r w:rsidRPr="00276BD6">
        <w:rPr>
          <w:u w:val="none"/>
          <w:lang w:val="ru-RU"/>
        </w:rPr>
        <w:t>который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государства</w:t>
      </w:r>
      <w:r w:rsidRPr="00CF7DEF">
        <w:rPr>
          <w:u w:val="none"/>
          <w:lang w:val="ru-RU"/>
        </w:rPr>
        <w:t xml:space="preserve"> – </w:t>
      </w:r>
      <w:r w:rsidRPr="00276BD6">
        <w:rPr>
          <w:u w:val="none"/>
          <w:lang w:val="ru-RU"/>
        </w:rPr>
        <w:t>участники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проявляют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к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механизмам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международного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сотрудничества</w:t>
      </w:r>
      <w:r w:rsidRPr="00CF7DEF">
        <w:rPr>
          <w:u w:val="none"/>
          <w:lang w:val="ru-RU"/>
        </w:rPr>
        <w:t xml:space="preserve"> </w:t>
      </w:r>
      <w:r w:rsidRPr="00276BD6">
        <w:rPr>
          <w:u w:val="none"/>
          <w:lang w:val="ru-RU"/>
        </w:rPr>
        <w:t>Конвенции</w:t>
      </w:r>
      <w:r w:rsidRPr="00CF7DEF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особенно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Списку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CF7DEF">
        <w:rPr>
          <w:u w:val="none"/>
          <w:lang w:val="ru-RU"/>
        </w:rPr>
        <w:t xml:space="preserve">, </w:t>
      </w:r>
      <w:r>
        <w:rPr>
          <w:u w:val="none"/>
          <w:lang w:val="ru-RU"/>
        </w:rPr>
        <w:t>нуждающегося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срочной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CF7DEF">
        <w:rPr>
          <w:u w:val="none"/>
          <w:lang w:val="ru-RU"/>
        </w:rPr>
        <w:t xml:space="preserve">, </w:t>
      </w:r>
      <w:r>
        <w:rPr>
          <w:u w:val="none"/>
          <w:lang w:val="ru-RU"/>
        </w:rPr>
        <w:t>Репрезентативному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списку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человечества</w:t>
      </w:r>
      <w:r w:rsidRPr="00CF7DEF">
        <w:rPr>
          <w:u w:val="none"/>
          <w:lang w:val="ru-RU"/>
        </w:rPr>
        <w:t xml:space="preserve">, </w:t>
      </w:r>
      <w:r>
        <w:rPr>
          <w:u w:val="none"/>
          <w:lang w:val="ru-RU"/>
        </w:rPr>
        <w:t>Реестру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передовых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практик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CF7DEF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CF7DEF">
        <w:rPr>
          <w:u w:val="none"/>
          <w:lang w:val="ru-RU"/>
        </w:rPr>
        <w:t>;</w:t>
      </w:r>
    </w:p>
    <w:p w:rsidR="00CA3493" w:rsidRPr="008645BB" w:rsidRDefault="00CA3493" w:rsidP="008645BB">
      <w:pPr>
        <w:pStyle w:val="COMParaDecision"/>
        <w:numPr>
          <w:ilvl w:val="0"/>
          <w:numId w:val="48"/>
        </w:numPr>
        <w:ind w:left="567" w:hanging="567"/>
        <w:rPr>
          <w:lang w:val="ru-RU"/>
        </w:rPr>
      </w:pPr>
      <w:r>
        <w:rPr>
          <w:lang w:val="ru-RU"/>
        </w:rPr>
        <w:t>Просит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Генерального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директора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довести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данный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доклад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до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сведения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Генеральной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конференции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ЮНЕСКО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в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соответствии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с</w:t>
      </w:r>
      <w:r w:rsidRPr="00CF7DEF">
        <w:rPr>
          <w:u w:val="none"/>
          <w:lang w:val="ru-RU"/>
        </w:rPr>
        <w:t xml:space="preserve"> </w:t>
      </w:r>
      <w:r w:rsidRPr="003E4093">
        <w:rPr>
          <w:u w:val="none"/>
          <w:lang w:val="ru-RU"/>
        </w:rPr>
        <w:t>пунктом</w:t>
      </w:r>
      <w:r w:rsidRPr="00CF7DEF">
        <w:rPr>
          <w:u w:val="none"/>
          <w:lang w:val="ru-RU"/>
        </w:rPr>
        <w:t xml:space="preserve"> 2 </w:t>
      </w:r>
      <w:r w:rsidRPr="003E4093">
        <w:rPr>
          <w:u w:val="none"/>
          <w:lang w:val="ru-RU"/>
        </w:rPr>
        <w:t>статьи</w:t>
      </w:r>
      <w:r w:rsidRPr="00CF7DEF">
        <w:rPr>
          <w:u w:val="none"/>
          <w:lang w:val="ru-RU"/>
        </w:rPr>
        <w:t xml:space="preserve"> 30 </w:t>
      </w:r>
      <w:r w:rsidRPr="003E4093">
        <w:rPr>
          <w:u w:val="none"/>
          <w:lang w:val="ru-RU"/>
        </w:rPr>
        <w:t>Конвенции</w:t>
      </w:r>
      <w:r w:rsidRPr="00CF7DEF">
        <w:rPr>
          <w:u w:val="none"/>
          <w:lang w:val="ru-RU"/>
        </w:rPr>
        <w:t>.</w:t>
      </w:r>
    </w:p>
    <w:p w:rsidR="00CA3493" w:rsidRPr="00CA3493" w:rsidRDefault="00ED08D7" w:rsidP="008645BB">
      <w:pPr>
        <w:pStyle w:val="COMTitleDecision"/>
        <w:spacing w:before="360"/>
        <w:ind w:left="0"/>
        <w:rPr>
          <w:rFonts w:eastAsia="SimSun"/>
          <w:lang w:val="ru-RU"/>
        </w:rPr>
      </w:pPr>
      <w:r>
        <w:rPr>
          <w:lang w:val="ru-RU"/>
        </w:rPr>
        <w:t>РЕЗОЛЮЦИЯ</w:t>
      </w:r>
      <w:r w:rsidRPr="00CA3493">
        <w:rPr>
          <w:lang w:val="ru-RU"/>
        </w:rPr>
        <w:t xml:space="preserve"> </w:t>
      </w:r>
      <w:r w:rsidR="00CA3493" w:rsidRPr="00CA3493">
        <w:rPr>
          <w:lang w:val="ru-RU"/>
        </w:rPr>
        <w:t>7.</w:t>
      </w:r>
      <w:r w:rsidR="00CA3493">
        <w:t>GA</w:t>
      </w:r>
      <w:r w:rsidR="00CA3493" w:rsidRPr="00CA3493">
        <w:rPr>
          <w:lang w:val="ru-RU"/>
        </w:rPr>
        <w:t xml:space="preserve"> 6</w:t>
      </w:r>
    </w:p>
    <w:p w:rsidR="00CA3493" w:rsidRPr="00CA3493" w:rsidRDefault="00CA3493" w:rsidP="008645BB">
      <w:pPr>
        <w:pStyle w:val="COMPreambulaDecisions"/>
        <w:ind w:left="0"/>
        <w:rPr>
          <w:rFonts w:eastAsia="SimSun"/>
          <w:lang w:val="ru-RU"/>
        </w:rPr>
      </w:pPr>
      <w:r w:rsidRPr="0066473B">
        <w:rPr>
          <w:lang w:val="ru-RU"/>
        </w:rPr>
        <w:t>Генеральной ассамблее</w:t>
      </w:r>
      <w:r w:rsidRPr="00CA3493">
        <w:rPr>
          <w:lang w:val="ru-RU"/>
        </w:rPr>
        <w:t>,</w:t>
      </w:r>
    </w:p>
    <w:p w:rsidR="00CA3493" w:rsidRPr="003F0605" w:rsidRDefault="00CA3493" w:rsidP="008645BB">
      <w:pPr>
        <w:pStyle w:val="COMParaDecision"/>
        <w:numPr>
          <w:ilvl w:val="0"/>
          <w:numId w:val="49"/>
        </w:numPr>
        <w:ind w:left="567" w:hanging="567"/>
        <w:jc w:val="left"/>
      </w:pPr>
      <w:r>
        <w:rPr>
          <w:lang w:val="ru-RU"/>
        </w:rPr>
        <w:t>Рассмотрев</w:t>
      </w:r>
      <w:r w:rsidRPr="003F0605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 w:rsidRPr="003F0605">
        <w:rPr>
          <w:u w:val="none"/>
        </w:rPr>
        <w:t xml:space="preserve"> </w:t>
      </w:r>
      <w:hyperlink r:id="rId13" w:history="1">
        <w:r w:rsidRPr="003628A5">
          <w:rPr>
            <w:rStyle w:val="Hyperlink"/>
          </w:rPr>
          <w:t>ITH/18/7.GA/6</w:t>
        </w:r>
      </w:hyperlink>
      <w:r w:rsidRPr="003F0605">
        <w:rPr>
          <w:u w:val="none"/>
        </w:rPr>
        <w:t>,</w:t>
      </w:r>
    </w:p>
    <w:p w:rsidR="00CA3493" w:rsidRPr="00C37326" w:rsidRDefault="00CA3493" w:rsidP="008645BB">
      <w:pPr>
        <w:pStyle w:val="COMParaDecision"/>
        <w:numPr>
          <w:ilvl w:val="0"/>
          <w:numId w:val="49"/>
        </w:numPr>
        <w:ind w:left="567" w:hanging="567"/>
        <w:jc w:val="left"/>
        <w:rPr>
          <w:u w:val="none"/>
          <w:lang w:val="ru-RU"/>
        </w:rPr>
      </w:pPr>
      <w:r>
        <w:rPr>
          <w:lang w:val="ru-RU"/>
        </w:rPr>
        <w:t>Ссылаясь</w:t>
      </w:r>
      <w:r w:rsidRPr="00C37326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 решения</w:t>
      </w:r>
      <w:r w:rsidRPr="00C37326">
        <w:rPr>
          <w:u w:val="none"/>
          <w:lang w:val="ru-RU"/>
        </w:rPr>
        <w:t xml:space="preserve"> </w:t>
      </w:r>
      <w:hyperlink r:id="rId14" w:history="1">
        <w:r w:rsidRPr="00A101E2">
          <w:rPr>
            <w:rStyle w:val="Hyperlink"/>
            <w:lang w:val="ru-RU"/>
          </w:rPr>
          <w:t>11.</w:t>
        </w:r>
        <w:r w:rsidRPr="00A101E2">
          <w:rPr>
            <w:rStyle w:val="Hyperlink"/>
          </w:rPr>
          <w:t>COM </w:t>
        </w:r>
        <w:r w:rsidRPr="00A101E2">
          <w:rPr>
            <w:rStyle w:val="Hyperlink"/>
            <w:lang w:val="ru-RU"/>
          </w:rPr>
          <w:t>10</w:t>
        </w:r>
      </w:hyperlink>
      <w:r w:rsidRPr="00C37326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C37326">
        <w:rPr>
          <w:u w:val="none"/>
          <w:lang w:val="ru-RU"/>
        </w:rPr>
        <w:t xml:space="preserve"> </w:t>
      </w:r>
      <w:hyperlink r:id="rId15" w:history="1">
        <w:r w:rsidRPr="00A101E2">
          <w:rPr>
            <w:rStyle w:val="Hyperlink"/>
            <w:lang w:val="ru-RU"/>
          </w:rPr>
          <w:t>12.</w:t>
        </w:r>
        <w:r w:rsidRPr="00A101E2">
          <w:rPr>
            <w:rStyle w:val="Hyperlink"/>
          </w:rPr>
          <w:t>COM </w:t>
        </w:r>
        <w:r w:rsidRPr="00A101E2">
          <w:rPr>
            <w:rStyle w:val="Hyperlink"/>
            <w:lang w:val="ru-RU"/>
          </w:rPr>
          <w:t>13</w:t>
        </w:r>
      </w:hyperlink>
      <w:r w:rsidRPr="00C37326">
        <w:rPr>
          <w:u w:val="none"/>
          <w:lang w:val="ru-RU"/>
        </w:rPr>
        <w:t>,</w:t>
      </w:r>
    </w:p>
    <w:p w:rsidR="00CA3493" w:rsidRPr="00C37326" w:rsidRDefault="00CA3493" w:rsidP="008645BB">
      <w:pPr>
        <w:pStyle w:val="COMParaDecision"/>
        <w:numPr>
          <w:ilvl w:val="0"/>
          <w:numId w:val="49"/>
        </w:numPr>
        <w:ind w:left="567" w:hanging="567"/>
        <w:jc w:val="left"/>
        <w:rPr>
          <w:u w:val="none"/>
          <w:lang w:val="ru-RU"/>
        </w:rPr>
      </w:pPr>
      <w:r>
        <w:rPr>
          <w:lang w:val="ru-RU"/>
        </w:rPr>
        <w:lastRenderedPageBreak/>
        <w:t>Ссылаясь</w:t>
      </w:r>
      <w:r w:rsidRPr="00C37326">
        <w:rPr>
          <w:lang w:val="ru-RU"/>
        </w:rPr>
        <w:t xml:space="preserve"> </w:t>
      </w:r>
      <w:r>
        <w:rPr>
          <w:lang w:val="ru-RU"/>
        </w:rPr>
        <w:t>также</w:t>
      </w:r>
      <w:r w:rsidRPr="00C37326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C37326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главы</w:t>
      </w:r>
      <w:r w:rsidRPr="00C37326">
        <w:rPr>
          <w:u w:val="none"/>
          <w:lang w:val="ru-RU"/>
        </w:rPr>
        <w:t xml:space="preserve"> </w:t>
      </w:r>
      <w:r>
        <w:rPr>
          <w:u w:val="none"/>
        </w:rPr>
        <w:t>I</w:t>
      </w:r>
      <w:r w:rsidRPr="00C37326">
        <w:rPr>
          <w:u w:val="none"/>
          <w:lang w:val="ru-RU"/>
        </w:rPr>
        <w:t xml:space="preserve">.8 </w:t>
      </w:r>
      <w:r>
        <w:rPr>
          <w:u w:val="none"/>
          <w:lang w:val="ru-RU"/>
        </w:rPr>
        <w:t>и</w:t>
      </w:r>
      <w:r w:rsidRPr="00C37326">
        <w:rPr>
          <w:u w:val="none"/>
          <w:lang w:val="ru-RU"/>
        </w:rPr>
        <w:t xml:space="preserve"> </w:t>
      </w:r>
      <w:r>
        <w:rPr>
          <w:u w:val="none"/>
        </w:rPr>
        <w:t>I</w:t>
      </w:r>
      <w:r w:rsidRPr="00C37326">
        <w:rPr>
          <w:u w:val="none"/>
          <w:lang w:val="ru-RU"/>
        </w:rPr>
        <w:t xml:space="preserve">.10 </w:t>
      </w:r>
      <w:r>
        <w:rPr>
          <w:u w:val="none"/>
          <w:lang w:val="ru-RU"/>
        </w:rPr>
        <w:t>Оперативного руководства</w:t>
      </w:r>
      <w:r w:rsidRPr="00C37326">
        <w:rPr>
          <w:u w:val="none"/>
          <w:lang w:val="ru-RU"/>
        </w:rPr>
        <w:t>,</w:t>
      </w:r>
    </w:p>
    <w:p w:rsidR="00CA3493" w:rsidRDefault="00CA3493" w:rsidP="008645BB">
      <w:pPr>
        <w:pStyle w:val="COMParaDecision"/>
        <w:numPr>
          <w:ilvl w:val="0"/>
          <w:numId w:val="49"/>
        </w:numPr>
        <w:ind w:left="567" w:hanging="567"/>
        <w:rPr>
          <w:u w:val="none"/>
          <w:lang w:val="ru-RU"/>
        </w:rPr>
      </w:pPr>
      <w:r>
        <w:rPr>
          <w:lang w:val="ru-RU"/>
        </w:rPr>
        <w:t>Высоко</w:t>
      </w:r>
      <w:r w:rsidRPr="00EC7A3D">
        <w:rPr>
          <w:lang w:val="ru-RU"/>
        </w:rPr>
        <w:t xml:space="preserve"> </w:t>
      </w:r>
      <w:r>
        <w:rPr>
          <w:lang w:val="ru-RU"/>
        </w:rPr>
        <w:t>оценивает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неофициальной рабочей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группы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EC7A3D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течение</w:t>
      </w:r>
      <w:r w:rsidRPr="00EC7A3D">
        <w:rPr>
          <w:u w:val="none"/>
          <w:lang w:val="ru-RU"/>
        </w:rPr>
        <w:t xml:space="preserve"> 2017</w:t>
      </w:r>
      <w:r w:rsidRPr="00EC7A3D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EC7A3D">
        <w:rPr>
          <w:u w:val="none"/>
          <w:lang w:val="ru-RU"/>
        </w:rPr>
        <w:t xml:space="preserve">. </w:t>
      </w:r>
      <w:r>
        <w:rPr>
          <w:u w:val="none"/>
          <w:lang w:val="ru-RU"/>
        </w:rPr>
        <w:t>и</w:t>
      </w:r>
      <w:r w:rsidRPr="00EC7A3D">
        <w:rPr>
          <w:u w:val="none"/>
          <w:lang w:val="ru-RU"/>
        </w:rPr>
        <w:t xml:space="preserve"> </w:t>
      </w:r>
      <w:r w:rsidRPr="00EC7A3D">
        <w:rPr>
          <w:lang w:val="ru-RU"/>
        </w:rPr>
        <w:t>принимает к сведению</w:t>
      </w:r>
      <w:r>
        <w:rPr>
          <w:u w:val="none"/>
          <w:lang w:val="ru-RU"/>
        </w:rPr>
        <w:t xml:space="preserve"> ее доклад</w:t>
      </w:r>
      <w:r w:rsidRPr="00EC7A3D">
        <w:rPr>
          <w:u w:val="none"/>
          <w:lang w:val="ru-RU"/>
        </w:rPr>
        <w:t>;</w:t>
      </w:r>
    </w:p>
    <w:p w:rsidR="00353F73" w:rsidRPr="00176913" w:rsidRDefault="00353F73" w:rsidP="008645BB">
      <w:pPr>
        <w:pStyle w:val="COMParaDecision"/>
        <w:numPr>
          <w:ilvl w:val="0"/>
          <w:numId w:val="49"/>
        </w:numPr>
        <w:ind w:left="567" w:hanging="567"/>
        <w:rPr>
          <w:u w:val="none"/>
          <w:lang w:val="ru-RU"/>
        </w:rPr>
      </w:pPr>
      <w:r w:rsidRPr="00176913">
        <w:rPr>
          <w:lang w:val="ru-RU"/>
        </w:rPr>
        <w:t>Признает</w:t>
      </w:r>
      <w:r w:rsidRPr="0055054D">
        <w:rPr>
          <w:u w:val="none"/>
          <w:lang w:val="ru-RU"/>
        </w:rPr>
        <w:t xml:space="preserve"> важность </w:t>
      </w:r>
      <w:r w:rsidR="00E50356" w:rsidRPr="00176913">
        <w:rPr>
          <w:u w:val="none"/>
          <w:lang w:val="ru-RU"/>
        </w:rPr>
        <w:t>диалога для укрепления процесса оценки и</w:t>
      </w:r>
      <w:r w:rsidR="006D0E9A" w:rsidRPr="00176913">
        <w:rPr>
          <w:u w:val="none"/>
          <w:lang w:val="ru-RU"/>
        </w:rPr>
        <w:t xml:space="preserve"> </w:t>
      </w:r>
      <w:r w:rsidR="00E50356" w:rsidRPr="00176913">
        <w:rPr>
          <w:u w:val="none"/>
          <w:lang w:val="ru-RU"/>
        </w:rPr>
        <w:t>необходимост</w:t>
      </w:r>
      <w:r w:rsidR="008D02F6" w:rsidRPr="00176913">
        <w:rPr>
          <w:u w:val="none"/>
          <w:lang w:val="ru-RU"/>
        </w:rPr>
        <w:t>ь</w:t>
      </w:r>
      <w:r w:rsidR="006D0E9A" w:rsidRPr="00176913">
        <w:rPr>
          <w:u w:val="none"/>
          <w:lang w:val="ru-RU"/>
        </w:rPr>
        <w:t xml:space="preserve"> разработать, в рамках </w:t>
      </w:r>
      <w:r w:rsidR="00B874E5" w:rsidRPr="00176913">
        <w:rPr>
          <w:u w:val="none"/>
          <w:lang w:val="ru-RU"/>
        </w:rPr>
        <w:t xml:space="preserve">специальной </w:t>
      </w:r>
      <w:r w:rsidR="006D0E9A" w:rsidRPr="00176913">
        <w:rPr>
          <w:u w:val="none"/>
          <w:lang w:val="ru-RU"/>
        </w:rPr>
        <w:t xml:space="preserve">неофициальной рабочей группы </w:t>
      </w:r>
      <w:r w:rsidR="00116A79" w:rsidRPr="00176913">
        <w:rPr>
          <w:u w:val="none"/>
          <w:lang w:val="ru-RU"/>
        </w:rPr>
        <w:t xml:space="preserve">и Межправительственного </w:t>
      </w:r>
      <w:r w:rsidR="006D0E9A" w:rsidRPr="00176913">
        <w:rPr>
          <w:u w:val="none"/>
          <w:lang w:val="ru-RU"/>
        </w:rPr>
        <w:t xml:space="preserve">Комитета, </w:t>
      </w:r>
      <w:r w:rsidR="00E50356" w:rsidRPr="00176913">
        <w:rPr>
          <w:u w:val="none"/>
          <w:lang w:val="ru-RU"/>
        </w:rPr>
        <w:t>соответствующ</w:t>
      </w:r>
      <w:r w:rsidR="006D0E9A" w:rsidRPr="00176913">
        <w:rPr>
          <w:u w:val="none"/>
          <w:lang w:val="ru-RU"/>
        </w:rPr>
        <w:t>ий</w:t>
      </w:r>
      <w:r w:rsidR="00E50356" w:rsidRPr="00176913">
        <w:rPr>
          <w:u w:val="none"/>
          <w:lang w:val="ru-RU"/>
        </w:rPr>
        <w:t xml:space="preserve"> механизм для обеспечения большей прозрачности и </w:t>
      </w:r>
      <w:r w:rsidR="00C75714" w:rsidRPr="00176913">
        <w:rPr>
          <w:u w:val="none"/>
          <w:lang w:val="ru-RU"/>
        </w:rPr>
        <w:t xml:space="preserve">повышения </w:t>
      </w:r>
      <w:r w:rsidR="00E50356" w:rsidRPr="00176913">
        <w:rPr>
          <w:u w:val="none"/>
          <w:lang w:val="ru-RU"/>
        </w:rPr>
        <w:t xml:space="preserve">кредита доверия, </w:t>
      </w:r>
      <w:r w:rsidR="00C75714" w:rsidRPr="00176913">
        <w:rPr>
          <w:u w:val="none"/>
          <w:lang w:val="ru-RU"/>
        </w:rPr>
        <w:t xml:space="preserve">в рамках консультаций с </w:t>
      </w:r>
      <w:r w:rsidR="00E50356" w:rsidRPr="00176913">
        <w:rPr>
          <w:u w:val="none"/>
          <w:lang w:val="ru-RU"/>
        </w:rPr>
        <w:t>Оценочным органом;</w:t>
      </w:r>
    </w:p>
    <w:p w:rsidR="00CA3493" w:rsidRPr="008645BB" w:rsidRDefault="00CA3493" w:rsidP="008645BB">
      <w:pPr>
        <w:pStyle w:val="COMParaDecision"/>
        <w:numPr>
          <w:ilvl w:val="0"/>
          <w:numId w:val="49"/>
        </w:numPr>
        <w:ind w:left="567" w:hanging="567"/>
        <w:rPr>
          <w:lang w:val="ru-RU"/>
        </w:rPr>
      </w:pPr>
      <w:r w:rsidRPr="00116A79">
        <w:rPr>
          <w:lang w:val="ru-RU"/>
        </w:rPr>
        <w:t>Предлагает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неофициальной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рабочей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группе представить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дискуссии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рекомендации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тринадцатой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Комитета</w:t>
      </w:r>
      <w:r w:rsidRPr="00963E0F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принимая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963E0F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внимание</w:t>
      </w:r>
      <w:r w:rsidR="00EF290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пересмотр ее мандата на 2018 г</w:t>
      </w:r>
      <w:r w:rsidR="00C75714">
        <w:rPr>
          <w:u w:val="none"/>
          <w:lang w:val="ru-RU"/>
        </w:rPr>
        <w:t xml:space="preserve">, </w:t>
      </w:r>
      <w:r w:rsidR="00C75714" w:rsidRPr="00C75714">
        <w:rPr>
          <w:u w:val="none"/>
          <w:lang w:val="ru-RU"/>
        </w:rPr>
        <w:t>а также обсуждений, состоявшихся в ходе седьмой сессии Генеральной Ассамблеи</w:t>
      </w:r>
      <w:r w:rsidR="008645BB">
        <w:rPr>
          <w:u w:val="none"/>
          <w:lang w:val="ru-RU"/>
        </w:rPr>
        <w:t>.</w:t>
      </w:r>
    </w:p>
    <w:p w:rsidR="00CA3493" w:rsidRPr="008645BB" w:rsidRDefault="00ED08D7" w:rsidP="008645BB">
      <w:pPr>
        <w:pStyle w:val="COMPara"/>
        <w:spacing w:before="360"/>
        <w:ind w:left="0" w:firstLine="0"/>
        <w:jc w:val="both"/>
        <w:rPr>
          <w:lang w:val="en-US"/>
        </w:rPr>
      </w:pPr>
      <w:r w:rsidRPr="00ED08D7">
        <w:rPr>
          <w:b/>
          <w:lang w:val="ru-RU"/>
        </w:rPr>
        <w:t xml:space="preserve">РЕЗОЛЮЦИЯ </w:t>
      </w:r>
      <w:r w:rsidR="00CA3493" w:rsidRPr="00BB765B">
        <w:rPr>
          <w:b/>
          <w:lang w:val="ru-RU"/>
        </w:rPr>
        <w:t>7.</w:t>
      </w:r>
      <w:r w:rsidR="00CA3493" w:rsidRPr="007C6F2C">
        <w:rPr>
          <w:b/>
        </w:rPr>
        <w:t>GA</w:t>
      </w:r>
      <w:r w:rsidR="00CA3493" w:rsidRPr="00BB765B">
        <w:rPr>
          <w:b/>
          <w:lang w:val="ru-RU"/>
        </w:rPr>
        <w:t xml:space="preserve"> 7</w:t>
      </w:r>
    </w:p>
    <w:p w:rsidR="00CA3493" w:rsidRPr="00BB765B" w:rsidRDefault="00CA3493" w:rsidP="008645BB">
      <w:pPr>
        <w:pStyle w:val="GAPreambulaResolution"/>
        <w:ind w:left="0"/>
        <w:rPr>
          <w:lang w:val="ru-RU"/>
        </w:rPr>
      </w:pPr>
      <w:r>
        <w:rPr>
          <w:lang w:val="ru-RU"/>
        </w:rPr>
        <w:t>Генеральная ассамблея</w:t>
      </w:r>
      <w:r w:rsidRPr="00BB765B">
        <w:rPr>
          <w:lang w:val="ru-RU"/>
        </w:rPr>
        <w:t>,</w:t>
      </w:r>
    </w:p>
    <w:p w:rsidR="00CA3493" w:rsidRDefault="00CA3493" w:rsidP="008645BB">
      <w:pPr>
        <w:pStyle w:val="COMParaDecision"/>
        <w:numPr>
          <w:ilvl w:val="0"/>
          <w:numId w:val="5"/>
        </w:numPr>
        <w:ind w:left="567" w:hanging="567"/>
      </w:pPr>
      <w:r>
        <w:rPr>
          <w:lang w:val="ru-RU"/>
        </w:rPr>
        <w:t>Рассмотрев</w:t>
      </w:r>
      <w:r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>
        <w:rPr>
          <w:u w:val="none"/>
        </w:rPr>
        <w:t xml:space="preserve"> </w:t>
      </w:r>
      <w:hyperlink r:id="rId16" w:history="1">
        <w:r w:rsidRPr="003628A5">
          <w:rPr>
            <w:rStyle w:val="Hyperlink"/>
          </w:rPr>
          <w:t>ITH/18/7.GA/7</w:t>
        </w:r>
      </w:hyperlink>
      <w:r>
        <w:rPr>
          <w:u w:val="none"/>
        </w:rPr>
        <w:t>,</w:t>
      </w:r>
    </w:p>
    <w:p w:rsidR="00CA3493" w:rsidRPr="00182389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994C3C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непрерывную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своевременную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994C3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оказываемую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эффективному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управлению Конвенцией,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осуществление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руководства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различными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механизмами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рамках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18238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признавая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ряд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новых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инициатив</w:t>
      </w:r>
      <w:r w:rsidRPr="0018238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предпринятых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улучшения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методов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работы</w:t>
      </w:r>
      <w:r w:rsidRPr="0018238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высокий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уровень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требуемых ресурсов</w:t>
      </w:r>
      <w:r w:rsidRPr="00182389">
        <w:rPr>
          <w:u w:val="none"/>
          <w:lang w:val="ru-RU"/>
        </w:rPr>
        <w:t>;</w:t>
      </w:r>
    </w:p>
    <w:p w:rsidR="00CA3493" w:rsidRPr="00A72E5D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A72E5D">
        <w:rPr>
          <w:lang w:val="ru-RU"/>
        </w:rPr>
        <w:t xml:space="preserve"> </w:t>
      </w:r>
      <w:r>
        <w:rPr>
          <w:lang w:val="ru-RU"/>
        </w:rPr>
        <w:t>далее</w:t>
      </w:r>
      <w:r w:rsidRPr="00A72E5D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усилия</w:t>
      </w:r>
      <w:r w:rsidRPr="00A72E5D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прилагаемые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механизма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A72E5D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A72E5D">
        <w:rPr>
          <w:u w:val="none"/>
          <w:lang w:val="ru-RU"/>
        </w:rPr>
        <w:t xml:space="preserve"> </w:t>
      </w:r>
      <w:r w:rsidRPr="00AD19D7">
        <w:rPr>
          <w:lang w:val="ru-RU"/>
        </w:rPr>
        <w:t>призывает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продолжать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подобные начинания в стремлении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обеспечить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более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широкий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доступ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</w:t>
      </w:r>
      <w:r w:rsidRPr="00A72E5D">
        <w:rPr>
          <w:u w:val="none"/>
          <w:lang w:val="ru-RU"/>
        </w:rPr>
        <w:t>-</w:t>
      </w:r>
      <w:r>
        <w:rPr>
          <w:u w:val="none"/>
          <w:lang w:val="ru-RU"/>
        </w:rPr>
        <w:t>участников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Фонду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совершенствовании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мониторинга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воздействия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проектов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A72E5D">
        <w:rPr>
          <w:u w:val="none"/>
          <w:lang w:val="ru-RU"/>
        </w:rPr>
        <w:t>;</w:t>
      </w:r>
    </w:p>
    <w:p w:rsidR="00CA3493" w:rsidRPr="004B1671" w:rsidRDefault="00CA3493" w:rsidP="008645BB">
      <w:pPr>
        <w:pStyle w:val="COMParaDecision"/>
        <w:numPr>
          <w:ilvl w:val="0"/>
          <w:numId w:val="5"/>
        </w:numPr>
        <w:ind w:left="567" w:hanging="567"/>
        <w:rPr>
          <w:lang w:val="ru-RU"/>
        </w:rPr>
      </w:pPr>
      <w:r>
        <w:rPr>
          <w:lang w:val="ru-RU"/>
        </w:rPr>
        <w:t>Выражает</w:t>
      </w:r>
      <w:r w:rsidRPr="004B1671">
        <w:rPr>
          <w:lang w:val="ru-RU"/>
        </w:rPr>
        <w:t xml:space="preserve"> </w:t>
      </w:r>
      <w:r>
        <w:rPr>
          <w:lang w:val="ru-RU"/>
        </w:rPr>
        <w:t>благодарность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существенную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4B167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оказанную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разработке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общей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системы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 результатов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4B1671">
        <w:rPr>
          <w:u w:val="none"/>
          <w:lang w:val="ru-RU"/>
        </w:rPr>
        <w:t xml:space="preserve">, </w:t>
      </w:r>
      <w:r w:rsidR="009E016F">
        <w:rPr>
          <w:u w:val="none"/>
          <w:lang w:val="ru-RU"/>
        </w:rPr>
        <w:t xml:space="preserve">с целью создать </w:t>
      </w:r>
      <w:r>
        <w:rPr>
          <w:u w:val="none"/>
          <w:lang w:val="ru-RU"/>
        </w:rPr>
        <w:t>важны</w:t>
      </w:r>
      <w:r w:rsidR="009E016F">
        <w:rPr>
          <w:u w:val="none"/>
          <w:lang w:val="ru-RU"/>
        </w:rPr>
        <w:t>й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инструмент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оценки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воздействия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различных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уровнях;</w:t>
      </w:r>
    </w:p>
    <w:p w:rsidR="00CA3493" w:rsidRPr="002E4AC9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Высоко</w:t>
      </w:r>
      <w:r w:rsidRPr="002E4AC9">
        <w:rPr>
          <w:lang w:val="ru-RU"/>
        </w:rPr>
        <w:t xml:space="preserve"> </w:t>
      </w:r>
      <w:r>
        <w:rPr>
          <w:lang w:val="ru-RU"/>
        </w:rPr>
        <w:t>оценивает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постоянные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усилия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Секретариата</w:t>
      </w:r>
      <w:r w:rsidRPr="002E4AC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направленные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национального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</w:t>
      </w:r>
      <w:r w:rsidRPr="002E4AC9">
        <w:rPr>
          <w:u w:val="none"/>
          <w:lang w:val="ru-RU"/>
        </w:rPr>
        <w:t>-</w:t>
      </w:r>
      <w:r>
        <w:rPr>
          <w:u w:val="none"/>
          <w:lang w:val="ru-RU"/>
        </w:rPr>
        <w:t>участников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посредством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глобальной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программы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укреплению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глобальной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сети</w:t>
      </w:r>
      <w:r w:rsidRPr="002E4AC9">
        <w:rPr>
          <w:u w:val="none"/>
          <w:lang w:val="ru-RU"/>
        </w:rPr>
        <w:t xml:space="preserve"> </w:t>
      </w:r>
      <w:proofErr w:type="spellStart"/>
      <w:r>
        <w:rPr>
          <w:u w:val="none"/>
          <w:lang w:val="ru-RU"/>
        </w:rPr>
        <w:t>фасилитаторов</w:t>
      </w:r>
      <w:proofErr w:type="spellEnd"/>
      <w:r w:rsidRPr="002E4AC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2E4AC9">
        <w:rPr>
          <w:u w:val="none"/>
          <w:lang w:val="ru-RU"/>
        </w:rPr>
        <w:t xml:space="preserve"> </w:t>
      </w:r>
      <w:r w:rsidRPr="00DA753A">
        <w:rPr>
          <w:lang w:val="ru-RU"/>
        </w:rPr>
        <w:t>выражает</w:t>
      </w:r>
      <w:r w:rsidRPr="002E4AC9">
        <w:rPr>
          <w:lang w:val="ru-RU"/>
        </w:rPr>
        <w:t xml:space="preserve"> </w:t>
      </w:r>
      <w:r w:rsidRPr="00DA753A">
        <w:rPr>
          <w:lang w:val="ru-RU"/>
        </w:rPr>
        <w:t>признательность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работу</w:t>
      </w:r>
      <w:r w:rsidRPr="002E4AC9">
        <w:rPr>
          <w:u w:val="none"/>
          <w:lang w:val="ru-RU"/>
        </w:rPr>
        <w:t xml:space="preserve"> </w:t>
      </w:r>
      <w:r w:rsidRPr="00627D01">
        <w:rPr>
          <w:u w:val="none"/>
          <w:lang w:val="ru-RU"/>
        </w:rPr>
        <w:t>п</w:t>
      </w:r>
      <w:r>
        <w:rPr>
          <w:u w:val="none"/>
          <w:lang w:val="ru-RU"/>
        </w:rPr>
        <w:t>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переориентации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стратегического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подхода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тем</w:t>
      </w:r>
      <w:r w:rsidRPr="002E4AC9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чтобы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обеспечить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сохранение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актуальности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программы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изменяющихся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потребностей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</w:t>
      </w:r>
      <w:r w:rsidRPr="002E4AC9">
        <w:rPr>
          <w:u w:val="none"/>
          <w:lang w:val="ru-RU"/>
        </w:rPr>
        <w:t>-</w:t>
      </w:r>
      <w:r>
        <w:rPr>
          <w:u w:val="none"/>
          <w:lang w:val="ru-RU"/>
        </w:rPr>
        <w:t>участников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 укреплению потенциала, а также общего международного контекста выполнения Конвенции;</w:t>
      </w:r>
    </w:p>
    <w:p w:rsidR="00CA3493" w:rsidRPr="0000647C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Подчеркивает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главную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роль</w:t>
      </w:r>
      <w:r w:rsidRPr="0000647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которую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образование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играет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посредством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его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передачи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00647C">
        <w:rPr>
          <w:u w:val="none"/>
          <w:lang w:val="ru-RU"/>
        </w:rPr>
        <w:t xml:space="preserve"> </w:t>
      </w:r>
      <w:r w:rsidRPr="0000647C">
        <w:rPr>
          <w:lang w:val="ru-RU"/>
        </w:rPr>
        <w:t>приветствует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новый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приоритет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финансирования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этом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отношении</w:t>
      </w:r>
      <w:r w:rsidRPr="0000647C">
        <w:rPr>
          <w:u w:val="none"/>
          <w:lang w:val="ru-RU"/>
        </w:rPr>
        <w:t>;</w:t>
      </w:r>
    </w:p>
    <w:p w:rsidR="00CA3493" w:rsidRPr="00FF259D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 w:rsidRPr="00A127A1">
        <w:rPr>
          <w:lang w:val="ru-RU"/>
        </w:rPr>
        <w:t>Приветствует</w:t>
      </w:r>
      <w:r w:rsidRPr="00A127A1">
        <w:rPr>
          <w:u w:val="none"/>
          <w:lang w:val="ru-RU"/>
        </w:rPr>
        <w:t xml:space="preserve"> </w:t>
      </w:r>
      <w:r w:rsidRPr="008D02F6">
        <w:rPr>
          <w:u w:val="none"/>
          <w:lang w:val="ru-RU"/>
        </w:rPr>
        <w:t xml:space="preserve">реализацию </w:t>
      </w:r>
      <w:r w:rsidRPr="00FF259D">
        <w:rPr>
          <w:u w:val="none"/>
          <w:lang w:val="ru-RU"/>
        </w:rPr>
        <w:t>инициативы по разработке просветительско-коммуникационного плана, направленного на повышение осведомленности о Конвенции и ее наглядности</w:t>
      </w:r>
      <w:r w:rsidR="00C1687E" w:rsidRPr="00FF259D">
        <w:rPr>
          <w:u w:val="none"/>
          <w:lang w:val="ru-RU"/>
        </w:rPr>
        <w:t xml:space="preserve">, а также </w:t>
      </w:r>
      <w:r w:rsidR="00FF259D" w:rsidRPr="0055054D">
        <w:rPr>
          <w:u w:val="none"/>
          <w:lang w:val="ru-RU"/>
        </w:rPr>
        <w:t xml:space="preserve">на </w:t>
      </w:r>
      <w:r w:rsidR="00C1687E" w:rsidRPr="00A127A1">
        <w:rPr>
          <w:u w:val="none"/>
          <w:lang w:val="ru-RU"/>
        </w:rPr>
        <w:t>поиск внебюджетным средс</w:t>
      </w:r>
      <w:r w:rsidR="00C1687E" w:rsidRPr="008D02F6">
        <w:rPr>
          <w:u w:val="none"/>
          <w:lang w:val="ru-RU"/>
        </w:rPr>
        <w:t>тв</w:t>
      </w:r>
      <w:r w:rsidRPr="008D02F6">
        <w:rPr>
          <w:u w:val="none"/>
          <w:lang w:val="ru-RU"/>
        </w:rPr>
        <w:t>;</w:t>
      </w:r>
    </w:p>
    <w:p w:rsidR="00CA3493" w:rsidRPr="00D03A00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Отмечает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растущую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актуальность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международном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контексте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чрезвычайных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ситуаций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D03A00">
        <w:rPr>
          <w:u w:val="none"/>
          <w:lang w:val="ru-RU"/>
        </w:rPr>
        <w:t xml:space="preserve"> </w:t>
      </w:r>
      <w:r w:rsidRPr="0055054D">
        <w:rPr>
          <w:lang w:val="ru-RU"/>
        </w:rPr>
        <w:t>признаёт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роль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качестве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мощного</w:t>
      </w:r>
      <w:r w:rsidRPr="00D03A0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средства обеспечения устойчивости и восстановления</w:t>
      </w:r>
      <w:r w:rsidR="00C1687E">
        <w:rPr>
          <w:u w:val="none"/>
          <w:lang w:val="ru-RU"/>
        </w:rPr>
        <w:t xml:space="preserve"> и </w:t>
      </w:r>
      <w:r w:rsidR="00C1687E" w:rsidRPr="0055054D">
        <w:rPr>
          <w:lang w:val="ru-RU"/>
        </w:rPr>
        <w:t>просит</w:t>
      </w:r>
      <w:r w:rsidR="00C1687E">
        <w:rPr>
          <w:u w:val="none"/>
          <w:lang w:val="ru-RU"/>
        </w:rPr>
        <w:t xml:space="preserve"> Секретариат продолжать </w:t>
      </w:r>
      <w:r w:rsidR="009112DB">
        <w:rPr>
          <w:u w:val="none"/>
          <w:lang w:val="ru-RU"/>
        </w:rPr>
        <w:t>свои</w:t>
      </w:r>
      <w:r w:rsidR="00C1687E">
        <w:rPr>
          <w:u w:val="none"/>
          <w:lang w:val="ru-RU"/>
        </w:rPr>
        <w:t xml:space="preserve"> усилия в рамках </w:t>
      </w:r>
      <w:r w:rsidR="00882B99" w:rsidRPr="0055054D">
        <w:rPr>
          <w:u w:val="none"/>
          <w:lang w:val="ru-RU"/>
        </w:rPr>
        <w:t xml:space="preserve">Стратегии укрепления деятельности ЮНЕСКО по защите культуры и поощрению культурного плюрализма в случае вооруженного конфликта и </w:t>
      </w:r>
      <w:r w:rsidR="009112DB" w:rsidRPr="0055054D">
        <w:rPr>
          <w:u w:val="none"/>
          <w:lang w:val="ru-RU"/>
        </w:rPr>
        <w:t>ее плана действий, а также</w:t>
      </w:r>
      <w:r w:rsidR="00882B99" w:rsidRPr="0055054D">
        <w:rPr>
          <w:u w:val="none"/>
          <w:lang w:val="ru-RU"/>
        </w:rPr>
        <w:t xml:space="preserve"> Добавления </w:t>
      </w:r>
      <w:r w:rsidR="009112DB" w:rsidRPr="0055054D">
        <w:rPr>
          <w:u w:val="none"/>
          <w:lang w:val="ru-RU"/>
        </w:rPr>
        <w:t xml:space="preserve">к </w:t>
      </w:r>
      <w:r w:rsidR="00EB1C01">
        <w:rPr>
          <w:u w:val="none"/>
          <w:lang w:val="ru-RU"/>
        </w:rPr>
        <w:t>С</w:t>
      </w:r>
      <w:r w:rsidR="009112DB" w:rsidRPr="0055054D">
        <w:rPr>
          <w:u w:val="none"/>
          <w:lang w:val="ru-RU"/>
        </w:rPr>
        <w:t xml:space="preserve">тратегии, </w:t>
      </w:r>
      <w:r w:rsidR="00882B99" w:rsidRPr="0055054D">
        <w:rPr>
          <w:u w:val="none"/>
          <w:lang w:val="ru-RU"/>
        </w:rPr>
        <w:t>касающегося чрезвычайных ситуаций, обусловленных бедствиями природного и антропогенного характера</w:t>
      </w:r>
      <w:r w:rsidRPr="00116A79">
        <w:rPr>
          <w:u w:val="none"/>
          <w:lang w:val="ru-RU"/>
        </w:rPr>
        <w:t>;</w:t>
      </w:r>
    </w:p>
    <w:p w:rsidR="00CA3493" w:rsidRPr="008F49CD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lastRenderedPageBreak/>
        <w:t>Призывает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очередной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</w:t>
      </w:r>
      <w:r w:rsidRPr="008F49CD">
        <w:rPr>
          <w:u w:val="none"/>
          <w:lang w:val="ru-RU"/>
        </w:rPr>
        <w:t>-</w:t>
      </w:r>
      <w:r>
        <w:rPr>
          <w:u w:val="none"/>
          <w:lang w:val="ru-RU"/>
        </w:rPr>
        <w:t>участников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оказать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8F49CD">
        <w:rPr>
          <w:u w:val="none"/>
          <w:lang w:val="ru-RU"/>
        </w:rPr>
        <w:t xml:space="preserve">, </w:t>
      </w:r>
      <w:r w:rsidRPr="008959B0">
        <w:rPr>
          <w:u w:val="none"/>
          <w:lang w:val="ru-RU"/>
        </w:rPr>
        <w:t>особенн</w:t>
      </w:r>
      <w:r>
        <w:rPr>
          <w:u w:val="none"/>
          <w:lang w:val="ru-RU"/>
        </w:rPr>
        <w:t>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путем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внесения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взносов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оперативные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проекты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взносов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8F49CD">
        <w:rPr>
          <w:u w:val="none"/>
          <w:lang w:val="ru-RU"/>
        </w:rPr>
        <w:t xml:space="preserve"> </w:t>
      </w:r>
      <w:proofErr w:type="spellStart"/>
      <w:r>
        <w:rPr>
          <w:u w:val="none"/>
          <w:lang w:val="ru-RU"/>
        </w:rPr>
        <w:t>субфонд</w:t>
      </w:r>
      <w:proofErr w:type="spellEnd"/>
      <w:r>
        <w:rPr>
          <w:u w:val="none"/>
          <w:lang w:val="ru-RU"/>
        </w:rPr>
        <w:t>,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целью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кадрового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Секретариата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того</w:t>
      </w:r>
      <w:r w:rsidRPr="008F49CD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чтобы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он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мог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удовлетворять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растущие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потребности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непрерывного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управления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Конвенцией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ее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8F49CD">
        <w:rPr>
          <w:u w:val="none"/>
          <w:lang w:val="ru-RU"/>
        </w:rPr>
        <w:t>;</w:t>
      </w:r>
    </w:p>
    <w:p w:rsidR="00CA3493" w:rsidRDefault="00CA3493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>
        <w:rPr>
          <w:lang w:val="ru-RU"/>
        </w:rPr>
        <w:t>Просит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представить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деятельности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января</w:t>
      </w:r>
      <w:r w:rsidRPr="008959B0">
        <w:rPr>
          <w:u w:val="none"/>
          <w:lang w:val="ru-RU"/>
        </w:rPr>
        <w:t xml:space="preserve"> 2018</w:t>
      </w:r>
      <w:r w:rsidRPr="008959B0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8959B0">
        <w:rPr>
          <w:u w:val="none"/>
          <w:lang w:val="ru-RU"/>
        </w:rPr>
        <w:t xml:space="preserve">. </w:t>
      </w:r>
      <w:r>
        <w:rPr>
          <w:u w:val="none"/>
          <w:lang w:val="ru-RU"/>
        </w:rPr>
        <w:t>по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декабрь</w:t>
      </w:r>
      <w:r w:rsidRPr="008959B0">
        <w:rPr>
          <w:u w:val="none"/>
          <w:lang w:val="ru-RU"/>
        </w:rPr>
        <w:t xml:space="preserve"> 2019</w:t>
      </w:r>
      <w:r w:rsidRPr="008959B0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8959B0">
        <w:rPr>
          <w:u w:val="none"/>
          <w:lang w:val="ru-RU"/>
        </w:rPr>
        <w:t xml:space="preserve">. </w:t>
      </w:r>
      <w:r>
        <w:rPr>
          <w:u w:val="none"/>
          <w:lang w:val="ru-RU"/>
        </w:rPr>
        <w:t>на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рассмотрение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ассамблее на ее восьмой сессии</w:t>
      </w:r>
      <w:r w:rsidR="004C2A08">
        <w:rPr>
          <w:u w:val="none"/>
          <w:lang w:val="ru-RU"/>
        </w:rPr>
        <w:t>;</w:t>
      </w:r>
    </w:p>
    <w:p w:rsidR="00CA3493" w:rsidRPr="008645BB" w:rsidRDefault="004A45B8" w:rsidP="008645BB">
      <w:pPr>
        <w:pStyle w:val="COMParaDecision"/>
        <w:numPr>
          <w:ilvl w:val="0"/>
          <w:numId w:val="5"/>
        </w:numPr>
        <w:ind w:left="567" w:hanging="567"/>
        <w:rPr>
          <w:u w:val="none"/>
          <w:lang w:val="ru-RU"/>
        </w:rPr>
      </w:pPr>
      <w:r w:rsidRPr="00116A79">
        <w:rPr>
          <w:lang w:val="ru-RU"/>
        </w:rPr>
        <w:t>Принимает к сведению</w:t>
      </w:r>
      <w:r w:rsidRPr="0055054D">
        <w:rPr>
          <w:u w:val="none"/>
          <w:lang w:val="ru-RU"/>
        </w:rPr>
        <w:t xml:space="preserve"> текущие размышления о различных путях обеспечения участия </w:t>
      </w:r>
      <w:r w:rsidR="00C7096E" w:rsidRPr="0055054D">
        <w:rPr>
          <w:u w:val="none"/>
          <w:lang w:val="ru-RU"/>
        </w:rPr>
        <w:t>неправительственных</w:t>
      </w:r>
      <w:r w:rsidRPr="0055054D">
        <w:rPr>
          <w:u w:val="none"/>
          <w:lang w:val="ru-RU"/>
        </w:rPr>
        <w:t xml:space="preserve"> организаций в рамках </w:t>
      </w:r>
      <w:r w:rsidR="005A1320" w:rsidRPr="0055054D">
        <w:rPr>
          <w:u w:val="none"/>
          <w:lang w:val="ru-RU"/>
        </w:rPr>
        <w:t>К</w:t>
      </w:r>
      <w:r w:rsidRPr="0055054D">
        <w:rPr>
          <w:u w:val="none"/>
          <w:lang w:val="ru-RU"/>
        </w:rPr>
        <w:t>онвенции</w:t>
      </w:r>
      <w:r w:rsidR="00AF465D">
        <w:rPr>
          <w:u w:val="none"/>
          <w:lang w:val="ru-RU"/>
        </w:rPr>
        <w:t xml:space="preserve">, а также </w:t>
      </w:r>
      <w:r w:rsidR="00116A79">
        <w:rPr>
          <w:u w:val="none"/>
          <w:lang w:val="ru-RU"/>
        </w:rPr>
        <w:t xml:space="preserve">обсуждения </w:t>
      </w:r>
      <w:r w:rsidR="00BE75A2">
        <w:rPr>
          <w:u w:val="none"/>
          <w:lang w:val="ru-RU"/>
        </w:rPr>
        <w:t>в</w:t>
      </w:r>
      <w:r w:rsidR="00116A79">
        <w:rPr>
          <w:u w:val="none"/>
          <w:lang w:val="ru-RU"/>
        </w:rPr>
        <w:t xml:space="preserve"> ходе </w:t>
      </w:r>
      <w:r w:rsidR="00176913">
        <w:rPr>
          <w:u w:val="none"/>
          <w:lang w:val="ru-RU"/>
        </w:rPr>
        <w:t>своей</w:t>
      </w:r>
      <w:r w:rsidR="00AF465D">
        <w:rPr>
          <w:u w:val="none"/>
          <w:lang w:val="ru-RU"/>
        </w:rPr>
        <w:t xml:space="preserve"> седьмой сессии</w:t>
      </w:r>
      <w:r w:rsidR="00AE53BB" w:rsidRPr="00116A79">
        <w:rPr>
          <w:u w:val="none"/>
          <w:lang w:val="ru-RU"/>
        </w:rPr>
        <w:t>.</w:t>
      </w:r>
    </w:p>
    <w:p w:rsidR="00CA3493" w:rsidRPr="00744709" w:rsidRDefault="00ED08D7" w:rsidP="008645BB">
      <w:pPr>
        <w:pStyle w:val="5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744709">
        <w:rPr>
          <w:lang w:val="ru-RU"/>
        </w:rPr>
        <w:t xml:space="preserve"> </w:t>
      </w:r>
      <w:r w:rsidR="00CA3493" w:rsidRPr="00744709">
        <w:rPr>
          <w:lang w:val="ru-RU"/>
        </w:rPr>
        <w:t>7.</w:t>
      </w:r>
      <w:r w:rsidR="00CA3493">
        <w:t>GA</w:t>
      </w:r>
      <w:r w:rsidR="00CA3493" w:rsidRPr="00744709">
        <w:rPr>
          <w:lang w:val="ru-RU"/>
        </w:rPr>
        <w:t xml:space="preserve"> 8</w:t>
      </w:r>
    </w:p>
    <w:p w:rsidR="00CA3493" w:rsidRPr="00744709" w:rsidRDefault="00CA3493" w:rsidP="008645BB">
      <w:pPr>
        <w:pStyle w:val="5GAPreambulaResolution"/>
        <w:ind w:left="0"/>
        <w:rPr>
          <w:lang w:val="ru-RU"/>
        </w:rPr>
      </w:pPr>
      <w:r>
        <w:rPr>
          <w:lang w:val="ru-RU"/>
        </w:rPr>
        <w:t>Генеральная ассамблея</w:t>
      </w:r>
      <w:r w:rsidRPr="00744709">
        <w:rPr>
          <w:lang w:val="ru-RU"/>
        </w:rPr>
        <w:t>,</w:t>
      </w:r>
    </w:p>
    <w:p w:rsidR="00CA3493" w:rsidRPr="00744709" w:rsidRDefault="00CA3493" w:rsidP="008645BB">
      <w:pPr>
        <w:pStyle w:val="ListParagraph"/>
        <w:keepNext/>
        <w:numPr>
          <w:ilvl w:val="0"/>
          <w:numId w:val="6"/>
        </w:numPr>
        <w:autoSpaceDE w:val="0"/>
        <w:autoSpaceDN w:val="0"/>
        <w:adjustRightInd w:val="0"/>
        <w:spacing w:after="120"/>
        <w:ind w:left="573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Рассмотрев</w:t>
      </w:r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документы</w:t>
      </w:r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7" w:history="1">
        <w:r w:rsidRPr="003628A5">
          <w:rPr>
            <w:rStyle w:val="Hyperlink"/>
            <w:rFonts w:ascii="Arial" w:hAnsi="Arial" w:cs="Arial"/>
            <w:sz w:val="22"/>
            <w:szCs w:val="22"/>
            <w:lang w:val="en-GB"/>
          </w:rPr>
          <w:t>ITH</w:t>
        </w:r>
        <w:r w:rsidRPr="003628A5">
          <w:rPr>
            <w:rStyle w:val="Hyperlink"/>
            <w:rFonts w:ascii="Arial" w:hAnsi="Arial" w:cs="Arial"/>
            <w:sz w:val="22"/>
            <w:szCs w:val="22"/>
            <w:lang w:val="ru-RU"/>
          </w:rPr>
          <w:t>/18/7.</w:t>
        </w:r>
        <w:r w:rsidRPr="003628A5">
          <w:rPr>
            <w:rStyle w:val="Hyperlink"/>
            <w:rFonts w:ascii="Arial" w:hAnsi="Arial" w:cs="Arial"/>
            <w:sz w:val="22"/>
            <w:szCs w:val="22"/>
            <w:lang w:val="en-GB"/>
          </w:rPr>
          <w:t>GA</w:t>
        </w:r>
        <w:r w:rsidRPr="003628A5">
          <w:rPr>
            <w:rStyle w:val="Hyperlink"/>
            <w:rFonts w:ascii="Arial" w:hAnsi="Arial" w:cs="Arial"/>
            <w:sz w:val="22"/>
            <w:szCs w:val="22"/>
            <w:lang w:val="ru-RU"/>
          </w:rPr>
          <w:t>/8</w:t>
        </w:r>
      </w:hyperlink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44709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8" w:history="1">
        <w:r w:rsidRPr="003628A5">
          <w:rPr>
            <w:rStyle w:val="Hyperlink"/>
            <w:rFonts w:ascii="Arial" w:hAnsi="Arial" w:cs="Arial"/>
            <w:sz w:val="22"/>
            <w:szCs w:val="22"/>
            <w:lang w:val="en-GB"/>
          </w:rPr>
          <w:t>ITH</w:t>
        </w:r>
        <w:r w:rsidRPr="003628A5">
          <w:rPr>
            <w:rStyle w:val="Hyperlink"/>
            <w:rFonts w:ascii="Arial" w:hAnsi="Arial" w:cs="Arial"/>
            <w:sz w:val="22"/>
            <w:szCs w:val="22"/>
            <w:lang w:val="ru-RU"/>
          </w:rPr>
          <w:t>/18/7.</w:t>
        </w:r>
        <w:r w:rsidRPr="003628A5">
          <w:rPr>
            <w:rStyle w:val="Hyperlink"/>
            <w:rFonts w:ascii="Arial" w:hAnsi="Arial" w:cs="Arial"/>
            <w:sz w:val="22"/>
            <w:szCs w:val="22"/>
            <w:lang w:val="en-GB"/>
          </w:rPr>
          <w:t>GA</w:t>
        </w:r>
        <w:r w:rsidRPr="003628A5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Pr="003628A5">
          <w:rPr>
            <w:rStyle w:val="Hyperlink"/>
            <w:rFonts w:ascii="Arial" w:hAnsi="Arial" w:cs="Arial"/>
            <w:sz w:val="22"/>
            <w:szCs w:val="22"/>
            <w:lang w:val="en-GB"/>
          </w:rPr>
          <w:t>INF</w:t>
        </w:r>
        <w:r w:rsidRPr="003628A5">
          <w:rPr>
            <w:rStyle w:val="Hyperlink"/>
            <w:rFonts w:ascii="Arial" w:hAnsi="Arial" w:cs="Arial"/>
            <w:sz w:val="22"/>
            <w:szCs w:val="22"/>
            <w:lang w:val="ru-RU"/>
          </w:rPr>
          <w:t>.8</w:t>
        </w:r>
      </w:hyperlink>
      <w:r w:rsidRPr="00744709">
        <w:rPr>
          <w:rFonts w:ascii="Arial" w:hAnsi="Arial" w:cs="Arial"/>
          <w:sz w:val="22"/>
          <w:szCs w:val="22"/>
          <w:lang w:val="ru-RU"/>
        </w:rPr>
        <w:t>,</w:t>
      </w:r>
    </w:p>
    <w:p w:rsidR="00CA3493" w:rsidRPr="00280D98" w:rsidRDefault="00CA3493" w:rsidP="00864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573" w:hanging="573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Ссылаясь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статью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7(</w:t>
      </w:r>
      <w:r w:rsidRPr="00C24505">
        <w:rPr>
          <w:rFonts w:ascii="Arial" w:hAnsi="Arial" w:cs="Arial"/>
          <w:sz w:val="22"/>
          <w:szCs w:val="22"/>
          <w:lang w:val="en-GB"/>
        </w:rPr>
        <w:t>c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пункты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66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80D98">
        <w:rPr>
          <w:rFonts w:ascii="Arial" w:hAnsi="Arial" w:cs="Arial"/>
          <w:sz w:val="22"/>
          <w:szCs w:val="22"/>
          <w:lang w:val="ru-RU"/>
        </w:rPr>
        <w:t xml:space="preserve"> 67 </w:t>
      </w:r>
      <w:r>
        <w:rPr>
          <w:rFonts w:ascii="Arial" w:hAnsi="Arial" w:cs="Arial"/>
          <w:sz w:val="22"/>
          <w:szCs w:val="22"/>
          <w:lang w:val="ru-RU"/>
        </w:rPr>
        <w:t>Оперативного руководства</w:t>
      </w:r>
      <w:r w:rsidRPr="00280D98">
        <w:rPr>
          <w:rFonts w:ascii="Arial" w:hAnsi="Arial" w:cs="Arial"/>
          <w:sz w:val="22"/>
          <w:szCs w:val="22"/>
          <w:lang w:val="ru-RU"/>
        </w:rPr>
        <w:t>,</w:t>
      </w:r>
    </w:p>
    <w:p w:rsidR="00CA3493" w:rsidRPr="00F5032B" w:rsidRDefault="00CA3493" w:rsidP="008645BB">
      <w:pPr>
        <w:pStyle w:val="COMParaDecision"/>
        <w:numPr>
          <w:ilvl w:val="0"/>
          <w:numId w:val="6"/>
        </w:numPr>
        <w:ind w:left="570"/>
        <w:rPr>
          <w:lang w:val="ru-RU"/>
        </w:rPr>
      </w:pPr>
      <w:r>
        <w:rPr>
          <w:lang w:val="ru-RU"/>
        </w:rPr>
        <w:t>Принимая</w:t>
      </w:r>
      <w:r w:rsidRPr="00F5032B">
        <w:rPr>
          <w:lang w:val="ru-RU"/>
        </w:rPr>
        <w:t xml:space="preserve"> </w:t>
      </w:r>
      <w:r>
        <w:rPr>
          <w:lang w:val="ru-RU"/>
        </w:rPr>
        <w:t>во</w:t>
      </w:r>
      <w:r w:rsidRPr="00F5032B">
        <w:rPr>
          <w:lang w:val="ru-RU"/>
        </w:rPr>
        <w:t xml:space="preserve"> </w:t>
      </w:r>
      <w:r>
        <w:rPr>
          <w:lang w:val="ru-RU"/>
        </w:rPr>
        <w:t>внимание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продолжающееся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недоиспользование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F5032B">
        <w:rPr>
          <w:u w:val="none"/>
          <w:lang w:val="ru-RU"/>
        </w:rPr>
        <w:t xml:space="preserve">, </w:t>
      </w:r>
      <w:r>
        <w:rPr>
          <w:u w:val="none"/>
          <w:lang w:val="ru-RU"/>
        </w:rPr>
        <w:t>в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частности</w:t>
      </w:r>
      <w:r w:rsidRPr="00F5032B">
        <w:rPr>
          <w:u w:val="none"/>
          <w:lang w:val="ru-RU"/>
        </w:rPr>
        <w:t xml:space="preserve"> </w:t>
      </w:r>
      <w:r>
        <w:rPr>
          <w:u w:val="none"/>
          <w:lang w:val="ru-RU"/>
        </w:rPr>
        <w:t>в отношении международной помощи</w:t>
      </w:r>
      <w:r w:rsidRPr="00F5032B">
        <w:rPr>
          <w:u w:val="none"/>
          <w:lang w:val="ru-RU"/>
        </w:rPr>
        <w:t>,</w:t>
      </w:r>
    </w:p>
    <w:p w:rsidR="00CA3493" w:rsidRPr="00C0079C" w:rsidRDefault="00CA3493" w:rsidP="008645BB">
      <w:pPr>
        <w:pStyle w:val="COMParaDecision"/>
        <w:numPr>
          <w:ilvl w:val="0"/>
          <w:numId w:val="6"/>
        </w:numPr>
        <w:ind w:left="570"/>
        <w:rPr>
          <w:lang w:val="ru-RU"/>
        </w:rPr>
      </w:pPr>
      <w:r>
        <w:rPr>
          <w:lang w:val="ru-RU"/>
        </w:rPr>
        <w:t>Признаёт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необходимость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кадровых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ресурсов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Секретариата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реализации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механизмов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оказания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международной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Фонда</w:t>
      </w:r>
      <w:r w:rsidRPr="00C0079C">
        <w:rPr>
          <w:u w:val="none"/>
          <w:lang w:val="ru-RU"/>
        </w:rPr>
        <w:t>, вкл</w:t>
      </w:r>
      <w:r>
        <w:rPr>
          <w:u w:val="none"/>
          <w:lang w:val="ru-RU"/>
        </w:rPr>
        <w:t>ючая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ее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эффективный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мониторинг</w:t>
      </w:r>
      <w:r w:rsidRPr="00C0079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и</w:t>
      </w:r>
      <w:r w:rsidRPr="00C0079C">
        <w:rPr>
          <w:u w:val="none"/>
          <w:lang w:val="ru-RU"/>
        </w:rPr>
        <w:t xml:space="preserve"> </w:t>
      </w:r>
      <w:r w:rsidR="00C47467" w:rsidRPr="00C0079C">
        <w:rPr>
          <w:lang w:val="ru-RU"/>
        </w:rPr>
        <w:t>приветству</w:t>
      </w:r>
      <w:r w:rsidR="00C47467">
        <w:rPr>
          <w:lang w:val="ru-RU"/>
        </w:rPr>
        <w:t>ет</w:t>
      </w:r>
      <w:r w:rsidR="00C47467"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предложение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создании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трех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новых</w:t>
      </w:r>
      <w:r w:rsidRPr="00C0079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внебюджетных должностей на определенный срок</w:t>
      </w:r>
      <w:r w:rsidR="00C47467">
        <w:rPr>
          <w:u w:val="none"/>
          <w:lang w:val="ru-RU"/>
        </w:rPr>
        <w:t>;</w:t>
      </w:r>
    </w:p>
    <w:p w:rsidR="00CA3493" w:rsidRPr="00C47467" w:rsidRDefault="00CA3493" w:rsidP="008645BB">
      <w:pPr>
        <w:pStyle w:val="COMParaDecision"/>
        <w:numPr>
          <w:ilvl w:val="0"/>
          <w:numId w:val="6"/>
        </w:numPr>
        <w:ind w:left="570"/>
        <w:rPr>
          <w:lang w:val="ru-RU"/>
        </w:rPr>
      </w:pPr>
      <w:r w:rsidRPr="006D6F42">
        <w:rPr>
          <w:lang w:val="ru-RU"/>
        </w:rPr>
        <w:t>Просит</w:t>
      </w:r>
      <w:r w:rsidRPr="00C47467">
        <w:rPr>
          <w:u w:val="none"/>
          <w:lang w:val="ru-RU"/>
        </w:rPr>
        <w:t xml:space="preserve"> Секретариат как можно скорее приступить к процедуре набора персонала на эти три должности для формирования специальной группы с тем, чтобы приступить к оперативной реализации механизмов оказания международной помощи</w:t>
      </w:r>
      <w:r w:rsidR="00E06D08" w:rsidRPr="00C47467">
        <w:rPr>
          <w:u w:val="none"/>
          <w:lang w:val="ru-RU"/>
        </w:rPr>
        <w:t>,</w:t>
      </w:r>
      <w:r w:rsidR="00EE1E6F" w:rsidRPr="00C47467">
        <w:rPr>
          <w:u w:val="none"/>
          <w:lang w:val="ru-RU"/>
        </w:rPr>
        <w:t xml:space="preserve"> </w:t>
      </w:r>
      <w:r w:rsidR="008F6E60" w:rsidRPr="00C47467">
        <w:rPr>
          <w:u w:val="none"/>
          <w:lang w:val="ru-RU"/>
        </w:rPr>
        <w:t xml:space="preserve">в соответствии с правилами найма ЮНЕСКО и </w:t>
      </w:r>
      <w:r w:rsidR="00EE1E6F" w:rsidRPr="00C47467">
        <w:rPr>
          <w:u w:val="none"/>
          <w:lang w:val="ru-RU"/>
        </w:rPr>
        <w:t xml:space="preserve">принимая во внимание </w:t>
      </w:r>
      <w:r w:rsidR="00C47467">
        <w:rPr>
          <w:u w:val="none"/>
          <w:lang w:val="ru-RU"/>
        </w:rPr>
        <w:t>необходимость предоставления приоритета</w:t>
      </w:r>
      <w:r w:rsidR="008F6E60" w:rsidRPr="006D6F42">
        <w:rPr>
          <w:u w:val="none"/>
          <w:lang w:val="ru-RU"/>
        </w:rPr>
        <w:t xml:space="preserve"> </w:t>
      </w:r>
      <w:r w:rsidR="00E06D08" w:rsidRPr="00C47467">
        <w:rPr>
          <w:u w:val="none"/>
          <w:lang w:val="ru-RU"/>
        </w:rPr>
        <w:t>кандидатам из развивающихся стран</w:t>
      </w:r>
      <w:r w:rsidR="00C47467">
        <w:rPr>
          <w:u w:val="none"/>
          <w:lang w:val="ru-RU"/>
        </w:rPr>
        <w:t>,</w:t>
      </w:r>
      <w:r w:rsidR="00E06D08" w:rsidRPr="006D6F42">
        <w:rPr>
          <w:u w:val="none"/>
          <w:lang w:val="ru-RU"/>
        </w:rPr>
        <w:t xml:space="preserve"> </w:t>
      </w:r>
      <w:r w:rsidR="00C47467" w:rsidRPr="00C47467">
        <w:rPr>
          <w:u w:val="none"/>
          <w:lang w:val="ru-RU"/>
        </w:rPr>
        <w:t>в целях удовлетворения конкретных потребностей развивающихся стран и улучшения географического представительства</w:t>
      </w:r>
      <w:r w:rsidR="00E06D08" w:rsidRPr="00C47467">
        <w:rPr>
          <w:u w:val="none"/>
          <w:lang w:val="ru-RU"/>
        </w:rPr>
        <w:t>;</w:t>
      </w:r>
    </w:p>
    <w:p w:rsidR="008F6E60" w:rsidRPr="0055054D" w:rsidRDefault="008F6E60" w:rsidP="00864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5054D">
        <w:rPr>
          <w:rFonts w:ascii="Arial" w:hAnsi="Arial" w:cs="Arial"/>
          <w:sz w:val="22"/>
          <w:szCs w:val="22"/>
          <w:u w:val="single"/>
          <w:lang w:val="ru-RU"/>
        </w:rPr>
        <w:t xml:space="preserve">Просит </w:t>
      </w:r>
      <w:r w:rsidR="00BF0B3E" w:rsidRPr="0055054D">
        <w:rPr>
          <w:rFonts w:ascii="Arial" w:hAnsi="Arial" w:cs="Arial"/>
          <w:sz w:val="22"/>
          <w:szCs w:val="22"/>
          <w:u w:val="single"/>
          <w:lang w:val="ru-RU"/>
        </w:rPr>
        <w:t>далее</w:t>
      </w:r>
      <w:r w:rsidR="00BF0B3E">
        <w:rPr>
          <w:rFonts w:ascii="Arial" w:hAnsi="Arial" w:cs="Arial"/>
          <w:sz w:val="22"/>
          <w:szCs w:val="22"/>
          <w:lang w:val="ru-RU"/>
        </w:rPr>
        <w:t xml:space="preserve"> </w:t>
      </w:r>
      <w:r w:rsidRPr="006D6F42">
        <w:rPr>
          <w:rFonts w:ascii="Arial" w:hAnsi="Arial" w:cs="Arial"/>
          <w:sz w:val="22"/>
          <w:szCs w:val="22"/>
          <w:lang w:val="ru-RU"/>
        </w:rPr>
        <w:t>Секретариат</w:t>
      </w:r>
      <w:r w:rsidRPr="00C47467">
        <w:rPr>
          <w:rFonts w:ascii="Arial" w:hAnsi="Arial" w:cs="Arial"/>
          <w:sz w:val="22"/>
          <w:szCs w:val="22"/>
          <w:lang w:val="ru-RU"/>
        </w:rPr>
        <w:t xml:space="preserve"> </w:t>
      </w:r>
      <w:r w:rsidR="00F62AED">
        <w:rPr>
          <w:rFonts w:ascii="Arial" w:hAnsi="Arial" w:cs="Arial"/>
          <w:sz w:val="22"/>
          <w:szCs w:val="22"/>
          <w:lang w:val="ru-RU"/>
        </w:rPr>
        <w:t xml:space="preserve">активизировать </w:t>
      </w:r>
      <w:r w:rsidRPr="00C47467">
        <w:rPr>
          <w:rFonts w:ascii="Arial" w:hAnsi="Arial" w:cs="Arial"/>
          <w:sz w:val="22"/>
          <w:szCs w:val="22"/>
          <w:lang w:val="ru-RU"/>
        </w:rPr>
        <w:t>усилия для оказания большей международной помощи</w:t>
      </w:r>
      <w:r w:rsidR="00BF0B3E">
        <w:rPr>
          <w:rFonts w:ascii="Arial" w:hAnsi="Arial" w:cs="Arial"/>
          <w:sz w:val="22"/>
          <w:szCs w:val="22"/>
          <w:lang w:val="ru-RU"/>
        </w:rPr>
        <w:t>,</w:t>
      </w:r>
      <w:r w:rsidRPr="00C47467">
        <w:rPr>
          <w:rFonts w:ascii="Arial" w:hAnsi="Arial" w:cs="Arial"/>
          <w:sz w:val="22"/>
          <w:szCs w:val="22"/>
          <w:lang w:val="ru-RU"/>
        </w:rPr>
        <w:t xml:space="preserve"> включая поддержку в подготовке перечней, наращивания потенциала и реализации инициатив </w:t>
      </w:r>
      <w:r w:rsidR="008D0E33">
        <w:rPr>
          <w:rFonts w:ascii="Arial" w:hAnsi="Arial" w:cs="Arial"/>
          <w:sz w:val="22"/>
          <w:szCs w:val="22"/>
          <w:lang w:val="ru-RU"/>
        </w:rPr>
        <w:t xml:space="preserve">по внедрению </w:t>
      </w:r>
      <w:r w:rsidRPr="00C47467">
        <w:rPr>
          <w:rFonts w:ascii="Arial" w:hAnsi="Arial" w:cs="Arial"/>
          <w:sz w:val="22"/>
          <w:szCs w:val="22"/>
          <w:lang w:val="ru-RU"/>
        </w:rPr>
        <w:t>нематериального культурного наследия в формально</w:t>
      </w:r>
      <w:r w:rsidR="008D0E33">
        <w:rPr>
          <w:rFonts w:ascii="Arial" w:hAnsi="Arial" w:cs="Arial"/>
          <w:sz w:val="22"/>
          <w:szCs w:val="22"/>
          <w:lang w:val="ru-RU"/>
        </w:rPr>
        <w:t>е</w:t>
      </w:r>
      <w:r w:rsidRPr="006D6F42">
        <w:rPr>
          <w:rFonts w:ascii="Arial" w:hAnsi="Arial" w:cs="Arial"/>
          <w:sz w:val="22"/>
          <w:szCs w:val="22"/>
          <w:lang w:val="ru-RU"/>
        </w:rPr>
        <w:t xml:space="preserve"> и неформально</w:t>
      </w:r>
      <w:r w:rsidR="008D0E33">
        <w:rPr>
          <w:rFonts w:ascii="Arial" w:hAnsi="Arial" w:cs="Arial"/>
          <w:sz w:val="22"/>
          <w:szCs w:val="22"/>
          <w:lang w:val="ru-RU"/>
        </w:rPr>
        <w:t>е</w:t>
      </w:r>
      <w:r w:rsidRPr="006D6F42">
        <w:rPr>
          <w:rFonts w:ascii="Arial" w:hAnsi="Arial" w:cs="Arial"/>
          <w:sz w:val="22"/>
          <w:szCs w:val="22"/>
          <w:lang w:val="ru-RU"/>
        </w:rPr>
        <w:t xml:space="preserve"> образовани</w:t>
      </w:r>
      <w:r w:rsidR="008D0E33">
        <w:rPr>
          <w:rFonts w:ascii="Arial" w:hAnsi="Arial" w:cs="Arial"/>
          <w:sz w:val="22"/>
          <w:szCs w:val="22"/>
          <w:lang w:val="ru-RU"/>
        </w:rPr>
        <w:t>е</w:t>
      </w:r>
      <w:r w:rsidR="00BF0B3E">
        <w:rPr>
          <w:rFonts w:ascii="Arial" w:hAnsi="Arial" w:cs="Arial"/>
          <w:sz w:val="22"/>
          <w:szCs w:val="22"/>
          <w:lang w:val="ru-RU"/>
        </w:rPr>
        <w:t>,</w:t>
      </w:r>
      <w:r w:rsidRPr="006D6F42">
        <w:rPr>
          <w:rFonts w:ascii="Arial" w:hAnsi="Arial" w:cs="Arial"/>
          <w:sz w:val="22"/>
          <w:szCs w:val="22"/>
          <w:lang w:val="ru-RU"/>
        </w:rPr>
        <w:t xml:space="preserve"> с целью </w:t>
      </w:r>
      <w:r w:rsidRPr="00C47467">
        <w:rPr>
          <w:rFonts w:ascii="Arial" w:hAnsi="Arial" w:cs="Arial"/>
          <w:sz w:val="22"/>
          <w:szCs w:val="22"/>
          <w:lang w:val="ru-RU"/>
        </w:rPr>
        <w:t>повышения эффективности и расширения охвата Конвенции на национальном</w:t>
      </w:r>
      <w:r w:rsidR="008D0E33">
        <w:rPr>
          <w:rFonts w:ascii="Arial" w:hAnsi="Arial" w:cs="Arial"/>
          <w:sz w:val="22"/>
          <w:szCs w:val="22"/>
          <w:lang w:val="ru-RU"/>
        </w:rPr>
        <w:t>,</w:t>
      </w:r>
      <w:r w:rsidRPr="006D6F42">
        <w:rPr>
          <w:rFonts w:ascii="Arial" w:hAnsi="Arial" w:cs="Arial"/>
          <w:sz w:val="22"/>
          <w:szCs w:val="22"/>
          <w:lang w:val="ru-RU"/>
        </w:rPr>
        <w:t xml:space="preserve"> ре</w:t>
      </w:r>
      <w:r w:rsidRPr="00C47467">
        <w:rPr>
          <w:rFonts w:ascii="Arial" w:hAnsi="Arial" w:cs="Arial"/>
          <w:sz w:val="22"/>
          <w:szCs w:val="22"/>
          <w:lang w:val="ru-RU"/>
        </w:rPr>
        <w:t>гиональном и глобальном уровнях;</w:t>
      </w:r>
    </w:p>
    <w:p w:rsidR="00CA3493" w:rsidRPr="00657DF9" w:rsidRDefault="00CA3493" w:rsidP="00864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657DF9">
        <w:rPr>
          <w:rFonts w:ascii="Arial" w:hAnsi="Arial" w:cs="Arial"/>
          <w:sz w:val="22"/>
          <w:szCs w:val="22"/>
          <w:u w:val="single"/>
          <w:lang w:val="ru-RU"/>
        </w:rPr>
        <w:t>Утверждает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план использования средств Фонда на период с 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января 2018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по 31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декабря 2019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г., а также на период с 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января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по 30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июня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г., который содержится в Приложении к данной Резолюции;</w:t>
      </w:r>
    </w:p>
    <w:p w:rsidR="00CA3493" w:rsidRPr="00657DF9" w:rsidRDefault="00CA3493" w:rsidP="008645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657DF9">
        <w:rPr>
          <w:rFonts w:ascii="Arial" w:hAnsi="Arial" w:cs="Arial"/>
          <w:sz w:val="22"/>
          <w:szCs w:val="22"/>
          <w:u w:val="single"/>
          <w:lang w:val="ru-RU"/>
        </w:rPr>
        <w:t>Сознаёт,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что во время своей восьмой сессии в июне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она сможет скорректировать план бюджета на период с 1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января 2020</w:t>
      </w:r>
      <w:r w:rsidRPr="00657DF9">
        <w:rPr>
          <w:rFonts w:ascii="Arial" w:hAnsi="Arial" w:cs="Arial"/>
          <w:sz w:val="22"/>
          <w:szCs w:val="22"/>
          <w:lang w:val="en-US"/>
        </w:rPr>
        <w:t> </w:t>
      </w:r>
      <w:r w:rsidRPr="00657DF9">
        <w:rPr>
          <w:rFonts w:ascii="Arial" w:hAnsi="Arial" w:cs="Arial"/>
          <w:sz w:val="22"/>
          <w:szCs w:val="22"/>
          <w:lang w:val="ru-RU"/>
        </w:rPr>
        <w:t>г. по 30 июня 2020 г.;</w:t>
      </w:r>
    </w:p>
    <w:p w:rsidR="00CA3493" w:rsidRPr="00657DF9" w:rsidRDefault="00CA3493" w:rsidP="008645B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657DF9"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Комитет незамедлительно использовать любые добровольные дополнительные взносы, которые могут быть получены в течение этих периодов, как это предусмотрено в статье 27 Конвенции, в соответствии с процентными соотношениями, указанными в плане;</w:t>
      </w:r>
    </w:p>
    <w:p w:rsidR="00CA3493" w:rsidRPr="00592696" w:rsidRDefault="00CA3493" w:rsidP="008645B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592696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далее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незамедлительно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взносы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могут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быть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получены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течение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этих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периодов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конкретные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связанные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определенными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проектами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условии,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проекты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были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одобрены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Комитетом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получения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данных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средств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592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 предусмотрено в статье 25.5 Конвенции;</w:t>
      </w:r>
    </w:p>
    <w:p w:rsidR="00CA3493" w:rsidRPr="008E42DB" w:rsidRDefault="00CA3493" w:rsidP="008645B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7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Принимает</w:t>
      </w:r>
      <w:r w:rsidRPr="008E42DB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во</w:t>
      </w:r>
      <w:r w:rsidRPr="008E42DB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внимание</w:t>
      </w:r>
      <w:r w:rsidRPr="008E42DB">
        <w:rPr>
          <w:rFonts w:ascii="Arial" w:hAnsi="Arial" w:cs="Arial"/>
          <w:sz w:val="22"/>
          <w:szCs w:val="22"/>
          <w:u w:val="single"/>
          <w:lang w:val="ru-RU"/>
        </w:rPr>
        <w:t>,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установил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объем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Резервного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фонда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E42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размере 1 млн долл.;</w:t>
      </w:r>
    </w:p>
    <w:p w:rsidR="00CA3493" w:rsidRPr="0096512B" w:rsidRDefault="00CA3493" w:rsidP="008645BB">
      <w:pPr>
        <w:pStyle w:val="5GAParaResolution"/>
        <w:numPr>
          <w:ilvl w:val="0"/>
          <w:numId w:val="6"/>
        </w:numPr>
        <w:ind w:left="570"/>
        <w:rPr>
          <w:lang w:val="ru-RU"/>
        </w:rPr>
      </w:pPr>
      <w:r>
        <w:rPr>
          <w:u w:val="single"/>
          <w:lang w:val="ru-RU"/>
        </w:rPr>
        <w:lastRenderedPageBreak/>
        <w:t>Принимает</w:t>
      </w:r>
      <w:r w:rsidRPr="00965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</w:t>
      </w:r>
      <w:r w:rsidRPr="00965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внимание</w:t>
      </w:r>
      <w:r w:rsidRPr="0096512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также</w:t>
      </w:r>
      <w:r w:rsidRPr="0096512B">
        <w:rPr>
          <w:u w:val="single"/>
          <w:lang w:val="ru-RU"/>
        </w:rPr>
        <w:t>,</w:t>
      </w:r>
      <w:r w:rsidRPr="0096512B">
        <w:rPr>
          <w:lang w:val="ru-RU"/>
        </w:rPr>
        <w:t xml:space="preserve"> </w:t>
      </w:r>
      <w:r>
        <w:rPr>
          <w:lang w:val="ru-RU"/>
        </w:rPr>
        <w:t>что</w:t>
      </w:r>
      <w:r w:rsidRPr="0096512B">
        <w:rPr>
          <w:lang w:val="ru-RU"/>
        </w:rPr>
        <w:t xml:space="preserve"> </w:t>
      </w:r>
      <w:r>
        <w:rPr>
          <w:lang w:val="ru-RU"/>
        </w:rPr>
        <w:t>доноры</w:t>
      </w:r>
      <w:r w:rsidRPr="0096512B">
        <w:rPr>
          <w:lang w:val="ru-RU"/>
        </w:rPr>
        <w:t xml:space="preserve">, </w:t>
      </w:r>
      <w:r>
        <w:rPr>
          <w:lang w:val="ru-RU"/>
        </w:rPr>
        <w:t>а</w:t>
      </w:r>
      <w:r w:rsidRPr="0096512B">
        <w:rPr>
          <w:lang w:val="ru-RU"/>
        </w:rPr>
        <w:t xml:space="preserve"> </w:t>
      </w:r>
      <w:r>
        <w:rPr>
          <w:lang w:val="ru-RU"/>
        </w:rPr>
        <w:t>именно</w:t>
      </w:r>
      <w:r w:rsidRPr="0096512B">
        <w:rPr>
          <w:lang w:val="ru-RU"/>
        </w:rPr>
        <w:t xml:space="preserve"> </w:t>
      </w:r>
      <w:r w:rsidRPr="00657DF9">
        <w:rPr>
          <w:lang w:val="ru-RU"/>
        </w:rPr>
        <w:t xml:space="preserve">Китай, </w:t>
      </w:r>
      <w:r w:rsidRPr="00952016">
        <w:rPr>
          <w:lang w:val="ru-RU"/>
        </w:rPr>
        <w:t xml:space="preserve">Марокко, </w:t>
      </w:r>
      <w:r w:rsidRPr="0034227E">
        <w:rPr>
          <w:lang w:val="ru-RU"/>
        </w:rPr>
        <w:t xml:space="preserve">Нидерланды, </w:t>
      </w:r>
      <w:r w:rsidRPr="00AF5E01">
        <w:rPr>
          <w:lang w:val="ru-RU"/>
        </w:rPr>
        <w:t>Объединенные Арабские Эмираты</w:t>
      </w:r>
      <w:r w:rsidRPr="00657DF9">
        <w:rPr>
          <w:lang w:val="ru-RU"/>
        </w:rPr>
        <w:t xml:space="preserve">, </w:t>
      </w:r>
      <w:r w:rsidRPr="00F27208">
        <w:rPr>
          <w:lang w:val="ru-RU"/>
        </w:rPr>
        <w:t>Республика Корея</w:t>
      </w:r>
      <w:r>
        <w:rPr>
          <w:lang w:val="ru-RU"/>
        </w:rPr>
        <w:t xml:space="preserve">, </w:t>
      </w:r>
      <w:r w:rsidRPr="00657DF9">
        <w:rPr>
          <w:lang w:val="ru-RU"/>
        </w:rPr>
        <w:t xml:space="preserve">Финляндия, </w:t>
      </w:r>
      <w:r w:rsidRPr="00F57A2B">
        <w:rPr>
          <w:lang w:val="ru-RU"/>
        </w:rPr>
        <w:t xml:space="preserve">Черногория и </w:t>
      </w:r>
      <w:r w:rsidRPr="00FE43C6">
        <w:rPr>
          <w:lang w:val="ru-RU"/>
        </w:rPr>
        <w:t xml:space="preserve">Япония, </w:t>
      </w:r>
      <w:r>
        <w:rPr>
          <w:lang w:val="ru-RU"/>
        </w:rPr>
        <w:t>в период после последней сессии внесли добровольные дополнительные взносы в Фонд;</w:t>
      </w:r>
    </w:p>
    <w:p w:rsidR="00CA3493" w:rsidRPr="00E10F34" w:rsidRDefault="00CA3493" w:rsidP="008645B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7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>Благодарит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всех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кто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оказал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поддержку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Секретариату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период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последней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сессии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используя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различные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виды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финансовой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неденежной</w:t>
      </w:r>
      <w:proofErr w:type="spellEnd"/>
      <w:r w:rsidRPr="00E10F34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такие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как</w:t>
      </w:r>
      <w:r w:rsidRPr="00E10F3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зарезервированные 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дополнительные добровольные взносы в Фонд нематериального культурного наследия или </w:t>
      </w:r>
      <w:r w:rsidRPr="000758F7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spellStart"/>
      <w:r w:rsidRPr="00657DF9">
        <w:rPr>
          <w:rFonts w:ascii="Arial" w:hAnsi="Arial" w:cs="Arial"/>
          <w:sz w:val="22"/>
          <w:szCs w:val="22"/>
          <w:lang w:val="ru-RU"/>
        </w:rPr>
        <w:t>субфонд</w:t>
      </w:r>
      <w:proofErr w:type="spellEnd"/>
      <w:r w:rsidRPr="00657DF9">
        <w:rPr>
          <w:rFonts w:ascii="Arial" w:hAnsi="Arial" w:cs="Arial"/>
          <w:sz w:val="22"/>
          <w:szCs w:val="22"/>
          <w:lang w:val="ru-RU"/>
        </w:rPr>
        <w:t xml:space="preserve"> для укрепления людских ресурсов</w:t>
      </w:r>
      <w:r w:rsidRPr="000758F7" w:rsidDel="00F57A2B">
        <w:rPr>
          <w:rFonts w:ascii="Arial" w:hAnsi="Arial" w:cs="Arial"/>
          <w:sz w:val="22"/>
          <w:szCs w:val="22"/>
          <w:lang w:val="ru-RU"/>
        </w:rPr>
        <w:t xml:space="preserve"> 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Секретариата, доверительные фонды и прикомандированный персонал, и </w:t>
      </w:r>
      <w:r w:rsidRPr="00657DF9">
        <w:rPr>
          <w:rFonts w:ascii="Arial" w:hAnsi="Arial" w:cs="Arial"/>
          <w:sz w:val="22"/>
          <w:szCs w:val="22"/>
          <w:u w:val="single"/>
          <w:lang w:val="ru-RU"/>
        </w:rPr>
        <w:t>призывает</w:t>
      </w:r>
      <w:r w:rsidRPr="00657DF9">
        <w:rPr>
          <w:rFonts w:ascii="Arial" w:hAnsi="Arial" w:cs="Arial"/>
          <w:sz w:val="22"/>
          <w:szCs w:val="22"/>
          <w:lang w:val="ru-RU"/>
        </w:rPr>
        <w:t xml:space="preserve"> другие государства рассмотреть возможность оказать</w:t>
      </w:r>
      <w:r>
        <w:rPr>
          <w:rFonts w:ascii="Arial" w:hAnsi="Arial" w:cs="Arial"/>
          <w:sz w:val="22"/>
          <w:szCs w:val="22"/>
          <w:lang w:val="ru-RU"/>
        </w:rPr>
        <w:t xml:space="preserve"> Конвенции поддержку любого рода, по их усмотрению;</w:t>
      </w:r>
    </w:p>
    <w:p w:rsidR="00B93724" w:rsidRPr="008645BB" w:rsidRDefault="00CA3493" w:rsidP="008645B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570"/>
        <w:jc w:val="both"/>
        <w:rPr>
          <w:rFonts w:ascii="Arial" w:hAnsi="Arial" w:cs="Arial"/>
          <w:sz w:val="22"/>
          <w:szCs w:val="22"/>
          <w:lang w:val="ru-RU"/>
        </w:rPr>
      </w:pPr>
      <w:r w:rsidRPr="00D21505">
        <w:rPr>
          <w:rFonts w:ascii="Arial" w:hAnsi="Arial" w:cs="Arial"/>
          <w:sz w:val="22"/>
          <w:szCs w:val="22"/>
          <w:u w:val="single"/>
          <w:lang w:val="ru-RU"/>
        </w:rPr>
        <w:t>Уполномочивает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 w:rsidRPr="00D21505">
        <w:rPr>
          <w:rFonts w:ascii="Arial" w:hAnsi="Arial" w:cs="Arial"/>
          <w:sz w:val="22"/>
          <w:szCs w:val="22"/>
          <w:lang w:val="ru-RU"/>
        </w:rPr>
        <w:t>Секретариат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осуществлять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переводы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бюджетными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статьями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4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6D34CC">
        <w:rPr>
          <w:rFonts w:ascii="Arial" w:hAnsi="Arial" w:cs="Arial"/>
          <w:sz w:val="22"/>
          <w:szCs w:val="22"/>
          <w:lang w:val="ru-RU"/>
        </w:rPr>
        <w:t xml:space="preserve"> 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5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6, </w:t>
      </w:r>
      <w:r>
        <w:rPr>
          <w:rFonts w:ascii="Arial" w:hAnsi="Arial" w:cs="Arial"/>
          <w:sz w:val="22"/>
          <w:szCs w:val="22"/>
          <w:lang w:val="ru-RU"/>
        </w:rPr>
        <w:t>предназначенными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оказания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финансовой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помощи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экспертам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представляющим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1A608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участников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представителям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аккредитованных неправительственных организаций для их участия в сессиях Комитета, его Президиума и вспомогательных органов, эквивалентные сумме до 30% от первоначальных ассигнований, и </w:t>
      </w:r>
      <w:r w:rsidRPr="001A608F">
        <w:rPr>
          <w:rFonts w:ascii="Arial" w:hAnsi="Arial" w:cs="Arial"/>
          <w:sz w:val="22"/>
          <w:szCs w:val="22"/>
          <w:u w:val="single"/>
          <w:lang w:val="ru-RU"/>
        </w:rPr>
        <w:t>просит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, чтобы Секретариат информировал Комитет и Генеральную ассамблею в письменной форме о подробностях и причинах </w:t>
      </w:r>
      <w:r>
        <w:rPr>
          <w:rFonts w:ascii="Arial" w:hAnsi="Arial" w:cs="Arial"/>
          <w:sz w:val="22"/>
          <w:szCs w:val="22"/>
          <w:lang w:val="ru-RU"/>
        </w:rPr>
        <w:t>таких</w:t>
      </w:r>
      <w:r w:rsidRPr="001A608F">
        <w:rPr>
          <w:rFonts w:ascii="Arial" w:hAnsi="Arial" w:cs="Arial"/>
          <w:sz w:val="22"/>
          <w:szCs w:val="22"/>
          <w:lang w:val="ru-RU"/>
        </w:rPr>
        <w:t xml:space="preserve"> переводов на сессии, следующей за принятием подобных мер.</w:t>
      </w:r>
    </w:p>
    <w:p w:rsidR="00621829" w:rsidRPr="008645BB" w:rsidRDefault="00CA3493" w:rsidP="008645BB">
      <w:pPr>
        <w:widowControl w:val="0"/>
        <w:spacing w:before="240" w:after="2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C7279">
        <w:rPr>
          <w:rFonts w:ascii="Arial" w:hAnsi="Arial" w:cs="Arial"/>
          <w:b/>
          <w:sz w:val="22"/>
          <w:szCs w:val="22"/>
          <w:lang w:val="ru-RU"/>
        </w:rPr>
        <w:t>ПРИЛОЖЕНИЕ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52"/>
        <w:gridCol w:w="1374"/>
        <w:gridCol w:w="19"/>
        <w:gridCol w:w="1169"/>
        <w:gridCol w:w="1379"/>
      </w:tblGrid>
      <w:tr w:rsidR="0085372D" w:rsidRPr="007B6599" w:rsidTr="008645BB">
        <w:trPr>
          <w:trHeight w:val="386"/>
          <w:jc w:val="center"/>
        </w:trPr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72D" w:rsidRPr="00BF4F78" w:rsidRDefault="000677A7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</w:t>
            </w:r>
            <w:r w:rsidR="0085372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лан</w:t>
            </w:r>
            <w:r w:rsidR="0085372D" w:rsidRPr="00BF4F7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5372D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использования средств Фонда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72D" w:rsidRPr="00BF4F78" w:rsidRDefault="0085372D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372D" w:rsidRPr="00BF4F78" w:rsidRDefault="0085372D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5372D" w:rsidRPr="00C23D8A" w:rsidTr="008645BB">
        <w:trPr>
          <w:trHeight w:val="964"/>
          <w:jc w:val="center"/>
        </w:trPr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71C" w:rsidRPr="000758F7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2018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31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декабря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2019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также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период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1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января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30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июня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 w:rsidRPr="00A4407C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средства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Фонда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можно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использовать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следующих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целей</w:t>
            </w:r>
            <w:r w:rsidRPr="000758F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</w:t>
            </w: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общей</w:t>
            </w: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предлагае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-мой суммы на </w:t>
            </w:r>
            <w:r w:rsidRPr="00F67E62">
              <w:rPr>
                <w:rFonts w:ascii="Arial" w:hAnsi="Arial" w:cs="Arial"/>
                <w:sz w:val="18"/>
                <w:szCs w:val="18"/>
                <w:lang w:val="ru-RU"/>
              </w:rPr>
              <w:t>2018-2019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 гг.</w:t>
            </w:r>
            <w:r w:rsidRPr="0055054D">
              <w:rPr>
                <w:rStyle w:val="FootnoteReference"/>
                <w:rFonts w:ascii="Arial" w:hAnsi="Arial" w:cs="Arial"/>
                <w:sz w:val="18"/>
                <w:szCs w:val="18"/>
                <w:highlight w:val="yellow"/>
                <w:lang w:val="en-GB"/>
              </w:rPr>
              <w:footnoteReference w:id="1"/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Pr="00F00088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Ориентировочная сумма на </w:t>
            </w:r>
            <w:r w:rsidRPr="00FC7DA9">
              <w:rPr>
                <w:rFonts w:ascii="Arial" w:hAnsi="Arial" w:cs="Arial"/>
                <w:sz w:val="18"/>
                <w:szCs w:val="18"/>
                <w:lang w:val="en-GB"/>
              </w:rPr>
              <w:t>2018-2019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Pr="00F00088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Ориентиро-вочная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сумма на янв.-июнь</w:t>
            </w:r>
            <w:r w:rsidRPr="00F00088">
              <w:rPr>
                <w:rFonts w:ascii="Arial" w:hAnsi="Arial" w:cs="Arial"/>
                <w:sz w:val="18"/>
                <w:szCs w:val="18"/>
                <w:lang w:val="ru-RU"/>
              </w:rPr>
              <w:t xml:space="preserve"> 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г.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246AC7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Международная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помощь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которая включает охрану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включенного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Список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нуждающегося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срочной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подготовку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перечней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поддержку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проектов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мероприятий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246A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55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4 514 530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128 632</w:t>
            </w:r>
          </w:p>
          <w:p w:rsidR="00FC571C" w:rsidRPr="00DC62E0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</w:p>
        </w:tc>
      </w:tr>
      <w:tr w:rsidR="0085372D" w:rsidRPr="00CC1DE5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1.1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71C" w:rsidRPr="0014132B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Укрепление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кадровых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ресурсов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улучшения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механизмов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путем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создания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трех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внебюджетных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должностей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 определенный срок 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56A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3,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56A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 одной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F56AD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14132B">
              <w:rPr>
                <w:rFonts w:ascii="Arial" w:hAnsi="Arial" w:cs="Arial"/>
                <w:sz w:val="18"/>
                <w:szCs w:val="18"/>
                <w:lang w:val="ru-RU"/>
              </w:rPr>
              <w:t>5);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704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456</w:t>
            </w:r>
          </w:p>
          <w:p w:rsidR="00FC571C" w:rsidRPr="00DC62E0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114</w:t>
            </w:r>
          </w:p>
          <w:p w:rsidR="00FC571C" w:rsidRPr="00DC62E0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864A88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Помощь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подготовке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заявок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получение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международной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номинационных</w:t>
            </w:r>
            <w:proofErr w:type="spellEnd"/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досье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включение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Список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нуждающегося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срочной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предложений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Реестр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передовых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864A88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637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909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1C" w:rsidRPr="001103F6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Другие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функции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Комитета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предусмотренные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статье</w:t>
            </w:r>
            <w:r w:rsidRPr="00864A88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направленные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содействие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достижению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целей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Конвенции,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поощрению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обеспечению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мониторинга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выполнения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особенности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путем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укрепления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потенциала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эффективной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нематериального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культурного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повышения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осведомленности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важности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такого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наследия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предоставления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консультаций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относительно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передовой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обновления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публикации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Списков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Реестра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передовых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практик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охране</w:t>
            </w:r>
            <w:r w:rsidRPr="001103F6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718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184</w:t>
            </w:r>
          </w:p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546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5372D" w:rsidRPr="00C614E0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4.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1103F6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Участие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экспертов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области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нематериального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культурного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наследия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представляющих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развивающиеся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государства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члены Комитета, в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сессиях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его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Президиума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вспомогательных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органов</w:t>
            </w:r>
            <w:r w:rsidRPr="001103F6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</w:pP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00%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Pr="000758F7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171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818</w:t>
            </w:r>
          </w:p>
          <w:p w:rsidR="00FC571C" w:rsidRPr="000758F7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Pr="000758F7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>955</w:t>
            </w:r>
          </w:p>
          <w:p w:rsidR="00FC571C" w:rsidRPr="000758F7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758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758F7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8F7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>5.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55A14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Участие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экспертов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области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нематериального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культурного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наследия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развивающихся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участник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Конвенции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являющихся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членами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сессиях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его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консультативных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органах</w:t>
            </w:r>
            <w:r w:rsidRPr="00055A14">
              <w:rPr>
                <w:rFonts w:ascii="Arial" w:hAnsi="Arial" w:cs="Arial"/>
                <w:bCs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5%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205</w:t>
            </w:r>
          </w:p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801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6.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1C" w:rsidRPr="00D31F06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Участие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государственных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частных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организаций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отдельных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частных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лиц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особенности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членов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сообществ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групп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приглашенных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Комитетом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для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консультаций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конкретным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вопросам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также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экспертов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области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нематериального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культурного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наследия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представляющих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аккредитованные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НПО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развивающихся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государств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сесси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ях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его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Президиума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консультативных</w:t>
            </w:r>
            <w:r w:rsidRPr="00631A2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органов</w:t>
            </w:r>
            <w:r w:rsidRPr="00D31F06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4,0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637</w:t>
            </w:r>
          </w:p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909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  <w:tr w:rsidR="0085372D" w:rsidRPr="000C3818" w:rsidTr="008645BB">
        <w:trPr>
          <w:trHeight w:val="73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7.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1C" w:rsidRPr="00A135C0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Покрытие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расходов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консультационные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услуги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представленные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просьбе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Комитета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том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числе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оказание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поддержки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развивающимся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странам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чьи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представители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были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назначены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Оценочный</w:t>
            </w:r>
            <w:r w:rsidRPr="00D31F0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орган</w:t>
            </w:r>
            <w:r w:rsidRPr="00A135C0">
              <w:rPr>
                <w:rFonts w:ascii="Arial" w:hAnsi="Arial" w:cs="Arial"/>
                <w:sz w:val="18"/>
                <w:szCs w:val="18"/>
                <w:lang w:val="ru-RU"/>
              </w:rPr>
              <w:t>;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>00%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515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455</w:t>
            </w:r>
          </w:p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128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864</w:t>
            </w:r>
          </w:p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3818">
              <w:rPr>
                <w:rFonts w:ascii="Arial" w:hAnsi="Arial" w:cs="Arial"/>
                <w:bCs/>
                <w:sz w:val="20"/>
                <w:szCs w:val="20"/>
                <w:lang w:val="en-GB"/>
              </w:rPr>
              <w:t>8.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71C" w:rsidRPr="00976F13" w:rsidRDefault="00FC571C" w:rsidP="008645BB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Формирование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Резервного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E74685"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фонда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соответствии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статьей</w:t>
            </w:r>
            <w:r w:rsidRPr="004C5B17">
              <w:rPr>
                <w:rFonts w:ascii="Arial" w:hAnsi="Arial" w:cs="Arial"/>
                <w:bCs/>
                <w:sz w:val="18"/>
                <w:szCs w:val="18"/>
                <w:lang w:val="en-GB"/>
              </w:rPr>
              <w:t> 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6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Положения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финансах</w:t>
            </w:r>
            <w:r w:rsidRPr="00976F1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Фонда</w:t>
            </w:r>
            <w:r w:rsidRPr="00976F13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C571C" w:rsidRPr="000C3818" w:rsidRDefault="00FC571C" w:rsidP="008645BB">
            <w:pPr>
              <w:widowControl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85372D" w:rsidRPr="000C3818" w:rsidTr="008645BB">
        <w:trPr>
          <w:trHeight w:val="255"/>
          <w:jc w:val="center"/>
        </w:trPr>
        <w:tc>
          <w:tcPr>
            <w:tcW w:w="2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1C" w:rsidRPr="000C3818" w:rsidRDefault="00FC571C" w:rsidP="008645B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71C" w:rsidRPr="0055054D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100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00%</w:t>
            </w:r>
          </w:p>
        </w:tc>
        <w:tc>
          <w:tcPr>
            <w:tcW w:w="61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590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922</w:t>
            </w:r>
          </w:p>
          <w:p w:rsidR="00FC571C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долларов</w:t>
            </w:r>
            <w:r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71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71C" w:rsidRPr="000C3818" w:rsidRDefault="00FC571C" w:rsidP="008645BB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147</w:t>
            </w:r>
            <w:r w:rsidRPr="004C5B1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731</w:t>
            </w:r>
            <w:r w:rsidR="00AB732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долларов</w:t>
            </w:r>
            <w:r w:rsidR="00AB7328" w:rsidRPr="000C38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CA3493" w:rsidRPr="009C2819" w:rsidRDefault="00CA3493" w:rsidP="008645BB">
      <w:pPr>
        <w:pStyle w:val="COMTitleDecision"/>
        <w:spacing w:before="360"/>
        <w:ind w:left="0"/>
        <w:rPr>
          <w:lang w:val="ru-RU"/>
        </w:rPr>
      </w:pPr>
      <w:r>
        <w:rPr>
          <w:lang w:val="ru-RU"/>
        </w:rPr>
        <w:t>РЕЗОЛЮЦИ</w:t>
      </w:r>
      <w:r w:rsidR="00031D73">
        <w:rPr>
          <w:lang w:val="ru-RU"/>
        </w:rPr>
        <w:t>Я</w:t>
      </w:r>
      <w:r w:rsidRPr="009C2819">
        <w:rPr>
          <w:lang w:val="ru-RU"/>
        </w:rPr>
        <w:t xml:space="preserve"> 7.</w:t>
      </w:r>
      <w:r>
        <w:t>GA </w:t>
      </w:r>
      <w:r w:rsidRPr="009C2819">
        <w:rPr>
          <w:lang w:val="ru-RU"/>
        </w:rPr>
        <w:t>9</w:t>
      </w:r>
    </w:p>
    <w:p w:rsidR="00CA3493" w:rsidRPr="009C2819" w:rsidRDefault="00CA3493" w:rsidP="008645BB">
      <w:pPr>
        <w:pStyle w:val="COMPreambulaDecisions"/>
        <w:ind w:left="0"/>
        <w:rPr>
          <w:lang w:val="ru-RU"/>
        </w:rPr>
      </w:pPr>
      <w:r>
        <w:rPr>
          <w:lang w:val="ru-RU"/>
        </w:rPr>
        <w:t>Генеральная ассамблея</w:t>
      </w:r>
      <w:r w:rsidRPr="009C2819">
        <w:rPr>
          <w:lang w:val="ru-RU"/>
        </w:rPr>
        <w:t>,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>Рассмотрев</w:t>
      </w:r>
      <w:r w:rsidRPr="0055054D">
        <w:rPr>
          <w:u w:val="none"/>
          <w:lang w:val="ru-RU"/>
        </w:rPr>
        <w:t xml:space="preserve"> документ </w:t>
      </w:r>
      <w:hyperlink r:id="rId19" w:history="1">
        <w:r w:rsidRPr="0055054D">
          <w:rPr>
            <w:rStyle w:val="Hyperlink"/>
          </w:rPr>
          <w:t>ITH</w:t>
        </w:r>
        <w:r w:rsidRPr="0055054D">
          <w:rPr>
            <w:rStyle w:val="Hyperlink"/>
            <w:lang w:val="ru-RU"/>
          </w:rPr>
          <w:t>/18/7.</w:t>
        </w:r>
        <w:r w:rsidRPr="0055054D">
          <w:rPr>
            <w:rStyle w:val="Hyperlink"/>
          </w:rPr>
          <w:t>GA</w:t>
        </w:r>
        <w:r w:rsidRPr="0055054D">
          <w:rPr>
            <w:rStyle w:val="Hyperlink"/>
            <w:lang w:val="ru-RU"/>
          </w:rPr>
          <w:t>/9</w:t>
        </w:r>
      </w:hyperlink>
      <w:r w:rsidRPr="0055054D">
        <w:rPr>
          <w:u w:val="none"/>
          <w:lang w:val="ru-RU"/>
        </w:rPr>
        <w:t xml:space="preserve"> и приложение к нему,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 xml:space="preserve">Выражая </w:t>
      </w:r>
      <w:r w:rsidRPr="00C56139">
        <w:rPr>
          <w:lang w:val="ru-RU"/>
        </w:rPr>
        <w:t>благодарность</w:t>
      </w:r>
      <w:r w:rsidRPr="0055054D">
        <w:rPr>
          <w:u w:val="none"/>
          <w:lang w:val="ru-RU"/>
        </w:rPr>
        <w:t xml:space="preserve"> Китайской Народной Республике за то, что она выступила организатором и участвовала в финансировании встречи экспертов в сентябре 2016</w:t>
      </w:r>
      <w:r w:rsidRPr="0055054D">
        <w:rPr>
          <w:u w:val="none"/>
          <w:lang w:val="en-US"/>
        </w:rPr>
        <w:t> </w:t>
      </w:r>
      <w:r w:rsidRPr="0055054D">
        <w:rPr>
          <w:u w:val="none"/>
          <w:lang w:val="ru-RU"/>
        </w:rPr>
        <w:t>г., а также межправительственной рабочей группы открытого состава в июне 2017 г., имевших решающее значение для разработки общей системы оценки результатов,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>Утверждает</w:t>
      </w:r>
      <w:r w:rsidRPr="0055054D">
        <w:rPr>
          <w:u w:val="none"/>
          <w:lang w:val="ru-RU"/>
        </w:rPr>
        <w:t xml:space="preserve"> общую систему оценки результатов для Конвенции 2003</w:t>
      </w:r>
      <w:r w:rsidRPr="0055054D">
        <w:rPr>
          <w:u w:val="none"/>
          <w:lang w:val="en-US"/>
        </w:rPr>
        <w:t> </w:t>
      </w:r>
      <w:r w:rsidRPr="0055054D">
        <w:rPr>
          <w:u w:val="none"/>
          <w:lang w:val="ru-RU"/>
        </w:rPr>
        <w:t>г., содержащуюся в приложении к настоящей резолюции;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 xml:space="preserve">Принимает </w:t>
      </w:r>
      <w:r w:rsidRPr="00C56139">
        <w:rPr>
          <w:lang w:val="ru-RU"/>
        </w:rPr>
        <w:t>к сведению</w:t>
      </w:r>
      <w:r w:rsidRPr="0055054D">
        <w:rPr>
          <w:u w:val="none"/>
          <w:lang w:val="ru-RU"/>
        </w:rPr>
        <w:t xml:space="preserve">, что общая система оценки результатов потребует пересмотра формы </w:t>
      </w:r>
      <w:r w:rsidRPr="0055054D">
        <w:rPr>
          <w:u w:val="none"/>
        </w:rPr>
        <w:t>ICH</w:t>
      </w:r>
      <w:r w:rsidRPr="0055054D">
        <w:rPr>
          <w:u w:val="none"/>
          <w:lang w:val="ru-RU"/>
        </w:rPr>
        <w:t xml:space="preserve">-10 для представления периодических докладов, и </w:t>
      </w:r>
      <w:r w:rsidRPr="00C47467">
        <w:rPr>
          <w:lang w:val="ru-RU"/>
        </w:rPr>
        <w:t>просит</w:t>
      </w:r>
      <w:r w:rsidRPr="0055054D">
        <w:rPr>
          <w:u w:val="none"/>
          <w:lang w:val="ru-RU"/>
        </w:rPr>
        <w:t xml:space="preserve"> Секретариат пересмотреть эту форму соответствующим образом;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>Призывает</w:t>
      </w:r>
      <w:r w:rsidRPr="0055054D">
        <w:rPr>
          <w:u w:val="none"/>
          <w:lang w:val="ru-RU"/>
        </w:rPr>
        <w:t xml:space="preserve"> Секретариат продолжить подготовку руководящих указаний и других информационных материалов для оказания поддержки государствам-участникам и другим действующим лицам в реализации ими общей системы оценки результатов, включая определение базисных и целевых показателей на </w:t>
      </w:r>
      <w:proofErr w:type="spellStart"/>
      <w:r w:rsidRPr="0055054D">
        <w:rPr>
          <w:u w:val="none"/>
          <w:lang w:val="ru-RU"/>
        </w:rPr>
        <w:t>страновом</w:t>
      </w:r>
      <w:proofErr w:type="spellEnd"/>
      <w:r w:rsidRPr="0055054D">
        <w:rPr>
          <w:u w:val="none"/>
          <w:lang w:val="ru-RU"/>
        </w:rPr>
        <w:t xml:space="preserve"> уровне;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 xml:space="preserve">Призывает </w:t>
      </w:r>
      <w:r w:rsidRPr="00C56139">
        <w:rPr>
          <w:lang w:val="ru-RU"/>
        </w:rPr>
        <w:t>далее</w:t>
      </w:r>
      <w:r w:rsidRPr="0055054D">
        <w:rPr>
          <w:u w:val="none"/>
          <w:lang w:val="ru-RU"/>
        </w:rPr>
        <w:t xml:space="preserve"> Секретариат разработать предварительные целевые показатели и, по возможности, базисные показатели для реализации общей системы оценки результатов на глобальном уровне;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>Предлагает</w:t>
      </w:r>
      <w:r w:rsidRPr="0055054D">
        <w:rPr>
          <w:u w:val="none"/>
          <w:lang w:val="ru-RU"/>
        </w:rPr>
        <w:t xml:space="preserve"> Секретариату разработать подход к укреплению потенциала, с необходимыми материалами для представления периодических докладов, согласованными с общей системой оценки результатов, и, при условии наличия внебюджетных средств и в контексте существующей глобальной программы по укреплению потенциала, запланировать и реализовать мероприятия по укреплению потенциала для оказания поддержки государствам-участникам и другим действующим лицам в их реализации общей системы оценки результатов и представлении периодических докладов;</w:t>
      </w:r>
    </w:p>
    <w:p w:rsidR="00CA3493" w:rsidRPr="0055054D" w:rsidRDefault="00CA3493" w:rsidP="008645BB">
      <w:pPr>
        <w:pStyle w:val="COMParaDecision"/>
        <w:numPr>
          <w:ilvl w:val="0"/>
          <w:numId w:val="37"/>
        </w:numPr>
        <w:tabs>
          <w:tab w:val="left" w:pos="567"/>
          <w:tab w:val="left" w:pos="1134"/>
          <w:tab w:val="left" w:pos="1701"/>
        </w:tabs>
        <w:ind w:left="567" w:hanging="567"/>
        <w:rPr>
          <w:u w:val="none"/>
          <w:lang w:val="ru-RU"/>
        </w:rPr>
      </w:pPr>
      <w:r w:rsidRPr="00C47467">
        <w:rPr>
          <w:lang w:val="ru-RU"/>
        </w:rPr>
        <w:t xml:space="preserve">Предлагает </w:t>
      </w:r>
      <w:r w:rsidRPr="00C56139">
        <w:rPr>
          <w:lang w:val="ru-RU"/>
        </w:rPr>
        <w:t>далее</w:t>
      </w:r>
      <w:r w:rsidRPr="0055054D">
        <w:rPr>
          <w:u w:val="none"/>
          <w:lang w:val="ru-RU"/>
        </w:rPr>
        <w:t xml:space="preserve"> государствам-участникам вносить добровольные дополнительные взносы в Фонд нематериального культурного наследия для поддержки реализации подобных мероприятий по укреплению потенциала.</w:t>
      </w:r>
    </w:p>
    <w:p w:rsidR="00CA3493" w:rsidRDefault="00CA3493" w:rsidP="00CA3493">
      <w:pPr>
        <w:pStyle w:val="GAParaResolution"/>
        <w:rPr>
          <w:lang w:val="ru-RU"/>
        </w:rPr>
      </w:pPr>
    </w:p>
    <w:p w:rsidR="00CA3493" w:rsidRDefault="00CA3493" w:rsidP="00CA3493">
      <w:pPr>
        <w:pStyle w:val="GAParaResolution"/>
        <w:rPr>
          <w:lang w:val="ru-RU"/>
        </w:rPr>
        <w:sectPr w:rsidR="00CA3493" w:rsidSect="00655736">
          <w:headerReference w:type="even" r:id="rId20"/>
          <w:headerReference w:type="default" r:id="rId21"/>
          <w:headerReference w:type="first" r:id="rId22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:rsidR="00CA3493" w:rsidRPr="00172BB4" w:rsidRDefault="00CA3493" w:rsidP="00CA3493">
      <w:pPr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u w:val="single"/>
          <w:lang w:val="ru-RU"/>
        </w:rPr>
        <w:lastRenderedPageBreak/>
        <w:t>ПРИЛОЖЕНИЕ</w:t>
      </w:r>
    </w:p>
    <w:p w:rsidR="00CA3493" w:rsidRPr="00172BB4" w:rsidRDefault="00CA3493" w:rsidP="00CA3493">
      <w:pPr>
        <w:spacing w:after="360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Общ</w:t>
      </w:r>
      <w:r w:rsidR="00FF017C">
        <w:rPr>
          <w:rFonts w:ascii="Arial" w:hAnsi="Arial" w:cs="Arial"/>
          <w:b/>
          <w:sz w:val="20"/>
          <w:szCs w:val="20"/>
          <w:lang w:val="ru-RU"/>
        </w:rPr>
        <w:t>ая</w:t>
      </w:r>
      <w:r>
        <w:rPr>
          <w:rFonts w:ascii="Arial" w:hAnsi="Arial" w:cs="Arial"/>
          <w:b/>
          <w:sz w:val="20"/>
          <w:szCs w:val="20"/>
          <w:lang w:val="ru-RU"/>
        </w:rPr>
        <w:t xml:space="preserve"> систем</w:t>
      </w:r>
      <w:r w:rsidR="00FF017C">
        <w:rPr>
          <w:rFonts w:ascii="Arial" w:hAnsi="Arial" w:cs="Arial"/>
          <w:b/>
          <w:sz w:val="20"/>
          <w:szCs w:val="20"/>
          <w:lang w:val="ru-RU"/>
        </w:rPr>
        <w:t>а</w:t>
      </w:r>
      <w:r>
        <w:rPr>
          <w:rFonts w:ascii="Arial" w:hAnsi="Arial" w:cs="Arial"/>
          <w:b/>
          <w:sz w:val="20"/>
          <w:szCs w:val="20"/>
          <w:lang w:val="ru-RU"/>
        </w:rPr>
        <w:t xml:space="preserve"> оценки результатов</w:t>
      </w:r>
      <w:r w:rsidR="00871C63">
        <w:rPr>
          <w:rFonts w:ascii="Arial" w:hAnsi="Arial" w:cs="Arial"/>
          <w:b/>
          <w:sz w:val="20"/>
          <w:szCs w:val="20"/>
          <w:lang w:val="ru-RU"/>
        </w:rPr>
        <w:t xml:space="preserve"> для Конвенции 2003 г.</w:t>
      </w:r>
    </w:p>
    <w:p w:rsidR="00CA3493" w:rsidRPr="004465F5" w:rsidRDefault="00CA3493" w:rsidP="00CA3493">
      <w:pPr>
        <w:spacing w:after="120"/>
        <w:rPr>
          <w:rFonts w:ascii="Arial" w:hAnsi="Arial" w:cs="Arial"/>
          <w:b/>
          <w:smallCaps/>
          <w:sz w:val="20"/>
          <w:szCs w:val="20"/>
          <w:lang w:val="ru-RU"/>
        </w:rPr>
      </w:pPr>
      <w:r w:rsidRPr="004465F5">
        <w:rPr>
          <w:rFonts w:ascii="Arial" w:hAnsi="Arial" w:cs="Arial"/>
          <w:b/>
          <w:smallCaps/>
          <w:sz w:val="20"/>
          <w:szCs w:val="20"/>
          <w:lang w:val="ru-RU"/>
        </w:rPr>
        <w:t>Таблица 1: Структура высокого уровня с краткими показателями</w:t>
      </w:r>
    </w:p>
    <w:tbl>
      <w:tblPr>
        <w:tblW w:w="5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133"/>
        <w:gridCol w:w="1653"/>
        <w:gridCol w:w="53"/>
        <w:gridCol w:w="1594"/>
        <w:gridCol w:w="1740"/>
        <w:gridCol w:w="72"/>
        <w:gridCol w:w="1425"/>
        <w:gridCol w:w="1547"/>
        <w:gridCol w:w="19"/>
        <w:gridCol w:w="2049"/>
        <w:gridCol w:w="1661"/>
      </w:tblGrid>
      <w:tr w:rsidR="009E4187" w:rsidRPr="00C23D8A" w:rsidTr="00D267EF">
        <w:trPr>
          <w:cantSplit/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9E4187" w:rsidRPr="00A8072E" w:rsidRDefault="009E4187" w:rsidP="00031D73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D11679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Последствия</w:t>
            </w:r>
          </w:p>
        </w:tc>
        <w:tc>
          <w:tcPr>
            <w:tcW w:w="4471" w:type="pct"/>
            <w:gridSpan w:val="11"/>
            <w:shd w:val="clear" w:color="auto" w:fill="auto"/>
            <w:vAlign w:val="center"/>
          </w:tcPr>
          <w:p w:rsidR="009E4187" w:rsidRPr="00CA3493" w:rsidRDefault="009E4187">
            <w:pPr>
              <w:rPr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сохраняется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сообществами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группами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отдельными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лицами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которые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осуществляют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активное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постоянное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руководство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им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тем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самым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способствуя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устойчивому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развитию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для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роста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благосостояния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достоинства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творчества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людей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в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мирных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инклюзивных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обществах</w:t>
            </w:r>
            <w:r w:rsidRPr="003014A9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</w:tr>
      <w:tr w:rsidR="006F4F69" w:rsidRPr="00C23D8A" w:rsidTr="00D267EF">
        <w:trPr>
          <w:cantSplit/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6F4F69" w:rsidRPr="00A8072E" w:rsidRDefault="006F4F69" w:rsidP="00031D73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Долгосрочные результаты</w:t>
            </w:r>
          </w:p>
        </w:tc>
        <w:tc>
          <w:tcPr>
            <w:tcW w:w="1214" w:type="pct"/>
            <w:gridSpan w:val="2"/>
            <w:shd w:val="clear" w:color="auto" w:fill="auto"/>
            <w:vAlign w:val="center"/>
          </w:tcPr>
          <w:p w:rsidR="006F4F69" w:rsidRPr="007C2B85" w:rsidRDefault="006F4F69" w:rsidP="00031D73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Обеспечение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непрерывной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практики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передачи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культурного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наследия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086" w:type="pct"/>
            <w:gridSpan w:val="3"/>
            <w:shd w:val="clear" w:color="auto" w:fill="auto"/>
            <w:vAlign w:val="center"/>
          </w:tcPr>
          <w:p w:rsidR="006F4F69" w:rsidRPr="007C2B85" w:rsidRDefault="006F4F69" w:rsidP="00031D73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Уважение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разнообразия</w:t>
            </w:r>
            <w:r w:rsidRPr="007C2B8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 культурного наследия.</w:t>
            </w:r>
          </w:p>
        </w:tc>
        <w:tc>
          <w:tcPr>
            <w:tcW w:w="976" w:type="pct"/>
            <w:gridSpan w:val="3"/>
            <w:shd w:val="clear" w:color="auto" w:fill="auto"/>
            <w:vAlign w:val="center"/>
          </w:tcPr>
          <w:p w:rsidR="006F4F69" w:rsidRPr="005A39B3" w:rsidRDefault="006F4F69" w:rsidP="00031D73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Обеспечение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признания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осознания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важности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культурного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наследия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его</w:t>
            </w:r>
            <w:r w:rsidRPr="005A39B3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охраны.</w:t>
            </w:r>
          </w:p>
          <w:p w:rsidR="006F4F69" w:rsidRPr="00CA3493" w:rsidRDefault="006F4F69" w:rsidP="001A000C">
            <w:pPr>
              <w:rPr>
                <w:lang w:val="ru-RU"/>
              </w:rPr>
            </w:pPr>
          </w:p>
        </w:tc>
        <w:tc>
          <w:tcPr>
            <w:tcW w:w="1196" w:type="pct"/>
            <w:gridSpan w:val="3"/>
            <w:shd w:val="clear" w:color="auto" w:fill="auto"/>
            <w:vAlign w:val="center"/>
          </w:tcPr>
          <w:p w:rsidR="006F4F69" w:rsidRPr="00CA3493" w:rsidRDefault="006F4F69" w:rsidP="006F4F69">
            <w:pPr>
              <w:spacing w:before="60" w:after="60"/>
              <w:rPr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Взаимодействие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международное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сотрудничество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целью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обеспечения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охраны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среди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всех</w:t>
            </w:r>
            <w:r w:rsidRPr="00951B2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заинтересованных сторон на всех уровнях.</w:t>
            </w:r>
          </w:p>
        </w:tc>
      </w:tr>
      <w:tr w:rsidR="001A000C" w:rsidRPr="00C23D8A" w:rsidTr="00D267EF">
        <w:trPr>
          <w:cantSplit/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1A000C" w:rsidRPr="00D40733" w:rsidRDefault="006F4F69" w:rsidP="00031D73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Среднесроч</w:t>
            </w:r>
            <w:r w:rsidR="001A000C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ные результаты</w:t>
            </w:r>
          </w:p>
        </w:tc>
        <w:tc>
          <w:tcPr>
            <w:tcW w:w="4471" w:type="pct"/>
            <w:gridSpan w:val="11"/>
            <w:shd w:val="clear" w:color="auto" w:fill="auto"/>
            <w:vAlign w:val="center"/>
          </w:tcPr>
          <w:p w:rsidR="001A000C" w:rsidRPr="00CF5A76" w:rsidRDefault="001A000C" w:rsidP="00031D73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Эффективные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взаимоотношения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между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разнообразными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сообществами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группами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отдельными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лицами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а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также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другими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заинтересованными сторонами с целью охраны нематериального культурного наследия</w:t>
            </w:r>
            <w:r w:rsidRPr="00CF5A76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  <w:p w:rsidR="001A000C" w:rsidRPr="00CA3493" w:rsidRDefault="001A000C">
            <w:pPr>
              <w:rPr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Динамичное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развитие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реализация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мер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планов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охране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конкретных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элементов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культурного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наследия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под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руководством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разнообразных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сообществ</w:t>
            </w:r>
            <w:r w:rsidRPr="00B14E41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групп и отдельных лиц.</w:t>
            </w:r>
          </w:p>
        </w:tc>
      </w:tr>
      <w:tr w:rsidR="001A000C" w:rsidRPr="00C23D8A" w:rsidTr="00D267EF">
        <w:trPr>
          <w:cantSplit/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1A000C" w:rsidRPr="00A8072E" w:rsidRDefault="006F4F69" w:rsidP="00031D73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Краткосроч</w:t>
            </w:r>
            <w:r w:rsidR="001A000C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ные результаты</w:t>
            </w:r>
          </w:p>
        </w:tc>
        <w:tc>
          <w:tcPr>
            <w:tcW w:w="4471" w:type="pct"/>
            <w:gridSpan w:val="11"/>
            <w:shd w:val="clear" w:color="auto" w:fill="auto"/>
            <w:vAlign w:val="center"/>
          </w:tcPr>
          <w:p w:rsidR="001A000C" w:rsidRPr="006416B9" w:rsidRDefault="001A000C" w:rsidP="00031D73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Расширение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возможностей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поддержке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Pr="006F3DBC">
              <w:rPr>
                <w:rFonts w:ascii="Arial Narrow" w:hAnsi="Arial Narrow" w:cs="Arial"/>
                <w:sz w:val="20"/>
                <w:szCs w:val="20"/>
                <w:lang w:val="ru-RU"/>
              </w:rPr>
              <w:t>ох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раны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культурного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наследия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целом</w:t>
            </w:r>
            <w:r w:rsidRPr="006416B9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  <w:p w:rsidR="001A000C" w:rsidRPr="00CA3493" w:rsidRDefault="001A000C">
            <w:pPr>
              <w:rPr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Расширение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возможностей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реализации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мер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планов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по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охране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конкретных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элементов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нематериального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культурного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наследия</w:t>
            </w:r>
            <w:r w:rsidRPr="00DD03CC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</w:p>
        </w:tc>
      </w:tr>
      <w:tr w:rsidR="00621829" w:rsidRPr="00A8072E" w:rsidTr="00D267EF">
        <w:trPr>
          <w:cantSplit/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CA3493" w:rsidRPr="00A8072E" w:rsidRDefault="006F4F69" w:rsidP="00031D73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Тематичес</w:t>
            </w:r>
            <w:r w:rsidR="00CA3493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кие</w:t>
            </w:r>
            <w:r w:rsidR="00CA3493" w:rsidRPr="006F3DBC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="00CA3493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be-BY"/>
              </w:rPr>
            </w:pPr>
            <w:r w:rsidRPr="00635BA1">
              <w:rPr>
                <w:rFonts w:ascii="Arial Narrow" w:hAnsi="Arial Narrow" w:cs="Arial"/>
                <w:sz w:val="18"/>
                <w:szCs w:val="20"/>
                <w:lang w:val="ru-RU"/>
              </w:rPr>
              <w:t>Институциональный</w:t>
            </w: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 xml:space="preserve"> и человеческий потенциал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en-US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be-BY"/>
              </w:rPr>
              <w:t>Передача и образоваие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ru-RU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>Инвентаризация и исследования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ru-RU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>Политика, а также правовые и административные меры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ru-RU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 xml:space="preserve">Роль </w:t>
            </w:r>
            <w:r w:rsidRPr="00635BA1">
              <w:rPr>
                <w:rFonts w:ascii="Arial Narrow" w:hAnsi="Arial Narrow" w:cs="Arial"/>
                <w:sz w:val="18"/>
                <w:szCs w:val="20"/>
                <w:lang w:val="ru-RU"/>
              </w:rPr>
              <w:t>нематериального</w:t>
            </w: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 xml:space="preserve"> культурного наследия и его охраны в обществе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>Повышение осведомленности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ru-RU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>Участие сообществ, групп и отдельных лиц, а также других заинтересованных сторон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A3493" w:rsidRPr="00326967" w:rsidRDefault="00CA3493" w:rsidP="00031D73">
            <w:pPr>
              <w:spacing w:before="60" w:after="60"/>
              <w:rPr>
                <w:rFonts w:ascii="Arial Narrow" w:hAnsi="Arial Narrow" w:cs="Arial"/>
                <w:sz w:val="18"/>
                <w:szCs w:val="20"/>
                <w:lang w:val="en-GB"/>
              </w:rPr>
            </w:pPr>
            <w:r w:rsidRPr="00326967">
              <w:rPr>
                <w:rFonts w:ascii="Arial Narrow" w:hAnsi="Arial Narrow" w:cs="Arial"/>
                <w:sz w:val="18"/>
                <w:szCs w:val="20"/>
                <w:lang w:val="ru-RU"/>
              </w:rPr>
              <w:t>Международное участие</w:t>
            </w:r>
          </w:p>
        </w:tc>
      </w:tr>
      <w:tr w:rsidR="00621829" w:rsidRPr="00C23D8A" w:rsidTr="00D267EF">
        <w:trPr>
          <w:jc w:val="center"/>
        </w:trPr>
        <w:tc>
          <w:tcPr>
            <w:tcW w:w="529" w:type="pct"/>
            <w:shd w:val="clear" w:color="auto" w:fill="D9D9D9"/>
            <w:vAlign w:val="center"/>
          </w:tcPr>
          <w:p w:rsidR="00CA3493" w:rsidRPr="00A8072E" w:rsidRDefault="00CA3493" w:rsidP="00031D73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  <w:t>Ключевые показатели (кратко)</w:t>
            </w:r>
          </w:p>
        </w:tc>
        <w:tc>
          <w:tcPr>
            <w:tcW w:w="684" w:type="pct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Компетентные органы поддерживают практику и передачу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Программы поддерживают укрепление человеческого потенциала по охране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 xml:space="preserve">Обучение осуществляется сообществами или работниками сферы культуры и наследия или </w:t>
            </w:r>
            <w:r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адресовано им</w:t>
            </w: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Формальное и неформальное образование способствует передаче и поощряет уважение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НКН интегрировано в начальное и среднее образование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proofErr w:type="spellStart"/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Послесреднее</w:t>
            </w:r>
            <w:proofErr w:type="spellEnd"/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 xml:space="preserve"> образование поддерживает охрану НКН и его изучение</w:t>
            </w:r>
          </w:p>
        </w:tc>
        <w:tc>
          <w:tcPr>
            <w:tcW w:w="511" w:type="pct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Перечни отражают разнообразие НКН и вносят вклад в его охрану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Процесс инвентаризации носит инклюзивный характер, уважает разнообразие и поддерживает охрану НКН сообществами и группами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Исследование и документирование вносят вклад в охрану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Результаты исследований доступны и используются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Политика в сфере культуры, правовые и административные меры отражают разнообразие НКН и реализуются на практике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Политика в области образования, правовые и административные меры отражают разнообразие НКН и реализуются на практике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Политика, правовые и административные меры в других сферах помимо культуры и образования отражают разнообразие НКН и реализуются на практике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Политика, правовые и административные меры уважают традиционные права, принятые практики и формы выражения</w:t>
            </w:r>
          </w:p>
        </w:tc>
        <w:tc>
          <w:tcPr>
            <w:tcW w:w="457" w:type="pct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Важность НКН широко признаётся в обществе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Инклюзивные планы и программы признают важность охраны НКН и способствуют самоуважению и взаимному уважению</w:t>
            </w:r>
          </w:p>
        </w:tc>
        <w:tc>
          <w:tcPr>
            <w:tcW w:w="502" w:type="pct"/>
            <w:gridSpan w:val="2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Сообщества, группы и отдельные лица активно участвуют в повышении осведомленности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Средства массовой информации вовлечены в повышение осведомленности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Меры в области общественной информации повышают осведомленность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При повышении осведомленности соблюдаются этические принципы</w:t>
            </w:r>
          </w:p>
        </w:tc>
        <w:tc>
          <w:tcPr>
            <w:tcW w:w="657" w:type="pct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Расширение участия заинтересованных сторон в охране НКН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Гражданское общество содействует мониторингу с целью охраны</w:t>
            </w:r>
          </w:p>
        </w:tc>
        <w:tc>
          <w:tcPr>
            <w:tcW w:w="533" w:type="pct"/>
            <w:shd w:val="clear" w:color="auto" w:fill="auto"/>
          </w:tcPr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Комитет привлекает НПО, государственные и частные органы, частных лиц</w:t>
            </w:r>
            <w:r w:rsidRPr="00326967">
              <w:rPr>
                <w:rFonts w:ascii="Arial Narrow" w:eastAsia="Calibri" w:hAnsi="Arial Narrow" w:cs="Arial"/>
                <w:sz w:val="16"/>
                <w:szCs w:val="18"/>
                <w:vertAlign w:val="superscript"/>
                <w:lang w:val="en-GB" w:eastAsia="en-US"/>
              </w:rPr>
              <w:footnoteReference w:id="2"/>
            </w: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 xml:space="preserve"> 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Государства-участники сотрудничают в целях охраны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lastRenderedPageBreak/>
              <w:t>Государства-участники участвуют в международном сетевом и институциональном сотрудничестве</w:t>
            </w:r>
          </w:p>
          <w:p w:rsidR="00CA3493" w:rsidRPr="00326967" w:rsidRDefault="00CA3493" w:rsidP="00ED08D7">
            <w:pPr>
              <w:keepLines/>
              <w:numPr>
                <w:ilvl w:val="0"/>
                <w:numId w:val="11"/>
              </w:numPr>
              <w:spacing w:before="60" w:after="60"/>
              <w:ind w:left="227" w:hanging="284"/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</w:pPr>
            <w:r w:rsidRPr="00326967"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 xml:space="preserve">Фонд НКН поддерживает охрану и международное </w:t>
            </w:r>
            <w:r>
              <w:rPr>
                <w:rFonts w:ascii="Arial Narrow" w:eastAsia="Calibri" w:hAnsi="Arial Narrow" w:cs="Arial"/>
                <w:sz w:val="16"/>
                <w:szCs w:val="18"/>
                <w:lang w:val="ru-RU" w:eastAsia="en-US"/>
              </w:rPr>
              <w:t>участие</w:t>
            </w:r>
            <w:r w:rsidRPr="00326967">
              <w:rPr>
                <w:rFonts w:ascii="Arial Narrow" w:eastAsia="Calibri" w:hAnsi="Arial Narrow" w:cs="Arial"/>
                <w:sz w:val="16"/>
                <w:szCs w:val="18"/>
                <w:vertAlign w:val="superscript"/>
                <w:lang w:val="en-GB" w:eastAsia="en-US"/>
              </w:rPr>
              <w:footnoteReference w:id="3"/>
            </w:r>
          </w:p>
        </w:tc>
      </w:tr>
    </w:tbl>
    <w:p w:rsidR="00CA3493" w:rsidRPr="00146C03" w:rsidRDefault="00CA3493" w:rsidP="00CA3493">
      <w:pPr>
        <w:keepNext/>
        <w:spacing w:before="240" w:after="120"/>
        <w:rPr>
          <w:rFonts w:ascii="Arial" w:hAnsi="Arial" w:cs="Arial"/>
          <w:b/>
          <w:smallCaps/>
          <w:sz w:val="20"/>
          <w:szCs w:val="20"/>
          <w:lang w:val="ru-RU"/>
        </w:rPr>
      </w:pPr>
      <w:r>
        <w:rPr>
          <w:rFonts w:ascii="Arial" w:hAnsi="Arial" w:cs="Arial"/>
          <w:b/>
          <w:smallCaps/>
          <w:sz w:val="20"/>
          <w:szCs w:val="20"/>
          <w:lang w:val="ru-RU"/>
        </w:rPr>
        <w:lastRenderedPageBreak/>
        <w:t>Таблица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2: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Ключевые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показатели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и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факторы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оценки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разбитые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по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тематическим</w:t>
      </w:r>
      <w:r w:rsidRPr="00326967">
        <w:rPr>
          <w:rFonts w:ascii="Arial" w:hAnsi="Arial" w:cs="Arial"/>
          <w:b/>
          <w:smallCap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ru-RU"/>
        </w:rPr>
        <w:t>областям</w:t>
      </w:r>
    </w:p>
    <w:tbl>
      <w:tblPr>
        <w:tblW w:w="5461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3083"/>
        <w:gridCol w:w="10350"/>
      </w:tblGrid>
      <w:tr w:rsidR="00E612DE" w:rsidRPr="00C23D8A" w:rsidTr="0055054D">
        <w:trPr>
          <w:cantSplit/>
          <w:tblHeader/>
        </w:trPr>
        <w:tc>
          <w:tcPr>
            <w:tcW w:w="692" w:type="pct"/>
            <w:shd w:val="clear" w:color="auto" w:fill="D9D9D9"/>
            <w:vAlign w:val="center"/>
          </w:tcPr>
          <w:p w:rsidR="00E612DE" w:rsidRPr="00A8072E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Тематические области</w:t>
            </w:r>
          </w:p>
        </w:tc>
        <w:tc>
          <w:tcPr>
            <w:tcW w:w="989" w:type="pct"/>
            <w:shd w:val="clear" w:color="auto" w:fill="D9D9D9"/>
            <w:vAlign w:val="center"/>
          </w:tcPr>
          <w:p w:rsidR="00E612DE" w:rsidRPr="00A8072E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Ключевые показатели</w:t>
            </w:r>
          </w:p>
        </w:tc>
        <w:tc>
          <w:tcPr>
            <w:tcW w:w="3319" w:type="pct"/>
            <w:shd w:val="clear" w:color="auto" w:fill="D9D9D9"/>
            <w:vAlign w:val="center"/>
          </w:tcPr>
          <w:p w:rsidR="00E612DE" w:rsidRPr="007C6151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A1225">
              <w:rPr>
                <w:rFonts w:ascii="Arial" w:hAnsi="Arial" w:cs="Arial"/>
                <w:b/>
                <w:sz w:val="20"/>
                <w:szCs w:val="20"/>
                <w:lang w:val="ru-RU"/>
              </w:rPr>
              <w:t>Оценка в соответствии со следующим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B53BA3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Институциональ-ный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 человеческий потенциал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5F3CD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компетентные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органы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консультативные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механизмы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поддерживают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непрерывную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практику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передачу</w:t>
            </w:r>
            <w:r w:rsidRPr="005F3C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75415" w:rsidRDefault="00E612DE" w:rsidP="00ED08D7">
            <w:pPr>
              <w:numPr>
                <w:ilvl w:val="1"/>
                <w:numId w:val="15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Был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определен или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создан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компетентный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57541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 или несколько таких органов.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231A4" w:rsidRDefault="00E612DE" w:rsidP="00ED08D7">
            <w:pPr>
              <w:numPr>
                <w:ilvl w:val="1"/>
                <w:numId w:val="1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Существуют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компетентные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органы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включенных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 w:rsidRPr="009231A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4"/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7679D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7679D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E3808" w:rsidRDefault="00E612DE" w:rsidP="00ED08D7">
            <w:pPr>
              <w:numPr>
                <w:ilvl w:val="1"/>
                <w:numId w:val="1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Широкое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инклюзивное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5"/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участие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управлении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им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 ос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обенно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стороны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заинтересованных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поощряется</w:t>
            </w:r>
            <w:r w:rsidRPr="00FE380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консультативными органами и другими координационными механизмами.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4024A8" w:rsidRDefault="00E612DE" w:rsidP="00ED08D7">
            <w:pPr>
              <w:numPr>
                <w:ilvl w:val="1"/>
                <w:numId w:val="1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Поощряются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организации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занимающиеся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документированием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инициативы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этом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направлении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материалы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используются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непрерывной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передачи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024A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B534B" w:rsidRDefault="00E612DE" w:rsidP="00ED08D7">
            <w:pPr>
              <w:numPr>
                <w:ilvl w:val="1"/>
                <w:numId w:val="1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Культурные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специализированные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центры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исследовательские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музеи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архивы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библиотеки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.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вклад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B53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 НКН и его управление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BA56EC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поддерживают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укрепление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человеческого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потенциала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содействия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A56E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 управления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C706BB" w:rsidRDefault="00E612DE" w:rsidP="00ED08D7">
            <w:pPr>
              <w:numPr>
                <w:ilvl w:val="1"/>
                <w:numId w:val="16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Высшие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учебные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заведения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предлагают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 инклюзивной основе программы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степени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7402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 управления.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75415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75415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C706BB" w:rsidRDefault="00E612DE" w:rsidP="00ED08D7">
            <w:pPr>
              <w:numPr>
                <w:ilvl w:val="1"/>
                <w:numId w:val="16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Государственные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центры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другие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органы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обеспечивают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 инклюзивной основе подготовку в области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 его</w:t>
            </w:r>
            <w:r w:rsidRPr="00C706B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управления.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C706BB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C706BB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8045F9" w:rsidDel="004E7236" w:rsidRDefault="00E612DE" w:rsidP="00ED08D7">
            <w:pPr>
              <w:numPr>
                <w:ilvl w:val="1"/>
                <w:numId w:val="16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Инициативы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основанные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участии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обеспечивают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подготовку</w:t>
            </w:r>
            <w:r w:rsidRPr="00F27ED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 области охраны НКН и его управления.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8045F9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11049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обучение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осуществляется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лицами,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теми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кто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работает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культуры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наследия, или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адресовано</w:t>
            </w:r>
            <w:r w:rsidRPr="0011049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им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E789F" w:rsidRDefault="00E612DE" w:rsidP="00ED08D7">
            <w:pPr>
              <w:numPr>
                <w:ilvl w:val="1"/>
                <w:numId w:val="17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Обучающие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руководство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которыми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осуществляют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сами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обеспечивают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укрепление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потенциала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адресованное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AE789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 основе сообществам, группам и отдельным лицам.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651E43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651E43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347F7" w:rsidRDefault="00E612DE" w:rsidP="00ED08D7">
            <w:pPr>
              <w:numPr>
                <w:ilvl w:val="1"/>
                <w:numId w:val="17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Обучающие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обеспечивают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потенциала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адресованное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B347F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специалистам, работающим в области культуры и наследия.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575415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Передача и образование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формальное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неформальное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образование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способствует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передаче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содействует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06548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уважению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2045E" w:rsidRDefault="00E612DE" w:rsidP="00ED08D7">
            <w:pPr>
              <w:numPr>
                <w:ilvl w:val="1"/>
                <w:numId w:val="1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Практические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выразители и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носители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6"/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максимально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полно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подготовке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разработке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образовательных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активном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представлении</w:t>
            </w:r>
            <w:r w:rsidRPr="0092045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 передаче своего наследия.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F1BE8" w:rsidRDefault="00E612DE" w:rsidP="00ED08D7">
            <w:pPr>
              <w:numPr>
                <w:ilvl w:val="1"/>
                <w:numId w:val="1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методы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признанные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изучаются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укрепляются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включаются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образовательные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формальные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неформальные</w:t>
            </w:r>
            <w:r w:rsidRPr="00DF1B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475B0" w:rsidRDefault="00E612DE" w:rsidP="00ED08D7">
            <w:pPr>
              <w:numPr>
                <w:ilvl w:val="1"/>
                <w:numId w:val="1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Обеспечиваются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доступность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поддержка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образовательных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внеклассных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мероприятий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имеющих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отношение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укреплению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организуются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учреждениями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сферы</w:t>
            </w:r>
            <w:r w:rsidRPr="008A109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наследия.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62991" w:rsidRDefault="00E612DE" w:rsidP="00ED08D7">
            <w:pPr>
              <w:numPr>
                <w:ilvl w:val="1"/>
                <w:numId w:val="1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подготовки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учителей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подготовки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работников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сферы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неформального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предусматривают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подходы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интеграции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A629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образование.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62991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6E4F1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6279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Насколько НКН и его охрана интегрированы в начальное и среднее образование, включены в </w:t>
            </w:r>
            <w:r w:rsidRPr="006279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содержание соответствующих дисциплин и используются для повышения качества преподавания и обучения о НКН и с его использованием, а также для уважения собственного и чужого НКН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31C7E" w:rsidRDefault="00E612DE" w:rsidP="00ED08D7">
            <w:pPr>
              <w:numPr>
                <w:ilvl w:val="1"/>
                <w:numId w:val="10"/>
              </w:numPr>
              <w:spacing w:before="60" w:after="60"/>
              <w:ind w:left="595" w:hanging="595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НКН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своем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разнообразии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включено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содержание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соответствующих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дисциплин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самостоятельной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качестве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средства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объяснения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демонстрации</w:t>
            </w:r>
            <w:r w:rsidRPr="00D31C7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других тем.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22040" w:rsidRDefault="00E612DE" w:rsidP="00ED08D7">
            <w:pPr>
              <w:numPr>
                <w:ilvl w:val="1"/>
                <w:numId w:val="10"/>
              </w:numPr>
              <w:spacing w:before="60" w:after="60"/>
              <w:ind w:left="595" w:hanging="595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Благодаря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образовательным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учебным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программам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школьники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учатся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уважать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познавать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своего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собственного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других</w:t>
            </w:r>
            <w:r w:rsidRPr="0092204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5186C" w:rsidRDefault="00E612DE" w:rsidP="00ED08D7">
            <w:pPr>
              <w:numPr>
                <w:ilvl w:val="1"/>
                <w:numId w:val="10"/>
              </w:numPr>
              <w:spacing w:before="60" w:after="60"/>
              <w:ind w:left="595" w:hanging="595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учащихся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находит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свое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отражение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родном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языке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многоязычном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образовании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 включении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учебные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«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местного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содержания</w:t>
            </w:r>
            <w:r w:rsidRPr="00D5186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».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63134D" w:rsidRDefault="00E612DE" w:rsidP="00ED08D7">
            <w:pPr>
              <w:numPr>
                <w:ilvl w:val="1"/>
                <w:numId w:val="10"/>
              </w:numPr>
              <w:spacing w:before="60" w:after="60"/>
              <w:ind w:left="595" w:hanging="595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Учебные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учат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природного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культурного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пространства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а также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памятных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мест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существование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которых</w:t>
            </w:r>
            <w:r w:rsidRPr="0063134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необходимо для выражения НКН.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5F4259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послесреднее</w:t>
            </w:r>
            <w:proofErr w:type="spellEnd"/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образование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поддерживает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практику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передачу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изучение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социальных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культурных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иных</w:t>
            </w:r>
            <w:r w:rsidRPr="005F4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аспектов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1"/>
                <w:numId w:val="1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послесреднего</w:t>
            </w:r>
            <w:proofErr w:type="spellEnd"/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предлагают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учебные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степени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таких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областях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музыка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искусства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ремёсла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техническое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735D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профессиональное образование и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подготовка</w:t>
            </w:r>
            <w:r w:rsidRPr="00A472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 др.), содействующие практике и передаче НКН.</w:t>
            </w:r>
          </w:p>
        </w:tc>
      </w:tr>
      <w:tr w:rsidR="00E612DE" w:rsidRPr="00B86AF3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4E30E0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8072E" w:rsidRDefault="00E612DE" w:rsidP="00ED08D7">
            <w:pPr>
              <w:numPr>
                <w:ilvl w:val="1"/>
                <w:numId w:val="1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послесреднего</w:t>
            </w:r>
            <w:proofErr w:type="spellEnd"/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предлагают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степени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 изучению НКН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социальных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культурных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иных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аспектов</w:t>
            </w:r>
            <w:r w:rsidRPr="0011596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A8072E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Инвентаризация и исследования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A2FF1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перечни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отражают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вклад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A2F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86082" w:rsidRDefault="00E612DE" w:rsidP="00ED08D7">
            <w:pPr>
              <w:numPr>
                <w:ilvl w:val="1"/>
                <w:numId w:val="18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После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ратификации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была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учреждена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система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инвентаризации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либо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несколько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таких</w:t>
            </w:r>
            <w:r w:rsidRPr="0058608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систем, ориентированных на охрану и отражающих разнообразие НКН.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D5AC6" w:rsidRDefault="00E612DE" w:rsidP="00ED08D7">
            <w:pPr>
              <w:numPr>
                <w:ilvl w:val="1"/>
                <w:numId w:val="1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Специализированные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перечни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перечни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различного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масштаба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отражают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вклад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</w:t>
            </w:r>
            <w:r w:rsidRPr="00FD5AC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FD5AC6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FD5AC6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56D2B" w:rsidRDefault="00E612DE" w:rsidP="00ED08D7">
            <w:pPr>
              <w:numPr>
                <w:ilvl w:val="1"/>
                <w:numId w:val="1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Существующий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перечень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перечни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обновлялись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течение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отчетного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периода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том,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что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касается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отражения</w:t>
            </w:r>
            <w:r w:rsidRPr="00B56D2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текущей жизнеспособности включенных в них элементов.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05177" w:rsidRDefault="00E612DE" w:rsidP="00ED08D7">
            <w:pPr>
              <w:numPr>
                <w:ilvl w:val="1"/>
                <w:numId w:val="1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перечням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облегчен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уважении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принятых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определяющих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порядок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доступа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тем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иным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аспектам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НКН; кроме того перечни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используются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укрепления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D0517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FB76F3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процесс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инвентаризации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является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инклюзивным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уважает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практических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выразителей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поддерживает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заинтересованными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отдельными</w:t>
            </w:r>
            <w:r w:rsidRPr="00FB76F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50E1C" w:rsidRDefault="00E612DE" w:rsidP="00ED08D7">
            <w:pPr>
              <w:numPr>
                <w:ilvl w:val="1"/>
                <w:numId w:val="19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Сообщества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соответствующие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инвентаризации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что</w:t>
            </w:r>
            <w:r w:rsidRPr="00050E1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дополняет и укрепляет их усилия по охране.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75415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75415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69077B" w:rsidRDefault="00E612DE" w:rsidP="00ED08D7">
            <w:pPr>
              <w:numPr>
                <w:ilvl w:val="1"/>
                <w:numId w:val="19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Процесс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инвентаризации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уважает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практических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выразителей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выражения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всех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слоев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общества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всех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полов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69077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всех регионов.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69077B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CC55C1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большой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вклад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 в охрану исследования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документирование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научное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техническое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55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искусствоведческое изучение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B32C5" w:rsidRDefault="00E612DE" w:rsidP="00ED08D7">
            <w:pPr>
              <w:numPr>
                <w:ilvl w:val="1"/>
                <w:numId w:val="20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Финансовые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поддержки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стимулируют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исследования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документирование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1729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архивирование, ориентированные на охрану и осуществляющиеся на основании соответствующих этических принципов.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Del="00970845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922C1" w:rsidDel="00EC662D" w:rsidRDefault="00E612DE" w:rsidP="00ED08D7">
            <w:pPr>
              <w:numPr>
                <w:ilvl w:val="1"/>
                <w:numId w:val="20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Поощряются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исследования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подходов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воздействия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него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включенных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 w:rsidRPr="000922C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CE2A1A" w:rsidRDefault="00E612DE" w:rsidP="00ED08D7">
            <w:pPr>
              <w:numPr>
                <w:ilvl w:val="1"/>
                <w:numId w:val="20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Практические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носители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управлении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внедрении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распространении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результатов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исследований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научного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технического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искусствоведческого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изучения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проводятся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свободного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предварительного</w:t>
            </w:r>
            <w:r w:rsidRPr="0056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непрерывного и информированного согласия.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D5513E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доступны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результаты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исследований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документирования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какой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степени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они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используются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содействия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разработке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улучшения</w:t>
            </w:r>
            <w:r w:rsidRPr="00D5513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C5F4A" w:rsidRDefault="00E612DE" w:rsidP="00ED08D7">
            <w:pPr>
              <w:numPr>
                <w:ilvl w:val="1"/>
                <w:numId w:val="21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Результаты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документирования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исследований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доступны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уважении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принятой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9C5F4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определяющей порядок доступа к тем или иным аспектам НКН.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33254" w:rsidRDefault="00E612DE" w:rsidP="00ED08D7">
            <w:pPr>
              <w:numPr>
                <w:ilvl w:val="1"/>
                <w:numId w:val="21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Результаты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исследований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используются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содействия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разработке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политики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различных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секторах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33254" w:rsidRDefault="00E612DE" w:rsidP="00ED08D7">
            <w:pPr>
              <w:numPr>
                <w:ilvl w:val="1"/>
                <w:numId w:val="21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Результаты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исследований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документирования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искусствоведческого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используются</w:t>
            </w:r>
            <w:r w:rsidRPr="0003325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 совершенствования охраны.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033254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Политика, а также правовые и административные меры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C010C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культуры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отражают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реализуются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3C010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E17EA" w:rsidRDefault="00E612DE" w:rsidP="00ED08D7">
            <w:pPr>
              <w:numPr>
                <w:ilvl w:val="1"/>
                <w:numId w:val="22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Была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пересмотрена, а также реализуется на практике политика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культуры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включающие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вопросы НКН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отражающие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9E17E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95A1E" w:rsidRDefault="00E612DE" w:rsidP="00ED08D7">
            <w:pPr>
              <w:numPr>
                <w:ilvl w:val="1"/>
                <w:numId w:val="2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Принимаются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пересматриваются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реализуются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национальные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субнациональные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стратегии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планы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действий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планы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595A1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как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включенных, так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F30A5" w:rsidRDefault="00E612DE" w:rsidP="00ED08D7">
            <w:pPr>
              <w:numPr>
                <w:ilvl w:val="1"/>
                <w:numId w:val="2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Государственная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финансовая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техническая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поддержка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включенных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предоставляется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справедливой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относительно общей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поддержки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культуры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наследия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учитывая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приоритет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признаны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нуждающимися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срочной</w:t>
            </w:r>
            <w:r w:rsidRPr="00E44C0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F30A5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F30A5" w:rsidRDefault="00E612DE" w:rsidP="00031D7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407B2E" w:rsidRDefault="00E612DE" w:rsidP="00ED08D7">
            <w:pPr>
              <w:numPr>
                <w:ilvl w:val="1"/>
                <w:numId w:val="2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Культурная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включающие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основаны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активном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участии</w:t>
            </w:r>
            <w:r w:rsidRPr="00407B2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сообществ, групп и отдельных лиц.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407B2E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отражают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реализуются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67A7A" w:rsidRDefault="00E612DE" w:rsidP="00ED08D7">
            <w:pPr>
              <w:numPr>
                <w:ilvl w:val="1"/>
                <w:numId w:val="23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 а так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же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реализуется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 приз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ванные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обеспечить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признание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повышение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роли</w:t>
            </w:r>
            <w:r w:rsidRPr="00D67A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8234C" w:rsidRDefault="00E612DE" w:rsidP="00ED08D7">
            <w:pPr>
              <w:numPr>
                <w:ilvl w:val="1"/>
                <w:numId w:val="2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реализуется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образования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призванные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укрепить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передачу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практику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8234C" w:rsidRDefault="00E612DE" w:rsidP="00ED08D7">
            <w:pPr>
              <w:numPr>
                <w:ilvl w:val="1"/>
                <w:numId w:val="2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содействуют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обучению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родном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языке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234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многоязычному образованию.</w:t>
            </w:r>
          </w:p>
        </w:tc>
      </w:tr>
      <w:tr w:rsidR="00E612DE" w:rsidRPr="00C23D8A" w:rsidTr="0055054D">
        <w:trPr>
          <w:cantSplit/>
          <w:trHeight w:val="675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9535C2" w:rsidRDefault="00E612DE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других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сферах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помимо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культуры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 образования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отражают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разнообразие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9535C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 реализуются на практике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8C2AD6" w:rsidRDefault="00E612DE" w:rsidP="00ED08D7">
            <w:pPr>
              <w:numPr>
                <w:ilvl w:val="1"/>
                <w:numId w:val="12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Этические принципы охраны нематериального культурного наследия соблюдаются в планах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политике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программах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8C2AD6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развития.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263C9" w:rsidRDefault="00E612DE" w:rsidP="00ED08D7">
            <w:pPr>
              <w:numPr>
                <w:ilvl w:val="1"/>
                <w:numId w:val="1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направленные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инклюзивное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социальное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развитие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7"/>
            </w:r>
            <w:r w:rsidRPr="000263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экологическую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устойчивость</w:t>
            </w:r>
            <w:r w:rsidRPr="00EC50A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be-BY" w:eastAsia="en-US"/>
              </w:rPr>
              <w:t>пр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>
              <w:rPr>
                <w:rFonts w:ascii="Arial" w:eastAsia="Calibri" w:hAnsi="Arial" w:cs="Arial"/>
                <w:sz w:val="20"/>
                <w:szCs w:val="20"/>
                <w:lang w:val="be-BY" w:eastAsia="en-US"/>
              </w:rPr>
              <w:t>нимая во внимание НКН и его охрану.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4E30E0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D408B" w:rsidRDefault="00E612DE" w:rsidP="00ED08D7">
            <w:pPr>
              <w:numPr>
                <w:ilvl w:val="1"/>
                <w:numId w:val="1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реагированию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ситуации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стихийных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бедствий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вооруженных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конфликтов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учетом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затрагиваемого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признания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жизнеспособности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пострадавшего населения.</w:t>
            </w:r>
          </w:p>
        </w:tc>
      </w:tr>
      <w:tr w:rsidR="00E612DE" w:rsidRPr="00C23D8A" w:rsidTr="0055054D">
        <w:trPr>
          <w:cantSplit/>
          <w:trHeight w:val="70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7D408B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7D408B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002C8" w:rsidRDefault="00E612DE" w:rsidP="00ED08D7">
            <w:pPr>
              <w:numPr>
                <w:ilvl w:val="1"/>
                <w:numId w:val="1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интересах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инклюзивного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экономического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развития</w:t>
            </w:r>
            <w:r w:rsidRPr="007D408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 приним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ая во внимание НКН и его охрану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8"/>
            </w:r>
          </w:p>
        </w:tc>
      </w:tr>
      <w:tr w:rsidR="00E612DE" w:rsidRPr="00C23D8A" w:rsidTr="0055054D">
        <w:trPr>
          <w:cantSplit/>
          <w:trHeight w:val="393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836FFB" w:rsidRDefault="00E612DE" w:rsidP="00ED08D7">
            <w:pPr>
              <w:numPr>
                <w:ilvl w:val="1"/>
                <w:numId w:val="1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Приняты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пересмотрены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благоприятные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финансовые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фискальные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содействующие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поощряющие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повышающие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доступность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природных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других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ресурсов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необходимых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454CF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 НКН</w:t>
            </w:r>
            <w:r w:rsidRPr="00836FF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4E30E0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уважают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традиционные права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принятые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выражения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отношении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передачи</w:t>
            </w:r>
            <w:r w:rsidRPr="004E30E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15341" w:rsidRDefault="00E612DE" w:rsidP="00ED08D7">
            <w:pPr>
              <w:numPr>
                <w:ilvl w:val="1"/>
                <w:numId w:val="24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Практическим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выразителям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носителям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предоставляются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различные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правовой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защиты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такие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права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интеллектуальной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собственности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частную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жизнь,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случае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эксплуатации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другими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B153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коммерческими и иными целями.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E67E02" w:rsidRDefault="00E612DE" w:rsidP="00ED08D7">
            <w:pPr>
              <w:numPr>
                <w:ilvl w:val="1"/>
                <w:numId w:val="2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политике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правовых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административных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мерах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признается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традиционных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 и групп на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наземные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морские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лесные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экосистемы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необходимые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передачи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E67E0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326967" w:rsidRDefault="00E612DE" w:rsidP="00031D73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32696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E3753" w:rsidRDefault="00E612DE" w:rsidP="00ED08D7">
            <w:pPr>
              <w:numPr>
                <w:ilvl w:val="1"/>
                <w:numId w:val="2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политике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правовых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административных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мерах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признаются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формы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выражения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представления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вклад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предотвращение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споров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мирное</w:t>
            </w:r>
            <w:r w:rsidRPr="0048644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разрешение конфликтов.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4E30E0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Роль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нематериального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культурного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наследия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его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охраны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</w:t>
            </w:r>
            <w:r w:rsidRPr="004E30E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обществе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97137A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9713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 признается в обществе важность НКН и его охраны как соответствующими сообществами, группами и отдельными лицами, так и обществом в целом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7137A" w:rsidRDefault="00E612DE" w:rsidP="00ED08D7">
            <w:pPr>
              <w:numPr>
                <w:ilvl w:val="1"/>
                <w:numId w:val="25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 w:rsidRPr="009713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Сообщества, группы и отдельные лица используют свое НКН для повышения своего благополучия, в том числе в рамках деятельности в интересах устойчивого развития.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606E08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97137A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7137A" w:rsidRDefault="00E612DE" w:rsidP="00ED08D7">
            <w:pPr>
              <w:numPr>
                <w:ilvl w:val="1"/>
                <w:numId w:val="2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9713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Сообщества, группы и отдельные лица используют свое НКН для диалога, содействующего взаимному уважению, урегулированию конфликтов и </w:t>
            </w:r>
            <w:proofErr w:type="spellStart"/>
            <w:r w:rsidRPr="009713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миростроительству</w:t>
            </w:r>
            <w:proofErr w:type="spellEnd"/>
            <w:r w:rsidRPr="0097137A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  <w:trHeight w:val="1000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F130D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F130D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804AF" w:rsidRDefault="00E612DE" w:rsidP="00ED08D7">
            <w:pPr>
              <w:numPr>
                <w:ilvl w:val="1"/>
                <w:numId w:val="2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Деятельность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развития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признаёт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обществе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 источника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самобытности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преемственности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знаний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навыков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укрепляет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роль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 качестве ресурса</w:t>
            </w:r>
            <w:r w:rsidRPr="007804AF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способствующего устойчивому развитию.</w:t>
            </w:r>
          </w:p>
        </w:tc>
      </w:tr>
      <w:tr w:rsidR="00E612DE" w:rsidRPr="0055054D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AE5308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важность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признается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рамках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инклюзивных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планов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содействующих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самоуважению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взаимному уважению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160BE7" w:rsidRDefault="00E612DE" w:rsidP="00ED08D7">
            <w:pPr>
              <w:numPr>
                <w:ilvl w:val="1"/>
                <w:numId w:val="26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Планы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носят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инклюзивный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характер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отношении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всех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сегментов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слоев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общества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нижеперечисленные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ограничиваясь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ими</w:t>
            </w:r>
            <w:r w:rsidRPr="00160BE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:</w:t>
            </w:r>
          </w:p>
          <w:p w:rsidR="00E612DE" w:rsidRPr="003628A5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коренные народы;</w:t>
            </w:r>
          </w:p>
          <w:p w:rsidR="00E612DE" w:rsidRPr="002D1750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 с различной этнической идентичностью</w:t>
            </w:r>
            <w:r w:rsidRPr="002D175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;</w:t>
            </w: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мигранты, иммигранты и беженцы</w:t>
            </w:r>
            <w:r w:rsidRPr="00A8072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;</w:t>
            </w: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люди разного возраста</w:t>
            </w:r>
            <w:r w:rsidRPr="00A8072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;</w:t>
            </w: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люди разного пола</w:t>
            </w:r>
            <w:r w:rsidRPr="00A8072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;</w:t>
            </w: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 с ограниченной дееспособностью</w:t>
            </w:r>
            <w:r w:rsidRPr="00A8072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;</w:t>
            </w:r>
          </w:p>
          <w:p w:rsidR="00E612DE" w:rsidRPr="00A8072E" w:rsidRDefault="00E612DE" w:rsidP="00ED08D7">
            <w:pPr>
              <w:numPr>
                <w:ilvl w:val="0"/>
                <w:numId w:val="8"/>
              </w:numPr>
              <w:spacing w:before="60" w:after="60"/>
              <w:ind w:left="971" w:hanging="283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члены уязвимых групп</w:t>
            </w:r>
            <w:r w:rsidRPr="00A8072E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D841CC" w:rsidRDefault="00E612DE" w:rsidP="00ED08D7">
            <w:pPr>
              <w:numPr>
                <w:ilvl w:val="1"/>
                <w:numId w:val="26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Планы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включенных, так и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 содействуют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самоуважению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взаимному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уважению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D841C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A8072E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Повышение осведомленности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F655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отдельные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3F6552" w:rsidRDefault="00E612DE" w:rsidP="00ED08D7">
            <w:pPr>
              <w:numPr>
                <w:ilvl w:val="1"/>
                <w:numId w:val="27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Деятельность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носит инклюзивный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характер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осуществляется при как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можно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более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широком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участии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заинтересованных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3F655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43259" w:rsidRDefault="00E612DE" w:rsidP="00ED08D7">
            <w:pPr>
              <w:numPr>
                <w:ilvl w:val="1"/>
                <w:numId w:val="27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Обеспечено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свободное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предварительное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непрерывное и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информированное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согласие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заинтересованных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осуществление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отношении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A4325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E4EE8" w:rsidRDefault="00E612DE" w:rsidP="00ED08D7">
            <w:pPr>
              <w:numPr>
                <w:ilvl w:val="1"/>
                <w:numId w:val="27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Защищены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права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моральные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материальные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интересы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повышении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0E4EE8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1856F0" w:rsidRDefault="00E612DE" w:rsidP="00ED08D7">
            <w:pPr>
              <w:numPr>
                <w:ilvl w:val="1"/>
                <w:numId w:val="27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Молодежь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активно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участвует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сбор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распространение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своих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1856F0" w:rsidRDefault="00E612DE" w:rsidP="00ED08D7">
            <w:pPr>
              <w:numPr>
                <w:ilvl w:val="1"/>
                <w:numId w:val="27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отдельные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используют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информацию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коммуникационные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технологии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все виды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новые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повышения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1856F0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1856F0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2696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средства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содействуют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пониманию и взаимному уважению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CC67C9" w:rsidRDefault="00E612DE" w:rsidP="00ED08D7">
            <w:pPr>
              <w:numPr>
                <w:ilvl w:val="1"/>
                <w:numId w:val="28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Средства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освещают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повышение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содействуют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взаимному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уважению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отдельными</w:t>
            </w:r>
            <w:r w:rsidRPr="00CC67C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D647D" w:rsidRDefault="00E612DE" w:rsidP="00ED08D7">
            <w:pPr>
              <w:numPr>
                <w:ilvl w:val="1"/>
                <w:numId w:val="2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рамках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сотрудничества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различными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заинтересованными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сторонами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средствами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разработаны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осуществляются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конкретные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мероприятия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отношении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мероприятия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укреплению потенциала</w:t>
            </w:r>
            <w:r w:rsidRPr="007D647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7D647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7D647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7344ED" w:rsidRDefault="00E612DE" w:rsidP="00ED08D7">
            <w:pPr>
              <w:numPr>
                <w:ilvl w:val="1"/>
                <w:numId w:val="2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Програмирование</w:t>
            </w:r>
            <w:proofErr w:type="spellEnd"/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материалов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о НКН средствами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массовой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информации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осуществляется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на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инклюзивной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основе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,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с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использованием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языков</w:t>
            </w:r>
            <w:r w:rsidRPr="0014100E">
              <w:rPr>
                <w:rFonts w:ascii="Arial" w:eastAsia="Calibri" w:hAnsi="Arial"/>
                <w:sz w:val="20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2"/>
                <w:lang w:val="ru-RU" w:eastAsia="en-US"/>
              </w:rPr>
              <w:t>соответствующих сообществ и групп, и/или эти материалы адресованы различным целевым группам.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ind w:left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301E7C" w:rsidRDefault="00E612DE" w:rsidP="00ED08D7">
            <w:pPr>
              <w:numPr>
                <w:ilvl w:val="1"/>
                <w:numId w:val="28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Средства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освещают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охрану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соответствии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понятиями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терминологией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Конвенции</w:t>
            </w:r>
            <w:r w:rsidRPr="00301E7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. 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301E7C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003B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меры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области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общественной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повышают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осведомленность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содействуют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пониманию и взаимному уважению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3003B2" w:rsidRDefault="00E612DE" w:rsidP="00ED08D7">
            <w:pPr>
              <w:numPr>
                <w:ilvl w:val="1"/>
                <w:numId w:val="29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Практические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выразители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носители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получили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официальное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признание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посредством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соответствующей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политики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</w:t>
            </w:r>
            <w:r w:rsidRPr="003003B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  <w:trHeight w:val="485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20319" w:rsidRDefault="00E612DE" w:rsidP="00ED08D7">
            <w:pPr>
              <w:numPr>
                <w:ilvl w:val="1"/>
                <w:numId w:val="29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отдельных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широкой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общественности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исследователей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средств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массовой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других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заинтересованных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сторон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организуются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публичные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мероприятия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касающиеся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важности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охраны, а также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Конвенции</w:t>
            </w:r>
            <w:r w:rsidRPr="00F2031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94113" w:rsidRDefault="00E612DE" w:rsidP="00ED08D7">
            <w:pPr>
              <w:numPr>
                <w:ilvl w:val="1"/>
                <w:numId w:val="29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Стимулируются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поддерживаются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популяризации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распространению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передовых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B941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4E4D29" w:rsidRDefault="00E612DE" w:rsidP="00ED08D7">
            <w:pPr>
              <w:numPr>
                <w:ilvl w:val="1"/>
                <w:numId w:val="29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Общественная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содействует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взаимному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уважению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признанию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внутри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ними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  <w:trHeight w:val="683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4E4D29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2696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осведомленности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уважают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соответствующие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этические</w:t>
            </w:r>
            <w:r w:rsidRPr="0032696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принципы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4E4D29" w:rsidRDefault="00E612DE" w:rsidP="00ED08D7">
            <w:pPr>
              <w:numPr>
                <w:ilvl w:val="1"/>
                <w:numId w:val="30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Во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время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соблюдаются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Этические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принципы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нематериального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культурного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наследия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  <w:trHeight w:val="692"/>
        </w:trPr>
        <w:tc>
          <w:tcPr>
            <w:tcW w:w="6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2DE" w:rsidRPr="004E4D29" w:rsidRDefault="00E612DE" w:rsidP="00ED08D7">
            <w:pPr>
              <w:numPr>
                <w:ilvl w:val="1"/>
                <w:numId w:val="30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время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повышению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осведомленности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соблюдаются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этические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принципы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закрепленные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соответствующих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профессиональных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кодексах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стандартах</w:t>
            </w:r>
            <w:r w:rsidRPr="004E4D2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6D197B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Участие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сообществ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групп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отдельных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лиц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также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других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заинтересованных</w:t>
            </w:r>
            <w:r w:rsidRPr="006D197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сторон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361D0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361D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 активно заинтересованные стороны участвуют в охране НКН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952CF" w:rsidRDefault="00E612DE" w:rsidP="00ED08D7">
            <w:pPr>
              <w:numPr>
                <w:ilvl w:val="1"/>
                <w:numId w:val="31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отдельные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инклюзивной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основе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можно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более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широком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масштабе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 включенных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746E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326967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326967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247EC7" w:rsidRDefault="00E612DE" w:rsidP="00ED08D7">
            <w:pPr>
              <w:numPr>
                <w:ilvl w:val="1"/>
                <w:numId w:val="31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другие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субъекты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гражданского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общества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включенных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 w:rsidRPr="00247EC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9B35DB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9B35DB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E3D74" w:rsidRDefault="00E612DE" w:rsidP="00ED08D7">
            <w:pPr>
              <w:numPr>
                <w:ilvl w:val="1"/>
                <w:numId w:val="31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Организации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частного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сектора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 целом и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как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включенных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невключенных</w:t>
            </w:r>
            <w:proofErr w:type="spellEnd"/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соблюдая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Этические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принципы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3B5DF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73669C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Насколько</w:t>
            </w:r>
            <w:r w:rsidRPr="0073669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большой вклад в</w:t>
            </w:r>
            <w:r w:rsidRPr="0073669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мониторинг</w:t>
            </w:r>
            <w:r w:rsidRPr="0073669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73669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 вносит гражданское</w:t>
            </w:r>
            <w:r w:rsidRPr="0073669C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общество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C1F63" w:rsidRDefault="00E612DE" w:rsidP="00ED08D7">
            <w:pPr>
              <w:numPr>
                <w:ilvl w:val="1"/>
                <w:numId w:val="32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Существует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благоприятная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среда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того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чтобы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заинтересованные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группы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отдельные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осуществляли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мониторинг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 и мер по охране НКН, а также проводили их научное, техническое и искусствоведческое изучение.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FC1F63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FC1F63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20995" w:rsidRDefault="00E612DE" w:rsidP="00ED08D7">
            <w:pPr>
              <w:numPr>
                <w:ilvl w:val="1"/>
                <w:numId w:val="3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Существует</w:t>
            </w:r>
            <w:r w:rsidDel="00886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благоприятная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среда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того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чтобы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другие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институты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гражданского</w:t>
            </w:r>
            <w:r w:rsidRPr="009209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общества осуществляли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мониторинг</w:t>
            </w:r>
            <w:r w:rsidRPr="00FC1F6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 и мер по охране НКН, а также проводили их научное, техническое и искусствоведческое изучение.</w:t>
            </w:r>
          </w:p>
        </w:tc>
      </w:tr>
      <w:tr w:rsidR="00E612DE" w:rsidRPr="00C23D8A" w:rsidTr="0055054D">
        <w:trPr>
          <w:cantSplit/>
          <w:trHeight w:val="810"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55054D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55054D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04FE9" w:rsidRDefault="00E612DE" w:rsidP="00ED08D7">
            <w:pPr>
              <w:numPr>
                <w:ilvl w:val="1"/>
                <w:numId w:val="32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Существует</w:t>
            </w:r>
            <w:r w:rsidDel="00886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благоприятная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среда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того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чтобы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учёные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эксперты, исследовательские учреждения и специализированные центры осуществляли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мониторинг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проводили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научное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техническое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искусствоведческое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изучение</w:t>
            </w:r>
            <w:r w:rsidRPr="00904FE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  <w:trHeight w:val="710"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E612DE" w:rsidRPr="00502C5A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Международное участие 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451001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Количество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географическое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распределение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государственных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частных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учреждений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частных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привлеченных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Комитетом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45100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выполнения консультативных и совещательных функций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9"/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41822" w:rsidRDefault="00E612DE" w:rsidP="00ED08D7">
            <w:pPr>
              <w:numPr>
                <w:ilvl w:val="1"/>
                <w:numId w:val="33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Количество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аккредитованных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выполнения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консультативных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функций</w:t>
            </w:r>
            <w:r w:rsidRPr="002E663B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их географическое распределение и представленность различных областей НКН.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230ED9" w:rsidRDefault="00E612DE" w:rsidP="00ED08D7">
            <w:pPr>
              <w:numPr>
                <w:ilvl w:val="1"/>
                <w:numId w:val="3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Процент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аккредитованных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участвуют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сессиях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рабочих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руководящих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органов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Конвенции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их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географическое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распределение</w:t>
            </w:r>
            <w:r w:rsidRPr="00230ED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230ED9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230ED9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43151" w:rsidRDefault="00E612DE" w:rsidP="00ED08D7">
            <w:pPr>
              <w:numPr>
                <w:ilvl w:val="1"/>
                <w:numId w:val="33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Количество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мероприятий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Комитет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приглашает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аккредитованные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целью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проведения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консультаций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помимо</w:t>
            </w:r>
            <w:r w:rsidRPr="005431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механизмов оценки.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D71A44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Процент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участников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активно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взаимодействующих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другими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государствами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участниками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рамках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международного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сотрудничества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сфере</w:t>
            </w:r>
            <w:r w:rsidRPr="00D71A4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AE7C2D" w:rsidRDefault="00E612DE" w:rsidP="00ED08D7">
            <w:pPr>
              <w:numPr>
                <w:ilvl w:val="1"/>
                <w:numId w:val="34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lastRenderedPageBreak/>
              <w:t>Осуществляется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двустороннее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многостороннее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региональное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международное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сотрудничество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реализации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AE7C2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целом.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8A4651" w:rsidRDefault="00E612DE" w:rsidP="00ED08D7">
            <w:pPr>
              <w:numPr>
                <w:ilvl w:val="1"/>
                <w:numId w:val="3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Осуществляется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двустороннее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многостороннее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региональное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международное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сотрудничество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реализации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мер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конкретных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находящихся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угрозой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находящихся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территории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нескольких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трансграничных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элементов</w:t>
            </w:r>
            <w:r w:rsidRPr="008A465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8A4651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8A4651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F46E07" w:rsidRDefault="00E612DE" w:rsidP="00ED08D7">
            <w:pPr>
              <w:numPr>
                <w:ilvl w:val="1"/>
                <w:numId w:val="3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другими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государствами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участниками осуществляется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обмен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информацией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опытом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относительно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его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охраны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том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числе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передовыми</w:t>
            </w:r>
            <w:r w:rsidRPr="00F46E07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практиками по охране.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820A91" w:rsidRDefault="00E612DE" w:rsidP="00ED08D7">
            <w:pPr>
              <w:numPr>
                <w:ilvl w:val="1"/>
                <w:numId w:val="34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Документация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касающаяся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элемента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имеющегося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территории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другого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государства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участника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предоставляется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этому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другому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государству</w:t>
            </w:r>
            <w:r w:rsidRPr="00820A9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A63B49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Процент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участников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активно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участвующих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международном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сетевом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институциональном</w:t>
            </w:r>
            <w:r w:rsidRPr="00A63B4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сотрудничестве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B72B13" w:rsidRDefault="00E612DE" w:rsidP="00ED08D7">
            <w:pPr>
              <w:numPr>
                <w:ilvl w:val="1"/>
                <w:numId w:val="35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Государство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участвует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качестве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принимающей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стороны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бенефициара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центров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категории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en-GB" w:eastAsia="en-US"/>
              </w:rPr>
              <w:t> 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F2DBDB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521DC8" w:rsidRDefault="00E612DE" w:rsidP="00ED08D7">
            <w:pPr>
              <w:numPr>
                <w:ilvl w:val="1"/>
                <w:numId w:val="3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Поощряется международное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сетевое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взаимодействие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отдельными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лицами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экспертами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специализированными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центрами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исследовательскими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учреждениями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занимающимися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вопросами</w:t>
            </w:r>
            <w:r w:rsidRPr="00B72B13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012624" w:rsidRDefault="00E612DE" w:rsidP="00ED08D7">
            <w:pPr>
              <w:numPr>
                <w:ilvl w:val="1"/>
                <w:numId w:val="35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Государство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участвует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связанной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деятельности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международных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региональных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органов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помимо</w:t>
            </w:r>
            <w:r w:rsidRPr="0001262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ЮНЕСКО.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auto"/>
            <w:vAlign w:val="center"/>
          </w:tcPr>
          <w:p w:rsidR="00E612DE" w:rsidRPr="00012624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E612DE" w:rsidRPr="00A95823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Фонд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оказывает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эффективную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поддержку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охране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CC1595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международному участию</w:t>
            </w:r>
            <w:r w:rsidRPr="00A8072E">
              <w:rPr>
                <w:rFonts w:ascii="Arial" w:eastAsia="Calibri" w:hAnsi="Arial" w:cs="Arial"/>
                <w:sz w:val="20"/>
                <w:szCs w:val="20"/>
                <w:vertAlign w:val="superscript"/>
                <w:lang w:val="en-GB" w:eastAsia="en-US"/>
              </w:rPr>
              <w:footnoteReference w:id="10"/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E57204" w:rsidRDefault="00E612DE" w:rsidP="00ED08D7">
            <w:pPr>
              <w:numPr>
                <w:ilvl w:val="1"/>
                <w:numId w:val="36"/>
              </w:numPr>
              <w:spacing w:before="60" w:after="60"/>
              <w:ind w:left="567" w:hanging="567"/>
              <w:rPr>
                <w:rFonts w:ascii="Arial" w:eastAsia="Calibri" w:hAnsi="Arial" w:cs="Arial"/>
                <w:vanish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Государства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участники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стремятся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получить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финансовую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техническую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помощь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Фонда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реализовать</w:t>
            </w:r>
            <w:r w:rsidRPr="00D07E6D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программы по охране, являющиеся результатом такой помощи.</w:t>
            </w:r>
          </w:p>
        </w:tc>
      </w:tr>
      <w:tr w:rsidR="00E612DE" w:rsidRPr="00C23D8A" w:rsidTr="0055054D">
        <w:trPr>
          <w:cantSplit/>
          <w:trHeight w:val="1230"/>
        </w:trPr>
        <w:tc>
          <w:tcPr>
            <w:tcW w:w="692" w:type="pct"/>
            <w:vMerge/>
            <w:shd w:val="clear" w:color="auto" w:fill="F2DBDB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ED08D7">
            <w:pPr>
              <w:numPr>
                <w:ilvl w:val="0"/>
                <w:numId w:val="9"/>
              </w:numPr>
              <w:spacing w:before="60" w:after="60"/>
              <w:ind w:left="370" w:hanging="370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246641" w:rsidRDefault="00E612DE" w:rsidP="00ED08D7">
            <w:pPr>
              <w:numPr>
                <w:ilvl w:val="1"/>
                <w:numId w:val="36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Государства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участники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другие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структуры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вносят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добровольные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дополнительные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взносы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Фонд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общие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или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конкретные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цели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особенно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глобальную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программу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 укреплению</w:t>
            </w:r>
            <w:r w:rsidRPr="00246641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потенциала.</w:t>
            </w:r>
          </w:p>
        </w:tc>
      </w:tr>
      <w:tr w:rsidR="00E612DE" w:rsidRPr="00C23D8A" w:rsidTr="0055054D">
        <w:trPr>
          <w:cantSplit/>
        </w:trPr>
        <w:tc>
          <w:tcPr>
            <w:tcW w:w="692" w:type="pct"/>
            <w:vMerge/>
            <w:shd w:val="clear" w:color="auto" w:fill="F2DBDB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E612DE" w:rsidRPr="00A101E2" w:rsidRDefault="00E612DE" w:rsidP="00031D73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9" w:type="pct"/>
            <w:shd w:val="clear" w:color="auto" w:fill="auto"/>
            <w:vAlign w:val="center"/>
          </w:tcPr>
          <w:p w:rsidR="00E612DE" w:rsidRPr="009D1BA4" w:rsidRDefault="00E612DE" w:rsidP="00ED08D7">
            <w:pPr>
              <w:numPr>
                <w:ilvl w:val="1"/>
                <w:numId w:val="36"/>
              </w:numPr>
              <w:spacing w:before="60" w:after="60"/>
              <w:ind w:left="567" w:hanging="567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Фонд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используется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помощи в покрытии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расходов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связанных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участием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сессиях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руководящих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органов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Конвенции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широкого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круга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заинтересованных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сторон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включая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экспертов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по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НКН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и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аккредитованные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НПО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из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развивающихся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стран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государственные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частные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органы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также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членов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сообществ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и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групп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которые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приглашаются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на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сессии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для</w:t>
            </w:r>
            <w:r w:rsidRPr="00B22799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консультаций.</w:t>
            </w:r>
          </w:p>
        </w:tc>
      </w:tr>
    </w:tbl>
    <w:p w:rsidR="00621829" w:rsidRPr="00A101E2" w:rsidRDefault="00621829" w:rsidP="00CA3493">
      <w:pPr>
        <w:rPr>
          <w:rFonts w:ascii="Arial" w:hAnsi="Arial" w:cs="Arial"/>
          <w:snapToGrid w:val="0"/>
          <w:sz w:val="22"/>
          <w:szCs w:val="22"/>
          <w:lang w:val="ru-RU" w:eastAsia="en-US"/>
        </w:rPr>
        <w:sectPr w:rsidR="00621829" w:rsidRPr="00A101E2" w:rsidSect="009E4187">
          <w:headerReference w:type="even" r:id="rId23"/>
          <w:headerReference w:type="default" r:id="rId24"/>
          <w:headerReference w:type="first" r:id="rId25"/>
          <w:footnotePr>
            <w:numRestart w:val="eachSect"/>
          </w:footnotePr>
          <w:pgSz w:w="16838" w:h="11906" w:orient="landscape" w:code="9"/>
          <w:pgMar w:top="1134" w:right="1134" w:bottom="1134" w:left="1418" w:header="397" w:footer="284" w:gutter="0"/>
          <w:cols w:space="708"/>
          <w:docGrid w:linePitch="360"/>
        </w:sectPr>
      </w:pPr>
    </w:p>
    <w:p w:rsidR="00031D73" w:rsidRPr="00D267EF" w:rsidRDefault="00ED08D7" w:rsidP="00D267EF">
      <w:pPr>
        <w:pStyle w:val="COMTitleDecision"/>
        <w:spacing w:before="360"/>
        <w:ind w:left="0"/>
        <w:rPr>
          <w:rFonts w:eastAsia="SimSun"/>
          <w:lang w:val="en-US"/>
        </w:rPr>
      </w:pPr>
      <w:r>
        <w:rPr>
          <w:lang w:val="ru-RU"/>
        </w:rPr>
        <w:lastRenderedPageBreak/>
        <w:t>РЕЗОЛЮЦИЯ</w:t>
      </w:r>
      <w:r w:rsidRPr="007461D9">
        <w:rPr>
          <w:lang w:val="ru-RU"/>
        </w:rPr>
        <w:t xml:space="preserve"> </w:t>
      </w:r>
      <w:r w:rsidR="00031D73" w:rsidRPr="007461D9">
        <w:rPr>
          <w:lang w:val="ru-RU"/>
        </w:rPr>
        <w:t>7.</w:t>
      </w:r>
      <w:r w:rsidR="00031D73">
        <w:t>GA </w:t>
      </w:r>
      <w:r w:rsidR="00031D73" w:rsidRPr="007461D9">
        <w:rPr>
          <w:lang w:val="ru-RU"/>
        </w:rPr>
        <w:t>10</w:t>
      </w:r>
    </w:p>
    <w:p w:rsidR="00031D73" w:rsidRPr="007461D9" w:rsidRDefault="00031D73" w:rsidP="00D267EF">
      <w:pPr>
        <w:pStyle w:val="COMPreambulaDecisions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7461D9">
        <w:rPr>
          <w:lang w:val="ru-RU"/>
        </w:rPr>
        <w:t>,</w:t>
      </w:r>
    </w:p>
    <w:p w:rsidR="00031D73" w:rsidRPr="0055054D" w:rsidRDefault="00031D73" w:rsidP="00D267EF">
      <w:pPr>
        <w:pStyle w:val="COMParaDecision"/>
        <w:numPr>
          <w:ilvl w:val="0"/>
          <w:numId w:val="51"/>
        </w:numPr>
        <w:ind w:left="567" w:hanging="567"/>
        <w:rPr>
          <w:lang w:val="ru-RU"/>
        </w:rPr>
      </w:pPr>
      <w:r>
        <w:rPr>
          <w:lang w:val="ru-RU"/>
        </w:rPr>
        <w:t>Рассмотрев</w:t>
      </w:r>
      <w:r w:rsidRPr="0055054D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</w:t>
      </w:r>
      <w:r w:rsidRPr="0055054D">
        <w:rPr>
          <w:u w:val="none"/>
          <w:lang w:val="ru-RU"/>
        </w:rPr>
        <w:t xml:space="preserve"> </w:t>
      </w:r>
      <w:hyperlink r:id="rId26" w:history="1">
        <w:r w:rsidRPr="003628A5">
          <w:rPr>
            <w:rStyle w:val="Hyperlink"/>
          </w:rPr>
          <w:t>ITH</w:t>
        </w:r>
        <w:r w:rsidRPr="0055054D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55054D">
          <w:rPr>
            <w:rStyle w:val="Hyperlink"/>
            <w:lang w:val="ru-RU"/>
          </w:rPr>
          <w:t>/10</w:t>
        </w:r>
        <w:r w:rsidR="006D6F42" w:rsidRPr="003628A5">
          <w:rPr>
            <w:rStyle w:val="Hyperlink"/>
            <w:lang w:val="ru-RU"/>
          </w:rPr>
          <w:t xml:space="preserve"> </w:t>
        </w:r>
        <w:r w:rsidR="006D6F42" w:rsidRPr="003628A5">
          <w:rPr>
            <w:rStyle w:val="Hyperlink"/>
            <w:lang w:val="en-US"/>
          </w:rPr>
          <w:t>Rev</w:t>
        </w:r>
        <w:r w:rsidR="006D6F42" w:rsidRPr="0055054D">
          <w:rPr>
            <w:rStyle w:val="Hyperlink"/>
            <w:lang w:val="ru-RU"/>
          </w:rPr>
          <w:t>.</w:t>
        </w:r>
      </w:hyperlink>
      <w:r w:rsidRPr="0055054D">
        <w:rPr>
          <w:u w:val="none"/>
          <w:lang w:val="ru-RU"/>
        </w:rPr>
        <w:t>,</w:t>
      </w:r>
    </w:p>
    <w:p w:rsidR="00031D73" w:rsidRPr="00D17759" w:rsidRDefault="00031D73" w:rsidP="00D267EF">
      <w:pPr>
        <w:pStyle w:val="COMParaDecision"/>
        <w:numPr>
          <w:ilvl w:val="0"/>
          <w:numId w:val="51"/>
        </w:numPr>
        <w:ind w:left="567" w:hanging="567"/>
        <w:rPr>
          <w:lang w:val="ru-RU"/>
        </w:rPr>
      </w:pPr>
      <w:r>
        <w:rPr>
          <w:lang w:val="ru-RU"/>
        </w:rPr>
        <w:t>Приветствует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инициированную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Комитетом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реформу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процесса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представления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периодических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докладов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D17759">
        <w:rPr>
          <w:u w:val="none"/>
          <w:lang w:val="ru-RU"/>
        </w:rPr>
        <w:t xml:space="preserve"> </w:t>
      </w:r>
      <w:r w:rsidRPr="00D17759">
        <w:rPr>
          <w:lang w:val="ru-RU"/>
        </w:rPr>
        <w:t>поддерживает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его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решение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переходе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региональному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циклу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представления</w:t>
      </w:r>
      <w:r w:rsidRPr="00D17759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докладов</w:t>
      </w:r>
      <w:r w:rsidRPr="00D17759">
        <w:rPr>
          <w:u w:val="none"/>
          <w:lang w:val="ru-RU"/>
        </w:rPr>
        <w:t>;</w:t>
      </w:r>
    </w:p>
    <w:p w:rsidR="00031D73" w:rsidRPr="00D267EF" w:rsidRDefault="00031D73" w:rsidP="00D267EF">
      <w:pPr>
        <w:pStyle w:val="COMParaDecision"/>
        <w:numPr>
          <w:ilvl w:val="0"/>
          <w:numId w:val="51"/>
        </w:numPr>
        <w:ind w:left="567" w:hanging="567"/>
        <w:rPr>
          <w:lang w:val="ru-RU"/>
        </w:rPr>
      </w:pPr>
      <w:r>
        <w:rPr>
          <w:lang w:val="ru-RU"/>
        </w:rPr>
        <w:t>Утверждает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поправки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Оперативному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руководству</w:t>
      </w:r>
      <w:r w:rsidRPr="003B5233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прилагаемые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3B5233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настоящей резолюции.</w:t>
      </w:r>
    </w:p>
    <w:p w:rsidR="00031D73" w:rsidRPr="009E04B8" w:rsidRDefault="00031D73" w:rsidP="00D267EF">
      <w:pPr>
        <w:pStyle w:val="Marge"/>
        <w:spacing w:before="360"/>
        <w:jc w:val="center"/>
        <w:rPr>
          <w:b/>
          <w:bCs/>
          <w:lang w:val="be-BY"/>
        </w:rPr>
      </w:pPr>
      <w:r>
        <w:rPr>
          <w:b/>
          <w:bCs/>
          <w:lang w:val="be-BY"/>
        </w:rPr>
        <w:t>ПР</w:t>
      </w:r>
      <w:r>
        <w:rPr>
          <w:b/>
          <w:bCs/>
          <w:lang w:val="ru-RU"/>
        </w:rPr>
        <w:t>И</w:t>
      </w:r>
      <w:r>
        <w:rPr>
          <w:b/>
          <w:bCs/>
          <w:lang w:val="be-BY"/>
        </w:rPr>
        <w:t>ЛОЖЕНИЕ</w:t>
      </w:r>
    </w:p>
    <w:p w:rsidR="00F9441E" w:rsidRPr="00B93DB8" w:rsidRDefault="00F9441E" w:rsidP="00D267EF">
      <w:pPr>
        <w:tabs>
          <w:tab w:val="left" w:pos="1243"/>
        </w:tabs>
        <w:spacing w:before="120" w:after="120"/>
        <w:ind w:left="567" w:hanging="567"/>
        <w:jc w:val="both"/>
        <w:rPr>
          <w:rFonts w:ascii="Arial" w:hAnsi="Arial" w:cs="Arial"/>
          <w:strike/>
          <w:color w:val="000000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152.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Государства-участники представляют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свои периодические доклады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A101E2">
        <w:rPr>
          <w:rFonts w:ascii="Arial" w:hAnsi="Arial" w:cs="Arial"/>
          <w:color w:val="000000"/>
          <w:sz w:val="22"/>
          <w:szCs w:val="22"/>
          <w:lang w:val="ru-RU"/>
        </w:rPr>
        <w:t>Комитету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к 15 декабря 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раз в шесть лет на основе ротации по регионам. Порядок такой ротации устанавливает Комитет в начале шестилетнего цикла представления периодических докладов.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sz w:val="22"/>
          <w:szCs w:val="22"/>
          <w:lang w:val="ru-RU"/>
        </w:rPr>
        <w:t xml:space="preserve">Государства-участники используют процесс представления периодических докладов для усиления мер по мониторингу, а также для расширения активного регионального обмена и сотрудничества во имя обеспечения эффективной охраны нематериального культурного наследия. 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 xml:space="preserve">Для этих докладов используется форма </w:t>
      </w:r>
      <w:r w:rsidRPr="0055054D">
        <w:rPr>
          <w:rFonts w:ascii="Arial" w:hAnsi="Arial" w:cs="Arial"/>
          <w:color w:val="000000"/>
          <w:sz w:val="22"/>
          <w:szCs w:val="22"/>
          <w:lang w:val="en-GB"/>
        </w:rPr>
        <w:t>ICH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-10</w:t>
      </w:r>
      <w:r w:rsidR="004F0271">
        <w:rPr>
          <w:rFonts w:ascii="Arial" w:hAnsi="Arial" w:cs="Arial"/>
          <w:color w:val="000000"/>
          <w:sz w:val="22"/>
          <w:szCs w:val="22"/>
          <w:lang w:val="ru-RU"/>
        </w:rPr>
        <w:t>, которая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F0271">
        <w:rPr>
          <w:rFonts w:ascii="Arial" w:hAnsi="Arial" w:cs="Arial"/>
          <w:color w:val="000000"/>
          <w:sz w:val="22"/>
          <w:szCs w:val="22"/>
          <w:lang w:val="ru-RU"/>
        </w:rPr>
        <w:t xml:space="preserve">также 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может быть заполнена онлайн каждым государством-участником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>(</w:t>
      </w:r>
      <w:hyperlink r:id="rId27" w:history="1">
        <w:r w:rsidRPr="00F9441E">
          <w:rPr>
            <w:rFonts w:ascii="Arial" w:hAnsi="Arial"/>
            <w:b/>
            <w:color w:val="000000"/>
            <w:sz w:val="22"/>
            <w:szCs w:val="22"/>
            <w:lang w:val="ru-RU"/>
          </w:rPr>
          <w:t>https://ich.unesco.org/</w:t>
        </w:r>
      </w:hyperlink>
      <w:r w:rsidRPr="0055054D">
        <w:rPr>
          <w:rFonts w:ascii="Arial" w:hAnsi="Arial" w:cs="Arial"/>
          <w:color w:val="000000"/>
          <w:sz w:val="22"/>
          <w:szCs w:val="22"/>
          <w:lang w:val="ru-RU"/>
        </w:rPr>
        <w:t>); эта форма с надлежащей периодичностью пересматривается Секретариатом.</w:t>
      </w:r>
    </w:p>
    <w:p w:rsidR="00F9441E" w:rsidRPr="00B93DB8" w:rsidRDefault="00F9441E" w:rsidP="00D267EF">
      <w:pPr>
        <w:tabs>
          <w:tab w:val="left" w:pos="1243"/>
        </w:tabs>
        <w:spacing w:before="120" w:after="120"/>
        <w:ind w:left="567" w:hanging="567"/>
        <w:jc w:val="both"/>
        <w:rPr>
          <w:rFonts w:ascii="Arial" w:hAnsi="Arial" w:cs="Arial"/>
          <w:strike/>
          <w:color w:val="000000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159.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3A3AA2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своевременно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отвечают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направленные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Комитетом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конкретные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запросы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представлении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дополнительной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информации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если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таковая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потребуется</w:t>
      </w:r>
      <w:r w:rsidRPr="003A3AA2">
        <w:rPr>
          <w:rFonts w:ascii="Arial" w:hAnsi="Arial" w:cs="Arial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sz w:val="22"/>
          <w:szCs w:val="22"/>
          <w:lang w:val="ru-RU"/>
        </w:rPr>
        <w:t>и независимо от регионального цикла, установленного Комитетом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</w:t>
      </w:r>
      <w:r w:rsidRPr="00B93DB8">
        <w:rPr>
          <w:rFonts w:ascii="Arial" w:hAnsi="Arial" w:cs="Arial"/>
          <w:strike/>
          <w:sz w:val="22"/>
          <w:szCs w:val="22"/>
          <w:lang w:val="ru-RU"/>
        </w:rPr>
        <w:t>в</w:t>
      </w:r>
      <w:r w:rsidRPr="0055054D">
        <w:rPr>
          <w:rFonts w:ascii="Arial" w:hAnsi="Arial" w:cs="Arial"/>
          <w:sz w:val="22"/>
          <w:szCs w:val="22"/>
          <w:lang w:val="ru-RU"/>
        </w:rPr>
        <w:t xml:space="preserve"> соответствии с пунктом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152 выше</w:t>
      </w:r>
      <w:r w:rsidRPr="003A3AA2">
        <w:rPr>
          <w:rFonts w:ascii="Arial" w:hAnsi="Arial" w:cs="Arial"/>
          <w:sz w:val="22"/>
          <w:szCs w:val="22"/>
          <w:lang w:val="ru-RU"/>
        </w:rPr>
        <w:t>.</w:t>
      </w:r>
    </w:p>
    <w:p w:rsidR="00F9441E" w:rsidRPr="00B93DB8" w:rsidRDefault="00F9441E" w:rsidP="00D267EF">
      <w:pPr>
        <w:tabs>
          <w:tab w:val="left" w:pos="1243"/>
        </w:tabs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161.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Pr="00B93DB8">
        <w:rPr>
          <w:rFonts w:ascii="Arial" w:hAnsi="Arial" w:cs="Arial"/>
          <w:sz w:val="22"/>
          <w:szCs w:val="22"/>
          <w:lang w:val="ru-RU"/>
        </w:rPr>
        <w:t xml:space="preserve">Такие доклады обычно представляются </w:t>
      </w:r>
      <w:r w:rsidRPr="00A101E2">
        <w:rPr>
          <w:rFonts w:ascii="Arial" w:hAnsi="Arial" w:cs="Arial"/>
          <w:sz w:val="22"/>
          <w:szCs w:val="22"/>
          <w:lang w:val="ru-RU"/>
        </w:rPr>
        <w:t>Комитету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к 15 декабря четвёртого года после года включения элемента в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писок и каждый четвёртый год в дальнейшем. </w:t>
      </w:r>
      <w:r w:rsidRPr="0055054D">
        <w:rPr>
          <w:rFonts w:ascii="Arial" w:hAnsi="Arial" w:cs="Arial"/>
          <w:sz w:val="22"/>
          <w:szCs w:val="22"/>
          <w:lang w:val="ru-RU"/>
        </w:rPr>
        <w:t xml:space="preserve">Для этих докладов используется форма </w:t>
      </w:r>
      <w:r w:rsidRPr="0055054D">
        <w:rPr>
          <w:rFonts w:ascii="Arial" w:hAnsi="Arial" w:cs="Arial"/>
          <w:sz w:val="22"/>
          <w:szCs w:val="22"/>
          <w:lang w:val="en-GB"/>
        </w:rPr>
        <w:t>ICH</w:t>
      </w:r>
      <w:r w:rsidRPr="0055054D">
        <w:rPr>
          <w:rFonts w:ascii="Arial" w:hAnsi="Arial" w:cs="Arial"/>
          <w:sz w:val="22"/>
          <w:szCs w:val="22"/>
          <w:lang w:val="ru-RU"/>
        </w:rPr>
        <w:t>-11</w:t>
      </w:r>
      <w:r w:rsidR="004F0271">
        <w:rPr>
          <w:rFonts w:ascii="Arial" w:hAnsi="Arial" w:cs="Arial"/>
          <w:sz w:val="22"/>
          <w:szCs w:val="22"/>
          <w:lang w:val="ru-RU"/>
        </w:rPr>
        <w:t xml:space="preserve">, </w:t>
      </w:r>
      <w:r w:rsidR="004F0271">
        <w:rPr>
          <w:rFonts w:ascii="Arial" w:hAnsi="Arial" w:cs="Arial"/>
          <w:color w:val="000000"/>
          <w:sz w:val="22"/>
          <w:szCs w:val="22"/>
          <w:lang w:val="ru-RU"/>
        </w:rPr>
        <w:t>которая</w:t>
      </w:r>
      <w:r w:rsidR="004F0271"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F0271">
        <w:rPr>
          <w:rFonts w:ascii="Arial" w:hAnsi="Arial" w:cs="Arial"/>
          <w:color w:val="000000"/>
          <w:sz w:val="22"/>
          <w:szCs w:val="22"/>
          <w:lang w:val="ru-RU"/>
        </w:rPr>
        <w:t>также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sz w:val="22"/>
          <w:szCs w:val="22"/>
          <w:lang w:val="ru-RU"/>
        </w:rPr>
        <w:t>может быть заполнена онлайн каждым государством-участником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</w:t>
      </w:r>
      <w:r w:rsidRPr="0055054D">
        <w:rPr>
          <w:rFonts w:ascii="Arial" w:hAnsi="Arial" w:cs="Arial"/>
          <w:sz w:val="22"/>
          <w:szCs w:val="22"/>
          <w:lang w:val="ru-RU"/>
        </w:rPr>
        <w:t>(</w:t>
      </w:r>
      <w:hyperlink r:id="rId28" w:history="1">
        <w:r w:rsidRPr="00F9441E">
          <w:rPr>
            <w:rFonts w:ascii="Arial" w:hAnsi="Arial"/>
            <w:b/>
            <w:sz w:val="22"/>
            <w:szCs w:val="22"/>
            <w:lang w:val="ru-RU"/>
          </w:rPr>
          <w:t>https://ich.unesco.org/</w:t>
        </w:r>
      </w:hyperlink>
      <w:r w:rsidRPr="0055054D">
        <w:rPr>
          <w:rFonts w:ascii="Arial" w:hAnsi="Arial" w:cs="Arial"/>
          <w:sz w:val="22"/>
          <w:szCs w:val="22"/>
          <w:lang w:val="ru-RU"/>
        </w:rPr>
        <w:t>); эта форма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 xml:space="preserve"> с надлежащей периодичностью пересматривается Секретариатом.</w:t>
      </w:r>
      <w:r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При включении элемента в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B93DB8">
        <w:rPr>
          <w:rFonts w:ascii="Arial" w:hAnsi="Arial" w:cs="Arial"/>
          <w:sz w:val="22"/>
          <w:szCs w:val="22"/>
          <w:lang w:val="ru-RU"/>
        </w:rPr>
        <w:t>писок Комитет может в каждом конкретном случае устанавливать особый график представления докладов, который заменит обычный четырёхлетний цикл.</w:t>
      </w:r>
    </w:p>
    <w:p w:rsidR="00F9441E" w:rsidRPr="00B93DB8" w:rsidRDefault="00F9441E" w:rsidP="00D267EF">
      <w:pPr>
        <w:widowControl w:val="0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162.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Pr="00BF0B3E">
        <w:rPr>
          <w:rFonts w:ascii="Arial" w:hAnsi="Arial" w:cs="Arial"/>
          <w:sz w:val="22"/>
          <w:szCs w:val="22"/>
          <w:lang w:val="ru-RU"/>
        </w:rPr>
        <w:t>Государство-участник должно уделять особое внимание роли ген</w:t>
      </w:r>
      <w:r w:rsidRPr="00B93DB8">
        <w:rPr>
          <w:rFonts w:ascii="Arial" w:hAnsi="Arial" w:cs="Arial"/>
          <w:sz w:val="22"/>
          <w:szCs w:val="22"/>
          <w:lang w:val="ru-RU"/>
        </w:rPr>
        <w:t>дерного фактора и сообщать о нынешнем состоянии элемента, включая:</w:t>
      </w:r>
    </w:p>
    <w:p w:rsidR="00F9441E" w:rsidRPr="00B93DB8" w:rsidRDefault="00F9441E" w:rsidP="00D267EF">
      <w:pPr>
        <w:pStyle w:val="ListParagraph"/>
        <w:widowControl w:val="0"/>
        <w:numPr>
          <w:ilvl w:val="0"/>
          <w:numId w:val="4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B93DB8">
        <w:rPr>
          <w:rFonts w:ascii="Arial" w:hAnsi="Arial" w:cs="Arial"/>
          <w:sz w:val="22"/>
          <w:szCs w:val="22"/>
          <w:lang w:val="ru-RU"/>
        </w:rPr>
        <w:t>его социальные и культурные функции;</w:t>
      </w:r>
    </w:p>
    <w:p w:rsidR="00F9441E" w:rsidRPr="00B93DB8" w:rsidRDefault="00F9441E" w:rsidP="00D267EF">
      <w:pPr>
        <w:pStyle w:val="ListParagraph"/>
        <w:widowControl w:val="0"/>
        <w:numPr>
          <w:ilvl w:val="0"/>
          <w:numId w:val="4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B93DB8">
        <w:rPr>
          <w:rFonts w:ascii="Arial" w:hAnsi="Arial" w:cs="Arial"/>
          <w:sz w:val="22"/>
          <w:szCs w:val="22"/>
          <w:lang w:val="ru-RU"/>
        </w:rPr>
        <w:t>оценку его жизнеспособности и опасностей, грозящих ему в настоящее время;</w:t>
      </w:r>
    </w:p>
    <w:p w:rsidR="00F9441E" w:rsidRPr="00B93DB8" w:rsidRDefault="00F9441E" w:rsidP="00D267EF">
      <w:pPr>
        <w:pStyle w:val="ListParagraph"/>
        <w:widowControl w:val="0"/>
        <w:numPr>
          <w:ilvl w:val="0"/>
          <w:numId w:val="4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B93DB8">
        <w:rPr>
          <w:rFonts w:ascii="Arial" w:hAnsi="Arial" w:cs="Arial"/>
          <w:sz w:val="22"/>
          <w:szCs w:val="22"/>
          <w:lang w:val="ru-RU"/>
        </w:rPr>
        <w:t>результаты усилий по охране элемента, в частности осуществления плана по охране, который был представлен во время подачи номинации;</w:t>
      </w:r>
    </w:p>
    <w:p w:rsidR="00F9441E" w:rsidRPr="0055054D" w:rsidRDefault="00F9441E" w:rsidP="00D267EF">
      <w:pPr>
        <w:pStyle w:val="ListParagraph"/>
        <w:widowControl w:val="0"/>
        <w:numPr>
          <w:ilvl w:val="0"/>
          <w:numId w:val="46"/>
        </w:numPr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5054D">
        <w:rPr>
          <w:rFonts w:ascii="Arial" w:hAnsi="Arial" w:cs="Arial"/>
          <w:sz w:val="22"/>
          <w:szCs w:val="22"/>
          <w:lang w:val="ru-RU"/>
        </w:rPr>
        <w:t xml:space="preserve">обновление плана по охране, который был включён в </w:t>
      </w:r>
      <w:proofErr w:type="spellStart"/>
      <w:r w:rsidRPr="0055054D">
        <w:rPr>
          <w:rFonts w:ascii="Arial" w:hAnsi="Arial" w:cs="Arial"/>
          <w:sz w:val="22"/>
          <w:szCs w:val="22"/>
          <w:lang w:val="ru-RU"/>
        </w:rPr>
        <w:t>номинационное</w:t>
      </w:r>
      <w:proofErr w:type="spellEnd"/>
      <w:r w:rsidRPr="0055054D">
        <w:rPr>
          <w:rFonts w:ascii="Arial" w:hAnsi="Arial" w:cs="Arial"/>
          <w:sz w:val="22"/>
          <w:szCs w:val="22"/>
          <w:lang w:val="ru-RU"/>
        </w:rPr>
        <w:t xml:space="preserve"> досье или предыдущий доклад;</w:t>
      </w:r>
    </w:p>
    <w:p w:rsidR="00F9441E" w:rsidRPr="0055054D" w:rsidRDefault="00F9441E" w:rsidP="00D267EF">
      <w:pPr>
        <w:pStyle w:val="ListParagraph"/>
        <w:widowControl w:val="0"/>
        <w:numPr>
          <w:ilvl w:val="0"/>
          <w:numId w:val="46"/>
        </w:numPr>
        <w:tabs>
          <w:tab w:val="left" w:pos="1243"/>
        </w:tabs>
        <w:spacing w:before="120"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B93DB8">
        <w:rPr>
          <w:rFonts w:ascii="Arial" w:hAnsi="Arial" w:cs="Arial"/>
          <w:sz w:val="22"/>
          <w:szCs w:val="22"/>
          <w:lang w:val="ru-RU"/>
        </w:rPr>
        <w:t>участие сообществ, групп и отдельных лиц, а также соответствующих неправительственных организаций в охране элемента и их постоянную приверженность делу его дальнейшей охраны</w:t>
      </w:r>
      <w:r w:rsidRPr="00BF0B3E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F9441E" w:rsidRPr="00B93DB8" w:rsidRDefault="00F9441E" w:rsidP="00D267EF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166.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Pr="00BF0B3E">
        <w:rPr>
          <w:rFonts w:ascii="Arial" w:hAnsi="Arial" w:cs="Arial"/>
          <w:sz w:val="22"/>
          <w:szCs w:val="22"/>
          <w:lang w:val="ru-RU"/>
        </w:rPr>
        <w:t>Секретариат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направляет Комитету обзор всех полученных докладов, </w:t>
      </w:r>
      <w:r w:rsidRPr="0055054D">
        <w:rPr>
          <w:rFonts w:ascii="Arial" w:hAnsi="Arial" w:cs="Arial"/>
          <w:sz w:val="22"/>
          <w:szCs w:val="22"/>
          <w:lang w:val="ru-RU"/>
        </w:rPr>
        <w:t>в соответствии с пунктом 152,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за</w:t>
      </w:r>
      <w:r w:rsidRPr="00BF0B3E">
        <w:rPr>
          <w:rFonts w:ascii="Arial" w:hAnsi="Arial" w:cs="Arial"/>
          <w:sz w:val="22"/>
          <w:szCs w:val="22"/>
          <w:lang w:val="ru-RU"/>
        </w:rPr>
        <w:t xml:space="preserve"> 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четыре недели до его сессии. Этот обзор </w:t>
      </w:r>
      <w:r w:rsidRPr="0055054D">
        <w:rPr>
          <w:rFonts w:ascii="Arial" w:hAnsi="Arial" w:cs="Arial"/>
          <w:sz w:val="22"/>
          <w:szCs w:val="22"/>
          <w:lang w:val="ru-RU"/>
        </w:rPr>
        <w:t>также размещается онлайн для общественных консультаций вместе с докладами, полученными в соответствии с пунктами 152 и 161, на том языке, на котором они были представлены государствами-участниками, если Комитет не примет иного решения в исключительных случаях.</w:t>
      </w:r>
    </w:p>
    <w:p w:rsidR="00F9441E" w:rsidRPr="008E680C" w:rsidRDefault="00F9441E" w:rsidP="00D267EF">
      <w:pPr>
        <w:spacing w:before="120" w:after="120"/>
        <w:ind w:left="567" w:hanging="567"/>
        <w:jc w:val="both"/>
        <w:rPr>
          <w:rFonts w:ascii="Arial" w:hAnsi="Arial" w:cs="Arial"/>
          <w:strike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lastRenderedPageBreak/>
        <w:t>167.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="00D267EF">
        <w:rPr>
          <w:rFonts w:ascii="Arial" w:hAnsi="Arial" w:cs="Arial"/>
          <w:sz w:val="22"/>
          <w:szCs w:val="22"/>
          <w:lang w:val="ru-RU"/>
        </w:rPr>
        <w:t>Удалено.</w:t>
      </w:r>
    </w:p>
    <w:p w:rsidR="00F9441E" w:rsidRPr="00DB6D4E" w:rsidRDefault="00F9441E" w:rsidP="00D267EF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168.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Положения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пунктов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157–159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165–16</w:t>
      </w:r>
      <w:r w:rsidRPr="0055054D">
        <w:rPr>
          <w:rFonts w:ascii="Arial" w:hAnsi="Arial" w:cs="Arial"/>
          <w:bCs/>
          <w:sz w:val="22"/>
          <w:szCs w:val="22"/>
          <w:lang w:val="ru-RU"/>
        </w:rPr>
        <w:t>6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настоящего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Оперативного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руководства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полном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объёме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распространяются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являющиеся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участниками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имеют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своей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территории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провозглашённые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Шедевры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включённые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Репрезентативный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список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человечества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согласились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осуществлять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права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соблюдать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соответствующие</w:t>
      </w:r>
      <w:r w:rsidRPr="00DB6D4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обязательства</w:t>
      </w:r>
      <w:r w:rsidRPr="00DB6D4E">
        <w:rPr>
          <w:rFonts w:ascii="Arial" w:hAnsi="Arial" w:cs="Arial"/>
          <w:sz w:val="22"/>
          <w:szCs w:val="22"/>
          <w:lang w:val="ru-RU"/>
        </w:rPr>
        <w:t>.</w:t>
      </w:r>
    </w:p>
    <w:p w:rsidR="007B6599" w:rsidRPr="00D267EF" w:rsidRDefault="00F9441E" w:rsidP="00D267EF">
      <w:p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 w:rsidRPr="00F9441E">
        <w:rPr>
          <w:rFonts w:ascii="Arial" w:hAnsi="Arial" w:cs="Arial"/>
          <w:sz w:val="22"/>
          <w:szCs w:val="22"/>
          <w:lang w:val="ru-RU"/>
        </w:rPr>
        <w:t>169.</w:t>
      </w:r>
      <w:r w:rsidRPr="00F9441E">
        <w:rPr>
          <w:rFonts w:ascii="Arial" w:hAnsi="Arial" w:cs="Arial"/>
          <w:sz w:val="22"/>
          <w:szCs w:val="22"/>
          <w:lang w:val="ru-RU"/>
        </w:rPr>
        <w:tab/>
      </w:r>
      <w:r w:rsidRPr="00BF0B3E">
        <w:rPr>
          <w:rFonts w:ascii="Arial" w:hAnsi="Arial" w:cs="Arial"/>
          <w:sz w:val="22"/>
          <w:szCs w:val="22"/>
          <w:lang w:val="ru-RU"/>
        </w:rPr>
        <w:t>Такие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 доклады представляются Комитету государствами, не являющимися участниками Конвенции, к 15 декабря 2014</w:t>
      </w:r>
      <w:r w:rsidRPr="00B93DB8">
        <w:rPr>
          <w:rFonts w:ascii="Arial" w:hAnsi="Arial" w:cs="Arial"/>
          <w:sz w:val="22"/>
          <w:szCs w:val="22"/>
          <w:lang w:val="en-US"/>
        </w:rPr>
        <w:t> </w:t>
      </w:r>
      <w:r w:rsidRPr="00B93DB8">
        <w:rPr>
          <w:rFonts w:ascii="Arial" w:hAnsi="Arial" w:cs="Arial"/>
          <w:sz w:val="22"/>
          <w:szCs w:val="22"/>
          <w:lang w:val="ru-RU"/>
        </w:rPr>
        <w:t xml:space="preserve">г. и каждые шесть лет в дальнейшем. </w:t>
      </w:r>
      <w:r w:rsidRPr="0055054D">
        <w:rPr>
          <w:rFonts w:ascii="Arial" w:hAnsi="Arial" w:cs="Arial"/>
          <w:sz w:val="22"/>
          <w:szCs w:val="22"/>
          <w:lang w:val="ru-RU"/>
        </w:rPr>
        <w:t xml:space="preserve">Для этих докладов используется форма </w:t>
      </w:r>
      <w:r w:rsidRPr="0055054D">
        <w:rPr>
          <w:rFonts w:ascii="Arial" w:hAnsi="Arial" w:cs="Arial"/>
          <w:sz w:val="22"/>
          <w:szCs w:val="22"/>
          <w:lang w:val="en-GB"/>
        </w:rPr>
        <w:t>ICH</w:t>
      </w:r>
      <w:r w:rsidRPr="0055054D">
        <w:rPr>
          <w:rFonts w:ascii="Arial" w:hAnsi="Arial" w:cs="Arial"/>
          <w:sz w:val="22"/>
          <w:szCs w:val="22"/>
          <w:lang w:val="ru-RU"/>
        </w:rPr>
        <w:t>-10</w:t>
      </w:r>
      <w:r w:rsidR="003767E7">
        <w:rPr>
          <w:rFonts w:ascii="Arial" w:hAnsi="Arial" w:cs="Arial"/>
          <w:color w:val="000000"/>
          <w:sz w:val="22"/>
          <w:szCs w:val="22"/>
          <w:lang w:val="ru-RU"/>
        </w:rPr>
        <w:t>, которая</w:t>
      </w:r>
      <w:r w:rsidR="003767E7" w:rsidRPr="00B93DB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767E7">
        <w:rPr>
          <w:rFonts w:ascii="Arial" w:hAnsi="Arial" w:cs="Arial"/>
          <w:color w:val="000000"/>
          <w:sz w:val="22"/>
          <w:szCs w:val="22"/>
          <w:lang w:val="ru-RU"/>
        </w:rPr>
        <w:t>также</w:t>
      </w:r>
      <w:r w:rsidRPr="0055054D">
        <w:rPr>
          <w:rFonts w:ascii="Arial" w:hAnsi="Arial" w:cs="Arial"/>
          <w:sz w:val="22"/>
          <w:szCs w:val="22"/>
          <w:lang w:val="ru-RU"/>
        </w:rPr>
        <w:t xml:space="preserve"> может заполняться онлайн каждым </w:t>
      </w:r>
      <w:r w:rsidR="00B963DA">
        <w:rPr>
          <w:rFonts w:ascii="Arial" w:hAnsi="Arial" w:cs="Arial"/>
          <w:sz w:val="22"/>
          <w:szCs w:val="22"/>
          <w:lang w:val="ru-RU"/>
        </w:rPr>
        <w:t xml:space="preserve">соответствующим </w:t>
      </w:r>
      <w:r w:rsidRPr="0055054D">
        <w:rPr>
          <w:rFonts w:ascii="Arial" w:hAnsi="Arial" w:cs="Arial"/>
          <w:sz w:val="22"/>
          <w:szCs w:val="22"/>
          <w:lang w:val="ru-RU"/>
        </w:rPr>
        <w:t>государством (</w:t>
      </w:r>
      <w:hyperlink r:id="rId29" w:history="1">
        <w:r w:rsidRPr="00F9441E">
          <w:rPr>
            <w:rFonts w:ascii="Arial" w:hAnsi="Arial"/>
            <w:b/>
            <w:sz w:val="22"/>
            <w:szCs w:val="22"/>
            <w:lang w:val="ru-RU"/>
          </w:rPr>
          <w:t>https://ich.unesco.org/</w:t>
        </w:r>
      </w:hyperlink>
      <w:r w:rsidRPr="0055054D">
        <w:rPr>
          <w:rFonts w:ascii="Arial" w:hAnsi="Arial" w:cs="Arial"/>
          <w:sz w:val="22"/>
          <w:szCs w:val="22"/>
          <w:lang w:val="ru-RU"/>
        </w:rPr>
        <w:t>); эта форма</w:t>
      </w:r>
      <w:r w:rsidRPr="0055054D">
        <w:rPr>
          <w:rFonts w:ascii="Arial" w:hAnsi="Arial" w:cs="Arial"/>
          <w:color w:val="000000"/>
          <w:sz w:val="22"/>
          <w:szCs w:val="22"/>
          <w:lang w:val="ru-RU"/>
        </w:rPr>
        <w:t xml:space="preserve"> с надлежащей периодичностью пересматривается Секретариатом.</w:t>
      </w:r>
    </w:p>
    <w:p w:rsidR="00031D73" w:rsidRPr="00D267EF" w:rsidRDefault="00ED08D7" w:rsidP="00D267EF">
      <w:pPr>
        <w:pStyle w:val="GATitleResolution"/>
        <w:spacing w:before="360"/>
        <w:ind w:left="0"/>
        <w:rPr>
          <w:lang w:val="en-US"/>
        </w:rPr>
      </w:pPr>
      <w:r>
        <w:rPr>
          <w:lang w:val="ru-RU"/>
        </w:rPr>
        <w:t>РЕЗОЛЮЦИЯ</w:t>
      </w:r>
      <w:r w:rsidRPr="005A52EB">
        <w:rPr>
          <w:lang w:val="ru-RU"/>
        </w:rPr>
        <w:t xml:space="preserve"> </w:t>
      </w:r>
      <w:r w:rsidR="00031D73" w:rsidRPr="005A52EB">
        <w:rPr>
          <w:lang w:val="ru-RU"/>
        </w:rPr>
        <w:t>7.</w:t>
      </w:r>
      <w:r w:rsidR="00031D73">
        <w:t>GA</w:t>
      </w:r>
      <w:r w:rsidR="00031D73" w:rsidRPr="005A52EB">
        <w:rPr>
          <w:lang w:val="ru-RU"/>
        </w:rPr>
        <w:t xml:space="preserve"> 11</w:t>
      </w:r>
    </w:p>
    <w:p w:rsidR="00031D73" w:rsidRPr="005A52EB" w:rsidRDefault="00031D73" w:rsidP="00D267EF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5A52EB">
        <w:rPr>
          <w:lang w:val="ru-RU"/>
        </w:rPr>
        <w:t>,</w:t>
      </w:r>
    </w:p>
    <w:p w:rsidR="00031D73" w:rsidRPr="005A52EB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lang w:val="ru-RU"/>
        </w:rPr>
      </w:pPr>
      <w:r>
        <w:rPr>
          <w:lang w:val="ru-RU"/>
        </w:rPr>
        <w:t>Рассмотрев</w:t>
      </w:r>
      <w:r w:rsidRPr="005A52EB">
        <w:rPr>
          <w:u w:val="none"/>
          <w:lang w:val="ru-RU"/>
        </w:rPr>
        <w:t xml:space="preserve"> документ </w:t>
      </w:r>
      <w:hyperlink r:id="rId30" w:history="1">
        <w:r w:rsidRPr="003628A5">
          <w:rPr>
            <w:rStyle w:val="Hyperlink"/>
          </w:rPr>
          <w:t>ITH</w:t>
        </w:r>
        <w:r w:rsidRPr="003628A5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3628A5">
          <w:rPr>
            <w:rStyle w:val="Hyperlink"/>
            <w:lang w:val="ru-RU"/>
          </w:rPr>
          <w:t>/11</w:t>
        </w:r>
      </w:hyperlink>
      <w:r w:rsidRPr="005A52EB">
        <w:rPr>
          <w:u w:val="none"/>
          <w:lang w:val="ru-RU"/>
        </w:rPr>
        <w:t>,</w:t>
      </w:r>
    </w:p>
    <w:p w:rsidR="00031D73" w:rsidRPr="005A52EB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статью</w:t>
      </w:r>
      <w:r w:rsidRPr="005A52EB">
        <w:rPr>
          <w:u w:val="none"/>
          <w:lang w:val="ru-RU"/>
        </w:rPr>
        <w:t xml:space="preserve"> 9 </w:t>
      </w:r>
      <w:r>
        <w:rPr>
          <w:u w:val="none"/>
          <w:lang w:val="ru-RU"/>
        </w:rPr>
        <w:t>Конвенции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пункты</w:t>
      </w:r>
      <w:r w:rsidRPr="005A52EB">
        <w:rPr>
          <w:u w:val="none"/>
          <w:lang w:val="ru-RU"/>
        </w:rPr>
        <w:t xml:space="preserve"> 91-99 </w:t>
      </w:r>
      <w:r>
        <w:rPr>
          <w:u w:val="none"/>
          <w:lang w:val="ru-RU"/>
        </w:rPr>
        <w:t>Оперативного</w:t>
      </w:r>
      <w:r w:rsidRPr="005A52EB">
        <w:rPr>
          <w:u w:val="none"/>
          <w:lang w:val="ru-RU"/>
        </w:rPr>
        <w:t xml:space="preserve"> </w:t>
      </w:r>
      <w:r>
        <w:rPr>
          <w:u w:val="none"/>
          <w:lang w:val="ru-RU"/>
        </w:rPr>
        <w:t>руководства,</w:t>
      </w:r>
    </w:p>
    <w:p w:rsidR="00031D73" w:rsidRPr="00C941B2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lang w:val="ru-RU"/>
        </w:rPr>
      </w:pPr>
      <w:r>
        <w:rPr>
          <w:lang w:val="ru-RU"/>
        </w:rPr>
        <w:t>Ссылаясь также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 решение</w:t>
      </w:r>
      <w:r w:rsidRPr="00E917DD">
        <w:rPr>
          <w:u w:val="none"/>
        </w:rPr>
        <w:t> </w:t>
      </w:r>
      <w:hyperlink r:id="rId31" w:history="1">
        <w:r w:rsidRPr="00CE2393">
          <w:rPr>
            <w:rStyle w:val="Hyperlink"/>
            <w:lang w:val="ru-RU"/>
          </w:rPr>
          <w:t>12.</w:t>
        </w:r>
        <w:r w:rsidRPr="00CE2393">
          <w:rPr>
            <w:rStyle w:val="Hyperlink"/>
          </w:rPr>
          <w:t>COM </w:t>
        </w:r>
        <w:r w:rsidRPr="00CE2393">
          <w:rPr>
            <w:rStyle w:val="Hyperlink"/>
            <w:lang w:val="ru-RU"/>
          </w:rPr>
          <w:t>17</w:t>
        </w:r>
      </w:hyperlink>
      <w:r w:rsidRPr="00C941B2">
        <w:rPr>
          <w:u w:val="none"/>
          <w:lang w:val="ru-RU"/>
        </w:rPr>
        <w:t>,</w:t>
      </w:r>
    </w:p>
    <w:p w:rsidR="00031D73" w:rsidRPr="00C941B2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lang w:val="ru-RU"/>
        </w:rPr>
      </w:pPr>
      <w:r>
        <w:rPr>
          <w:lang w:val="ru-RU"/>
        </w:rPr>
        <w:t>Аккредитует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двадцать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девять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C941B2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перечисленных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приложении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настоящей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резолюции</w:t>
      </w:r>
      <w:r w:rsidRPr="00C941B2">
        <w:rPr>
          <w:u w:val="none"/>
          <w:lang w:val="ru-RU"/>
        </w:rPr>
        <w:t xml:space="preserve">, </w:t>
      </w:r>
      <w:r>
        <w:rPr>
          <w:u w:val="none"/>
          <w:lang w:val="ru-RU"/>
        </w:rPr>
        <w:t>для</w:t>
      </w:r>
      <w:r w:rsidRPr="00C941B2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 консультативных функций по отношению к Комитету;</w:t>
      </w:r>
    </w:p>
    <w:p w:rsidR="00031D73" w:rsidRPr="00F824A9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u w:val="none"/>
          <w:lang w:val="ru-RU"/>
        </w:rPr>
      </w:pPr>
      <w:r>
        <w:rPr>
          <w:lang w:val="ru-RU"/>
        </w:rPr>
        <w:t>Призывает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избирательных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низким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уровнем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представленности</w:t>
      </w:r>
      <w:r w:rsidRPr="00F824A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отвечающие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критериям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аккредитации</w:t>
      </w:r>
      <w:r w:rsidRPr="00F824A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как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можно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быстрее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подавать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заявки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аккредитацию</w:t>
      </w:r>
      <w:r w:rsidRPr="00F824A9">
        <w:rPr>
          <w:u w:val="none"/>
          <w:lang w:val="ru-RU"/>
        </w:rPr>
        <w:t xml:space="preserve">, </w:t>
      </w:r>
      <w:r>
        <w:rPr>
          <w:u w:val="none"/>
          <w:lang w:val="ru-RU"/>
        </w:rPr>
        <w:t>что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позволит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улучшить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географическое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распределение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аккредитованных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F824A9">
        <w:rPr>
          <w:u w:val="none"/>
          <w:lang w:val="ru-RU"/>
        </w:rPr>
        <w:t xml:space="preserve"> </w:t>
      </w:r>
      <w:r w:rsidRPr="00F824A9">
        <w:rPr>
          <w:lang w:val="ru-RU"/>
        </w:rPr>
        <w:t>предлагает</w:t>
      </w:r>
      <w:r w:rsidRPr="00F824A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государствам</w:t>
      </w:r>
      <w:r w:rsidRPr="00F824A9">
        <w:rPr>
          <w:u w:val="none"/>
          <w:lang w:val="ru-RU"/>
        </w:rPr>
        <w:t xml:space="preserve"> – </w:t>
      </w:r>
      <w:r>
        <w:rPr>
          <w:u w:val="none"/>
          <w:lang w:val="ru-RU"/>
        </w:rPr>
        <w:t>участникам</w:t>
      </w:r>
      <w:r w:rsidRPr="00F824A9">
        <w:rPr>
          <w:u w:val="none"/>
          <w:lang w:val="ru-RU"/>
        </w:rPr>
        <w:t xml:space="preserve"> из </w:t>
      </w:r>
      <w:r>
        <w:rPr>
          <w:u w:val="none"/>
          <w:lang w:val="ru-RU"/>
        </w:rPr>
        <w:t>данных избирательных групп максимально широко ознакомить с настоящим призывом НПО, действующие на их территориях;</w:t>
      </w:r>
    </w:p>
    <w:p w:rsidR="00031D73" w:rsidRPr="00562327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lang w:val="ru-RU"/>
        </w:rPr>
      </w:pPr>
      <w:r>
        <w:rPr>
          <w:lang w:val="ru-RU"/>
        </w:rPr>
        <w:t>Призывает</w:t>
      </w:r>
      <w:r w:rsidRPr="00562327">
        <w:rPr>
          <w:u w:val="none"/>
          <w:lang w:val="ru-RU"/>
        </w:rPr>
        <w:t xml:space="preserve"> НПО, аккредитованные в 2014</w:t>
      </w:r>
      <w:r w:rsidRPr="00562327">
        <w:rPr>
          <w:u w:val="none"/>
          <w:lang w:val="en-US"/>
        </w:rPr>
        <w:t> </w:t>
      </w:r>
      <w:r w:rsidRPr="00562327">
        <w:rPr>
          <w:u w:val="none"/>
          <w:lang w:val="ru-RU"/>
        </w:rPr>
        <w:t>г., представить в Секретариат в 2019</w:t>
      </w:r>
      <w:r w:rsidRPr="00562327">
        <w:rPr>
          <w:u w:val="none"/>
          <w:lang w:val="en-US"/>
        </w:rPr>
        <w:t> </w:t>
      </w:r>
      <w:r w:rsidRPr="00562327">
        <w:rPr>
          <w:u w:val="none"/>
          <w:lang w:val="ru-RU"/>
        </w:rPr>
        <w:t xml:space="preserve">г. </w:t>
      </w:r>
      <w:r>
        <w:rPr>
          <w:u w:val="none"/>
          <w:lang w:val="ru-RU"/>
        </w:rPr>
        <w:t>доклады</w:t>
      </w:r>
      <w:r w:rsidRPr="00562327">
        <w:rPr>
          <w:u w:val="none"/>
          <w:lang w:val="ru-RU"/>
        </w:rPr>
        <w:t xml:space="preserve"> о </w:t>
      </w:r>
      <w:r>
        <w:rPr>
          <w:u w:val="none"/>
          <w:lang w:val="ru-RU"/>
        </w:rPr>
        <w:t xml:space="preserve">своей </w:t>
      </w:r>
      <w:r w:rsidRPr="00562327">
        <w:rPr>
          <w:u w:val="none"/>
          <w:lang w:val="ru-RU"/>
        </w:rPr>
        <w:t xml:space="preserve">деятельности за четырёхлетний период с тем, чтобы Комитет </w:t>
      </w:r>
      <w:r>
        <w:rPr>
          <w:u w:val="none"/>
          <w:lang w:val="ru-RU"/>
        </w:rPr>
        <w:t>на</w:t>
      </w:r>
      <w:r w:rsidRPr="005623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своей</w:t>
      </w:r>
      <w:r w:rsidRPr="005623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четырнадцатой</w:t>
      </w:r>
      <w:r w:rsidRPr="005623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сессии</w:t>
      </w:r>
      <w:r w:rsidRPr="005623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смог</w:t>
      </w:r>
      <w:r w:rsidRPr="005623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оценить вклад и приверженность каждой консультативной организации;</w:t>
      </w:r>
      <w:bookmarkStart w:id="0" w:name="_GoBack"/>
      <w:bookmarkEnd w:id="0"/>
    </w:p>
    <w:p w:rsidR="00D267EF" w:rsidRDefault="00031D73" w:rsidP="00D267EF">
      <w:pPr>
        <w:pStyle w:val="COMParaDecision"/>
        <w:numPr>
          <w:ilvl w:val="0"/>
          <w:numId w:val="52"/>
        </w:numPr>
        <w:ind w:left="567" w:hanging="567"/>
        <w:rPr>
          <w:u w:val="none"/>
          <w:lang w:val="ru-RU"/>
        </w:rPr>
      </w:pPr>
      <w:r>
        <w:rPr>
          <w:lang w:val="ru-RU"/>
        </w:rPr>
        <w:t>Принимает во внимание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текущий</w:t>
      </w:r>
      <w:r w:rsidRPr="00431627">
        <w:rPr>
          <w:u w:val="none"/>
          <w:lang w:val="ru-RU"/>
        </w:rPr>
        <w:t xml:space="preserve"> </w:t>
      </w:r>
      <w:r w:rsidRPr="00B34997">
        <w:rPr>
          <w:u w:val="none"/>
          <w:lang w:val="ru-RU"/>
        </w:rPr>
        <w:t>анализ</w:t>
      </w:r>
      <w:r w:rsidRPr="00431627">
        <w:rPr>
          <w:u w:val="none"/>
          <w:lang w:val="ru-RU"/>
        </w:rPr>
        <w:t xml:space="preserve">, </w:t>
      </w:r>
      <w:r w:rsidRPr="00B34997">
        <w:rPr>
          <w:u w:val="none"/>
          <w:lang w:val="ru-RU"/>
        </w:rPr>
        <w:t>осуществляемый</w:t>
      </w:r>
      <w:r w:rsidRPr="00431627">
        <w:rPr>
          <w:u w:val="none"/>
          <w:lang w:val="ru-RU"/>
        </w:rPr>
        <w:t xml:space="preserve"> </w:t>
      </w:r>
      <w:r w:rsidRPr="00B34997">
        <w:rPr>
          <w:u w:val="none"/>
          <w:lang w:val="ru-RU"/>
        </w:rPr>
        <w:t>Секретариатом</w:t>
      </w:r>
      <w:r w:rsidRPr="00431627">
        <w:rPr>
          <w:u w:val="none"/>
          <w:lang w:val="ru-RU"/>
        </w:rPr>
        <w:t xml:space="preserve"> </w:t>
      </w:r>
      <w:r w:rsidRPr="00B34997">
        <w:rPr>
          <w:u w:val="none"/>
          <w:lang w:val="ru-RU"/>
        </w:rPr>
        <w:t>и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специальной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неофициальной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рабочей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группой</w:t>
      </w:r>
      <w:r w:rsidR="00E01710">
        <w:rPr>
          <w:u w:val="none"/>
          <w:lang w:val="ru-RU"/>
        </w:rPr>
        <w:t>, сопредседателями которой являются</w:t>
      </w:r>
      <w:r w:rsidRPr="00431627">
        <w:rPr>
          <w:u w:val="none"/>
          <w:lang w:val="ru-RU"/>
        </w:rPr>
        <w:t xml:space="preserve"> </w:t>
      </w:r>
      <w:r w:rsidR="00E01710">
        <w:rPr>
          <w:u w:val="none"/>
          <w:lang w:val="ru-RU"/>
        </w:rPr>
        <w:t xml:space="preserve">Алжир и Филиппины, </w:t>
      </w:r>
      <w:r>
        <w:rPr>
          <w:u w:val="none"/>
          <w:lang w:val="ru-RU"/>
        </w:rPr>
        <w:t>в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консультации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аккредитованными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431627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касающийся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участия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НПО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в осуществлении Конвенции</w:t>
      </w:r>
      <w:r w:rsidRPr="00431627">
        <w:rPr>
          <w:u w:val="none"/>
          <w:lang w:val="ru-RU"/>
        </w:rPr>
        <w:t xml:space="preserve"> 2003</w:t>
      </w:r>
      <w:r w:rsidRPr="0020045A">
        <w:rPr>
          <w:u w:val="none"/>
          <w:lang w:val="en-US"/>
        </w:rPr>
        <w:t> </w:t>
      </w:r>
      <w:r>
        <w:rPr>
          <w:u w:val="none"/>
          <w:lang w:val="ru-RU"/>
        </w:rPr>
        <w:t>г</w:t>
      </w:r>
      <w:r w:rsidRPr="00431627">
        <w:rPr>
          <w:u w:val="none"/>
          <w:lang w:val="ru-RU"/>
        </w:rPr>
        <w:t>.</w:t>
      </w:r>
      <w:r>
        <w:rPr>
          <w:u w:val="none"/>
          <w:lang w:val="ru-RU"/>
        </w:rPr>
        <w:t>,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431627">
        <w:rPr>
          <w:u w:val="none"/>
          <w:lang w:val="ru-RU"/>
        </w:rPr>
        <w:t xml:space="preserve"> </w:t>
      </w:r>
      <w:r w:rsidRPr="00B13B35">
        <w:rPr>
          <w:lang w:val="ru-RU"/>
        </w:rPr>
        <w:t>просит</w:t>
      </w:r>
      <w:r w:rsidRPr="00431627">
        <w:rPr>
          <w:lang w:val="ru-RU"/>
        </w:rPr>
        <w:t>,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чтобы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Комитет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431627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представили </w:t>
      </w:r>
      <w:r w:rsidR="003C77FF">
        <w:rPr>
          <w:u w:val="none"/>
          <w:lang w:val="ru-RU"/>
        </w:rPr>
        <w:t>обновленную информацию касательно</w:t>
      </w:r>
      <w:r w:rsidR="00E01710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этого анализа на </w:t>
      </w:r>
      <w:r w:rsidR="00E01710">
        <w:rPr>
          <w:u w:val="none"/>
          <w:lang w:val="ru-RU"/>
        </w:rPr>
        <w:t xml:space="preserve">следующую </w:t>
      </w:r>
      <w:r>
        <w:rPr>
          <w:u w:val="none"/>
          <w:lang w:val="ru-RU"/>
        </w:rPr>
        <w:t>сесси</w:t>
      </w:r>
      <w:r w:rsidR="00E01710">
        <w:rPr>
          <w:u w:val="none"/>
          <w:lang w:val="ru-RU"/>
        </w:rPr>
        <w:t>ю</w:t>
      </w:r>
      <w:r>
        <w:rPr>
          <w:u w:val="none"/>
          <w:lang w:val="ru-RU"/>
        </w:rPr>
        <w:t xml:space="preserve"> Генеральной ассамблеи.</w:t>
      </w:r>
    </w:p>
    <w:p w:rsidR="00D267EF" w:rsidRDefault="00D267EF">
      <w:pPr>
        <w:rPr>
          <w:rFonts w:ascii="Arial" w:eastAsia="SimSun" w:hAnsi="Arial" w:cs="Arial"/>
          <w:sz w:val="22"/>
          <w:szCs w:val="22"/>
          <w:lang w:val="ru-RU"/>
        </w:rPr>
      </w:pPr>
      <w:r>
        <w:rPr>
          <w:lang w:val="ru-RU"/>
        </w:rPr>
        <w:br w:type="page"/>
      </w:r>
    </w:p>
    <w:p w:rsidR="00031D73" w:rsidRPr="00315822" w:rsidRDefault="00031D73" w:rsidP="0055054D">
      <w:pPr>
        <w:pStyle w:val="5GAparabodytext"/>
        <w:ind w:left="0" w:firstLine="0"/>
        <w:jc w:val="center"/>
      </w:pPr>
      <w:r>
        <w:rPr>
          <w:b/>
          <w:lang w:val="ru-RU"/>
        </w:rPr>
        <w:lastRenderedPageBreak/>
        <w:t>ПРИЛОЖЕНИЕ</w:t>
      </w: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4"/>
        <w:gridCol w:w="2849"/>
        <w:gridCol w:w="1784"/>
      </w:tblGrid>
      <w:tr w:rsidR="00031D73" w:rsidRPr="00D1780C" w:rsidTr="00D267EF">
        <w:trPr>
          <w:trHeight w:val="164"/>
          <w:jc w:val="center"/>
        </w:trPr>
        <w:tc>
          <w:tcPr>
            <w:tcW w:w="2561" w:type="pct"/>
            <w:shd w:val="clear" w:color="auto" w:fill="808080" w:themeFill="background1" w:themeFillShade="80"/>
            <w:vAlign w:val="center"/>
            <w:hideMark/>
          </w:tcPr>
          <w:p w:rsidR="00031D73" w:rsidRPr="0046644C" w:rsidRDefault="00031D73" w:rsidP="00031D73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Название организации</w:t>
            </w:r>
          </w:p>
        </w:tc>
        <w:tc>
          <w:tcPr>
            <w:tcW w:w="1500" w:type="pct"/>
            <w:shd w:val="clear" w:color="auto" w:fill="808080" w:themeFill="background1" w:themeFillShade="80"/>
            <w:vAlign w:val="center"/>
            <w:hideMark/>
          </w:tcPr>
          <w:p w:rsidR="00031D73" w:rsidRPr="0046644C" w:rsidRDefault="00031D73" w:rsidP="00031D7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Страна расположения штаб-квартиры</w:t>
            </w:r>
          </w:p>
        </w:tc>
        <w:tc>
          <w:tcPr>
            <w:tcW w:w="939" w:type="pct"/>
            <w:shd w:val="clear" w:color="auto" w:fill="808080" w:themeFill="background1" w:themeFillShade="80"/>
            <w:vAlign w:val="center"/>
            <w:hideMark/>
          </w:tcPr>
          <w:p w:rsidR="00031D73" w:rsidRPr="0046644C" w:rsidRDefault="00031D73" w:rsidP="00031D7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Номер заявки</w:t>
            </w:r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Amagugu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International Heritage Centre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Зимбабве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2" w:history="1">
              <w:r w:rsidR="00CE2393" w:rsidRPr="00644E6A">
                <w:rPr>
                  <w:rStyle w:val="Hyperlink"/>
                  <w:rFonts w:ascii="Arial" w:hAnsi="Arial" w:cs="Arial"/>
                  <w:sz w:val="22"/>
                  <w:szCs w:val="22"/>
                </w:rPr>
                <w:t>NGO-90383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Association Île du Monde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3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NGO-90388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Association of Folk Artists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Польша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4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NGO-90372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Centre de valorisation du patrimoine vivant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Канада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5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NGO-90394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Centre des musiques traditionnelles Rhône-Alpes (CMTRA)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CMTRA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6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NGO-90387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Centre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interprétation de la cu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lture traditionnelle Marius-Barb</w:t>
            </w: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eau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Канада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7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NGO-90414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Colles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Castelleres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Coordinating Body in Catalonia (Federation)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Испания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8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NGO-90366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Ethnographic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Society of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Slovakia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Словакия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39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NGO-90369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European Federation for Architectural Heritage Skills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Бельгия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0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NGO-90370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Folk Music Institute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Финляндия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1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NGO-90407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Georgian Arts and Culture Center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Грузия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2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NGO-90390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German Confederation of Skilled Crafts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Германия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3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NGO-90413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Institute for Intangible Cultural Heritage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4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NGO-90400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International Council of Museums ICOM - ICOM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5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NGO-90376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International Council on Monuments and Sites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ICOMOS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315822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6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NGO-90412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International Society for Ethnology and Folklore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Нидерланды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7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NGO-90385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Istanbul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Camlıca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Classic Art Center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8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NGO-90410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Mali Cultural Heritage Agency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Мали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49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NGO-90409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Many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Hands International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Австралия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0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NGO-90379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Norwegian Institute of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bunad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folk costume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Норвегия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1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NGO-90384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 Association </w:t>
            </w:r>
            <w:proofErr w:type="spellStart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Kuhhoi</w:t>
            </w:r>
            <w:proofErr w:type="spellEnd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Pomir</w:t>
            </w:r>
            <w:proofErr w:type="spellEnd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(Pamir </w:t>
            </w:r>
            <w:proofErr w:type="spellStart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mountains</w:t>
            </w:r>
            <w:proofErr w:type="spellEnd"/>
            <w:r w:rsidRPr="002A34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Таджикистан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2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NGO-90403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Routes Nomades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Франция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3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NGO-90371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Smithsonian Center for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Folklife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Cultural Heritage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Соединённые Штаты Америки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4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NGO-90391</w:t>
              </w:r>
            </w:hyperlink>
          </w:p>
        </w:tc>
      </w:tr>
      <w:tr w:rsidR="00CE2393" w:rsidRPr="00D1780C" w:rsidTr="00D267EF">
        <w:trPr>
          <w:trHeight w:val="281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Sozopol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Foundation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Болгария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5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NGO-90389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Teje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Teje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Колумбия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6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NGO-90368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THAAP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315822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Пакистан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7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NGO-90367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F36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Norwegian Society of Rural Women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315822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Норвегия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8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NGO-90395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Serfenta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Association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315822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Польша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59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NGO-90373</w:t>
              </w:r>
            </w:hyperlink>
          </w:p>
        </w:tc>
      </w:tr>
      <w:tr w:rsidR="00CE2393" w:rsidRPr="00D1780C" w:rsidTr="00D267EF">
        <w:trPr>
          <w:trHeight w:val="164"/>
          <w:jc w:val="center"/>
        </w:trPr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1A69E4" w:rsidRDefault="00CE2393" w:rsidP="00CE23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>Traditional</w:t>
            </w:r>
            <w:proofErr w:type="spellEnd"/>
            <w:r w:rsidRPr="001A69E4">
              <w:rPr>
                <w:rFonts w:ascii="Arial" w:hAnsi="Arial" w:cs="Arial"/>
                <w:color w:val="000000"/>
                <w:sz w:val="22"/>
                <w:szCs w:val="22"/>
              </w:rPr>
              <w:t xml:space="preserve"> Art Association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315822" w:rsidRDefault="00CE2393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Турция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E2393" w:rsidRPr="0055054D" w:rsidRDefault="007F3FBD" w:rsidP="00CE23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hyperlink r:id="rId60" w:history="1">
              <w:r w:rsidR="00CE2393" w:rsidRPr="00B90FF7">
                <w:rPr>
                  <w:rStyle w:val="Hyperlink"/>
                  <w:rFonts w:ascii="Arial" w:hAnsi="Arial"/>
                  <w:sz w:val="22"/>
                  <w:szCs w:val="22"/>
                </w:rPr>
                <w:t>NGO-90408</w:t>
              </w:r>
            </w:hyperlink>
          </w:p>
        </w:tc>
      </w:tr>
    </w:tbl>
    <w:p w:rsidR="00031D73" w:rsidRPr="003B04D4" w:rsidRDefault="00ED08D7" w:rsidP="00D267EF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3B04D4">
        <w:rPr>
          <w:lang w:val="ru-RU"/>
        </w:rPr>
        <w:t xml:space="preserve"> </w:t>
      </w:r>
      <w:r w:rsidR="00031D73" w:rsidRPr="003B04D4">
        <w:rPr>
          <w:lang w:val="ru-RU"/>
        </w:rPr>
        <w:t>7.</w:t>
      </w:r>
      <w:r w:rsidR="00031D73">
        <w:t>GA</w:t>
      </w:r>
      <w:r w:rsidR="00031D73" w:rsidRPr="003B04D4">
        <w:rPr>
          <w:lang w:val="ru-RU"/>
        </w:rPr>
        <w:t xml:space="preserve"> 12</w:t>
      </w:r>
    </w:p>
    <w:p w:rsidR="00031D73" w:rsidRPr="003B04D4" w:rsidRDefault="00031D73" w:rsidP="00D267EF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3B04D4">
        <w:rPr>
          <w:lang w:val="ru-RU"/>
        </w:rPr>
        <w:t>,</w:t>
      </w:r>
    </w:p>
    <w:p w:rsidR="00031D73" w:rsidRPr="003B04D4" w:rsidRDefault="00031D73" w:rsidP="00D267EF">
      <w:pPr>
        <w:pStyle w:val="COMParaDecision"/>
        <w:numPr>
          <w:ilvl w:val="0"/>
          <w:numId w:val="53"/>
        </w:numPr>
        <w:ind w:left="567" w:hanging="567"/>
        <w:jc w:val="left"/>
        <w:rPr>
          <w:lang w:val="ru-RU"/>
        </w:rPr>
      </w:pPr>
      <w:r>
        <w:rPr>
          <w:lang w:val="ru-RU"/>
        </w:rPr>
        <w:t>Рассмотрев</w:t>
      </w:r>
      <w:r w:rsidRPr="003B04D4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</w:t>
      </w:r>
      <w:r w:rsidRPr="003B04D4">
        <w:rPr>
          <w:u w:val="none"/>
          <w:lang w:val="ru-RU"/>
        </w:rPr>
        <w:t xml:space="preserve"> </w:t>
      </w:r>
      <w:hyperlink r:id="rId61" w:history="1">
        <w:r w:rsidRPr="003628A5">
          <w:rPr>
            <w:rStyle w:val="Hyperlink"/>
          </w:rPr>
          <w:t>ITH</w:t>
        </w:r>
        <w:r w:rsidRPr="003628A5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3628A5">
          <w:rPr>
            <w:rStyle w:val="Hyperlink"/>
            <w:lang w:val="ru-RU"/>
          </w:rPr>
          <w:t>/12</w:t>
        </w:r>
      </w:hyperlink>
      <w:r>
        <w:rPr>
          <w:u w:val="none"/>
          <w:lang w:val="ru-RU"/>
        </w:rPr>
        <w:t>, включая приложение к нему</w:t>
      </w:r>
      <w:r w:rsidRPr="003B04D4">
        <w:rPr>
          <w:u w:val="none"/>
          <w:lang w:val="ru-RU"/>
        </w:rPr>
        <w:t>,</w:t>
      </w:r>
    </w:p>
    <w:p w:rsidR="00031D73" w:rsidRPr="004C548D" w:rsidRDefault="00031D73" w:rsidP="00D267EF">
      <w:pPr>
        <w:pStyle w:val="COMParaDecision"/>
        <w:numPr>
          <w:ilvl w:val="0"/>
          <w:numId w:val="53"/>
        </w:numPr>
        <w:ind w:left="567" w:hanging="567"/>
        <w:jc w:val="left"/>
        <w:rPr>
          <w:lang w:val="ru-RU"/>
        </w:rPr>
      </w:pPr>
      <w:r>
        <w:rPr>
          <w:lang w:val="ru-RU"/>
        </w:rPr>
        <w:t>Принимая</w:t>
      </w:r>
      <w:r w:rsidRPr="004C548D">
        <w:rPr>
          <w:lang w:val="ru-RU"/>
        </w:rPr>
        <w:t xml:space="preserve"> </w:t>
      </w:r>
      <w:r>
        <w:rPr>
          <w:lang w:val="ru-RU"/>
        </w:rPr>
        <w:t>во</w:t>
      </w:r>
      <w:r w:rsidRPr="004C548D">
        <w:rPr>
          <w:lang w:val="ru-RU"/>
        </w:rPr>
        <w:t xml:space="preserve"> </w:t>
      </w:r>
      <w:r>
        <w:rPr>
          <w:lang w:val="ru-RU"/>
        </w:rPr>
        <w:t>внимание</w:t>
      </w:r>
      <w:r w:rsidRPr="004C548D">
        <w:rPr>
          <w:u w:val="none"/>
          <w:lang w:val="ru-RU"/>
        </w:rPr>
        <w:t xml:space="preserve"> документ </w:t>
      </w:r>
      <w:hyperlink r:id="rId62" w:history="1">
        <w:r w:rsidRPr="003628A5">
          <w:rPr>
            <w:rStyle w:val="Hyperlink"/>
          </w:rPr>
          <w:t>ITH</w:t>
        </w:r>
        <w:r w:rsidRPr="003628A5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3628A5">
          <w:rPr>
            <w:rStyle w:val="Hyperlink"/>
            <w:lang w:val="ru-RU"/>
          </w:rPr>
          <w:t>/13</w:t>
        </w:r>
      </w:hyperlink>
      <w:r>
        <w:rPr>
          <w:u w:val="none"/>
          <w:lang w:val="ru-RU"/>
        </w:rPr>
        <w:t>, включая приложение к нему</w:t>
      </w:r>
      <w:r w:rsidRPr="004C548D">
        <w:rPr>
          <w:u w:val="none"/>
          <w:lang w:val="ru-RU"/>
        </w:rPr>
        <w:t>,</w:t>
      </w:r>
    </w:p>
    <w:p w:rsidR="00031D73" w:rsidRPr="00345CB4" w:rsidRDefault="00031D73" w:rsidP="00D267EF">
      <w:pPr>
        <w:pStyle w:val="COMParaDecision"/>
        <w:numPr>
          <w:ilvl w:val="0"/>
          <w:numId w:val="53"/>
        </w:numPr>
        <w:ind w:left="567" w:hanging="567"/>
      </w:pPr>
      <w:r>
        <w:rPr>
          <w:lang w:val="ru-RU"/>
        </w:rPr>
        <w:t>Ссылаясь</w:t>
      </w:r>
      <w:r w:rsidRPr="004C548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4C548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решения</w:t>
      </w:r>
      <w:r w:rsidRPr="004C548D">
        <w:rPr>
          <w:u w:val="none"/>
          <w:lang w:val="ru-RU"/>
        </w:rPr>
        <w:t xml:space="preserve"> </w:t>
      </w:r>
      <w:hyperlink r:id="rId63" w:history="1">
        <w:r w:rsidRPr="004C548D">
          <w:rPr>
            <w:rStyle w:val="Hyperlink"/>
            <w:lang w:val="ru-RU"/>
          </w:rPr>
          <w:t>11.</w:t>
        </w:r>
        <w:r w:rsidRPr="0055728A">
          <w:rPr>
            <w:rStyle w:val="Hyperlink"/>
            <w:lang w:val="en-US"/>
          </w:rPr>
          <w:t>COM </w:t>
        </w:r>
        <w:r w:rsidRPr="004C548D">
          <w:rPr>
            <w:rStyle w:val="Hyperlink"/>
            <w:lang w:val="ru-RU"/>
          </w:rPr>
          <w:t>7</w:t>
        </w:r>
      </w:hyperlink>
      <w:r w:rsidRPr="004C548D">
        <w:rPr>
          <w:u w:val="none"/>
          <w:lang w:val="ru-RU"/>
        </w:rPr>
        <w:t xml:space="preserve">, </w:t>
      </w:r>
      <w:hyperlink r:id="rId64" w:history="1">
        <w:r w:rsidRPr="004C548D">
          <w:rPr>
            <w:rStyle w:val="Hyperlink"/>
            <w:lang w:val="ru-RU"/>
          </w:rPr>
          <w:t>12.</w:t>
        </w:r>
        <w:r w:rsidRPr="00F617CB">
          <w:rPr>
            <w:rStyle w:val="Hyperlink"/>
            <w:lang w:val="en-US"/>
          </w:rPr>
          <w:t>COM </w:t>
        </w:r>
        <w:r w:rsidRPr="004C548D">
          <w:rPr>
            <w:rStyle w:val="Hyperlink"/>
            <w:lang w:val="ru-RU"/>
          </w:rPr>
          <w:t>13</w:t>
        </w:r>
      </w:hyperlink>
      <w:r w:rsidRPr="004C548D">
        <w:rPr>
          <w:u w:val="none"/>
          <w:lang w:val="ru-RU"/>
        </w:rPr>
        <w:t xml:space="preserve">, </w:t>
      </w:r>
      <w:hyperlink r:id="rId65" w:history="1">
        <w:r w:rsidRPr="004C548D">
          <w:rPr>
            <w:rStyle w:val="Hyperlink"/>
            <w:lang w:val="ru-RU"/>
          </w:rPr>
          <w:t>12.</w:t>
        </w:r>
        <w:r w:rsidRPr="00BF7498">
          <w:rPr>
            <w:rStyle w:val="Hyperlink"/>
            <w:lang w:val="en-US"/>
          </w:rPr>
          <w:t>COM </w:t>
        </w:r>
        <w:r w:rsidRPr="004C548D">
          <w:rPr>
            <w:rStyle w:val="Hyperlink"/>
            <w:lang w:val="ru-RU"/>
          </w:rPr>
          <w:t>16</w:t>
        </w:r>
      </w:hyperlink>
      <w:r w:rsidRPr="004C548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 резолюцию</w:t>
      </w:r>
      <w:r w:rsidRPr="004C548D">
        <w:rPr>
          <w:u w:val="none"/>
          <w:lang w:val="ru-RU"/>
        </w:rPr>
        <w:t xml:space="preserve"> </w:t>
      </w:r>
      <w:hyperlink r:id="rId66" w:history="1">
        <w:r w:rsidRPr="0055728A">
          <w:rPr>
            <w:rStyle w:val="Hyperlink"/>
            <w:lang w:val="en-US"/>
          </w:rPr>
          <w:t>6.GA 11</w:t>
        </w:r>
      </w:hyperlink>
      <w:r w:rsidRPr="0055728A">
        <w:rPr>
          <w:u w:val="none"/>
          <w:lang w:val="en-US"/>
        </w:rPr>
        <w:t>,</w:t>
      </w:r>
    </w:p>
    <w:p w:rsidR="00031D73" w:rsidRPr="00801D42" w:rsidRDefault="00031D73" w:rsidP="00D267EF">
      <w:pPr>
        <w:pStyle w:val="COMParaDecision"/>
        <w:numPr>
          <w:ilvl w:val="0"/>
          <w:numId w:val="53"/>
        </w:numPr>
        <w:ind w:left="567" w:hanging="567"/>
        <w:jc w:val="left"/>
        <w:rPr>
          <w:lang w:val="ru-RU"/>
        </w:rPr>
      </w:pPr>
      <w:r>
        <w:rPr>
          <w:lang w:val="ru-RU"/>
        </w:rPr>
        <w:t>Ссылаясь также</w:t>
      </w:r>
      <w:r w:rsidRPr="00801D42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на </w:t>
      </w:r>
      <w:hyperlink r:id="rId67" w:history="1">
        <w:r w:rsidRPr="00D267EF">
          <w:rPr>
            <w:rStyle w:val="Hyperlink"/>
            <w:lang w:val="ru-RU"/>
          </w:rPr>
          <w:t>39</w:t>
        </w:r>
        <w:r w:rsidRPr="00D267EF">
          <w:rPr>
            <w:rStyle w:val="Hyperlink"/>
          </w:rPr>
          <w:t> C</w:t>
        </w:r>
        <w:r w:rsidRPr="00D267EF">
          <w:rPr>
            <w:rStyle w:val="Hyperlink"/>
            <w:lang w:val="ru-RU"/>
          </w:rPr>
          <w:t>/резолюцию</w:t>
        </w:r>
        <w:r w:rsidRPr="00D267EF">
          <w:rPr>
            <w:rStyle w:val="Hyperlink"/>
            <w:lang w:val="en-US"/>
          </w:rPr>
          <w:t> </w:t>
        </w:r>
        <w:r w:rsidRPr="00D267EF">
          <w:rPr>
            <w:rStyle w:val="Hyperlink"/>
            <w:lang w:val="ru-RU"/>
          </w:rPr>
          <w:t>87</w:t>
        </w:r>
      </w:hyperlink>
      <w:r w:rsidRPr="00801D42">
        <w:rPr>
          <w:u w:val="none"/>
          <w:lang w:val="ru-RU"/>
        </w:rPr>
        <w:t>,</w:t>
      </w:r>
    </w:p>
    <w:p w:rsidR="00031D73" w:rsidRPr="0055054D" w:rsidRDefault="00C66C8A" w:rsidP="00D267EF">
      <w:pPr>
        <w:pStyle w:val="COMParaDecision"/>
        <w:numPr>
          <w:ilvl w:val="0"/>
          <w:numId w:val="53"/>
        </w:numPr>
        <w:ind w:left="567" w:hanging="567"/>
        <w:rPr>
          <w:lang w:val="ru-RU"/>
        </w:rPr>
      </w:pPr>
      <w:r w:rsidRPr="0055054D">
        <w:rPr>
          <w:lang w:val="ru-RU"/>
        </w:rPr>
        <w:t>Признает</w:t>
      </w:r>
      <w:r w:rsidRPr="0055054D">
        <w:rPr>
          <w:u w:val="none"/>
          <w:lang w:val="ru-RU"/>
        </w:rPr>
        <w:t xml:space="preserve"> </w:t>
      </w:r>
      <w:r w:rsidR="00031D73" w:rsidRPr="0055054D">
        <w:rPr>
          <w:u w:val="none"/>
          <w:lang w:val="ru-RU"/>
        </w:rPr>
        <w:t>рекомендаци</w:t>
      </w:r>
      <w:r w:rsidRPr="0055054D">
        <w:rPr>
          <w:u w:val="none"/>
          <w:lang w:val="ru-RU"/>
        </w:rPr>
        <w:t>и</w:t>
      </w:r>
      <w:r w:rsidR="00031D73" w:rsidRPr="0055054D">
        <w:rPr>
          <w:u w:val="none"/>
          <w:lang w:val="ru-RU"/>
        </w:rPr>
        <w:t xml:space="preserve"> </w:t>
      </w:r>
      <w:r w:rsidRPr="0055054D">
        <w:rPr>
          <w:u w:val="none"/>
          <w:lang w:val="ru-RU"/>
        </w:rPr>
        <w:t>39-й сессии Генеральной конференции</w:t>
      </w:r>
      <w:r w:rsidR="00391F05" w:rsidRPr="0055054D">
        <w:rPr>
          <w:u w:val="none"/>
          <w:lang w:val="ru-RU"/>
        </w:rPr>
        <w:t xml:space="preserve"> по вопросам управления</w:t>
      </w:r>
      <w:r w:rsidR="00031D73" w:rsidRPr="0055054D">
        <w:rPr>
          <w:u w:val="none"/>
          <w:lang w:val="ru-RU"/>
        </w:rPr>
        <w:t>, процедур и метод</w:t>
      </w:r>
      <w:r w:rsidR="00CE2393">
        <w:rPr>
          <w:u w:val="none"/>
          <w:lang w:val="ru-RU"/>
        </w:rPr>
        <w:t>ов</w:t>
      </w:r>
      <w:r w:rsidR="00031D73" w:rsidRPr="0055054D">
        <w:rPr>
          <w:u w:val="none"/>
          <w:lang w:val="ru-RU"/>
        </w:rPr>
        <w:t xml:space="preserve"> работы руководящих органов ЮНЕСКО, </w:t>
      </w:r>
      <w:r w:rsidR="00CE2393" w:rsidRPr="0055054D">
        <w:rPr>
          <w:u w:val="none"/>
          <w:lang w:val="ru-RU"/>
        </w:rPr>
        <w:t xml:space="preserve">которые имеют отношение к </w:t>
      </w:r>
      <w:r w:rsidR="00031D73" w:rsidRPr="0055054D">
        <w:rPr>
          <w:u w:val="none"/>
          <w:lang w:val="ru-RU"/>
        </w:rPr>
        <w:t>руководящи</w:t>
      </w:r>
      <w:r w:rsidR="00CE2393" w:rsidRPr="0055054D">
        <w:rPr>
          <w:u w:val="none"/>
          <w:lang w:val="ru-RU"/>
        </w:rPr>
        <w:t>м</w:t>
      </w:r>
      <w:r w:rsidR="00031D73" w:rsidRPr="0055054D">
        <w:rPr>
          <w:u w:val="none"/>
          <w:lang w:val="ru-RU"/>
        </w:rPr>
        <w:t xml:space="preserve"> орган</w:t>
      </w:r>
      <w:r w:rsidR="00CE2393" w:rsidRPr="0055054D">
        <w:rPr>
          <w:u w:val="none"/>
          <w:lang w:val="ru-RU"/>
        </w:rPr>
        <w:t>ам</w:t>
      </w:r>
      <w:r w:rsidR="00031D73" w:rsidRPr="0055054D">
        <w:rPr>
          <w:u w:val="none"/>
          <w:lang w:val="ru-RU"/>
        </w:rPr>
        <w:t xml:space="preserve"> Конвенции 2003 г.;</w:t>
      </w:r>
    </w:p>
    <w:p w:rsidR="007F3FBD" w:rsidRDefault="00031D73" w:rsidP="00D267EF">
      <w:pPr>
        <w:pStyle w:val="COMParaDecision"/>
        <w:numPr>
          <w:ilvl w:val="0"/>
          <w:numId w:val="53"/>
        </w:numPr>
        <w:ind w:left="567" w:hanging="567"/>
        <w:rPr>
          <w:u w:val="none"/>
          <w:lang w:val="ru-RU"/>
        </w:rPr>
      </w:pPr>
      <w:r>
        <w:rPr>
          <w:lang w:val="ru-RU"/>
        </w:rPr>
        <w:lastRenderedPageBreak/>
        <w:t>Просит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предложить</w:t>
      </w:r>
      <w:r w:rsidRPr="00AC50ED">
        <w:rPr>
          <w:u w:val="none"/>
          <w:lang w:val="ru-RU"/>
        </w:rPr>
        <w:t xml:space="preserve">, </w:t>
      </w:r>
      <w:r>
        <w:rPr>
          <w:u w:val="none"/>
          <w:lang w:val="ru-RU"/>
        </w:rPr>
        <w:t>в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консультации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государствами</w:t>
      </w:r>
      <w:r w:rsidRPr="00AC50ED">
        <w:rPr>
          <w:u w:val="none"/>
          <w:lang w:val="ru-RU"/>
        </w:rPr>
        <w:t>-</w:t>
      </w:r>
      <w:r>
        <w:rPr>
          <w:u w:val="none"/>
          <w:lang w:val="ru-RU"/>
        </w:rPr>
        <w:t>участниками</w:t>
      </w:r>
      <w:r w:rsidRPr="00AC50ED">
        <w:rPr>
          <w:u w:val="none"/>
          <w:lang w:val="ru-RU"/>
        </w:rPr>
        <w:t xml:space="preserve">, </w:t>
      </w:r>
      <w:r>
        <w:rPr>
          <w:u w:val="none"/>
          <w:lang w:val="ru-RU"/>
        </w:rPr>
        <w:t>способы</w:t>
      </w:r>
      <w:r w:rsidRPr="00AC50ED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</w:t>
      </w:r>
    </w:p>
    <w:p w:rsidR="00031D73" w:rsidRPr="00AC50ED" w:rsidRDefault="00031D73" w:rsidP="00D267EF">
      <w:pPr>
        <w:pStyle w:val="COMParaDecision"/>
        <w:numPr>
          <w:ilvl w:val="0"/>
          <w:numId w:val="53"/>
        </w:numPr>
        <w:ind w:left="567" w:hanging="567"/>
        <w:rPr>
          <w:u w:val="none"/>
          <w:lang w:val="ru-RU"/>
        </w:rPr>
      </w:pPr>
      <w:proofErr w:type="spellStart"/>
      <w:r>
        <w:rPr>
          <w:u w:val="none"/>
          <w:lang w:val="ru-RU"/>
        </w:rPr>
        <w:t>рые</w:t>
      </w:r>
      <w:proofErr w:type="spellEnd"/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позволят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реализовать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данные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рекомендации</w:t>
      </w:r>
      <w:r w:rsidRPr="00AC50ED">
        <w:rPr>
          <w:u w:val="none"/>
          <w:lang w:val="ru-RU"/>
        </w:rPr>
        <w:t xml:space="preserve"> (</w:t>
      </w:r>
      <w:r>
        <w:rPr>
          <w:u w:val="none"/>
          <w:lang w:val="ru-RU"/>
        </w:rPr>
        <w:t>кроме</w:t>
      </w:r>
      <w:r w:rsidRPr="00AC50ED">
        <w:rPr>
          <w:u w:val="none"/>
          <w:lang w:val="ru-RU"/>
        </w:rPr>
        <w:t xml:space="preserve"> «</w:t>
      </w:r>
      <w:r>
        <w:rPr>
          <w:u w:val="none"/>
          <w:lang w:val="ru-RU"/>
        </w:rPr>
        <w:t>закрытых</w:t>
      </w:r>
      <w:r w:rsidRPr="00AC50ED">
        <w:rPr>
          <w:u w:val="none"/>
          <w:lang w:val="ru-RU"/>
        </w:rPr>
        <w:t xml:space="preserve">»), </w:t>
      </w:r>
      <w:r>
        <w:rPr>
          <w:u w:val="none"/>
          <w:lang w:val="ru-RU"/>
        </w:rPr>
        <w:t>в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том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числе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путем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внесения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проектов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поправок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Правилам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процедуры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Генеральной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ассамблеи,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учетом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предложений</w:t>
      </w:r>
      <w:r w:rsidRPr="00AC50ED">
        <w:rPr>
          <w:u w:val="none"/>
          <w:lang w:val="ru-RU"/>
        </w:rPr>
        <w:t xml:space="preserve">, </w:t>
      </w:r>
      <w:r>
        <w:rPr>
          <w:u w:val="none"/>
          <w:lang w:val="ru-RU"/>
        </w:rPr>
        <w:t>уже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полученных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основе</w:t>
      </w:r>
      <w:r w:rsidRPr="00AC50E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резолюции</w:t>
      </w:r>
      <w:r>
        <w:rPr>
          <w:u w:val="none"/>
        </w:rPr>
        <w:t> </w:t>
      </w:r>
      <w:hyperlink r:id="rId68" w:history="1">
        <w:r w:rsidRPr="00A101E2">
          <w:rPr>
            <w:rStyle w:val="Hyperlink"/>
            <w:lang w:val="ru-RU"/>
          </w:rPr>
          <w:t>6.</w:t>
        </w:r>
        <w:r w:rsidRPr="00A101E2">
          <w:rPr>
            <w:rStyle w:val="Hyperlink"/>
          </w:rPr>
          <w:t>GA </w:t>
        </w:r>
        <w:r w:rsidRPr="00A101E2">
          <w:rPr>
            <w:rStyle w:val="Hyperlink"/>
            <w:lang w:val="ru-RU"/>
          </w:rPr>
          <w:t>11</w:t>
        </w:r>
      </w:hyperlink>
      <w:r w:rsidRPr="00AC50ED">
        <w:rPr>
          <w:u w:val="none"/>
          <w:lang w:val="ru-RU"/>
        </w:rPr>
        <w:t>;</w:t>
      </w:r>
    </w:p>
    <w:p w:rsidR="00031D73" w:rsidRPr="00A22342" w:rsidRDefault="00031D73" w:rsidP="00D267EF">
      <w:pPr>
        <w:pStyle w:val="COMParaDecision"/>
        <w:numPr>
          <w:ilvl w:val="0"/>
          <w:numId w:val="53"/>
        </w:numPr>
        <w:ind w:left="567" w:hanging="567"/>
        <w:rPr>
          <w:u w:val="none"/>
          <w:lang w:val="ru-RU"/>
        </w:rPr>
      </w:pPr>
      <w:r>
        <w:rPr>
          <w:lang w:val="ru-RU"/>
        </w:rPr>
        <w:t>Просит</w:t>
      </w:r>
      <w:r w:rsidRPr="00A22342">
        <w:rPr>
          <w:lang w:val="ru-RU"/>
        </w:rPr>
        <w:t xml:space="preserve"> </w:t>
      </w:r>
      <w:r>
        <w:rPr>
          <w:lang w:val="ru-RU"/>
        </w:rPr>
        <w:t>также</w:t>
      </w:r>
      <w:r w:rsidRPr="00A22342">
        <w:rPr>
          <w:lang w:val="ru-RU"/>
        </w:rPr>
        <w:t>,</w:t>
      </w:r>
      <w:r w:rsidRPr="00A22342">
        <w:rPr>
          <w:u w:val="none"/>
          <w:lang w:val="ru-RU"/>
        </w:rPr>
        <w:t xml:space="preserve"> </w:t>
      </w:r>
      <w:r w:rsidRPr="007829B5">
        <w:rPr>
          <w:u w:val="none"/>
          <w:lang w:val="ru-RU"/>
        </w:rPr>
        <w:t>чтобы</w:t>
      </w:r>
      <w:r w:rsidRPr="00A22342">
        <w:rPr>
          <w:u w:val="none"/>
          <w:lang w:val="ru-RU"/>
        </w:rPr>
        <w:t xml:space="preserve"> </w:t>
      </w:r>
      <w:r w:rsidRPr="007829B5">
        <w:rPr>
          <w:u w:val="none"/>
          <w:lang w:val="ru-RU"/>
        </w:rPr>
        <w:t>Секретариат</w:t>
      </w:r>
      <w:r w:rsidRPr="00A22342">
        <w:rPr>
          <w:u w:val="none"/>
          <w:lang w:val="ru-RU"/>
        </w:rPr>
        <w:t xml:space="preserve"> </w:t>
      </w:r>
      <w:r w:rsidRPr="007829B5">
        <w:rPr>
          <w:u w:val="none"/>
          <w:lang w:val="ru-RU"/>
        </w:rPr>
        <w:t>обеспечил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использование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гендерно</w:t>
      </w:r>
      <w:r w:rsidRPr="00A22342">
        <w:rPr>
          <w:u w:val="none"/>
          <w:lang w:val="ru-RU"/>
        </w:rPr>
        <w:t>-</w:t>
      </w:r>
      <w:r>
        <w:rPr>
          <w:u w:val="none"/>
          <w:lang w:val="ru-RU"/>
        </w:rPr>
        <w:t>нейтральных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формулировок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во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всех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Основных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текстах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их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пересмотре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для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публикации</w:t>
      </w:r>
      <w:r w:rsidRPr="00A22342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издания</w:t>
      </w:r>
      <w:r w:rsidRPr="00A22342">
        <w:rPr>
          <w:u w:val="none"/>
          <w:lang w:val="ru-RU"/>
        </w:rPr>
        <w:t xml:space="preserve"> 2018</w:t>
      </w:r>
      <w:r w:rsidRPr="007829B5">
        <w:rPr>
          <w:u w:val="none"/>
        </w:rPr>
        <w:t> </w:t>
      </w:r>
      <w:r>
        <w:rPr>
          <w:u w:val="none"/>
          <w:lang w:val="ru-RU"/>
        </w:rPr>
        <w:t>г</w:t>
      </w:r>
      <w:r w:rsidRPr="00A22342">
        <w:rPr>
          <w:u w:val="none"/>
          <w:lang w:val="ru-RU"/>
        </w:rPr>
        <w:t>.;</w:t>
      </w:r>
    </w:p>
    <w:p w:rsidR="00031D73" w:rsidRPr="0055054D" w:rsidRDefault="00031D73" w:rsidP="00D267EF">
      <w:pPr>
        <w:pStyle w:val="COMParaDecision"/>
        <w:numPr>
          <w:ilvl w:val="0"/>
          <w:numId w:val="53"/>
        </w:numPr>
        <w:ind w:left="567" w:hanging="567"/>
        <w:rPr>
          <w:lang w:val="ru-RU"/>
        </w:rPr>
      </w:pPr>
      <w:r w:rsidRPr="0055054D">
        <w:rPr>
          <w:lang w:val="ru-RU"/>
        </w:rPr>
        <w:t>Предлагает</w:t>
      </w:r>
      <w:r w:rsidRPr="0055054D">
        <w:rPr>
          <w:u w:val="none"/>
          <w:lang w:val="ru-RU"/>
        </w:rPr>
        <w:t xml:space="preserve"> Генеральной ассамблее, Комитету и их Президиумам осуществлять свою деятельность в соответствии с рекомендациями </w:t>
      </w:r>
      <w:r w:rsidR="0064626F" w:rsidRPr="0055054D">
        <w:rPr>
          <w:u w:val="none"/>
          <w:lang w:val="ru-RU"/>
        </w:rPr>
        <w:t>39-й сессии Генеральной конференции</w:t>
      </w:r>
      <w:r w:rsidR="00CE2393" w:rsidRPr="00CE2393">
        <w:rPr>
          <w:u w:val="none"/>
          <w:lang w:val="ru-RU"/>
        </w:rPr>
        <w:t xml:space="preserve"> </w:t>
      </w:r>
      <w:r w:rsidR="00CE2393" w:rsidRPr="003740F8">
        <w:rPr>
          <w:u w:val="none"/>
          <w:lang w:val="ru-RU"/>
        </w:rPr>
        <w:t>по вопросам управления</w:t>
      </w:r>
      <w:r w:rsidRPr="0055054D">
        <w:rPr>
          <w:u w:val="none"/>
          <w:lang w:val="ru-RU"/>
        </w:rPr>
        <w:t>, в частности, в соответствии с руководящими принципами и обязанностями представителей избирательных групп в Президиумах, как это указано в Добавл</w:t>
      </w:r>
      <w:r w:rsidR="00933E73">
        <w:rPr>
          <w:u w:val="none"/>
          <w:lang w:val="ru-RU"/>
        </w:rPr>
        <w:t>ении 2 к докладу Рабочей группы;</w:t>
      </w:r>
    </w:p>
    <w:p w:rsidR="00031D73" w:rsidRPr="004D3B79" w:rsidRDefault="00A81AC4" w:rsidP="004D3B79">
      <w:pPr>
        <w:pStyle w:val="COMParaDecision"/>
        <w:numPr>
          <w:ilvl w:val="0"/>
          <w:numId w:val="53"/>
        </w:numPr>
        <w:ind w:left="567" w:hanging="567"/>
        <w:rPr>
          <w:u w:val="none"/>
          <w:lang w:val="ru-RU"/>
        </w:rPr>
      </w:pPr>
      <w:r w:rsidRPr="00E521ED">
        <w:rPr>
          <w:lang w:val="ru-RU"/>
        </w:rPr>
        <w:t>Постановляет</w:t>
      </w:r>
      <w:r w:rsidRPr="0055054D">
        <w:rPr>
          <w:u w:val="none"/>
          <w:lang w:val="ru-RU"/>
        </w:rPr>
        <w:t xml:space="preserve"> включить этот пункт в повестку дня своей следующей сессии в 2020 году для дальнейшего подведения итогов осуществления соответствующих рекомендаций.</w:t>
      </w:r>
    </w:p>
    <w:p w:rsidR="00031D73" w:rsidRPr="00175D8D" w:rsidRDefault="00ED08D7" w:rsidP="004D3B79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>РЕЗОЛЮЦИЯ</w:t>
      </w:r>
      <w:r w:rsidRPr="00175D8D">
        <w:rPr>
          <w:lang w:val="ru-RU"/>
        </w:rPr>
        <w:t xml:space="preserve"> </w:t>
      </w:r>
      <w:r w:rsidR="00031D73" w:rsidRPr="00175D8D">
        <w:rPr>
          <w:lang w:val="ru-RU"/>
        </w:rPr>
        <w:t>7.</w:t>
      </w:r>
      <w:r w:rsidR="00031D73">
        <w:t>GA</w:t>
      </w:r>
      <w:r w:rsidR="00031D73" w:rsidRPr="00175D8D">
        <w:rPr>
          <w:lang w:val="ru-RU"/>
        </w:rPr>
        <w:t xml:space="preserve"> 13</w:t>
      </w:r>
    </w:p>
    <w:p w:rsidR="00031D73" w:rsidRPr="00175D8D" w:rsidRDefault="00031D73" w:rsidP="004D3B79">
      <w:pPr>
        <w:pStyle w:val="GAPreambulaResolution"/>
        <w:ind w:left="0"/>
        <w:rPr>
          <w:rFonts w:eastAsia="SimSun"/>
          <w:lang w:val="ru-RU"/>
        </w:rPr>
      </w:pPr>
      <w:r>
        <w:rPr>
          <w:lang w:val="ru-RU"/>
        </w:rPr>
        <w:t>Генеральная ассамблея</w:t>
      </w:r>
      <w:r w:rsidRPr="00175D8D">
        <w:rPr>
          <w:lang w:val="ru-RU"/>
        </w:rPr>
        <w:t>,</w:t>
      </w:r>
    </w:p>
    <w:p w:rsidR="00031D73" w:rsidRPr="007E49E6" w:rsidRDefault="00031D73" w:rsidP="004D3B79">
      <w:pPr>
        <w:pStyle w:val="COMParaDecision"/>
        <w:numPr>
          <w:ilvl w:val="0"/>
          <w:numId w:val="54"/>
        </w:numPr>
        <w:ind w:left="567" w:hanging="567"/>
        <w:jc w:val="left"/>
        <w:rPr>
          <w:lang w:val="ru-RU"/>
        </w:rPr>
      </w:pPr>
      <w:r>
        <w:rPr>
          <w:lang w:val="ru-RU"/>
        </w:rPr>
        <w:t>Рассмотрев</w:t>
      </w:r>
      <w:r w:rsidRPr="007E49E6">
        <w:rPr>
          <w:u w:val="none"/>
          <w:lang w:val="ru-RU"/>
        </w:rPr>
        <w:t xml:space="preserve"> </w:t>
      </w:r>
      <w:r>
        <w:rPr>
          <w:u w:val="none"/>
          <w:lang w:val="ru-RU"/>
        </w:rPr>
        <w:t>документ</w:t>
      </w:r>
      <w:r w:rsidRPr="007E49E6">
        <w:rPr>
          <w:u w:val="none"/>
          <w:lang w:val="ru-RU"/>
        </w:rPr>
        <w:t xml:space="preserve"> </w:t>
      </w:r>
      <w:hyperlink r:id="rId69" w:history="1">
        <w:r w:rsidRPr="003628A5">
          <w:rPr>
            <w:rStyle w:val="Hyperlink"/>
          </w:rPr>
          <w:t>ITH</w:t>
        </w:r>
        <w:r w:rsidRPr="003628A5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3628A5">
          <w:rPr>
            <w:rStyle w:val="Hyperlink"/>
            <w:lang w:val="ru-RU"/>
          </w:rPr>
          <w:t>/13</w:t>
        </w:r>
      </w:hyperlink>
      <w:r w:rsidRPr="007E49E6">
        <w:rPr>
          <w:u w:val="none"/>
          <w:lang w:val="ru-RU"/>
        </w:rPr>
        <w:t xml:space="preserve"> </w:t>
      </w:r>
      <w:r>
        <w:rPr>
          <w:u w:val="none"/>
          <w:lang w:val="ru-RU"/>
        </w:rPr>
        <w:t>и Приложение к нему</w:t>
      </w:r>
      <w:r w:rsidRPr="007E49E6">
        <w:rPr>
          <w:u w:val="none"/>
          <w:lang w:val="ru-RU"/>
        </w:rPr>
        <w:t>,</w:t>
      </w:r>
    </w:p>
    <w:p w:rsidR="00031D73" w:rsidRPr="007E49E6" w:rsidRDefault="00031D73" w:rsidP="004D3B79">
      <w:pPr>
        <w:pStyle w:val="COMParaDecision"/>
        <w:numPr>
          <w:ilvl w:val="0"/>
          <w:numId w:val="54"/>
        </w:numPr>
        <w:ind w:left="567" w:hanging="567"/>
        <w:jc w:val="left"/>
        <w:rPr>
          <w:lang w:val="ru-RU"/>
        </w:rPr>
      </w:pPr>
      <w:r>
        <w:rPr>
          <w:lang w:val="ru-RU"/>
        </w:rPr>
        <w:t>Ссылаясь</w:t>
      </w:r>
      <w:r w:rsidRPr="007E49E6">
        <w:rPr>
          <w:u w:val="none"/>
          <w:lang w:val="ru-RU"/>
        </w:rPr>
        <w:t xml:space="preserve"> на резолюцию </w:t>
      </w:r>
      <w:hyperlink r:id="rId70" w:history="1">
        <w:r w:rsidRPr="007E49E6">
          <w:rPr>
            <w:rStyle w:val="Hyperlink"/>
            <w:lang w:val="ru-RU"/>
          </w:rPr>
          <w:t>6.</w:t>
        </w:r>
        <w:r w:rsidRPr="00895E59">
          <w:rPr>
            <w:rStyle w:val="Hyperlink"/>
            <w:lang w:val="en-US"/>
          </w:rPr>
          <w:t>GA </w:t>
        </w:r>
        <w:r w:rsidRPr="007E49E6">
          <w:rPr>
            <w:rStyle w:val="Hyperlink"/>
            <w:lang w:val="ru-RU"/>
          </w:rPr>
          <w:t>11</w:t>
        </w:r>
      </w:hyperlink>
      <w:r w:rsidRPr="007E49E6">
        <w:rPr>
          <w:rStyle w:val="Hyperlink"/>
          <w:u w:val="none"/>
          <w:lang w:val="ru-RU"/>
        </w:rPr>
        <w:t xml:space="preserve"> </w:t>
      </w:r>
      <w:r>
        <w:rPr>
          <w:u w:val="none"/>
          <w:lang w:val="ru-RU"/>
        </w:rPr>
        <w:t>и решение</w:t>
      </w:r>
      <w:r w:rsidRPr="007E49E6">
        <w:rPr>
          <w:u w:val="none"/>
          <w:lang w:val="ru-RU"/>
        </w:rPr>
        <w:t xml:space="preserve"> </w:t>
      </w:r>
      <w:hyperlink r:id="rId71" w:history="1">
        <w:r w:rsidRPr="007E49E6">
          <w:rPr>
            <w:rStyle w:val="Hyperlink"/>
            <w:lang w:val="ru-RU"/>
          </w:rPr>
          <w:t>12.</w:t>
        </w:r>
        <w:r w:rsidRPr="00244494">
          <w:rPr>
            <w:rStyle w:val="Hyperlink"/>
          </w:rPr>
          <w:t>COM</w:t>
        </w:r>
        <w:r w:rsidRPr="007E49E6">
          <w:rPr>
            <w:rStyle w:val="Hyperlink"/>
            <w:lang w:val="ru-RU"/>
          </w:rPr>
          <w:t xml:space="preserve"> 13</w:t>
        </w:r>
      </w:hyperlink>
      <w:r w:rsidRPr="007E49E6">
        <w:rPr>
          <w:u w:val="none"/>
          <w:lang w:val="ru-RU"/>
        </w:rPr>
        <w:t>,</w:t>
      </w:r>
    </w:p>
    <w:p w:rsidR="00031D73" w:rsidRPr="00A11BDC" w:rsidRDefault="00031D73" w:rsidP="004D3B79">
      <w:pPr>
        <w:pStyle w:val="COMParaDecision"/>
        <w:numPr>
          <w:ilvl w:val="0"/>
          <w:numId w:val="54"/>
        </w:numPr>
        <w:ind w:left="567" w:hanging="567"/>
        <w:rPr>
          <w:lang w:val="ru-RU"/>
        </w:rPr>
      </w:pPr>
      <w:r>
        <w:rPr>
          <w:lang w:val="ru-RU"/>
        </w:rPr>
        <w:t>Ссылаясь также</w:t>
      </w:r>
      <w:r w:rsidRPr="00A11BDC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на </w:t>
      </w:r>
      <w:hyperlink r:id="rId72" w:history="1">
        <w:r w:rsidRPr="00D267EF">
          <w:rPr>
            <w:rStyle w:val="Hyperlink"/>
            <w:lang w:val="ru-RU"/>
          </w:rPr>
          <w:t>39</w:t>
        </w:r>
        <w:r w:rsidRPr="00D267EF">
          <w:rPr>
            <w:rStyle w:val="Hyperlink"/>
            <w:lang w:val="en-US"/>
          </w:rPr>
          <w:t> C</w:t>
        </w:r>
        <w:r w:rsidRPr="00D267EF">
          <w:rPr>
            <w:rStyle w:val="Hyperlink"/>
            <w:lang w:val="ru-RU"/>
          </w:rPr>
          <w:t>/резолюцию</w:t>
        </w:r>
        <w:r w:rsidRPr="00D267EF">
          <w:rPr>
            <w:rStyle w:val="Hyperlink"/>
            <w:lang w:val="en-US"/>
          </w:rPr>
          <w:t> </w:t>
        </w:r>
        <w:r w:rsidRPr="00D267EF">
          <w:rPr>
            <w:rStyle w:val="Hyperlink"/>
            <w:lang w:val="ru-RU"/>
          </w:rPr>
          <w:t>87</w:t>
        </w:r>
      </w:hyperlink>
      <w:r w:rsidRPr="00A11BDC">
        <w:rPr>
          <w:u w:val="none"/>
          <w:lang w:val="ru-RU"/>
        </w:rPr>
        <w:t>,</w:t>
      </w:r>
    </w:p>
    <w:p w:rsidR="00031D73" w:rsidRPr="0026596C" w:rsidRDefault="00031D73" w:rsidP="004D3B79">
      <w:pPr>
        <w:pStyle w:val="COMParaDecision"/>
        <w:numPr>
          <w:ilvl w:val="0"/>
          <w:numId w:val="54"/>
        </w:numPr>
        <w:ind w:left="567" w:hanging="567"/>
        <w:rPr>
          <w:lang w:val="ru-RU"/>
        </w:rPr>
      </w:pPr>
      <w:r>
        <w:rPr>
          <w:lang w:val="ru-RU"/>
        </w:rPr>
        <w:t>Принимает</w:t>
      </w:r>
      <w:r w:rsidRPr="0026596C">
        <w:rPr>
          <w:lang w:val="ru-RU"/>
        </w:rPr>
        <w:t xml:space="preserve"> </w:t>
      </w:r>
      <w:r>
        <w:rPr>
          <w:lang w:val="ru-RU"/>
        </w:rPr>
        <w:t>к</w:t>
      </w:r>
      <w:r w:rsidRPr="0026596C">
        <w:rPr>
          <w:lang w:val="ru-RU"/>
        </w:rPr>
        <w:t xml:space="preserve"> </w:t>
      </w:r>
      <w:r>
        <w:rPr>
          <w:lang w:val="ru-RU"/>
        </w:rPr>
        <w:t>сведению</w:t>
      </w:r>
      <w:r w:rsidRPr="0026596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предложения, представленные государствами-участниками</w:t>
      </w:r>
      <w:r w:rsidRPr="0026596C">
        <w:rPr>
          <w:u w:val="none"/>
          <w:lang w:val="ru-RU"/>
        </w:rPr>
        <w:t>;</w:t>
      </w:r>
    </w:p>
    <w:p w:rsidR="00031D73" w:rsidRPr="009327F4" w:rsidRDefault="00031D73" w:rsidP="004D3B79">
      <w:pPr>
        <w:pStyle w:val="COMParaDecision"/>
        <w:numPr>
          <w:ilvl w:val="0"/>
          <w:numId w:val="54"/>
        </w:numPr>
        <w:ind w:left="567" w:hanging="567"/>
        <w:jc w:val="left"/>
        <w:rPr>
          <w:lang w:val="ru-RU"/>
        </w:rPr>
      </w:pPr>
      <w:r>
        <w:rPr>
          <w:lang w:val="ru-RU"/>
        </w:rPr>
        <w:t>Принимает также к сведению</w:t>
      </w:r>
      <w:r w:rsidRPr="009327F4">
        <w:rPr>
          <w:u w:val="none"/>
          <w:lang w:val="ru-RU"/>
        </w:rPr>
        <w:t xml:space="preserve"> </w:t>
      </w:r>
      <w:r>
        <w:rPr>
          <w:u w:val="none"/>
          <w:lang w:val="ru-RU"/>
        </w:rPr>
        <w:t xml:space="preserve">документ </w:t>
      </w:r>
      <w:hyperlink r:id="rId73" w:history="1">
        <w:r w:rsidRPr="003628A5">
          <w:rPr>
            <w:rStyle w:val="Hyperlink"/>
          </w:rPr>
          <w:t>ITH</w:t>
        </w:r>
        <w:r w:rsidRPr="003628A5">
          <w:rPr>
            <w:rStyle w:val="Hyperlink"/>
            <w:lang w:val="ru-RU"/>
          </w:rPr>
          <w:t>/18/7.</w:t>
        </w:r>
        <w:r w:rsidRPr="003628A5">
          <w:rPr>
            <w:rStyle w:val="Hyperlink"/>
          </w:rPr>
          <w:t>GA</w:t>
        </w:r>
        <w:r w:rsidRPr="003628A5">
          <w:rPr>
            <w:rStyle w:val="Hyperlink"/>
            <w:lang w:val="ru-RU"/>
          </w:rPr>
          <w:t>/12</w:t>
        </w:r>
      </w:hyperlink>
      <w:r w:rsidRPr="009327F4">
        <w:rPr>
          <w:u w:val="none"/>
          <w:lang w:val="ru-RU"/>
        </w:rPr>
        <w:t>;</w:t>
      </w:r>
    </w:p>
    <w:p w:rsidR="00031D73" w:rsidRPr="0055054D" w:rsidRDefault="00031D73" w:rsidP="004D3B79">
      <w:pPr>
        <w:pStyle w:val="COMParaDecision"/>
        <w:numPr>
          <w:ilvl w:val="0"/>
          <w:numId w:val="54"/>
        </w:numPr>
        <w:ind w:left="567" w:hanging="567"/>
        <w:rPr>
          <w:u w:val="none"/>
          <w:lang w:val="ru-RU"/>
        </w:rPr>
      </w:pPr>
      <w:r w:rsidRPr="0055054D">
        <w:rPr>
          <w:lang w:val="ru-RU"/>
        </w:rPr>
        <w:t>Просит</w:t>
      </w:r>
      <w:r w:rsidRPr="0055054D">
        <w:rPr>
          <w:u w:val="none"/>
          <w:lang w:val="ru-RU"/>
        </w:rPr>
        <w:t xml:space="preserve"> Секретариат рассмотреть представленные государствами-участниками поправки в Правила процедуры</w:t>
      </w:r>
      <w:r w:rsidR="00CE2393" w:rsidRPr="0055054D">
        <w:rPr>
          <w:u w:val="none"/>
          <w:lang w:val="ru-RU"/>
        </w:rPr>
        <w:t>,</w:t>
      </w:r>
      <w:r w:rsidRPr="0055054D">
        <w:rPr>
          <w:u w:val="none"/>
          <w:lang w:val="ru-RU"/>
        </w:rPr>
        <w:t xml:space="preserve"> </w:t>
      </w:r>
      <w:r w:rsidR="00A81AC4" w:rsidRPr="0055054D">
        <w:rPr>
          <w:u w:val="none"/>
          <w:lang w:val="ru-RU"/>
        </w:rPr>
        <w:t xml:space="preserve">принимая во внимание </w:t>
      </w:r>
      <w:r w:rsidRPr="0055054D">
        <w:rPr>
          <w:u w:val="none"/>
          <w:lang w:val="ru-RU"/>
        </w:rPr>
        <w:t>соответствующи</w:t>
      </w:r>
      <w:r w:rsidR="00A81AC4" w:rsidRPr="0055054D">
        <w:rPr>
          <w:u w:val="none"/>
          <w:lang w:val="ru-RU"/>
        </w:rPr>
        <w:t>е</w:t>
      </w:r>
      <w:r w:rsidRPr="0055054D">
        <w:rPr>
          <w:u w:val="none"/>
          <w:lang w:val="ru-RU"/>
        </w:rPr>
        <w:t xml:space="preserve"> рекомендаци</w:t>
      </w:r>
      <w:r w:rsidR="00A81AC4" w:rsidRPr="0055054D">
        <w:rPr>
          <w:u w:val="none"/>
          <w:lang w:val="ru-RU"/>
        </w:rPr>
        <w:t>и</w:t>
      </w:r>
      <w:r w:rsidRPr="0055054D">
        <w:rPr>
          <w:u w:val="none"/>
          <w:lang w:val="ru-RU"/>
        </w:rPr>
        <w:t xml:space="preserve"> </w:t>
      </w:r>
      <w:r w:rsidR="00C9265A" w:rsidRPr="0055054D">
        <w:rPr>
          <w:u w:val="none"/>
          <w:lang w:val="ru-RU"/>
        </w:rPr>
        <w:t xml:space="preserve">39-й сессии </w:t>
      </w:r>
      <w:r w:rsidR="00A81AC4" w:rsidRPr="0055054D">
        <w:rPr>
          <w:u w:val="none"/>
          <w:lang w:val="ru-RU"/>
        </w:rPr>
        <w:t>Генеральной конференции</w:t>
      </w:r>
      <w:r w:rsidR="00845791" w:rsidRPr="0055054D">
        <w:rPr>
          <w:u w:val="none"/>
          <w:lang w:val="ru-RU"/>
        </w:rPr>
        <w:t xml:space="preserve"> по вопросам управления, процедур и методов работы руководящих органов ЮНЕСКО</w:t>
      </w:r>
      <w:r w:rsidR="00A81AC4" w:rsidRPr="0055054D">
        <w:rPr>
          <w:u w:val="none"/>
          <w:lang w:val="ru-RU"/>
        </w:rPr>
        <w:t xml:space="preserve">, особенно </w:t>
      </w:r>
      <w:r w:rsidR="00845791" w:rsidRPr="0055054D">
        <w:rPr>
          <w:u w:val="none"/>
          <w:lang w:val="ru-RU"/>
        </w:rPr>
        <w:t>те, которые касаются</w:t>
      </w:r>
      <w:r w:rsidR="00A81AC4" w:rsidRPr="0055054D">
        <w:rPr>
          <w:u w:val="none"/>
          <w:lang w:val="ru-RU"/>
        </w:rPr>
        <w:t xml:space="preserve">, в зависимости от обстоятельств, правил процедуры шести конвенций в сфере культуры, </w:t>
      </w:r>
      <w:r w:rsidRPr="0055054D">
        <w:rPr>
          <w:u w:val="none"/>
          <w:lang w:val="ru-RU"/>
        </w:rPr>
        <w:t xml:space="preserve">и, в консультации с государствами-участниками, представить </w:t>
      </w:r>
      <w:r w:rsidR="00A81AC4" w:rsidRPr="0055054D">
        <w:rPr>
          <w:u w:val="none"/>
          <w:lang w:val="ru-RU"/>
        </w:rPr>
        <w:t xml:space="preserve">сводный </w:t>
      </w:r>
      <w:r w:rsidRPr="0055054D">
        <w:rPr>
          <w:u w:val="none"/>
          <w:lang w:val="ru-RU"/>
        </w:rPr>
        <w:t>набор планируемых поправок на рассмотрение восьмой сессии Генеральной ассамблеи</w:t>
      </w:r>
      <w:r w:rsidR="003A4531" w:rsidRPr="0055054D">
        <w:rPr>
          <w:u w:val="none"/>
          <w:lang w:val="ru-RU"/>
        </w:rPr>
        <w:t>;</w:t>
      </w:r>
    </w:p>
    <w:p w:rsidR="00A81AC4" w:rsidRPr="00A81AC4" w:rsidRDefault="00A81AC4" w:rsidP="004D3B79">
      <w:pPr>
        <w:pStyle w:val="COMParaDecision"/>
        <w:numPr>
          <w:ilvl w:val="0"/>
          <w:numId w:val="54"/>
        </w:numPr>
        <w:ind w:left="567" w:hanging="567"/>
        <w:rPr>
          <w:u w:val="none"/>
          <w:lang w:val="ru-RU"/>
        </w:rPr>
      </w:pPr>
      <w:r w:rsidRPr="0055054D">
        <w:rPr>
          <w:lang w:val="ru-RU"/>
        </w:rPr>
        <w:t>Признает</w:t>
      </w:r>
      <w:r w:rsidRPr="00A81AC4">
        <w:rPr>
          <w:u w:val="none"/>
          <w:lang w:val="ru-RU"/>
        </w:rPr>
        <w:t xml:space="preserve"> необходимость согласования, когда это необходимо, правил процедуры руководящих органов шести конвенций </w:t>
      </w:r>
      <w:r>
        <w:rPr>
          <w:u w:val="none"/>
          <w:lang w:val="ru-RU"/>
        </w:rPr>
        <w:t xml:space="preserve">в сфере культуры </w:t>
      </w:r>
      <w:r w:rsidRPr="00A81AC4">
        <w:rPr>
          <w:u w:val="none"/>
          <w:lang w:val="ru-RU"/>
        </w:rPr>
        <w:t xml:space="preserve">и </w:t>
      </w:r>
      <w:r w:rsidRPr="0055054D">
        <w:rPr>
          <w:lang w:val="ru-RU"/>
        </w:rPr>
        <w:t>подчеркивает</w:t>
      </w:r>
      <w:r w:rsidRPr="00A81AC4">
        <w:rPr>
          <w:u w:val="none"/>
          <w:lang w:val="ru-RU"/>
        </w:rPr>
        <w:t xml:space="preserve"> решающую роль Сектора культуры, который может оказать помощь и содействовать этому процессу, предоставив матрицу, содержащую сводные поправки к правилам процедуры вышеупомянутых органов.</w:t>
      </w:r>
    </w:p>
    <w:p w:rsidR="00031D73" w:rsidRPr="002402C9" w:rsidRDefault="00ED08D7" w:rsidP="004D3B79">
      <w:pPr>
        <w:pStyle w:val="GATitleResolution"/>
        <w:spacing w:before="360"/>
        <w:ind w:left="0"/>
        <w:rPr>
          <w:lang w:val="ru-RU"/>
        </w:rPr>
      </w:pPr>
      <w:r>
        <w:rPr>
          <w:lang w:val="ru-RU"/>
        </w:rPr>
        <w:t xml:space="preserve">РЕЗОЛЮЦИЯ </w:t>
      </w:r>
      <w:r w:rsidR="00031D73">
        <w:rPr>
          <w:lang w:val="ru-RU"/>
        </w:rPr>
        <w:t>7</w:t>
      </w:r>
      <w:r w:rsidR="00031D73" w:rsidRPr="002402C9">
        <w:rPr>
          <w:lang w:val="ru-RU"/>
        </w:rPr>
        <w:t xml:space="preserve">.GA </w:t>
      </w:r>
      <w:r w:rsidR="00031D73">
        <w:rPr>
          <w:lang w:val="ru-RU"/>
        </w:rPr>
        <w:t>14</w:t>
      </w:r>
    </w:p>
    <w:p w:rsidR="00031D73" w:rsidRPr="002402C9" w:rsidRDefault="00031D73" w:rsidP="004D3B79">
      <w:pPr>
        <w:pStyle w:val="GAPreambulaResolution"/>
        <w:ind w:left="0"/>
        <w:rPr>
          <w:rFonts w:eastAsia="SimSun"/>
          <w:lang w:val="ru-RU"/>
        </w:rPr>
      </w:pPr>
      <w:r w:rsidRPr="002402C9">
        <w:rPr>
          <w:lang w:val="ru-RU"/>
        </w:rPr>
        <w:t xml:space="preserve">Генеральная </w:t>
      </w:r>
      <w:r>
        <w:rPr>
          <w:lang w:val="ru-RU"/>
        </w:rPr>
        <w:t>а</w:t>
      </w:r>
      <w:r w:rsidRPr="002402C9">
        <w:rPr>
          <w:lang w:val="ru-RU"/>
        </w:rPr>
        <w:t>ссамблея,</w:t>
      </w:r>
    </w:p>
    <w:p w:rsidR="00031D73" w:rsidRPr="002402C9" w:rsidRDefault="00031D73" w:rsidP="004D3B79">
      <w:pPr>
        <w:pStyle w:val="COMParaDecision"/>
        <w:numPr>
          <w:ilvl w:val="0"/>
          <w:numId w:val="57"/>
        </w:numPr>
        <w:ind w:left="567" w:hanging="567"/>
        <w:rPr>
          <w:lang w:val="ru-RU"/>
        </w:rPr>
      </w:pPr>
      <w:r w:rsidRPr="002402C9">
        <w:rPr>
          <w:lang w:val="ru-RU"/>
        </w:rPr>
        <w:t>Рассмотрев</w:t>
      </w:r>
      <w:r w:rsidRPr="001924F4">
        <w:rPr>
          <w:u w:val="none"/>
          <w:lang w:val="ru-RU"/>
        </w:rPr>
        <w:t xml:space="preserve"> документ </w:t>
      </w:r>
      <w:hyperlink r:id="rId74" w:history="1">
        <w:r w:rsidRPr="003628A5">
          <w:rPr>
            <w:rStyle w:val="Hyperlink"/>
            <w:lang w:val="ru-RU"/>
          </w:rPr>
          <w:t>ITH/18/7.GA/14</w:t>
        </w:r>
      </w:hyperlink>
      <w:r w:rsidRPr="001924F4">
        <w:rPr>
          <w:u w:val="none"/>
          <w:lang w:val="ru-RU"/>
        </w:rPr>
        <w:t>,</w:t>
      </w:r>
    </w:p>
    <w:p w:rsidR="00031D73" w:rsidRPr="002402C9" w:rsidRDefault="00031D73" w:rsidP="004D3B79">
      <w:pPr>
        <w:pStyle w:val="COMParaDecision"/>
        <w:numPr>
          <w:ilvl w:val="0"/>
          <w:numId w:val="57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1924F4">
        <w:rPr>
          <w:u w:val="none"/>
          <w:lang w:val="ru-RU"/>
        </w:rPr>
        <w:t xml:space="preserve"> на </w:t>
      </w:r>
      <w:r w:rsidRPr="00AF1343">
        <w:rPr>
          <w:u w:val="none"/>
          <w:lang w:val="ru-RU"/>
        </w:rPr>
        <w:t xml:space="preserve">статьи 5, 6, 26.5 Конвенции и статьи 13, 14 и 15 </w:t>
      </w:r>
      <w:r>
        <w:rPr>
          <w:u w:val="none"/>
          <w:lang w:val="ru-RU"/>
        </w:rPr>
        <w:t>Правил процедуры</w:t>
      </w:r>
      <w:r w:rsidRPr="00AF1343">
        <w:rPr>
          <w:u w:val="none"/>
          <w:lang w:val="ru-RU"/>
        </w:rPr>
        <w:t>,</w:t>
      </w:r>
    </w:p>
    <w:p w:rsidR="00031D73" w:rsidRPr="002402C9" w:rsidRDefault="00031D73" w:rsidP="004D3B79">
      <w:pPr>
        <w:pStyle w:val="COMParaDecision"/>
        <w:numPr>
          <w:ilvl w:val="0"/>
          <w:numId w:val="57"/>
        </w:numPr>
        <w:ind w:left="567" w:hanging="567"/>
        <w:rPr>
          <w:lang w:val="ru-RU"/>
        </w:rPr>
      </w:pPr>
      <w:r>
        <w:rPr>
          <w:lang w:val="ru-RU"/>
        </w:rPr>
        <w:t>Ссылаясь</w:t>
      </w:r>
      <w:r w:rsidRPr="002402C9">
        <w:rPr>
          <w:lang w:val="ru-RU"/>
        </w:rPr>
        <w:t xml:space="preserve"> также</w:t>
      </w:r>
      <w:r w:rsidRPr="00665F3C">
        <w:rPr>
          <w:u w:val="none"/>
          <w:lang w:val="ru-RU"/>
        </w:rPr>
        <w:t xml:space="preserve"> на резолюцию 7.</w:t>
      </w:r>
      <w:r w:rsidRPr="00665F3C">
        <w:rPr>
          <w:u w:val="none"/>
        </w:rPr>
        <w:t>GA</w:t>
      </w:r>
      <w:r w:rsidRPr="00665F3C">
        <w:rPr>
          <w:u w:val="none"/>
          <w:lang w:val="ru-RU"/>
        </w:rPr>
        <w:t xml:space="preserve"> 4,</w:t>
      </w:r>
    </w:p>
    <w:p w:rsidR="00031D73" w:rsidRPr="007104D0" w:rsidRDefault="00031D73" w:rsidP="004D3B79">
      <w:pPr>
        <w:pStyle w:val="COMParaDecision"/>
        <w:numPr>
          <w:ilvl w:val="0"/>
          <w:numId w:val="57"/>
        </w:numPr>
        <w:ind w:left="567" w:hanging="567"/>
        <w:rPr>
          <w:lang w:val="ru-RU"/>
        </w:rPr>
      </w:pPr>
      <w:r>
        <w:rPr>
          <w:lang w:val="ru-RU"/>
        </w:rPr>
        <w:t>Избирает</w:t>
      </w:r>
      <w:r w:rsidRPr="007104D0">
        <w:rPr>
          <w:u w:val="none"/>
          <w:lang w:val="ru-RU"/>
        </w:rPr>
        <w:t xml:space="preserve"> следующие 12 государств – участников в состав Межправительственного комитета по охране нематериального культурного наследия </w:t>
      </w:r>
      <w:r>
        <w:rPr>
          <w:u w:val="none"/>
          <w:lang w:val="ru-RU"/>
        </w:rPr>
        <w:t>на срок в четыре год</w:t>
      </w:r>
      <w:r w:rsidR="004D3B79">
        <w:rPr>
          <w:u w:val="none"/>
          <w:lang w:val="ru-RU"/>
        </w:rPr>
        <w:t>а, начинающийся с даты выборов:</w:t>
      </w:r>
    </w:p>
    <w:p w:rsidR="00031D73" w:rsidRPr="00FC4077" w:rsidRDefault="00031D73" w:rsidP="004D3B79">
      <w:pPr>
        <w:pStyle w:val="GAParaResolution"/>
        <w:ind w:left="567" w:firstLine="0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I</w:t>
      </w:r>
      <w:r w:rsidRPr="00E80011">
        <w:rPr>
          <w:u w:val="none"/>
          <w:lang w:val="ru-RU"/>
        </w:rPr>
        <w:t>:</w:t>
      </w:r>
      <w:r w:rsidR="00FC4077" w:rsidRPr="0055054D">
        <w:rPr>
          <w:u w:val="none"/>
          <w:lang w:val="ru-RU"/>
        </w:rPr>
        <w:t xml:space="preserve"> </w:t>
      </w:r>
      <w:r w:rsidR="00FC4077">
        <w:rPr>
          <w:u w:val="none"/>
          <w:lang w:val="ru-RU"/>
        </w:rPr>
        <w:t>Нидерланды</w:t>
      </w:r>
    </w:p>
    <w:p w:rsidR="00031D73" w:rsidRPr="00E80011" w:rsidRDefault="00031D73" w:rsidP="004D3B79">
      <w:pPr>
        <w:pStyle w:val="GAParaResolution"/>
        <w:ind w:left="567" w:firstLine="0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II</w:t>
      </w:r>
      <w:r w:rsidRPr="00E80011">
        <w:rPr>
          <w:u w:val="none"/>
          <w:lang w:val="ru-RU"/>
        </w:rPr>
        <w:t>:</w:t>
      </w:r>
      <w:r w:rsidR="00FC4077">
        <w:rPr>
          <w:u w:val="none"/>
          <w:lang w:val="ru-RU"/>
        </w:rPr>
        <w:t xml:space="preserve"> </w:t>
      </w:r>
      <w:r w:rsidR="001604B7">
        <w:rPr>
          <w:u w:val="none"/>
          <w:lang w:val="ru-RU"/>
        </w:rPr>
        <w:t>Азербайджан</w:t>
      </w:r>
      <w:r w:rsidR="00651638">
        <w:rPr>
          <w:u w:val="none"/>
          <w:lang w:val="ru-RU"/>
        </w:rPr>
        <w:t xml:space="preserve"> и</w:t>
      </w:r>
      <w:r w:rsidR="001604B7">
        <w:rPr>
          <w:u w:val="none"/>
          <w:lang w:val="ru-RU"/>
        </w:rPr>
        <w:t xml:space="preserve"> Польша</w:t>
      </w:r>
    </w:p>
    <w:p w:rsidR="00031D73" w:rsidRPr="00E80011" w:rsidRDefault="00031D73" w:rsidP="004D3B79">
      <w:pPr>
        <w:pStyle w:val="GAParaResolution"/>
        <w:ind w:left="567" w:firstLine="0"/>
        <w:rPr>
          <w:u w:val="none"/>
          <w:lang w:val="ru-RU"/>
        </w:rPr>
      </w:pPr>
      <w:r w:rsidRPr="00E80011">
        <w:rPr>
          <w:u w:val="none"/>
          <w:lang w:val="ru-RU"/>
        </w:rPr>
        <w:lastRenderedPageBreak/>
        <w:t xml:space="preserve">Группа </w:t>
      </w:r>
      <w:r w:rsidRPr="00E80011">
        <w:rPr>
          <w:u w:val="none"/>
        </w:rPr>
        <w:t>III</w:t>
      </w:r>
      <w:r w:rsidRPr="00E80011">
        <w:rPr>
          <w:u w:val="none"/>
          <w:lang w:val="ru-RU"/>
        </w:rPr>
        <w:t>:</w:t>
      </w:r>
      <w:r w:rsidR="00FC4077">
        <w:rPr>
          <w:u w:val="none"/>
          <w:lang w:val="ru-RU"/>
        </w:rPr>
        <w:t xml:space="preserve"> Ямайка</w:t>
      </w:r>
    </w:p>
    <w:p w:rsidR="00031D73" w:rsidRPr="00E80011" w:rsidRDefault="00031D73" w:rsidP="004D3B79">
      <w:pPr>
        <w:pStyle w:val="GAParaResolution"/>
        <w:ind w:left="567" w:firstLine="0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IV</w:t>
      </w:r>
      <w:r w:rsidRPr="00E80011">
        <w:rPr>
          <w:u w:val="none"/>
          <w:lang w:val="ru-RU"/>
        </w:rPr>
        <w:t>:</w:t>
      </w:r>
      <w:r w:rsidR="001604B7">
        <w:rPr>
          <w:u w:val="none"/>
          <w:lang w:val="ru-RU"/>
        </w:rPr>
        <w:t xml:space="preserve"> </w:t>
      </w:r>
      <w:r w:rsidR="00651638">
        <w:rPr>
          <w:u w:val="none"/>
          <w:lang w:val="ru-RU"/>
        </w:rPr>
        <w:t xml:space="preserve">Казахстан, </w:t>
      </w:r>
      <w:r w:rsidR="001604B7">
        <w:rPr>
          <w:u w:val="none"/>
          <w:lang w:val="ru-RU"/>
        </w:rPr>
        <w:t>Китай</w:t>
      </w:r>
      <w:r w:rsidR="00651638">
        <w:rPr>
          <w:u w:val="none"/>
          <w:lang w:val="ru-RU"/>
        </w:rPr>
        <w:t>,</w:t>
      </w:r>
      <w:r w:rsidR="001604B7">
        <w:rPr>
          <w:u w:val="none"/>
          <w:lang w:val="ru-RU"/>
        </w:rPr>
        <w:t xml:space="preserve"> Шри Ланка</w:t>
      </w:r>
      <w:r w:rsidR="00651638">
        <w:rPr>
          <w:u w:val="none"/>
          <w:lang w:val="ru-RU"/>
        </w:rPr>
        <w:t xml:space="preserve"> и Япония</w:t>
      </w:r>
    </w:p>
    <w:p w:rsidR="00031D73" w:rsidRPr="00E80011" w:rsidRDefault="00031D73" w:rsidP="004D3B79">
      <w:pPr>
        <w:pStyle w:val="GAParaResolution"/>
        <w:ind w:left="567" w:firstLine="0"/>
        <w:rPr>
          <w:u w:val="none"/>
          <w:lang w:val="ru-RU"/>
        </w:rPr>
      </w:pPr>
      <w:r w:rsidRPr="00E80011">
        <w:rPr>
          <w:u w:val="none"/>
          <w:lang w:val="ru-RU"/>
        </w:rPr>
        <w:t xml:space="preserve">Группа </w:t>
      </w:r>
      <w:r w:rsidRPr="00E80011">
        <w:rPr>
          <w:u w:val="none"/>
        </w:rPr>
        <w:t>V</w:t>
      </w:r>
      <w:r w:rsidRPr="00E80011">
        <w:rPr>
          <w:u w:val="none"/>
          <w:lang w:val="ru-RU"/>
        </w:rPr>
        <w:t>(</w:t>
      </w:r>
      <w:r w:rsidRPr="00E80011">
        <w:rPr>
          <w:u w:val="none"/>
        </w:rPr>
        <w:t>a</w:t>
      </w:r>
      <w:r w:rsidRPr="00E80011">
        <w:rPr>
          <w:u w:val="none"/>
          <w:lang w:val="ru-RU"/>
        </w:rPr>
        <w:t>):</w:t>
      </w:r>
      <w:r w:rsidR="00FC4077">
        <w:rPr>
          <w:u w:val="none"/>
          <w:lang w:val="ru-RU"/>
        </w:rPr>
        <w:t xml:space="preserve"> </w:t>
      </w:r>
      <w:r w:rsidR="00651638">
        <w:rPr>
          <w:u w:val="none"/>
          <w:lang w:val="ru-RU"/>
        </w:rPr>
        <w:t xml:space="preserve">Джибути, </w:t>
      </w:r>
      <w:r w:rsidR="001604B7">
        <w:rPr>
          <w:u w:val="none"/>
          <w:lang w:val="ru-RU"/>
        </w:rPr>
        <w:t>Камерун и Того</w:t>
      </w:r>
    </w:p>
    <w:p w:rsidR="00031D73" w:rsidRPr="0055054D" w:rsidRDefault="00031D73" w:rsidP="004D3B79">
      <w:pPr>
        <w:pStyle w:val="GAParaResolution"/>
        <w:ind w:left="567" w:firstLine="0"/>
        <w:rPr>
          <w:lang w:val="ru-RU"/>
        </w:rPr>
      </w:pPr>
      <w:r w:rsidRPr="00E80011">
        <w:rPr>
          <w:u w:val="none"/>
          <w:lang w:val="ru-RU"/>
        </w:rPr>
        <w:t>Группа</w:t>
      </w:r>
      <w:r w:rsidRPr="00E80011">
        <w:rPr>
          <w:u w:val="none"/>
        </w:rPr>
        <w:t xml:space="preserve"> V(b):</w:t>
      </w:r>
      <w:r w:rsidR="00FC4077">
        <w:rPr>
          <w:u w:val="none"/>
          <w:lang w:val="ru-RU"/>
        </w:rPr>
        <w:t xml:space="preserve"> Кувейт</w:t>
      </w:r>
    </w:p>
    <w:sectPr w:rsidR="00031D73" w:rsidRPr="0055054D" w:rsidSect="004D274C">
      <w:headerReference w:type="even" r:id="rId75"/>
      <w:headerReference w:type="default" r:id="rId76"/>
      <w:headerReference w:type="first" r:id="rId77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BB" w:rsidRDefault="008645BB" w:rsidP="00655736">
      <w:r>
        <w:separator/>
      </w:r>
    </w:p>
  </w:endnote>
  <w:endnote w:type="continuationSeparator" w:id="0">
    <w:p w:rsidR="008645BB" w:rsidRDefault="008645BB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BB" w:rsidRDefault="008645BB" w:rsidP="00655736">
      <w:r>
        <w:separator/>
      </w:r>
    </w:p>
  </w:footnote>
  <w:footnote w:type="continuationSeparator" w:id="0">
    <w:p w:rsidR="008645BB" w:rsidRDefault="008645BB" w:rsidP="00655736">
      <w:r>
        <w:continuationSeparator/>
      </w:r>
    </w:p>
  </w:footnote>
  <w:footnote w:id="1">
    <w:p w:rsidR="008645BB" w:rsidRPr="001A27A8" w:rsidRDefault="008645BB" w:rsidP="00FC571C">
      <w:pPr>
        <w:pStyle w:val="FootnoteText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BF3230">
        <w:rPr>
          <w:rFonts w:ascii="Arial" w:hAnsi="Arial" w:cs="Arial"/>
          <w:sz w:val="18"/>
          <w:szCs w:val="18"/>
        </w:rPr>
        <w:footnoteRef/>
      </w:r>
      <w:r w:rsidRPr="00D0698B">
        <w:rPr>
          <w:rFonts w:ascii="Arial" w:hAnsi="Arial" w:cs="Arial"/>
          <w:sz w:val="18"/>
          <w:szCs w:val="18"/>
          <w:lang w:val="ru-RU"/>
        </w:rPr>
        <w:t>.</w:t>
      </w:r>
      <w:r w:rsidRPr="00D0698B"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 w:cs="Arial"/>
          <w:sz w:val="18"/>
          <w:szCs w:val="18"/>
          <w:lang w:val="ru-RU"/>
        </w:rPr>
        <w:t>Проценты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применяются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балансу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Фонда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31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sz w:val="18"/>
          <w:szCs w:val="18"/>
          <w:lang w:val="ru-RU"/>
        </w:rPr>
        <w:t>декабря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2017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>
        <w:rPr>
          <w:rFonts w:ascii="Arial" w:hAnsi="Arial" w:cs="Arial"/>
          <w:sz w:val="18"/>
          <w:szCs w:val="18"/>
          <w:lang w:val="ru-RU"/>
        </w:rPr>
        <w:t>г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Этот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баланс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не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включает</w:t>
      </w:r>
      <w:r w:rsidRPr="008628E5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Резервный фонд </w:t>
      </w:r>
      <w:r w:rsidRPr="001A27A8">
        <w:rPr>
          <w:rFonts w:ascii="Arial" w:hAnsi="Arial" w:cs="Arial"/>
          <w:sz w:val="18"/>
          <w:szCs w:val="18"/>
          <w:lang w:val="ru-RU"/>
        </w:rPr>
        <w:t>(1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 w:rsidRPr="001A27A8">
        <w:rPr>
          <w:rFonts w:ascii="Arial" w:hAnsi="Arial" w:cs="Arial"/>
          <w:sz w:val="18"/>
          <w:szCs w:val="18"/>
          <w:lang w:val="ru-RU"/>
        </w:rPr>
        <w:t>000</w:t>
      </w:r>
      <w:r w:rsidRPr="008628E5">
        <w:rPr>
          <w:rFonts w:ascii="Arial" w:hAnsi="Arial" w:cs="Arial"/>
          <w:sz w:val="18"/>
          <w:szCs w:val="18"/>
          <w:lang w:val="en-US"/>
        </w:rPr>
        <w:t> </w:t>
      </w:r>
      <w:r w:rsidRPr="001A27A8">
        <w:rPr>
          <w:rFonts w:ascii="Arial" w:hAnsi="Arial" w:cs="Arial"/>
          <w:sz w:val="18"/>
          <w:szCs w:val="18"/>
          <w:lang w:val="ru-RU"/>
        </w:rPr>
        <w:t xml:space="preserve">000 </w:t>
      </w:r>
      <w:r>
        <w:rPr>
          <w:rFonts w:ascii="Arial" w:hAnsi="Arial" w:cs="Arial"/>
          <w:sz w:val="18"/>
          <w:szCs w:val="18"/>
          <w:lang w:val="ru-RU"/>
        </w:rPr>
        <w:t>долл</w:t>
      </w:r>
      <w:r w:rsidRPr="001A27A8">
        <w:rPr>
          <w:rFonts w:ascii="Arial" w:hAnsi="Arial" w:cs="Arial"/>
          <w:sz w:val="18"/>
          <w:szCs w:val="18"/>
          <w:lang w:val="ru-RU"/>
        </w:rPr>
        <w:t>.).</w:t>
      </w:r>
    </w:p>
  </w:footnote>
  <w:footnote w:id="2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>Данный показатель контролируется и о нем докладывается только на глобальном уровне.</w:t>
      </w:r>
    </w:p>
  </w:footnote>
  <w:footnote w:id="3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>Данный показатель контролируется и о нем докладывается только на глобальном уровне.</w:t>
      </w:r>
    </w:p>
  </w:footnote>
  <w:footnote w:id="4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 xml:space="preserve">Выражение «как включенные, так и </w:t>
      </w:r>
      <w:proofErr w:type="spellStart"/>
      <w:r w:rsidRPr="00140C3C">
        <w:rPr>
          <w:rFonts w:ascii="Arial" w:hAnsi="Arial" w:cs="Arial"/>
          <w:sz w:val="18"/>
          <w:szCs w:val="18"/>
          <w:lang w:val="ru-RU"/>
        </w:rPr>
        <w:t>невключенные</w:t>
      </w:r>
      <w:proofErr w:type="spellEnd"/>
      <w:r w:rsidRPr="00140C3C">
        <w:rPr>
          <w:rFonts w:ascii="Arial" w:hAnsi="Arial" w:cs="Arial"/>
          <w:sz w:val="18"/>
          <w:szCs w:val="18"/>
          <w:lang w:val="ru-RU"/>
        </w:rPr>
        <w:t xml:space="preserve">» надо понимать в значении «включенные или </w:t>
      </w:r>
      <w:proofErr w:type="spellStart"/>
      <w:r w:rsidRPr="00140C3C">
        <w:rPr>
          <w:rFonts w:ascii="Arial" w:hAnsi="Arial" w:cs="Arial"/>
          <w:sz w:val="18"/>
          <w:szCs w:val="18"/>
          <w:lang w:val="ru-RU"/>
        </w:rPr>
        <w:t>невключенные</w:t>
      </w:r>
      <w:proofErr w:type="spellEnd"/>
      <w:r w:rsidRPr="00140C3C">
        <w:rPr>
          <w:rFonts w:ascii="Arial" w:hAnsi="Arial" w:cs="Arial"/>
          <w:sz w:val="18"/>
          <w:szCs w:val="18"/>
          <w:lang w:val="ru-RU"/>
        </w:rPr>
        <w:t xml:space="preserve"> в Список нематериального культурного наследия, нуждающегося в срочной охране или Репрезентативный список нематериального культурного наследия человечества».</w:t>
      </w:r>
    </w:p>
  </w:footnote>
  <w:footnote w:id="5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>Выражения «инклюзивный», «</w:t>
      </w:r>
      <w:proofErr w:type="spellStart"/>
      <w:r w:rsidRPr="00140C3C">
        <w:rPr>
          <w:rFonts w:ascii="Arial" w:hAnsi="Arial" w:cs="Arial"/>
          <w:sz w:val="18"/>
          <w:szCs w:val="18"/>
          <w:lang w:val="ru-RU"/>
        </w:rPr>
        <w:t>инклизивно</w:t>
      </w:r>
      <w:proofErr w:type="spellEnd"/>
      <w:r w:rsidRPr="00140C3C">
        <w:rPr>
          <w:rFonts w:ascii="Arial" w:hAnsi="Arial" w:cs="Arial"/>
          <w:sz w:val="18"/>
          <w:szCs w:val="18"/>
          <w:lang w:val="ru-RU"/>
        </w:rPr>
        <w:t xml:space="preserve">», «на инклюзивной основе» следует понимать в значении «максимально охватывающие все сегменты и слои общества, включая коренные народы, мигрантов, иммигрантов и беженцев, людей разного возраста и пола, лиц с ограниченной дееспособностью и членов уязвимых групп» (см. пункты 174 и 194 Оперативного руководства). При докладе о подобных действиях и результатах государствам-участникам будет предложено предоставлять дезагрегированные данные или объяснять, как обеспечивается такая </w:t>
      </w:r>
      <w:proofErr w:type="spellStart"/>
      <w:r w:rsidRPr="00140C3C">
        <w:rPr>
          <w:rFonts w:ascii="Arial" w:hAnsi="Arial" w:cs="Arial"/>
          <w:sz w:val="18"/>
          <w:szCs w:val="18"/>
          <w:lang w:val="ru-RU"/>
        </w:rPr>
        <w:t>инклюзивность</w:t>
      </w:r>
      <w:proofErr w:type="spellEnd"/>
      <w:r w:rsidRPr="00140C3C">
        <w:rPr>
          <w:rFonts w:ascii="Arial" w:hAnsi="Arial" w:cs="Arial"/>
          <w:sz w:val="18"/>
          <w:szCs w:val="18"/>
          <w:lang w:val="ru-RU"/>
        </w:rPr>
        <w:t>.</w:t>
      </w:r>
    </w:p>
  </w:footnote>
  <w:footnote w:id="6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 xml:space="preserve">Хотя в Конвенции последовательно используется выражение «сообщества, группы и отдельные лица», некоторые факторы оценки, </w:t>
      </w:r>
      <w:proofErr w:type="gramStart"/>
      <w:r w:rsidRPr="00140C3C">
        <w:rPr>
          <w:rFonts w:ascii="Arial" w:hAnsi="Arial" w:cs="Arial"/>
          <w:sz w:val="18"/>
          <w:szCs w:val="18"/>
          <w:lang w:val="ru-RU"/>
        </w:rPr>
        <w:t>также</w:t>
      </w:r>
      <w:proofErr w:type="gramEnd"/>
      <w:r w:rsidRPr="00140C3C">
        <w:rPr>
          <w:rFonts w:ascii="Arial" w:hAnsi="Arial" w:cs="Arial"/>
          <w:sz w:val="18"/>
          <w:szCs w:val="18"/>
          <w:lang w:val="ru-RU"/>
        </w:rPr>
        <w:t xml:space="preserve"> как и некоторые пункты Оперативного руководства, предпочитают ссылаться на «практических выразителей и носителей», чтобы лучше идентифицировать определённых членов, играющих конкретную роль в отношении своего НКН.</w:t>
      </w:r>
    </w:p>
  </w:footnote>
  <w:footnote w:id="7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 xml:space="preserve">В соответствии с главой </w:t>
      </w:r>
      <w:r w:rsidRPr="00140C3C">
        <w:rPr>
          <w:rFonts w:ascii="Arial" w:hAnsi="Arial" w:cs="Arial"/>
          <w:sz w:val="18"/>
          <w:szCs w:val="18"/>
          <w:lang w:val="en-US"/>
        </w:rPr>
        <w:t>VI</w:t>
      </w:r>
      <w:r w:rsidRPr="00140C3C">
        <w:rPr>
          <w:rFonts w:ascii="Arial" w:hAnsi="Arial" w:cs="Arial"/>
          <w:sz w:val="18"/>
          <w:szCs w:val="18"/>
          <w:lang w:val="ru-RU"/>
        </w:rPr>
        <w:t xml:space="preserve"> Оперативного руководства, «инклюзивное социальное развитие» включает продовольственную безопасность, здравоохранение, гендерное равенство, доступ к чистой и безопасной воде и устойчивое водопользование; качественное образование включено в показатель 12.</w:t>
      </w:r>
    </w:p>
  </w:footnote>
  <w:footnote w:id="8">
    <w:p w:rsidR="008645BB" w:rsidRPr="00140C3C" w:rsidRDefault="008645BB" w:rsidP="00CA3493">
      <w:pPr>
        <w:pStyle w:val="FootnoteText"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 xml:space="preserve">В соответствии с главой </w:t>
      </w:r>
      <w:r w:rsidRPr="00140C3C">
        <w:rPr>
          <w:rFonts w:ascii="Arial" w:hAnsi="Arial" w:cs="Arial"/>
          <w:sz w:val="18"/>
          <w:szCs w:val="18"/>
          <w:lang w:val="en-US"/>
        </w:rPr>
        <w:t>VI</w:t>
      </w:r>
      <w:r w:rsidRPr="00140C3C">
        <w:rPr>
          <w:rFonts w:ascii="Arial" w:hAnsi="Arial" w:cs="Arial"/>
          <w:sz w:val="18"/>
          <w:szCs w:val="18"/>
          <w:lang w:val="ru-RU"/>
        </w:rPr>
        <w:t xml:space="preserve"> Оперативного руководства, «инклюзивное экономическое развитие» включает генерирование доходов и устойчивую жизнедеятельность; производительную занятость и достойную работу; воздействие туризма на охрану НКН и наоборот.</w:t>
      </w:r>
    </w:p>
  </w:footnote>
  <w:footnote w:id="9">
    <w:p w:rsidR="008645BB" w:rsidRPr="00140C3C" w:rsidRDefault="008645BB" w:rsidP="00CA3493">
      <w:pPr>
        <w:pStyle w:val="FootnoteText"/>
        <w:tabs>
          <w:tab w:val="left" w:pos="567"/>
        </w:tabs>
        <w:spacing w:before="60" w:after="60"/>
        <w:ind w:left="567" w:hanging="567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>Данный показатель контролируется и о нем докладывается только на глобальном уровне.</w:t>
      </w:r>
    </w:p>
  </w:footnote>
  <w:footnote w:id="10">
    <w:p w:rsidR="008645BB" w:rsidRPr="00140C3C" w:rsidRDefault="008645BB" w:rsidP="00CA3493">
      <w:pPr>
        <w:pStyle w:val="FootnoteText"/>
        <w:tabs>
          <w:tab w:val="left" w:pos="567"/>
        </w:tabs>
        <w:spacing w:before="60" w:after="60"/>
        <w:ind w:left="567" w:hanging="567"/>
        <w:rPr>
          <w:rFonts w:ascii="Arial" w:hAnsi="Arial" w:cs="Arial"/>
          <w:sz w:val="18"/>
          <w:szCs w:val="18"/>
          <w:lang w:val="ru-RU"/>
        </w:rPr>
      </w:pPr>
      <w:r w:rsidRPr="00140C3C">
        <w:rPr>
          <w:rFonts w:ascii="Arial" w:hAnsi="Arial" w:cs="Arial"/>
          <w:sz w:val="18"/>
          <w:szCs w:val="18"/>
        </w:rPr>
        <w:footnoteRef/>
      </w:r>
      <w:r w:rsidRPr="00140C3C">
        <w:rPr>
          <w:rFonts w:ascii="Arial" w:hAnsi="Arial" w:cs="Arial"/>
          <w:sz w:val="18"/>
          <w:szCs w:val="18"/>
          <w:lang w:val="ru-RU"/>
        </w:rPr>
        <w:t>.</w:t>
      </w:r>
      <w:r w:rsidRPr="00140C3C">
        <w:rPr>
          <w:rFonts w:ascii="Arial" w:hAnsi="Arial" w:cs="Arial"/>
          <w:sz w:val="18"/>
          <w:szCs w:val="18"/>
          <w:lang w:val="ru-RU"/>
        </w:rPr>
        <w:tab/>
        <w:t>Данный показатель контролируется и о нем докладывается только на глобальном уровне.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C23A97" w:rsidRDefault="008645BB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Резолюции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F3FBD">
      <w:rPr>
        <w:rStyle w:val="PageNumber"/>
        <w:rFonts w:ascii="Arial" w:hAnsi="Arial" w:cs="Arial"/>
        <w:noProof/>
        <w:sz w:val="20"/>
        <w:szCs w:val="20"/>
      </w:rPr>
      <w:t>6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63300C" w:rsidRDefault="008645BB" w:rsidP="00031D73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</w:rPr>
      <w:t>ITH/18/7.GA/</w:t>
    </w:r>
    <w:r>
      <w:rPr>
        <w:rFonts w:ascii="Arial" w:hAnsi="Arial" w:cs="Arial"/>
        <w:sz w:val="20"/>
        <w:szCs w:val="20"/>
        <w:lang w:val="ru-RU"/>
      </w:rPr>
      <w:t>Резолюции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7F3FBD">
      <w:rPr>
        <w:rStyle w:val="PageNumber"/>
        <w:rFonts w:ascii="Arial" w:hAnsi="Arial" w:cs="Arial"/>
        <w:noProof/>
        <w:sz w:val="20"/>
        <w:szCs w:val="20"/>
      </w:rPr>
      <w:t>7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DE6B98" w:rsidRDefault="008645BB" w:rsidP="00031D73">
    <w:pPr>
      <w:pStyle w:val="Header"/>
      <w:rPr>
        <w:sz w:val="22"/>
        <w:szCs w:val="22"/>
      </w:rPr>
    </w:pPr>
    <w:r w:rsidRPr="00DE6B98">
      <w:rPr>
        <w:rFonts w:ascii="Arial" w:hAnsi="Arial" w:cs="Arial"/>
        <w:b/>
        <w:noProof/>
        <w:sz w:val="22"/>
        <w:szCs w:val="22"/>
        <w:lang w:val="en-US" w:eastAsia="ko-KR"/>
      </w:rPr>
      <w:drawing>
        <wp:anchor distT="0" distB="0" distL="114300" distR="114300" simplePos="0" relativeHeight="251659776" behindDoc="0" locked="0" layoutInCell="1" allowOverlap="1" wp14:anchorId="10F30E6F" wp14:editId="577D74B7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5BB" w:rsidRPr="002402C9" w:rsidRDefault="008645BB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7 </w:t>
    </w:r>
    <w:proofErr w:type="gramStart"/>
    <w:r w:rsidRPr="002402C9">
      <w:rPr>
        <w:rFonts w:ascii="Arial" w:hAnsi="Arial" w:cs="Arial"/>
        <w:b/>
        <w:sz w:val="44"/>
        <w:szCs w:val="44"/>
        <w:lang w:val="nl-BE"/>
      </w:rPr>
      <w:t>GA</w:t>
    </w:r>
    <w:proofErr w:type="gramEnd"/>
  </w:p>
  <w:p w:rsidR="008645BB" w:rsidRPr="0055054D" w:rsidRDefault="008645BB" w:rsidP="00031D73">
    <w:pPr>
      <w:jc w:val="right"/>
      <w:rPr>
        <w:rFonts w:ascii="Arial" w:hAnsi="Arial" w:cs="Arial"/>
        <w:b/>
        <w:sz w:val="22"/>
        <w:szCs w:val="22"/>
        <w:lang w:val="ru-RU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>
      <w:rPr>
        <w:rFonts w:ascii="Arial" w:hAnsi="Arial" w:cs="Arial"/>
        <w:b/>
        <w:sz w:val="22"/>
        <w:szCs w:val="22"/>
        <w:lang w:val="ru-RU"/>
      </w:rPr>
      <w:t>Резолюции</w:t>
    </w:r>
  </w:p>
  <w:p w:rsidR="008645BB" w:rsidRPr="002402C9" w:rsidRDefault="008645BB" w:rsidP="00031D73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Париж, 6 июня</w:t>
    </w:r>
    <w:r>
      <w:rPr>
        <w:rFonts w:ascii="Arial" w:hAnsi="Arial" w:cs="Arial"/>
        <w:b/>
        <w:sz w:val="22"/>
        <w:szCs w:val="22"/>
        <w:lang w:val="nl-BE"/>
      </w:rPr>
      <w:t xml:space="preserve"> </w:t>
    </w:r>
    <w:r w:rsidRPr="002402C9">
      <w:rPr>
        <w:rFonts w:ascii="Arial" w:hAnsi="Arial" w:cs="Arial"/>
        <w:b/>
        <w:sz w:val="22"/>
        <w:szCs w:val="22"/>
        <w:lang w:val="ru-RU"/>
      </w:rPr>
      <w:t>201</w:t>
    </w:r>
    <w:r>
      <w:rPr>
        <w:rFonts w:ascii="Arial" w:hAnsi="Arial" w:cs="Arial"/>
        <w:b/>
        <w:sz w:val="22"/>
        <w:szCs w:val="22"/>
        <w:lang w:val="ru-RU"/>
      </w:rPr>
      <w:t>8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8645BB" w:rsidRPr="003628A5" w:rsidRDefault="008645BB" w:rsidP="00031D73">
    <w:pPr>
      <w:spacing w:after="180"/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  <w:r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и французский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D267EF" w:rsidRDefault="008645BB" w:rsidP="00D267EF">
    <w:pPr>
      <w:pStyle w:val="Header"/>
      <w:rPr>
        <w:rFonts w:ascii="Arial" w:hAnsi="Arial"/>
        <w:sz w:val="20"/>
        <w:szCs w:val="20"/>
        <w:lang w:val="en-US"/>
      </w:rPr>
    </w:pPr>
    <w:r w:rsidRPr="00D267EF">
      <w:rPr>
        <w:rFonts w:ascii="Arial" w:hAnsi="Arial"/>
        <w:sz w:val="20"/>
        <w:szCs w:val="20"/>
        <w:lang w:val="en-US"/>
      </w:rPr>
      <w:t>ITH/</w:t>
    </w:r>
    <w:r w:rsidRPr="00D267EF">
      <w:rPr>
        <w:rFonts w:ascii="Arial" w:hAnsi="Arial"/>
        <w:sz w:val="20"/>
        <w:szCs w:val="20"/>
        <w:lang w:val="ru-RU"/>
      </w:rPr>
      <w:t>18</w:t>
    </w:r>
    <w:r w:rsidRPr="00D267EF">
      <w:rPr>
        <w:rFonts w:ascii="Arial" w:hAnsi="Arial"/>
        <w:sz w:val="20"/>
        <w:szCs w:val="20"/>
        <w:lang w:val="en-US"/>
      </w:rPr>
      <w:t>/</w:t>
    </w:r>
    <w:r w:rsidRPr="00D267EF">
      <w:rPr>
        <w:rFonts w:ascii="Arial" w:hAnsi="Arial"/>
        <w:sz w:val="20"/>
        <w:szCs w:val="20"/>
        <w:lang w:val="ru-RU"/>
      </w:rPr>
      <w:t>7</w:t>
    </w:r>
    <w:r w:rsidRPr="00D267EF">
      <w:rPr>
        <w:rFonts w:ascii="Arial" w:hAnsi="Arial"/>
        <w:sz w:val="20"/>
        <w:szCs w:val="20"/>
        <w:lang w:val="en-US"/>
      </w:rPr>
      <w:t>.GA/</w:t>
    </w:r>
    <w:proofErr w:type="spellStart"/>
    <w:r w:rsidRPr="00D267EF">
      <w:rPr>
        <w:rFonts w:ascii="Arial" w:hAnsi="Arial"/>
        <w:sz w:val="20"/>
        <w:szCs w:val="20"/>
        <w:lang w:val="en-US"/>
      </w:rPr>
      <w:t>Резолюции</w:t>
    </w:r>
    <w:proofErr w:type="spellEnd"/>
    <w:r w:rsidRPr="00D267EF">
      <w:rPr>
        <w:rFonts w:ascii="Arial" w:hAnsi="Arial"/>
        <w:sz w:val="20"/>
        <w:szCs w:val="20"/>
        <w:lang w:val="en-US"/>
      </w:rPr>
      <w:t xml:space="preserve"> – </w:t>
    </w:r>
    <w:r w:rsidR="00D267EF">
      <w:rPr>
        <w:rFonts w:ascii="Arial" w:hAnsi="Arial" w:cs="Arial"/>
        <w:sz w:val="20"/>
        <w:szCs w:val="20"/>
        <w:lang w:val="ru-RU"/>
      </w:rPr>
      <w:t>страница</w:t>
    </w:r>
    <w:r w:rsidRPr="00D267EF">
      <w:rPr>
        <w:rFonts w:ascii="Arial" w:hAnsi="Arial"/>
        <w:sz w:val="20"/>
        <w:szCs w:val="20"/>
        <w:lang w:val="en-US"/>
      </w:rPr>
      <w:t xml:space="preserve"> </w:t>
    </w:r>
    <w:r w:rsidRPr="00D267EF">
      <w:rPr>
        <w:rFonts w:ascii="Arial" w:hAnsi="Arial"/>
        <w:sz w:val="20"/>
        <w:szCs w:val="20"/>
        <w:lang w:val="en-US"/>
      </w:rPr>
      <w:fldChar w:fldCharType="begin"/>
    </w:r>
    <w:r w:rsidRPr="00D267EF">
      <w:rPr>
        <w:rFonts w:ascii="Arial" w:hAnsi="Arial"/>
        <w:sz w:val="20"/>
        <w:szCs w:val="20"/>
        <w:lang w:val="en-US"/>
      </w:rPr>
      <w:instrText xml:space="preserve"> PAGE </w:instrText>
    </w:r>
    <w:r w:rsidRPr="00D267EF">
      <w:rPr>
        <w:rFonts w:ascii="Arial" w:hAnsi="Arial"/>
        <w:sz w:val="20"/>
        <w:szCs w:val="20"/>
        <w:lang w:val="en-US"/>
      </w:rPr>
      <w:fldChar w:fldCharType="separate"/>
    </w:r>
    <w:r w:rsidR="007F3FBD">
      <w:rPr>
        <w:rFonts w:ascii="Arial" w:hAnsi="Arial"/>
        <w:noProof/>
        <w:sz w:val="20"/>
        <w:szCs w:val="20"/>
        <w:lang w:val="en-US"/>
      </w:rPr>
      <w:t>16</w:t>
    </w:r>
    <w:r w:rsidRPr="00D267EF">
      <w:rPr>
        <w:rFonts w:ascii="Arial" w:hAnsi="Arial"/>
        <w:sz w:val="20"/>
        <w:szCs w:val="20"/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D267EF" w:rsidRDefault="008645BB" w:rsidP="00D267EF">
    <w:pPr>
      <w:pStyle w:val="Header"/>
      <w:jc w:val="right"/>
      <w:rPr>
        <w:rFonts w:ascii="Arial" w:hAnsi="Arial"/>
        <w:sz w:val="20"/>
        <w:szCs w:val="20"/>
        <w:lang w:val="en-US"/>
      </w:rPr>
    </w:pPr>
    <w:r w:rsidRPr="00D267EF">
      <w:rPr>
        <w:rFonts w:ascii="Arial" w:hAnsi="Arial"/>
        <w:sz w:val="20"/>
        <w:szCs w:val="20"/>
        <w:lang w:val="en-US"/>
      </w:rPr>
      <w:t>ITH/</w:t>
    </w:r>
    <w:r w:rsidRPr="00D267EF">
      <w:rPr>
        <w:rFonts w:ascii="Arial" w:hAnsi="Arial"/>
        <w:sz w:val="20"/>
        <w:szCs w:val="20"/>
        <w:lang w:val="ru-RU"/>
      </w:rPr>
      <w:t>18</w:t>
    </w:r>
    <w:r w:rsidRPr="00D267EF">
      <w:rPr>
        <w:rFonts w:ascii="Arial" w:hAnsi="Arial"/>
        <w:sz w:val="20"/>
        <w:szCs w:val="20"/>
        <w:lang w:val="en-US"/>
      </w:rPr>
      <w:t>/</w:t>
    </w:r>
    <w:r w:rsidRPr="00D267EF">
      <w:rPr>
        <w:rFonts w:ascii="Arial" w:hAnsi="Arial"/>
        <w:sz w:val="20"/>
        <w:szCs w:val="20"/>
        <w:lang w:val="ru-RU"/>
      </w:rPr>
      <w:t>7</w:t>
    </w:r>
    <w:r w:rsidRPr="00D267EF">
      <w:rPr>
        <w:rFonts w:ascii="Arial" w:hAnsi="Arial"/>
        <w:sz w:val="20"/>
        <w:szCs w:val="20"/>
        <w:lang w:val="en-US"/>
      </w:rPr>
      <w:t>.GA/</w:t>
    </w:r>
    <w:proofErr w:type="spellStart"/>
    <w:r w:rsidRPr="00D267EF">
      <w:rPr>
        <w:rFonts w:ascii="Arial" w:hAnsi="Arial"/>
        <w:sz w:val="20"/>
        <w:szCs w:val="20"/>
        <w:lang w:val="en-US"/>
      </w:rPr>
      <w:t>Резолюции</w:t>
    </w:r>
    <w:proofErr w:type="spellEnd"/>
    <w:r w:rsidRPr="00D267EF">
      <w:rPr>
        <w:rFonts w:ascii="Arial" w:hAnsi="Arial"/>
        <w:sz w:val="20"/>
        <w:szCs w:val="20"/>
        <w:lang w:val="en-US"/>
      </w:rPr>
      <w:t xml:space="preserve"> – </w:t>
    </w:r>
    <w:r w:rsidR="00D267EF">
      <w:rPr>
        <w:rFonts w:ascii="Arial" w:hAnsi="Arial" w:cs="Arial"/>
        <w:sz w:val="20"/>
        <w:szCs w:val="20"/>
        <w:lang w:val="ru-RU"/>
      </w:rPr>
      <w:t>страница</w:t>
    </w:r>
    <w:r w:rsidRPr="00D267EF">
      <w:rPr>
        <w:rFonts w:ascii="Arial" w:hAnsi="Arial"/>
        <w:sz w:val="20"/>
        <w:szCs w:val="20"/>
        <w:lang w:val="en-US"/>
      </w:rPr>
      <w:t xml:space="preserve"> </w:t>
    </w:r>
    <w:r w:rsidRPr="00D267EF">
      <w:rPr>
        <w:rFonts w:ascii="Arial" w:hAnsi="Arial"/>
        <w:sz w:val="20"/>
        <w:szCs w:val="20"/>
        <w:lang w:val="en-US"/>
      </w:rPr>
      <w:fldChar w:fldCharType="begin"/>
    </w:r>
    <w:r w:rsidRPr="00D267EF">
      <w:rPr>
        <w:rFonts w:ascii="Arial" w:hAnsi="Arial"/>
        <w:sz w:val="20"/>
        <w:szCs w:val="20"/>
        <w:lang w:val="en-US"/>
      </w:rPr>
      <w:instrText xml:space="preserve"> PAGE </w:instrText>
    </w:r>
    <w:r w:rsidRPr="00D267EF">
      <w:rPr>
        <w:rFonts w:ascii="Arial" w:hAnsi="Arial"/>
        <w:sz w:val="20"/>
        <w:szCs w:val="20"/>
        <w:lang w:val="en-US"/>
      </w:rPr>
      <w:fldChar w:fldCharType="separate"/>
    </w:r>
    <w:r w:rsidR="007F3FBD">
      <w:rPr>
        <w:rFonts w:ascii="Arial" w:hAnsi="Arial"/>
        <w:noProof/>
        <w:sz w:val="20"/>
        <w:szCs w:val="20"/>
        <w:lang w:val="en-US"/>
      </w:rPr>
      <w:t>17</w:t>
    </w:r>
    <w:r w:rsidRPr="00D267EF">
      <w:rPr>
        <w:rFonts w:ascii="Arial" w:hAnsi="Arial"/>
        <w:sz w:val="20"/>
        <w:szCs w:val="20"/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A8214C" w:rsidRDefault="008645BB" w:rsidP="00696A06">
    <w:pPr>
      <w:pStyle w:val="Header"/>
    </w:pPr>
  </w:p>
  <w:p w:rsidR="008645BB" w:rsidRPr="002402C9" w:rsidRDefault="008645BB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F56438" w:rsidRDefault="008645BB" w:rsidP="008C0E0E">
    <w:pPr>
      <w:pStyle w:val="Header"/>
      <w:rPr>
        <w:rFonts w:ascii="Arial" w:hAnsi="Arial" w:cs="Arial"/>
        <w:sz w:val="20"/>
        <w:szCs w:val="20"/>
        <w:lang w:val="en-US"/>
      </w:rPr>
    </w:pPr>
    <w:r w:rsidRPr="00F56438">
      <w:rPr>
        <w:rFonts w:ascii="Arial" w:hAnsi="Arial" w:cs="Arial"/>
        <w:sz w:val="20"/>
        <w:szCs w:val="20"/>
        <w:lang w:val="en-US"/>
      </w:rPr>
      <w:t>ITH/</w:t>
    </w:r>
    <w:r>
      <w:rPr>
        <w:rFonts w:ascii="Arial" w:hAnsi="Arial" w:cs="Arial"/>
        <w:sz w:val="20"/>
        <w:szCs w:val="20"/>
        <w:lang w:val="en-US"/>
      </w:rPr>
      <w:t>18</w:t>
    </w:r>
    <w:r w:rsidRPr="00F56438">
      <w:rPr>
        <w:rFonts w:ascii="Arial" w:hAnsi="Arial" w:cs="Arial"/>
        <w:sz w:val="20"/>
        <w:szCs w:val="20"/>
        <w:lang w:val="en-US"/>
      </w:rPr>
      <w:t>/</w:t>
    </w:r>
    <w:r>
      <w:rPr>
        <w:rFonts w:ascii="Arial" w:hAnsi="Arial" w:cs="Arial"/>
        <w:sz w:val="20"/>
        <w:szCs w:val="20"/>
        <w:lang w:val="en-US"/>
      </w:rPr>
      <w:t>7.GA/</w:t>
    </w:r>
    <w:r>
      <w:rPr>
        <w:rFonts w:ascii="Arial" w:hAnsi="Arial" w:cs="Arial"/>
        <w:sz w:val="20"/>
        <w:szCs w:val="20"/>
        <w:lang w:val="ru-RU"/>
      </w:rPr>
      <w:t>Резолюции</w:t>
    </w:r>
    <w:r w:rsidRPr="00F56438">
      <w:rPr>
        <w:rFonts w:ascii="Arial" w:hAnsi="Arial" w:cs="Arial"/>
        <w:sz w:val="20"/>
        <w:szCs w:val="20"/>
        <w:lang w:val="en-US"/>
      </w:rPr>
      <w:t xml:space="preserve"> – </w:t>
    </w:r>
    <w:r w:rsidR="008C0E0E">
      <w:rPr>
        <w:rFonts w:ascii="Arial" w:hAnsi="Arial" w:cs="Arial"/>
        <w:sz w:val="20"/>
        <w:szCs w:val="20"/>
        <w:lang w:val="ru-RU"/>
      </w:rPr>
      <w:t>страница</w:t>
    </w:r>
    <w:r w:rsidRPr="00F56438">
      <w:rPr>
        <w:rFonts w:ascii="Arial" w:hAnsi="Arial" w:cs="Arial"/>
        <w:sz w:val="20"/>
        <w:szCs w:val="20"/>
        <w:lang w:val="en-US"/>
      </w:rPr>
      <w:t xml:space="preserve"> </w:t>
    </w:r>
    <w:r w:rsidRPr="00F56438">
      <w:rPr>
        <w:rStyle w:val="PageNumber"/>
        <w:rFonts w:ascii="Arial" w:hAnsi="Arial" w:cs="Arial"/>
        <w:sz w:val="20"/>
        <w:szCs w:val="20"/>
      </w:rPr>
      <w:fldChar w:fldCharType="begin"/>
    </w:r>
    <w:r w:rsidRPr="00F56438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Pr="00F56438">
      <w:rPr>
        <w:rStyle w:val="PageNumber"/>
        <w:rFonts w:ascii="Arial" w:hAnsi="Arial" w:cs="Arial"/>
        <w:sz w:val="20"/>
        <w:szCs w:val="20"/>
      </w:rPr>
      <w:fldChar w:fldCharType="separate"/>
    </w:r>
    <w:r w:rsidR="007F3FBD">
      <w:rPr>
        <w:rStyle w:val="PageNumber"/>
        <w:rFonts w:ascii="Arial" w:hAnsi="Arial" w:cs="Arial"/>
        <w:noProof/>
        <w:sz w:val="20"/>
        <w:szCs w:val="20"/>
        <w:lang w:val="en-US"/>
      </w:rPr>
      <w:t>22</w:t>
    </w:r>
    <w:r w:rsidRPr="00F5643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3E4D79" w:rsidRDefault="008645BB" w:rsidP="00D267EF">
    <w:pPr>
      <w:pStyle w:val="Header"/>
      <w:jc w:val="right"/>
      <w:rPr>
        <w:sz w:val="20"/>
        <w:szCs w:val="20"/>
        <w:lang w:val="ru-RU"/>
      </w:rPr>
    </w:pPr>
    <w:r w:rsidRPr="005C1E55">
      <w:rPr>
        <w:rFonts w:ascii="Arial" w:hAnsi="Arial" w:cs="Arial"/>
        <w:sz w:val="20"/>
        <w:szCs w:val="20"/>
        <w:lang w:val="en-US"/>
      </w:rPr>
      <w:t>ITH</w:t>
    </w:r>
    <w:r w:rsidRPr="003E4D79">
      <w:rPr>
        <w:rFonts w:ascii="Arial" w:hAnsi="Arial" w:cs="Arial"/>
        <w:sz w:val="20"/>
        <w:szCs w:val="20"/>
        <w:lang w:val="ru-RU"/>
      </w:rPr>
      <w:t>/</w:t>
    </w:r>
    <w:r>
      <w:rPr>
        <w:rFonts w:ascii="Arial" w:hAnsi="Arial" w:cs="Arial"/>
        <w:sz w:val="20"/>
        <w:szCs w:val="20"/>
        <w:lang w:val="en-US"/>
      </w:rPr>
      <w:t>18</w:t>
    </w:r>
    <w:r w:rsidRPr="003E4D79">
      <w:rPr>
        <w:rFonts w:ascii="Arial" w:hAnsi="Arial" w:cs="Arial"/>
        <w:sz w:val="20"/>
        <w:szCs w:val="20"/>
        <w:lang w:val="ru-RU"/>
      </w:rPr>
      <w:t>/</w:t>
    </w:r>
    <w:r>
      <w:rPr>
        <w:rFonts w:ascii="Arial" w:hAnsi="Arial" w:cs="Arial"/>
        <w:sz w:val="20"/>
        <w:szCs w:val="20"/>
        <w:lang w:val="en-US"/>
      </w:rPr>
      <w:t>7</w:t>
    </w:r>
    <w:r w:rsidRPr="003E4D79">
      <w:rPr>
        <w:rFonts w:ascii="Arial" w:hAnsi="Arial" w:cs="Arial"/>
        <w:sz w:val="20"/>
        <w:szCs w:val="20"/>
        <w:lang w:val="ru-RU"/>
      </w:rPr>
      <w:t>.</w:t>
    </w:r>
    <w:r w:rsidRPr="005C1E55">
      <w:rPr>
        <w:rFonts w:ascii="Arial" w:hAnsi="Arial" w:cs="Arial"/>
        <w:sz w:val="20"/>
        <w:szCs w:val="20"/>
        <w:lang w:val="en-US"/>
      </w:rPr>
      <w:t>GA</w:t>
    </w:r>
    <w:r w:rsidRPr="003E4D79">
      <w:rPr>
        <w:rFonts w:ascii="Arial" w:hAnsi="Arial" w:cs="Arial"/>
        <w:sz w:val="20"/>
        <w:szCs w:val="20"/>
        <w:lang w:val="ru-RU"/>
      </w:rPr>
      <w:t>/</w:t>
    </w:r>
    <w:r>
      <w:rPr>
        <w:rFonts w:ascii="Arial" w:hAnsi="Arial" w:cs="Arial"/>
        <w:sz w:val="20"/>
        <w:szCs w:val="20"/>
        <w:lang w:val="ru-RU"/>
      </w:rPr>
      <w:t xml:space="preserve">Резолюции </w:t>
    </w:r>
    <w:r w:rsidRPr="003E4D79">
      <w:rPr>
        <w:rFonts w:ascii="Arial" w:hAnsi="Arial" w:cs="Arial"/>
        <w:sz w:val="20"/>
        <w:szCs w:val="20"/>
        <w:lang w:val="ru-RU"/>
      </w:rPr>
      <w:t xml:space="preserve">– </w:t>
    </w:r>
    <w:r w:rsidR="00D267EF">
      <w:rPr>
        <w:rFonts w:ascii="Arial" w:hAnsi="Arial" w:cs="Arial"/>
        <w:sz w:val="20"/>
        <w:szCs w:val="20"/>
        <w:lang w:val="ru-RU"/>
      </w:rPr>
      <w:t>страница</w:t>
    </w:r>
    <w:r w:rsidRPr="003E4D79">
      <w:rPr>
        <w:rFonts w:ascii="Arial" w:hAnsi="Arial" w:cs="Arial"/>
        <w:sz w:val="20"/>
        <w:szCs w:val="20"/>
        <w:lang w:val="ru-RU"/>
      </w:rPr>
      <w:t xml:space="preserve"> </w:t>
    </w:r>
    <w:r w:rsidRPr="005C1E55">
      <w:rPr>
        <w:rStyle w:val="PageNumber"/>
        <w:rFonts w:ascii="Arial" w:hAnsi="Arial" w:cs="Arial"/>
        <w:sz w:val="20"/>
        <w:szCs w:val="20"/>
      </w:rPr>
      <w:fldChar w:fldCharType="begin"/>
    </w:r>
    <w:r w:rsidRPr="003E4D79">
      <w:rPr>
        <w:rStyle w:val="PageNumber"/>
        <w:rFonts w:ascii="Arial" w:hAnsi="Arial" w:cs="Arial"/>
        <w:sz w:val="20"/>
        <w:szCs w:val="20"/>
        <w:lang w:val="ru-RU"/>
      </w:rPr>
      <w:instrText xml:space="preserve"> </w:instrText>
    </w:r>
    <w:r w:rsidRPr="005C1E55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3E4D79">
      <w:rPr>
        <w:rStyle w:val="PageNumber"/>
        <w:rFonts w:ascii="Arial" w:hAnsi="Arial" w:cs="Arial"/>
        <w:sz w:val="20"/>
        <w:szCs w:val="20"/>
        <w:lang w:val="ru-RU"/>
      </w:rPr>
      <w:instrText xml:space="preserve"> </w:instrText>
    </w:r>
    <w:r w:rsidRPr="005C1E55">
      <w:rPr>
        <w:rStyle w:val="PageNumber"/>
        <w:rFonts w:ascii="Arial" w:hAnsi="Arial" w:cs="Arial"/>
        <w:sz w:val="20"/>
        <w:szCs w:val="20"/>
      </w:rPr>
      <w:fldChar w:fldCharType="separate"/>
    </w:r>
    <w:r w:rsidR="007F3FBD">
      <w:rPr>
        <w:rStyle w:val="PageNumber"/>
        <w:rFonts w:ascii="Arial" w:hAnsi="Arial" w:cs="Arial"/>
        <w:noProof/>
        <w:sz w:val="20"/>
        <w:szCs w:val="20"/>
        <w:lang w:val="ru-RU"/>
      </w:rPr>
      <w:t>21</w:t>
    </w:r>
    <w:r w:rsidRPr="005C1E55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5BB" w:rsidRPr="00D267EF" w:rsidRDefault="008645BB" w:rsidP="00D267EF">
    <w:pPr>
      <w:pStyle w:val="Header"/>
      <w:rPr>
        <w:rFonts w:ascii="Arial" w:hAnsi="Arial"/>
        <w:sz w:val="20"/>
        <w:szCs w:val="20"/>
        <w:lang w:val="en-US"/>
      </w:rPr>
    </w:pPr>
    <w:r w:rsidRPr="00D267EF">
      <w:rPr>
        <w:rFonts w:ascii="Arial" w:hAnsi="Arial"/>
        <w:sz w:val="20"/>
        <w:szCs w:val="20"/>
        <w:lang w:val="en-US"/>
      </w:rPr>
      <w:t>ITH/18/7.GA/</w:t>
    </w:r>
    <w:proofErr w:type="spellStart"/>
    <w:r w:rsidRPr="00D267EF">
      <w:rPr>
        <w:rFonts w:ascii="Arial" w:hAnsi="Arial"/>
        <w:sz w:val="20"/>
        <w:szCs w:val="20"/>
        <w:lang w:val="en-US"/>
      </w:rPr>
      <w:t>Резолюции</w:t>
    </w:r>
    <w:proofErr w:type="spellEnd"/>
    <w:r w:rsidRPr="00D267EF">
      <w:rPr>
        <w:rFonts w:ascii="Arial" w:hAnsi="Arial"/>
        <w:sz w:val="20"/>
        <w:szCs w:val="20"/>
        <w:lang w:val="en-US"/>
      </w:rPr>
      <w:t xml:space="preserve"> – </w:t>
    </w:r>
    <w:r w:rsidR="00D267EF">
      <w:rPr>
        <w:rFonts w:ascii="Arial" w:hAnsi="Arial" w:cs="Arial"/>
        <w:sz w:val="20"/>
        <w:szCs w:val="20"/>
        <w:lang w:val="ru-RU"/>
      </w:rPr>
      <w:t>страница</w:t>
    </w:r>
    <w:r w:rsidRPr="00D267EF">
      <w:rPr>
        <w:rFonts w:ascii="Arial" w:hAnsi="Arial"/>
        <w:sz w:val="20"/>
        <w:szCs w:val="20"/>
        <w:lang w:val="en-US"/>
      </w:rPr>
      <w:t xml:space="preserve"> </w:t>
    </w:r>
    <w:r w:rsidRPr="00D267EF">
      <w:rPr>
        <w:rFonts w:ascii="Arial" w:hAnsi="Arial"/>
        <w:sz w:val="20"/>
        <w:szCs w:val="20"/>
        <w:lang w:val="en-US"/>
      </w:rPr>
      <w:fldChar w:fldCharType="begin"/>
    </w:r>
    <w:r w:rsidRPr="00D267EF">
      <w:rPr>
        <w:rFonts w:ascii="Arial" w:hAnsi="Arial"/>
        <w:sz w:val="20"/>
        <w:szCs w:val="20"/>
        <w:lang w:val="en-US"/>
      </w:rPr>
      <w:instrText xml:space="preserve"> PAGE </w:instrText>
    </w:r>
    <w:r w:rsidRPr="00D267EF">
      <w:rPr>
        <w:rFonts w:ascii="Arial" w:hAnsi="Arial"/>
        <w:sz w:val="20"/>
        <w:szCs w:val="20"/>
        <w:lang w:val="en-US"/>
      </w:rPr>
      <w:fldChar w:fldCharType="separate"/>
    </w:r>
    <w:r w:rsidR="007F3FBD">
      <w:rPr>
        <w:rFonts w:ascii="Arial" w:hAnsi="Arial"/>
        <w:noProof/>
        <w:sz w:val="20"/>
        <w:szCs w:val="20"/>
        <w:lang w:val="en-US"/>
      </w:rPr>
      <w:t>18</w:t>
    </w:r>
    <w:r w:rsidRPr="00D267EF">
      <w:rPr>
        <w:rFonts w:ascii="Arial" w:hAnsi="Arial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477494CC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621709"/>
    <w:multiLevelType w:val="multilevel"/>
    <w:tmpl w:val="DBAE2B3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442481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68D6F3D"/>
    <w:multiLevelType w:val="multilevel"/>
    <w:tmpl w:val="850A45F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166C6B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312"/>
    <w:multiLevelType w:val="multilevel"/>
    <w:tmpl w:val="FA76023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7F20F3"/>
    <w:multiLevelType w:val="multilevel"/>
    <w:tmpl w:val="69DC865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11687B85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54B"/>
    <w:multiLevelType w:val="multilevel"/>
    <w:tmpl w:val="C082EE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0" w15:restartNumberingAfterBreak="0">
    <w:nsid w:val="16F02868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55C1"/>
    <w:multiLevelType w:val="multilevel"/>
    <w:tmpl w:val="356E2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2" w15:restartNumberingAfterBreak="0">
    <w:nsid w:val="1E6F3D42"/>
    <w:multiLevelType w:val="multilevel"/>
    <w:tmpl w:val="9232358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13" w15:restartNumberingAfterBreak="0">
    <w:nsid w:val="222A59F8"/>
    <w:multiLevelType w:val="hybridMultilevel"/>
    <w:tmpl w:val="8376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3D7F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06E1C"/>
    <w:multiLevelType w:val="multilevel"/>
    <w:tmpl w:val="13423B5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503CC3"/>
    <w:multiLevelType w:val="multilevel"/>
    <w:tmpl w:val="765075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A373D9"/>
    <w:multiLevelType w:val="multilevel"/>
    <w:tmpl w:val="09F43FF0"/>
    <w:lvl w:ilvl="0">
      <w:start w:val="1"/>
      <w:numFmt w:val="decimal"/>
      <w:lvlText w:val="%1."/>
      <w:lvlJc w:val="left"/>
      <w:pPr>
        <w:ind w:left="1636" w:hanging="360"/>
      </w:pPr>
      <w:rPr>
        <w:rFonts w:ascii="Arial" w:hAnsi="Arial" w:cs="Arial Unicode MS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F84BCB"/>
    <w:multiLevelType w:val="multilevel"/>
    <w:tmpl w:val="DBD86F44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1583358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90C7B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E6C16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7044B"/>
    <w:multiLevelType w:val="multilevel"/>
    <w:tmpl w:val="9C5E3B12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91359B8"/>
    <w:multiLevelType w:val="multilevel"/>
    <w:tmpl w:val="76340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4" w15:restartNumberingAfterBreak="0">
    <w:nsid w:val="395B111E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A4DB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3CD7"/>
    <w:multiLevelType w:val="multilevel"/>
    <w:tmpl w:val="83584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7" w15:restartNumberingAfterBreak="0">
    <w:nsid w:val="3FA7287F"/>
    <w:multiLevelType w:val="multilevel"/>
    <w:tmpl w:val="90102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28" w15:restartNumberingAfterBreak="0">
    <w:nsid w:val="40CE7015"/>
    <w:multiLevelType w:val="hybridMultilevel"/>
    <w:tmpl w:val="F4BC6402"/>
    <w:lvl w:ilvl="0" w:tplc="2EC0D8EC">
      <w:start w:val="1"/>
      <w:numFmt w:val="decimal"/>
      <w:pStyle w:val="Para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40EB2969"/>
    <w:multiLevelType w:val="multilevel"/>
    <w:tmpl w:val="CCDA82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0FD6EEF"/>
    <w:multiLevelType w:val="multilevel"/>
    <w:tmpl w:val="108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1" w15:restartNumberingAfterBreak="0">
    <w:nsid w:val="41CE4A27"/>
    <w:multiLevelType w:val="hybridMultilevel"/>
    <w:tmpl w:val="FB9401A2"/>
    <w:lvl w:ilvl="0" w:tplc="1056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984C0B"/>
    <w:multiLevelType w:val="multilevel"/>
    <w:tmpl w:val="F37EAD2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3" w15:restartNumberingAfterBreak="0">
    <w:nsid w:val="47A66CBA"/>
    <w:multiLevelType w:val="hybridMultilevel"/>
    <w:tmpl w:val="2676D780"/>
    <w:lvl w:ilvl="0" w:tplc="5AE8DC4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7C22FB2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49545EAC"/>
    <w:multiLevelType w:val="multilevel"/>
    <w:tmpl w:val="E1DEAE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36" w15:restartNumberingAfterBreak="0">
    <w:nsid w:val="4B9B4C5A"/>
    <w:multiLevelType w:val="multilevel"/>
    <w:tmpl w:val="BA60A44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F5D5791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C13D09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211E8"/>
    <w:multiLevelType w:val="multilevel"/>
    <w:tmpl w:val="6B8C3E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40" w15:restartNumberingAfterBreak="0">
    <w:nsid w:val="5B5A4266"/>
    <w:multiLevelType w:val="hybridMultilevel"/>
    <w:tmpl w:val="F2D68366"/>
    <w:lvl w:ilvl="0" w:tplc="5C6872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EB212C"/>
    <w:multiLevelType w:val="multilevel"/>
    <w:tmpl w:val="A094F0A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5C1F5D61"/>
    <w:multiLevelType w:val="multilevel"/>
    <w:tmpl w:val="ED7E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3092062"/>
    <w:multiLevelType w:val="multilevel"/>
    <w:tmpl w:val="FD704AB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5844D09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30E88"/>
    <w:multiLevelType w:val="multilevel"/>
    <w:tmpl w:val="54F8407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80023BF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B22285"/>
    <w:multiLevelType w:val="multilevel"/>
    <w:tmpl w:val="FF4EE7D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9F06BD8"/>
    <w:multiLevelType w:val="multilevel"/>
    <w:tmpl w:val="68260C18"/>
    <w:name w:val="WW8Num1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FC94CCC"/>
    <w:multiLevelType w:val="multilevel"/>
    <w:tmpl w:val="5FE08C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hint="default"/>
      </w:rPr>
    </w:lvl>
  </w:abstractNum>
  <w:abstractNum w:abstractNumId="50" w15:restartNumberingAfterBreak="0">
    <w:nsid w:val="72655861"/>
    <w:multiLevelType w:val="hybridMultilevel"/>
    <w:tmpl w:val="4740CCB6"/>
    <w:lvl w:ilvl="0" w:tplc="1EB0BCA6">
      <w:start w:val="1"/>
      <w:numFmt w:val="lowerRoman"/>
      <w:lvlText w:val="%1."/>
      <w:lvlJc w:val="left"/>
      <w:pPr>
        <w:ind w:left="114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51" w15:restartNumberingAfterBreak="0">
    <w:nsid w:val="74FB091B"/>
    <w:multiLevelType w:val="hybridMultilevel"/>
    <w:tmpl w:val="EA1CE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D5562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367C2A"/>
    <w:multiLevelType w:val="multilevel"/>
    <w:tmpl w:val="CF381C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D6733D5"/>
    <w:multiLevelType w:val="hybridMultilevel"/>
    <w:tmpl w:val="BB74CA04"/>
    <w:lvl w:ilvl="0" w:tplc="D6DC6A24">
      <w:start w:val="1"/>
      <w:numFmt w:val="lowerLetter"/>
      <w:pStyle w:val="ChapitreI11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DD05C37"/>
    <w:multiLevelType w:val="hybridMultilevel"/>
    <w:tmpl w:val="A6BAD3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6587C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5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1"/>
  </w:num>
  <w:num w:numId="8">
    <w:abstractNumId w:val="13"/>
  </w:num>
  <w:num w:numId="9">
    <w:abstractNumId w:val="17"/>
  </w:num>
  <w:num w:numId="10">
    <w:abstractNumId w:val="42"/>
  </w:num>
  <w:num w:numId="11">
    <w:abstractNumId w:val="15"/>
  </w:num>
  <w:num w:numId="12">
    <w:abstractNumId w:val="26"/>
  </w:num>
  <w:num w:numId="13">
    <w:abstractNumId w:val="11"/>
  </w:num>
  <w:num w:numId="14">
    <w:abstractNumId w:val="49"/>
  </w:num>
  <w:num w:numId="15">
    <w:abstractNumId w:val="9"/>
  </w:num>
  <w:num w:numId="16">
    <w:abstractNumId w:val="35"/>
  </w:num>
  <w:num w:numId="17">
    <w:abstractNumId w:val="53"/>
  </w:num>
  <w:num w:numId="18">
    <w:abstractNumId w:val="30"/>
  </w:num>
  <w:num w:numId="19">
    <w:abstractNumId w:val="27"/>
  </w:num>
  <w:num w:numId="20">
    <w:abstractNumId w:val="23"/>
  </w:num>
  <w:num w:numId="21">
    <w:abstractNumId w:val="39"/>
  </w:num>
  <w:num w:numId="22">
    <w:abstractNumId w:val="12"/>
  </w:num>
  <w:num w:numId="23">
    <w:abstractNumId w:val="3"/>
  </w:num>
  <w:num w:numId="24">
    <w:abstractNumId w:val="32"/>
  </w:num>
  <w:num w:numId="25">
    <w:abstractNumId w:val="41"/>
  </w:num>
  <w:num w:numId="26">
    <w:abstractNumId w:val="1"/>
  </w:num>
  <w:num w:numId="27">
    <w:abstractNumId w:val="6"/>
  </w:num>
  <w:num w:numId="28">
    <w:abstractNumId w:val="43"/>
  </w:num>
  <w:num w:numId="29">
    <w:abstractNumId w:val="5"/>
  </w:num>
  <w:num w:numId="30">
    <w:abstractNumId w:val="29"/>
  </w:num>
  <w:num w:numId="31">
    <w:abstractNumId w:val="18"/>
  </w:num>
  <w:num w:numId="32">
    <w:abstractNumId w:val="47"/>
  </w:num>
  <w:num w:numId="33">
    <w:abstractNumId w:val="16"/>
  </w:num>
  <w:num w:numId="34">
    <w:abstractNumId w:val="22"/>
  </w:num>
  <w:num w:numId="35">
    <w:abstractNumId w:val="45"/>
  </w:num>
  <w:num w:numId="36">
    <w:abstractNumId w:val="36"/>
  </w:num>
  <w:num w:numId="37">
    <w:abstractNumId w:val="25"/>
    <w:lvlOverride w:ilvl="0">
      <w:startOverride w:val="1"/>
    </w:lvlOverride>
  </w:num>
  <w:num w:numId="38">
    <w:abstractNumId w:val="44"/>
  </w:num>
  <w:num w:numId="39">
    <w:abstractNumId w:val="34"/>
  </w:num>
  <w:num w:numId="40">
    <w:abstractNumId w:val="50"/>
    <w:lvlOverride w:ilvl="0">
      <w:startOverride w:val="1"/>
    </w:lvlOverride>
  </w:num>
  <w:num w:numId="41">
    <w:abstractNumId w:val="56"/>
  </w:num>
  <w:num w:numId="42">
    <w:abstractNumId w:val="2"/>
  </w:num>
  <w:num w:numId="43">
    <w:abstractNumId w:val="24"/>
  </w:num>
  <w:num w:numId="44">
    <w:abstractNumId w:val="38"/>
  </w:num>
  <w:num w:numId="45">
    <w:abstractNumId w:val="4"/>
  </w:num>
  <w:num w:numId="46">
    <w:abstractNumId w:val="40"/>
  </w:num>
  <w:num w:numId="47">
    <w:abstractNumId w:val="19"/>
  </w:num>
  <w:num w:numId="48">
    <w:abstractNumId w:val="14"/>
  </w:num>
  <w:num w:numId="49">
    <w:abstractNumId w:val="37"/>
  </w:num>
  <w:num w:numId="50">
    <w:abstractNumId w:val="8"/>
  </w:num>
  <w:num w:numId="51">
    <w:abstractNumId w:val="46"/>
  </w:num>
  <w:num w:numId="52">
    <w:abstractNumId w:val="21"/>
  </w:num>
  <w:num w:numId="53">
    <w:abstractNumId w:val="55"/>
  </w:num>
  <w:num w:numId="54">
    <w:abstractNumId w:val="10"/>
  </w:num>
  <w:num w:numId="55">
    <w:abstractNumId w:val="52"/>
  </w:num>
  <w:num w:numId="56">
    <w:abstractNumId w:val="51"/>
  </w:num>
  <w:num w:numId="57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nl-B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9"/>
  <w:hyphenationZone w:val="42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UNESCOTERM-Acronyms-20-01-2014|UNESCOTERM-Long-20-01-2014|UNESCOTERM-Short-20-01-2014"/>
    <w:docVar w:name="TermBaseURL" w:val="empty"/>
    <w:docVar w:name="TextBases" w:val="HQ-MULTITRANS.hq.int.unesco.org\33-C-5|HQ-MULTITRANS.hq.int.unesco.org\34-C-05-APPROVED|HQ-MULTITRANS.hq.int.unesco.org\35-C-05-Draft|HQ-MULTITRANS.hq.int.unesco.org\35-C-5-Approved|HQ-MULTITRANS.hq.int.unesco.org\35-C-ENV|HQ-MULTITRANS.hq.int.unesco.org\36-C-05-Draft|HQ-MULTITRANS.hq.int.unesco.org\36-C-5-Approved|HQ-MULTITRANS.hq.int.unesco.org\37-C-5-DRAFT|HQ-MULTITRANS.hq.int.unesco.org\adm-cir-man|HQ-MULTITRANS.hq.int.unesco.org\Basic-Texts|HQ-MULTITRANS.hq.int.unesco.org\ci-clt-2013-2015|HQ-MULTITRANS.hq.int.unesco.org\CI-CLT-ST|HQ-MULTITRANS.hq.int.unesco.org\ci-clt-st-2008|HQ-MULTITRANS.hq.int.unesco.org\ci-clt-st-2009-2012|HQ-MULTITRANS.hq.int.unesco.org\cl|HQ-MULTITRANS.hq.int.unesco.org\dg speeches|HQ-MULTITRANS.hq.int.unesco.org\dg-notes|HQ-MULTITRANS.hq.int.unesco.org\DRs|HQ-MULTITRANS.hq.int.unesco.org\ed-2006|HQ-MULTITRANS.hq.int.unesco.org\ed-2007-2009|HQ-MULTITRANS.hq.int.unesco.org\ed-2010-2012|HQ-MULTITRANS.hq.int.unesco.org\ed-2013-2015|HQ-MULTITRANS.hq.int.unesco.org\EFA-GMR-2007|HQ-MULTITRANS.hq.int.unesco.org\EFA-GMR-2008|HQ-MULTITRANS.hq.int.unesco.org\EFA-GMR-2009|HQ-MULTITRANS.hq.int.unesco.org\EFA-GMR-2010|HQ-MULTITRANS.hq.int.unesco.org\EFA-GMR-2011|HQ-MULTITRANS.hq.int.unesco.org\EFA-GMR-2012|HQ-MULTITRANS.hq.int.unesco.org\EFA-GMR-2013|HQ-MULTITRANS.hq.int.unesco.org\ex-gc-2005|HQ-MULTITRANS.hq.int.unesco.org\ex-gc-2006-2007|HQ-MULTITRANS.hq.int.unesco.org\ex-gc-2008-2009|HQ-MULTITRANS.hq.int.unesco.org\ex-gc-2010-2011|HQ-MULTITRANS.hq.int.unesco.org\ex-gc-2012-2013|HQ-MULTITRANS.hq.int.unesco.org\ex-gc-2014-2015|HQ-MULTITRANS.hq.int.unesco.org\FORMS|HQ-MULTITRANS.hq.int.unesco.org\hq|HQ-MULTITRANS.hq.int.unesco.org\HR-MANUAL-2012|HQ-MULTITRANS.hq.int.unesco.org\jiu-icsc|HQ-MULTITRANS.hq.int.unesco.org\LA-DEP|HQ-MULTITRANS.hq.int.unesco.org\miscellaneous|HQ-MULTITRANS.hq.int.unesco.org\res-dec|HQ-MULTITRANS.hq.int.unesco.org\sc-2005|HQ-MULTITRANS.hq.int.unesco.org\sc-2007-2009|HQ-MULTITRANS.hq.int.unesco.org\sc-2010-2012|HQ-MULTITRANS.hq.int.unesco.org\sc-2013-2015|HQ-MULTITRANS.hq.int.unesco.org\shs|HQ-MULTITRANS.hq.int.unesco.org\SHS-2007|HQ-MULTITRANS.hq.int.unesco.org\SHS-2009-2012|HQ-MULTITRANS.hq.int.unesco.org\shs-2013-2015|HQ-MULTITRANS.hq.int.unesco.org\tableaux-maf|HQ-MULTITRANS.hq.int.unesco.org\temp|HQ-MULTITRANS.hq.int.unesco.org\UA|HQ-MULTITRANS.hq.int.unesco.org\un res for ex|HQ-MULTITRANS.hq.int.unesco.org\UN-HR-Manual|HQ-MULTITRANS.hq.int.unesco.org\unesco-manual|HQ-MULTITRANS.hq.int.unesco.org\UNESCO-New-ADM-Manual|HQ-MULTITRANS.hq.int.unesco.org\Vacancy Notices"/>
    <w:docVar w:name="TextBaseURL" w:val="empty"/>
    <w:docVar w:name="UILng" w:val="en"/>
  </w:docVars>
  <w:rsids>
    <w:rsidRoot w:val="008724E5"/>
    <w:rsid w:val="00007009"/>
    <w:rsid w:val="00010A2D"/>
    <w:rsid w:val="00013200"/>
    <w:rsid w:val="00015DCF"/>
    <w:rsid w:val="00017D87"/>
    <w:rsid w:val="00020EE7"/>
    <w:rsid w:val="00031D73"/>
    <w:rsid w:val="000321A7"/>
    <w:rsid w:val="000376B0"/>
    <w:rsid w:val="0004028D"/>
    <w:rsid w:val="00042A41"/>
    <w:rsid w:val="000514EC"/>
    <w:rsid w:val="0005176E"/>
    <w:rsid w:val="00051D43"/>
    <w:rsid w:val="00052B2C"/>
    <w:rsid w:val="0006187D"/>
    <w:rsid w:val="00065258"/>
    <w:rsid w:val="000677A7"/>
    <w:rsid w:val="0007074F"/>
    <w:rsid w:val="0007212A"/>
    <w:rsid w:val="00074DD5"/>
    <w:rsid w:val="00077AB7"/>
    <w:rsid w:val="00081CD8"/>
    <w:rsid w:val="000854F1"/>
    <w:rsid w:val="000A232A"/>
    <w:rsid w:val="000A7F0E"/>
    <w:rsid w:val="000B0A77"/>
    <w:rsid w:val="000B479F"/>
    <w:rsid w:val="000B51DA"/>
    <w:rsid w:val="000B6011"/>
    <w:rsid w:val="000C79E6"/>
    <w:rsid w:val="000E40EF"/>
    <w:rsid w:val="000E5738"/>
    <w:rsid w:val="000F0C4D"/>
    <w:rsid w:val="000F3A3F"/>
    <w:rsid w:val="000F7F23"/>
    <w:rsid w:val="00100C91"/>
    <w:rsid w:val="00102557"/>
    <w:rsid w:val="0010637F"/>
    <w:rsid w:val="00107F89"/>
    <w:rsid w:val="001125A4"/>
    <w:rsid w:val="00116A79"/>
    <w:rsid w:val="00117A92"/>
    <w:rsid w:val="00121044"/>
    <w:rsid w:val="00122875"/>
    <w:rsid w:val="0013209F"/>
    <w:rsid w:val="00135544"/>
    <w:rsid w:val="001406DC"/>
    <w:rsid w:val="00143DC6"/>
    <w:rsid w:val="00151F84"/>
    <w:rsid w:val="00153977"/>
    <w:rsid w:val="001604B7"/>
    <w:rsid w:val="00164D56"/>
    <w:rsid w:val="0016559E"/>
    <w:rsid w:val="00167B10"/>
    <w:rsid w:val="00170D3E"/>
    <w:rsid w:val="00171633"/>
    <w:rsid w:val="00176913"/>
    <w:rsid w:val="00183C51"/>
    <w:rsid w:val="00183CF4"/>
    <w:rsid w:val="00196856"/>
    <w:rsid w:val="00196C1B"/>
    <w:rsid w:val="00197806"/>
    <w:rsid w:val="001A000C"/>
    <w:rsid w:val="001A11FB"/>
    <w:rsid w:val="001A6C88"/>
    <w:rsid w:val="001A6C99"/>
    <w:rsid w:val="001B0F73"/>
    <w:rsid w:val="001B10E4"/>
    <w:rsid w:val="001B7CAE"/>
    <w:rsid w:val="001C3662"/>
    <w:rsid w:val="001C37C0"/>
    <w:rsid w:val="001D7C22"/>
    <w:rsid w:val="001E35E7"/>
    <w:rsid w:val="001E3DDA"/>
    <w:rsid w:val="001F235B"/>
    <w:rsid w:val="001F4512"/>
    <w:rsid w:val="001F4913"/>
    <w:rsid w:val="001F6F2C"/>
    <w:rsid w:val="00211BFD"/>
    <w:rsid w:val="00212B82"/>
    <w:rsid w:val="002225EF"/>
    <w:rsid w:val="00222A2D"/>
    <w:rsid w:val="00223029"/>
    <w:rsid w:val="002258A3"/>
    <w:rsid w:val="00226920"/>
    <w:rsid w:val="002276E6"/>
    <w:rsid w:val="00232C74"/>
    <w:rsid w:val="00234745"/>
    <w:rsid w:val="002407AF"/>
    <w:rsid w:val="002438D5"/>
    <w:rsid w:val="00245235"/>
    <w:rsid w:val="00246B9C"/>
    <w:rsid w:val="00251BD3"/>
    <w:rsid w:val="00251E39"/>
    <w:rsid w:val="0025667E"/>
    <w:rsid w:val="002657A1"/>
    <w:rsid w:val="00266886"/>
    <w:rsid w:val="00267153"/>
    <w:rsid w:val="00271128"/>
    <w:rsid w:val="002711F7"/>
    <w:rsid w:val="0028069D"/>
    <w:rsid w:val="00282D93"/>
    <w:rsid w:val="00287766"/>
    <w:rsid w:val="00291012"/>
    <w:rsid w:val="00291765"/>
    <w:rsid w:val="002A4AFE"/>
    <w:rsid w:val="002A5613"/>
    <w:rsid w:val="002B104A"/>
    <w:rsid w:val="002B1181"/>
    <w:rsid w:val="002B4454"/>
    <w:rsid w:val="002B5238"/>
    <w:rsid w:val="002C09E3"/>
    <w:rsid w:val="002C3D71"/>
    <w:rsid w:val="002C4459"/>
    <w:rsid w:val="002C5C40"/>
    <w:rsid w:val="002C7040"/>
    <w:rsid w:val="002C7D09"/>
    <w:rsid w:val="002D7627"/>
    <w:rsid w:val="002E138F"/>
    <w:rsid w:val="002E2DD4"/>
    <w:rsid w:val="002E31E6"/>
    <w:rsid w:val="002E4959"/>
    <w:rsid w:val="002F24EC"/>
    <w:rsid w:val="002F78F8"/>
    <w:rsid w:val="00304440"/>
    <w:rsid w:val="00310C7B"/>
    <w:rsid w:val="00320195"/>
    <w:rsid w:val="00333284"/>
    <w:rsid w:val="00343937"/>
    <w:rsid w:val="0035178A"/>
    <w:rsid w:val="00353F73"/>
    <w:rsid w:val="0035514A"/>
    <w:rsid w:val="003628A5"/>
    <w:rsid w:val="00372DA4"/>
    <w:rsid w:val="003745EE"/>
    <w:rsid w:val="00375936"/>
    <w:rsid w:val="003767E7"/>
    <w:rsid w:val="003777BE"/>
    <w:rsid w:val="00386428"/>
    <w:rsid w:val="00386EBB"/>
    <w:rsid w:val="003915DB"/>
    <w:rsid w:val="00391F05"/>
    <w:rsid w:val="00395A07"/>
    <w:rsid w:val="003A24D0"/>
    <w:rsid w:val="003A4531"/>
    <w:rsid w:val="003A6BF6"/>
    <w:rsid w:val="003B0299"/>
    <w:rsid w:val="003B35C0"/>
    <w:rsid w:val="003B636B"/>
    <w:rsid w:val="003C344C"/>
    <w:rsid w:val="003C77FF"/>
    <w:rsid w:val="003D069C"/>
    <w:rsid w:val="003D11B3"/>
    <w:rsid w:val="003D121C"/>
    <w:rsid w:val="003E023A"/>
    <w:rsid w:val="003E07C3"/>
    <w:rsid w:val="003E33AD"/>
    <w:rsid w:val="003E4D79"/>
    <w:rsid w:val="003E6263"/>
    <w:rsid w:val="003F113A"/>
    <w:rsid w:val="00407227"/>
    <w:rsid w:val="00411A5F"/>
    <w:rsid w:val="00414643"/>
    <w:rsid w:val="00436920"/>
    <w:rsid w:val="00436E6F"/>
    <w:rsid w:val="00437B3C"/>
    <w:rsid w:val="004421E5"/>
    <w:rsid w:val="00445D88"/>
    <w:rsid w:val="00452284"/>
    <w:rsid w:val="00453F76"/>
    <w:rsid w:val="00464997"/>
    <w:rsid w:val="00464D57"/>
    <w:rsid w:val="004715A3"/>
    <w:rsid w:val="004809A4"/>
    <w:rsid w:val="00484253"/>
    <w:rsid w:val="0048663B"/>
    <w:rsid w:val="0048717F"/>
    <w:rsid w:val="00487193"/>
    <w:rsid w:val="0049359A"/>
    <w:rsid w:val="00493B90"/>
    <w:rsid w:val="0049705E"/>
    <w:rsid w:val="004A45B8"/>
    <w:rsid w:val="004B63ED"/>
    <w:rsid w:val="004C2A08"/>
    <w:rsid w:val="004D185E"/>
    <w:rsid w:val="004D274C"/>
    <w:rsid w:val="004D3B79"/>
    <w:rsid w:val="004D503F"/>
    <w:rsid w:val="004E3C27"/>
    <w:rsid w:val="004F0271"/>
    <w:rsid w:val="004F63BB"/>
    <w:rsid w:val="00501943"/>
    <w:rsid w:val="005028A1"/>
    <w:rsid w:val="005030FD"/>
    <w:rsid w:val="0051084D"/>
    <w:rsid w:val="00512368"/>
    <w:rsid w:val="00516C3F"/>
    <w:rsid w:val="00522E88"/>
    <w:rsid w:val="00526B7B"/>
    <w:rsid w:val="005308CE"/>
    <w:rsid w:val="005352CB"/>
    <w:rsid w:val="0054118C"/>
    <w:rsid w:val="005443C5"/>
    <w:rsid w:val="005479F5"/>
    <w:rsid w:val="0055054D"/>
    <w:rsid w:val="0055279C"/>
    <w:rsid w:val="00557321"/>
    <w:rsid w:val="005667D5"/>
    <w:rsid w:val="00566F7D"/>
    <w:rsid w:val="00570234"/>
    <w:rsid w:val="0057439C"/>
    <w:rsid w:val="00575C7F"/>
    <w:rsid w:val="005811A7"/>
    <w:rsid w:val="005844E1"/>
    <w:rsid w:val="005847E1"/>
    <w:rsid w:val="0059072A"/>
    <w:rsid w:val="00590937"/>
    <w:rsid w:val="0059407F"/>
    <w:rsid w:val="005967BC"/>
    <w:rsid w:val="005A1320"/>
    <w:rsid w:val="005A7524"/>
    <w:rsid w:val="005B0127"/>
    <w:rsid w:val="005C1E55"/>
    <w:rsid w:val="005C4B73"/>
    <w:rsid w:val="005D4AA6"/>
    <w:rsid w:val="005E1D2B"/>
    <w:rsid w:val="005E515F"/>
    <w:rsid w:val="005F1C86"/>
    <w:rsid w:val="005F2642"/>
    <w:rsid w:val="00600D93"/>
    <w:rsid w:val="00610DF8"/>
    <w:rsid w:val="00621829"/>
    <w:rsid w:val="0062444B"/>
    <w:rsid w:val="006252CA"/>
    <w:rsid w:val="0063696A"/>
    <w:rsid w:val="00640D73"/>
    <w:rsid w:val="0064109B"/>
    <w:rsid w:val="0064626F"/>
    <w:rsid w:val="00646467"/>
    <w:rsid w:val="00647263"/>
    <w:rsid w:val="00650BD9"/>
    <w:rsid w:val="00651638"/>
    <w:rsid w:val="0065165E"/>
    <w:rsid w:val="00651854"/>
    <w:rsid w:val="00653620"/>
    <w:rsid w:val="00655736"/>
    <w:rsid w:val="00663B8D"/>
    <w:rsid w:val="00664020"/>
    <w:rsid w:val="006722C0"/>
    <w:rsid w:val="00675787"/>
    <w:rsid w:val="00681BA2"/>
    <w:rsid w:val="006965BB"/>
    <w:rsid w:val="006969C9"/>
    <w:rsid w:val="00696A06"/>
    <w:rsid w:val="00696C8D"/>
    <w:rsid w:val="006A2AC2"/>
    <w:rsid w:val="006A3617"/>
    <w:rsid w:val="006A68EB"/>
    <w:rsid w:val="006B1916"/>
    <w:rsid w:val="006C47E4"/>
    <w:rsid w:val="006C776A"/>
    <w:rsid w:val="006D0E9A"/>
    <w:rsid w:val="006D2ECB"/>
    <w:rsid w:val="006D4DB8"/>
    <w:rsid w:val="006D6F42"/>
    <w:rsid w:val="006E3BD5"/>
    <w:rsid w:val="006E46E4"/>
    <w:rsid w:val="006E6FFE"/>
    <w:rsid w:val="006F4F69"/>
    <w:rsid w:val="0070193F"/>
    <w:rsid w:val="00712A5F"/>
    <w:rsid w:val="00713F60"/>
    <w:rsid w:val="00713FCD"/>
    <w:rsid w:val="00720C4C"/>
    <w:rsid w:val="00727819"/>
    <w:rsid w:val="00742CAF"/>
    <w:rsid w:val="007524D6"/>
    <w:rsid w:val="00755D09"/>
    <w:rsid w:val="0076138E"/>
    <w:rsid w:val="00772ABC"/>
    <w:rsid w:val="00780E85"/>
    <w:rsid w:val="007820DD"/>
    <w:rsid w:val="00782804"/>
    <w:rsid w:val="00784B8C"/>
    <w:rsid w:val="007878E7"/>
    <w:rsid w:val="00794F38"/>
    <w:rsid w:val="007958D8"/>
    <w:rsid w:val="007A056A"/>
    <w:rsid w:val="007A0BD0"/>
    <w:rsid w:val="007A2F5F"/>
    <w:rsid w:val="007A4D4E"/>
    <w:rsid w:val="007A709B"/>
    <w:rsid w:val="007B29A6"/>
    <w:rsid w:val="007B6599"/>
    <w:rsid w:val="007B723A"/>
    <w:rsid w:val="007B7524"/>
    <w:rsid w:val="007C464A"/>
    <w:rsid w:val="007C49AF"/>
    <w:rsid w:val="007C7493"/>
    <w:rsid w:val="007D5C2C"/>
    <w:rsid w:val="007E1984"/>
    <w:rsid w:val="007E1B4E"/>
    <w:rsid w:val="007E30D1"/>
    <w:rsid w:val="007F3FBD"/>
    <w:rsid w:val="007F4431"/>
    <w:rsid w:val="007F5F5A"/>
    <w:rsid w:val="00804229"/>
    <w:rsid w:val="00806D0E"/>
    <w:rsid w:val="00806EF5"/>
    <w:rsid w:val="00823A11"/>
    <w:rsid w:val="00833FAF"/>
    <w:rsid w:val="00834541"/>
    <w:rsid w:val="0083509A"/>
    <w:rsid w:val="00835DEC"/>
    <w:rsid w:val="00845791"/>
    <w:rsid w:val="0085372D"/>
    <w:rsid w:val="0085414A"/>
    <w:rsid w:val="0086269D"/>
    <w:rsid w:val="008645BB"/>
    <w:rsid w:val="00871C63"/>
    <w:rsid w:val="008724E5"/>
    <w:rsid w:val="00875B4F"/>
    <w:rsid w:val="00877505"/>
    <w:rsid w:val="0088221E"/>
    <w:rsid w:val="00882B99"/>
    <w:rsid w:val="00884A9D"/>
    <w:rsid w:val="00892802"/>
    <w:rsid w:val="008946B0"/>
    <w:rsid w:val="0089791B"/>
    <w:rsid w:val="00897F1A"/>
    <w:rsid w:val="008A003C"/>
    <w:rsid w:val="008A2B2D"/>
    <w:rsid w:val="008A4E1E"/>
    <w:rsid w:val="008B6199"/>
    <w:rsid w:val="008B7228"/>
    <w:rsid w:val="008C0E0E"/>
    <w:rsid w:val="008C1434"/>
    <w:rsid w:val="008C296C"/>
    <w:rsid w:val="008C7566"/>
    <w:rsid w:val="008D02F6"/>
    <w:rsid w:val="008D0E33"/>
    <w:rsid w:val="008D1050"/>
    <w:rsid w:val="008D4305"/>
    <w:rsid w:val="008E3927"/>
    <w:rsid w:val="008F6E60"/>
    <w:rsid w:val="008F7181"/>
    <w:rsid w:val="008F77C3"/>
    <w:rsid w:val="0090117E"/>
    <w:rsid w:val="009062C4"/>
    <w:rsid w:val="00907F91"/>
    <w:rsid w:val="009112DB"/>
    <w:rsid w:val="00912C07"/>
    <w:rsid w:val="00913C0C"/>
    <w:rsid w:val="009163A7"/>
    <w:rsid w:val="009209A2"/>
    <w:rsid w:val="009252C6"/>
    <w:rsid w:val="00931326"/>
    <w:rsid w:val="00932861"/>
    <w:rsid w:val="009331BB"/>
    <w:rsid w:val="00933E73"/>
    <w:rsid w:val="00937EED"/>
    <w:rsid w:val="00940064"/>
    <w:rsid w:val="00941481"/>
    <w:rsid w:val="009423E4"/>
    <w:rsid w:val="009424FB"/>
    <w:rsid w:val="009428E3"/>
    <w:rsid w:val="00943D6B"/>
    <w:rsid w:val="00944A65"/>
    <w:rsid w:val="00946D0B"/>
    <w:rsid w:val="00947FF3"/>
    <w:rsid w:val="0095175E"/>
    <w:rsid w:val="009530D2"/>
    <w:rsid w:val="00956DAD"/>
    <w:rsid w:val="009602DE"/>
    <w:rsid w:val="00973243"/>
    <w:rsid w:val="00976D8A"/>
    <w:rsid w:val="00985949"/>
    <w:rsid w:val="009878BB"/>
    <w:rsid w:val="009A0AF3"/>
    <w:rsid w:val="009A18CD"/>
    <w:rsid w:val="009B39F5"/>
    <w:rsid w:val="009D7F60"/>
    <w:rsid w:val="009E016F"/>
    <w:rsid w:val="009E029A"/>
    <w:rsid w:val="009E4187"/>
    <w:rsid w:val="00A0450F"/>
    <w:rsid w:val="00A05A5E"/>
    <w:rsid w:val="00A101E2"/>
    <w:rsid w:val="00A12558"/>
    <w:rsid w:val="00A127A1"/>
    <w:rsid w:val="00A13903"/>
    <w:rsid w:val="00A14987"/>
    <w:rsid w:val="00A17024"/>
    <w:rsid w:val="00A21379"/>
    <w:rsid w:val="00A2145F"/>
    <w:rsid w:val="00A22714"/>
    <w:rsid w:val="00A2322E"/>
    <w:rsid w:val="00A30FC8"/>
    <w:rsid w:val="00A34ED5"/>
    <w:rsid w:val="00A413D6"/>
    <w:rsid w:val="00A45DBF"/>
    <w:rsid w:val="00A531B3"/>
    <w:rsid w:val="00A564EF"/>
    <w:rsid w:val="00A62D92"/>
    <w:rsid w:val="00A6427F"/>
    <w:rsid w:val="00A66E3C"/>
    <w:rsid w:val="00A755A2"/>
    <w:rsid w:val="00A8079F"/>
    <w:rsid w:val="00A81AC4"/>
    <w:rsid w:val="00A8740F"/>
    <w:rsid w:val="00A9207B"/>
    <w:rsid w:val="00A95709"/>
    <w:rsid w:val="00AA08DB"/>
    <w:rsid w:val="00AA24E8"/>
    <w:rsid w:val="00AA3B20"/>
    <w:rsid w:val="00AB1B40"/>
    <w:rsid w:val="00AB2917"/>
    <w:rsid w:val="00AB2C36"/>
    <w:rsid w:val="00AB70B6"/>
    <w:rsid w:val="00AB7328"/>
    <w:rsid w:val="00AD150F"/>
    <w:rsid w:val="00AD1A86"/>
    <w:rsid w:val="00AD73E0"/>
    <w:rsid w:val="00AE04C1"/>
    <w:rsid w:val="00AE103E"/>
    <w:rsid w:val="00AE2218"/>
    <w:rsid w:val="00AE53BB"/>
    <w:rsid w:val="00AF0A07"/>
    <w:rsid w:val="00AF4194"/>
    <w:rsid w:val="00AF43A8"/>
    <w:rsid w:val="00AF465D"/>
    <w:rsid w:val="00AF4CAB"/>
    <w:rsid w:val="00AF625E"/>
    <w:rsid w:val="00AF7F67"/>
    <w:rsid w:val="00B2262A"/>
    <w:rsid w:val="00B30918"/>
    <w:rsid w:val="00B3170F"/>
    <w:rsid w:val="00B45817"/>
    <w:rsid w:val="00B47049"/>
    <w:rsid w:val="00B551CC"/>
    <w:rsid w:val="00B72129"/>
    <w:rsid w:val="00B7568A"/>
    <w:rsid w:val="00B76143"/>
    <w:rsid w:val="00B805BB"/>
    <w:rsid w:val="00B82326"/>
    <w:rsid w:val="00B82400"/>
    <w:rsid w:val="00B874E5"/>
    <w:rsid w:val="00B905E3"/>
    <w:rsid w:val="00B91DBB"/>
    <w:rsid w:val="00B93724"/>
    <w:rsid w:val="00B93DB8"/>
    <w:rsid w:val="00B95319"/>
    <w:rsid w:val="00B963DA"/>
    <w:rsid w:val="00BA2AC6"/>
    <w:rsid w:val="00BA3FAA"/>
    <w:rsid w:val="00BB04AF"/>
    <w:rsid w:val="00BB0E31"/>
    <w:rsid w:val="00BB1E8F"/>
    <w:rsid w:val="00BC008F"/>
    <w:rsid w:val="00BC0C81"/>
    <w:rsid w:val="00BC16F0"/>
    <w:rsid w:val="00BC3A2A"/>
    <w:rsid w:val="00BC4625"/>
    <w:rsid w:val="00BD1120"/>
    <w:rsid w:val="00BD52C9"/>
    <w:rsid w:val="00BE015F"/>
    <w:rsid w:val="00BE612F"/>
    <w:rsid w:val="00BE6354"/>
    <w:rsid w:val="00BE75A2"/>
    <w:rsid w:val="00BF026F"/>
    <w:rsid w:val="00BF0B3E"/>
    <w:rsid w:val="00BF6CB7"/>
    <w:rsid w:val="00BF7FEC"/>
    <w:rsid w:val="00C00067"/>
    <w:rsid w:val="00C02BE4"/>
    <w:rsid w:val="00C05529"/>
    <w:rsid w:val="00C06956"/>
    <w:rsid w:val="00C1687E"/>
    <w:rsid w:val="00C22A48"/>
    <w:rsid w:val="00C23D8A"/>
    <w:rsid w:val="00C35FCA"/>
    <w:rsid w:val="00C367F0"/>
    <w:rsid w:val="00C4551B"/>
    <w:rsid w:val="00C47341"/>
    <w:rsid w:val="00C47465"/>
    <w:rsid w:val="00C47467"/>
    <w:rsid w:val="00C47EF1"/>
    <w:rsid w:val="00C51A35"/>
    <w:rsid w:val="00C54D95"/>
    <w:rsid w:val="00C56139"/>
    <w:rsid w:val="00C56C1B"/>
    <w:rsid w:val="00C57855"/>
    <w:rsid w:val="00C61079"/>
    <w:rsid w:val="00C62ECB"/>
    <w:rsid w:val="00C63B72"/>
    <w:rsid w:val="00C66C8A"/>
    <w:rsid w:val="00C67F85"/>
    <w:rsid w:val="00C7096E"/>
    <w:rsid w:val="00C70EA7"/>
    <w:rsid w:val="00C7516E"/>
    <w:rsid w:val="00C75714"/>
    <w:rsid w:val="00C75770"/>
    <w:rsid w:val="00C87B13"/>
    <w:rsid w:val="00C90353"/>
    <w:rsid w:val="00C9265A"/>
    <w:rsid w:val="00C97497"/>
    <w:rsid w:val="00CA074F"/>
    <w:rsid w:val="00CA3493"/>
    <w:rsid w:val="00CA58B7"/>
    <w:rsid w:val="00CB001D"/>
    <w:rsid w:val="00CB2129"/>
    <w:rsid w:val="00CB3F33"/>
    <w:rsid w:val="00CB432C"/>
    <w:rsid w:val="00CC2835"/>
    <w:rsid w:val="00CC29D5"/>
    <w:rsid w:val="00CE2393"/>
    <w:rsid w:val="00CF0223"/>
    <w:rsid w:val="00CF1A85"/>
    <w:rsid w:val="00CF3624"/>
    <w:rsid w:val="00D0054A"/>
    <w:rsid w:val="00D22360"/>
    <w:rsid w:val="00D24877"/>
    <w:rsid w:val="00D267EF"/>
    <w:rsid w:val="00D26CB1"/>
    <w:rsid w:val="00D27902"/>
    <w:rsid w:val="00D337C0"/>
    <w:rsid w:val="00D40BBD"/>
    <w:rsid w:val="00D4635E"/>
    <w:rsid w:val="00D511D1"/>
    <w:rsid w:val="00D52CEB"/>
    <w:rsid w:val="00D54314"/>
    <w:rsid w:val="00D5771C"/>
    <w:rsid w:val="00D61987"/>
    <w:rsid w:val="00D643F3"/>
    <w:rsid w:val="00D652DF"/>
    <w:rsid w:val="00D66D2F"/>
    <w:rsid w:val="00D6790F"/>
    <w:rsid w:val="00D70513"/>
    <w:rsid w:val="00D725C0"/>
    <w:rsid w:val="00D814C0"/>
    <w:rsid w:val="00D8542F"/>
    <w:rsid w:val="00D902A3"/>
    <w:rsid w:val="00D952F0"/>
    <w:rsid w:val="00D95C4C"/>
    <w:rsid w:val="00D95DC2"/>
    <w:rsid w:val="00D9791F"/>
    <w:rsid w:val="00DA0824"/>
    <w:rsid w:val="00DA12D3"/>
    <w:rsid w:val="00DA2103"/>
    <w:rsid w:val="00DA32DC"/>
    <w:rsid w:val="00DA36ED"/>
    <w:rsid w:val="00DA7B42"/>
    <w:rsid w:val="00DB035C"/>
    <w:rsid w:val="00DB1009"/>
    <w:rsid w:val="00DC58ED"/>
    <w:rsid w:val="00DD2687"/>
    <w:rsid w:val="00DD3915"/>
    <w:rsid w:val="00DE34F1"/>
    <w:rsid w:val="00DE6F6D"/>
    <w:rsid w:val="00DE7542"/>
    <w:rsid w:val="00DF4942"/>
    <w:rsid w:val="00DF4BE7"/>
    <w:rsid w:val="00DF5A62"/>
    <w:rsid w:val="00E01710"/>
    <w:rsid w:val="00E04383"/>
    <w:rsid w:val="00E06D08"/>
    <w:rsid w:val="00E23A16"/>
    <w:rsid w:val="00E32B27"/>
    <w:rsid w:val="00E34AE1"/>
    <w:rsid w:val="00E360D6"/>
    <w:rsid w:val="00E50356"/>
    <w:rsid w:val="00E521ED"/>
    <w:rsid w:val="00E55997"/>
    <w:rsid w:val="00E56CC3"/>
    <w:rsid w:val="00E56CDD"/>
    <w:rsid w:val="00E612DE"/>
    <w:rsid w:val="00E613B2"/>
    <w:rsid w:val="00E627B1"/>
    <w:rsid w:val="00E65326"/>
    <w:rsid w:val="00E670FA"/>
    <w:rsid w:val="00E75598"/>
    <w:rsid w:val="00E77FE9"/>
    <w:rsid w:val="00E838E1"/>
    <w:rsid w:val="00E85423"/>
    <w:rsid w:val="00E87955"/>
    <w:rsid w:val="00E9376C"/>
    <w:rsid w:val="00E949AD"/>
    <w:rsid w:val="00EA06BF"/>
    <w:rsid w:val="00EA2EF2"/>
    <w:rsid w:val="00EA335E"/>
    <w:rsid w:val="00EB1C01"/>
    <w:rsid w:val="00EB6E01"/>
    <w:rsid w:val="00EC124C"/>
    <w:rsid w:val="00EC2A3A"/>
    <w:rsid w:val="00EC34F7"/>
    <w:rsid w:val="00EC4295"/>
    <w:rsid w:val="00ED08D7"/>
    <w:rsid w:val="00ED2D67"/>
    <w:rsid w:val="00ED4D28"/>
    <w:rsid w:val="00ED748B"/>
    <w:rsid w:val="00EE1E6F"/>
    <w:rsid w:val="00EF290B"/>
    <w:rsid w:val="00EF354B"/>
    <w:rsid w:val="00F03794"/>
    <w:rsid w:val="00F041A7"/>
    <w:rsid w:val="00F10188"/>
    <w:rsid w:val="00F132A5"/>
    <w:rsid w:val="00F215CD"/>
    <w:rsid w:val="00F2278E"/>
    <w:rsid w:val="00F23AFC"/>
    <w:rsid w:val="00F309BB"/>
    <w:rsid w:val="00F34E21"/>
    <w:rsid w:val="00F450FA"/>
    <w:rsid w:val="00F56438"/>
    <w:rsid w:val="00F56A47"/>
    <w:rsid w:val="00F5738D"/>
    <w:rsid w:val="00F576CB"/>
    <w:rsid w:val="00F62AED"/>
    <w:rsid w:val="00F7614A"/>
    <w:rsid w:val="00F77087"/>
    <w:rsid w:val="00F9279F"/>
    <w:rsid w:val="00F9441E"/>
    <w:rsid w:val="00FA01AE"/>
    <w:rsid w:val="00FA0EC6"/>
    <w:rsid w:val="00FA5C8B"/>
    <w:rsid w:val="00FB7D7A"/>
    <w:rsid w:val="00FC4077"/>
    <w:rsid w:val="00FC4CCB"/>
    <w:rsid w:val="00FC571C"/>
    <w:rsid w:val="00FD1226"/>
    <w:rsid w:val="00FD4941"/>
    <w:rsid w:val="00FD510F"/>
    <w:rsid w:val="00FD6C63"/>
    <w:rsid w:val="00FE02D0"/>
    <w:rsid w:val="00FE27CD"/>
    <w:rsid w:val="00FE5896"/>
    <w:rsid w:val="00FF017C"/>
    <w:rsid w:val="00FF259D"/>
    <w:rsid w:val="00FF273E"/>
    <w:rsid w:val="00FF4745"/>
    <w:rsid w:val="00FF60D2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866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E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1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17A92"/>
    <w:rPr>
      <w:rFonts w:ascii="Times New Roman" w:eastAsia="Times New Roman" w:hAnsi="Times New Roman"/>
      <w:sz w:val="24"/>
      <w:szCs w:val="24"/>
    </w:rPr>
  </w:style>
  <w:style w:type="paragraph" w:customStyle="1" w:styleId="GAPreambulaResolution">
    <w:name w:val="GA Preambula Resolution"/>
    <w:basedOn w:val="Normal"/>
    <w:qFormat/>
    <w:rsid w:val="00AE2218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AE2218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Para">
    <w:name w:val="Para"/>
    <w:basedOn w:val="Normal"/>
    <w:link w:val="ParaChar"/>
    <w:uiPriority w:val="99"/>
    <w:qFormat/>
    <w:rsid w:val="00AE2218"/>
    <w:pPr>
      <w:numPr>
        <w:numId w:val="3"/>
      </w:numPr>
      <w:spacing w:after="120" w:line="240" w:lineRule="exact"/>
      <w:jc w:val="both"/>
    </w:pPr>
    <w:rPr>
      <w:rFonts w:ascii="Arial" w:eastAsia="SimSun" w:hAnsi="Arial"/>
      <w:snapToGrid w:val="0"/>
      <w:sz w:val="22"/>
      <w:szCs w:val="22"/>
      <w:lang w:val="en-GB" w:eastAsia="zh-CN"/>
    </w:rPr>
  </w:style>
  <w:style w:type="character" w:customStyle="1" w:styleId="ParaChar">
    <w:name w:val="Para Char"/>
    <w:link w:val="Para"/>
    <w:uiPriority w:val="99"/>
    <w:rsid w:val="00AE2218"/>
    <w:rPr>
      <w:rFonts w:ascii="Arial" w:hAnsi="Arial"/>
      <w:snapToGrid w:val="0"/>
      <w:sz w:val="22"/>
      <w:szCs w:val="22"/>
      <w:lang w:val="en-GB" w:eastAsia="zh-CN"/>
    </w:rPr>
  </w:style>
  <w:style w:type="paragraph" w:customStyle="1" w:styleId="GAPara">
    <w:name w:val="GA Para"/>
    <w:qFormat/>
    <w:rsid w:val="00AE2218"/>
    <w:pPr>
      <w:spacing w:after="120"/>
      <w:ind w:left="567" w:hanging="567"/>
      <w:jc w:val="both"/>
    </w:pPr>
    <w:rPr>
      <w:rFonts w:ascii="Arial" w:hAnsi="Arial"/>
      <w:sz w:val="22"/>
      <w:szCs w:val="22"/>
      <w:lang w:val="en-GB"/>
    </w:rPr>
  </w:style>
  <w:style w:type="paragraph" w:customStyle="1" w:styleId="GATitleResolution">
    <w:name w:val="GA Title Resolution"/>
    <w:basedOn w:val="Normal"/>
    <w:qFormat/>
    <w:rsid w:val="00AE2218"/>
    <w:pPr>
      <w:keepNext/>
      <w:spacing w:before="240" w:after="120"/>
      <w:ind w:left="567"/>
      <w:jc w:val="both"/>
    </w:pPr>
    <w:rPr>
      <w:rFonts w:ascii="Arial" w:eastAsia="SimSun" w:hAnsi="Arial"/>
      <w:b/>
      <w:snapToGrid w:val="0"/>
      <w:sz w:val="22"/>
      <w:szCs w:val="22"/>
      <w:lang w:val="en-GB"/>
    </w:rPr>
  </w:style>
  <w:style w:type="character" w:styleId="Hyperlink">
    <w:name w:val="Hyperlink"/>
    <w:aliases w:val="Car Car3 Char,Car Car3 Char Char Char Char, Car Car3 Char, Car Car3 Char Char Char Char"/>
    <w:link w:val="CarCar3"/>
    <w:rsid w:val="00AE2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218"/>
    <w:pPr>
      <w:ind w:left="720"/>
      <w:contextualSpacing/>
    </w:pPr>
    <w:rPr>
      <w:rFonts w:ascii="Calibri" w:eastAsia="SimSun" w:hAnsi="Calibri"/>
      <w:snapToGrid w:val="0"/>
    </w:rPr>
  </w:style>
  <w:style w:type="character" w:styleId="Strong">
    <w:name w:val="Strong"/>
    <w:uiPriority w:val="22"/>
    <w:qFormat/>
    <w:rsid w:val="00AE2218"/>
    <w:rPr>
      <w:b/>
    </w:rPr>
  </w:style>
  <w:style w:type="paragraph" w:customStyle="1" w:styleId="I1">
    <w:name w:val="I.1"/>
    <w:basedOn w:val="Normal"/>
    <w:qFormat/>
    <w:rsid w:val="00AE2218"/>
    <w:pPr>
      <w:keepNext/>
      <w:widowControl w:val="0"/>
      <w:tabs>
        <w:tab w:val="left" w:pos="567"/>
      </w:tabs>
      <w:autoSpaceDE w:val="0"/>
      <w:autoSpaceDN w:val="0"/>
      <w:adjustRightInd w:val="0"/>
      <w:spacing w:before="240" w:after="120"/>
      <w:ind w:left="567" w:hanging="567"/>
    </w:pPr>
    <w:rPr>
      <w:rFonts w:ascii="Arial" w:eastAsia="SimSun" w:hAnsi="Arial"/>
      <w:snapToGrid w:val="0"/>
      <w:spacing w:val="-12"/>
      <w:sz w:val="22"/>
      <w:szCs w:val="22"/>
      <w:lang w:val="en-US"/>
    </w:rPr>
  </w:style>
  <w:style w:type="paragraph" w:customStyle="1" w:styleId="1">
    <w:name w:val="1."/>
    <w:basedOn w:val="Normal"/>
    <w:qFormat/>
    <w:rsid w:val="00AE2218"/>
    <w:pPr>
      <w:widowControl w:val="0"/>
      <w:tabs>
        <w:tab w:val="left" w:pos="1134"/>
      </w:tabs>
      <w:autoSpaceDE w:val="0"/>
      <w:autoSpaceDN w:val="0"/>
      <w:adjustRightInd w:val="0"/>
      <w:spacing w:after="120"/>
      <w:ind w:left="1134" w:hanging="567"/>
    </w:pPr>
    <w:rPr>
      <w:rFonts w:ascii="Arial" w:eastAsia="SimSun" w:hAnsi="Arial"/>
      <w:snapToGrid w:val="0"/>
      <w:w w:val="96"/>
      <w:sz w:val="22"/>
      <w:szCs w:val="22"/>
      <w:lang w:val="en-US"/>
    </w:rPr>
  </w:style>
  <w:style w:type="paragraph" w:customStyle="1" w:styleId="U1">
    <w:name w:val="U.1"/>
    <w:basedOn w:val="Normal"/>
    <w:qFormat/>
    <w:rsid w:val="00AE2218"/>
    <w:pPr>
      <w:widowControl w:val="0"/>
      <w:tabs>
        <w:tab w:val="left" w:pos="1701"/>
      </w:tabs>
      <w:autoSpaceDE w:val="0"/>
      <w:autoSpaceDN w:val="0"/>
      <w:adjustRightInd w:val="0"/>
      <w:spacing w:after="120"/>
      <w:ind w:left="1701" w:hanging="567"/>
    </w:pPr>
    <w:rPr>
      <w:rFonts w:ascii="Arial" w:eastAsia="SimSun" w:hAnsi="Arial"/>
      <w:snapToGrid w:val="0"/>
      <w:sz w:val="22"/>
      <w:szCs w:val="22"/>
      <w:lang w:val="en-US"/>
    </w:rPr>
  </w:style>
  <w:style w:type="paragraph" w:customStyle="1" w:styleId="ChapitreI1">
    <w:name w:val="Chapitre I.1"/>
    <w:basedOn w:val="Normal"/>
    <w:rsid w:val="00AE2218"/>
    <w:pPr>
      <w:keepNext/>
      <w:keepLines/>
      <w:spacing w:before="240"/>
    </w:pPr>
    <w:rPr>
      <w:rFonts w:ascii="Arial" w:eastAsia="SimSun" w:hAnsi="Arial"/>
      <w:b/>
      <w:snapToGrid w:val="0"/>
      <w:sz w:val="22"/>
    </w:rPr>
  </w:style>
  <w:style w:type="paragraph" w:customStyle="1" w:styleId="dates">
    <w:name w:val="dates"/>
    <w:basedOn w:val="U1"/>
    <w:qFormat/>
    <w:rsid w:val="00AE2218"/>
    <w:pPr>
      <w:tabs>
        <w:tab w:val="clear" w:pos="1701"/>
        <w:tab w:val="left" w:pos="2268"/>
      </w:tabs>
      <w:ind w:left="2268" w:hanging="1134"/>
    </w:pPr>
    <w:rPr>
      <w:w w:val="90"/>
    </w:rPr>
  </w:style>
  <w:style w:type="paragraph" w:customStyle="1" w:styleId="ChapitreI11">
    <w:name w:val="Chapitre I.1.1"/>
    <w:basedOn w:val="Normal"/>
    <w:rsid w:val="00AE2218"/>
    <w:pPr>
      <w:keepNext/>
      <w:keepLines/>
      <w:numPr>
        <w:numId w:val="4"/>
      </w:numPr>
      <w:spacing w:before="120"/>
    </w:pPr>
    <w:rPr>
      <w:rFonts w:ascii="Arial" w:eastAsia="SimSun" w:hAnsi="Arial"/>
      <w:bCs/>
      <w:snapToGrid w:val="0"/>
      <w:sz w:val="22"/>
    </w:rPr>
  </w:style>
  <w:style w:type="paragraph" w:customStyle="1" w:styleId="ChaitreI111">
    <w:name w:val="Chaitre I.1.1.1"/>
    <w:basedOn w:val="Normal"/>
    <w:rsid w:val="00AE2218"/>
    <w:pPr>
      <w:keepNext/>
    </w:pPr>
    <w:rPr>
      <w:rFonts w:ascii="Arial" w:eastAsia="SimSun" w:hAnsi="Arial"/>
      <w:bCs/>
      <w:i/>
      <w:iCs/>
      <w:snapToGrid w:val="0"/>
      <w:sz w:val="22"/>
      <w:szCs w:val="22"/>
    </w:rPr>
  </w:style>
  <w:style w:type="paragraph" w:customStyle="1" w:styleId="numrationa">
    <w:name w:val="énumération (a)"/>
    <w:basedOn w:val="Normal"/>
    <w:rsid w:val="00AE2218"/>
    <w:pPr>
      <w:spacing w:before="120"/>
      <w:ind w:left="360" w:hanging="360"/>
      <w:jc w:val="both"/>
    </w:pPr>
    <w:rPr>
      <w:rFonts w:ascii="Arial" w:eastAsia="SimSun" w:hAnsi="Arial"/>
      <w:snapToGrid w:val="0"/>
      <w:sz w:val="22"/>
      <w:szCs w:val="22"/>
    </w:rPr>
  </w:style>
  <w:style w:type="character" w:customStyle="1" w:styleId="tw4winMark">
    <w:name w:val="tw4winMark"/>
    <w:uiPriority w:val="99"/>
    <w:rsid w:val="00AE221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E2218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E2218"/>
    <w:rPr>
      <w:color w:val="0000FF"/>
    </w:rPr>
  </w:style>
  <w:style w:type="character" w:customStyle="1" w:styleId="tw4winPopup">
    <w:name w:val="tw4winPopup"/>
    <w:uiPriority w:val="99"/>
    <w:rsid w:val="00AE2218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E2218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E2218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E2218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E2218"/>
    <w:rPr>
      <w:rFonts w:ascii="Courier New" w:hAnsi="Courier New"/>
      <w:noProof/>
      <w:color w:val="800000"/>
    </w:rPr>
  </w:style>
  <w:style w:type="numbering" w:customStyle="1" w:styleId="Aucuneliste1">
    <w:name w:val="Aucune liste1"/>
    <w:next w:val="NoList"/>
    <w:uiPriority w:val="99"/>
    <w:semiHidden/>
    <w:unhideWhenUsed/>
    <w:rsid w:val="00AE2218"/>
  </w:style>
  <w:style w:type="paragraph" w:customStyle="1" w:styleId="ColorfulList-Accent110">
    <w:name w:val="Colorful List - Accent 11"/>
    <w:basedOn w:val="Normal"/>
    <w:uiPriority w:val="34"/>
    <w:rsid w:val="00AE2218"/>
    <w:pPr>
      <w:ind w:left="720"/>
      <w:contextualSpacing/>
    </w:pPr>
  </w:style>
  <w:style w:type="paragraph" w:customStyle="1" w:styleId="CarCar3">
    <w:name w:val="Car Car3"/>
    <w:aliases w:val=" Car Car3 Char Char,Car Car3 Char Char"/>
    <w:basedOn w:val="Normal"/>
    <w:link w:val="Hyperlink"/>
    <w:uiPriority w:val="99"/>
    <w:rsid w:val="00AE2218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</w:rPr>
  </w:style>
  <w:style w:type="character" w:customStyle="1" w:styleId="Lienhypertextesuivivisit1">
    <w:name w:val="Lien hypertexte suivi visité1"/>
    <w:uiPriority w:val="99"/>
    <w:semiHidden/>
    <w:unhideWhenUsed/>
    <w:rsid w:val="00AE2218"/>
    <w:rPr>
      <w:color w:val="954F72"/>
      <w:u w:val="single"/>
    </w:rPr>
  </w:style>
  <w:style w:type="character" w:styleId="FollowedHyperlink">
    <w:name w:val="FollowedHyperlink"/>
    <w:uiPriority w:val="99"/>
    <w:semiHidden/>
    <w:unhideWhenUsed/>
    <w:rsid w:val="00AE2218"/>
    <w:rPr>
      <w:color w:val="800080"/>
      <w:u w:val="single"/>
    </w:rPr>
  </w:style>
  <w:style w:type="character" w:customStyle="1" w:styleId="highlightedsentence1">
    <w:name w:val="highlightedsentence1"/>
    <w:rsid w:val="00AE2218"/>
    <w:rPr>
      <w:rFonts w:ascii="Arial" w:hAnsi="Arial" w:cs="Arial" w:hint="default"/>
      <w:color w:val="FF0000"/>
      <w:sz w:val="22"/>
      <w:szCs w:val="22"/>
      <w:shd w:val="clear" w:color="auto" w:fill="FFFF00"/>
    </w:rPr>
  </w:style>
  <w:style w:type="character" w:styleId="CommentReference">
    <w:name w:val="annotation reference"/>
    <w:uiPriority w:val="99"/>
    <w:semiHidden/>
    <w:unhideWhenUsed/>
    <w:rsid w:val="00AE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18"/>
    <w:rPr>
      <w:rFonts w:ascii="Calibri" w:eastAsia="SimSun" w:hAnsi="Calibri"/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221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2218"/>
    <w:rPr>
      <w:b/>
      <w:bCs/>
      <w:snapToGrid w:val="0"/>
    </w:rPr>
  </w:style>
  <w:style w:type="character" w:customStyle="1" w:styleId="FootnoteTextChar">
    <w:name w:val="Footnote Text Char"/>
    <w:link w:val="FootnoteText"/>
    <w:uiPriority w:val="99"/>
    <w:rsid w:val="00AE2218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AE2218"/>
    <w:rPr>
      <w:rFonts w:ascii="Calibri" w:hAnsi="Calibri"/>
      <w:sz w:val="20"/>
      <w:szCs w:val="20"/>
    </w:rPr>
  </w:style>
  <w:style w:type="character" w:customStyle="1" w:styleId="FootnoteTextChar1">
    <w:name w:val="Footnote Text Char1"/>
    <w:uiPriority w:val="99"/>
    <w:semiHidden/>
    <w:rsid w:val="00AE2218"/>
    <w:rPr>
      <w:rFonts w:ascii="Times New Roman" w:eastAsia="Times New Roman" w:hAnsi="Times New Roman"/>
    </w:rPr>
  </w:style>
  <w:style w:type="paragraph" w:customStyle="1" w:styleId="a">
    <w:name w:val="Параграф ОР"/>
    <w:basedOn w:val="Normal"/>
    <w:link w:val="Char"/>
    <w:qFormat/>
    <w:rsid w:val="00AE2218"/>
    <w:pPr>
      <w:spacing w:after="200" w:line="276" w:lineRule="auto"/>
      <w:ind w:left="1134" w:hanging="414"/>
    </w:pPr>
    <w:rPr>
      <w:rFonts w:ascii="Arial" w:hAnsi="Arial" w:cs="Arial"/>
      <w:sz w:val="22"/>
      <w:szCs w:val="22"/>
    </w:rPr>
  </w:style>
  <w:style w:type="character" w:customStyle="1" w:styleId="Char">
    <w:name w:val="Параграф ОР Char"/>
    <w:link w:val="a"/>
    <w:rsid w:val="00AE2218"/>
    <w:rPr>
      <w:rFonts w:ascii="Arial" w:eastAsia="Times New Roman" w:hAnsi="Arial" w:cs="Arial"/>
      <w:sz w:val="22"/>
      <w:szCs w:val="22"/>
    </w:rPr>
  </w:style>
  <w:style w:type="paragraph" w:customStyle="1" w:styleId="-">
    <w:name w:val="Под-параграф"/>
    <w:basedOn w:val="Normal"/>
    <w:link w:val="-Char"/>
    <w:qFormat/>
    <w:rsid w:val="00AE2218"/>
    <w:pPr>
      <w:spacing w:after="200" w:line="276" w:lineRule="auto"/>
      <w:ind w:left="1560" w:hanging="426"/>
    </w:pPr>
    <w:rPr>
      <w:rFonts w:ascii="Arial" w:hAnsi="Arial" w:cs="Arial"/>
      <w:sz w:val="22"/>
      <w:szCs w:val="22"/>
      <w:lang w:val="ru-RU"/>
    </w:rPr>
  </w:style>
  <w:style w:type="character" w:customStyle="1" w:styleId="-Char">
    <w:name w:val="Под-параграф Char"/>
    <w:link w:val="-"/>
    <w:rsid w:val="00AE2218"/>
    <w:rPr>
      <w:rFonts w:ascii="Arial" w:eastAsia="Times New Roman" w:hAnsi="Arial" w:cs="Arial"/>
      <w:sz w:val="22"/>
      <w:szCs w:val="22"/>
      <w:lang w:val="ru-RU"/>
    </w:rPr>
  </w:style>
  <w:style w:type="paragraph" w:customStyle="1" w:styleId="123456">
    <w:name w:val="123456"/>
    <w:basedOn w:val="Normal"/>
    <w:link w:val="123456Char"/>
    <w:qFormat/>
    <w:rsid w:val="00AE2218"/>
    <w:pPr>
      <w:widowControl w:val="0"/>
      <w:tabs>
        <w:tab w:val="left" w:pos="1701"/>
        <w:tab w:val="right" w:pos="9639"/>
      </w:tabs>
      <w:autoSpaceDE w:val="0"/>
      <w:autoSpaceDN w:val="0"/>
      <w:adjustRightInd w:val="0"/>
      <w:spacing w:before="240" w:after="120"/>
      <w:ind w:left="1701" w:hanging="567"/>
    </w:pPr>
    <w:rPr>
      <w:rFonts w:ascii="Arial" w:hAnsi="Arial" w:cs="Arial"/>
      <w:sz w:val="22"/>
      <w:szCs w:val="22"/>
      <w:lang w:val="ru-RU"/>
    </w:rPr>
  </w:style>
  <w:style w:type="character" w:customStyle="1" w:styleId="123456Char">
    <w:name w:val="123456 Char"/>
    <w:link w:val="123456"/>
    <w:rsid w:val="00AE2218"/>
    <w:rPr>
      <w:rFonts w:ascii="Arial" w:eastAsia="Times New Roman" w:hAnsi="Arial" w:cs="Arial"/>
      <w:sz w:val="22"/>
      <w:szCs w:val="22"/>
      <w:lang w:val="ru-RU"/>
    </w:rPr>
  </w:style>
  <w:style w:type="paragraph" w:customStyle="1" w:styleId="ListParagraph1">
    <w:name w:val="List Paragraph1"/>
    <w:basedOn w:val="Normal"/>
    <w:rsid w:val="00AE2218"/>
    <w:pPr>
      <w:ind w:left="720"/>
      <w:contextualSpacing/>
    </w:pPr>
    <w:rPr>
      <w:rFonts w:eastAsia="SimSun"/>
    </w:rPr>
  </w:style>
  <w:style w:type="paragraph" w:customStyle="1" w:styleId="II1">
    <w:name w:val="I.I.1"/>
    <w:basedOn w:val="Normal"/>
    <w:autoRedefine/>
    <w:qFormat/>
    <w:rsid w:val="00AE2218"/>
    <w:pPr>
      <w:widowControl w:val="0"/>
      <w:tabs>
        <w:tab w:val="left" w:pos="1560"/>
      </w:tabs>
      <w:autoSpaceDE w:val="0"/>
      <w:autoSpaceDN w:val="0"/>
      <w:adjustRightInd w:val="0"/>
      <w:spacing w:after="120"/>
    </w:pPr>
    <w:rPr>
      <w:rFonts w:ascii="Arial" w:hAnsi="Arial" w:cs="Arial"/>
      <w:w w:val="95"/>
      <w:sz w:val="22"/>
      <w:szCs w:val="22"/>
      <w:lang w:val="en-US"/>
    </w:rPr>
  </w:style>
  <w:style w:type="paragraph" w:customStyle="1" w:styleId="i">
    <w:name w:val="(i)"/>
    <w:basedOn w:val="Normal"/>
    <w:link w:val="iChar"/>
    <w:autoRedefine/>
    <w:qFormat/>
    <w:rsid w:val="001125A4"/>
    <w:pPr>
      <w:tabs>
        <w:tab w:val="left" w:pos="248"/>
      </w:tabs>
      <w:autoSpaceDE w:val="0"/>
      <w:autoSpaceDN w:val="0"/>
      <w:adjustRightInd w:val="0"/>
      <w:spacing w:before="120" w:after="120"/>
      <w:ind w:left="851" w:right="284" w:hanging="567"/>
    </w:pPr>
    <w:rPr>
      <w:rFonts w:ascii="Arial" w:hAnsi="Arial" w:cs="Arial"/>
      <w:w w:val="90"/>
      <w:sz w:val="22"/>
      <w:szCs w:val="22"/>
      <w:lang w:val="en-US"/>
    </w:rPr>
  </w:style>
  <w:style w:type="paragraph" w:customStyle="1" w:styleId="5GAPreambulaResolution">
    <w:name w:val="5GA Preambula Resolution"/>
    <w:basedOn w:val="Normal"/>
    <w:qFormat/>
    <w:rsid w:val="00AE2218"/>
    <w:pPr>
      <w:keepNext/>
      <w:spacing w:after="120"/>
      <w:ind w:left="567"/>
      <w:jc w:val="both"/>
    </w:pPr>
    <w:rPr>
      <w:rFonts w:ascii="Arial" w:eastAsia="SimSun" w:hAnsi="Arial" w:cs="Arial"/>
      <w:snapToGrid w:val="0"/>
      <w:sz w:val="22"/>
      <w:szCs w:val="22"/>
      <w:lang w:val="en-GB" w:eastAsia="zh-CN"/>
    </w:rPr>
  </w:style>
  <w:style w:type="paragraph" w:customStyle="1" w:styleId="5GAParaResolution">
    <w:name w:val="5GA Para Resolution"/>
    <w:basedOn w:val="Normal"/>
    <w:qFormat/>
    <w:rsid w:val="00AE2218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napToGrid w:val="0"/>
      <w:sz w:val="22"/>
      <w:szCs w:val="22"/>
      <w:lang w:val="en-GB" w:eastAsia="zh-CN"/>
    </w:rPr>
  </w:style>
  <w:style w:type="paragraph" w:customStyle="1" w:styleId="c">
    <w:name w:val="(c)"/>
    <w:basedOn w:val="Normal"/>
    <w:rsid w:val="00407227"/>
    <w:pPr>
      <w:tabs>
        <w:tab w:val="left" w:pos="1701"/>
      </w:tabs>
      <w:spacing w:after="240"/>
      <w:ind w:left="1701" w:hanging="567"/>
      <w:jc w:val="both"/>
    </w:pPr>
    <w:rPr>
      <w:rFonts w:ascii="Arial" w:eastAsia="SimSun" w:hAnsi="Arial"/>
      <w:snapToGrid w:val="0"/>
      <w:lang w:val="en-US" w:eastAsia="zh-CN"/>
    </w:rPr>
  </w:style>
  <w:style w:type="paragraph" w:customStyle="1" w:styleId="alina">
    <w:name w:val="alin?a"/>
    <w:basedOn w:val="Normal"/>
    <w:rsid w:val="00407227"/>
    <w:pPr>
      <w:spacing w:after="240"/>
      <w:ind w:left="567"/>
      <w:jc w:val="both"/>
    </w:pPr>
    <w:rPr>
      <w:rFonts w:ascii="Arial" w:eastAsia="SimSun" w:hAnsi="Arial"/>
      <w:lang w:val="en-US" w:eastAsia="zh-CN"/>
    </w:rPr>
  </w:style>
  <w:style w:type="paragraph" w:customStyle="1" w:styleId="COMPara">
    <w:name w:val="COM Para"/>
    <w:qFormat/>
    <w:rsid w:val="003915DB"/>
    <w:pPr>
      <w:spacing w:after="120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FootnoteReference">
    <w:name w:val="footnote reference"/>
    <w:uiPriority w:val="99"/>
    <w:unhideWhenUsed/>
    <w:rsid w:val="00C47465"/>
    <w:rPr>
      <w:vertAlign w:val="superscript"/>
    </w:rPr>
  </w:style>
  <w:style w:type="character" w:customStyle="1" w:styleId="iChar">
    <w:name w:val="(i) Char"/>
    <w:link w:val="i"/>
    <w:locked/>
    <w:rsid w:val="001125A4"/>
    <w:rPr>
      <w:rFonts w:ascii="Arial" w:eastAsia="Times New Roman" w:hAnsi="Arial" w:cs="Arial"/>
      <w:w w:val="90"/>
      <w:sz w:val="22"/>
      <w:szCs w:val="22"/>
      <w:lang w:val="en-US"/>
    </w:rPr>
  </w:style>
  <w:style w:type="paragraph" w:customStyle="1" w:styleId="COMParaDecision">
    <w:name w:val="COM Para Decision"/>
    <w:basedOn w:val="Normal"/>
    <w:qFormat/>
    <w:rsid w:val="00C47465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customStyle="1" w:styleId="st1">
    <w:name w:val="st1"/>
    <w:rsid w:val="00C47465"/>
  </w:style>
  <w:style w:type="paragraph" w:customStyle="1" w:styleId="5GAparabodytext">
    <w:name w:val="5GA para body text"/>
    <w:qFormat/>
    <w:rsid w:val="00C47465"/>
    <w:pPr>
      <w:keepNext/>
      <w:spacing w:after="120" w:line="360" w:lineRule="auto"/>
      <w:ind w:left="720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5GATitleResolution">
    <w:name w:val="5GA Title Resolution"/>
    <w:basedOn w:val="Normal"/>
    <w:qFormat/>
    <w:rsid w:val="00C47465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alina0">
    <w:name w:val="alinéa"/>
    <w:basedOn w:val="Normal"/>
    <w:rsid w:val="00C47465"/>
    <w:pPr>
      <w:snapToGrid w:val="0"/>
      <w:spacing w:after="240"/>
      <w:ind w:left="567"/>
      <w:jc w:val="both"/>
    </w:pPr>
    <w:rPr>
      <w:rFonts w:ascii="Arial" w:hAnsi="Arial"/>
      <w:lang w:val="en-US"/>
    </w:rPr>
  </w:style>
  <w:style w:type="paragraph" w:customStyle="1" w:styleId="COMTitleDecision">
    <w:name w:val="COM Title Decision"/>
    <w:basedOn w:val="Normal"/>
    <w:qFormat/>
    <w:rsid w:val="00CA3493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CA3493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CA3493"/>
    <w:rPr>
      <w:i/>
      <w:iCs/>
    </w:rPr>
  </w:style>
  <w:style w:type="character" w:customStyle="1" w:styleId="hps">
    <w:name w:val="hps"/>
    <w:rsid w:val="00CA3493"/>
  </w:style>
  <w:style w:type="character" w:styleId="IntenseEmphasis">
    <w:name w:val="Intense Emphasis"/>
    <w:aliases w:val="Texte"/>
    <w:uiPriority w:val="21"/>
    <w:rsid w:val="00CA3493"/>
    <w:rPr>
      <w:rFonts w:ascii="Arial" w:hAnsi="Arial" w:cs="Arial"/>
      <w:sz w:val="22"/>
    </w:rPr>
  </w:style>
  <w:style w:type="character" w:customStyle="1" w:styleId="atenuated">
    <w:name w:val="atenuated"/>
    <w:basedOn w:val="DefaultParagraphFont"/>
    <w:rsid w:val="0003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8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005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13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1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92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93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1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9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7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13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08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ch.unesco.org/doc/src/ITH-18-7.GA-10_Rev.-RU.docx" TargetMode="External"/><Relationship Id="rId21" Type="http://schemas.openxmlformats.org/officeDocument/2006/relationships/header" Target="header2.xml"/><Relationship Id="rId42" Type="http://schemas.openxmlformats.org/officeDocument/2006/relationships/hyperlink" Target="https://ich.unesco.org/doc/src/37576.pdf" TargetMode="External"/><Relationship Id="rId47" Type="http://schemas.openxmlformats.org/officeDocument/2006/relationships/hyperlink" Target="https://ich.unesco.org/doc/src/37568-EN.pdf" TargetMode="External"/><Relationship Id="rId63" Type="http://schemas.openxmlformats.org/officeDocument/2006/relationships/hyperlink" Target="https://ich.unesco.org/en/Decisions/11.COM/7" TargetMode="External"/><Relationship Id="rId68" Type="http://schemas.openxmlformats.org/officeDocument/2006/relationships/hyperlink" Target="https://ich.unesco.org/en/Resolutions/6.GA/11" TargetMode="External"/><Relationship Id="rId16" Type="http://schemas.openxmlformats.org/officeDocument/2006/relationships/hyperlink" Target="https://ich.unesco.org/doc/src/ITH-18-7.GA-7-RU.docx" TargetMode="External"/><Relationship Id="rId11" Type="http://schemas.openxmlformats.org/officeDocument/2006/relationships/hyperlink" Target="https://ich.unesco.org/en/Resolutions/3.GA/12" TargetMode="External"/><Relationship Id="rId24" Type="http://schemas.openxmlformats.org/officeDocument/2006/relationships/header" Target="header5.xml"/><Relationship Id="rId32" Type="http://schemas.openxmlformats.org/officeDocument/2006/relationships/hyperlink" Target="https://ich.unesco.org/doc/src/37566-EN.pdf" TargetMode="External"/><Relationship Id="rId37" Type="http://schemas.openxmlformats.org/officeDocument/2006/relationships/hyperlink" Target="https://ich.unesco.org/doc/src/37601-FR.pdf" TargetMode="External"/><Relationship Id="rId40" Type="http://schemas.openxmlformats.org/officeDocument/2006/relationships/hyperlink" Target="https://ich.unesco.org/doc/src/37507.pdf" TargetMode="External"/><Relationship Id="rId45" Type="http://schemas.openxmlformats.org/officeDocument/2006/relationships/hyperlink" Target="https://ich.unesco.org/doc/src/37523.pdf" TargetMode="External"/><Relationship Id="rId53" Type="http://schemas.openxmlformats.org/officeDocument/2006/relationships/hyperlink" Target="https://ich.unesco.org/doc/src/37518-FR.pdf" TargetMode="External"/><Relationship Id="rId58" Type="http://schemas.openxmlformats.org/officeDocument/2006/relationships/hyperlink" Target="https://ich.unesco.org/doc/src/37581-EN.pdf" TargetMode="External"/><Relationship Id="rId66" Type="http://schemas.openxmlformats.org/officeDocument/2006/relationships/hyperlink" Target="https://ich.unesco.org/en/Resolutions/6.GA/11" TargetMode="External"/><Relationship Id="rId74" Type="http://schemas.openxmlformats.org/officeDocument/2006/relationships/hyperlink" Target="https://ich.unesco.org/doc/src/ITH-18-7.GA-14-RU.docx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ch.unesco.org/doc/src/ITH-18-7.GA-12-RU.docx" TargetMode="External"/><Relationship Id="rId19" Type="http://schemas.openxmlformats.org/officeDocument/2006/relationships/hyperlink" Target="https://ich.unesco.org/doc/src/ITH-18-7.GA-9-RU.docx" TargetMode="External"/><Relationship Id="rId14" Type="http://schemas.openxmlformats.org/officeDocument/2006/relationships/hyperlink" Target="https://ich.unesco.org/en/Decisions/11.COM/10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ich.unesco.org/" TargetMode="External"/><Relationship Id="rId30" Type="http://schemas.openxmlformats.org/officeDocument/2006/relationships/hyperlink" Target="https://ich.unesco.org/doc/src/ITH-18-7.GA-11-RU.docx" TargetMode="External"/><Relationship Id="rId35" Type="http://schemas.openxmlformats.org/officeDocument/2006/relationships/hyperlink" Target="https://ich.unesco.org/doc/src/37579-FR.pdf" TargetMode="External"/><Relationship Id="rId43" Type="http://schemas.openxmlformats.org/officeDocument/2006/relationships/hyperlink" Target="https://ich.unesco.org/doc/src/37600.pdf" TargetMode="External"/><Relationship Id="rId48" Type="http://schemas.openxmlformats.org/officeDocument/2006/relationships/hyperlink" Target="https://ich.unesco.org/doc/src/37597.pdf" TargetMode="External"/><Relationship Id="rId56" Type="http://schemas.openxmlformats.org/officeDocument/2006/relationships/hyperlink" Target="https://ich.unesco.org/doc/src/37504.pdf" TargetMode="External"/><Relationship Id="rId64" Type="http://schemas.openxmlformats.org/officeDocument/2006/relationships/hyperlink" Target="https://ich.unesco.org/en/Decisions/12.COM/13" TargetMode="External"/><Relationship Id="rId69" Type="http://schemas.openxmlformats.org/officeDocument/2006/relationships/hyperlink" Target="https://ich.unesco.org/doc/src/ITH-18-7.GA-13-RU.docx" TargetMode="External"/><Relationship Id="rId77" Type="http://schemas.openxmlformats.org/officeDocument/2006/relationships/header" Target="header9.xml"/><Relationship Id="rId8" Type="http://schemas.openxmlformats.org/officeDocument/2006/relationships/hyperlink" Target="https://ich.unesco.org/doc/src/ITH-18-7.GA-2-RU.docx" TargetMode="External"/><Relationship Id="rId51" Type="http://schemas.openxmlformats.org/officeDocument/2006/relationships/hyperlink" Target="https://ich.unesco.org/doc/src/37567.pdf" TargetMode="External"/><Relationship Id="rId72" Type="http://schemas.openxmlformats.org/officeDocument/2006/relationships/hyperlink" Target="http://unesdoc.unesco.org/images/0026/002608/260889r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ich.unesco.org/doc/src/ITH-18-7.GA-5-RU.docx" TargetMode="External"/><Relationship Id="rId17" Type="http://schemas.openxmlformats.org/officeDocument/2006/relationships/hyperlink" Target="https://ich.unesco.org/doc/src/ITH-18-7.GA-8-RU.docx" TargetMode="External"/><Relationship Id="rId25" Type="http://schemas.openxmlformats.org/officeDocument/2006/relationships/header" Target="header6.xml"/><Relationship Id="rId33" Type="http://schemas.openxmlformats.org/officeDocument/2006/relationships/hyperlink" Target="https://ich.unesco.org/doc/src/37570-FR.pdf" TargetMode="External"/><Relationship Id="rId38" Type="http://schemas.openxmlformats.org/officeDocument/2006/relationships/hyperlink" Target="https://ich.unesco.org/doc/src/37502-EN.pdf" TargetMode="External"/><Relationship Id="rId46" Type="http://schemas.openxmlformats.org/officeDocument/2006/relationships/hyperlink" Target="https://ich.unesco.org/doc/src/37599.pdf" TargetMode="External"/><Relationship Id="rId59" Type="http://schemas.openxmlformats.org/officeDocument/2006/relationships/hyperlink" Target="https://ich.unesco.org/doc/src/37520.pdf" TargetMode="External"/><Relationship Id="rId67" Type="http://schemas.openxmlformats.org/officeDocument/2006/relationships/hyperlink" Target="http://unesdoc.unesco.org/images/0026/002608/260889r.pdf" TargetMode="External"/><Relationship Id="rId20" Type="http://schemas.openxmlformats.org/officeDocument/2006/relationships/header" Target="header1.xml"/><Relationship Id="rId41" Type="http://schemas.openxmlformats.org/officeDocument/2006/relationships/hyperlink" Target="https://ich.unesco.org/doc/src/37594.pdf" TargetMode="External"/><Relationship Id="rId54" Type="http://schemas.openxmlformats.org/officeDocument/2006/relationships/hyperlink" Target="https://ich.unesco.org/doc/src/37577-EN.pdf" TargetMode="External"/><Relationship Id="rId62" Type="http://schemas.openxmlformats.org/officeDocument/2006/relationships/hyperlink" Target="https://ich.unesco.org/doc/src/ITH-18-7.GA-13-RU.docx" TargetMode="External"/><Relationship Id="rId70" Type="http://schemas.openxmlformats.org/officeDocument/2006/relationships/hyperlink" Target="https://ich.unesco.org/en/Resolutions/6.GA/11" TargetMode="External"/><Relationship Id="rId75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ch.unesco.org/en/Decisions/12.COM/13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ich.unesco.org/" TargetMode="External"/><Relationship Id="rId36" Type="http://schemas.openxmlformats.org/officeDocument/2006/relationships/hyperlink" Target="https://ich.unesco.org/doc/src/37604-FR.pdf" TargetMode="External"/><Relationship Id="rId49" Type="http://schemas.openxmlformats.org/officeDocument/2006/relationships/hyperlink" Target="https://ich.unesco.org/doc/src/37596.pdf" TargetMode="External"/><Relationship Id="rId57" Type="http://schemas.openxmlformats.org/officeDocument/2006/relationships/hyperlink" Target="https://ich.unesco.org/doc/src/37503-EN.pdf" TargetMode="External"/><Relationship Id="rId10" Type="http://schemas.openxmlformats.org/officeDocument/2006/relationships/hyperlink" Target="https://ich.unesco.org/doc/src/ITH-18-7.GA-4-RU.docx" TargetMode="External"/><Relationship Id="rId31" Type="http://schemas.openxmlformats.org/officeDocument/2006/relationships/hyperlink" Target="https://ich.unesco.org/en/Decisions/12.COM/17" TargetMode="External"/><Relationship Id="rId44" Type="http://schemas.openxmlformats.org/officeDocument/2006/relationships/hyperlink" Target="https://ich.unesco.org/doc/src/37586.pdf" TargetMode="External"/><Relationship Id="rId52" Type="http://schemas.openxmlformats.org/officeDocument/2006/relationships/hyperlink" Target="https://ich.unesco.org/doc/src/37589.pdf" TargetMode="External"/><Relationship Id="rId60" Type="http://schemas.openxmlformats.org/officeDocument/2006/relationships/hyperlink" Target="https://ich.unesco.org/doc/src/37595.pdf" TargetMode="External"/><Relationship Id="rId65" Type="http://schemas.openxmlformats.org/officeDocument/2006/relationships/hyperlink" Target="https://ich.unesco.org/en/Decisions/12.COM/16" TargetMode="External"/><Relationship Id="rId73" Type="http://schemas.openxmlformats.org/officeDocument/2006/relationships/hyperlink" Target="https://ich.unesco.org/doc/src/ITH-18-7.GA-12-RU.docx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TH-18-7.GA-3-RU.docx" TargetMode="External"/><Relationship Id="rId13" Type="http://schemas.openxmlformats.org/officeDocument/2006/relationships/hyperlink" Target="https://ich.unesco.org/doc/src/ITH-18-7.GA-6-RU.docx" TargetMode="External"/><Relationship Id="rId18" Type="http://schemas.openxmlformats.org/officeDocument/2006/relationships/hyperlink" Target="https://ich.unesco.org/doc/src/ITH-18-7.GA-INF.8-EN.docx" TargetMode="External"/><Relationship Id="rId39" Type="http://schemas.openxmlformats.org/officeDocument/2006/relationships/hyperlink" Target="https://ich.unesco.org/doc/src/37505.pdf" TargetMode="External"/><Relationship Id="rId34" Type="http://schemas.openxmlformats.org/officeDocument/2006/relationships/hyperlink" Target="https://ich.unesco.org/doc/src/37519.pdf" TargetMode="External"/><Relationship Id="rId50" Type="http://schemas.openxmlformats.org/officeDocument/2006/relationships/hyperlink" Target="https://ich.unesco.org/doc/src/37551-EN.pdf" TargetMode="External"/><Relationship Id="rId55" Type="http://schemas.openxmlformats.org/officeDocument/2006/relationships/hyperlink" Target="https://ich.unesco.org/doc/src/37571.pdf" TargetMode="External"/><Relationship Id="rId76" Type="http://schemas.openxmlformats.org/officeDocument/2006/relationships/header" Target="header8.xml"/><Relationship Id="rId7" Type="http://schemas.openxmlformats.org/officeDocument/2006/relationships/endnotes" Target="endnotes.xml"/><Relationship Id="rId71" Type="http://schemas.openxmlformats.org/officeDocument/2006/relationships/hyperlink" Target="https://ich.unesco.org/en/Decisions/12.COM/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ch.unesco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5F64-10DD-412A-A012-C8590ECE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6404</Words>
  <Characters>47540</Characters>
  <Application>Microsoft Office Word</Application>
  <DocSecurity>0</DocSecurity>
  <Lines>396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53837</CharactersWithSpaces>
  <SharedDoc>false</SharedDoc>
  <HLinks>
    <vt:vector size="168" baseType="variant">
      <vt:variant>
        <vt:i4>6422628</vt:i4>
      </vt:variant>
      <vt:variant>
        <vt:i4>81</vt:i4>
      </vt:variant>
      <vt:variant>
        <vt:i4>0</vt:i4>
      </vt:variant>
      <vt:variant>
        <vt:i4>5</vt:i4>
      </vt:variant>
      <vt:variant>
        <vt:lpwstr>http://www.unesco.org/culture/ich/en/Decisions/10.COM/8</vt:lpwstr>
      </vt:variant>
      <vt:variant>
        <vt:lpwstr/>
      </vt:variant>
      <vt:variant>
        <vt:i4>458826</vt:i4>
      </vt:variant>
      <vt:variant>
        <vt:i4>78</vt:i4>
      </vt:variant>
      <vt:variant>
        <vt:i4>0</vt:i4>
      </vt:variant>
      <vt:variant>
        <vt:i4>5</vt:i4>
      </vt:variant>
      <vt:variant>
        <vt:lpwstr>http://www.unesco.org/culture/ich/doc/src/NGO-90338-10.COM-ICH-09.pdf</vt:lpwstr>
      </vt:variant>
      <vt:variant>
        <vt:lpwstr/>
      </vt:variant>
      <vt:variant>
        <vt:i4>131139</vt:i4>
      </vt:variant>
      <vt:variant>
        <vt:i4>75</vt:i4>
      </vt:variant>
      <vt:variant>
        <vt:i4>0</vt:i4>
      </vt:variant>
      <vt:variant>
        <vt:i4>5</vt:i4>
      </vt:variant>
      <vt:variant>
        <vt:lpwstr>http://www.unesco.org/culture/ich/doc/src/NGO-90361-10.COM-ICH-09.pdf</vt:lpwstr>
      </vt:variant>
      <vt:variant>
        <vt:lpwstr/>
      </vt:variant>
      <vt:variant>
        <vt:i4>65604</vt:i4>
      </vt:variant>
      <vt:variant>
        <vt:i4>72</vt:i4>
      </vt:variant>
      <vt:variant>
        <vt:i4>0</vt:i4>
      </vt:variant>
      <vt:variant>
        <vt:i4>5</vt:i4>
      </vt:variant>
      <vt:variant>
        <vt:lpwstr>http://www.unesco.org/culture/ich/doc/src/NGO-90356-10.COM-ICH-09.pdf</vt:lpwstr>
      </vt:variant>
      <vt:variant>
        <vt:lpwstr/>
      </vt:variant>
      <vt:variant>
        <vt:i4>327750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http://www.unesco.org/culture/ich/doc/src/NGO-90314-10.COM-ICH-09.pdf</vt:lpwstr>
      </vt:variant>
      <vt:variant>
        <vt:lpwstr/>
      </vt:variant>
      <vt:variant>
        <vt:i4>393283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http://www.unesco.org/culture/ich/doc/src/NGO-90321-10.COM-ICH-09.pdf</vt:lpwstr>
      </vt:variant>
      <vt:variant>
        <vt:lpwstr/>
      </vt:variant>
      <vt:variant>
        <vt:i4>458823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http://www.unesco.org/culture/ich/doc/src/NGO-90335-10.COM-ICH-09.pdf</vt:lpwstr>
      </vt:variant>
      <vt:variant>
        <vt:lpwstr/>
      </vt:variant>
      <vt:variant>
        <vt:i4>393291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http://www.unesco.org/culture/ich/doc/src/NGO-90329-10.COM-ICH-09.pdf</vt:lpwstr>
      </vt:variant>
      <vt:variant>
        <vt:lpwstr/>
      </vt:variant>
      <vt:variant>
        <vt:i4>786498</vt:i4>
      </vt:variant>
      <vt:variant>
        <vt:i4>57</vt:i4>
      </vt:variant>
      <vt:variant>
        <vt:i4>0</vt:i4>
      </vt:variant>
      <vt:variant>
        <vt:i4>5</vt:i4>
      </vt:variant>
      <vt:variant>
        <vt:lpwstr>http://www.unesco.org/culture/ich/doc/src/NGO-90281-10.COM-ICH-09.pdf</vt:lpwstr>
      </vt:variant>
      <vt:variant>
        <vt:lpwstr/>
      </vt:variant>
      <vt:variant>
        <vt:i4>393286</vt:i4>
      </vt:variant>
      <vt:variant>
        <vt:i4>54</vt:i4>
      </vt:variant>
      <vt:variant>
        <vt:i4>0</vt:i4>
      </vt:variant>
      <vt:variant>
        <vt:i4>5</vt:i4>
      </vt:variant>
      <vt:variant>
        <vt:lpwstr>http://www.unesco.org/culture/ich/doc/src/NGO-90324-10.COM-ICH-09.pdf</vt:lpwstr>
      </vt:variant>
      <vt:variant>
        <vt:lpwstr/>
      </vt:variant>
      <vt:variant>
        <vt:i4>65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http://www.unesco.org/culture/ich/doc/src/NGO-90343-10.COM-ICH-09.pdf</vt:lpwstr>
      </vt:variant>
      <vt:variant>
        <vt:lpwstr/>
      </vt:variant>
      <vt:variant>
        <vt:i4>393280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http://www.unesco.org/culture/ich/doc/src/NGO-90322-10.COM-ICH-09.pdf</vt:lpwstr>
      </vt:variant>
      <vt:variant>
        <vt:lpwstr/>
      </vt:variant>
      <vt:variant>
        <vt:i4>327755</vt:i4>
      </vt:variant>
      <vt:variant>
        <vt:i4>45</vt:i4>
      </vt:variant>
      <vt:variant>
        <vt:i4>0</vt:i4>
      </vt:variant>
      <vt:variant>
        <vt:i4>5</vt:i4>
      </vt:variant>
      <vt:variant>
        <vt:lpwstr>http://www.unesco.org/culture/ich/doc/src/NGO-90319-10.COM-ICH-09.pdf</vt:lpwstr>
      </vt:variant>
      <vt:variant>
        <vt:lpwstr/>
      </vt:variant>
      <vt:variant>
        <vt:i4>393281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http://www.unesco.org/culture/ich/doc/src/NGO-90323-10.COM-ICH-09.pdf</vt:lpwstr>
      </vt:variant>
      <vt:variant>
        <vt:lpwstr/>
      </vt:variant>
      <vt:variant>
        <vt:i4>75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http://www.unesco.org/culture/ich/doc/src/NGO-90349-10.COM-ICH-09.pdf</vt:lpwstr>
      </vt:variant>
      <vt:variant>
        <vt:lpwstr/>
      </vt:variant>
      <vt:variant>
        <vt:i4>68</vt:i4>
      </vt:variant>
      <vt:variant>
        <vt:i4>36</vt:i4>
      </vt:variant>
      <vt:variant>
        <vt:i4>0</vt:i4>
      </vt:variant>
      <vt:variant>
        <vt:i4>5</vt:i4>
      </vt:variant>
      <vt:variant>
        <vt:lpwstr>http://www.unesco.org/culture/ich/doc/src/NGO-90346-10.COM-ICH-09.pdf</vt:lpwstr>
      </vt:variant>
      <vt:variant>
        <vt:lpwstr/>
      </vt:variant>
      <vt:variant>
        <vt:i4>458820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http://www.unesco.org/culture/ich/doc/src/NGO-90336-10.COM-ICH-09.pdf</vt:lpwstr>
      </vt:variant>
      <vt:variant>
        <vt:lpwstr/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http://www.unesco.org/culture/ich/doc/src/NGO-90330-10.COM-ICH-09.pdf</vt:lpwstr>
      </vt:variant>
      <vt:variant>
        <vt:lpwstr/>
      </vt:variant>
      <vt:variant>
        <vt:i4>65601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http://www.unesco.org/culture/ich/doc/src/NGO-90353-10.COM-ICH-09.pdf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http://www.unesco.org/culture/ich/doc/src/NGO-90347-10.COM-ICH-09.pdf</vt:lpwstr>
      </vt:variant>
      <vt:variant>
        <vt:lpwstr/>
      </vt:variant>
      <vt:variant>
        <vt:i4>71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http://www.unesco.org/culture/ich/doc/src/NGO-90345-10.COM-ICH-09.pdf</vt:lpwstr>
      </vt:variant>
      <vt:variant>
        <vt:lpwstr/>
      </vt:variant>
      <vt:variant>
        <vt:i4>131138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http://www.unesco.org/culture/ich/doc/src/NGO-90360-10.COM-ICH-09.pdf</vt:lpwstr>
      </vt:variant>
      <vt:variant>
        <vt:lpwstr/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http://www.unesco.org/culture/ich/doc/src/NGO-90350-10.COM-ICH-09.pdf</vt:lpwstr>
      </vt:variant>
      <vt:variant>
        <vt:lpwstr/>
      </vt:variant>
      <vt:variant>
        <vt:i4>65607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http://www.unesco.org/culture/ich/doc/src/NGO-90355-10.COM-ICH-09.pdf</vt:lpwstr>
      </vt:variant>
      <vt:variant>
        <vt:lpwstr/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http://www.unesco.org/culture/ich/doc/src/NGO-90327-10.COM-ICH-09.pdf</vt:lpwstr>
      </vt:variant>
      <vt:variant>
        <vt:lpwstr/>
      </vt:variant>
      <vt:variant>
        <vt:i4>1310812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http://www.unesco.org/culture/ich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http://www.unesco.org/culture/ich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/>
  <cp:revision>1</cp:revision>
  <dcterms:created xsi:type="dcterms:W3CDTF">2018-07-20T13:00:00Z</dcterms:created>
  <dcterms:modified xsi:type="dcterms:W3CDTF">2018-07-20T13:00:00Z</dcterms:modified>
</cp:coreProperties>
</file>