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8A0CE" w14:textId="77777777" w:rsidR="002938F2" w:rsidRPr="00636760" w:rsidRDefault="002938F2" w:rsidP="00AE1B18">
      <w:pPr>
        <w:spacing w:before="1440"/>
        <w:jc w:val="center"/>
        <w:rPr>
          <w:rFonts w:ascii="Arial" w:hAnsi="Arial" w:cs="Arial"/>
          <w:b/>
          <w:szCs w:val="22"/>
        </w:rPr>
      </w:pPr>
      <w:r>
        <w:rPr>
          <w:rFonts w:ascii="Arial" w:hAnsi="Arial"/>
          <w:b/>
          <w:szCs w:val="22"/>
        </w:rPr>
        <w:t>CONVENTION POUR LA SAUVEGARDE DU</w:t>
      </w:r>
      <w:r>
        <w:rPr>
          <w:rFonts w:ascii="Arial" w:hAnsi="Arial"/>
          <w:b/>
          <w:szCs w:val="22"/>
        </w:rPr>
        <w:br/>
        <w:t>PATRIMOINE CULTUREL IMMATÉRIEL</w:t>
      </w:r>
    </w:p>
    <w:p w14:paraId="0B1DD322" w14:textId="5D34230F" w:rsidR="007E4E37" w:rsidRPr="004E056C" w:rsidRDefault="007E4E37" w:rsidP="00F14D92">
      <w:pPr>
        <w:spacing w:before="1200"/>
        <w:jc w:val="center"/>
        <w:rPr>
          <w:rFonts w:ascii="Arial" w:hAnsi="Arial" w:cs="Arial"/>
          <w:b/>
          <w:szCs w:val="22"/>
        </w:rPr>
      </w:pPr>
      <w:r>
        <w:rPr>
          <w:rFonts w:ascii="Arial" w:hAnsi="Arial"/>
          <w:b/>
          <w:szCs w:val="22"/>
        </w:rPr>
        <w:t xml:space="preserve">COMITÉ INTERGOUVERNEMENTAL DE SAUVEGARDE </w:t>
      </w:r>
      <w:r w:rsidR="00F14D92">
        <w:rPr>
          <w:rFonts w:ascii="Arial" w:hAnsi="Arial"/>
          <w:b/>
          <w:szCs w:val="22"/>
        </w:rPr>
        <w:br/>
      </w:r>
      <w:r>
        <w:rPr>
          <w:rFonts w:ascii="Arial" w:hAnsi="Arial"/>
          <w:b/>
          <w:szCs w:val="22"/>
        </w:rPr>
        <w:t>DU PATRIMOINE CULTUREL IMMATÉRIEL</w:t>
      </w:r>
    </w:p>
    <w:p w14:paraId="12398018" w14:textId="77777777" w:rsidR="007E4E37" w:rsidRPr="004E056C" w:rsidRDefault="00E3509F" w:rsidP="009B55AC">
      <w:pPr>
        <w:spacing w:before="840" w:after="0"/>
        <w:jc w:val="center"/>
        <w:rPr>
          <w:rFonts w:ascii="Arial" w:hAnsi="Arial" w:cs="Arial"/>
          <w:b/>
          <w:szCs w:val="22"/>
        </w:rPr>
      </w:pPr>
      <w:r>
        <w:rPr>
          <w:rFonts w:ascii="Arial" w:hAnsi="Arial"/>
          <w:b/>
          <w:szCs w:val="22"/>
        </w:rPr>
        <w:t>Treizième session</w:t>
      </w:r>
    </w:p>
    <w:p w14:paraId="42F3C9CC" w14:textId="26044BBD" w:rsidR="00601DD6" w:rsidRPr="00E3509F" w:rsidRDefault="009B55AC" w:rsidP="00F14D92">
      <w:pPr>
        <w:spacing w:after="0"/>
        <w:jc w:val="center"/>
        <w:rPr>
          <w:rFonts w:ascii="Arial" w:eastAsiaTheme="minorEastAsia" w:hAnsi="Arial" w:cs="Arial"/>
          <w:b/>
          <w:szCs w:val="22"/>
        </w:rPr>
      </w:pPr>
      <w:r>
        <w:rPr>
          <w:rFonts w:ascii="Arial" w:hAnsi="Arial"/>
          <w:b/>
          <w:szCs w:val="22"/>
        </w:rPr>
        <w:t>Port</w:t>
      </w:r>
      <w:r w:rsidR="00F14D92">
        <w:rPr>
          <w:rFonts w:ascii="Arial" w:hAnsi="Arial"/>
          <w:b/>
          <w:szCs w:val="22"/>
        </w:rPr>
        <w:t>-</w:t>
      </w:r>
      <w:r>
        <w:rPr>
          <w:rFonts w:ascii="Arial" w:hAnsi="Arial"/>
          <w:b/>
          <w:szCs w:val="22"/>
        </w:rPr>
        <w:t>Louis, République de Maurice</w:t>
      </w:r>
    </w:p>
    <w:p w14:paraId="1D916FFA" w14:textId="09FF8BC7" w:rsidR="007E4E37" w:rsidRPr="00E3509F" w:rsidRDefault="009B55AC" w:rsidP="00CF3625">
      <w:pPr>
        <w:spacing w:after="0"/>
        <w:jc w:val="center"/>
        <w:rPr>
          <w:rFonts w:ascii="Arial" w:eastAsiaTheme="minorEastAsia" w:hAnsi="Arial" w:cs="Arial"/>
          <w:b/>
          <w:szCs w:val="22"/>
        </w:rPr>
      </w:pPr>
      <w:r>
        <w:rPr>
          <w:rFonts w:ascii="Arial" w:hAnsi="Arial"/>
          <w:b/>
          <w:szCs w:val="22"/>
        </w:rPr>
        <w:t xml:space="preserve">26 novembre </w:t>
      </w:r>
      <w:r w:rsidR="00CF3625">
        <w:rPr>
          <w:rFonts w:ascii="Arial" w:hAnsi="Arial"/>
          <w:b/>
          <w:szCs w:val="22"/>
        </w:rPr>
        <w:t>–</w:t>
      </w:r>
      <w:r>
        <w:rPr>
          <w:rFonts w:ascii="Arial" w:hAnsi="Arial"/>
          <w:b/>
          <w:szCs w:val="22"/>
        </w:rPr>
        <w:t xml:space="preserve"> 1</w:t>
      </w:r>
      <w:r w:rsidRPr="00F14D92">
        <w:rPr>
          <w:rFonts w:ascii="Arial" w:hAnsi="Arial"/>
          <w:b/>
          <w:szCs w:val="22"/>
          <w:vertAlign w:val="superscript"/>
        </w:rPr>
        <w:t>er</w:t>
      </w:r>
      <w:r>
        <w:rPr>
          <w:rFonts w:ascii="Arial" w:hAnsi="Arial"/>
          <w:b/>
          <w:szCs w:val="22"/>
        </w:rPr>
        <w:t xml:space="preserve"> décembre 2018</w:t>
      </w:r>
    </w:p>
    <w:p w14:paraId="6F818DA1" w14:textId="7F7296F0" w:rsidR="00C86385" w:rsidRPr="00F410D6" w:rsidRDefault="005F789F" w:rsidP="005F789F">
      <w:pPr>
        <w:pStyle w:val="Sansinterligne1"/>
        <w:spacing w:before="1200" w:after="1200"/>
        <w:jc w:val="center"/>
        <w:rPr>
          <w:rFonts w:ascii="Arial" w:hAnsi="Arial" w:cs="Arial"/>
          <w:b/>
          <w:caps/>
          <w:sz w:val="22"/>
          <w:szCs w:val="22"/>
          <w:u w:val="single"/>
        </w:rPr>
      </w:pPr>
      <w:r>
        <w:rPr>
          <w:rFonts w:ascii="Arial" w:hAnsi="Arial"/>
          <w:b/>
          <w:sz w:val="22"/>
          <w:szCs w:val="22"/>
          <w:u w:val="single"/>
        </w:rPr>
        <w:t xml:space="preserve">Rapport financier du Fonds du patrimoine culturel immatériel </w:t>
      </w:r>
      <w:r>
        <w:rPr>
          <w:rFonts w:ascii="Arial" w:hAnsi="Arial"/>
          <w:b/>
          <w:sz w:val="22"/>
          <w:szCs w:val="22"/>
          <w:u w:val="single"/>
        </w:rPr>
        <w:br/>
        <w:t>pour la période allant du 1er janvier 2018 au 30 juin 2018</w:t>
      </w:r>
    </w:p>
    <w:tbl>
      <w:tblPr>
        <w:tblW w:w="5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9"/>
      </w:tblGrid>
      <w:tr w:rsidR="00C86385" w:rsidRPr="00F410D6" w14:paraId="52385A49" w14:textId="77777777" w:rsidTr="009E607F">
        <w:trPr>
          <w:jc w:val="center"/>
        </w:trPr>
        <w:tc>
          <w:tcPr>
            <w:tcW w:w="5669" w:type="dxa"/>
          </w:tcPr>
          <w:p w14:paraId="58234216" w14:textId="77777777" w:rsidR="00C86385" w:rsidRPr="00F410D6" w:rsidRDefault="00C86385" w:rsidP="009E607F">
            <w:pPr>
              <w:pStyle w:val="NoSpacing"/>
              <w:spacing w:before="200" w:after="200"/>
              <w:jc w:val="center"/>
              <w:rPr>
                <w:rFonts w:ascii="Arial" w:hAnsi="Arial" w:cs="Arial"/>
                <w:b/>
                <w:sz w:val="22"/>
                <w:szCs w:val="22"/>
              </w:rPr>
            </w:pPr>
            <w:r>
              <w:rPr>
                <w:rFonts w:ascii="Arial" w:hAnsi="Arial"/>
                <w:b/>
                <w:sz w:val="22"/>
                <w:szCs w:val="22"/>
              </w:rPr>
              <w:t>Résumé</w:t>
            </w:r>
          </w:p>
          <w:p w14:paraId="5BAB35B5" w14:textId="1C01279E" w:rsidR="00C86385" w:rsidRPr="00F410D6" w:rsidRDefault="00C86385" w:rsidP="00804538">
            <w:pPr>
              <w:pStyle w:val="Pranumrotrecommenc1"/>
              <w:tabs>
                <w:tab w:val="clear" w:pos="360"/>
              </w:tabs>
              <w:spacing w:before="200" w:after="200"/>
              <w:ind w:left="0" w:firstLine="0"/>
              <w:jc w:val="both"/>
              <w:rPr>
                <w:rFonts w:cs="Arial"/>
                <w:sz w:val="22"/>
                <w:szCs w:val="22"/>
              </w:rPr>
            </w:pPr>
            <w:r>
              <w:rPr>
                <w:sz w:val="22"/>
                <w:szCs w:val="22"/>
              </w:rPr>
              <w:t xml:space="preserve">Le présent document contient le rapport financier du Fonds du patrimoine culturel immatériel pour la période </w:t>
            </w:r>
            <w:r w:rsidR="00915C9C">
              <w:rPr>
                <w:sz w:val="22"/>
                <w:szCs w:val="22"/>
              </w:rPr>
              <w:t>allant</w:t>
            </w:r>
            <w:r w:rsidR="003E026D">
              <w:rPr>
                <w:sz w:val="22"/>
                <w:szCs w:val="22"/>
              </w:rPr>
              <w:t xml:space="preserve"> </w:t>
            </w:r>
            <w:r>
              <w:rPr>
                <w:sz w:val="22"/>
                <w:szCs w:val="22"/>
              </w:rPr>
              <w:t>du 1er janvier 2018 au 30 juin 2018, établi par le Bureau de la gestion financière, précédé d</w:t>
            </w:r>
            <w:r w:rsidR="00D96D0E">
              <w:rPr>
                <w:sz w:val="22"/>
                <w:szCs w:val="22"/>
              </w:rPr>
              <w:t>’</w:t>
            </w:r>
            <w:r>
              <w:rPr>
                <w:sz w:val="22"/>
                <w:szCs w:val="22"/>
              </w:rPr>
              <w:t>une brève note explicative.</w:t>
            </w:r>
          </w:p>
        </w:tc>
      </w:tr>
    </w:tbl>
    <w:p w14:paraId="56EC942F" w14:textId="77777777" w:rsidR="0085696E" w:rsidRDefault="00851458" w:rsidP="0085696E">
      <w:pPr>
        <w:pStyle w:val="1GAPara"/>
      </w:pPr>
      <w:r>
        <w:br w:type="page"/>
      </w:r>
    </w:p>
    <w:p w14:paraId="4CFDBDF8" w14:textId="77777777" w:rsidR="0085696E" w:rsidRPr="00F410D6" w:rsidRDefault="0085696E" w:rsidP="0085696E">
      <w:pPr>
        <w:pStyle w:val="Default"/>
        <w:pageBreakBefore/>
        <w:spacing w:after="240"/>
        <w:jc w:val="center"/>
        <w:rPr>
          <w:b/>
          <w:bCs/>
          <w:color w:val="auto"/>
          <w:sz w:val="22"/>
          <w:szCs w:val="22"/>
        </w:rPr>
      </w:pPr>
      <w:r>
        <w:rPr>
          <w:b/>
          <w:bCs/>
          <w:color w:val="auto"/>
          <w:sz w:val="22"/>
          <w:szCs w:val="22"/>
        </w:rPr>
        <w:lastRenderedPageBreak/>
        <w:t>Note explicative</w:t>
      </w:r>
    </w:p>
    <w:p w14:paraId="3D6DA657" w14:textId="6DB46612" w:rsidR="0085696E" w:rsidRDefault="0085696E" w:rsidP="0085696E">
      <w:pPr>
        <w:pStyle w:val="ListParagraph"/>
        <w:ind w:left="567" w:hanging="567"/>
      </w:pPr>
      <w:r w:rsidRPr="00915C9C">
        <w:t>Le rapport financier ci-dessous couvre la période allant du 1er janvier 2018 au 30 juin 2018, durant laquelle les ressources du Fonds pour la sauvegarde du patrimoine culturel immatériel (« le Fonds ») ont</w:t>
      </w:r>
      <w:r>
        <w:t xml:space="preserve"> été utilisées conformément au « Plan d</w:t>
      </w:r>
      <w:r w:rsidR="00D96D0E">
        <w:t>’</w:t>
      </w:r>
      <w:r>
        <w:t>utilisation des ressources du Fonds », approuvé à titre provisoire pour cette période à la sixième session de l</w:t>
      </w:r>
      <w:r w:rsidR="00D96D0E">
        <w:t>’</w:t>
      </w:r>
      <w:r>
        <w:t>Assemblée générale en juin 2016 (</w:t>
      </w:r>
      <w:hyperlink r:id="rId8" w:history="1">
        <w:r>
          <w:rPr>
            <w:rStyle w:val="Hyperlink"/>
          </w:rPr>
          <w:t>résolution 6.GA 9</w:t>
        </w:r>
      </w:hyperlink>
      <w:r>
        <w:t>). Ce budget provisoire pour le premier semestre 2018 a ensuite été remplacé par le Plan adopté à la septième session de l</w:t>
      </w:r>
      <w:r w:rsidR="00D96D0E">
        <w:t>’</w:t>
      </w:r>
      <w:r>
        <w:t>Assemblée générale (</w:t>
      </w:r>
      <w:hyperlink r:id="rId9" w:history="1">
        <w:r>
          <w:rPr>
            <w:rStyle w:val="Hyperlink"/>
          </w:rPr>
          <w:t>résolution 7.GA 8</w:t>
        </w:r>
      </w:hyperlink>
      <w:r>
        <w:t>).</w:t>
      </w:r>
    </w:p>
    <w:p w14:paraId="329329E1" w14:textId="5FC9F4F0" w:rsidR="00B55F9F" w:rsidRPr="00F410D6" w:rsidRDefault="003E026D" w:rsidP="003E026D">
      <w:pPr>
        <w:pStyle w:val="Default"/>
        <w:keepNext/>
        <w:spacing w:after="120"/>
        <w:jc w:val="both"/>
        <w:rPr>
          <w:b/>
          <w:bCs/>
          <w:color w:val="auto"/>
          <w:sz w:val="22"/>
          <w:szCs w:val="22"/>
        </w:rPr>
      </w:pPr>
      <w:r>
        <w:rPr>
          <w:b/>
          <w:bCs/>
          <w:color w:val="auto"/>
          <w:sz w:val="22"/>
          <w:szCs w:val="22"/>
        </w:rPr>
        <w:t xml:space="preserve">Revenus </w:t>
      </w:r>
      <w:r w:rsidR="00B55F9F">
        <w:rPr>
          <w:b/>
          <w:bCs/>
          <w:color w:val="auto"/>
          <w:sz w:val="22"/>
          <w:szCs w:val="22"/>
        </w:rPr>
        <w:t>(états financiers I, II et III)</w:t>
      </w:r>
      <w:r w:rsidR="00B55F9F" w:rsidRPr="00F410D6">
        <w:rPr>
          <w:rStyle w:val="FootnoteReference"/>
          <w:b/>
          <w:bCs/>
          <w:color w:val="auto"/>
          <w:sz w:val="22"/>
          <w:szCs w:val="22"/>
          <w:lang w:val="en-GB"/>
        </w:rPr>
        <w:footnoteReference w:id="1"/>
      </w:r>
    </w:p>
    <w:p w14:paraId="52BA6126" w14:textId="79348A71" w:rsidR="00003D0C" w:rsidRDefault="00671AD9" w:rsidP="001659AA">
      <w:pPr>
        <w:pStyle w:val="1GAPara"/>
        <w:ind w:left="567" w:hanging="567"/>
        <w:jc w:val="both"/>
      </w:pPr>
      <w:r>
        <w:t>Comme le prévoient l</w:t>
      </w:r>
      <w:r w:rsidR="00D96D0E">
        <w:t>’</w:t>
      </w:r>
      <w:r>
        <w:t>article 25.3 de la Convention et le Règlement financier du Compte spécial affecté au Fonds (</w:t>
      </w:r>
      <w:hyperlink r:id="rId10" w:history="1">
        <w:r w:rsidRPr="00915C9C">
          <w:rPr>
            <w:rStyle w:val="Hyperlink"/>
          </w:rPr>
          <w:t>décision 1.EXT.COM 9</w:t>
        </w:r>
      </w:hyperlink>
      <w:r>
        <w:t xml:space="preserve">), les </w:t>
      </w:r>
      <w:r w:rsidR="001659AA">
        <w:t xml:space="preserve">revenus </w:t>
      </w:r>
      <w:r>
        <w:t xml:space="preserve">du Fonds, qui est géré sous la forme </w:t>
      </w:r>
      <w:r w:rsidRPr="00915C9C">
        <w:t>d</w:t>
      </w:r>
      <w:r w:rsidR="00D96D0E" w:rsidRPr="00915C9C">
        <w:t>’</w:t>
      </w:r>
      <w:r w:rsidRPr="00915C9C">
        <w:t>un Compte spécial,</w:t>
      </w:r>
      <w:r>
        <w:t xml:space="preserve"> sont constitués par :</w:t>
      </w:r>
    </w:p>
    <w:p w14:paraId="532DC26C" w14:textId="3760E24B" w:rsidR="00003D0C" w:rsidRDefault="00671AD9" w:rsidP="00851A31">
      <w:pPr>
        <w:pStyle w:val="1GAPara"/>
        <w:numPr>
          <w:ilvl w:val="4"/>
          <w:numId w:val="15"/>
        </w:numPr>
        <w:ind w:left="1134" w:hanging="567"/>
        <w:jc w:val="both"/>
      </w:pPr>
      <w:proofErr w:type="gramStart"/>
      <w:r>
        <w:t>les</w:t>
      </w:r>
      <w:proofErr w:type="gramEnd"/>
      <w:r>
        <w:t xml:space="preserve"> contributions des États parties à la Convention</w:t>
      </w:r>
      <w:r w:rsidR="00673549">
        <w:t xml:space="preserve">, conformément à son </w:t>
      </w:r>
      <w:r w:rsidR="001659AA">
        <w:t>article 26</w:t>
      </w:r>
      <w:r>
        <w:t> ;</w:t>
      </w:r>
    </w:p>
    <w:p w14:paraId="1D889E5A" w14:textId="39000E48" w:rsidR="00003D0C" w:rsidRDefault="00671AD9" w:rsidP="00851A31">
      <w:pPr>
        <w:pStyle w:val="1GAPara"/>
        <w:numPr>
          <w:ilvl w:val="4"/>
          <w:numId w:val="15"/>
        </w:numPr>
        <w:ind w:left="1134" w:hanging="567"/>
        <w:jc w:val="both"/>
      </w:pPr>
      <w:proofErr w:type="gramStart"/>
      <w:r>
        <w:t>les</w:t>
      </w:r>
      <w:proofErr w:type="gramEnd"/>
      <w:r>
        <w:t xml:space="preserve"> fonds alloués à cette fin par la Conférence générale de l</w:t>
      </w:r>
      <w:r w:rsidR="00D96D0E">
        <w:t>’</w:t>
      </w:r>
      <w:r>
        <w:t>UNESCO ;</w:t>
      </w:r>
    </w:p>
    <w:p w14:paraId="1D2F9281" w14:textId="3C3B4C02" w:rsidR="00003D0C" w:rsidRDefault="00671AD9" w:rsidP="00851A31">
      <w:pPr>
        <w:pStyle w:val="1GAPara"/>
        <w:numPr>
          <w:ilvl w:val="4"/>
          <w:numId w:val="15"/>
        </w:numPr>
        <w:ind w:left="1134" w:hanging="567"/>
        <w:jc w:val="both"/>
      </w:pPr>
      <w:proofErr w:type="gramStart"/>
      <w:r>
        <w:t>les</w:t>
      </w:r>
      <w:proofErr w:type="gramEnd"/>
      <w:r>
        <w:t xml:space="preserve"> versements, dons ou legs que peuvent faire d</w:t>
      </w:r>
      <w:r w:rsidR="00D96D0E">
        <w:t>’</w:t>
      </w:r>
      <w:r>
        <w:t xml:space="preserve">autres États, les organisations et programmes du système des Nations Unies, notamment le Programme des Nations Unies pour le </w:t>
      </w:r>
      <w:r w:rsidR="001659AA">
        <w:t>D</w:t>
      </w:r>
      <w:r>
        <w:t>éveloppement, ainsi que d</w:t>
      </w:r>
      <w:r w:rsidR="00D96D0E">
        <w:t>’</w:t>
      </w:r>
      <w:r>
        <w:t>autres organisations internationales, des organismes publics ou privés ou des personnes privées ;</w:t>
      </w:r>
    </w:p>
    <w:p w14:paraId="45140DFE" w14:textId="77777777" w:rsidR="00003D0C" w:rsidRDefault="00671AD9" w:rsidP="00851A31">
      <w:pPr>
        <w:pStyle w:val="1GAPara"/>
        <w:numPr>
          <w:ilvl w:val="4"/>
          <w:numId w:val="15"/>
        </w:numPr>
        <w:ind w:left="1134" w:hanging="567"/>
        <w:jc w:val="both"/>
      </w:pPr>
      <w:proofErr w:type="gramStart"/>
      <w:r>
        <w:t>tout</w:t>
      </w:r>
      <w:proofErr w:type="gramEnd"/>
      <w:r>
        <w:t xml:space="preserve"> intérêt dû sur les ressources du Fonds ;</w:t>
      </w:r>
    </w:p>
    <w:p w14:paraId="2D69ACC8" w14:textId="77777777" w:rsidR="00003D0C" w:rsidRDefault="00671AD9" w:rsidP="00851A31">
      <w:pPr>
        <w:pStyle w:val="1GAPara"/>
        <w:numPr>
          <w:ilvl w:val="4"/>
          <w:numId w:val="15"/>
        </w:numPr>
        <w:ind w:left="1134" w:hanging="567"/>
        <w:jc w:val="both"/>
      </w:pPr>
      <w:proofErr w:type="gramStart"/>
      <w:r>
        <w:t>le</w:t>
      </w:r>
      <w:proofErr w:type="gramEnd"/>
      <w:r>
        <w:t xml:space="preserve"> produit des collectes et les recettes des manifestations organisées au profit du Fonds ;</w:t>
      </w:r>
    </w:p>
    <w:p w14:paraId="4A163086" w14:textId="3FFB1948" w:rsidR="00003D0C" w:rsidRDefault="00671AD9" w:rsidP="001659AA">
      <w:pPr>
        <w:pStyle w:val="1GAPara"/>
        <w:numPr>
          <w:ilvl w:val="4"/>
          <w:numId w:val="15"/>
        </w:numPr>
        <w:ind w:left="1134" w:hanging="567"/>
        <w:jc w:val="both"/>
      </w:pPr>
      <w:proofErr w:type="gramStart"/>
      <w:r>
        <w:t>toutes</w:t>
      </w:r>
      <w:proofErr w:type="gramEnd"/>
      <w:r>
        <w:t xml:space="preserve"> autres ressources autorisées par le Comité.</w:t>
      </w:r>
    </w:p>
    <w:p w14:paraId="5050638A" w14:textId="0C0BAE66" w:rsidR="00671AD9" w:rsidRPr="00671AD9" w:rsidRDefault="00671AD9" w:rsidP="001659AA">
      <w:pPr>
        <w:pStyle w:val="1GAPara"/>
        <w:ind w:left="567" w:hanging="567"/>
        <w:jc w:val="both"/>
      </w:pPr>
      <w:r>
        <w:t xml:space="preserve">Pendant la période considérée, les </w:t>
      </w:r>
      <w:r w:rsidR="001659AA">
        <w:t xml:space="preserve">revenus </w:t>
      </w:r>
      <w:r>
        <w:t xml:space="preserve">du Fonds </w:t>
      </w:r>
      <w:r w:rsidR="001659AA">
        <w:t>étaient</w:t>
      </w:r>
      <w:r>
        <w:t xml:space="preserve"> constitués :</w:t>
      </w:r>
    </w:p>
    <w:tbl>
      <w:tblPr>
        <w:tblW w:w="9072" w:type="dxa"/>
        <w:tblInd w:w="675" w:type="dxa"/>
        <w:tblLayout w:type="fixed"/>
        <w:tblLook w:val="04A0" w:firstRow="1" w:lastRow="0" w:firstColumn="1" w:lastColumn="0" w:noHBand="0" w:noVBand="1"/>
      </w:tblPr>
      <w:tblGrid>
        <w:gridCol w:w="6946"/>
        <w:gridCol w:w="2126"/>
      </w:tblGrid>
      <w:tr w:rsidR="00671AD9" w:rsidRPr="00D06C23" w14:paraId="355FAAFA" w14:textId="77777777" w:rsidTr="0002321D">
        <w:trPr>
          <w:cantSplit/>
        </w:trPr>
        <w:tc>
          <w:tcPr>
            <w:tcW w:w="9072" w:type="dxa"/>
            <w:gridSpan w:val="2"/>
            <w:shd w:val="clear" w:color="auto" w:fill="auto"/>
          </w:tcPr>
          <w:p w14:paraId="37077D53" w14:textId="3F1DFA50" w:rsidR="00671AD9" w:rsidRPr="00D06C23" w:rsidRDefault="00671AD9" w:rsidP="00671AD9">
            <w:pPr>
              <w:pStyle w:val="Paragraph"/>
              <w:numPr>
                <w:ilvl w:val="0"/>
                <w:numId w:val="13"/>
              </w:numPr>
              <w:spacing w:before="60" w:after="60"/>
              <w:ind w:left="357" w:hanging="357"/>
              <w:rPr>
                <w:sz w:val="20"/>
                <w:szCs w:val="20"/>
              </w:rPr>
            </w:pPr>
            <w:r>
              <w:rPr>
                <w:sz w:val="20"/>
                <w:szCs w:val="20"/>
                <w:u w:val="single"/>
              </w:rPr>
              <w:t xml:space="preserve">Des contributions </w:t>
            </w:r>
            <w:r w:rsidR="00792F0C">
              <w:rPr>
                <w:sz w:val="20"/>
                <w:szCs w:val="20"/>
                <w:u w:val="single"/>
              </w:rPr>
              <w:t>rè</w:t>
            </w:r>
            <w:r w:rsidR="001659AA">
              <w:rPr>
                <w:sz w:val="20"/>
                <w:szCs w:val="20"/>
                <w:u w:val="single"/>
              </w:rPr>
              <w:t xml:space="preserve">glementaires </w:t>
            </w:r>
            <w:r>
              <w:rPr>
                <w:sz w:val="20"/>
                <w:szCs w:val="20"/>
                <w:u w:val="single"/>
              </w:rPr>
              <w:t>obligatoires et volontaires des États parties</w:t>
            </w:r>
            <w:r w:rsidRPr="00D06C23">
              <w:rPr>
                <w:rStyle w:val="FootnoteReference"/>
                <w:sz w:val="20"/>
                <w:szCs w:val="20"/>
              </w:rPr>
              <w:footnoteReference w:id="2"/>
            </w:r>
          </w:p>
        </w:tc>
      </w:tr>
      <w:tr w:rsidR="00671AD9" w:rsidRPr="00D06C23" w14:paraId="3356A4DE" w14:textId="77777777" w:rsidTr="0002321D">
        <w:trPr>
          <w:cantSplit/>
        </w:trPr>
        <w:tc>
          <w:tcPr>
            <w:tcW w:w="6946" w:type="dxa"/>
            <w:shd w:val="clear" w:color="auto" w:fill="auto"/>
            <w:vAlign w:val="center"/>
          </w:tcPr>
          <w:p w14:paraId="322EF9C9" w14:textId="3F3E110C" w:rsidR="00671AD9" w:rsidRPr="00915C9C" w:rsidRDefault="00671AD9" w:rsidP="00E9682C">
            <w:pPr>
              <w:pStyle w:val="Paragraph"/>
              <w:spacing w:before="60" w:after="60"/>
              <w:jc w:val="left"/>
              <w:rPr>
                <w:sz w:val="20"/>
                <w:szCs w:val="20"/>
              </w:rPr>
            </w:pPr>
            <w:r w:rsidRPr="00915C9C">
              <w:rPr>
                <w:sz w:val="20"/>
                <w:szCs w:val="20"/>
              </w:rPr>
              <w:t>Contributions obligatoires de 172 États parties à la Convention, comme prévu à l</w:t>
            </w:r>
            <w:r w:rsidR="00D96D0E" w:rsidRPr="00915C9C">
              <w:rPr>
                <w:sz w:val="20"/>
                <w:szCs w:val="20"/>
              </w:rPr>
              <w:t>’</w:t>
            </w:r>
            <w:r w:rsidRPr="00915C9C">
              <w:rPr>
                <w:sz w:val="20"/>
                <w:szCs w:val="20"/>
              </w:rPr>
              <w:t>article 26.1 de la Convention</w:t>
            </w:r>
          </w:p>
        </w:tc>
        <w:tc>
          <w:tcPr>
            <w:tcW w:w="2126" w:type="dxa"/>
            <w:shd w:val="clear" w:color="auto" w:fill="auto"/>
            <w:vAlign w:val="center"/>
          </w:tcPr>
          <w:p w14:paraId="4F315A01" w14:textId="77777777" w:rsidR="00671AD9" w:rsidRPr="00D06C23" w:rsidRDefault="00671AD9" w:rsidP="0002321D">
            <w:pPr>
              <w:pStyle w:val="Paragraph"/>
              <w:spacing w:before="60" w:after="60"/>
              <w:jc w:val="right"/>
              <w:rPr>
                <w:sz w:val="20"/>
                <w:szCs w:val="20"/>
              </w:rPr>
            </w:pPr>
            <w:r>
              <w:rPr>
                <w:sz w:val="20"/>
                <w:szCs w:val="20"/>
              </w:rPr>
              <w:t>1 791 754 dollars des États-Unis</w:t>
            </w:r>
          </w:p>
        </w:tc>
      </w:tr>
      <w:tr w:rsidR="00671AD9" w:rsidRPr="00D06C23" w14:paraId="17E39287" w14:textId="77777777" w:rsidTr="0002321D">
        <w:trPr>
          <w:cantSplit/>
        </w:trPr>
        <w:tc>
          <w:tcPr>
            <w:tcW w:w="6946" w:type="dxa"/>
            <w:shd w:val="clear" w:color="auto" w:fill="auto"/>
            <w:vAlign w:val="center"/>
          </w:tcPr>
          <w:p w14:paraId="1DFF9D96" w14:textId="462D935F" w:rsidR="00671AD9" w:rsidRPr="00915C9C" w:rsidRDefault="00671AD9" w:rsidP="00671AD9">
            <w:pPr>
              <w:pStyle w:val="Paragraph"/>
              <w:spacing w:before="60" w:after="60"/>
              <w:jc w:val="left"/>
              <w:rPr>
                <w:sz w:val="20"/>
                <w:szCs w:val="20"/>
              </w:rPr>
            </w:pPr>
            <w:r w:rsidRPr="00915C9C">
              <w:rPr>
                <w:sz w:val="20"/>
                <w:szCs w:val="20"/>
              </w:rPr>
              <w:t>Contributions volontaires de deux des cinq États parties qui, au moment de leur ratification, ont eu recours à l</w:t>
            </w:r>
            <w:r w:rsidR="00D96D0E" w:rsidRPr="00915C9C">
              <w:rPr>
                <w:sz w:val="20"/>
                <w:szCs w:val="20"/>
              </w:rPr>
              <w:t>’</w:t>
            </w:r>
            <w:r w:rsidRPr="00915C9C">
              <w:rPr>
                <w:sz w:val="20"/>
                <w:szCs w:val="20"/>
              </w:rPr>
              <w:t>article 26.2 de la Convention</w:t>
            </w:r>
          </w:p>
        </w:tc>
        <w:tc>
          <w:tcPr>
            <w:tcW w:w="2126" w:type="dxa"/>
            <w:shd w:val="clear" w:color="auto" w:fill="auto"/>
            <w:vAlign w:val="center"/>
          </w:tcPr>
          <w:p w14:paraId="724D3B29" w14:textId="7434ECA9" w:rsidR="00671AD9" w:rsidRPr="00D06C23" w:rsidRDefault="00671AD9" w:rsidP="009122CD">
            <w:pPr>
              <w:pStyle w:val="Paragraph"/>
              <w:spacing w:before="60" w:after="60"/>
              <w:jc w:val="right"/>
              <w:rPr>
                <w:sz w:val="20"/>
                <w:szCs w:val="20"/>
              </w:rPr>
            </w:pPr>
            <w:r>
              <w:rPr>
                <w:sz w:val="20"/>
                <w:szCs w:val="20"/>
              </w:rPr>
              <w:t>75 596 dollars des</w:t>
            </w:r>
            <w:r w:rsidR="009122CD">
              <w:rPr>
                <w:sz w:val="20"/>
                <w:szCs w:val="20"/>
              </w:rPr>
              <w:t> </w:t>
            </w:r>
            <w:r>
              <w:rPr>
                <w:sz w:val="20"/>
                <w:szCs w:val="20"/>
              </w:rPr>
              <w:t>États-Unis</w:t>
            </w:r>
          </w:p>
        </w:tc>
      </w:tr>
      <w:tr w:rsidR="00671AD9" w:rsidRPr="00D06C23" w14:paraId="6D37E79C" w14:textId="77777777" w:rsidTr="0002321D">
        <w:trPr>
          <w:cantSplit/>
        </w:trPr>
        <w:tc>
          <w:tcPr>
            <w:tcW w:w="6946" w:type="dxa"/>
            <w:shd w:val="clear" w:color="auto" w:fill="auto"/>
            <w:vAlign w:val="center"/>
          </w:tcPr>
          <w:p w14:paraId="1078F79F" w14:textId="77777777" w:rsidR="00671AD9" w:rsidRPr="00D06C23" w:rsidRDefault="00671AD9" w:rsidP="00671AD9">
            <w:pPr>
              <w:pStyle w:val="Paragraph"/>
              <w:numPr>
                <w:ilvl w:val="0"/>
                <w:numId w:val="13"/>
              </w:numPr>
              <w:spacing w:before="60" w:after="60"/>
              <w:ind w:left="357" w:hanging="357"/>
              <w:jc w:val="left"/>
              <w:rPr>
                <w:sz w:val="20"/>
                <w:szCs w:val="20"/>
              </w:rPr>
            </w:pPr>
            <w:r>
              <w:rPr>
                <w:sz w:val="20"/>
                <w:szCs w:val="20"/>
                <w:u w:val="single"/>
              </w:rPr>
              <w:t>Des contributions volontaires supplémentaires</w:t>
            </w:r>
          </w:p>
        </w:tc>
        <w:tc>
          <w:tcPr>
            <w:tcW w:w="2126" w:type="dxa"/>
            <w:shd w:val="clear" w:color="auto" w:fill="auto"/>
            <w:vAlign w:val="center"/>
          </w:tcPr>
          <w:p w14:paraId="0BC0598B" w14:textId="77777777" w:rsidR="00671AD9" w:rsidRPr="00D06C23" w:rsidRDefault="00671AD9" w:rsidP="0002321D">
            <w:pPr>
              <w:pStyle w:val="Paragraph"/>
              <w:spacing w:before="60" w:after="60"/>
              <w:jc w:val="right"/>
              <w:rPr>
                <w:sz w:val="20"/>
                <w:szCs w:val="20"/>
              </w:rPr>
            </w:pPr>
          </w:p>
        </w:tc>
      </w:tr>
      <w:tr w:rsidR="00671AD9" w:rsidRPr="00D06C23" w14:paraId="3E769142" w14:textId="77777777" w:rsidTr="0002321D">
        <w:trPr>
          <w:cantSplit/>
        </w:trPr>
        <w:tc>
          <w:tcPr>
            <w:tcW w:w="6946" w:type="dxa"/>
            <w:shd w:val="clear" w:color="auto" w:fill="auto"/>
            <w:vAlign w:val="center"/>
          </w:tcPr>
          <w:p w14:paraId="14BD3BC4" w14:textId="6F9F81C9" w:rsidR="00671AD9" w:rsidRPr="00D06C23" w:rsidRDefault="00671AD9" w:rsidP="00212478">
            <w:pPr>
              <w:pStyle w:val="Paragraph"/>
              <w:keepNext/>
              <w:spacing w:before="60" w:after="60"/>
              <w:jc w:val="left"/>
              <w:rPr>
                <w:i/>
                <w:sz w:val="20"/>
                <w:szCs w:val="20"/>
              </w:rPr>
            </w:pPr>
            <w:r>
              <w:rPr>
                <w:bCs w:val="0"/>
                <w:i/>
                <w:iCs/>
                <w:sz w:val="20"/>
                <w:szCs w:val="20"/>
              </w:rPr>
              <w:t>Sous-fonds créé dans le cadre du Fonds du patrimoine culturel immatériel et destiné exclusivement au renforcement des capacités humaines du Secrétariat</w:t>
            </w:r>
            <w:r>
              <w:rPr>
                <w:i/>
                <w:sz w:val="20"/>
                <w:szCs w:val="20"/>
              </w:rPr>
              <w:t xml:space="preserve"> (</w:t>
            </w:r>
            <w:hyperlink r:id="rId11" w:history="1">
              <w:r>
                <w:rPr>
                  <w:rStyle w:val="Hyperlink"/>
                  <w:i/>
                  <w:sz w:val="20"/>
                  <w:szCs w:val="20"/>
                </w:rPr>
                <w:t>résolution 3.GA 9</w:t>
              </w:r>
            </w:hyperlink>
            <w:r>
              <w:rPr>
                <w:i/>
                <w:sz w:val="20"/>
                <w:szCs w:val="20"/>
              </w:rPr>
              <w:t>)</w:t>
            </w:r>
          </w:p>
        </w:tc>
        <w:tc>
          <w:tcPr>
            <w:tcW w:w="2126" w:type="dxa"/>
            <w:shd w:val="clear" w:color="auto" w:fill="auto"/>
            <w:vAlign w:val="center"/>
          </w:tcPr>
          <w:p w14:paraId="3AAA9DDA" w14:textId="77777777" w:rsidR="00671AD9" w:rsidRPr="00D06C23" w:rsidRDefault="00671AD9" w:rsidP="0002321D">
            <w:pPr>
              <w:pStyle w:val="Paragraph"/>
              <w:spacing w:before="60" w:after="60"/>
              <w:jc w:val="right"/>
              <w:rPr>
                <w:sz w:val="20"/>
                <w:szCs w:val="20"/>
              </w:rPr>
            </w:pPr>
          </w:p>
        </w:tc>
      </w:tr>
      <w:tr w:rsidR="00671AD9" w:rsidRPr="00D06C23" w14:paraId="38B1827F" w14:textId="77777777" w:rsidTr="0002321D">
        <w:trPr>
          <w:cantSplit/>
        </w:trPr>
        <w:tc>
          <w:tcPr>
            <w:tcW w:w="6946" w:type="dxa"/>
            <w:shd w:val="clear" w:color="auto" w:fill="auto"/>
            <w:vAlign w:val="center"/>
          </w:tcPr>
          <w:p w14:paraId="65AF5B61" w14:textId="77777777" w:rsidR="00671AD9" w:rsidRPr="00D06C23" w:rsidRDefault="008002D1" w:rsidP="0002321D">
            <w:pPr>
              <w:pStyle w:val="Paragraph"/>
              <w:spacing w:before="60" w:after="60"/>
              <w:ind w:left="317"/>
              <w:jc w:val="left"/>
              <w:rPr>
                <w:sz w:val="20"/>
                <w:szCs w:val="20"/>
              </w:rPr>
            </w:pPr>
            <w:r>
              <w:rPr>
                <w:sz w:val="20"/>
                <w:szCs w:val="20"/>
              </w:rPr>
              <w:t xml:space="preserve">Chine, Finlande et Monténégro </w:t>
            </w:r>
          </w:p>
        </w:tc>
        <w:tc>
          <w:tcPr>
            <w:tcW w:w="2126" w:type="dxa"/>
            <w:shd w:val="clear" w:color="auto" w:fill="auto"/>
            <w:vAlign w:val="center"/>
          </w:tcPr>
          <w:p w14:paraId="1351803E" w14:textId="1BD83119" w:rsidR="00671AD9" w:rsidRPr="00D06C23" w:rsidRDefault="009122CD" w:rsidP="0002321D">
            <w:pPr>
              <w:pStyle w:val="Paragraph"/>
              <w:spacing w:before="60" w:after="60"/>
              <w:jc w:val="right"/>
              <w:rPr>
                <w:sz w:val="20"/>
                <w:szCs w:val="20"/>
              </w:rPr>
            </w:pPr>
            <w:r>
              <w:rPr>
                <w:sz w:val="20"/>
                <w:szCs w:val="20"/>
              </w:rPr>
              <w:t>54 050 dollars des </w:t>
            </w:r>
            <w:r w:rsidR="00671AD9">
              <w:rPr>
                <w:sz w:val="20"/>
                <w:szCs w:val="20"/>
              </w:rPr>
              <w:t>États-Unis</w:t>
            </w:r>
          </w:p>
        </w:tc>
      </w:tr>
      <w:tr w:rsidR="00671AD9" w:rsidRPr="00D06C23" w14:paraId="3BF77DC4" w14:textId="77777777" w:rsidTr="0002321D">
        <w:trPr>
          <w:cantSplit/>
        </w:trPr>
        <w:tc>
          <w:tcPr>
            <w:tcW w:w="6946" w:type="dxa"/>
            <w:shd w:val="clear" w:color="auto" w:fill="auto"/>
            <w:vAlign w:val="center"/>
          </w:tcPr>
          <w:p w14:paraId="0CE80FEA" w14:textId="77777777" w:rsidR="00671AD9" w:rsidRPr="00D06C23" w:rsidRDefault="00671AD9" w:rsidP="00671AD9">
            <w:pPr>
              <w:pStyle w:val="Paragraph"/>
              <w:numPr>
                <w:ilvl w:val="0"/>
                <w:numId w:val="13"/>
              </w:numPr>
              <w:spacing w:before="60" w:after="60"/>
              <w:ind w:left="357" w:hanging="357"/>
              <w:jc w:val="left"/>
              <w:rPr>
                <w:color w:val="auto"/>
                <w:sz w:val="20"/>
                <w:szCs w:val="20"/>
              </w:rPr>
            </w:pPr>
            <w:r>
              <w:rPr>
                <w:sz w:val="20"/>
                <w:szCs w:val="20"/>
                <w:u w:val="single"/>
              </w:rPr>
              <w:t>Des intérêts acquis sur les ressources du Fonds</w:t>
            </w:r>
          </w:p>
        </w:tc>
        <w:tc>
          <w:tcPr>
            <w:tcW w:w="2126" w:type="dxa"/>
            <w:shd w:val="clear" w:color="auto" w:fill="auto"/>
            <w:vAlign w:val="center"/>
          </w:tcPr>
          <w:p w14:paraId="3DB74C50" w14:textId="6CC3280C" w:rsidR="00671AD9" w:rsidRPr="00D06C23" w:rsidRDefault="00671AD9" w:rsidP="009122CD">
            <w:pPr>
              <w:pStyle w:val="Paragraph"/>
              <w:spacing w:before="60" w:after="60"/>
              <w:jc w:val="right"/>
              <w:rPr>
                <w:sz w:val="20"/>
                <w:szCs w:val="20"/>
              </w:rPr>
            </w:pPr>
            <w:r>
              <w:rPr>
                <w:sz w:val="20"/>
                <w:szCs w:val="20"/>
              </w:rPr>
              <w:t>101 145 dollars des</w:t>
            </w:r>
            <w:r w:rsidR="009122CD">
              <w:rPr>
                <w:sz w:val="20"/>
                <w:szCs w:val="20"/>
              </w:rPr>
              <w:t> </w:t>
            </w:r>
            <w:r>
              <w:rPr>
                <w:sz w:val="20"/>
                <w:szCs w:val="20"/>
              </w:rPr>
              <w:t>États-Unis</w:t>
            </w:r>
          </w:p>
        </w:tc>
      </w:tr>
      <w:tr w:rsidR="00671AD9" w:rsidRPr="00D06C23" w14:paraId="3A655F83" w14:textId="77777777" w:rsidTr="0002321D">
        <w:trPr>
          <w:cantSplit/>
        </w:trPr>
        <w:tc>
          <w:tcPr>
            <w:tcW w:w="6946" w:type="dxa"/>
            <w:shd w:val="clear" w:color="auto" w:fill="auto"/>
            <w:vAlign w:val="center"/>
          </w:tcPr>
          <w:p w14:paraId="20A0A6D7" w14:textId="77777777" w:rsidR="00671AD9" w:rsidRPr="00D06C23" w:rsidRDefault="00671AD9" w:rsidP="0002321D">
            <w:pPr>
              <w:pStyle w:val="Paragraph"/>
              <w:spacing w:before="60" w:after="60"/>
              <w:ind w:firstLine="34"/>
              <w:jc w:val="right"/>
              <w:rPr>
                <w:sz w:val="20"/>
                <w:szCs w:val="20"/>
              </w:rPr>
            </w:pPr>
          </w:p>
        </w:tc>
        <w:tc>
          <w:tcPr>
            <w:tcW w:w="2126" w:type="dxa"/>
            <w:shd w:val="clear" w:color="auto" w:fill="auto"/>
            <w:vAlign w:val="center"/>
          </w:tcPr>
          <w:p w14:paraId="4E2D4964" w14:textId="77777777" w:rsidR="00671AD9" w:rsidRPr="00D06C23" w:rsidRDefault="00671AD9" w:rsidP="0002321D">
            <w:pPr>
              <w:pStyle w:val="Paragraph"/>
              <w:spacing w:before="60" w:after="60"/>
              <w:jc w:val="right"/>
              <w:rPr>
                <w:sz w:val="20"/>
                <w:szCs w:val="20"/>
              </w:rPr>
            </w:pPr>
          </w:p>
        </w:tc>
      </w:tr>
      <w:tr w:rsidR="00671AD9" w:rsidRPr="00D06C23" w14:paraId="111CC734" w14:textId="77777777" w:rsidTr="0002321D">
        <w:trPr>
          <w:cantSplit/>
        </w:trPr>
        <w:tc>
          <w:tcPr>
            <w:tcW w:w="6946" w:type="dxa"/>
            <w:shd w:val="clear" w:color="auto" w:fill="auto"/>
            <w:vAlign w:val="center"/>
          </w:tcPr>
          <w:p w14:paraId="5E0E0ACA" w14:textId="77777777" w:rsidR="00671AD9" w:rsidRPr="00D06C23" w:rsidRDefault="00671AD9" w:rsidP="0002321D">
            <w:pPr>
              <w:pStyle w:val="Paragraph"/>
              <w:spacing w:before="60" w:after="60"/>
              <w:ind w:firstLine="34"/>
              <w:jc w:val="right"/>
              <w:rPr>
                <w:b/>
                <w:sz w:val="20"/>
                <w:szCs w:val="20"/>
              </w:rPr>
            </w:pPr>
            <w:r>
              <w:rPr>
                <w:b/>
                <w:sz w:val="20"/>
                <w:szCs w:val="20"/>
              </w:rPr>
              <w:t>TOTAL</w:t>
            </w:r>
          </w:p>
        </w:tc>
        <w:tc>
          <w:tcPr>
            <w:tcW w:w="2126" w:type="dxa"/>
            <w:shd w:val="clear" w:color="auto" w:fill="auto"/>
            <w:vAlign w:val="center"/>
          </w:tcPr>
          <w:p w14:paraId="5BC0DE4B" w14:textId="462518FC" w:rsidR="00671AD9" w:rsidRPr="00D06C23" w:rsidRDefault="00671AD9" w:rsidP="009122CD">
            <w:pPr>
              <w:pStyle w:val="Paragraph"/>
              <w:spacing w:before="60" w:after="60"/>
              <w:jc w:val="right"/>
              <w:rPr>
                <w:b/>
                <w:sz w:val="20"/>
                <w:szCs w:val="20"/>
              </w:rPr>
            </w:pPr>
            <w:r>
              <w:rPr>
                <w:b/>
                <w:sz w:val="20"/>
                <w:szCs w:val="20"/>
              </w:rPr>
              <w:t>2 022 545 dollars des</w:t>
            </w:r>
            <w:r w:rsidR="009122CD">
              <w:rPr>
                <w:b/>
                <w:sz w:val="20"/>
                <w:szCs w:val="20"/>
              </w:rPr>
              <w:t> </w:t>
            </w:r>
            <w:r>
              <w:rPr>
                <w:b/>
                <w:sz w:val="20"/>
                <w:szCs w:val="20"/>
              </w:rPr>
              <w:t>États-Unis</w:t>
            </w:r>
          </w:p>
        </w:tc>
      </w:tr>
    </w:tbl>
    <w:p w14:paraId="0203203E" w14:textId="71CD6340" w:rsidR="00C53121" w:rsidRDefault="00625F18" w:rsidP="00915C9C">
      <w:pPr>
        <w:pStyle w:val="1GAPara"/>
        <w:spacing w:before="240"/>
        <w:ind w:left="567" w:hanging="567"/>
        <w:jc w:val="both"/>
      </w:pPr>
      <w:r>
        <w:t>Le total des revenus</w:t>
      </w:r>
      <w:r w:rsidR="00FA5C39">
        <w:t xml:space="preserve"> au 30 juin 2018 </w:t>
      </w:r>
      <w:r>
        <w:t xml:space="preserve">est </w:t>
      </w:r>
      <w:r w:rsidR="00FA5C39">
        <w:t xml:space="preserve">supérieur de seulement 2,9 % à </w:t>
      </w:r>
      <w:r w:rsidR="005470D9">
        <w:t xml:space="preserve">celui </w:t>
      </w:r>
      <w:r w:rsidR="00FA5C39">
        <w:t>de l</w:t>
      </w:r>
      <w:r w:rsidR="00D96D0E">
        <w:t>’</w:t>
      </w:r>
      <w:r w:rsidR="00FA5C39">
        <w:t xml:space="preserve">exercice biennal précédent pour la période allant du 1er janvier 2016 au 30 juin 2016. Cette stagnation </w:t>
      </w:r>
      <w:r w:rsidR="00FA5C39">
        <w:lastRenderedPageBreak/>
        <w:t>relative contraste avec l</w:t>
      </w:r>
      <w:r w:rsidR="00D96D0E">
        <w:t>’</w:t>
      </w:r>
      <w:r w:rsidR="00FA5C39">
        <w:t>augmentation de 6</w:t>
      </w:r>
      <w:r w:rsidR="00915C9C">
        <w:t> </w:t>
      </w:r>
      <w:r w:rsidR="00FA5C39">
        <w:t>% du nombre d</w:t>
      </w:r>
      <w:r w:rsidR="00D96D0E">
        <w:t>’</w:t>
      </w:r>
      <w:r w:rsidR="00FA5C39">
        <w:t>États parties à la Convention par rapport à la même période de l</w:t>
      </w:r>
      <w:r w:rsidR="00D96D0E">
        <w:t>’</w:t>
      </w:r>
      <w:r w:rsidR="00FA5C39">
        <w:t>exercice biennal précédent (178 contre 167). Cette situation peut s</w:t>
      </w:r>
      <w:r w:rsidR="00D96D0E">
        <w:t>’</w:t>
      </w:r>
      <w:r w:rsidR="00FA5C39">
        <w:t xml:space="preserve">expliquer par la baisse des contributions volontaires supplémentaires reçues, en particulier celles destinées à des activités spécifiques, qui ont chuté de façon </w:t>
      </w:r>
      <w:r w:rsidR="00613F5F">
        <w:t xml:space="preserve">drastique </w:t>
      </w:r>
      <w:r w:rsidR="00FA5C39">
        <w:t>puisqu</w:t>
      </w:r>
      <w:r w:rsidR="00D96D0E">
        <w:t>’</w:t>
      </w:r>
      <w:r w:rsidR="00FA5C39">
        <w:t>aucune contribution de ce type n</w:t>
      </w:r>
      <w:r w:rsidR="00D96D0E">
        <w:t>’</w:t>
      </w:r>
      <w:r w:rsidR="00FA5C39">
        <w:t>a été reçue pendant la période considérée. Dans le même temps, la chute des contributions volontaires supplémentaires reçues est partiellement compensée par l</w:t>
      </w:r>
      <w:r w:rsidR="00D96D0E">
        <w:t>’</w:t>
      </w:r>
      <w:r w:rsidR="00FA5C39">
        <w:t>augmentation des intérêts produits, qui sont passés de 42 550 dollars des États-Unis à 101 145 dollars des États-Unis.</w:t>
      </w:r>
    </w:p>
    <w:p w14:paraId="428D146E" w14:textId="7EA8EB8C" w:rsidR="00C53121" w:rsidRPr="00915C9C" w:rsidRDefault="00C53121" w:rsidP="00915C9C">
      <w:pPr>
        <w:pStyle w:val="1GAPara"/>
        <w:spacing w:before="120"/>
        <w:ind w:left="567" w:hanging="567"/>
        <w:jc w:val="both"/>
      </w:pPr>
      <w:r w:rsidRPr="00915C9C">
        <w:t>L</w:t>
      </w:r>
      <w:r w:rsidR="00D96D0E" w:rsidRPr="00915C9C">
        <w:t>’</w:t>
      </w:r>
      <w:r w:rsidRPr="00915C9C">
        <w:t xml:space="preserve">état des contributions </w:t>
      </w:r>
      <w:r w:rsidR="005470D9" w:rsidRPr="00915C9C">
        <w:t xml:space="preserve">règlementaires </w:t>
      </w:r>
      <w:r w:rsidRPr="00915C9C">
        <w:t>obligatoires et volontaires, qui figure en annexe 4 de ce document, montre qu</w:t>
      </w:r>
      <w:r w:rsidR="00D96D0E" w:rsidRPr="00915C9C">
        <w:t>’</w:t>
      </w:r>
      <w:r w:rsidRPr="00915C9C">
        <w:t xml:space="preserve">au 30 juin 2018, le montant total des contributions </w:t>
      </w:r>
      <w:r w:rsidR="00613F5F" w:rsidRPr="00915C9C">
        <w:t xml:space="preserve">règlementaires </w:t>
      </w:r>
      <w:r w:rsidRPr="00915C9C">
        <w:t>obligatoires impayées s</w:t>
      </w:r>
      <w:r w:rsidR="00D96D0E" w:rsidRPr="00915C9C">
        <w:t>’</w:t>
      </w:r>
      <w:r w:rsidRPr="00915C9C">
        <w:t>élevait à 1 228 441</w:t>
      </w:r>
      <w:r w:rsidR="00915C9C" w:rsidRPr="00915C9C">
        <w:t> </w:t>
      </w:r>
      <w:r w:rsidRPr="00915C9C">
        <w:t>dollars des États-Unis. Sur cette somme, 826 391</w:t>
      </w:r>
      <w:r w:rsidR="00915C9C" w:rsidRPr="00915C9C">
        <w:t> </w:t>
      </w:r>
      <w:r w:rsidRPr="00915C9C">
        <w:t xml:space="preserve">dollars des États-Unis correspondent à des contributions </w:t>
      </w:r>
      <w:r w:rsidR="00613F5F" w:rsidRPr="00915C9C">
        <w:t>règlementai</w:t>
      </w:r>
      <w:bookmarkStart w:id="0" w:name="_GoBack"/>
      <w:bookmarkEnd w:id="0"/>
      <w:r w:rsidR="00613F5F" w:rsidRPr="00915C9C">
        <w:t xml:space="preserve">res </w:t>
      </w:r>
      <w:r w:rsidRPr="00915C9C">
        <w:t>mises en recouvrement pour 2018 ; le reste, 402 050</w:t>
      </w:r>
      <w:r w:rsidR="00915C9C" w:rsidRPr="00915C9C">
        <w:t> </w:t>
      </w:r>
      <w:r w:rsidRPr="00915C9C">
        <w:t>dollars des États-Unis, sont des arriérés des contributions obligatoires fixées pour l</w:t>
      </w:r>
      <w:r w:rsidR="00D96D0E" w:rsidRPr="00915C9C">
        <w:t>’</w:t>
      </w:r>
      <w:r w:rsidRPr="00915C9C">
        <w:t>exercice biennal précédent. Sur les 172 États parties dont les obligations de versement sont décrites à l</w:t>
      </w:r>
      <w:r w:rsidR="00D96D0E" w:rsidRPr="00915C9C">
        <w:t>’</w:t>
      </w:r>
      <w:r w:rsidRPr="00915C9C">
        <w:t>article 26.1</w:t>
      </w:r>
      <w:r w:rsidR="00917602" w:rsidRPr="00915C9C">
        <w:rPr>
          <w:rStyle w:val="FootnoteReference"/>
          <w:rFonts w:eastAsia="SimSun"/>
          <w:lang w:val="en-US"/>
        </w:rPr>
        <w:footnoteReference w:id="3"/>
      </w:r>
      <w:r w:rsidRPr="00915C9C">
        <w:t xml:space="preserve"> de la Convention, 85 sont à jour du paiement de leurs contributions </w:t>
      </w:r>
      <w:r w:rsidR="007542D9" w:rsidRPr="00915C9C">
        <w:t xml:space="preserve">règlementaires </w:t>
      </w:r>
      <w:r w:rsidRPr="00915C9C">
        <w:t>obligatoires et 87 sont en retard, parmi lesquels 42 étaient en retard vis-à-vis des contributions obligatoires fixées pour l</w:t>
      </w:r>
      <w:r w:rsidR="00D96D0E" w:rsidRPr="00915C9C">
        <w:t>’</w:t>
      </w:r>
      <w:r w:rsidRPr="00915C9C">
        <w:t>exercice biennal précédent. Le dernier paiement de quatorze États parties remonte à avant 2016.</w:t>
      </w:r>
    </w:p>
    <w:p w14:paraId="258A1864" w14:textId="3AE0FAC8" w:rsidR="00C07852" w:rsidRPr="00F410D6" w:rsidRDefault="00C07852" w:rsidP="00915C9C">
      <w:pPr>
        <w:pStyle w:val="Default"/>
        <w:keepNext/>
        <w:spacing w:before="240" w:after="120"/>
        <w:jc w:val="both"/>
        <w:rPr>
          <w:b/>
          <w:bCs/>
          <w:color w:val="auto"/>
          <w:sz w:val="22"/>
          <w:szCs w:val="22"/>
        </w:rPr>
      </w:pPr>
      <w:r>
        <w:rPr>
          <w:b/>
          <w:bCs/>
          <w:color w:val="auto"/>
          <w:sz w:val="22"/>
          <w:szCs w:val="22"/>
        </w:rPr>
        <w:t>Échelonnement des crédits et des dépenses pour la période du 1e</w:t>
      </w:r>
      <w:r w:rsidR="00915C9C">
        <w:rPr>
          <w:b/>
          <w:bCs/>
          <w:color w:val="auto"/>
          <w:sz w:val="22"/>
          <w:szCs w:val="22"/>
        </w:rPr>
        <w:t>r janvier 2018 au 30 juin </w:t>
      </w:r>
      <w:r>
        <w:rPr>
          <w:b/>
          <w:bCs/>
          <w:color w:val="auto"/>
          <w:sz w:val="22"/>
          <w:szCs w:val="22"/>
        </w:rPr>
        <w:t>2018 (état financier I.I)</w:t>
      </w:r>
    </w:p>
    <w:p w14:paraId="3DD66867" w14:textId="0DEA9A2D" w:rsidR="00E22B99" w:rsidRDefault="00C07852" w:rsidP="009F198F">
      <w:pPr>
        <w:pStyle w:val="1GAPara"/>
        <w:ind w:left="567" w:hanging="567"/>
        <w:jc w:val="both"/>
      </w:pPr>
      <w:r>
        <w:t>Le montant total du budget opérationnel approuvé par la septième session de l</w:t>
      </w:r>
      <w:r w:rsidR="00D96D0E">
        <w:t>’</w:t>
      </w:r>
      <w:r>
        <w:t>Assemblée générale dans l</w:t>
      </w:r>
      <w:r w:rsidR="00D96D0E">
        <w:t>’</w:t>
      </w:r>
      <w:r>
        <w:t>échelonnement des cré</w:t>
      </w:r>
      <w:r w:rsidR="009F198F">
        <w:t>dits et des dépenses (8 590 922 </w:t>
      </w:r>
      <w:r>
        <w:t>dollars des États-Unis) correspond au solde du Fonds</w:t>
      </w:r>
      <w:r w:rsidR="009F198F">
        <w:t xml:space="preserve"> au 1er janvier 2018 (9 590 922 </w:t>
      </w:r>
      <w:r>
        <w:t>dollars des États-Unis) moins le Fonds de réserve accumulé (1 000 000</w:t>
      </w:r>
      <w:r w:rsidR="009F198F">
        <w:t> </w:t>
      </w:r>
      <w:r>
        <w:t>dollars des États-Unis) à la même date. Ce Fonds de réserve a été créé, conformément au Règlement financier du Fonds, afin de pouvoir accorder une assistance internationale en cas d</w:t>
      </w:r>
      <w:r w:rsidR="00D96D0E">
        <w:t>’</w:t>
      </w:r>
      <w:r>
        <w:t>extrême urgence et d</w:t>
      </w:r>
      <w:r w:rsidR="00D96D0E">
        <w:t>’</w:t>
      </w:r>
      <w:r>
        <w:t>épuisement des fonds alloués à l</w:t>
      </w:r>
      <w:r w:rsidR="00D96D0E">
        <w:t>’</w:t>
      </w:r>
      <w:r>
        <w:t>assistance internationale (ligne budgétaire 1).</w:t>
      </w:r>
    </w:p>
    <w:p w14:paraId="65701A79" w14:textId="53DA09A6" w:rsidR="005069A9" w:rsidRDefault="005069A9" w:rsidP="009F198F">
      <w:pPr>
        <w:pStyle w:val="1GAPara"/>
        <w:ind w:left="567" w:hanging="567"/>
        <w:jc w:val="both"/>
      </w:pPr>
      <w:r>
        <w:t>Selon le rapport financier, les dépenses totales s</w:t>
      </w:r>
      <w:r w:rsidR="00D96D0E">
        <w:t>’</w:t>
      </w:r>
      <w:r>
        <w:t>élevaient à 1 384 940</w:t>
      </w:r>
      <w:r w:rsidR="009F198F">
        <w:t> </w:t>
      </w:r>
      <w:r>
        <w:t>dollars des États-Unis au 30 juin 2018, soit 16,1 % du budget opérationnel approuvé par la septième session de l</w:t>
      </w:r>
      <w:r w:rsidR="00D96D0E">
        <w:t>’</w:t>
      </w:r>
      <w:r>
        <w:t xml:space="preserve">Assemblée générale dans sa </w:t>
      </w:r>
      <w:hyperlink r:id="rId12" w:history="1">
        <w:r>
          <w:rPr>
            <w:rStyle w:val="Hyperlink"/>
          </w:rPr>
          <w:t>résolution 7.GA 8</w:t>
        </w:r>
      </w:hyperlink>
      <w:r>
        <w:t>. Les dépenses totales, pour la période considérée, représentent une augmentation de 119 % par rapport à la même période de l</w:t>
      </w:r>
      <w:r w:rsidR="00D96D0E">
        <w:t>’</w:t>
      </w:r>
      <w:r>
        <w:t>exer</w:t>
      </w:r>
      <w:r w:rsidR="009F198F">
        <w:t>cice biennal précédent (633 793 </w:t>
      </w:r>
      <w:r>
        <w:t>dollars des États-Unis) et confirment la tendance positive déjà observée dans les rapports précédents. Les explications relatives à chaque ligne budgétaire de l</w:t>
      </w:r>
      <w:r w:rsidR="00D96D0E">
        <w:t>’</w:t>
      </w:r>
      <w:r>
        <w:t>échelonnement des crédits et dépenses sont données ci-dessous.</w:t>
      </w:r>
    </w:p>
    <w:p w14:paraId="18B472BE" w14:textId="0BD3BCFA" w:rsidR="001E59F9" w:rsidRPr="009F198F" w:rsidRDefault="001E59F9" w:rsidP="00795B57">
      <w:pPr>
        <w:pStyle w:val="1GAPara"/>
        <w:ind w:left="567" w:hanging="567"/>
        <w:jc w:val="both"/>
      </w:pPr>
      <w:r w:rsidRPr="009F198F">
        <w:t>L</w:t>
      </w:r>
      <w:r w:rsidR="00D96D0E" w:rsidRPr="009F198F">
        <w:t>’</w:t>
      </w:r>
      <w:r w:rsidRPr="009F198F">
        <w:t>augmentation générale des dépenses est essentiellement due à l</w:t>
      </w:r>
      <w:r w:rsidR="00D96D0E" w:rsidRPr="009F198F">
        <w:t>’</w:t>
      </w:r>
      <w:r w:rsidRPr="009F198F">
        <w:t>augmentation du taux de dépense de la</w:t>
      </w:r>
      <w:r w:rsidRPr="00CF3625">
        <w:rPr>
          <w:bCs/>
        </w:rPr>
        <w:t xml:space="preserve"> </w:t>
      </w:r>
      <w:r w:rsidRPr="009F198F">
        <w:rPr>
          <w:b/>
        </w:rPr>
        <w:t>ligne budgétaire 1</w:t>
      </w:r>
      <w:r w:rsidRPr="00CF3625">
        <w:rPr>
          <w:bCs/>
        </w:rPr>
        <w:t xml:space="preserve"> </w:t>
      </w:r>
      <w:r w:rsidRPr="009F198F">
        <w:t>(assistance internationale) qui, au 30 juin 2018, représentait 20,9 % du budget approuvé pour cette ligne budgétaire spécifique, contre 5,7 % pour la même période de l</w:t>
      </w:r>
      <w:r w:rsidR="00D96D0E" w:rsidRPr="009F198F">
        <w:t>’</w:t>
      </w:r>
      <w:r w:rsidRPr="009F198F">
        <w:t>exercice biennal précédent. Ces dépenses correspondent uniquement à l</w:t>
      </w:r>
      <w:r w:rsidR="00D96D0E" w:rsidRPr="009F198F">
        <w:t>’</w:t>
      </w:r>
      <w:r w:rsidRPr="009F198F">
        <w:t>assistance internationale qui a fait l</w:t>
      </w:r>
      <w:r w:rsidR="00D96D0E" w:rsidRPr="009F198F">
        <w:t>’</w:t>
      </w:r>
      <w:r w:rsidRPr="009F198F">
        <w:t>objet d</w:t>
      </w:r>
      <w:r w:rsidR="00D96D0E" w:rsidRPr="009F198F">
        <w:t>’</w:t>
      </w:r>
      <w:r w:rsidRPr="009F198F">
        <w:t>un contrat avant la fin de la période considérée. À cet égard, dix demandes d</w:t>
      </w:r>
      <w:r w:rsidR="00D96D0E" w:rsidRPr="009F198F">
        <w:t>’</w:t>
      </w:r>
      <w:r w:rsidRPr="009F198F">
        <w:t>assistance internationale approuvées par le Bureau du Comité durant les six premiers mois de 2018, pour un montant total de 968 482 dollars des États-Unis, ne sont pas reflétées dans le présent rapport financier, du fait qu</w:t>
      </w:r>
      <w:r w:rsidR="00D96D0E" w:rsidRPr="009F198F">
        <w:t>’</w:t>
      </w:r>
      <w:r w:rsidRPr="009F198F">
        <w:t>aucun de leurs contrats n</w:t>
      </w:r>
      <w:r w:rsidR="00D96D0E" w:rsidRPr="009F198F">
        <w:t>’</w:t>
      </w:r>
      <w:r w:rsidR="009F198F">
        <w:t>a pu démarrer avant le 30 juin </w:t>
      </w:r>
      <w:r w:rsidRPr="009F198F">
        <w:t>2018. Par conséquent, une augmentation considérable du taux de dépense de la ligne budgétaire 1 devrait avoir lieu d</w:t>
      </w:r>
      <w:r w:rsidR="00D96D0E" w:rsidRPr="009F198F">
        <w:t>’</w:t>
      </w:r>
      <w:r w:rsidRPr="009F198F">
        <w:t>ici au prochain rapport financier (31 décem</w:t>
      </w:r>
      <w:r w:rsidR="009F198F">
        <w:t>bre </w:t>
      </w:r>
      <w:r w:rsidRPr="009F198F">
        <w:t xml:space="preserve">2018). Enfin, le rapport inclut la nouvelle </w:t>
      </w:r>
      <w:r w:rsidRPr="009F198F">
        <w:rPr>
          <w:b/>
        </w:rPr>
        <w:t>ligne budgétaire 1.1</w:t>
      </w:r>
      <w:r w:rsidRPr="009F198F">
        <w:rPr>
          <w:bCs/>
        </w:rPr>
        <w:t xml:space="preserve">, </w:t>
      </w:r>
      <w:r w:rsidRPr="009F198F">
        <w:t>approuvée par la résolution susmentionnée de l</w:t>
      </w:r>
      <w:r w:rsidR="00D96D0E" w:rsidRPr="009F198F">
        <w:t>’</w:t>
      </w:r>
      <w:r w:rsidRPr="009F198F">
        <w:t>Assemblée générale dans le but de créer trois postes à durée déterminée, financés par des fonds extrabudgétaires, pour constituer une équipe chargée d</w:t>
      </w:r>
      <w:r w:rsidR="00D96D0E" w:rsidRPr="009F198F">
        <w:t>’</w:t>
      </w:r>
      <w:r w:rsidRPr="009F198F">
        <w:t>améliorer la mise en œuvre du mécanisme d</w:t>
      </w:r>
      <w:r w:rsidR="00D96D0E" w:rsidRPr="009F198F">
        <w:t>’</w:t>
      </w:r>
      <w:r w:rsidRPr="009F198F">
        <w:t xml:space="preserve">assistance internationale, notamment son suivi. </w:t>
      </w:r>
      <w:r w:rsidRPr="009F198F">
        <w:lastRenderedPageBreak/>
        <w:t>Étant donné que l</w:t>
      </w:r>
      <w:r w:rsidR="00D96D0E" w:rsidRPr="009F198F">
        <w:t>’</w:t>
      </w:r>
      <w:r w:rsidRPr="009F198F">
        <w:t>Assemblée générale n</w:t>
      </w:r>
      <w:r w:rsidR="00D96D0E" w:rsidRPr="009F198F">
        <w:t>’</w:t>
      </w:r>
      <w:r w:rsidRPr="009F198F">
        <w:t>a approuvé la création de cette ligne secondaire qu</w:t>
      </w:r>
      <w:r w:rsidR="00D96D0E" w:rsidRPr="009F198F">
        <w:t>’</w:t>
      </w:r>
      <w:r w:rsidRPr="009F198F">
        <w:t>en juin 2018 et que les recrutements sont en cours, cette ligne budgétaire ne contient aucune dépense pour la période considérée.</w:t>
      </w:r>
    </w:p>
    <w:p w14:paraId="5DA2B43F" w14:textId="36A6F864" w:rsidR="008D3561" w:rsidRDefault="0098717B" w:rsidP="00CD7A7E">
      <w:pPr>
        <w:pStyle w:val="1GAPara"/>
        <w:ind w:left="567" w:hanging="567"/>
        <w:jc w:val="both"/>
      </w:pPr>
      <w:r>
        <w:t xml:space="preserve">En ce qui concerne la </w:t>
      </w:r>
      <w:r>
        <w:rPr>
          <w:b/>
        </w:rPr>
        <w:t>ligne budgétaire</w:t>
      </w:r>
      <w:r>
        <w:t> </w:t>
      </w:r>
      <w:r>
        <w:rPr>
          <w:b/>
        </w:rPr>
        <w:t>2</w:t>
      </w:r>
      <w:r>
        <w:t xml:space="preserve"> (assistance préparatoire), seule une demande d</w:t>
      </w:r>
      <w:r w:rsidR="00D96D0E">
        <w:t>’</w:t>
      </w:r>
      <w:r>
        <w:t>assistance préparatoire en vue de préparer une proposition pour le Registre des bonnes pratiques de sauvegarde a été déposée puis approuvée par le Bureau. Cette ligne a également été utilisée au sens de la décision adoptée par le Comité à sa huitième session en 2013 (</w:t>
      </w:r>
      <w:hyperlink r:id="rId13" w:history="1">
        <w:r>
          <w:rPr>
            <w:rStyle w:val="Hyperlink"/>
          </w:rPr>
          <w:t>décision 8.COM 7.c</w:t>
        </w:r>
      </w:hyperlink>
      <w:r>
        <w:rPr>
          <w:rStyle w:val="Hyperlink"/>
          <w:color w:val="auto"/>
          <w:u w:val="none"/>
        </w:rPr>
        <w:t>)</w:t>
      </w:r>
      <w:r>
        <w:t>, dans laquelle il demandait au Secrétariat de trouver un moyen de proposer une assistance technique aux États parties souhaitant préparer une demande d</w:t>
      </w:r>
      <w:r w:rsidR="00D96D0E">
        <w:t>’</w:t>
      </w:r>
      <w:r>
        <w:t>assistance internationale. Cette assistance est passée par la mise à disposition d</w:t>
      </w:r>
      <w:r w:rsidR="00D96D0E">
        <w:t>’</w:t>
      </w:r>
      <w:r>
        <w:t>experts – qui ont effectué des missions ou fourni des services à distance – sur demande spécifique des États parties. Pendant la période considérée, cette assistance technique a été accordée à deux États en ayant fait la demande.</w:t>
      </w:r>
    </w:p>
    <w:p w14:paraId="45E9AAD4" w14:textId="51B4B2E3" w:rsidR="00077494" w:rsidRPr="006E21A0" w:rsidRDefault="00077494" w:rsidP="009F198F">
      <w:pPr>
        <w:pStyle w:val="1GAPara"/>
        <w:ind w:left="567" w:hanging="567"/>
        <w:jc w:val="both"/>
      </w:pPr>
      <w:r>
        <w:t>Sur la base de propositions spécifiques préparées par le Secrétariat, le Bureau a décidé de l</w:t>
      </w:r>
      <w:r w:rsidR="00D96D0E">
        <w:t>’</w:t>
      </w:r>
      <w:r>
        <w:t xml:space="preserve">utilisation des ressources de la </w:t>
      </w:r>
      <w:r>
        <w:rPr>
          <w:b/>
        </w:rPr>
        <w:t>ligne budgétaire 3</w:t>
      </w:r>
      <w:r>
        <w:t>, « autres fonctions du Comité » (</w:t>
      </w:r>
      <w:r w:rsidR="009F198F" w:rsidRPr="009F198F">
        <w:t>décisions </w:t>
      </w:r>
      <w:hyperlink r:id="rId14" w:history="1">
        <w:r w:rsidR="009F198F">
          <w:rPr>
            <w:rStyle w:val="Hyperlink"/>
          </w:rPr>
          <w:t>12.COM 2.BUR 3</w:t>
        </w:r>
      </w:hyperlink>
      <w:r>
        <w:t xml:space="preserve"> et </w:t>
      </w:r>
      <w:hyperlink r:id="rId15" w:history="1">
        <w:r>
          <w:rPr>
            <w:rStyle w:val="Hyperlink"/>
          </w:rPr>
          <w:t>13.COM 2.BUR 3</w:t>
        </w:r>
      </w:hyperlink>
      <w:r>
        <w:t>). Ces ressources ont été allouées au renforcement des capacités (36 %), aux outils de communication et de diffusion (27 %), aux services de gestion des connaissances (20 %) et à l</w:t>
      </w:r>
      <w:r w:rsidR="00D96D0E">
        <w:t>’</w:t>
      </w:r>
      <w:r>
        <w:t>intégration du patrimoine culturel immatériel dans les plans, politiques et programmes de développement (17 %). Au 30 juin 2018, le taux de dépense de cette ligne budgétaire était de 14,6 %, ce qui représente une augmentation de 1,3 % par rapport à l</w:t>
      </w:r>
      <w:r w:rsidR="00D96D0E">
        <w:t>’</w:t>
      </w:r>
      <w:r>
        <w:t>exercice biennal précédent. La progression de l</w:t>
      </w:r>
      <w:r w:rsidR="00D96D0E">
        <w:t>’</w:t>
      </w:r>
      <w:r>
        <w:t xml:space="preserve">utilisation de ces fonds est décrite plus en détail dans le document de travail de la présente session </w:t>
      </w:r>
      <w:hyperlink r:id="rId16" w:history="1">
        <w:r w:rsidRPr="00D53BF5">
          <w:rPr>
            <w:rStyle w:val="Hyperlink"/>
          </w:rPr>
          <w:t>ITH/18/13.COM/5</w:t>
        </w:r>
      </w:hyperlink>
      <w:r>
        <w:t>, « Rapport du Secrétariat sur ses activités ».</w:t>
      </w:r>
    </w:p>
    <w:p w14:paraId="304B6DF8" w14:textId="66760628" w:rsidR="00077494" w:rsidRDefault="000320A5" w:rsidP="0098717B">
      <w:pPr>
        <w:pStyle w:val="1GAPara"/>
        <w:ind w:left="567" w:hanging="567"/>
        <w:jc w:val="both"/>
      </w:pPr>
      <w:r>
        <w:t>Étant donné que les réunions du Comité se tiennent normalement à la fin de l</w:t>
      </w:r>
      <w:r w:rsidR="00D96D0E">
        <w:t>’</w:t>
      </w:r>
      <w:r>
        <w:t xml:space="preserve">année, la </w:t>
      </w:r>
      <w:r>
        <w:rPr>
          <w:b/>
        </w:rPr>
        <w:t>ligne budgétaire 4</w:t>
      </w:r>
      <w:r>
        <w:t>, destinée à financer la participation d</w:t>
      </w:r>
      <w:r w:rsidR="00D96D0E">
        <w:t>’</w:t>
      </w:r>
      <w:r>
        <w:t xml:space="preserve">experts représentant les États membres en développement aux sessions du Comité et du Bureau, affiche un taux de dépense modeste (6,4 %). Par ailleurs, les </w:t>
      </w:r>
      <w:r>
        <w:rPr>
          <w:b/>
        </w:rPr>
        <w:t>lignes budgétaires 5 et 6</w:t>
      </w:r>
      <w:r>
        <w:t>, qui servent à financer la participation des membres de l</w:t>
      </w:r>
      <w:r w:rsidR="00D96D0E">
        <w:t>’</w:t>
      </w:r>
      <w:r>
        <w:t>Organe d</w:t>
      </w:r>
      <w:r w:rsidR="00D96D0E">
        <w:t>’</w:t>
      </w:r>
      <w:r>
        <w:t>évaluation éligibles à cette aide, affichent des dépenses relatives aux deux réunions de l</w:t>
      </w:r>
      <w:r w:rsidR="00D96D0E">
        <w:t>’</w:t>
      </w:r>
      <w:r>
        <w:t>Organe d</w:t>
      </w:r>
      <w:r w:rsidR="00D96D0E">
        <w:t>’</w:t>
      </w:r>
      <w:r>
        <w:t>évaluation qui ont eu lieu durant la période considérée : la ligne budgétaire 5 a financé les coûts de participation de trois membres de l</w:t>
      </w:r>
      <w:r w:rsidR="00D96D0E">
        <w:t>’</w:t>
      </w:r>
      <w:r>
        <w:t>Organe d</w:t>
      </w:r>
      <w:r w:rsidR="00D96D0E">
        <w:t>’</w:t>
      </w:r>
      <w:r>
        <w:t>évaluation représentant des États parties en développement non membres du Comité, tandis que la ligne budgétaire 6 a couvert les coûts de participation des six organisations non gouvernementales accréditées qui interviennent dans l</w:t>
      </w:r>
      <w:r w:rsidR="00D96D0E">
        <w:t>’</w:t>
      </w:r>
      <w:r>
        <w:t>Organe d</w:t>
      </w:r>
      <w:r w:rsidR="00D96D0E">
        <w:t>’</w:t>
      </w:r>
      <w:r>
        <w:t>évaluation.</w:t>
      </w:r>
    </w:p>
    <w:p w14:paraId="58C68C99" w14:textId="5D0B6920" w:rsidR="003D29BE" w:rsidRDefault="003D29BE" w:rsidP="0098717B">
      <w:pPr>
        <w:pStyle w:val="1GAPara"/>
        <w:ind w:left="567" w:hanging="567"/>
        <w:jc w:val="both"/>
      </w:pPr>
      <w:r>
        <w:t xml:space="preserve">Enfin, la </w:t>
      </w:r>
      <w:r>
        <w:rPr>
          <w:b/>
        </w:rPr>
        <w:t>ligne budgétaire 7</w:t>
      </w:r>
      <w:r>
        <w:t xml:space="preserve"> (« coût des services consultatifs fournis à la demande du Comité ») affiche un taux de dépense de 21 %, qui correspond aux honoraires des neuf membres éligibles de l</w:t>
      </w:r>
      <w:r w:rsidR="00D96D0E">
        <w:t>’</w:t>
      </w:r>
      <w:r>
        <w:t>Organe d</w:t>
      </w:r>
      <w:r w:rsidR="00D96D0E">
        <w:t>’</w:t>
      </w:r>
      <w:r>
        <w:t>évaluation qui ont évalué les dossiers du cycle 2018 et pouvaient bénéficier d</w:t>
      </w:r>
      <w:r w:rsidR="00D96D0E">
        <w:t>’</w:t>
      </w:r>
      <w:r>
        <w:t>un soutien financier. Étant donné que le travail d</w:t>
      </w:r>
      <w:r w:rsidR="00D96D0E">
        <w:t>’</w:t>
      </w:r>
      <w:r>
        <w:t>évaluation était encore en cours au 30 juin 2018, le montant des honoraires fixé dans leurs contrats apparaît en tant que « engagements non liquidés » et pas encore en tant que « décaissements ».</w:t>
      </w:r>
    </w:p>
    <w:p w14:paraId="540CAAB0" w14:textId="77777777" w:rsidR="00F40CD3" w:rsidRPr="00F410D6" w:rsidRDefault="00F40CD3" w:rsidP="00F40CD3">
      <w:pPr>
        <w:pStyle w:val="Default"/>
        <w:keepNext/>
        <w:spacing w:before="240" w:after="240"/>
        <w:rPr>
          <w:b/>
          <w:bCs/>
          <w:color w:val="auto"/>
          <w:sz w:val="22"/>
          <w:szCs w:val="22"/>
        </w:rPr>
      </w:pPr>
      <w:r>
        <w:rPr>
          <w:b/>
          <w:bCs/>
          <w:color w:val="auto"/>
          <w:sz w:val="22"/>
          <w:szCs w:val="22"/>
        </w:rPr>
        <w:t>Rapports supplémentaires</w:t>
      </w:r>
    </w:p>
    <w:p w14:paraId="04FD0B5E" w14:textId="132B59E6" w:rsidR="00F40CD3" w:rsidRDefault="00795B57" w:rsidP="00865165">
      <w:pPr>
        <w:pStyle w:val="1GAPara"/>
        <w:ind w:left="567" w:hanging="567"/>
        <w:jc w:val="both"/>
      </w:pPr>
      <w:r>
        <w:t>L</w:t>
      </w:r>
      <w:r w:rsidR="00D96D0E">
        <w:t>’</w:t>
      </w:r>
      <w:r>
        <w:t xml:space="preserve">annexe 1 </w:t>
      </w:r>
      <w:r w:rsidR="00865165">
        <w:t xml:space="preserve">du rapport financier </w:t>
      </w:r>
      <w:r>
        <w:t>contient la liste des contributions volontaires supplémentaires versées à des fins spécifiques, comme prévu par l</w:t>
      </w:r>
      <w:r w:rsidR="00D96D0E">
        <w:t>’</w:t>
      </w:r>
      <w:r>
        <w:t>article 25.5 de la Convention, pour la période allant du 1er janvier 2018 au 30 juin 2018. Comme indiqué précédemment, pendant la période considérée, aucune contribution volontaire n</w:t>
      </w:r>
      <w:r w:rsidR="00D96D0E">
        <w:t>’</w:t>
      </w:r>
      <w:r>
        <w:t>a été versée pour des activités spécifiques approuvées par le Comité. Au 30 juin 2018, trois États parties (Chine, Finlande et Monténégro) avaient contribué au Sous-fonds destiné au renforcement des capacités humaines du Secrétariat, pour un montant total de 54 050 dollars.</w:t>
      </w:r>
    </w:p>
    <w:p w14:paraId="7AA9B810" w14:textId="6F850444" w:rsidR="00D974B0" w:rsidRPr="006E21A0" w:rsidRDefault="00A95ACF" w:rsidP="00F35E89">
      <w:pPr>
        <w:pStyle w:val="1GAPara"/>
        <w:ind w:left="567" w:hanging="567"/>
        <w:jc w:val="both"/>
      </w:pPr>
      <w:r>
        <w:t>Les contributions réservées à des projets spécifiques sont soumises à la décision du Comité d</w:t>
      </w:r>
      <w:r w:rsidR="00D96D0E">
        <w:t>’</w:t>
      </w:r>
      <w:r>
        <w:t>accepter ou non ces contributions. Le tableau de l</w:t>
      </w:r>
      <w:r w:rsidR="00D96D0E">
        <w:t>’</w:t>
      </w:r>
      <w:r>
        <w:t xml:space="preserve">annexe 2 </w:t>
      </w:r>
      <w:r w:rsidR="00865165">
        <w:t>du rapport financier</w:t>
      </w:r>
      <w:r>
        <w:t xml:space="preserve"> montre les dépenses totales engagées pour chaque projet, de son commencement au 30 juin 2018. Enfin, l</w:t>
      </w:r>
      <w:r w:rsidR="00D96D0E">
        <w:t>’</w:t>
      </w:r>
      <w:r>
        <w:t xml:space="preserve">annexe 3 </w:t>
      </w:r>
      <w:r w:rsidR="00F35E89">
        <w:t xml:space="preserve">indique </w:t>
      </w:r>
      <w:r>
        <w:t xml:space="preserve">les prévisions au 30 juin 2018, </w:t>
      </w:r>
      <w:r w:rsidR="00F35E89">
        <w:t>basées sur</w:t>
      </w:r>
      <w:r>
        <w:t xml:space="preserve"> les estimations du Secrétariat, concernant l</w:t>
      </w:r>
      <w:r w:rsidR="00D96D0E">
        <w:t>’</w:t>
      </w:r>
      <w:r>
        <w:t xml:space="preserve">utilisation future des fonds alloués aux projets en cours en fonction </w:t>
      </w:r>
      <w:r>
        <w:lastRenderedPageBreak/>
        <w:t>des fonds non affectés à cette date et des budgets approuvés par le Comité. Dans les cas où le donateur a déjà confirmé que la contribution exceptionnelle ne sera pas versée (signalés par un astérisque), les prévisions reposent sur le financement reçu à cette date.</w:t>
      </w:r>
    </w:p>
    <w:p w14:paraId="0ECB83AB" w14:textId="77777777" w:rsidR="00FA5193" w:rsidRDefault="00FA5193">
      <w:pPr>
        <w:spacing w:after="0"/>
        <w:rPr>
          <w:rFonts w:ascii="Arial" w:hAnsi="Arial" w:cs="Arial"/>
          <w:b/>
          <w:bCs/>
          <w:snapToGrid w:val="0"/>
          <w:szCs w:val="22"/>
        </w:rPr>
      </w:pPr>
      <w:r>
        <w:br w:type="page"/>
      </w:r>
    </w:p>
    <w:p w14:paraId="1AD7C8BD" w14:textId="6115E5D2" w:rsidR="005069A9" w:rsidRDefault="003400F6" w:rsidP="003400F6">
      <w:pPr>
        <w:pStyle w:val="1GAPara"/>
        <w:numPr>
          <w:ilvl w:val="0"/>
          <w:numId w:val="0"/>
        </w:numPr>
        <w:jc w:val="right"/>
        <w:rPr>
          <w:b/>
          <w:bCs/>
        </w:rPr>
      </w:pPr>
      <w:r>
        <w:rPr>
          <w:b/>
          <w:bCs/>
        </w:rPr>
        <w:lastRenderedPageBreak/>
        <w:t>État financier I</w:t>
      </w:r>
    </w:p>
    <w:p w14:paraId="633CC9C8" w14:textId="230C8289" w:rsidR="003400F6" w:rsidRDefault="00D425B2" w:rsidP="00D425B2">
      <w:pPr>
        <w:pStyle w:val="1GAPara"/>
        <w:numPr>
          <w:ilvl w:val="0"/>
          <w:numId w:val="0"/>
        </w:numPr>
        <w:ind w:right="110"/>
        <w:jc w:val="center"/>
      </w:pPr>
      <w:r>
        <w:rPr>
          <w:noProof/>
          <w:lang w:val="en-US" w:eastAsia="ko-KR"/>
        </w:rPr>
        <w:drawing>
          <wp:anchor distT="0" distB="0" distL="114300" distR="114300" simplePos="0" relativeHeight="251670528" behindDoc="0" locked="0" layoutInCell="1" allowOverlap="1" wp14:anchorId="6495AD12" wp14:editId="3E10D3A9">
            <wp:simplePos x="0" y="0"/>
            <wp:positionH relativeFrom="margin">
              <wp:align>center</wp:align>
            </wp:positionH>
            <wp:positionV relativeFrom="paragraph">
              <wp:posOffset>0</wp:posOffset>
            </wp:positionV>
            <wp:extent cx="6804000" cy="6076800"/>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ment 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4000" cy="6076800"/>
                    </a:xfrm>
                    <a:prstGeom prst="rect">
                      <a:avLst/>
                    </a:prstGeom>
                  </pic:spPr>
                </pic:pic>
              </a:graphicData>
            </a:graphic>
            <wp14:sizeRelH relativeFrom="margin">
              <wp14:pctWidth>0</wp14:pctWidth>
            </wp14:sizeRelH>
            <wp14:sizeRelV relativeFrom="margin">
              <wp14:pctHeight>0</wp14:pctHeight>
            </wp14:sizeRelV>
          </wp:anchor>
        </w:drawing>
      </w:r>
      <w:r w:rsidR="003400F6">
        <w:br w:type="page"/>
      </w:r>
    </w:p>
    <w:p w14:paraId="2E15F6AB" w14:textId="7303984B" w:rsidR="003400F6" w:rsidRDefault="003400F6" w:rsidP="003400F6">
      <w:pPr>
        <w:pStyle w:val="1GAPara"/>
        <w:numPr>
          <w:ilvl w:val="0"/>
          <w:numId w:val="0"/>
        </w:numPr>
        <w:jc w:val="right"/>
      </w:pPr>
      <w:r>
        <w:lastRenderedPageBreak/>
        <w:t>Tableau 1.1</w:t>
      </w:r>
    </w:p>
    <w:p w14:paraId="1BA4BF03" w14:textId="1ADB8B8E" w:rsidR="003400F6" w:rsidRDefault="00D425B2" w:rsidP="00D425B2">
      <w:pPr>
        <w:pStyle w:val="1GAPara"/>
        <w:numPr>
          <w:ilvl w:val="0"/>
          <w:numId w:val="0"/>
        </w:numPr>
        <w:jc w:val="center"/>
      </w:pPr>
      <w:r>
        <w:rPr>
          <w:noProof/>
          <w:lang w:val="en-US" w:eastAsia="ko-KR"/>
        </w:rPr>
        <w:drawing>
          <wp:anchor distT="0" distB="0" distL="114300" distR="114300" simplePos="0" relativeHeight="251672576" behindDoc="0" locked="0" layoutInCell="1" allowOverlap="1" wp14:anchorId="00624B1C" wp14:editId="265231FA">
            <wp:simplePos x="0" y="0"/>
            <wp:positionH relativeFrom="margin">
              <wp:align>center</wp:align>
            </wp:positionH>
            <wp:positionV relativeFrom="paragraph">
              <wp:posOffset>0</wp:posOffset>
            </wp:positionV>
            <wp:extent cx="6840000" cy="829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dule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000" cy="8294400"/>
                    </a:xfrm>
                    <a:prstGeom prst="rect">
                      <a:avLst/>
                    </a:prstGeom>
                  </pic:spPr>
                </pic:pic>
              </a:graphicData>
            </a:graphic>
            <wp14:sizeRelH relativeFrom="margin">
              <wp14:pctWidth>0</wp14:pctWidth>
            </wp14:sizeRelH>
            <wp14:sizeRelV relativeFrom="margin">
              <wp14:pctHeight>0</wp14:pctHeight>
            </wp14:sizeRelV>
          </wp:anchor>
        </w:drawing>
      </w:r>
      <w:r w:rsidR="003E319B">
        <w:br w:type="page"/>
      </w:r>
    </w:p>
    <w:p w14:paraId="1A40951B" w14:textId="7AE34B5D" w:rsidR="003400F6" w:rsidRPr="003400F6" w:rsidRDefault="003400F6" w:rsidP="003400F6">
      <w:pPr>
        <w:pStyle w:val="1GAPara"/>
        <w:numPr>
          <w:ilvl w:val="0"/>
          <w:numId w:val="0"/>
        </w:numPr>
        <w:jc w:val="right"/>
        <w:rPr>
          <w:b/>
          <w:bCs/>
        </w:rPr>
      </w:pPr>
      <w:r>
        <w:rPr>
          <w:b/>
          <w:bCs/>
        </w:rPr>
        <w:lastRenderedPageBreak/>
        <w:t>État financier II</w:t>
      </w:r>
    </w:p>
    <w:p w14:paraId="3AA4FD6F" w14:textId="5C39252B" w:rsidR="003400F6" w:rsidRDefault="00D425B2" w:rsidP="00D425B2">
      <w:pPr>
        <w:spacing w:after="0"/>
        <w:rPr>
          <w:rFonts w:ascii="Arial" w:hAnsi="Arial" w:cs="Arial"/>
          <w:snapToGrid w:val="0"/>
          <w:szCs w:val="22"/>
        </w:rPr>
      </w:pPr>
      <w:r>
        <w:rPr>
          <w:noProof/>
          <w:lang w:val="en-US" w:eastAsia="ko-KR"/>
        </w:rPr>
        <w:drawing>
          <wp:anchor distT="0" distB="0" distL="114300" distR="114300" simplePos="0" relativeHeight="251674624" behindDoc="0" locked="0" layoutInCell="1" allowOverlap="1" wp14:anchorId="709E357E" wp14:editId="337E6136">
            <wp:simplePos x="0" y="0"/>
            <wp:positionH relativeFrom="margin">
              <wp:align>center</wp:align>
            </wp:positionH>
            <wp:positionV relativeFrom="paragraph">
              <wp:posOffset>0</wp:posOffset>
            </wp:positionV>
            <wp:extent cx="6836400" cy="6354000"/>
            <wp:effectExtent l="0" t="0" r="317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ment I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6400" cy="6354000"/>
                    </a:xfrm>
                    <a:prstGeom prst="rect">
                      <a:avLst/>
                    </a:prstGeom>
                  </pic:spPr>
                </pic:pic>
              </a:graphicData>
            </a:graphic>
            <wp14:sizeRelH relativeFrom="margin">
              <wp14:pctWidth>0</wp14:pctWidth>
            </wp14:sizeRelH>
            <wp14:sizeRelV relativeFrom="margin">
              <wp14:pctHeight>0</wp14:pctHeight>
            </wp14:sizeRelV>
          </wp:anchor>
        </w:drawing>
      </w:r>
      <w:r w:rsidR="009E607F">
        <w:br w:type="page"/>
      </w:r>
    </w:p>
    <w:p w14:paraId="669B4FE2" w14:textId="6A187CF8" w:rsidR="003400F6" w:rsidRPr="003400F6" w:rsidRDefault="003400F6" w:rsidP="003400F6">
      <w:pPr>
        <w:pStyle w:val="1GAPara"/>
        <w:numPr>
          <w:ilvl w:val="0"/>
          <w:numId w:val="0"/>
        </w:numPr>
        <w:jc w:val="right"/>
        <w:rPr>
          <w:b/>
          <w:bCs/>
        </w:rPr>
      </w:pPr>
      <w:r>
        <w:rPr>
          <w:b/>
          <w:bCs/>
        </w:rPr>
        <w:lastRenderedPageBreak/>
        <w:t>État financier III</w:t>
      </w:r>
    </w:p>
    <w:p w14:paraId="6F5472A8" w14:textId="5CB603F4" w:rsidR="003400F6" w:rsidRDefault="00D425B2" w:rsidP="00D425B2">
      <w:pPr>
        <w:spacing w:after="0"/>
        <w:rPr>
          <w:rFonts w:ascii="Arial" w:hAnsi="Arial" w:cs="Arial"/>
          <w:snapToGrid w:val="0"/>
          <w:szCs w:val="22"/>
        </w:rPr>
      </w:pPr>
      <w:r>
        <w:rPr>
          <w:noProof/>
          <w:lang w:val="en-US" w:eastAsia="ko-KR"/>
        </w:rPr>
        <w:drawing>
          <wp:anchor distT="0" distB="0" distL="114300" distR="114300" simplePos="0" relativeHeight="251676672" behindDoc="0" locked="0" layoutInCell="1" allowOverlap="1" wp14:anchorId="368C73E9" wp14:editId="3A10E4F4">
            <wp:simplePos x="0" y="0"/>
            <wp:positionH relativeFrom="page">
              <wp:align>center</wp:align>
            </wp:positionH>
            <wp:positionV relativeFrom="paragraph">
              <wp:posOffset>0</wp:posOffset>
            </wp:positionV>
            <wp:extent cx="6840000" cy="671760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ement II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000" cy="6717600"/>
                    </a:xfrm>
                    <a:prstGeom prst="rect">
                      <a:avLst/>
                    </a:prstGeom>
                  </pic:spPr>
                </pic:pic>
              </a:graphicData>
            </a:graphic>
            <wp14:sizeRelH relativeFrom="margin">
              <wp14:pctWidth>0</wp14:pctWidth>
            </wp14:sizeRelH>
            <wp14:sizeRelV relativeFrom="margin">
              <wp14:pctHeight>0</wp14:pctHeight>
            </wp14:sizeRelV>
          </wp:anchor>
        </w:drawing>
      </w:r>
      <w:r w:rsidR="009E607F">
        <w:br w:type="page"/>
      </w:r>
    </w:p>
    <w:p w14:paraId="15BF83E8" w14:textId="27E74ACE" w:rsidR="003400F6" w:rsidRPr="00772179" w:rsidRDefault="000102D5" w:rsidP="003400F6">
      <w:pPr>
        <w:pStyle w:val="1GAPara"/>
        <w:numPr>
          <w:ilvl w:val="0"/>
          <w:numId w:val="0"/>
        </w:numPr>
        <w:jc w:val="right"/>
        <w:rPr>
          <w:b/>
          <w:bCs/>
        </w:rPr>
      </w:pPr>
      <w:r>
        <w:rPr>
          <w:noProof/>
          <w:snapToGrid/>
          <w:lang w:val="en-US" w:eastAsia="ko-KR"/>
        </w:rPr>
        <w:lastRenderedPageBreak/>
        <w:drawing>
          <wp:anchor distT="0" distB="0" distL="114300" distR="114300" simplePos="0" relativeHeight="251662336" behindDoc="0" locked="0" layoutInCell="1" allowOverlap="1" wp14:anchorId="0A0DBC24" wp14:editId="6FA90278">
            <wp:simplePos x="716890" y="1133856"/>
            <wp:positionH relativeFrom="page">
              <wp:align>center</wp:align>
            </wp:positionH>
            <wp:positionV relativeFrom="paragraph">
              <wp:posOffset>252095</wp:posOffset>
            </wp:positionV>
            <wp:extent cx="6835775" cy="5212715"/>
            <wp:effectExtent l="0" t="0" r="317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ex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36339" cy="5212800"/>
                    </a:xfrm>
                    <a:prstGeom prst="rect">
                      <a:avLst/>
                    </a:prstGeom>
                  </pic:spPr>
                </pic:pic>
              </a:graphicData>
            </a:graphic>
            <wp14:sizeRelH relativeFrom="margin">
              <wp14:pctWidth>0</wp14:pctWidth>
            </wp14:sizeRelH>
            <wp14:sizeRelV relativeFrom="margin">
              <wp14:pctHeight>0</wp14:pctHeight>
            </wp14:sizeRelV>
          </wp:anchor>
        </w:drawing>
      </w:r>
      <w:r w:rsidR="003400F6">
        <w:rPr>
          <w:b/>
          <w:bCs/>
        </w:rPr>
        <w:t>Annexe 1</w:t>
      </w:r>
    </w:p>
    <w:p w14:paraId="6F340BE8" w14:textId="68E15784" w:rsidR="009E607F" w:rsidRPr="00772179" w:rsidRDefault="009E607F" w:rsidP="009E607F">
      <w:pPr>
        <w:pStyle w:val="1GAPara"/>
        <w:numPr>
          <w:ilvl w:val="0"/>
          <w:numId w:val="0"/>
        </w:numPr>
      </w:pPr>
    </w:p>
    <w:p w14:paraId="3AB9BF10" w14:textId="77777777" w:rsidR="003400F6" w:rsidRPr="00772179" w:rsidRDefault="003400F6">
      <w:pPr>
        <w:spacing w:after="0"/>
        <w:sectPr w:rsidR="003400F6" w:rsidRPr="00772179" w:rsidSect="002938F2">
          <w:headerReference w:type="even" r:id="rId22"/>
          <w:headerReference w:type="default" r:id="rId23"/>
          <w:headerReference w:type="first" r:id="rId24"/>
          <w:pgSz w:w="11906" w:h="16838" w:code="9"/>
          <w:pgMar w:top="1418" w:right="1134" w:bottom="1134" w:left="1134" w:header="397" w:footer="284" w:gutter="0"/>
          <w:cols w:space="708"/>
          <w:titlePg/>
          <w:docGrid w:linePitch="360"/>
        </w:sectPr>
      </w:pPr>
    </w:p>
    <w:p w14:paraId="02E3A55A" w14:textId="6295313C" w:rsidR="003400F6" w:rsidRPr="00772179" w:rsidRDefault="003C0072" w:rsidP="003400F6">
      <w:pPr>
        <w:spacing w:after="0"/>
        <w:jc w:val="right"/>
        <w:rPr>
          <w:rFonts w:ascii="Arial" w:hAnsi="Arial" w:cs="Arial"/>
          <w:b/>
          <w:bCs/>
        </w:rPr>
      </w:pPr>
      <w:r>
        <w:rPr>
          <w:rFonts w:ascii="Arial" w:hAnsi="Arial"/>
          <w:b/>
          <w:bCs/>
        </w:rPr>
        <w:lastRenderedPageBreak/>
        <w:t>Annexe 2</w:t>
      </w:r>
    </w:p>
    <w:p w14:paraId="724B2DAE" w14:textId="4A2E2434" w:rsidR="003400F6" w:rsidRPr="000102D5" w:rsidRDefault="00D425B2">
      <w:pPr>
        <w:spacing w:after="0"/>
        <w:rPr>
          <w:rFonts w:ascii="Arial" w:eastAsiaTheme="minorEastAsia" w:hAnsi="Arial" w:cs="Arial"/>
          <w:snapToGrid w:val="0"/>
          <w:szCs w:val="22"/>
          <w:lang w:eastAsia="ko-KR"/>
        </w:rPr>
      </w:pPr>
      <w:r>
        <w:rPr>
          <w:noProof/>
          <w:lang w:val="en-US" w:eastAsia="ko-KR"/>
        </w:rPr>
        <w:drawing>
          <wp:anchor distT="0" distB="0" distL="114300" distR="114300" simplePos="0" relativeHeight="251678720" behindDoc="0" locked="0" layoutInCell="1" allowOverlap="1" wp14:anchorId="672FBEDF" wp14:editId="7071D9AB">
            <wp:simplePos x="0" y="0"/>
            <wp:positionH relativeFrom="margin">
              <wp:align>center</wp:align>
            </wp:positionH>
            <wp:positionV relativeFrom="paragraph">
              <wp:posOffset>0</wp:posOffset>
            </wp:positionV>
            <wp:extent cx="9972000" cy="5626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x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72000" cy="5626800"/>
                    </a:xfrm>
                    <a:prstGeom prst="rect">
                      <a:avLst/>
                    </a:prstGeom>
                  </pic:spPr>
                </pic:pic>
              </a:graphicData>
            </a:graphic>
            <wp14:sizeRelH relativeFrom="margin">
              <wp14:pctWidth>0</wp14:pctWidth>
            </wp14:sizeRelH>
            <wp14:sizeRelV relativeFrom="margin">
              <wp14:pctHeight>0</wp14:pctHeight>
            </wp14:sizeRelV>
          </wp:anchor>
        </w:drawing>
      </w:r>
      <w:r w:rsidR="003400F6">
        <w:br w:type="page"/>
      </w:r>
    </w:p>
    <w:p w14:paraId="49247110" w14:textId="1A80AC7F" w:rsidR="003400F6" w:rsidRPr="00772179" w:rsidRDefault="003C0072" w:rsidP="003400F6">
      <w:pPr>
        <w:pStyle w:val="1GAPara"/>
        <w:numPr>
          <w:ilvl w:val="0"/>
          <w:numId w:val="0"/>
        </w:numPr>
        <w:jc w:val="right"/>
        <w:rPr>
          <w:b/>
          <w:bCs/>
        </w:rPr>
      </w:pPr>
      <w:r>
        <w:rPr>
          <w:b/>
          <w:bCs/>
        </w:rPr>
        <w:lastRenderedPageBreak/>
        <w:t>Annexe 3</w:t>
      </w:r>
    </w:p>
    <w:p w14:paraId="2D4145B0" w14:textId="27E3B33B" w:rsidR="00F87812" w:rsidRPr="00772179" w:rsidRDefault="00D425B2" w:rsidP="003400F6">
      <w:pPr>
        <w:pStyle w:val="1GAPara"/>
        <w:numPr>
          <w:ilvl w:val="0"/>
          <w:numId w:val="0"/>
        </w:numPr>
        <w:sectPr w:rsidR="00F87812" w:rsidRPr="00772179" w:rsidSect="009E607F">
          <w:headerReference w:type="first" r:id="rId26"/>
          <w:pgSz w:w="16838" w:h="11906" w:orient="landscape" w:code="9"/>
          <w:pgMar w:top="1134" w:right="1134" w:bottom="1134" w:left="1134" w:header="397" w:footer="284" w:gutter="0"/>
          <w:cols w:space="708"/>
          <w:docGrid w:linePitch="360"/>
        </w:sectPr>
      </w:pPr>
      <w:r>
        <w:rPr>
          <w:noProof/>
          <w:snapToGrid/>
          <w:lang w:val="en-US" w:eastAsia="ko-KR"/>
        </w:rPr>
        <w:drawing>
          <wp:anchor distT="0" distB="0" distL="114300" distR="114300" simplePos="0" relativeHeight="251680768" behindDoc="0" locked="0" layoutInCell="1" allowOverlap="1" wp14:anchorId="655FB0C7" wp14:editId="0D5500C9">
            <wp:simplePos x="0" y="0"/>
            <wp:positionH relativeFrom="margin">
              <wp:align>center</wp:align>
            </wp:positionH>
            <wp:positionV relativeFrom="paragraph">
              <wp:posOffset>0</wp:posOffset>
            </wp:positionV>
            <wp:extent cx="9972000" cy="5209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x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72000" cy="5209200"/>
                    </a:xfrm>
                    <a:prstGeom prst="rect">
                      <a:avLst/>
                    </a:prstGeom>
                  </pic:spPr>
                </pic:pic>
              </a:graphicData>
            </a:graphic>
            <wp14:sizeRelH relativeFrom="margin">
              <wp14:pctWidth>0</wp14:pctWidth>
            </wp14:sizeRelH>
            <wp14:sizeRelV relativeFrom="margin">
              <wp14:pctHeight>0</wp14:pctHeight>
            </wp14:sizeRelV>
          </wp:anchor>
        </w:drawing>
      </w:r>
    </w:p>
    <w:p w14:paraId="16123F2B" w14:textId="2C088A40" w:rsidR="003400F6" w:rsidRPr="00772179" w:rsidRDefault="00F87812" w:rsidP="00772179">
      <w:pPr>
        <w:pStyle w:val="1GAPara"/>
        <w:numPr>
          <w:ilvl w:val="0"/>
          <w:numId w:val="0"/>
        </w:numPr>
        <w:spacing w:after="60"/>
        <w:jc w:val="right"/>
        <w:rPr>
          <w:b/>
          <w:bCs/>
        </w:rPr>
      </w:pPr>
      <w:r>
        <w:rPr>
          <w:b/>
          <w:bCs/>
        </w:rPr>
        <w:lastRenderedPageBreak/>
        <w:t>Annexe 4</w:t>
      </w:r>
    </w:p>
    <w:p w14:paraId="5EAC8394" w14:textId="47E34CFF" w:rsidR="00F87812" w:rsidRPr="00772179" w:rsidRDefault="00F87812" w:rsidP="00772179">
      <w:pPr>
        <w:pStyle w:val="1GAPara"/>
        <w:numPr>
          <w:ilvl w:val="0"/>
          <w:numId w:val="0"/>
        </w:numPr>
        <w:spacing w:after="200"/>
        <w:jc w:val="center"/>
        <w:rPr>
          <w:b/>
          <w:bCs/>
          <w:sz w:val="18"/>
          <w:szCs w:val="18"/>
        </w:rPr>
      </w:pPr>
      <w:r>
        <w:rPr>
          <w:b/>
          <w:bCs/>
          <w:sz w:val="18"/>
          <w:szCs w:val="18"/>
        </w:rPr>
        <w:t>THE INTANGIBLE CULTURAL HERITAGE FUND / LE FONDS DU PATRIMOINE CULTUREL IMMATERIEL</w:t>
      </w:r>
    </w:p>
    <w:p w14:paraId="760D9AF1" w14:textId="60B884CA" w:rsidR="00F87812" w:rsidRPr="004E40EB" w:rsidRDefault="004E40EB" w:rsidP="00772179">
      <w:pPr>
        <w:pStyle w:val="1GAPara"/>
        <w:numPr>
          <w:ilvl w:val="0"/>
          <w:numId w:val="0"/>
        </w:numPr>
        <w:spacing w:after="0"/>
        <w:jc w:val="center"/>
        <w:rPr>
          <w:sz w:val="18"/>
          <w:szCs w:val="18"/>
        </w:rPr>
      </w:pPr>
      <w:proofErr w:type="spellStart"/>
      <w:r>
        <w:rPr>
          <w:sz w:val="18"/>
          <w:szCs w:val="18"/>
        </w:rPr>
        <w:t>Statement</w:t>
      </w:r>
      <w:proofErr w:type="spellEnd"/>
      <w:r>
        <w:rPr>
          <w:sz w:val="18"/>
          <w:szCs w:val="18"/>
        </w:rPr>
        <w:t xml:space="preserve"> of </w:t>
      </w:r>
      <w:proofErr w:type="spellStart"/>
      <w:r>
        <w:rPr>
          <w:sz w:val="18"/>
          <w:szCs w:val="18"/>
        </w:rPr>
        <w:t>compulsory</w:t>
      </w:r>
      <w:proofErr w:type="spellEnd"/>
      <w:r>
        <w:rPr>
          <w:sz w:val="18"/>
          <w:szCs w:val="18"/>
        </w:rPr>
        <w:t xml:space="preserve"> contributions as at 30 </w:t>
      </w:r>
      <w:proofErr w:type="spellStart"/>
      <w:r>
        <w:rPr>
          <w:sz w:val="18"/>
          <w:szCs w:val="18"/>
        </w:rPr>
        <w:t>June</w:t>
      </w:r>
      <w:proofErr w:type="spellEnd"/>
      <w:r>
        <w:rPr>
          <w:sz w:val="18"/>
          <w:szCs w:val="18"/>
        </w:rPr>
        <w:t xml:space="preserve"> 2018 / État des contributions obligatoires au 30 juin 2018</w:t>
      </w:r>
    </w:p>
    <w:p w14:paraId="488700AE" w14:textId="0CD95E2A" w:rsidR="00F87812" w:rsidRPr="00772179" w:rsidRDefault="00F87812" w:rsidP="00772179">
      <w:pPr>
        <w:pStyle w:val="1GAPara"/>
        <w:numPr>
          <w:ilvl w:val="0"/>
          <w:numId w:val="0"/>
        </w:numPr>
        <w:spacing w:after="60"/>
        <w:jc w:val="center"/>
        <w:rPr>
          <w:sz w:val="16"/>
          <w:szCs w:val="16"/>
        </w:rPr>
      </w:pPr>
      <w:r>
        <w:rPr>
          <w:sz w:val="16"/>
          <w:szCs w:val="16"/>
        </w:rPr>
        <w:t>(</w:t>
      </w:r>
      <w:proofErr w:type="spellStart"/>
      <w:r>
        <w:rPr>
          <w:sz w:val="16"/>
          <w:szCs w:val="16"/>
        </w:rPr>
        <w:t>Expressed</w:t>
      </w:r>
      <w:proofErr w:type="spellEnd"/>
      <w:r>
        <w:rPr>
          <w:sz w:val="16"/>
          <w:szCs w:val="16"/>
        </w:rPr>
        <w:t xml:space="preserve"> in US Dollars / Exprimé en Dollars des États-Unis)</w:t>
      </w:r>
    </w:p>
    <w:p w14:paraId="31664AE7" w14:textId="1C9C7538" w:rsidR="00F87812" w:rsidRDefault="00F87812" w:rsidP="00772179">
      <w:pPr>
        <w:pStyle w:val="1GAPara"/>
        <w:numPr>
          <w:ilvl w:val="0"/>
          <w:numId w:val="0"/>
        </w:numPr>
        <w:spacing w:after="0"/>
        <w:jc w:val="center"/>
        <w:rPr>
          <w:rFonts w:eastAsiaTheme="minorEastAsia"/>
        </w:rPr>
      </w:pPr>
      <w:r>
        <w:rPr>
          <w:rFonts w:eastAsiaTheme="minorEastAsia" w:hint="eastAsia"/>
          <w:noProof/>
          <w:snapToGrid/>
          <w:lang w:val="en-US" w:eastAsia="ko-KR"/>
        </w:rPr>
        <w:drawing>
          <wp:inline distT="0" distB="0" distL="0" distR="0" wp14:anchorId="2664642B" wp14:editId="765C379A">
            <wp:extent cx="5868000" cy="8441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H_2018_180630-1.png"/>
                    <pic:cNvPicPr/>
                  </pic:nvPicPr>
                  <pic:blipFill rotWithShape="1">
                    <a:blip r:embed="rId28" cstate="print">
                      <a:extLst>
                        <a:ext uri="{28A0092B-C50C-407E-A947-70E740481C1C}">
                          <a14:useLocalDpi xmlns:a14="http://schemas.microsoft.com/office/drawing/2010/main" val="0"/>
                        </a:ext>
                      </a:extLst>
                    </a:blip>
                    <a:srcRect t="5495" b="443"/>
                    <a:stretch/>
                  </pic:blipFill>
                  <pic:spPr bwMode="auto">
                    <a:xfrm>
                      <a:off x="0" y="0"/>
                      <a:ext cx="5868000" cy="8441167"/>
                    </a:xfrm>
                    <a:prstGeom prst="rect">
                      <a:avLst/>
                    </a:prstGeom>
                    <a:ln>
                      <a:noFill/>
                    </a:ln>
                    <a:extLst>
                      <a:ext uri="{53640926-AAD7-44D8-BBD7-CCE9431645EC}">
                        <a14:shadowObscured xmlns:a14="http://schemas.microsoft.com/office/drawing/2010/main"/>
                      </a:ext>
                    </a:extLst>
                  </pic:spPr>
                </pic:pic>
              </a:graphicData>
            </a:graphic>
          </wp:inline>
        </w:drawing>
      </w:r>
    </w:p>
    <w:p w14:paraId="3949A8C8" w14:textId="65F52540" w:rsidR="00F87812" w:rsidRDefault="004E40EB" w:rsidP="00772179">
      <w:pPr>
        <w:pStyle w:val="1GAPara"/>
        <w:numPr>
          <w:ilvl w:val="0"/>
          <w:numId w:val="0"/>
        </w:numPr>
        <w:spacing w:after="0"/>
        <w:jc w:val="center"/>
        <w:rPr>
          <w:rFonts w:eastAsiaTheme="minorEastAsia"/>
        </w:rPr>
      </w:pPr>
      <w:r>
        <w:rPr>
          <w:rFonts w:eastAsiaTheme="minorEastAsia" w:hint="eastAsia"/>
          <w:noProof/>
          <w:snapToGrid/>
          <w:lang w:val="en-US" w:eastAsia="ko-KR"/>
        </w:rPr>
        <w:lastRenderedPageBreak/>
        <w:drawing>
          <wp:inline distT="0" distB="0" distL="0" distR="0" wp14:anchorId="4A42CC1F" wp14:editId="43E01E9B">
            <wp:extent cx="5860800" cy="5598000"/>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H_2018_180630-2.png"/>
                    <pic:cNvPicPr/>
                  </pic:nvPicPr>
                  <pic:blipFill rotWithShape="1">
                    <a:blip r:embed="rId29" cstate="print">
                      <a:extLst>
                        <a:ext uri="{28A0092B-C50C-407E-A947-70E740481C1C}">
                          <a14:useLocalDpi xmlns:a14="http://schemas.microsoft.com/office/drawing/2010/main" val="0"/>
                        </a:ext>
                      </a:extLst>
                    </a:blip>
                    <a:srcRect t="6321" r="15579" b="20724"/>
                    <a:stretch/>
                  </pic:blipFill>
                  <pic:spPr bwMode="auto">
                    <a:xfrm>
                      <a:off x="0" y="0"/>
                      <a:ext cx="5860800" cy="5598000"/>
                    </a:xfrm>
                    <a:prstGeom prst="rect">
                      <a:avLst/>
                    </a:prstGeom>
                    <a:ln>
                      <a:noFill/>
                    </a:ln>
                    <a:extLst>
                      <a:ext uri="{53640926-AAD7-44D8-BBD7-CCE9431645EC}">
                        <a14:shadowObscured xmlns:a14="http://schemas.microsoft.com/office/drawing/2010/main"/>
                      </a:ext>
                    </a:extLst>
                  </pic:spPr>
                </pic:pic>
              </a:graphicData>
            </a:graphic>
          </wp:inline>
        </w:drawing>
      </w:r>
    </w:p>
    <w:p w14:paraId="08A300F7" w14:textId="119B7A12" w:rsidR="004E40EB" w:rsidRPr="00772179" w:rsidRDefault="004E40EB" w:rsidP="00772179">
      <w:pPr>
        <w:pStyle w:val="1GAPara"/>
        <w:numPr>
          <w:ilvl w:val="0"/>
          <w:numId w:val="0"/>
        </w:numPr>
        <w:spacing w:before="240" w:after="60"/>
        <w:jc w:val="center"/>
        <w:rPr>
          <w:rFonts w:eastAsiaTheme="minorEastAsia"/>
          <w:sz w:val="18"/>
          <w:szCs w:val="18"/>
        </w:rPr>
      </w:pPr>
      <w:proofErr w:type="spellStart"/>
      <w:r>
        <w:rPr>
          <w:sz w:val="18"/>
          <w:szCs w:val="18"/>
        </w:rPr>
        <w:t>Statement</w:t>
      </w:r>
      <w:proofErr w:type="spellEnd"/>
      <w:r>
        <w:rPr>
          <w:sz w:val="18"/>
          <w:szCs w:val="18"/>
        </w:rPr>
        <w:t xml:space="preserve"> of </w:t>
      </w:r>
      <w:proofErr w:type="spellStart"/>
      <w:r>
        <w:rPr>
          <w:sz w:val="18"/>
          <w:szCs w:val="18"/>
        </w:rPr>
        <w:t>assessed</w:t>
      </w:r>
      <w:proofErr w:type="spellEnd"/>
      <w:r>
        <w:rPr>
          <w:sz w:val="18"/>
          <w:szCs w:val="18"/>
        </w:rPr>
        <w:t xml:space="preserve"> </w:t>
      </w:r>
      <w:proofErr w:type="spellStart"/>
      <w:r>
        <w:rPr>
          <w:sz w:val="18"/>
          <w:szCs w:val="18"/>
        </w:rPr>
        <w:t>voluntary</w:t>
      </w:r>
      <w:proofErr w:type="spellEnd"/>
      <w:r>
        <w:rPr>
          <w:sz w:val="18"/>
          <w:szCs w:val="18"/>
        </w:rPr>
        <w:t xml:space="preserve"> contributions / État des contributions volontaires mises en recouvrement</w:t>
      </w:r>
    </w:p>
    <w:p w14:paraId="13B1E58D" w14:textId="6A2D1D7D" w:rsidR="004E40EB" w:rsidRPr="00E156CB" w:rsidRDefault="004E40EB">
      <w:pPr>
        <w:pStyle w:val="1GAPara"/>
        <w:numPr>
          <w:ilvl w:val="0"/>
          <w:numId w:val="0"/>
        </w:numPr>
        <w:spacing w:after="0"/>
        <w:jc w:val="center"/>
        <w:rPr>
          <w:sz w:val="16"/>
          <w:szCs w:val="16"/>
        </w:rPr>
      </w:pPr>
      <w:r>
        <w:rPr>
          <w:sz w:val="16"/>
          <w:szCs w:val="16"/>
        </w:rPr>
        <w:t>(</w:t>
      </w:r>
      <w:proofErr w:type="spellStart"/>
      <w:r>
        <w:rPr>
          <w:sz w:val="16"/>
          <w:szCs w:val="16"/>
        </w:rPr>
        <w:t>Expressed</w:t>
      </w:r>
      <w:proofErr w:type="spellEnd"/>
      <w:r>
        <w:rPr>
          <w:sz w:val="16"/>
          <w:szCs w:val="16"/>
        </w:rPr>
        <w:t xml:space="preserve"> in US Dollars / Exprimé en Dollars des États-Unis)</w:t>
      </w:r>
    </w:p>
    <w:p w14:paraId="587CAAA3" w14:textId="786E4835" w:rsidR="004E40EB" w:rsidRDefault="004E40EB" w:rsidP="00772179">
      <w:pPr>
        <w:pStyle w:val="1GAPara"/>
        <w:numPr>
          <w:ilvl w:val="0"/>
          <w:numId w:val="0"/>
        </w:numPr>
        <w:spacing w:after="0"/>
        <w:jc w:val="center"/>
        <w:rPr>
          <w:rFonts w:eastAsiaTheme="minorEastAsia"/>
          <w:sz w:val="18"/>
          <w:szCs w:val="18"/>
        </w:rPr>
      </w:pPr>
      <w:r>
        <w:rPr>
          <w:rFonts w:eastAsiaTheme="minorEastAsia" w:hint="eastAsia"/>
          <w:noProof/>
          <w:snapToGrid/>
          <w:lang w:val="en-US" w:eastAsia="ko-KR"/>
        </w:rPr>
        <w:drawing>
          <wp:inline distT="0" distB="0" distL="0" distR="0" wp14:anchorId="1CAE5C1B" wp14:editId="17D762EB">
            <wp:extent cx="6120000" cy="109562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H_2018_180630-2.png"/>
                    <pic:cNvPicPr/>
                  </pic:nvPicPr>
                  <pic:blipFill rotWithShape="1">
                    <a:blip r:embed="rId29" cstate="print">
                      <a:extLst>
                        <a:ext uri="{28A0092B-C50C-407E-A947-70E740481C1C}">
                          <a14:useLocalDpi xmlns:a14="http://schemas.microsoft.com/office/drawing/2010/main" val="0"/>
                        </a:ext>
                      </a:extLst>
                    </a:blip>
                    <a:srcRect l="-1" t="83174" r="-87" b="614"/>
                    <a:stretch/>
                  </pic:blipFill>
                  <pic:spPr bwMode="auto">
                    <a:xfrm>
                      <a:off x="0" y="0"/>
                      <a:ext cx="6120000" cy="1095627"/>
                    </a:xfrm>
                    <a:prstGeom prst="rect">
                      <a:avLst/>
                    </a:prstGeom>
                    <a:ln>
                      <a:noFill/>
                    </a:ln>
                    <a:extLst>
                      <a:ext uri="{53640926-AAD7-44D8-BBD7-CCE9431645EC}">
                        <a14:shadowObscured xmlns:a14="http://schemas.microsoft.com/office/drawing/2010/main"/>
                      </a:ext>
                    </a:extLst>
                  </pic:spPr>
                </pic:pic>
              </a:graphicData>
            </a:graphic>
          </wp:inline>
        </w:drawing>
      </w:r>
    </w:p>
    <w:p w14:paraId="39D51D0E" w14:textId="5410F818" w:rsidR="00BF6CD4" w:rsidRPr="00772179" w:rsidRDefault="00BF6CD4" w:rsidP="00772179">
      <w:pPr>
        <w:pStyle w:val="1GAPara"/>
        <w:numPr>
          <w:ilvl w:val="0"/>
          <w:numId w:val="0"/>
        </w:numPr>
        <w:spacing w:before="960" w:after="0"/>
        <w:ind w:left="567"/>
        <w:rPr>
          <w:rFonts w:eastAsiaTheme="minorEastAsia"/>
          <w:sz w:val="18"/>
          <w:szCs w:val="18"/>
        </w:rPr>
      </w:pPr>
      <w:r>
        <w:rPr>
          <w:rFonts w:eastAsiaTheme="minorEastAsia"/>
          <w:noProof/>
          <w:snapToGrid/>
          <w:sz w:val="18"/>
          <w:szCs w:val="18"/>
          <w:lang w:val="en-US" w:eastAsia="ko-KR"/>
        </w:rPr>
        <w:drawing>
          <wp:inline distT="0" distB="0" distL="0" distR="0" wp14:anchorId="2A0A999F" wp14:editId="37E89B5E">
            <wp:extent cx="1027178" cy="89916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H_2018_18063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7178" cy="899162"/>
                    </a:xfrm>
                    <a:prstGeom prst="rect">
                      <a:avLst/>
                    </a:prstGeom>
                  </pic:spPr>
                </pic:pic>
              </a:graphicData>
            </a:graphic>
          </wp:inline>
        </w:drawing>
      </w:r>
    </w:p>
    <w:sectPr w:rsidR="00BF6CD4" w:rsidRPr="00772179" w:rsidSect="00F87812">
      <w:pgSz w:w="11906" w:h="16838" w:code="9"/>
      <w:pgMar w:top="1134" w:right="1134" w:bottom="1134" w:left="1134" w:header="39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7C5B37" w16cid:durableId="1F438D79"/>
  <w16cid:commentId w16cid:paraId="39037C64" w16cid:durableId="1F43D516"/>
  <w16cid:commentId w16cid:paraId="2F7D22E1" w16cid:durableId="1F43D5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F9F5D" w14:textId="77777777" w:rsidR="00FD62D1" w:rsidRDefault="00FD62D1" w:rsidP="002938F2">
      <w:r>
        <w:separator/>
      </w:r>
    </w:p>
    <w:p w14:paraId="5211770C" w14:textId="77777777" w:rsidR="00FD62D1" w:rsidRDefault="00FD62D1"/>
  </w:endnote>
  <w:endnote w:type="continuationSeparator" w:id="0">
    <w:p w14:paraId="3850042B" w14:textId="77777777" w:rsidR="00FD62D1" w:rsidRDefault="00FD62D1" w:rsidP="002938F2">
      <w:r>
        <w:continuationSeparator/>
      </w:r>
    </w:p>
    <w:p w14:paraId="70BCBDE3" w14:textId="77777777" w:rsidR="00FD62D1" w:rsidRDefault="00FD6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7F8A1" w14:textId="77777777" w:rsidR="00FD62D1" w:rsidRDefault="00FD62D1" w:rsidP="002938F2">
      <w:r>
        <w:separator/>
      </w:r>
    </w:p>
  </w:footnote>
  <w:footnote w:type="continuationSeparator" w:id="0">
    <w:p w14:paraId="16D956B7" w14:textId="77777777" w:rsidR="00FD62D1" w:rsidRDefault="00FD62D1" w:rsidP="002938F2">
      <w:r>
        <w:continuationSeparator/>
      </w:r>
    </w:p>
    <w:p w14:paraId="2AE07AA8" w14:textId="77777777" w:rsidR="00FD62D1" w:rsidRDefault="00FD62D1"/>
  </w:footnote>
  <w:footnote w:id="1">
    <w:p w14:paraId="39B89EBB" w14:textId="5BEF37D6" w:rsidR="00B55F9F" w:rsidRPr="009122CD" w:rsidRDefault="00B55F9F" w:rsidP="009E607F">
      <w:pPr>
        <w:pStyle w:val="Paragraph"/>
        <w:tabs>
          <w:tab w:val="left" w:pos="567"/>
        </w:tabs>
        <w:spacing w:before="60" w:after="60"/>
        <w:ind w:left="567" w:hanging="567"/>
        <w:rPr>
          <w:sz w:val="18"/>
          <w:szCs w:val="18"/>
        </w:rPr>
      </w:pPr>
      <w:r w:rsidRPr="009122CD">
        <w:rPr>
          <w:rStyle w:val="FootnoteReference"/>
          <w:sz w:val="18"/>
          <w:szCs w:val="18"/>
          <w:vertAlign w:val="baseline"/>
        </w:rPr>
        <w:footnoteRef/>
      </w:r>
      <w:r w:rsidRPr="009122CD">
        <w:rPr>
          <w:sz w:val="18"/>
          <w:szCs w:val="18"/>
        </w:rPr>
        <w:t>.</w:t>
      </w:r>
      <w:r w:rsidRPr="009122CD">
        <w:rPr>
          <w:sz w:val="18"/>
          <w:szCs w:val="18"/>
        </w:rPr>
        <w:tab/>
        <w:t>Chiffres arrondis au dollar supérieur par rapport à l</w:t>
      </w:r>
      <w:r w:rsidR="00D96D0E">
        <w:rPr>
          <w:sz w:val="18"/>
          <w:szCs w:val="18"/>
        </w:rPr>
        <w:t>’</w:t>
      </w:r>
      <w:r w:rsidRPr="009122CD">
        <w:rPr>
          <w:sz w:val="18"/>
          <w:szCs w:val="18"/>
        </w:rPr>
        <w:t>état financier I.</w:t>
      </w:r>
    </w:p>
  </w:footnote>
  <w:footnote w:id="2">
    <w:p w14:paraId="7AAE3715" w14:textId="78130C90" w:rsidR="00671AD9" w:rsidRPr="009122CD" w:rsidRDefault="00671AD9" w:rsidP="00915C9C">
      <w:pPr>
        <w:pStyle w:val="Paragraph"/>
        <w:tabs>
          <w:tab w:val="left" w:pos="567"/>
        </w:tabs>
        <w:spacing w:before="60" w:after="60"/>
        <w:ind w:left="567" w:hanging="567"/>
        <w:rPr>
          <w:sz w:val="18"/>
          <w:szCs w:val="18"/>
        </w:rPr>
      </w:pPr>
      <w:r w:rsidRPr="009122CD">
        <w:rPr>
          <w:rStyle w:val="FootnoteReference"/>
          <w:sz w:val="18"/>
          <w:szCs w:val="18"/>
          <w:vertAlign w:val="baseline"/>
        </w:rPr>
        <w:footnoteRef/>
      </w:r>
      <w:r w:rsidRPr="009122CD">
        <w:rPr>
          <w:sz w:val="18"/>
          <w:szCs w:val="18"/>
        </w:rPr>
        <w:t>.</w:t>
      </w:r>
      <w:r w:rsidRPr="009122CD">
        <w:rPr>
          <w:sz w:val="18"/>
          <w:szCs w:val="18"/>
        </w:rPr>
        <w:tab/>
        <w:t>Dans l</w:t>
      </w:r>
      <w:r w:rsidR="00D96D0E">
        <w:rPr>
          <w:sz w:val="18"/>
          <w:szCs w:val="18"/>
        </w:rPr>
        <w:t>’</w:t>
      </w:r>
      <w:r w:rsidRPr="009122CD">
        <w:rPr>
          <w:sz w:val="18"/>
          <w:szCs w:val="18"/>
        </w:rPr>
        <w:t xml:space="preserve">état financier I, les contributions </w:t>
      </w:r>
      <w:r w:rsidR="00792F0C">
        <w:rPr>
          <w:sz w:val="18"/>
          <w:szCs w:val="18"/>
        </w:rPr>
        <w:t xml:space="preserve">règlementaires </w:t>
      </w:r>
      <w:r w:rsidRPr="009122CD">
        <w:rPr>
          <w:sz w:val="18"/>
          <w:szCs w:val="18"/>
        </w:rPr>
        <w:t xml:space="preserve">obligatoires pour la période janvier 2018 </w:t>
      </w:r>
      <w:r w:rsidR="00915C9C">
        <w:rPr>
          <w:sz w:val="18"/>
          <w:szCs w:val="18"/>
        </w:rPr>
        <w:t>–</w:t>
      </w:r>
      <w:r w:rsidRPr="009122CD">
        <w:rPr>
          <w:sz w:val="18"/>
          <w:szCs w:val="18"/>
        </w:rPr>
        <w:t xml:space="preserve"> juin 2018 sont indiquées en tant que </w:t>
      </w:r>
      <w:r w:rsidR="00792F0C" w:rsidRPr="009122CD">
        <w:rPr>
          <w:sz w:val="18"/>
          <w:szCs w:val="18"/>
        </w:rPr>
        <w:t>r</w:t>
      </w:r>
      <w:r w:rsidR="00792F0C">
        <w:rPr>
          <w:sz w:val="18"/>
          <w:szCs w:val="18"/>
        </w:rPr>
        <w:t>evenu</w:t>
      </w:r>
      <w:r w:rsidR="00792F0C" w:rsidRPr="009122CD">
        <w:rPr>
          <w:sz w:val="18"/>
          <w:szCs w:val="18"/>
        </w:rPr>
        <w:t>s</w:t>
      </w:r>
      <w:r w:rsidRPr="009122CD">
        <w:rPr>
          <w:sz w:val="18"/>
          <w:szCs w:val="18"/>
        </w:rPr>
        <w:t>, qu</w:t>
      </w:r>
      <w:r w:rsidR="00D96D0E">
        <w:rPr>
          <w:sz w:val="18"/>
          <w:szCs w:val="18"/>
        </w:rPr>
        <w:t>’</w:t>
      </w:r>
      <w:r w:rsidRPr="009122CD">
        <w:rPr>
          <w:sz w:val="18"/>
          <w:szCs w:val="18"/>
        </w:rPr>
        <w:t>elles aient été reçues ou non ; dans l</w:t>
      </w:r>
      <w:r w:rsidR="00D96D0E">
        <w:rPr>
          <w:sz w:val="18"/>
          <w:szCs w:val="18"/>
        </w:rPr>
        <w:t>’</w:t>
      </w:r>
      <w:r w:rsidRPr="009122CD">
        <w:rPr>
          <w:sz w:val="18"/>
          <w:szCs w:val="18"/>
        </w:rPr>
        <w:t>état financier II, le montant impayé</w:t>
      </w:r>
      <w:r w:rsidR="00625F18">
        <w:rPr>
          <w:sz w:val="18"/>
          <w:szCs w:val="18"/>
        </w:rPr>
        <w:t xml:space="preserve"> dû par</w:t>
      </w:r>
      <w:r w:rsidRPr="009122CD">
        <w:rPr>
          <w:sz w:val="18"/>
          <w:szCs w:val="18"/>
        </w:rPr>
        <w:t xml:space="preserve"> </w:t>
      </w:r>
      <w:r w:rsidR="00625F18">
        <w:rPr>
          <w:sz w:val="18"/>
          <w:szCs w:val="18"/>
        </w:rPr>
        <w:t>l</w:t>
      </w:r>
      <w:r w:rsidR="00625F18" w:rsidRPr="009122CD">
        <w:rPr>
          <w:sz w:val="18"/>
          <w:szCs w:val="18"/>
        </w:rPr>
        <w:t xml:space="preserve">es </w:t>
      </w:r>
      <w:r w:rsidRPr="009122CD">
        <w:rPr>
          <w:sz w:val="18"/>
          <w:szCs w:val="18"/>
        </w:rPr>
        <w:t xml:space="preserve">États parties au 30 juin 2018 </w:t>
      </w:r>
      <w:r w:rsidRPr="00915C9C">
        <w:rPr>
          <w:sz w:val="18"/>
          <w:szCs w:val="18"/>
        </w:rPr>
        <w:t>était de 1 228 441 dollars des États-Unis. Les</w:t>
      </w:r>
      <w:r w:rsidRPr="009122CD">
        <w:rPr>
          <w:sz w:val="18"/>
          <w:szCs w:val="18"/>
        </w:rPr>
        <w:t xml:space="preserve"> contributions </w:t>
      </w:r>
      <w:r w:rsidR="00625F18">
        <w:rPr>
          <w:sz w:val="18"/>
          <w:szCs w:val="18"/>
        </w:rPr>
        <w:t xml:space="preserve">règlementaires </w:t>
      </w:r>
      <w:r w:rsidRPr="009122CD">
        <w:rPr>
          <w:sz w:val="18"/>
          <w:szCs w:val="18"/>
        </w:rPr>
        <w:t xml:space="preserve">volontaires apparaissent en tant que </w:t>
      </w:r>
      <w:r w:rsidR="00625F18" w:rsidRPr="009122CD">
        <w:rPr>
          <w:sz w:val="18"/>
          <w:szCs w:val="18"/>
        </w:rPr>
        <w:t>r</w:t>
      </w:r>
      <w:r w:rsidR="00625F18">
        <w:rPr>
          <w:sz w:val="18"/>
          <w:szCs w:val="18"/>
        </w:rPr>
        <w:t>evenu</w:t>
      </w:r>
      <w:r w:rsidR="00625F18" w:rsidRPr="009122CD">
        <w:rPr>
          <w:sz w:val="18"/>
          <w:szCs w:val="18"/>
        </w:rPr>
        <w:t xml:space="preserve">s </w:t>
      </w:r>
      <w:r w:rsidRPr="009122CD">
        <w:rPr>
          <w:sz w:val="18"/>
          <w:szCs w:val="18"/>
        </w:rPr>
        <w:t>uniquement lorsqu</w:t>
      </w:r>
      <w:r w:rsidR="00D96D0E">
        <w:rPr>
          <w:sz w:val="18"/>
          <w:szCs w:val="18"/>
        </w:rPr>
        <w:t>’</w:t>
      </w:r>
      <w:r w:rsidRPr="009122CD">
        <w:rPr>
          <w:sz w:val="18"/>
          <w:szCs w:val="18"/>
        </w:rPr>
        <w:t>elles sont reçues.</w:t>
      </w:r>
    </w:p>
  </w:footnote>
  <w:footnote w:id="3">
    <w:p w14:paraId="2DDE0D35" w14:textId="09ACD3E6" w:rsidR="00917602" w:rsidRPr="009122CD" w:rsidRDefault="00917602" w:rsidP="001F1DB7">
      <w:pPr>
        <w:pStyle w:val="FootnoteText"/>
        <w:ind w:left="567" w:hanging="567"/>
        <w:jc w:val="both"/>
        <w:rPr>
          <w:rFonts w:ascii="Arial" w:hAnsi="Arial" w:cs="Arial"/>
          <w:sz w:val="18"/>
          <w:szCs w:val="18"/>
        </w:rPr>
      </w:pPr>
      <w:r w:rsidRPr="009122CD">
        <w:rPr>
          <w:rStyle w:val="FootnoteReference"/>
          <w:rFonts w:ascii="Arial" w:hAnsi="Arial" w:cs="Arial"/>
          <w:sz w:val="18"/>
          <w:szCs w:val="18"/>
          <w:vertAlign w:val="baseline"/>
        </w:rPr>
        <w:footnoteRef/>
      </w:r>
      <w:r w:rsidRPr="009122CD">
        <w:rPr>
          <w:rFonts w:ascii="Arial" w:hAnsi="Arial" w:cs="Arial"/>
          <w:sz w:val="18"/>
          <w:szCs w:val="18"/>
        </w:rPr>
        <w:t>.</w:t>
      </w:r>
      <w:r w:rsidRPr="009122CD">
        <w:rPr>
          <w:rFonts w:ascii="Arial" w:hAnsi="Arial" w:cs="Arial"/>
          <w:sz w:val="18"/>
          <w:szCs w:val="18"/>
        </w:rPr>
        <w:tab/>
        <w:t>Article 26.1 de la Convention de 2003 :</w:t>
      </w:r>
      <w:r w:rsidRPr="009122CD">
        <w:rPr>
          <w:rFonts w:ascii="Arial" w:hAnsi="Arial" w:cs="Arial"/>
          <w:i/>
          <w:sz w:val="18"/>
          <w:szCs w:val="18"/>
        </w:rPr>
        <w:t xml:space="preserve"> « Sans préjudice de toute contribution volontaire supplémentaire, les États parties à la présente Convention s</w:t>
      </w:r>
      <w:r w:rsidR="00D96D0E">
        <w:rPr>
          <w:rFonts w:ascii="Arial" w:hAnsi="Arial" w:cs="Arial"/>
          <w:i/>
          <w:sz w:val="18"/>
          <w:szCs w:val="18"/>
        </w:rPr>
        <w:t>’</w:t>
      </w:r>
      <w:r w:rsidRPr="009122CD">
        <w:rPr>
          <w:rFonts w:ascii="Arial" w:hAnsi="Arial" w:cs="Arial"/>
          <w:i/>
          <w:sz w:val="18"/>
          <w:szCs w:val="18"/>
        </w:rPr>
        <w:t xml:space="preserve">engagent à verser au Fonds, au moins tous les deux ans, une contribution dont le montant, calculé selon un pourcentage uniforme applicable à tous les États, sera </w:t>
      </w:r>
      <w:r w:rsidR="001F1DB7">
        <w:rPr>
          <w:rFonts w:ascii="Arial" w:hAnsi="Arial" w:cs="Arial"/>
          <w:i/>
          <w:sz w:val="18"/>
          <w:szCs w:val="18"/>
        </w:rPr>
        <w:t>décidé</w:t>
      </w:r>
      <w:r w:rsidR="001F1DB7" w:rsidRPr="009122CD">
        <w:rPr>
          <w:rFonts w:ascii="Arial" w:hAnsi="Arial" w:cs="Arial"/>
          <w:i/>
          <w:sz w:val="18"/>
          <w:szCs w:val="18"/>
        </w:rPr>
        <w:t xml:space="preserve"> </w:t>
      </w:r>
      <w:r w:rsidRPr="009122CD">
        <w:rPr>
          <w:rFonts w:ascii="Arial" w:hAnsi="Arial" w:cs="Arial"/>
          <w:i/>
          <w:sz w:val="18"/>
          <w:szCs w:val="18"/>
        </w:rPr>
        <w:t>par l</w:t>
      </w:r>
      <w:r w:rsidR="00D96D0E">
        <w:rPr>
          <w:rFonts w:ascii="Arial" w:hAnsi="Arial" w:cs="Arial"/>
          <w:i/>
          <w:sz w:val="18"/>
          <w:szCs w:val="18"/>
        </w:rPr>
        <w:t>’</w:t>
      </w:r>
      <w:r w:rsidRPr="009122CD">
        <w:rPr>
          <w:rFonts w:ascii="Arial" w:hAnsi="Arial" w:cs="Arial"/>
          <w:i/>
          <w:sz w:val="18"/>
          <w:szCs w:val="18"/>
        </w:rPr>
        <w:t>Assemblée générale.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3D5B" w14:textId="27F21441" w:rsidR="00B6167A" w:rsidRPr="007E4E37" w:rsidRDefault="005414A1" w:rsidP="009B55AC">
    <w:pPr>
      <w:pStyle w:val="Header"/>
      <w:rPr>
        <w:rFonts w:ascii="Arial" w:hAnsi="Arial" w:cs="Arial"/>
      </w:rPr>
    </w:pPr>
    <w:r>
      <w:rPr>
        <w:rFonts w:ascii="Arial" w:hAnsi="Arial"/>
        <w:sz w:val="20"/>
        <w:szCs w:val="20"/>
      </w:rPr>
      <w:t xml:space="preserve">ITH/18/13.COM/INF.5.2 – page </w:t>
    </w:r>
    <w:r w:rsidR="00B6167A" w:rsidRPr="00D81948">
      <w:rPr>
        <w:rStyle w:val="PageNumber"/>
        <w:rFonts w:ascii="Arial" w:hAnsi="Arial" w:cs="Arial"/>
        <w:sz w:val="20"/>
        <w:szCs w:val="20"/>
      </w:rPr>
      <w:fldChar w:fldCharType="begin"/>
    </w:r>
    <w:r w:rsidR="00B6167A" w:rsidRPr="00D81948">
      <w:rPr>
        <w:rStyle w:val="PageNumber"/>
        <w:rFonts w:ascii="Arial" w:hAnsi="Arial" w:cs="Arial"/>
        <w:sz w:val="20"/>
        <w:szCs w:val="20"/>
      </w:rPr>
      <w:instrText xml:space="preserve"> PAGE </w:instrText>
    </w:r>
    <w:r w:rsidR="00B6167A" w:rsidRPr="00D81948">
      <w:rPr>
        <w:rStyle w:val="PageNumber"/>
        <w:rFonts w:ascii="Arial" w:hAnsi="Arial" w:cs="Arial"/>
        <w:sz w:val="20"/>
        <w:szCs w:val="20"/>
      </w:rPr>
      <w:fldChar w:fldCharType="separate"/>
    </w:r>
    <w:r w:rsidR="00D425B2">
      <w:rPr>
        <w:rStyle w:val="PageNumber"/>
        <w:rFonts w:ascii="Arial" w:hAnsi="Arial" w:cs="Arial"/>
        <w:noProof/>
        <w:sz w:val="20"/>
        <w:szCs w:val="20"/>
      </w:rPr>
      <w:t>14</w:t>
    </w:r>
    <w:r w:rsidR="00B6167A" w:rsidRPr="00D81948">
      <w:rPr>
        <w:rStyle w:val="PageNumber"/>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5E70" w14:textId="242A5A44" w:rsidR="00B6167A" w:rsidRPr="007E4E37" w:rsidRDefault="00D46EBD" w:rsidP="007D13D9">
    <w:pPr>
      <w:pStyle w:val="Header"/>
      <w:ind w:left="2544" w:firstLine="3828"/>
      <w:jc w:val="right"/>
      <w:rPr>
        <w:rFonts w:ascii="Arial" w:hAnsi="Arial" w:cs="Arial"/>
      </w:rPr>
    </w:pPr>
    <w:r>
      <w:rPr>
        <w:rFonts w:ascii="Arial" w:hAnsi="Arial"/>
        <w:sz w:val="20"/>
        <w:szCs w:val="20"/>
      </w:rPr>
      <w:t xml:space="preserve">ITH/18/13.COM/INF.5.2 – page </w:t>
    </w:r>
    <w:r w:rsidR="001E4EEB" w:rsidRPr="00EF563B">
      <w:rPr>
        <w:rStyle w:val="PageNumber"/>
        <w:rFonts w:ascii="Arial" w:hAnsi="Arial" w:cs="Arial"/>
        <w:sz w:val="20"/>
        <w:szCs w:val="20"/>
      </w:rPr>
      <w:fldChar w:fldCharType="begin"/>
    </w:r>
    <w:r w:rsidR="001E4EEB" w:rsidRPr="00EF563B">
      <w:rPr>
        <w:rStyle w:val="PageNumber"/>
        <w:rFonts w:ascii="Arial" w:hAnsi="Arial" w:cs="Arial"/>
        <w:sz w:val="20"/>
        <w:szCs w:val="20"/>
      </w:rPr>
      <w:instrText xml:space="preserve"> </w:instrText>
    </w:r>
    <w:r w:rsidR="001E4EEB">
      <w:rPr>
        <w:rStyle w:val="PageNumber"/>
        <w:rFonts w:ascii="Arial" w:hAnsi="Arial" w:cs="Arial"/>
        <w:sz w:val="20"/>
        <w:szCs w:val="20"/>
      </w:rPr>
      <w:instrText>PAGE</w:instrText>
    </w:r>
    <w:r w:rsidR="001E4EEB" w:rsidRPr="00EF563B">
      <w:rPr>
        <w:rStyle w:val="PageNumber"/>
        <w:rFonts w:ascii="Arial" w:hAnsi="Arial" w:cs="Arial"/>
        <w:sz w:val="20"/>
        <w:szCs w:val="20"/>
      </w:rPr>
      <w:instrText xml:space="preserve"> </w:instrText>
    </w:r>
    <w:r w:rsidR="001E4EEB" w:rsidRPr="00EF563B">
      <w:rPr>
        <w:rStyle w:val="PageNumber"/>
        <w:rFonts w:ascii="Arial" w:hAnsi="Arial" w:cs="Arial"/>
        <w:sz w:val="20"/>
        <w:szCs w:val="20"/>
      </w:rPr>
      <w:fldChar w:fldCharType="separate"/>
    </w:r>
    <w:r w:rsidR="00D425B2">
      <w:rPr>
        <w:rStyle w:val="PageNumber"/>
        <w:rFonts w:ascii="Arial" w:hAnsi="Arial" w:cs="Arial"/>
        <w:noProof/>
        <w:sz w:val="20"/>
        <w:szCs w:val="20"/>
      </w:rPr>
      <w:t>13</w:t>
    </w:r>
    <w:r w:rsidR="001E4EEB" w:rsidRPr="00EF563B">
      <w:rPr>
        <w:rStyle w:val="PageNumber"/>
        <w:rFonts w:ascii="Arial" w:hAnsi="Arial"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7050" w14:textId="58F53955" w:rsidR="00B6167A" w:rsidRPr="008724E5" w:rsidRDefault="001139FD">
    <w:pPr>
      <w:pStyle w:val="Header"/>
    </w:pPr>
    <w:r>
      <w:rPr>
        <w:noProof/>
        <w:lang w:val="en-US" w:eastAsia="ko-KR"/>
      </w:rPr>
      <w:drawing>
        <wp:anchor distT="0" distB="0" distL="114300" distR="114300" simplePos="0" relativeHeight="251661824" behindDoc="0" locked="0" layoutInCell="1" allowOverlap="1" wp14:anchorId="52A55562" wp14:editId="3F0603F0">
          <wp:simplePos x="0" y="0"/>
          <wp:positionH relativeFrom="page">
            <wp:posOffset>342265</wp:posOffset>
          </wp:positionH>
          <wp:positionV relativeFrom="page">
            <wp:posOffset>255905</wp:posOffset>
          </wp:positionV>
          <wp:extent cx="2037600" cy="1530000"/>
          <wp:effectExtent l="0" t="0" r="1270" b="0"/>
          <wp:wrapNone/>
          <wp:docPr id="1" name="Picture 11"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8BA27" w14:textId="77777777" w:rsidR="00B6167A" w:rsidRPr="00F14D92" w:rsidRDefault="00E3509F" w:rsidP="002938F2">
    <w:pPr>
      <w:pStyle w:val="Header"/>
      <w:spacing w:after="520"/>
      <w:jc w:val="right"/>
      <w:rPr>
        <w:rFonts w:ascii="Arial" w:hAnsi="Arial" w:cs="Arial"/>
        <w:b/>
        <w:sz w:val="44"/>
        <w:szCs w:val="44"/>
        <w:lang w:val="en-US"/>
      </w:rPr>
    </w:pPr>
    <w:r w:rsidRPr="00F14D92">
      <w:rPr>
        <w:rFonts w:ascii="Arial" w:hAnsi="Arial"/>
        <w:b/>
        <w:sz w:val="44"/>
        <w:szCs w:val="44"/>
        <w:lang w:val="en-US"/>
      </w:rPr>
      <w:t>13 COM</w:t>
    </w:r>
  </w:p>
  <w:p w14:paraId="3CFA4535" w14:textId="77777777" w:rsidR="00B6167A" w:rsidRPr="00F14D92" w:rsidRDefault="006A0D86" w:rsidP="009B55AC">
    <w:pPr>
      <w:spacing w:after="0"/>
      <w:jc w:val="right"/>
      <w:rPr>
        <w:rFonts w:ascii="Arial" w:hAnsi="Arial" w:cs="Arial"/>
        <w:b/>
        <w:szCs w:val="22"/>
        <w:lang w:val="en-US"/>
      </w:rPr>
    </w:pPr>
    <w:r w:rsidRPr="00F14D92">
      <w:rPr>
        <w:rFonts w:ascii="Arial" w:hAnsi="Arial"/>
        <w:b/>
        <w:szCs w:val="22"/>
        <w:lang w:val="en-US"/>
      </w:rPr>
      <w:t>ITH/18/13.COM/INF.5.2</w:t>
    </w:r>
  </w:p>
  <w:p w14:paraId="683DD054" w14:textId="2C6B4DB7" w:rsidR="00B6167A" w:rsidRPr="00F14D92" w:rsidRDefault="00B6167A" w:rsidP="00CF3625">
    <w:pPr>
      <w:spacing w:after="0"/>
      <w:jc w:val="right"/>
      <w:rPr>
        <w:rFonts w:ascii="Arial" w:eastAsiaTheme="minorEastAsia" w:hAnsi="Arial" w:cs="Arial"/>
        <w:b/>
        <w:szCs w:val="22"/>
        <w:lang w:val="en-US"/>
      </w:rPr>
    </w:pPr>
    <w:r w:rsidRPr="00F14D92">
      <w:rPr>
        <w:rFonts w:ascii="Arial" w:hAnsi="Arial"/>
        <w:b/>
        <w:szCs w:val="22"/>
        <w:lang w:val="en-US"/>
      </w:rPr>
      <w:t xml:space="preserve">Paris, le </w:t>
    </w:r>
    <w:r w:rsidR="00CF3625">
      <w:rPr>
        <w:rFonts w:ascii="Arial" w:hAnsi="Arial"/>
        <w:b/>
        <w:szCs w:val="22"/>
        <w:lang w:val="en-US"/>
      </w:rPr>
      <w:t xml:space="preserve">25 </w:t>
    </w:r>
    <w:r w:rsidR="00CF3625" w:rsidRPr="00CF3625">
      <w:rPr>
        <w:rFonts w:ascii="Arial" w:hAnsi="Arial"/>
        <w:b/>
        <w:szCs w:val="22"/>
      </w:rPr>
      <w:t>octobre</w:t>
    </w:r>
    <w:r w:rsidRPr="00F14D92">
      <w:rPr>
        <w:rFonts w:ascii="Arial" w:hAnsi="Arial"/>
        <w:b/>
        <w:szCs w:val="22"/>
        <w:lang w:val="en-US"/>
      </w:rPr>
      <w:t> 2018</w:t>
    </w:r>
  </w:p>
  <w:p w14:paraId="266E0AB2" w14:textId="77777777" w:rsidR="00B6167A" w:rsidRPr="00D81948" w:rsidRDefault="00B6167A" w:rsidP="002D396D">
    <w:pPr>
      <w:spacing w:after="0"/>
      <w:jc w:val="right"/>
      <w:rPr>
        <w:rFonts w:ascii="Arial" w:hAnsi="Arial" w:cs="Arial"/>
        <w:b/>
        <w:szCs w:val="22"/>
      </w:rPr>
    </w:pPr>
    <w:r>
      <w:rPr>
        <w:rFonts w:ascii="Arial" w:hAnsi="Arial"/>
        <w:b/>
        <w:szCs w:val="22"/>
      </w:rPr>
      <w:t>Original : anglais</w:t>
    </w:r>
  </w:p>
  <w:p w14:paraId="669D22E2" w14:textId="77777777" w:rsidR="00B6167A" w:rsidRPr="00D81948" w:rsidRDefault="00B616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E915C" w14:textId="77777777" w:rsidR="003400F6" w:rsidRPr="008724E5" w:rsidRDefault="003400F6">
    <w:pPr>
      <w:pStyle w:val="Header"/>
    </w:pPr>
    <w:r>
      <w:rPr>
        <w:noProof/>
        <w:lang w:val="en-US" w:eastAsia="ko-KR"/>
      </w:rPr>
      <w:drawing>
        <wp:anchor distT="0" distB="0" distL="114300" distR="114300" simplePos="0" relativeHeight="251659776" behindDoc="0" locked="0" layoutInCell="1" allowOverlap="1" wp14:anchorId="1C8EAC94" wp14:editId="287F60FD">
          <wp:simplePos x="0" y="0"/>
          <wp:positionH relativeFrom="column">
            <wp:posOffset>-567690</wp:posOffset>
          </wp:positionH>
          <wp:positionV relativeFrom="paragraph">
            <wp:posOffset>3810</wp:posOffset>
          </wp:positionV>
          <wp:extent cx="2228215" cy="1367790"/>
          <wp:effectExtent l="0" t="0" r="635" b="3810"/>
          <wp:wrapNone/>
          <wp:docPr id="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B4EEA" w14:textId="77777777" w:rsidR="003400F6" w:rsidRPr="00F14D92" w:rsidRDefault="003400F6" w:rsidP="002938F2">
    <w:pPr>
      <w:pStyle w:val="Header"/>
      <w:spacing w:after="520"/>
      <w:jc w:val="right"/>
      <w:rPr>
        <w:rFonts w:ascii="Arial" w:hAnsi="Arial" w:cs="Arial"/>
        <w:b/>
        <w:sz w:val="44"/>
        <w:szCs w:val="44"/>
        <w:lang w:val="en-US"/>
      </w:rPr>
    </w:pPr>
    <w:r w:rsidRPr="00F14D92">
      <w:rPr>
        <w:rFonts w:ascii="Arial" w:hAnsi="Arial"/>
        <w:b/>
        <w:sz w:val="44"/>
        <w:szCs w:val="44"/>
        <w:lang w:val="en-US"/>
      </w:rPr>
      <w:t>13 COM</w:t>
    </w:r>
  </w:p>
  <w:p w14:paraId="196F2E58" w14:textId="77777777" w:rsidR="003400F6" w:rsidRPr="00F14D92" w:rsidRDefault="003400F6" w:rsidP="009B55AC">
    <w:pPr>
      <w:spacing w:after="0"/>
      <w:jc w:val="right"/>
      <w:rPr>
        <w:rFonts w:ascii="Arial" w:hAnsi="Arial" w:cs="Arial"/>
        <w:b/>
        <w:szCs w:val="22"/>
        <w:lang w:val="en-US"/>
      </w:rPr>
    </w:pPr>
    <w:r w:rsidRPr="00F14D92">
      <w:rPr>
        <w:rFonts w:ascii="Arial" w:hAnsi="Arial"/>
        <w:b/>
        <w:szCs w:val="22"/>
        <w:lang w:val="en-US"/>
      </w:rPr>
      <w:t>ITH/18/13.COM/INF.5.2</w:t>
    </w:r>
  </w:p>
  <w:p w14:paraId="59519672" w14:textId="77777777" w:rsidR="003400F6" w:rsidRPr="00F14D92" w:rsidRDefault="003400F6" w:rsidP="002D396D">
    <w:pPr>
      <w:spacing w:after="0"/>
      <w:jc w:val="right"/>
      <w:rPr>
        <w:rFonts w:ascii="Arial" w:eastAsiaTheme="minorEastAsia" w:hAnsi="Arial" w:cs="Arial"/>
        <w:b/>
        <w:szCs w:val="22"/>
        <w:lang w:val="en-US"/>
      </w:rPr>
    </w:pPr>
    <w:r w:rsidRPr="00F14D92">
      <w:rPr>
        <w:rFonts w:ascii="Arial" w:hAnsi="Arial"/>
        <w:b/>
        <w:szCs w:val="22"/>
        <w:lang w:val="en-US"/>
      </w:rPr>
      <w:t xml:space="preserve">Paris, le </w:t>
    </w:r>
    <w:r w:rsidRPr="00F14D92">
      <w:rPr>
        <w:rFonts w:ascii="Arial" w:hAnsi="Arial"/>
        <w:b/>
        <w:szCs w:val="22"/>
        <w:highlight w:val="yellow"/>
        <w:lang w:val="en-US"/>
      </w:rPr>
      <w:t xml:space="preserve">xxx </w:t>
    </w:r>
    <w:proofErr w:type="spellStart"/>
    <w:r w:rsidRPr="00F14D92">
      <w:rPr>
        <w:rFonts w:ascii="Arial" w:hAnsi="Arial"/>
        <w:b/>
        <w:szCs w:val="22"/>
        <w:highlight w:val="yellow"/>
        <w:lang w:val="en-US"/>
      </w:rPr>
      <w:t>xxx</w:t>
    </w:r>
    <w:proofErr w:type="spellEnd"/>
    <w:r w:rsidRPr="00F14D92">
      <w:rPr>
        <w:rFonts w:ascii="Arial" w:hAnsi="Arial"/>
        <w:b/>
        <w:szCs w:val="22"/>
        <w:lang w:val="en-US"/>
      </w:rPr>
      <w:t> 2018</w:t>
    </w:r>
  </w:p>
  <w:p w14:paraId="2A058143" w14:textId="77777777" w:rsidR="003400F6" w:rsidRPr="00D81948" w:rsidRDefault="003400F6" w:rsidP="002D396D">
    <w:pPr>
      <w:spacing w:after="0"/>
      <w:jc w:val="right"/>
      <w:rPr>
        <w:rFonts w:ascii="Arial" w:hAnsi="Arial" w:cs="Arial"/>
        <w:b/>
        <w:szCs w:val="22"/>
      </w:rPr>
    </w:pPr>
    <w:r>
      <w:rPr>
        <w:rFonts w:ascii="Arial" w:hAnsi="Arial"/>
        <w:b/>
        <w:szCs w:val="22"/>
      </w:rPr>
      <w:t>Original : anglais</w:t>
    </w:r>
  </w:p>
  <w:p w14:paraId="303CA5C2" w14:textId="77777777" w:rsidR="003400F6" w:rsidRPr="00D81948" w:rsidRDefault="00340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 w15:restartNumberingAfterBreak="0">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5F07BFE"/>
    <w:multiLevelType w:val="hybridMultilevel"/>
    <w:tmpl w:val="2F78633A"/>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D79E4E48">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41BD40C5"/>
    <w:multiLevelType w:val="hybridMultilevel"/>
    <w:tmpl w:val="B9E64288"/>
    <w:lvl w:ilvl="0" w:tplc="08A29940">
      <w:start w:val="1"/>
      <w:numFmt w:val="lowerLetter"/>
      <w:lvlText w:val="%1)"/>
      <w:lvlJc w:val="left"/>
      <w:pPr>
        <w:ind w:left="720" w:hanging="360"/>
      </w:pPr>
      <w:rPr>
        <w:rFonts w:ascii="Arial" w:eastAsia="MS Mincho"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B71665"/>
    <w:multiLevelType w:val="hybridMultilevel"/>
    <w:tmpl w:val="7340C63C"/>
    <w:lvl w:ilvl="0" w:tplc="D04ECF5C">
      <w:start w:val="1"/>
      <w:numFmt w:val="decimal"/>
      <w:pStyle w:val="ListParagraph"/>
      <w:lvlText w:val="%1."/>
      <w:lvlJc w:val="left"/>
      <w:pPr>
        <w:ind w:left="107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CD35B7"/>
    <w:multiLevelType w:val="hybridMultilevel"/>
    <w:tmpl w:val="E40E8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C12C9C"/>
    <w:multiLevelType w:val="hybridMultilevel"/>
    <w:tmpl w:val="51521924"/>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9B1360"/>
    <w:multiLevelType w:val="hybridMultilevel"/>
    <w:tmpl w:val="924CFA76"/>
    <w:lvl w:ilvl="0" w:tplc="AF164E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11"/>
  </w:num>
  <w:num w:numId="5">
    <w:abstractNumId w:val="9"/>
  </w:num>
  <w:num w:numId="6">
    <w:abstractNumId w:val="0"/>
  </w:num>
  <w:num w:numId="7">
    <w:abstractNumId w:val="2"/>
  </w:num>
  <w:num w:numId="8">
    <w:abstractNumId w:val="3"/>
  </w:num>
  <w:num w:numId="9">
    <w:abstractNumId w:val="10"/>
  </w:num>
  <w:num w:numId="10">
    <w:abstractNumId w:val="6"/>
  </w:num>
  <w:num w:numId="11">
    <w:abstractNumId w:val="3"/>
    <w:lvlOverride w:ilvl="0">
      <w:startOverride w:val="1"/>
    </w:lvlOverride>
  </w:num>
  <w:num w:numId="12">
    <w:abstractNumId w:val="3"/>
  </w:num>
  <w:num w:numId="13">
    <w:abstractNumId w:val="5"/>
  </w:num>
  <w:num w:numId="14">
    <w:abstractNumId w:val="3"/>
  </w:num>
  <w:num w:numId="15">
    <w:abstractNumId w:val="8"/>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4A1"/>
    <w:rsid w:val="000016A4"/>
    <w:rsid w:val="000019DB"/>
    <w:rsid w:val="00003D0C"/>
    <w:rsid w:val="000047CC"/>
    <w:rsid w:val="000102D5"/>
    <w:rsid w:val="00010A60"/>
    <w:rsid w:val="000120FD"/>
    <w:rsid w:val="00021831"/>
    <w:rsid w:val="00023BF6"/>
    <w:rsid w:val="000320A5"/>
    <w:rsid w:val="00040F0B"/>
    <w:rsid w:val="00047E58"/>
    <w:rsid w:val="00053D35"/>
    <w:rsid w:val="000641C4"/>
    <w:rsid w:val="00065FC4"/>
    <w:rsid w:val="00073D20"/>
    <w:rsid w:val="00074163"/>
    <w:rsid w:val="000755E1"/>
    <w:rsid w:val="00077494"/>
    <w:rsid w:val="00081206"/>
    <w:rsid w:val="0008357D"/>
    <w:rsid w:val="0008501B"/>
    <w:rsid w:val="00085541"/>
    <w:rsid w:val="00093063"/>
    <w:rsid w:val="000A34CE"/>
    <w:rsid w:val="000C65E4"/>
    <w:rsid w:val="000D1F6F"/>
    <w:rsid w:val="000F447C"/>
    <w:rsid w:val="000F7524"/>
    <w:rsid w:val="001064D8"/>
    <w:rsid w:val="00106B72"/>
    <w:rsid w:val="001139FD"/>
    <w:rsid w:val="0011750D"/>
    <w:rsid w:val="001343C6"/>
    <w:rsid w:val="001412DE"/>
    <w:rsid w:val="00144A4D"/>
    <w:rsid w:val="00151351"/>
    <w:rsid w:val="001659AA"/>
    <w:rsid w:val="001703CA"/>
    <w:rsid w:val="00174B39"/>
    <w:rsid w:val="00193FFE"/>
    <w:rsid w:val="001A431C"/>
    <w:rsid w:val="001A48DE"/>
    <w:rsid w:val="001C0FF2"/>
    <w:rsid w:val="001C5BA7"/>
    <w:rsid w:val="001D00B5"/>
    <w:rsid w:val="001D3B29"/>
    <w:rsid w:val="001E4EEB"/>
    <w:rsid w:val="001E59F9"/>
    <w:rsid w:val="001E6026"/>
    <w:rsid w:val="001F1DB7"/>
    <w:rsid w:val="001F3696"/>
    <w:rsid w:val="001F37CA"/>
    <w:rsid w:val="00204B37"/>
    <w:rsid w:val="00212478"/>
    <w:rsid w:val="00237E43"/>
    <w:rsid w:val="0027198B"/>
    <w:rsid w:val="00286B7E"/>
    <w:rsid w:val="00286C0C"/>
    <w:rsid w:val="00290D5F"/>
    <w:rsid w:val="002938F2"/>
    <w:rsid w:val="002A2038"/>
    <w:rsid w:val="002C5280"/>
    <w:rsid w:val="002C61CA"/>
    <w:rsid w:val="002D396D"/>
    <w:rsid w:val="002E1B6A"/>
    <w:rsid w:val="003002A6"/>
    <w:rsid w:val="00307B6A"/>
    <w:rsid w:val="003356E1"/>
    <w:rsid w:val="003400F6"/>
    <w:rsid w:val="00343A7D"/>
    <w:rsid w:val="003455EE"/>
    <w:rsid w:val="0035648A"/>
    <w:rsid w:val="00363995"/>
    <w:rsid w:val="00373E6A"/>
    <w:rsid w:val="0039446E"/>
    <w:rsid w:val="003B732D"/>
    <w:rsid w:val="003C0072"/>
    <w:rsid w:val="003C7065"/>
    <w:rsid w:val="003D29BE"/>
    <w:rsid w:val="003E026D"/>
    <w:rsid w:val="003E319B"/>
    <w:rsid w:val="003E69F1"/>
    <w:rsid w:val="0040449D"/>
    <w:rsid w:val="004108B6"/>
    <w:rsid w:val="00434773"/>
    <w:rsid w:val="00436778"/>
    <w:rsid w:val="00440D48"/>
    <w:rsid w:val="00442592"/>
    <w:rsid w:val="00447C66"/>
    <w:rsid w:val="00471B34"/>
    <w:rsid w:val="004743F9"/>
    <w:rsid w:val="004A3990"/>
    <w:rsid w:val="004A589E"/>
    <w:rsid w:val="004E056C"/>
    <w:rsid w:val="004E2817"/>
    <w:rsid w:val="004E40EB"/>
    <w:rsid w:val="004F28D2"/>
    <w:rsid w:val="005016FB"/>
    <w:rsid w:val="005069A9"/>
    <w:rsid w:val="00511D17"/>
    <w:rsid w:val="005145EC"/>
    <w:rsid w:val="0051699F"/>
    <w:rsid w:val="0053086E"/>
    <w:rsid w:val="005414A1"/>
    <w:rsid w:val="005470D9"/>
    <w:rsid w:val="00560988"/>
    <w:rsid w:val="0058173B"/>
    <w:rsid w:val="005925D5"/>
    <w:rsid w:val="005B33E9"/>
    <w:rsid w:val="005C0660"/>
    <w:rsid w:val="005F2C6B"/>
    <w:rsid w:val="005F7184"/>
    <w:rsid w:val="005F789F"/>
    <w:rsid w:val="00601DD6"/>
    <w:rsid w:val="00603F71"/>
    <w:rsid w:val="00613F5F"/>
    <w:rsid w:val="00625F18"/>
    <w:rsid w:val="00633D66"/>
    <w:rsid w:val="00636760"/>
    <w:rsid w:val="00645547"/>
    <w:rsid w:val="006515C9"/>
    <w:rsid w:val="00652318"/>
    <w:rsid w:val="006671B7"/>
    <w:rsid w:val="0067005F"/>
    <w:rsid w:val="00671AD9"/>
    <w:rsid w:val="00673549"/>
    <w:rsid w:val="006A0D86"/>
    <w:rsid w:val="006A348E"/>
    <w:rsid w:val="006C0911"/>
    <w:rsid w:val="006C154A"/>
    <w:rsid w:val="006D2FF7"/>
    <w:rsid w:val="006D46FB"/>
    <w:rsid w:val="006D6094"/>
    <w:rsid w:val="006F19FC"/>
    <w:rsid w:val="007157A4"/>
    <w:rsid w:val="007273D3"/>
    <w:rsid w:val="00734E31"/>
    <w:rsid w:val="00746204"/>
    <w:rsid w:val="007475E3"/>
    <w:rsid w:val="00747715"/>
    <w:rsid w:val="00750138"/>
    <w:rsid w:val="00753DA3"/>
    <w:rsid w:val="007542D9"/>
    <w:rsid w:val="00764F50"/>
    <w:rsid w:val="00770A92"/>
    <w:rsid w:val="007713DC"/>
    <w:rsid w:val="00772179"/>
    <w:rsid w:val="00790C65"/>
    <w:rsid w:val="00792F0C"/>
    <w:rsid w:val="00795B57"/>
    <w:rsid w:val="007A7D45"/>
    <w:rsid w:val="007B5137"/>
    <w:rsid w:val="007C1B00"/>
    <w:rsid w:val="007D13D9"/>
    <w:rsid w:val="007D31CE"/>
    <w:rsid w:val="007D5BB7"/>
    <w:rsid w:val="007E0621"/>
    <w:rsid w:val="007E4E37"/>
    <w:rsid w:val="007F0B1B"/>
    <w:rsid w:val="007F4B07"/>
    <w:rsid w:val="008002D1"/>
    <w:rsid w:val="00804538"/>
    <w:rsid w:val="0083488D"/>
    <w:rsid w:val="008466C3"/>
    <w:rsid w:val="00851458"/>
    <w:rsid w:val="00851A31"/>
    <w:rsid w:val="0085696E"/>
    <w:rsid w:val="00861A47"/>
    <w:rsid w:val="00865165"/>
    <w:rsid w:val="008707FF"/>
    <w:rsid w:val="008724E5"/>
    <w:rsid w:val="008D3561"/>
    <w:rsid w:val="008D3BF7"/>
    <w:rsid w:val="008F16C6"/>
    <w:rsid w:val="008F34A1"/>
    <w:rsid w:val="009121CE"/>
    <w:rsid w:val="009122CD"/>
    <w:rsid w:val="009127D8"/>
    <w:rsid w:val="00915C9C"/>
    <w:rsid w:val="00917602"/>
    <w:rsid w:val="00921F65"/>
    <w:rsid w:val="00946051"/>
    <w:rsid w:val="00950EF3"/>
    <w:rsid w:val="00962444"/>
    <w:rsid w:val="0097349C"/>
    <w:rsid w:val="00984282"/>
    <w:rsid w:val="0098717B"/>
    <w:rsid w:val="009908C9"/>
    <w:rsid w:val="00992106"/>
    <w:rsid w:val="009B55AC"/>
    <w:rsid w:val="009D4547"/>
    <w:rsid w:val="009D5E38"/>
    <w:rsid w:val="009E607F"/>
    <w:rsid w:val="009F198F"/>
    <w:rsid w:val="009F34A4"/>
    <w:rsid w:val="009F3988"/>
    <w:rsid w:val="00A02482"/>
    <w:rsid w:val="00A123A4"/>
    <w:rsid w:val="00A150C7"/>
    <w:rsid w:val="00A519A2"/>
    <w:rsid w:val="00A60CFD"/>
    <w:rsid w:val="00A70883"/>
    <w:rsid w:val="00A77AEB"/>
    <w:rsid w:val="00A86042"/>
    <w:rsid w:val="00A95ACF"/>
    <w:rsid w:val="00AA444A"/>
    <w:rsid w:val="00AA6587"/>
    <w:rsid w:val="00AB1528"/>
    <w:rsid w:val="00AB4456"/>
    <w:rsid w:val="00AE1B18"/>
    <w:rsid w:val="00AF1C32"/>
    <w:rsid w:val="00B035B5"/>
    <w:rsid w:val="00B1062A"/>
    <w:rsid w:val="00B11AE3"/>
    <w:rsid w:val="00B42287"/>
    <w:rsid w:val="00B55F9F"/>
    <w:rsid w:val="00B6167A"/>
    <w:rsid w:val="00B61692"/>
    <w:rsid w:val="00B973B5"/>
    <w:rsid w:val="00BB7961"/>
    <w:rsid w:val="00BD59BD"/>
    <w:rsid w:val="00BF6CD4"/>
    <w:rsid w:val="00C07852"/>
    <w:rsid w:val="00C26842"/>
    <w:rsid w:val="00C4598A"/>
    <w:rsid w:val="00C53121"/>
    <w:rsid w:val="00C6478B"/>
    <w:rsid w:val="00C70EFC"/>
    <w:rsid w:val="00C86385"/>
    <w:rsid w:val="00CB0F37"/>
    <w:rsid w:val="00CC2BC6"/>
    <w:rsid w:val="00CD7A7E"/>
    <w:rsid w:val="00CE2586"/>
    <w:rsid w:val="00CF3625"/>
    <w:rsid w:val="00CF3702"/>
    <w:rsid w:val="00D0110A"/>
    <w:rsid w:val="00D404B7"/>
    <w:rsid w:val="00D425B2"/>
    <w:rsid w:val="00D43BEF"/>
    <w:rsid w:val="00D46EBD"/>
    <w:rsid w:val="00D53BF5"/>
    <w:rsid w:val="00D53FEE"/>
    <w:rsid w:val="00D627D7"/>
    <w:rsid w:val="00D6468B"/>
    <w:rsid w:val="00D809E5"/>
    <w:rsid w:val="00D81948"/>
    <w:rsid w:val="00D9090F"/>
    <w:rsid w:val="00D92077"/>
    <w:rsid w:val="00D9501F"/>
    <w:rsid w:val="00D96D0E"/>
    <w:rsid w:val="00D974B0"/>
    <w:rsid w:val="00DA2E50"/>
    <w:rsid w:val="00DB3669"/>
    <w:rsid w:val="00DB50D5"/>
    <w:rsid w:val="00DC1DBB"/>
    <w:rsid w:val="00DC621B"/>
    <w:rsid w:val="00DD5D9C"/>
    <w:rsid w:val="00DF3DA3"/>
    <w:rsid w:val="00E06A00"/>
    <w:rsid w:val="00E10367"/>
    <w:rsid w:val="00E152D1"/>
    <w:rsid w:val="00E22B99"/>
    <w:rsid w:val="00E258D9"/>
    <w:rsid w:val="00E309FD"/>
    <w:rsid w:val="00E3509F"/>
    <w:rsid w:val="00E439CA"/>
    <w:rsid w:val="00E5219B"/>
    <w:rsid w:val="00E720F3"/>
    <w:rsid w:val="00E72B36"/>
    <w:rsid w:val="00E748A0"/>
    <w:rsid w:val="00E756DE"/>
    <w:rsid w:val="00E93F6E"/>
    <w:rsid w:val="00E9682C"/>
    <w:rsid w:val="00EA198F"/>
    <w:rsid w:val="00EF0BCB"/>
    <w:rsid w:val="00EF0E74"/>
    <w:rsid w:val="00F00E8A"/>
    <w:rsid w:val="00F14D92"/>
    <w:rsid w:val="00F33650"/>
    <w:rsid w:val="00F35E89"/>
    <w:rsid w:val="00F40CD3"/>
    <w:rsid w:val="00F473CB"/>
    <w:rsid w:val="00F50245"/>
    <w:rsid w:val="00F63DDA"/>
    <w:rsid w:val="00F70858"/>
    <w:rsid w:val="00F7397F"/>
    <w:rsid w:val="00F75949"/>
    <w:rsid w:val="00F87470"/>
    <w:rsid w:val="00F87812"/>
    <w:rsid w:val="00F941F0"/>
    <w:rsid w:val="00FA5193"/>
    <w:rsid w:val="00FA5C39"/>
    <w:rsid w:val="00FD62D1"/>
    <w:rsid w:val="00FE771A"/>
    <w:rsid w:val="00FF2B1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5E1A078"/>
  <w15:docId w15:val="{704578A4-8F5E-42F7-A5FC-0FC6CDB9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99"/>
    <w:pPr>
      <w:spacing w:after="120"/>
    </w:pPr>
    <w:rPr>
      <w:rFonts w:ascii="Times New Roman" w:eastAsia="Times New Roman" w:hAnsi="Times New Roman"/>
      <w:sz w:val="22"/>
      <w:szCs w:val="24"/>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4">
    <w:name w:val="heading 4"/>
    <w:aliases w:val="GA Heading"/>
    <w:basedOn w:val="Normal"/>
    <w:next w:val="Normal"/>
    <w:link w:val="Heading4Char"/>
    <w:qFormat/>
    <w:rsid w:val="00F66657"/>
    <w:pPr>
      <w:keepNext/>
      <w:keepLines/>
      <w:tabs>
        <w:tab w:val="left" w:pos="567"/>
      </w:tabs>
      <w:snapToGrid w:val="0"/>
      <w:spacing w:after="240"/>
      <w:outlineLvl w:val="3"/>
    </w:pPr>
    <w:rPr>
      <w:rFonts w:ascii="Arial" w:hAnsi="Arial"/>
      <w:b/>
      <w:bCs/>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spacing w:after="0"/>
    </w:pPr>
  </w:style>
  <w:style w:type="character" w:customStyle="1" w:styleId="HeaderChar">
    <w:name w:val="Header Char"/>
    <w:link w:val="Header"/>
    <w:rsid w:val="008724E5"/>
    <w:rPr>
      <w:lang w:val="fr-FR"/>
    </w:rPr>
  </w:style>
  <w:style w:type="paragraph" w:styleId="Footer">
    <w:name w:val="footer"/>
    <w:basedOn w:val="Normal"/>
    <w:link w:val="FooterChar"/>
    <w:uiPriority w:val="99"/>
    <w:unhideWhenUsed/>
    <w:rsid w:val="008724E5"/>
    <w:pPr>
      <w:tabs>
        <w:tab w:val="center" w:pos="4536"/>
        <w:tab w:val="right" w:pos="9072"/>
      </w:tabs>
      <w:spacing w:after="0"/>
    </w:pPr>
  </w:style>
  <w:style w:type="character" w:customStyle="1" w:styleId="FooterChar">
    <w:name w:val="Footer Char"/>
    <w:link w:val="Footer"/>
    <w:uiPriority w:val="99"/>
    <w:rsid w:val="008724E5"/>
    <w:rPr>
      <w:lang w:val="fr-FR"/>
    </w:rPr>
  </w:style>
  <w:style w:type="paragraph" w:styleId="BalloonText">
    <w:name w:val="Balloon Text"/>
    <w:basedOn w:val="Normal"/>
    <w:link w:val="BalloonTextChar"/>
    <w:uiPriority w:val="99"/>
    <w:semiHidden/>
    <w:unhideWhenUsed/>
    <w:rsid w:val="008724E5"/>
    <w:pPr>
      <w:spacing w:after="0"/>
    </w:pPr>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fr-FR"/>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GA Heading Char"/>
    <w:link w:val="Heading4"/>
    <w:rsid w:val="00F66657"/>
    <w:rPr>
      <w:rFonts w:ascii="Arial" w:eastAsia="Times New Roman" w:hAnsi="Arial"/>
      <w:b/>
      <w:bCs/>
      <w:snapToGrid w:val="0"/>
      <w:sz w:val="22"/>
      <w:szCs w:val="24"/>
      <w:lang w:val="fr-FR"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rsid w:val="00B11AE3"/>
    <w:rPr>
      <w:sz w:val="16"/>
      <w:szCs w:val="16"/>
    </w:rPr>
  </w:style>
  <w:style w:type="paragraph" w:styleId="CommentText">
    <w:name w:val="annotation text"/>
    <w:basedOn w:val="Normal"/>
    <w:link w:val="CommentTextChar"/>
    <w:rsid w:val="00B11AE3"/>
    <w:rPr>
      <w:sz w:val="20"/>
      <w:szCs w:val="20"/>
    </w:rPr>
  </w:style>
  <w:style w:type="character" w:customStyle="1" w:styleId="CommentTextChar">
    <w:name w:val="Comment Text Char"/>
    <w:link w:val="CommentText"/>
    <w:rsid w:val="00B11AE3"/>
    <w:rPr>
      <w:rFonts w:ascii="Times New Roman" w:eastAsia="Times New Roman" w:hAnsi="Times New Roman"/>
      <w:lang w:val="fr-FR"/>
    </w:rPr>
  </w:style>
  <w:style w:type="paragraph" w:styleId="CommentSubject">
    <w:name w:val="annotation subject"/>
    <w:basedOn w:val="CommentText"/>
    <w:next w:val="CommentText"/>
    <w:link w:val="CommentSubjectChar"/>
    <w:rsid w:val="00B11AE3"/>
    <w:rPr>
      <w:b/>
      <w:bCs/>
    </w:rPr>
  </w:style>
  <w:style w:type="character" w:customStyle="1" w:styleId="CommentSubjectChar">
    <w:name w:val="Comment Subject Char"/>
    <w:link w:val="CommentSubject"/>
    <w:rsid w:val="00B11AE3"/>
    <w:rPr>
      <w:rFonts w:ascii="Times New Roman" w:eastAsia="Times New Roman" w:hAnsi="Times New Roman"/>
      <w:b/>
      <w:bCs/>
      <w:lang w:val="fr-FR"/>
    </w:rPr>
  </w:style>
  <w:style w:type="paragraph" w:customStyle="1" w:styleId="1GAPara">
    <w:name w:val="1. GA Para"/>
    <w:qFormat/>
    <w:rsid w:val="00E22B99"/>
    <w:pPr>
      <w:numPr>
        <w:numId w:val="8"/>
      </w:numPr>
      <w:spacing w:after="120"/>
    </w:pPr>
    <w:rPr>
      <w:rFonts w:ascii="Arial" w:eastAsia="Times New Roman" w:hAnsi="Arial" w:cs="Arial"/>
      <w:snapToGrid w:val="0"/>
      <w:sz w:val="22"/>
      <w:szCs w:val="22"/>
      <w:lang w:eastAsia="en-US"/>
    </w:rPr>
  </w:style>
  <w:style w:type="table" w:customStyle="1" w:styleId="TableGrid1">
    <w:name w:val="Table Grid1"/>
    <w:basedOn w:val="TableNormal"/>
    <w:next w:val="TableGrid"/>
    <w:uiPriority w:val="59"/>
    <w:rsid w:val="00C70EFC"/>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C86385"/>
    <w:rPr>
      <w:rFonts w:ascii="Times New Roman" w:eastAsia="Times New Roman" w:hAnsi="Times New Roman"/>
      <w:sz w:val="24"/>
      <w:szCs w:val="24"/>
      <w:lang w:eastAsia="en-GB"/>
    </w:rPr>
  </w:style>
  <w:style w:type="character" w:customStyle="1" w:styleId="NoSpacingChar">
    <w:name w:val="No Spacing Char"/>
    <w:link w:val="NoSpacing"/>
    <w:uiPriority w:val="1"/>
    <w:locked/>
    <w:rsid w:val="00C86385"/>
    <w:rPr>
      <w:rFonts w:ascii="Times New Roman" w:eastAsia="Times New Roman" w:hAnsi="Times New Roman"/>
      <w:sz w:val="24"/>
      <w:szCs w:val="24"/>
      <w:lang w:val="fr-FR" w:eastAsia="en-GB"/>
    </w:rPr>
  </w:style>
  <w:style w:type="paragraph" w:customStyle="1" w:styleId="Pranumrotrecommenc1">
    <w:name w:val="Pra numéroté recommencé à 1"/>
    <w:basedOn w:val="Normal"/>
    <w:rsid w:val="00C86385"/>
    <w:pPr>
      <w:tabs>
        <w:tab w:val="num" w:pos="360"/>
      </w:tabs>
      <w:spacing w:after="0"/>
      <w:ind w:left="360" w:hanging="360"/>
    </w:pPr>
    <w:rPr>
      <w:rFonts w:ascii="Arial" w:hAnsi="Arial"/>
      <w:sz w:val="24"/>
    </w:rPr>
  </w:style>
  <w:style w:type="paragraph" w:styleId="ListParagraph">
    <w:name w:val="List Paragraph"/>
    <w:basedOn w:val="Marge"/>
    <w:qFormat/>
    <w:rsid w:val="0085696E"/>
    <w:pPr>
      <w:numPr>
        <w:numId w:val="10"/>
      </w:numPr>
      <w:spacing w:after="120"/>
    </w:pPr>
    <w:rPr>
      <w:rFonts w:cs="Arial"/>
      <w:szCs w:val="22"/>
    </w:rPr>
  </w:style>
  <w:style w:type="paragraph" w:customStyle="1" w:styleId="Default">
    <w:name w:val="Default"/>
    <w:uiPriority w:val="99"/>
    <w:rsid w:val="0085696E"/>
    <w:pPr>
      <w:autoSpaceDE w:val="0"/>
      <w:autoSpaceDN w:val="0"/>
      <w:adjustRightInd w:val="0"/>
    </w:pPr>
    <w:rPr>
      <w:rFonts w:ascii="Arial" w:hAnsi="Arial" w:cs="Arial"/>
      <w:color w:val="000000"/>
      <w:sz w:val="24"/>
      <w:szCs w:val="24"/>
      <w:lang w:eastAsia="zh-CN"/>
    </w:rPr>
  </w:style>
  <w:style w:type="character" w:styleId="Hyperlink">
    <w:name w:val="Hyperlink"/>
    <w:unhideWhenUsed/>
    <w:rsid w:val="0085696E"/>
    <w:rPr>
      <w:color w:val="0000FF"/>
      <w:u w:val="single"/>
    </w:rPr>
  </w:style>
  <w:style w:type="character" w:styleId="FollowedHyperlink">
    <w:name w:val="FollowedHyperlink"/>
    <w:basedOn w:val="DefaultParagraphFont"/>
    <w:semiHidden/>
    <w:unhideWhenUsed/>
    <w:rsid w:val="00B55F9F"/>
    <w:rPr>
      <w:color w:val="800080" w:themeColor="followedHyperlink"/>
      <w:u w:val="single"/>
    </w:rPr>
  </w:style>
  <w:style w:type="character" w:styleId="FootnoteReference">
    <w:name w:val="footnote reference"/>
    <w:uiPriority w:val="99"/>
    <w:unhideWhenUsed/>
    <w:rsid w:val="00B55F9F"/>
    <w:rPr>
      <w:vertAlign w:val="superscript"/>
    </w:rPr>
  </w:style>
  <w:style w:type="paragraph" w:customStyle="1" w:styleId="Paragraph">
    <w:name w:val="Paragraph"/>
    <w:basedOn w:val="Default"/>
    <w:link w:val="ParagraphChar"/>
    <w:qFormat/>
    <w:rsid w:val="00B55F9F"/>
    <w:pPr>
      <w:spacing w:after="240"/>
      <w:jc w:val="both"/>
    </w:pPr>
    <w:rPr>
      <w:bCs/>
      <w:sz w:val="22"/>
      <w:szCs w:val="22"/>
    </w:rPr>
  </w:style>
  <w:style w:type="character" w:customStyle="1" w:styleId="ParagraphChar">
    <w:name w:val="Paragraph Char"/>
    <w:link w:val="Paragraph"/>
    <w:rsid w:val="00B55F9F"/>
    <w:rPr>
      <w:rFonts w:ascii="Arial" w:hAnsi="Arial" w:cs="Arial"/>
      <w:bCs/>
      <w:color w:val="000000"/>
      <w:sz w:val="22"/>
      <w:szCs w:val="22"/>
      <w:lang w:val="fr-FR" w:eastAsia="zh-CN"/>
    </w:rPr>
  </w:style>
  <w:style w:type="paragraph" w:customStyle="1" w:styleId="COMPara">
    <w:name w:val="COM Para"/>
    <w:qFormat/>
    <w:rsid w:val="00FA5C39"/>
    <w:pPr>
      <w:spacing w:after="120"/>
    </w:pPr>
    <w:rPr>
      <w:rFonts w:ascii="Arial" w:eastAsia="Times New Roman" w:hAnsi="Arial" w:cs="Arial"/>
      <w:snapToGrid w:val="0"/>
      <w:sz w:val="22"/>
      <w:szCs w:val="22"/>
      <w:lang w:eastAsia="en-US"/>
    </w:rPr>
  </w:style>
  <w:style w:type="paragraph" w:styleId="FootnoteText">
    <w:name w:val="footnote text"/>
    <w:basedOn w:val="Normal"/>
    <w:link w:val="FootnoteTextChar"/>
    <w:semiHidden/>
    <w:unhideWhenUsed/>
    <w:rsid w:val="00917602"/>
    <w:pPr>
      <w:spacing w:after="0"/>
    </w:pPr>
    <w:rPr>
      <w:sz w:val="20"/>
      <w:szCs w:val="20"/>
    </w:rPr>
  </w:style>
  <w:style w:type="character" w:customStyle="1" w:styleId="FootnoteTextChar">
    <w:name w:val="Footnote Text Char"/>
    <w:basedOn w:val="DefaultParagraphFont"/>
    <w:link w:val="FootnoteText"/>
    <w:semiHidden/>
    <w:rsid w:val="00917602"/>
    <w:rPr>
      <w:rFonts w:ascii="Times New Roman" w:eastAsia="Times New Roman" w:hAnsi="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58315">
      <w:bodyDiv w:val="1"/>
      <w:marLeft w:val="0"/>
      <w:marRight w:val="0"/>
      <w:marTop w:val="0"/>
      <w:marBottom w:val="0"/>
      <w:divBdr>
        <w:top w:val="none" w:sz="0" w:space="0" w:color="auto"/>
        <w:left w:val="none" w:sz="0" w:space="0" w:color="auto"/>
        <w:bottom w:val="none" w:sz="0" w:space="0" w:color="auto"/>
        <w:right w:val="none" w:sz="0" w:space="0" w:color="auto"/>
      </w:divBdr>
    </w:div>
    <w:div w:id="1819415738">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fr/decisions/8.COM/7.c" TargetMode="Externa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ich.unesco.org/fr/resolutions/7.GA/8" TargetMode="External"/><Relationship Id="rId17" Type="http://schemas.openxmlformats.org/officeDocument/2006/relationships/image" Target="media/image1.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ich.unesco.org/doc/src/ITH-18-13.COM-5-FR.docx"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fr/Resolutions/3.GA/9"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h.unesco.org/fr/decisions-bureau/13.COM%202.BUR/3" TargetMode="External"/><Relationship Id="rId23" Type="http://schemas.openxmlformats.org/officeDocument/2006/relationships/header" Target="header2.xml"/><Relationship Id="rId28" Type="http://schemas.openxmlformats.org/officeDocument/2006/relationships/image" Target="media/image10.png"/><Relationship Id="rId10" Type="http://schemas.openxmlformats.org/officeDocument/2006/relationships/hyperlink" Target="https://ich.unesco.org/doc/src/00192-FR-PDF.pdf"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h.unesco.org/fr/resolutions/7.GA/8" TargetMode="External"/><Relationship Id="rId14" Type="http://schemas.openxmlformats.org/officeDocument/2006/relationships/hyperlink" Target="https://ich.unesco.org/fr/decisions-bureau/12.COM%202.BUR/3"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hyperlink" Target="https://ich.unesco.org/fr/resolutions/6.GA/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Information%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ABFDA-C183-411F-8239-64DE7571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COM_Information document_EN.dotx</Template>
  <TotalTime>23</TotalTime>
  <Pages>14</Pages>
  <Words>1972</Words>
  <Characters>11243</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Shin, Eunkyung</cp:lastModifiedBy>
  <cp:revision>5</cp:revision>
  <cp:lastPrinted>2018-10-23T12:44:00Z</cp:lastPrinted>
  <dcterms:created xsi:type="dcterms:W3CDTF">2018-10-24T16:24:00Z</dcterms:created>
  <dcterms:modified xsi:type="dcterms:W3CDTF">2018-10-29T09:14:00Z</dcterms:modified>
</cp:coreProperties>
</file>