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3083A" w14:textId="0B066E14" w:rsidR="002938F2" w:rsidRPr="00F410D6" w:rsidRDefault="002938F2" w:rsidP="00AC27F5">
      <w:pPr>
        <w:spacing w:before="1440"/>
        <w:jc w:val="center"/>
        <w:rPr>
          <w:rFonts w:ascii="Arial" w:hAnsi="Arial" w:cs="Arial"/>
          <w:b/>
          <w:szCs w:val="22"/>
        </w:rPr>
      </w:pPr>
      <w:r w:rsidRPr="00F410D6">
        <w:rPr>
          <w:rFonts w:ascii="Arial" w:hAnsi="Arial" w:cs="Arial"/>
          <w:b/>
          <w:szCs w:val="22"/>
        </w:rPr>
        <w:t xml:space="preserve">CONVENTION FOR THE SAFEGUARDING OF THE </w:t>
      </w:r>
      <w:r w:rsidRPr="00F410D6">
        <w:rPr>
          <w:rFonts w:ascii="Arial" w:hAnsi="Arial" w:cs="Arial"/>
          <w:b/>
          <w:szCs w:val="22"/>
        </w:rPr>
        <w:br/>
        <w:t>INTANGIBLE CULTURAL HERITAGE</w:t>
      </w:r>
    </w:p>
    <w:p w14:paraId="5ADF7741" w14:textId="77777777" w:rsidR="002938F2" w:rsidRPr="00F410D6" w:rsidRDefault="00E439CA" w:rsidP="00AE1B18">
      <w:pPr>
        <w:spacing w:before="1200"/>
        <w:jc w:val="center"/>
        <w:rPr>
          <w:rFonts w:ascii="Arial" w:hAnsi="Arial" w:cs="Arial"/>
          <w:b/>
          <w:szCs w:val="22"/>
        </w:rPr>
      </w:pPr>
      <w:r w:rsidRPr="00F410D6">
        <w:rPr>
          <w:rFonts w:ascii="Arial" w:hAnsi="Arial" w:cs="Arial"/>
          <w:b/>
          <w:szCs w:val="22"/>
        </w:rPr>
        <w:t xml:space="preserve">GENERAL ASSEMBLY OF THE STATES PARTIES TO THE CONVENTION </w:t>
      </w:r>
    </w:p>
    <w:p w14:paraId="49EEDED1" w14:textId="77777777" w:rsidR="000C16BE" w:rsidRPr="00F410D6" w:rsidRDefault="0088082E" w:rsidP="000C16BE">
      <w:pPr>
        <w:spacing w:before="840" w:after="0"/>
        <w:jc w:val="center"/>
        <w:rPr>
          <w:rFonts w:ascii="Arial" w:hAnsi="Arial" w:cs="Arial"/>
          <w:b/>
          <w:szCs w:val="22"/>
        </w:rPr>
      </w:pPr>
      <w:r>
        <w:rPr>
          <w:rFonts w:ascii="Arial" w:hAnsi="Arial" w:cs="Arial"/>
          <w:b/>
          <w:szCs w:val="22"/>
        </w:rPr>
        <w:t>Seventh</w:t>
      </w:r>
      <w:r w:rsidR="000C16BE" w:rsidRPr="00F410D6">
        <w:rPr>
          <w:rFonts w:ascii="Arial" w:hAnsi="Arial" w:cs="Arial"/>
          <w:b/>
          <w:szCs w:val="22"/>
        </w:rPr>
        <w:t xml:space="preserve"> session</w:t>
      </w:r>
    </w:p>
    <w:p w14:paraId="6BE6C879" w14:textId="77777777" w:rsidR="000C16BE" w:rsidRPr="00F410D6" w:rsidRDefault="000C16BE" w:rsidP="000C16BE">
      <w:pPr>
        <w:spacing w:after="0"/>
        <w:jc w:val="center"/>
        <w:rPr>
          <w:rFonts w:ascii="Arial" w:hAnsi="Arial" w:cs="Arial"/>
          <w:b/>
          <w:szCs w:val="22"/>
        </w:rPr>
      </w:pPr>
      <w:r w:rsidRPr="00F410D6">
        <w:rPr>
          <w:rFonts w:ascii="Arial" w:hAnsi="Arial" w:cs="Arial"/>
          <w:b/>
          <w:szCs w:val="22"/>
        </w:rPr>
        <w:t>UNESCO Headquarters, Room II</w:t>
      </w:r>
    </w:p>
    <w:p w14:paraId="0FA5ADEA" w14:textId="77777777" w:rsidR="000C16BE" w:rsidRPr="00F410D6" w:rsidRDefault="0088082E" w:rsidP="000C16BE">
      <w:pPr>
        <w:spacing w:after="0"/>
        <w:jc w:val="center"/>
        <w:rPr>
          <w:rFonts w:ascii="Arial" w:hAnsi="Arial" w:cs="Arial"/>
          <w:b/>
          <w:szCs w:val="22"/>
        </w:rPr>
      </w:pPr>
      <w:r>
        <w:rPr>
          <w:rFonts w:ascii="Arial" w:hAnsi="Arial" w:cs="Arial"/>
          <w:b/>
          <w:szCs w:val="22"/>
        </w:rPr>
        <w:t>4 June to 6 June 2018</w:t>
      </w:r>
    </w:p>
    <w:p w14:paraId="620DA978" w14:textId="77777777" w:rsidR="00851458" w:rsidRPr="00F410D6" w:rsidRDefault="005A5792" w:rsidP="005A5792">
      <w:pPr>
        <w:pStyle w:val="Sansinterligne1"/>
        <w:spacing w:before="1200" w:after="1200"/>
        <w:jc w:val="center"/>
        <w:rPr>
          <w:rFonts w:ascii="Arial" w:hAnsi="Arial" w:cs="Arial"/>
          <w:b/>
          <w:caps/>
          <w:sz w:val="22"/>
          <w:szCs w:val="22"/>
          <w:u w:val="single"/>
          <w:lang w:val="en-GB"/>
        </w:rPr>
      </w:pPr>
      <w:r w:rsidRPr="00F410D6">
        <w:rPr>
          <w:rFonts w:ascii="Arial" w:hAnsi="Arial" w:cs="Arial"/>
          <w:b/>
          <w:caps/>
          <w:sz w:val="22"/>
          <w:szCs w:val="22"/>
          <w:u w:val="single"/>
          <w:lang w:val="en-GB"/>
        </w:rPr>
        <w:t xml:space="preserve">Financial statement for the period </w:t>
      </w:r>
      <w:r w:rsidRPr="00F410D6">
        <w:rPr>
          <w:rFonts w:ascii="Arial" w:hAnsi="Arial" w:cs="Arial"/>
          <w:b/>
          <w:caps/>
          <w:sz w:val="22"/>
          <w:szCs w:val="22"/>
          <w:u w:val="single"/>
          <w:lang w:val="en-GB"/>
        </w:rPr>
        <w:br/>
        <w:t>1 January 201</w:t>
      </w:r>
      <w:r w:rsidR="0088082E">
        <w:rPr>
          <w:rFonts w:ascii="Arial" w:hAnsi="Arial" w:cs="Arial"/>
          <w:b/>
          <w:caps/>
          <w:sz w:val="22"/>
          <w:szCs w:val="22"/>
          <w:u w:val="single"/>
          <w:lang w:val="en-GB"/>
        </w:rPr>
        <w:t>6</w:t>
      </w:r>
      <w:r w:rsidRPr="00F410D6">
        <w:rPr>
          <w:rFonts w:ascii="Arial" w:hAnsi="Arial" w:cs="Arial"/>
          <w:b/>
          <w:caps/>
          <w:sz w:val="22"/>
          <w:szCs w:val="22"/>
          <w:u w:val="single"/>
          <w:lang w:val="en-GB"/>
        </w:rPr>
        <w:t xml:space="preserve"> – 31 December 201</w:t>
      </w:r>
      <w:r w:rsidR="0088082E">
        <w:rPr>
          <w:rFonts w:ascii="Arial" w:hAnsi="Arial" w:cs="Arial"/>
          <w:b/>
          <w:caps/>
          <w:sz w:val="22"/>
          <w:szCs w:val="22"/>
          <w:u w:val="single"/>
          <w:lang w:val="en-GB"/>
        </w:rPr>
        <w:t>7</w:t>
      </w:r>
    </w:p>
    <w:tbl>
      <w:tblPr>
        <w:tblW w:w="5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tblGrid>
      <w:tr w:rsidR="005A5792" w:rsidRPr="00F410D6" w14:paraId="10604F78" w14:textId="77777777" w:rsidTr="004C0380">
        <w:trPr>
          <w:jc w:val="center"/>
        </w:trPr>
        <w:tc>
          <w:tcPr>
            <w:tcW w:w="5669" w:type="dxa"/>
          </w:tcPr>
          <w:p w14:paraId="412B5B07" w14:textId="77777777" w:rsidR="005A5792" w:rsidRPr="00F410D6" w:rsidRDefault="005A5792" w:rsidP="002E62EA">
            <w:pPr>
              <w:pStyle w:val="NoSpacing"/>
              <w:spacing w:before="200" w:after="200"/>
              <w:ind w:left="284" w:right="284"/>
              <w:jc w:val="center"/>
              <w:rPr>
                <w:rFonts w:ascii="Arial" w:hAnsi="Arial" w:cs="Arial"/>
                <w:b/>
                <w:sz w:val="22"/>
                <w:szCs w:val="22"/>
                <w:lang w:eastAsia="fr-FR"/>
              </w:rPr>
            </w:pPr>
            <w:r w:rsidRPr="00F410D6">
              <w:rPr>
                <w:rFonts w:ascii="Arial" w:hAnsi="Arial" w:cs="Arial"/>
                <w:b/>
                <w:sz w:val="22"/>
                <w:szCs w:val="22"/>
                <w:lang w:eastAsia="fr-FR"/>
              </w:rPr>
              <w:t>Summary</w:t>
            </w:r>
          </w:p>
          <w:p w14:paraId="374FEDBD" w14:textId="379DC3C4" w:rsidR="005A5792" w:rsidRPr="00F410D6" w:rsidRDefault="00952878" w:rsidP="00D979B7">
            <w:pPr>
              <w:pStyle w:val="Pranumrotrecommenc1"/>
              <w:tabs>
                <w:tab w:val="clear" w:pos="360"/>
              </w:tabs>
              <w:spacing w:before="200" w:after="200"/>
              <w:ind w:left="0" w:firstLine="0"/>
              <w:jc w:val="both"/>
              <w:rPr>
                <w:rFonts w:cs="Arial"/>
                <w:sz w:val="22"/>
                <w:szCs w:val="22"/>
                <w:lang w:val="en-GB"/>
              </w:rPr>
            </w:pPr>
            <w:r w:rsidRPr="00AF0BD4">
              <w:rPr>
                <w:rFonts w:cs="Arial"/>
                <w:sz w:val="22"/>
                <w:szCs w:val="22"/>
                <w:lang w:val="en-GB"/>
              </w:rPr>
              <w:t xml:space="preserve">In conformity with </w:t>
            </w:r>
            <w:r w:rsidR="00AF0BD4" w:rsidRPr="00AF0BD4">
              <w:rPr>
                <w:rFonts w:cs="Arial"/>
                <w:sz w:val="22"/>
                <w:szCs w:val="22"/>
                <w:lang w:val="en-GB"/>
              </w:rPr>
              <w:t>A</w:t>
            </w:r>
            <w:r w:rsidRPr="00AF0BD4">
              <w:rPr>
                <w:rFonts w:cs="Arial"/>
                <w:sz w:val="22"/>
                <w:szCs w:val="22"/>
                <w:lang w:val="en-GB"/>
              </w:rPr>
              <w:t xml:space="preserve">rticle 7.5 of its Financial Regulations, the accounts of </w:t>
            </w:r>
            <w:r w:rsidR="00AF0BD4">
              <w:rPr>
                <w:rFonts w:cs="Arial"/>
                <w:sz w:val="22"/>
                <w:szCs w:val="22"/>
                <w:lang w:val="en-GB"/>
              </w:rPr>
              <w:t xml:space="preserve">the </w:t>
            </w:r>
            <w:r w:rsidRPr="00AF0BD4">
              <w:rPr>
                <w:rFonts w:cs="Arial"/>
                <w:sz w:val="22"/>
                <w:szCs w:val="22"/>
                <w:lang w:val="en-GB"/>
              </w:rPr>
              <w:t xml:space="preserve">Special Account for the Fund for the Safeguarding of the Intangible Cultural Heritage ‘shall be submitted by the Director-General to the General Assembly of the States Parties </w:t>
            </w:r>
            <w:r w:rsidR="00D979B7">
              <w:rPr>
                <w:rFonts w:cs="Arial"/>
                <w:sz w:val="22"/>
                <w:szCs w:val="22"/>
                <w:lang w:val="en-GB"/>
              </w:rPr>
              <w:t>to</w:t>
            </w:r>
            <w:r w:rsidR="00D979B7" w:rsidRPr="00AF0BD4">
              <w:rPr>
                <w:rFonts w:cs="Arial"/>
                <w:sz w:val="22"/>
                <w:szCs w:val="22"/>
                <w:lang w:val="en-GB"/>
              </w:rPr>
              <w:t xml:space="preserve"> </w:t>
            </w:r>
            <w:r w:rsidRPr="00AF0BD4">
              <w:rPr>
                <w:rFonts w:cs="Arial"/>
                <w:sz w:val="22"/>
                <w:szCs w:val="22"/>
                <w:lang w:val="en-GB"/>
              </w:rPr>
              <w:t>the Convention’.</w:t>
            </w:r>
            <w:r>
              <w:rPr>
                <w:lang w:val="en-US"/>
              </w:rPr>
              <w:t xml:space="preserve"> </w:t>
            </w:r>
            <w:r w:rsidR="005A5792" w:rsidRPr="00F410D6">
              <w:rPr>
                <w:rFonts w:cs="Arial"/>
                <w:sz w:val="22"/>
                <w:szCs w:val="22"/>
                <w:lang w:val="en-GB"/>
              </w:rPr>
              <w:t>The present document includes the Financial Report for the Intangible Cultural Heritage Fund for the period 1 January 201</w:t>
            </w:r>
            <w:r w:rsidR="0088082E">
              <w:rPr>
                <w:rFonts w:cs="Arial"/>
                <w:sz w:val="22"/>
                <w:szCs w:val="22"/>
                <w:lang w:val="en-GB"/>
              </w:rPr>
              <w:t>6</w:t>
            </w:r>
            <w:r w:rsidR="005A5792" w:rsidRPr="00F410D6">
              <w:rPr>
                <w:rFonts w:cs="Arial"/>
                <w:sz w:val="22"/>
                <w:szCs w:val="22"/>
                <w:lang w:val="en-GB"/>
              </w:rPr>
              <w:t xml:space="preserve"> to 31 December 201</w:t>
            </w:r>
            <w:r w:rsidR="0088082E">
              <w:rPr>
                <w:rFonts w:cs="Arial"/>
                <w:sz w:val="22"/>
                <w:szCs w:val="22"/>
                <w:lang w:val="en-GB"/>
              </w:rPr>
              <w:t>7</w:t>
            </w:r>
            <w:r w:rsidR="005A5792" w:rsidRPr="00F410D6">
              <w:rPr>
                <w:rFonts w:cs="Arial"/>
                <w:sz w:val="22"/>
                <w:szCs w:val="22"/>
                <w:lang w:val="en-GB"/>
              </w:rPr>
              <w:t>, preceded by a brief explanatory note.</w:t>
            </w:r>
          </w:p>
        </w:tc>
      </w:tr>
    </w:tbl>
    <w:p w14:paraId="59D55FF8" w14:textId="77777777" w:rsidR="005A5792" w:rsidRPr="00F410D6" w:rsidRDefault="005A5792" w:rsidP="00885ED2">
      <w:pPr>
        <w:pStyle w:val="Default"/>
        <w:pageBreakBefore/>
        <w:spacing w:after="240"/>
        <w:jc w:val="center"/>
        <w:rPr>
          <w:b/>
          <w:bCs/>
          <w:color w:val="auto"/>
          <w:sz w:val="22"/>
          <w:szCs w:val="22"/>
          <w:lang w:val="en-GB"/>
        </w:rPr>
      </w:pPr>
      <w:r w:rsidRPr="00F410D6">
        <w:rPr>
          <w:b/>
          <w:bCs/>
          <w:color w:val="auto"/>
          <w:sz w:val="22"/>
          <w:szCs w:val="22"/>
          <w:lang w:val="en-GB"/>
        </w:rPr>
        <w:lastRenderedPageBreak/>
        <w:t>Explanatory Note</w:t>
      </w:r>
    </w:p>
    <w:p w14:paraId="69CFA1D4" w14:textId="3A6C1224" w:rsidR="005A5792" w:rsidRPr="00F410D6" w:rsidRDefault="0049436B" w:rsidP="00EF44A6">
      <w:pPr>
        <w:pStyle w:val="ListParagraph"/>
        <w:tabs>
          <w:tab w:val="clear" w:pos="567"/>
          <w:tab w:val="left" w:pos="0"/>
        </w:tabs>
        <w:ind w:left="567" w:hanging="567"/>
      </w:pPr>
      <w:r>
        <w:t xml:space="preserve">In conformity with </w:t>
      </w:r>
      <w:r w:rsidR="00AF0BD4">
        <w:t>A</w:t>
      </w:r>
      <w:r>
        <w:t xml:space="preserve">rticle 7.5 of </w:t>
      </w:r>
      <w:r w:rsidR="006257D1">
        <w:t>its</w:t>
      </w:r>
      <w:r>
        <w:t xml:space="preserve"> Financial Regulations</w:t>
      </w:r>
      <w:r w:rsidR="007C3CAC">
        <w:t xml:space="preserve">, the accounts of </w:t>
      </w:r>
      <w:r w:rsidR="00E3572C">
        <w:t xml:space="preserve">the </w:t>
      </w:r>
      <w:r w:rsidR="006257D1">
        <w:t xml:space="preserve">Special Account for the Fund for the Safeguarding of the Intangible Cultural Heritage (hereafter ‘the Fund’) </w:t>
      </w:r>
      <w:r w:rsidR="007C3CAC">
        <w:t xml:space="preserve">‘shall be submitted by the Director-General to the General Assembly of the States Parties </w:t>
      </w:r>
      <w:r w:rsidR="00D979B7">
        <w:t xml:space="preserve">to </w:t>
      </w:r>
      <w:r w:rsidR="007C3CAC">
        <w:t xml:space="preserve">the Convention’. </w:t>
      </w:r>
      <w:r w:rsidR="007C3CAC" w:rsidRPr="007C3CAC">
        <w:t>The present document includes the Financial Report for the Fund for the period 1</w:t>
      </w:r>
      <w:r w:rsidR="003B71DB">
        <w:t> </w:t>
      </w:r>
      <w:r w:rsidR="007C3CAC" w:rsidRPr="007C3CAC">
        <w:t>January 2016 to 31</w:t>
      </w:r>
      <w:r w:rsidR="003B71DB">
        <w:t> </w:t>
      </w:r>
      <w:r w:rsidR="007C3CAC" w:rsidRPr="007C3CAC">
        <w:t>December 2017, preceded by a brief explanatory note.</w:t>
      </w:r>
      <w:r w:rsidR="005A5792" w:rsidRPr="00F410D6">
        <w:t xml:space="preserve"> </w:t>
      </w:r>
      <w:r w:rsidR="007C3CAC">
        <w:t>During the reporting period, t</w:t>
      </w:r>
      <w:r w:rsidR="005A5792" w:rsidRPr="00F410D6">
        <w:t xml:space="preserve">he resources of the </w:t>
      </w:r>
      <w:r w:rsidR="007C3CAC">
        <w:t>Fund</w:t>
      </w:r>
      <w:r w:rsidR="001C521C" w:rsidRPr="00F410D6">
        <w:t xml:space="preserve"> </w:t>
      </w:r>
      <w:proofErr w:type="gramStart"/>
      <w:r w:rsidR="005A5792" w:rsidRPr="00F410D6">
        <w:t xml:space="preserve">were </w:t>
      </w:r>
      <w:r w:rsidR="003B71DB" w:rsidRPr="00F410D6">
        <w:t>u</w:t>
      </w:r>
      <w:r w:rsidR="003B71DB">
        <w:t>tili</w:t>
      </w:r>
      <w:r w:rsidR="00E3572C">
        <w:t>z</w:t>
      </w:r>
      <w:r w:rsidR="003B71DB">
        <w:t>ed</w:t>
      </w:r>
      <w:proofErr w:type="gramEnd"/>
      <w:r w:rsidR="003B71DB" w:rsidRPr="00F410D6">
        <w:t xml:space="preserve"> </w:t>
      </w:r>
      <w:r w:rsidR="005A5792" w:rsidRPr="00F410D6">
        <w:t xml:space="preserve">according to the Plan for the use of the resources of the Fund approved by the </w:t>
      </w:r>
      <w:r w:rsidR="00955C4A">
        <w:t>sixth</w:t>
      </w:r>
      <w:r w:rsidR="005A5792" w:rsidRPr="00F410D6">
        <w:t xml:space="preserve"> session of the General Assembly in June 201</w:t>
      </w:r>
      <w:r w:rsidR="00955C4A">
        <w:t>6</w:t>
      </w:r>
      <w:r w:rsidR="005A5792" w:rsidRPr="00F410D6">
        <w:t xml:space="preserve"> (</w:t>
      </w:r>
      <w:hyperlink r:id="rId8" w:history="1">
        <w:r w:rsidR="005A5792" w:rsidRPr="00955C4A">
          <w:rPr>
            <w:rStyle w:val="Hyperlink"/>
          </w:rPr>
          <w:t>Resolution </w:t>
        </w:r>
        <w:r w:rsidR="00955C4A" w:rsidRPr="00955C4A">
          <w:rPr>
            <w:rStyle w:val="Hyperlink"/>
          </w:rPr>
          <w:t>6.GA 9</w:t>
        </w:r>
      </w:hyperlink>
      <w:r w:rsidR="005A5792" w:rsidRPr="00F410D6">
        <w:t>).</w:t>
      </w:r>
    </w:p>
    <w:p w14:paraId="5D804211" w14:textId="12B288F3" w:rsidR="005A5792" w:rsidRPr="00F410D6" w:rsidRDefault="00720710" w:rsidP="00885ED2">
      <w:pPr>
        <w:pStyle w:val="Default"/>
        <w:keepNext/>
        <w:spacing w:after="120"/>
        <w:jc w:val="both"/>
        <w:rPr>
          <w:b/>
          <w:bCs/>
          <w:color w:val="auto"/>
          <w:sz w:val="22"/>
          <w:szCs w:val="22"/>
          <w:lang w:val="en-GB"/>
        </w:rPr>
      </w:pPr>
      <w:r w:rsidRPr="00F410D6">
        <w:rPr>
          <w:b/>
          <w:bCs/>
          <w:color w:val="auto"/>
          <w:sz w:val="22"/>
          <w:szCs w:val="22"/>
          <w:lang w:val="en-GB"/>
        </w:rPr>
        <w:t xml:space="preserve">Income </w:t>
      </w:r>
    </w:p>
    <w:p w14:paraId="1C737047" w14:textId="2D33BFA6" w:rsidR="0072307E" w:rsidRDefault="001C521C" w:rsidP="0072307E">
      <w:pPr>
        <w:pStyle w:val="ListParagraph"/>
        <w:ind w:left="567" w:hanging="567"/>
      </w:pPr>
      <w:r w:rsidRPr="00F410D6">
        <w:t>In accordance with Article 25.3 of the Convention, the income of the Fund consists of</w:t>
      </w:r>
      <w:r w:rsidR="002556CF">
        <w:t xml:space="preserve"> the following categories</w:t>
      </w:r>
      <w:r w:rsidR="00E3572C">
        <w:t>,</w:t>
      </w:r>
      <w:r w:rsidR="002556CF">
        <w:t xml:space="preserve"> </w:t>
      </w:r>
      <w:r w:rsidR="00E3572C">
        <w:t>which</w:t>
      </w:r>
      <w:r w:rsidR="002556CF">
        <w:t xml:space="preserve"> are reflected in Statements I</w:t>
      </w:r>
      <w:r w:rsidR="002556CF" w:rsidRPr="00F410D6">
        <w:rPr>
          <w:rStyle w:val="FootnoteReference"/>
          <w:b/>
          <w:bCs/>
        </w:rPr>
        <w:footnoteReference w:id="1"/>
      </w:r>
      <w:r w:rsidR="002556CF">
        <w:t>, II and III annexed to this document</w:t>
      </w:r>
      <w:r w:rsidRPr="00F410D6">
        <w:t>:</w:t>
      </w:r>
    </w:p>
    <w:p w14:paraId="13A70F10" w14:textId="3E7BE567" w:rsidR="0072307E" w:rsidRDefault="001C521C" w:rsidP="005974BB">
      <w:pPr>
        <w:pStyle w:val="ListParagraph"/>
        <w:numPr>
          <w:ilvl w:val="0"/>
          <w:numId w:val="29"/>
        </w:numPr>
        <w:spacing w:after="0"/>
        <w:ind w:left="1134" w:hanging="567"/>
      </w:pPr>
      <w:r w:rsidRPr="00F410D6">
        <w:t>contributions made by States Parties to the Convention;</w:t>
      </w:r>
    </w:p>
    <w:p w14:paraId="0AF9A64B" w14:textId="0751E142" w:rsidR="0072307E" w:rsidRDefault="001C521C" w:rsidP="005974BB">
      <w:pPr>
        <w:pStyle w:val="ListParagraph"/>
        <w:numPr>
          <w:ilvl w:val="0"/>
          <w:numId w:val="29"/>
        </w:numPr>
        <w:spacing w:after="0"/>
        <w:ind w:left="1134" w:hanging="567"/>
      </w:pPr>
      <w:r w:rsidRPr="00F410D6">
        <w:t>funds appropriated for this purpose by the General Conference of UNESCO;</w:t>
      </w:r>
    </w:p>
    <w:p w14:paraId="266D37AE" w14:textId="5F9F26BD" w:rsidR="0072307E" w:rsidRDefault="001C521C" w:rsidP="005974BB">
      <w:pPr>
        <w:pStyle w:val="ListParagraph"/>
        <w:numPr>
          <w:ilvl w:val="0"/>
          <w:numId w:val="29"/>
        </w:numPr>
        <w:spacing w:after="0"/>
        <w:ind w:left="1134" w:hanging="567"/>
      </w:pPr>
      <w:r w:rsidRPr="00F410D6">
        <w:t>contributions, gifts or bequests which may be made by other States, organizations and programmes of the United Nations system, particularly the United Nations Development Programme, as well as other international organizations and public or private bodies or individuals;</w:t>
      </w:r>
    </w:p>
    <w:p w14:paraId="46FDDD09" w14:textId="074B9C60" w:rsidR="0072307E" w:rsidRDefault="001C521C" w:rsidP="005974BB">
      <w:pPr>
        <w:pStyle w:val="ListParagraph"/>
        <w:numPr>
          <w:ilvl w:val="0"/>
          <w:numId w:val="29"/>
        </w:numPr>
        <w:spacing w:after="0"/>
        <w:ind w:left="1134" w:hanging="567"/>
      </w:pPr>
      <w:r w:rsidRPr="00F410D6">
        <w:t>any interest due on the resources of the Fund;</w:t>
      </w:r>
    </w:p>
    <w:p w14:paraId="14157F69" w14:textId="6B7F3431" w:rsidR="0072307E" w:rsidRDefault="001C521C" w:rsidP="005974BB">
      <w:pPr>
        <w:pStyle w:val="ListParagraph"/>
        <w:numPr>
          <w:ilvl w:val="0"/>
          <w:numId w:val="29"/>
        </w:numPr>
        <w:spacing w:after="0"/>
        <w:ind w:left="1134" w:hanging="567"/>
      </w:pPr>
      <w:r w:rsidRPr="00F410D6">
        <w:t>funds raised through collections, and receipts from events organized for the benefit of the Fund;</w:t>
      </w:r>
    </w:p>
    <w:p w14:paraId="17C58A28" w14:textId="1E1700B2" w:rsidR="001C521C" w:rsidRPr="00F410D6" w:rsidRDefault="001C521C" w:rsidP="005974BB">
      <w:pPr>
        <w:pStyle w:val="ListParagraph"/>
        <w:numPr>
          <w:ilvl w:val="0"/>
          <w:numId w:val="29"/>
        </w:numPr>
        <w:ind w:left="1134" w:hanging="567"/>
      </w:pPr>
      <w:proofErr w:type="gramStart"/>
      <w:r w:rsidRPr="00F410D6">
        <w:t>any</w:t>
      </w:r>
      <w:proofErr w:type="gramEnd"/>
      <w:r w:rsidRPr="00F410D6">
        <w:t xml:space="preserve"> other resources authorized by the </w:t>
      </w:r>
      <w:r w:rsidR="00E3572C">
        <w:t xml:space="preserve">regulations of the </w:t>
      </w:r>
      <w:r w:rsidRPr="00F410D6">
        <w:t>Fund, to be drawn up by the Committee.</w:t>
      </w:r>
    </w:p>
    <w:p w14:paraId="1051DE0D" w14:textId="77777777" w:rsidR="002B50BC" w:rsidRPr="00F410D6" w:rsidRDefault="002B50BC" w:rsidP="002B50BC">
      <w:pPr>
        <w:pStyle w:val="ListParagraph"/>
        <w:ind w:left="567" w:hanging="567"/>
      </w:pPr>
      <w:r w:rsidRPr="00F410D6">
        <w:t>During the reporting period, income to the Fund consisted of:</w:t>
      </w:r>
    </w:p>
    <w:tbl>
      <w:tblPr>
        <w:tblW w:w="9072" w:type="dxa"/>
        <w:tblInd w:w="567" w:type="dxa"/>
        <w:tblLayout w:type="fixed"/>
        <w:tblLook w:val="04A0" w:firstRow="1" w:lastRow="0" w:firstColumn="1" w:lastColumn="0" w:noHBand="0" w:noVBand="1"/>
      </w:tblPr>
      <w:tblGrid>
        <w:gridCol w:w="6946"/>
        <w:gridCol w:w="2126"/>
      </w:tblGrid>
      <w:tr w:rsidR="005974BB" w:rsidRPr="0072307E" w14:paraId="7FF2E9CA" w14:textId="699B612A" w:rsidTr="00590B42">
        <w:trPr>
          <w:cantSplit/>
        </w:trPr>
        <w:tc>
          <w:tcPr>
            <w:tcW w:w="9072" w:type="dxa"/>
            <w:gridSpan w:val="2"/>
            <w:shd w:val="clear" w:color="auto" w:fill="auto"/>
          </w:tcPr>
          <w:p w14:paraId="2FC05112" w14:textId="77777777" w:rsidR="005974BB" w:rsidRPr="0072307E" w:rsidRDefault="005974BB" w:rsidP="0072307E">
            <w:pPr>
              <w:pStyle w:val="Paragraph"/>
              <w:numPr>
                <w:ilvl w:val="0"/>
                <w:numId w:val="11"/>
              </w:numPr>
              <w:spacing w:before="60" w:after="60"/>
              <w:ind w:left="357" w:hanging="466"/>
            </w:pPr>
            <w:r w:rsidRPr="0072307E">
              <w:rPr>
                <w:u w:val="single"/>
              </w:rPr>
              <w:t>Compulsory and voluntary assessed contributions by States Parties</w:t>
            </w:r>
            <w:r w:rsidRPr="0072307E">
              <w:rPr>
                <w:rStyle w:val="FootnoteReference"/>
              </w:rPr>
              <w:footnoteReference w:id="2"/>
            </w:r>
          </w:p>
        </w:tc>
      </w:tr>
      <w:tr w:rsidR="005974BB" w:rsidRPr="0072307E" w14:paraId="11B77810" w14:textId="4C9482EC" w:rsidTr="00590B42">
        <w:trPr>
          <w:cantSplit/>
        </w:trPr>
        <w:tc>
          <w:tcPr>
            <w:tcW w:w="6946" w:type="dxa"/>
            <w:shd w:val="clear" w:color="auto" w:fill="auto"/>
            <w:vAlign w:val="center"/>
          </w:tcPr>
          <w:p w14:paraId="24FFEAD0" w14:textId="537B00E8" w:rsidR="005974BB" w:rsidRPr="0072307E" w:rsidRDefault="005974BB" w:rsidP="006C55BE">
            <w:pPr>
              <w:pStyle w:val="Paragraph"/>
              <w:spacing w:before="60" w:after="60"/>
              <w:ind w:left="-109"/>
              <w:jc w:val="left"/>
            </w:pPr>
            <w:r w:rsidRPr="0072307E">
              <w:t xml:space="preserve">Compulsory contributions by </w:t>
            </w:r>
            <w:r w:rsidR="006C55BE">
              <w:t>170</w:t>
            </w:r>
            <w:r w:rsidR="006C55BE" w:rsidRPr="00522EFF">
              <w:t xml:space="preserve"> </w:t>
            </w:r>
            <w:r w:rsidRPr="00522EFF">
              <w:t>S</w:t>
            </w:r>
            <w:r w:rsidRPr="0072307E">
              <w:t>tates Parties to the Convention, as described in Article 26.1 of the Convention</w:t>
            </w:r>
          </w:p>
        </w:tc>
        <w:tc>
          <w:tcPr>
            <w:tcW w:w="2126" w:type="dxa"/>
            <w:shd w:val="clear" w:color="auto" w:fill="auto"/>
            <w:vAlign w:val="center"/>
          </w:tcPr>
          <w:p w14:paraId="08DFEDEE" w14:textId="77777777" w:rsidR="005974BB" w:rsidRPr="0072307E" w:rsidRDefault="005974BB" w:rsidP="002B50BC">
            <w:pPr>
              <w:pStyle w:val="Paragraph"/>
              <w:spacing w:before="60" w:after="60"/>
              <w:jc w:val="right"/>
            </w:pPr>
            <w:r w:rsidRPr="0072307E">
              <w:t>US$3,554,993</w:t>
            </w:r>
          </w:p>
        </w:tc>
      </w:tr>
      <w:tr w:rsidR="005974BB" w:rsidRPr="0072307E" w14:paraId="7CF6C153" w14:textId="65D52C8A" w:rsidTr="00590B42">
        <w:trPr>
          <w:cantSplit/>
        </w:trPr>
        <w:tc>
          <w:tcPr>
            <w:tcW w:w="6946" w:type="dxa"/>
            <w:shd w:val="clear" w:color="auto" w:fill="auto"/>
            <w:vAlign w:val="center"/>
          </w:tcPr>
          <w:p w14:paraId="4685C4EB" w14:textId="1441E4F9" w:rsidR="005974BB" w:rsidRPr="0072307E" w:rsidRDefault="005974BB" w:rsidP="00883D72">
            <w:pPr>
              <w:pStyle w:val="Paragraph"/>
              <w:spacing w:before="60" w:after="60"/>
              <w:ind w:left="-109"/>
              <w:jc w:val="left"/>
            </w:pPr>
            <w:r w:rsidRPr="0072307E">
              <w:t>Voluntary contributions of four of the five States Parties, which had recourse to Article 26.2 of the Convention, at the time of their ratification</w:t>
            </w:r>
          </w:p>
        </w:tc>
        <w:tc>
          <w:tcPr>
            <w:tcW w:w="2126" w:type="dxa"/>
            <w:shd w:val="clear" w:color="auto" w:fill="auto"/>
            <w:vAlign w:val="center"/>
          </w:tcPr>
          <w:p w14:paraId="14E053AD" w14:textId="77777777" w:rsidR="005974BB" w:rsidRPr="0072307E" w:rsidRDefault="005974BB" w:rsidP="000C00C7">
            <w:pPr>
              <w:pStyle w:val="Paragraph"/>
              <w:spacing w:before="60" w:after="60"/>
              <w:jc w:val="right"/>
            </w:pPr>
            <w:r w:rsidRPr="0072307E">
              <w:t>US$308,056</w:t>
            </w:r>
          </w:p>
        </w:tc>
      </w:tr>
      <w:tr w:rsidR="005974BB" w:rsidRPr="0072307E" w14:paraId="384DA7BE" w14:textId="1C56A156" w:rsidTr="00590B42">
        <w:trPr>
          <w:cantSplit/>
        </w:trPr>
        <w:tc>
          <w:tcPr>
            <w:tcW w:w="6946" w:type="dxa"/>
            <w:shd w:val="clear" w:color="auto" w:fill="auto"/>
            <w:vAlign w:val="center"/>
          </w:tcPr>
          <w:p w14:paraId="2163972C" w14:textId="77777777" w:rsidR="005974BB" w:rsidRPr="0072307E" w:rsidRDefault="005974BB" w:rsidP="0072307E">
            <w:pPr>
              <w:pStyle w:val="Paragraph"/>
              <w:numPr>
                <w:ilvl w:val="0"/>
                <w:numId w:val="11"/>
              </w:numPr>
              <w:spacing w:before="60" w:after="60"/>
              <w:ind w:left="357" w:hanging="466"/>
            </w:pPr>
            <w:r w:rsidRPr="0072307E">
              <w:rPr>
                <w:u w:val="single"/>
              </w:rPr>
              <w:t>Voluntary supplementary contributions</w:t>
            </w:r>
          </w:p>
        </w:tc>
        <w:tc>
          <w:tcPr>
            <w:tcW w:w="2126" w:type="dxa"/>
            <w:shd w:val="clear" w:color="auto" w:fill="auto"/>
            <w:vAlign w:val="center"/>
          </w:tcPr>
          <w:p w14:paraId="04AB3CF1" w14:textId="77777777" w:rsidR="005974BB" w:rsidRPr="0072307E" w:rsidRDefault="005974BB" w:rsidP="002E62EA">
            <w:pPr>
              <w:pStyle w:val="Paragraph"/>
              <w:spacing w:before="60" w:after="60"/>
              <w:jc w:val="right"/>
            </w:pPr>
          </w:p>
        </w:tc>
      </w:tr>
      <w:tr w:rsidR="005974BB" w:rsidRPr="0072307E" w14:paraId="2AC491BC" w14:textId="14E0FCC7" w:rsidTr="00590B42">
        <w:trPr>
          <w:cantSplit/>
        </w:trPr>
        <w:tc>
          <w:tcPr>
            <w:tcW w:w="6946" w:type="dxa"/>
            <w:shd w:val="clear" w:color="auto" w:fill="auto"/>
            <w:vAlign w:val="center"/>
          </w:tcPr>
          <w:p w14:paraId="1628F4B9" w14:textId="77777777" w:rsidR="005974BB" w:rsidRPr="0072307E" w:rsidRDefault="005974BB" w:rsidP="0072307E">
            <w:pPr>
              <w:pStyle w:val="Paragraph"/>
              <w:spacing w:before="60" w:after="60"/>
              <w:ind w:left="-109"/>
              <w:jc w:val="left"/>
              <w:rPr>
                <w:i/>
              </w:rPr>
            </w:pPr>
            <w:r w:rsidRPr="0072307E">
              <w:rPr>
                <w:i/>
              </w:rPr>
              <w:t xml:space="preserve">Earmarked contributions for specific purposes relating to specific projects </w:t>
            </w:r>
            <w:r w:rsidRPr="0072307E">
              <w:t>approved</w:t>
            </w:r>
            <w:r w:rsidRPr="0072307E">
              <w:rPr>
                <w:i/>
              </w:rPr>
              <w:t xml:space="preserve"> by the Committee, in accordance with Article 25.5 of the Convention</w:t>
            </w:r>
          </w:p>
        </w:tc>
        <w:tc>
          <w:tcPr>
            <w:tcW w:w="2126" w:type="dxa"/>
            <w:shd w:val="clear" w:color="auto" w:fill="auto"/>
            <w:vAlign w:val="center"/>
          </w:tcPr>
          <w:p w14:paraId="3C4128BC" w14:textId="77777777" w:rsidR="005974BB" w:rsidRPr="0072307E" w:rsidRDefault="005974BB" w:rsidP="002E62EA">
            <w:pPr>
              <w:pStyle w:val="Paragraph"/>
              <w:spacing w:before="60" w:after="60"/>
              <w:jc w:val="right"/>
              <w:rPr>
                <w:strike/>
              </w:rPr>
            </w:pPr>
          </w:p>
        </w:tc>
      </w:tr>
      <w:tr w:rsidR="005974BB" w:rsidRPr="0072307E" w14:paraId="5FABCAEA" w14:textId="4A91154F" w:rsidTr="00590B42">
        <w:trPr>
          <w:cantSplit/>
        </w:trPr>
        <w:tc>
          <w:tcPr>
            <w:tcW w:w="6946" w:type="dxa"/>
            <w:shd w:val="clear" w:color="auto" w:fill="auto"/>
            <w:vAlign w:val="center"/>
          </w:tcPr>
          <w:p w14:paraId="5217A02E" w14:textId="77777777" w:rsidR="005974BB" w:rsidRPr="0072307E" w:rsidRDefault="005974BB" w:rsidP="000F1B54">
            <w:pPr>
              <w:pStyle w:val="Paragraph"/>
              <w:spacing w:before="60" w:after="60"/>
              <w:ind w:left="356"/>
              <w:jc w:val="left"/>
              <w:rPr>
                <w:rFonts w:eastAsia="MS Mincho"/>
                <w:bCs w:val="0"/>
              </w:rPr>
            </w:pPr>
            <w:r w:rsidRPr="0072307E">
              <w:rPr>
                <w:rFonts w:eastAsia="MS Mincho"/>
                <w:bCs w:val="0"/>
              </w:rPr>
              <w:t xml:space="preserve">From the Netherlands for the implementation of ongoing projects </w:t>
            </w:r>
            <w:r w:rsidRPr="0072307E">
              <w:t>supporting</w:t>
            </w:r>
            <w:r w:rsidRPr="0072307E">
              <w:rPr>
                <w:rFonts w:eastAsia="MS Mincho"/>
                <w:bCs w:val="0"/>
              </w:rPr>
              <w:t xml:space="preserve"> the capacity-building programme in the Dutch Caribbean islands and Suriname</w:t>
            </w:r>
            <w:r w:rsidRPr="0072307E">
              <w:rPr>
                <w:rStyle w:val="hps"/>
                <w:rFonts w:eastAsia="MS Mincho"/>
                <w:bCs w:val="0"/>
              </w:rPr>
              <w:t xml:space="preserve"> </w:t>
            </w:r>
            <w:r w:rsidRPr="0072307E">
              <w:rPr>
                <w:rFonts w:eastAsia="MS Mincho"/>
                <w:bCs w:val="0"/>
              </w:rPr>
              <w:t>(</w:t>
            </w:r>
            <w:hyperlink r:id="rId9" w:history="1">
              <w:r w:rsidRPr="0072307E">
                <w:rPr>
                  <w:rStyle w:val="Hyperlink"/>
                  <w:rFonts w:eastAsia="MS Mincho"/>
                </w:rPr>
                <w:t>Decision 9.COM 7</w:t>
              </w:r>
            </w:hyperlink>
            <w:r w:rsidRPr="0072307E">
              <w:rPr>
                <w:rFonts w:eastAsia="MS Mincho"/>
                <w:bCs w:val="0"/>
              </w:rPr>
              <w:t>).</w:t>
            </w:r>
          </w:p>
          <w:p w14:paraId="6F68D81B" w14:textId="77777777" w:rsidR="005974BB" w:rsidRPr="0072307E" w:rsidRDefault="005974BB" w:rsidP="000F1B54">
            <w:pPr>
              <w:pStyle w:val="Paragraph"/>
              <w:spacing w:before="60" w:after="60"/>
              <w:ind w:left="356"/>
              <w:jc w:val="left"/>
              <w:rPr>
                <w:bCs w:val="0"/>
              </w:rPr>
            </w:pPr>
            <w:r w:rsidRPr="0072307E">
              <w:rPr>
                <w:bCs w:val="0"/>
              </w:rPr>
              <w:t xml:space="preserve">From the People’s Republic of China to </w:t>
            </w:r>
            <w:r w:rsidRPr="0072307E">
              <w:rPr>
                <w:rFonts w:eastAsia="MS Mincho"/>
                <w:bCs w:val="0"/>
              </w:rPr>
              <w:t xml:space="preserve">support an </w:t>
            </w:r>
            <w:r w:rsidRPr="0072307E">
              <w:rPr>
                <w:rFonts w:eastAsia="MS Mincho"/>
              </w:rPr>
              <w:t xml:space="preserve">open-ended </w:t>
            </w:r>
            <w:r w:rsidRPr="0072307E">
              <w:t>intergovernmental</w:t>
            </w:r>
            <w:r w:rsidRPr="0072307E">
              <w:rPr>
                <w:rFonts w:eastAsia="MS Mincho"/>
              </w:rPr>
              <w:t xml:space="preserve"> working group on developing an overall results framework for the Convention</w:t>
            </w:r>
            <w:r w:rsidRPr="0072307E">
              <w:rPr>
                <w:bCs w:val="0"/>
              </w:rPr>
              <w:t xml:space="preserve"> (</w:t>
            </w:r>
            <w:hyperlink r:id="rId10" w:history="1">
              <w:r w:rsidRPr="0072307E">
                <w:rPr>
                  <w:rStyle w:val="Hyperlink"/>
                </w:rPr>
                <w:t>Decision 10.COM 9</w:t>
              </w:r>
            </w:hyperlink>
            <w:r w:rsidRPr="0072307E">
              <w:rPr>
                <w:bCs w:val="0"/>
              </w:rPr>
              <w:t>).</w:t>
            </w:r>
          </w:p>
          <w:p w14:paraId="24376405" w14:textId="77777777" w:rsidR="005974BB" w:rsidRPr="0072307E" w:rsidRDefault="005974BB" w:rsidP="000F1B54">
            <w:pPr>
              <w:pStyle w:val="Paragraph"/>
              <w:spacing w:before="60" w:after="60"/>
              <w:ind w:left="356"/>
              <w:jc w:val="left"/>
            </w:pPr>
            <w:r w:rsidRPr="0072307E">
              <w:t>From</w:t>
            </w:r>
            <w:r w:rsidRPr="0072307E">
              <w:rPr>
                <w:bCs w:val="0"/>
              </w:rPr>
              <w:t xml:space="preserve"> the Republic of Korea in support of improving the periodic reporting mechanism of the Convention (</w:t>
            </w:r>
            <w:hyperlink r:id="rId11" w:history="1">
              <w:r w:rsidRPr="0072307E">
                <w:rPr>
                  <w:rStyle w:val="Hyperlink"/>
                </w:rPr>
                <w:t>Decision 11.COM 6</w:t>
              </w:r>
            </w:hyperlink>
            <w:r w:rsidRPr="0072307E">
              <w:rPr>
                <w:bCs w:val="0"/>
              </w:rPr>
              <w:t>).</w:t>
            </w:r>
          </w:p>
        </w:tc>
        <w:tc>
          <w:tcPr>
            <w:tcW w:w="2126" w:type="dxa"/>
            <w:shd w:val="clear" w:color="auto" w:fill="auto"/>
            <w:vAlign w:val="center"/>
          </w:tcPr>
          <w:p w14:paraId="7C04CFFB" w14:textId="77777777" w:rsidR="005974BB" w:rsidRPr="0072307E" w:rsidRDefault="005974BB" w:rsidP="003968A9">
            <w:pPr>
              <w:pStyle w:val="Paragraph"/>
              <w:spacing w:before="60" w:after="60"/>
              <w:jc w:val="right"/>
            </w:pPr>
            <w:r w:rsidRPr="0072307E">
              <w:t>US$582,756</w:t>
            </w:r>
          </w:p>
        </w:tc>
      </w:tr>
      <w:tr w:rsidR="005974BB" w:rsidRPr="0072307E" w14:paraId="40B89A83" w14:textId="719B21AE" w:rsidTr="00590B42">
        <w:trPr>
          <w:cantSplit/>
        </w:trPr>
        <w:tc>
          <w:tcPr>
            <w:tcW w:w="6946" w:type="dxa"/>
            <w:shd w:val="clear" w:color="auto" w:fill="auto"/>
            <w:vAlign w:val="center"/>
          </w:tcPr>
          <w:p w14:paraId="5C94613A" w14:textId="77777777" w:rsidR="005974BB" w:rsidRPr="0072307E" w:rsidRDefault="005974BB" w:rsidP="0072307E">
            <w:pPr>
              <w:pStyle w:val="Paragraph"/>
              <w:spacing w:before="60" w:after="60"/>
              <w:ind w:left="-109"/>
              <w:jc w:val="left"/>
              <w:rPr>
                <w:i/>
              </w:rPr>
            </w:pPr>
            <w:r w:rsidRPr="0072307E">
              <w:rPr>
                <w:bCs w:val="0"/>
                <w:i/>
                <w:iCs/>
              </w:rPr>
              <w:lastRenderedPageBreak/>
              <w:t>Sub-</w:t>
            </w:r>
            <w:r w:rsidRPr="000F1B54">
              <w:rPr>
                <w:i/>
                <w:iCs/>
              </w:rPr>
              <w:t>fund</w:t>
            </w:r>
            <w:r w:rsidRPr="0072307E">
              <w:rPr>
                <w:bCs w:val="0"/>
                <w:i/>
                <w:iCs/>
              </w:rPr>
              <w:t xml:space="preserve"> created within the Intangible Cultural Heritage Fund and intended exclusively to strengthen the human capacities of the Secretariat</w:t>
            </w:r>
            <w:r w:rsidRPr="0072307E" w:rsidDel="00F4192C">
              <w:rPr>
                <w:i/>
              </w:rPr>
              <w:t xml:space="preserve"> </w:t>
            </w:r>
            <w:r w:rsidRPr="0072307E">
              <w:rPr>
                <w:i/>
              </w:rPr>
              <w:t>(</w:t>
            </w:r>
            <w:hyperlink r:id="rId12" w:history="1">
              <w:r w:rsidRPr="0072307E">
                <w:rPr>
                  <w:rStyle w:val="Hyperlink"/>
                  <w:i/>
                </w:rPr>
                <w:t>Resolution 3.GA 9</w:t>
              </w:r>
            </w:hyperlink>
            <w:r w:rsidRPr="0072307E">
              <w:rPr>
                <w:i/>
              </w:rPr>
              <w:t>)</w:t>
            </w:r>
          </w:p>
        </w:tc>
        <w:tc>
          <w:tcPr>
            <w:tcW w:w="2126" w:type="dxa"/>
            <w:shd w:val="clear" w:color="auto" w:fill="auto"/>
            <w:vAlign w:val="center"/>
          </w:tcPr>
          <w:p w14:paraId="4362CF54" w14:textId="77777777" w:rsidR="005974BB" w:rsidRPr="0072307E" w:rsidRDefault="005974BB" w:rsidP="002E62EA">
            <w:pPr>
              <w:pStyle w:val="Paragraph"/>
              <w:spacing w:before="60" w:after="60"/>
              <w:jc w:val="right"/>
            </w:pPr>
          </w:p>
        </w:tc>
      </w:tr>
      <w:tr w:rsidR="005974BB" w:rsidRPr="0072307E" w14:paraId="3C3B8C74" w14:textId="1CDA94D0" w:rsidTr="00590B42">
        <w:trPr>
          <w:cantSplit/>
        </w:trPr>
        <w:tc>
          <w:tcPr>
            <w:tcW w:w="6946" w:type="dxa"/>
            <w:shd w:val="clear" w:color="auto" w:fill="auto"/>
            <w:vAlign w:val="center"/>
          </w:tcPr>
          <w:p w14:paraId="050C7AFF" w14:textId="77777777" w:rsidR="005974BB" w:rsidRPr="0072307E" w:rsidRDefault="005974BB" w:rsidP="000F1B54">
            <w:pPr>
              <w:pStyle w:val="Paragraph"/>
              <w:spacing w:before="60" w:after="60"/>
              <w:ind w:left="356"/>
              <w:jc w:val="left"/>
            </w:pPr>
            <w:r w:rsidRPr="000F1B54">
              <w:rPr>
                <w:rFonts w:eastAsia="MS Mincho"/>
                <w:bCs w:val="0"/>
              </w:rPr>
              <w:t>Azerbaijan</w:t>
            </w:r>
            <w:r w:rsidRPr="0072307E">
              <w:t>, Monaco and the United Arab Emirates</w:t>
            </w:r>
          </w:p>
        </w:tc>
        <w:tc>
          <w:tcPr>
            <w:tcW w:w="2126" w:type="dxa"/>
            <w:shd w:val="clear" w:color="auto" w:fill="auto"/>
            <w:vAlign w:val="center"/>
          </w:tcPr>
          <w:p w14:paraId="4AD72F39" w14:textId="77777777" w:rsidR="005974BB" w:rsidRPr="0072307E" w:rsidRDefault="005974BB" w:rsidP="00F4192C">
            <w:pPr>
              <w:pStyle w:val="Paragraph"/>
              <w:spacing w:before="60" w:after="60"/>
              <w:jc w:val="right"/>
            </w:pPr>
            <w:r w:rsidRPr="0072307E">
              <w:t>US$135,013</w:t>
            </w:r>
          </w:p>
        </w:tc>
      </w:tr>
      <w:tr w:rsidR="005974BB" w:rsidRPr="0072307E" w14:paraId="294B59E8" w14:textId="6F84AD9B" w:rsidTr="00590B42">
        <w:trPr>
          <w:cantSplit/>
        </w:trPr>
        <w:tc>
          <w:tcPr>
            <w:tcW w:w="6946" w:type="dxa"/>
            <w:shd w:val="clear" w:color="auto" w:fill="auto"/>
            <w:vAlign w:val="center"/>
          </w:tcPr>
          <w:p w14:paraId="53880373" w14:textId="77777777" w:rsidR="005974BB" w:rsidRPr="0072307E" w:rsidRDefault="005974BB" w:rsidP="0072307E">
            <w:pPr>
              <w:pStyle w:val="Paragraph"/>
              <w:numPr>
                <w:ilvl w:val="0"/>
                <w:numId w:val="11"/>
              </w:numPr>
              <w:spacing w:before="60" w:after="60"/>
              <w:ind w:left="357" w:hanging="466"/>
              <w:rPr>
                <w:color w:val="auto"/>
              </w:rPr>
            </w:pPr>
            <w:r w:rsidRPr="0072307E">
              <w:rPr>
                <w:u w:val="single"/>
              </w:rPr>
              <w:t>Interest earned on the resources of the Fund</w:t>
            </w:r>
          </w:p>
        </w:tc>
        <w:tc>
          <w:tcPr>
            <w:tcW w:w="2126" w:type="dxa"/>
            <w:shd w:val="clear" w:color="auto" w:fill="auto"/>
            <w:vAlign w:val="center"/>
          </w:tcPr>
          <w:p w14:paraId="23F92D4B" w14:textId="77777777" w:rsidR="005974BB" w:rsidRPr="0072307E" w:rsidRDefault="005974BB" w:rsidP="003968A9">
            <w:pPr>
              <w:pStyle w:val="Paragraph"/>
              <w:spacing w:before="60" w:after="60"/>
              <w:jc w:val="right"/>
            </w:pPr>
            <w:r w:rsidRPr="0072307E">
              <w:t>US$277,238</w:t>
            </w:r>
          </w:p>
        </w:tc>
      </w:tr>
      <w:tr w:rsidR="005974BB" w:rsidRPr="0072307E" w14:paraId="2E1CE003" w14:textId="6A4C627B" w:rsidTr="00590B42">
        <w:trPr>
          <w:cantSplit/>
        </w:trPr>
        <w:tc>
          <w:tcPr>
            <w:tcW w:w="6946" w:type="dxa"/>
            <w:shd w:val="clear" w:color="auto" w:fill="auto"/>
            <w:vAlign w:val="center"/>
          </w:tcPr>
          <w:p w14:paraId="4AC4F3F2" w14:textId="77777777" w:rsidR="005974BB" w:rsidRPr="0072307E" w:rsidRDefault="005974BB" w:rsidP="002E62EA">
            <w:pPr>
              <w:pStyle w:val="Paragraph"/>
              <w:spacing w:before="60" w:after="60"/>
              <w:ind w:firstLine="34"/>
              <w:jc w:val="right"/>
            </w:pPr>
          </w:p>
        </w:tc>
        <w:tc>
          <w:tcPr>
            <w:tcW w:w="2126" w:type="dxa"/>
            <w:shd w:val="clear" w:color="auto" w:fill="auto"/>
            <w:vAlign w:val="center"/>
          </w:tcPr>
          <w:p w14:paraId="00CF5C84" w14:textId="77777777" w:rsidR="005974BB" w:rsidRPr="0072307E" w:rsidRDefault="005974BB" w:rsidP="002E62EA">
            <w:pPr>
              <w:pStyle w:val="Paragraph"/>
              <w:spacing w:before="60" w:after="60"/>
              <w:jc w:val="right"/>
            </w:pPr>
          </w:p>
        </w:tc>
      </w:tr>
      <w:tr w:rsidR="005974BB" w:rsidRPr="0072307E" w14:paraId="746BE8D2" w14:textId="14C8861A" w:rsidTr="00590B42">
        <w:trPr>
          <w:cantSplit/>
        </w:trPr>
        <w:tc>
          <w:tcPr>
            <w:tcW w:w="6946" w:type="dxa"/>
            <w:shd w:val="clear" w:color="auto" w:fill="auto"/>
            <w:vAlign w:val="center"/>
          </w:tcPr>
          <w:p w14:paraId="24CAA570" w14:textId="77777777" w:rsidR="005974BB" w:rsidRPr="0072307E" w:rsidRDefault="005974BB" w:rsidP="00F4192C">
            <w:pPr>
              <w:pStyle w:val="Paragraph"/>
              <w:spacing w:before="60" w:after="60"/>
              <w:ind w:firstLine="34"/>
              <w:jc w:val="right"/>
              <w:rPr>
                <w:b/>
              </w:rPr>
            </w:pPr>
            <w:r w:rsidRPr="0072307E">
              <w:rPr>
                <w:b/>
              </w:rPr>
              <w:t>TOTAL</w:t>
            </w:r>
          </w:p>
        </w:tc>
        <w:tc>
          <w:tcPr>
            <w:tcW w:w="2126" w:type="dxa"/>
            <w:shd w:val="clear" w:color="auto" w:fill="auto"/>
            <w:vAlign w:val="center"/>
          </w:tcPr>
          <w:p w14:paraId="0D399092" w14:textId="77777777" w:rsidR="005974BB" w:rsidRPr="0072307E" w:rsidRDefault="005974BB" w:rsidP="00F4192C">
            <w:pPr>
              <w:pStyle w:val="Paragraph"/>
              <w:spacing w:before="60" w:after="60"/>
              <w:jc w:val="right"/>
              <w:rPr>
                <w:b/>
              </w:rPr>
            </w:pPr>
            <w:r w:rsidRPr="0072307E">
              <w:rPr>
                <w:b/>
              </w:rPr>
              <w:t>US$4,858,056</w:t>
            </w:r>
          </w:p>
        </w:tc>
      </w:tr>
    </w:tbl>
    <w:p w14:paraId="6ACFB630" w14:textId="793E83A9" w:rsidR="00873F4B" w:rsidRPr="00D15FE0" w:rsidRDefault="00745B5E" w:rsidP="000150DA">
      <w:pPr>
        <w:pStyle w:val="ListParagraph"/>
        <w:spacing w:before="120"/>
        <w:ind w:left="567" w:hanging="567"/>
      </w:pPr>
      <w:r>
        <w:t>Compared to</w:t>
      </w:r>
      <w:r w:rsidRPr="00D15FE0">
        <w:t xml:space="preserve"> the </w:t>
      </w:r>
      <w:r>
        <w:t>preceding</w:t>
      </w:r>
      <w:r w:rsidRPr="00D15FE0">
        <w:t xml:space="preserve"> biennium</w:t>
      </w:r>
      <w:r>
        <w:t>, t</w:t>
      </w:r>
      <w:r w:rsidR="00873F4B" w:rsidRPr="00D15FE0">
        <w:t xml:space="preserve">he total income during the reporting period </w:t>
      </w:r>
      <w:r w:rsidR="006257D1">
        <w:t>was</w:t>
      </w:r>
      <w:r w:rsidR="006257D1" w:rsidRPr="00D15FE0">
        <w:t xml:space="preserve"> </w:t>
      </w:r>
      <w:r w:rsidR="00873F4B" w:rsidRPr="00D15FE0">
        <w:t>15</w:t>
      </w:r>
      <w:r w:rsidR="00D979B7">
        <w:t>.6</w:t>
      </w:r>
      <w:r w:rsidR="00873F4B" w:rsidRPr="00D15FE0">
        <w:t>% lower</w:t>
      </w:r>
      <w:r w:rsidR="00E3572C">
        <w:t>; this was</w:t>
      </w:r>
      <w:r>
        <w:t xml:space="preserve"> </w:t>
      </w:r>
      <w:r w:rsidR="006257D1">
        <w:t>primarily</w:t>
      </w:r>
      <w:r w:rsidR="006257D1" w:rsidRPr="00D15FE0">
        <w:t xml:space="preserve"> </w:t>
      </w:r>
      <w:r w:rsidR="00D74BE6">
        <w:t>due to</w:t>
      </w:r>
      <w:r w:rsidR="00943E22">
        <w:t xml:space="preserve"> </w:t>
      </w:r>
      <w:r w:rsidR="00D74BE6">
        <w:t>a</w:t>
      </w:r>
      <w:r w:rsidR="00873F4B" w:rsidRPr="00D15FE0">
        <w:t xml:space="preserve"> </w:t>
      </w:r>
      <w:r w:rsidR="00840AD1">
        <w:t xml:space="preserve">considerable </w:t>
      </w:r>
      <w:r w:rsidR="00522EFF">
        <w:t>decrease</w:t>
      </w:r>
      <w:r w:rsidR="00883D72">
        <w:t xml:space="preserve"> </w:t>
      </w:r>
      <w:r w:rsidR="00E3572C">
        <w:t>in the</w:t>
      </w:r>
      <w:r w:rsidR="00B87C76">
        <w:t xml:space="preserve"> </w:t>
      </w:r>
      <w:r w:rsidR="00873F4B" w:rsidRPr="00D15FE0">
        <w:t>voluntary supplementary contributions received</w:t>
      </w:r>
      <w:r w:rsidR="006257D1">
        <w:t xml:space="preserve"> (</w:t>
      </w:r>
      <w:r w:rsidR="00873F4B" w:rsidRPr="00974D46">
        <w:t xml:space="preserve">from </w:t>
      </w:r>
      <w:r w:rsidR="00974D46" w:rsidRPr="00974D46">
        <w:t>US$1,811,268 to US$717,769</w:t>
      </w:r>
      <w:r w:rsidR="006257D1">
        <w:t>).</w:t>
      </w:r>
      <w:r w:rsidR="000150DA">
        <w:t xml:space="preserve"> </w:t>
      </w:r>
      <w:r w:rsidR="00E3572C">
        <w:t>This</w:t>
      </w:r>
      <w:r w:rsidR="006257D1">
        <w:t xml:space="preserve"> </w:t>
      </w:r>
      <w:r w:rsidR="00883D72">
        <w:t xml:space="preserve">decrease </w:t>
      </w:r>
      <w:proofErr w:type="gramStart"/>
      <w:r w:rsidR="00883D72">
        <w:t>impacted</w:t>
      </w:r>
      <w:proofErr w:type="gramEnd"/>
      <w:r w:rsidR="006257D1" w:rsidDel="006257D1">
        <w:t xml:space="preserve"> </w:t>
      </w:r>
      <w:r w:rsidR="00873F4B">
        <w:t>both the funds dedicated to specific activities approved by the Committee</w:t>
      </w:r>
      <w:r w:rsidR="00840AD1">
        <w:t xml:space="preserve"> (</w:t>
      </w:r>
      <w:r w:rsidR="00883D72">
        <w:t>e</w:t>
      </w:r>
      <w:r w:rsidR="00840AD1">
        <w:t>armarked)</w:t>
      </w:r>
      <w:r w:rsidR="00873F4B">
        <w:t xml:space="preserve"> and the Sub-fund for enhancing the human capacities of the Secretariat. </w:t>
      </w:r>
      <w:r w:rsidR="006257D1">
        <w:t>At the same time, the interest</w:t>
      </w:r>
      <w:r w:rsidR="006257D1" w:rsidRPr="00BE68D8">
        <w:t xml:space="preserve"> </w:t>
      </w:r>
      <w:r w:rsidR="006257D1">
        <w:t xml:space="preserve">generated grew </w:t>
      </w:r>
      <w:r w:rsidR="006257D1" w:rsidRPr="00974D46">
        <w:t>from US$79,953 to US$277,238</w:t>
      </w:r>
      <w:r w:rsidR="00E3572C">
        <w:t>,</w:t>
      </w:r>
      <w:r w:rsidR="006257D1">
        <w:t xml:space="preserve"> </w:t>
      </w:r>
      <w:r w:rsidR="00B87C76">
        <w:t xml:space="preserve">thus </w:t>
      </w:r>
      <w:r w:rsidR="006257D1">
        <w:t xml:space="preserve">partially compensating the decrease </w:t>
      </w:r>
      <w:r w:rsidR="00D76F6A">
        <w:t>in</w:t>
      </w:r>
      <w:r w:rsidR="006257D1">
        <w:t xml:space="preserve"> the income</w:t>
      </w:r>
      <w:r w:rsidR="00883D72">
        <w:t xml:space="preserve"> as a whole</w:t>
      </w:r>
      <w:r w:rsidR="006257D1">
        <w:t xml:space="preserve">. </w:t>
      </w:r>
      <w:r w:rsidR="00883D72">
        <w:t>Finally</w:t>
      </w:r>
      <w:r w:rsidR="00D15FE0" w:rsidRPr="00D15FE0">
        <w:t>,</w:t>
      </w:r>
      <w:r w:rsidR="00840AD1">
        <w:t xml:space="preserve"> the total unpaid </w:t>
      </w:r>
      <w:r w:rsidR="000150DA">
        <w:t xml:space="preserve">balance </w:t>
      </w:r>
      <w:r w:rsidR="00840AD1">
        <w:t>represent</w:t>
      </w:r>
      <w:r w:rsidR="006257D1">
        <w:t>ed</w:t>
      </w:r>
      <w:r w:rsidR="00840AD1">
        <w:t xml:space="preserve"> </w:t>
      </w:r>
      <w:r w:rsidR="00700324">
        <w:t>25</w:t>
      </w:r>
      <w:r w:rsidR="00840AD1">
        <w:t>.</w:t>
      </w:r>
      <w:r w:rsidR="00D15FE0" w:rsidRPr="00D15FE0">
        <w:t>5</w:t>
      </w:r>
      <w:r w:rsidR="00873F4B" w:rsidRPr="00D15FE0">
        <w:t xml:space="preserve">% of the value of </w:t>
      </w:r>
      <w:r w:rsidR="00E3572C">
        <w:t xml:space="preserve">the </w:t>
      </w:r>
      <w:r w:rsidR="00873F4B" w:rsidRPr="00D15FE0">
        <w:t>2017 compulsory contributions</w:t>
      </w:r>
      <w:r w:rsidR="00883D72" w:rsidRPr="00883D72">
        <w:t xml:space="preserve"> </w:t>
      </w:r>
      <w:r w:rsidR="002B5D8D">
        <w:t>as</w:t>
      </w:r>
      <w:r w:rsidR="00883D72" w:rsidRPr="00D15FE0">
        <w:t xml:space="preserve"> at 31 December 2017</w:t>
      </w:r>
      <w:r w:rsidR="00873F4B" w:rsidRPr="00D15FE0">
        <w:t>.</w:t>
      </w:r>
    </w:p>
    <w:p w14:paraId="3D8D3544" w14:textId="1D024F37" w:rsidR="005A5792" w:rsidRPr="00F410D6" w:rsidRDefault="005A5792" w:rsidP="008E324E">
      <w:pPr>
        <w:pStyle w:val="Default"/>
        <w:keepNext/>
        <w:spacing w:before="240" w:after="120"/>
        <w:rPr>
          <w:b/>
          <w:bCs/>
          <w:color w:val="auto"/>
          <w:sz w:val="22"/>
          <w:szCs w:val="22"/>
          <w:lang w:val="en-GB"/>
        </w:rPr>
      </w:pPr>
      <w:r w:rsidRPr="009B4607">
        <w:rPr>
          <w:b/>
          <w:bCs/>
          <w:color w:val="auto"/>
          <w:sz w:val="22"/>
          <w:szCs w:val="22"/>
          <w:lang w:val="en-GB"/>
        </w:rPr>
        <w:t>Schedule of appropriations</w:t>
      </w:r>
      <w:r w:rsidRPr="00F410D6">
        <w:rPr>
          <w:b/>
          <w:bCs/>
          <w:color w:val="auto"/>
          <w:sz w:val="22"/>
          <w:szCs w:val="22"/>
          <w:lang w:val="en-GB"/>
        </w:rPr>
        <w:t xml:space="preserve"> and expenditure for the period 1 January 201</w:t>
      </w:r>
      <w:r w:rsidR="009E3180">
        <w:rPr>
          <w:b/>
          <w:bCs/>
          <w:color w:val="auto"/>
          <w:sz w:val="22"/>
          <w:szCs w:val="22"/>
          <w:lang w:val="en-GB"/>
        </w:rPr>
        <w:t>6</w:t>
      </w:r>
      <w:r w:rsidRPr="00F410D6">
        <w:rPr>
          <w:b/>
          <w:bCs/>
          <w:color w:val="auto"/>
          <w:sz w:val="22"/>
          <w:szCs w:val="22"/>
          <w:lang w:val="en-GB"/>
        </w:rPr>
        <w:t xml:space="preserve"> to 31 December 201</w:t>
      </w:r>
      <w:r w:rsidR="009E3180">
        <w:rPr>
          <w:b/>
          <w:bCs/>
          <w:color w:val="auto"/>
          <w:sz w:val="22"/>
          <w:szCs w:val="22"/>
          <w:lang w:val="en-GB"/>
        </w:rPr>
        <w:t>7</w:t>
      </w:r>
    </w:p>
    <w:p w14:paraId="6D4145D8" w14:textId="66A72578" w:rsidR="003F1686" w:rsidRPr="00F410D6" w:rsidRDefault="00C560D0" w:rsidP="006E21A0">
      <w:pPr>
        <w:pStyle w:val="ListParagraph"/>
        <w:ind w:left="567" w:hanging="567"/>
      </w:pPr>
      <w:r w:rsidRPr="009C5C23">
        <w:t xml:space="preserve">The amount approved by the sixth session of the General Assembly </w:t>
      </w:r>
      <w:r w:rsidR="00552E74" w:rsidRPr="009C5C23">
        <w:t xml:space="preserve">for </w:t>
      </w:r>
      <w:r w:rsidRPr="009C5C23">
        <w:t>the</w:t>
      </w:r>
      <w:r w:rsidR="003F1686" w:rsidRPr="009C5C23">
        <w:t xml:space="preserve"> operational budget in the schedule of appr</w:t>
      </w:r>
      <w:r w:rsidR="0099306A" w:rsidRPr="009C5C23">
        <w:t>opriations and expenditure (US$7,977,920</w:t>
      </w:r>
      <w:r w:rsidR="003F1686" w:rsidRPr="009C5C23">
        <w:t>) corresponds</w:t>
      </w:r>
      <w:r w:rsidR="009B4607" w:rsidRPr="009C5C23">
        <w:t xml:space="preserve"> </w:t>
      </w:r>
      <w:r w:rsidR="003F1686" w:rsidRPr="009C5C23">
        <w:t xml:space="preserve">to the </w:t>
      </w:r>
      <w:r w:rsidR="000E26B1" w:rsidRPr="009C5C23">
        <w:t>balance of the Fund</w:t>
      </w:r>
      <w:r w:rsidR="003F1686" w:rsidRPr="009C5C23">
        <w:t xml:space="preserve"> on 1 J</w:t>
      </w:r>
      <w:r w:rsidR="0099306A" w:rsidRPr="009C5C23">
        <w:t>anuary 2016 (US$8,953,729</w:t>
      </w:r>
      <w:r w:rsidR="003F1686" w:rsidRPr="009C5C23">
        <w:t xml:space="preserve">) </w:t>
      </w:r>
      <w:r w:rsidR="00552E74" w:rsidRPr="009C5C23">
        <w:t>minus</w:t>
      </w:r>
      <w:r w:rsidR="003F1686" w:rsidRPr="009C5C23">
        <w:t xml:space="preserve"> the </w:t>
      </w:r>
      <w:r w:rsidR="0099306A" w:rsidRPr="009C5C23">
        <w:t>accumulated Reserve Fund (US$975,810</w:t>
      </w:r>
      <w:r w:rsidR="003F1686" w:rsidRPr="009C5C23">
        <w:t>)</w:t>
      </w:r>
      <w:r w:rsidR="009B4607" w:rsidRPr="009C5C23">
        <w:t xml:space="preserve"> at the same </w:t>
      </w:r>
      <w:r w:rsidR="005B5D1B">
        <w:t>date</w:t>
      </w:r>
      <w:r w:rsidR="003F1686" w:rsidRPr="009C5C23">
        <w:t>.</w:t>
      </w:r>
      <w:r w:rsidR="003F1686" w:rsidRPr="00F410D6">
        <w:t xml:space="preserve"> This Reserve Fund </w:t>
      </w:r>
      <w:proofErr w:type="gramStart"/>
      <w:r w:rsidR="003F1686" w:rsidRPr="00F410D6">
        <w:t>was created</w:t>
      </w:r>
      <w:proofErr w:type="gramEnd"/>
      <w:r w:rsidR="003F1686" w:rsidRPr="00F410D6">
        <w:t xml:space="preserve">, in accordance with the Financial Regulations </w:t>
      </w:r>
      <w:r w:rsidR="00952878">
        <w:t>of</w:t>
      </w:r>
      <w:r w:rsidR="00952878" w:rsidRPr="00F410D6">
        <w:t xml:space="preserve"> </w:t>
      </w:r>
      <w:r w:rsidR="003F1686" w:rsidRPr="00F410D6">
        <w:t xml:space="preserve">the Fund, to </w:t>
      </w:r>
      <w:r w:rsidR="00952878">
        <w:t>gran</w:t>
      </w:r>
      <w:r w:rsidR="00562C05">
        <w:t>t</w:t>
      </w:r>
      <w:r w:rsidR="003F1686" w:rsidRPr="00F410D6">
        <w:t xml:space="preserve"> </w:t>
      </w:r>
      <w:r w:rsidR="00952878">
        <w:t>I</w:t>
      </w:r>
      <w:r w:rsidR="003F1686" w:rsidRPr="00F410D6">
        <w:t xml:space="preserve">nternational </w:t>
      </w:r>
      <w:r w:rsidR="00952878">
        <w:t>A</w:t>
      </w:r>
      <w:r w:rsidR="003F1686" w:rsidRPr="00F410D6">
        <w:t xml:space="preserve">ssistance in cases of extreme urgency </w:t>
      </w:r>
      <w:r w:rsidR="00D76F6A">
        <w:t xml:space="preserve">and </w:t>
      </w:r>
      <w:r w:rsidR="003F1686" w:rsidRPr="00F410D6">
        <w:t xml:space="preserve">in the event that the funds allocated to </w:t>
      </w:r>
      <w:r w:rsidR="00952878">
        <w:t>I</w:t>
      </w:r>
      <w:r w:rsidR="003F1686" w:rsidRPr="00F410D6">
        <w:t xml:space="preserve">nternational </w:t>
      </w:r>
      <w:r w:rsidR="00952878">
        <w:t>A</w:t>
      </w:r>
      <w:r w:rsidR="003F1686" w:rsidRPr="00F410D6">
        <w:t xml:space="preserve">ssistance (budget line 1) </w:t>
      </w:r>
      <w:r w:rsidR="00562C05">
        <w:t>are</w:t>
      </w:r>
      <w:r w:rsidR="00952878" w:rsidRPr="00F410D6">
        <w:t xml:space="preserve"> </w:t>
      </w:r>
      <w:r w:rsidR="003F1686" w:rsidRPr="00F410D6">
        <w:t xml:space="preserve">exhausted. </w:t>
      </w:r>
      <w:r w:rsidR="0099306A">
        <w:t>A</w:t>
      </w:r>
      <w:r w:rsidR="00552E74">
        <w:t>s</w:t>
      </w:r>
      <w:r w:rsidR="0099306A">
        <w:t xml:space="preserve"> shown in </w:t>
      </w:r>
      <w:r w:rsidR="00105111">
        <w:t>Annex I/</w:t>
      </w:r>
      <w:r w:rsidR="0099306A" w:rsidRPr="00F410D6">
        <w:t xml:space="preserve"> </w:t>
      </w:r>
      <w:r w:rsidR="0099306A" w:rsidRPr="00C66707">
        <w:t>Statement II</w:t>
      </w:r>
      <w:bookmarkStart w:id="0" w:name="_GoBack"/>
      <w:bookmarkEnd w:id="0"/>
      <w:r w:rsidR="0099306A">
        <w:t xml:space="preserve">, </w:t>
      </w:r>
      <w:r w:rsidR="00814B19">
        <w:t xml:space="preserve">following </w:t>
      </w:r>
      <w:r w:rsidR="0099306A">
        <w:t>t</w:t>
      </w:r>
      <w:r w:rsidR="0099306A" w:rsidRPr="00F410D6">
        <w:t xml:space="preserve">he </w:t>
      </w:r>
      <w:r w:rsidR="0099306A">
        <w:t>last</w:t>
      </w:r>
      <w:r w:rsidR="0099306A" w:rsidRPr="00F410D6">
        <w:t xml:space="preserve"> transfer </w:t>
      </w:r>
      <w:r w:rsidR="0099306A">
        <w:t xml:space="preserve">made </w:t>
      </w:r>
      <w:r w:rsidR="0099306A" w:rsidRPr="00F410D6">
        <w:t>at the beginning of the</w:t>
      </w:r>
      <w:r w:rsidR="0099306A">
        <w:t xml:space="preserve"> reporting</w:t>
      </w:r>
      <w:r w:rsidR="0099306A" w:rsidRPr="00F410D6">
        <w:t xml:space="preserve"> period</w:t>
      </w:r>
      <w:r w:rsidR="0099306A">
        <w:t xml:space="preserve"> </w:t>
      </w:r>
      <w:r w:rsidR="0099306A" w:rsidRPr="00F410D6">
        <w:t>(US$</w:t>
      </w:r>
      <w:r w:rsidR="0099306A">
        <w:t>24,190</w:t>
      </w:r>
      <w:r w:rsidR="0099306A" w:rsidRPr="00F410D6">
        <w:t>)</w:t>
      </w:r>
      <w:r w:rsidR="0099306A">
        <w:t xml:space="preserve">, the Reserve Fund </w:t>
      </w:r>
      <w:r w:rsidR="00CB3F45">
        <w:t>reached an allocation of US$1,000,000 – achieving the objective set by the Committee (</w:t>
      </w:r>
      <w:hyperlink r:id="rId13" w:history="1">
        <w:r w:rsidR="00CB3F45" w:rsidRPr="000D587F">
          <w:rPr>
            <w:rStyle w:val="Hyperlink"/>
          </w:rPr>
          <w:t>Decision 10.COM</w:t>
        </w:r>
        <w:r w:rsidR="00CB3F45">
          <w:rPr>
            <w:rStyle w:val="Hyperlink"/>
          </w:rPr>
          <w:t> </w:t>
        </w:r>
        <w:r w:rsidR="00CB3F45" w:rsidRPr="000D587F">
          <w:rPr>
            <w:rStyle w:val="Hyperlink"/>
          </w:rPr>
          <w:t>8</w:t>
        </w:r>
      </w:hyperlink>
      <w:r w:rsidR="00CB3F45" w:rsidRPr="00C54FEA">
        <w:rPr>
          <w:rStyle w:val="Hyperlink"/>
        </w:rPr>
        <w:t xml:space="preserve"> and </w:t>
      </w:r>
      <w:hyperlink r:id="rId14" w:history="1">
        <w:r w:rsidR="00CB3F45" w:rsidRPr="001C7639">
          <w:rPr>
            <w:rStyle w:val="Hyperlink"/>
          </w:rPr>
          <w:t>Resolution 6.GA 9</w:t>
        </w:r>
      </w:hyperlink>
      <w:r w:rsidR="00CB3F45">
        <w:t>).</w:t>
      </w:r>
    </w:p>
    <w:p w14:paraId="29AC0C79" w14:textId="27293EB4" w:rsidR="005A5792" w:rsidRPr="00F410D6" w:rsidRDefault="000003ED" w:rsidP="00135D75">
      <w:pPr>
        <w:pStyle w:val="ListParagraph"/>
        <w:ind w:left="567" w:hanging="567"/>
      </w:pPr>
      <w:r w:rsidRPr="00F410D6">
        <w:t>T</w:t>
      </w:r>
      <w:r w:rsidR="005A5792" w:rsidRPr="00F410D6">
        <w:t>he Financial Report shows a total expenditure of US$</w:t>
      </w:r>
      <w:r w:rsidR="005123D8">
        <w:t>3,609,488</w:t>
      </w:r>
      <w:r w:rsidR="005A5792" w:rsidRPr="00F410D6">
        <w:t xml:space="preserve"> as of 31 December 201</w:t>
      </w:r>
      <w:r w:rsidR="005123D8">
        <w:t>7</w:t>
      </w:r>
      <w:r w:rsidR="000B52AF" w:rsidRPr="00F410D6">
        <w:t xml:space="preserve">, </w:t>
      </w:r>
      <w:r w:rsidR="005A5792" w:rsidRPr="00F410D6">
        <w:t xml:space="preserve">that is, </w:t>
      </w:r>
      <w:r w:rsidR="005123D8">
        <w:t>45.2</w:t>
      </w:r>
      <w:r w:rsidR="00B4182F" w:rsidRPr="00F410D6">
        <w:t>%</w:t>
      </w:r>
      <w:r w:rsidR="005A5792" w:rsidRPr="00F410D6">
        <w:t xml:space="preserve"> of the </w:t>
      </w:r>
      <w:r w:rsidR="003F1686" w:rsidRPr="00F410D6">
        <w:t xml:space="preserve">operational </w:t>
      </w:r>
      <w:r w:rsidR="005A5792" w:rsidRPr="00F410D6">
        <w:t>budget approved by the General Assembly</w:t>
      </w:r>
      <w:r w:rsidR="00C369CA" w:rsidRPr="00F410D6">
        <w:t xml:space="preserve"> </w:t>
      </w:r>
      <w:r w:rsidR="003F1686" w:rsidRPr="00F410D6">
        <w:t xml:space="preserve">– </w:t>
      </w:r>
      <w:r w:rsidR="00000773" w:rsidRPr="00F410D6">
        <w:t xml:space="preserve">excluding </w:t>
      </w:r>
      <w:r w:rsidR="003F1686" w:rsidRPr="00F410D6">
        <w:t>funds provided for the Reserve Fund</w:t>
      </w:r>
      <w:r w:rsidR="005A5792" w:rsidRPr="00F410D6">
        <w:t xml:space="preserve">. </w:t>
      </w:r>
      <w:r w:rsidR="00A36534">
        <w:t xml:space="preserve">Even though </w:t>
      </w:r>
      <w:r w:rsidR="00635A05">
        <w:t xml:space="preserve">the </w:t>
      </w:r>
      <w:r w:rsidR="00C560D0">
        <w:t>expenditure</w:t>
      </w:r>
      <w:r w:rsidR="000745F7">
        <w:t xml:space="preserve"> increase</w:t>
      </w:r>
      <w:r w:rsidR="00C560D0">
        <w:t>d</w:t>
      </w:r>
      <w:r w:rsidR="000745F7">
        <w:t xml:space="preserve"> </w:t>
      </w:r>
      <w:r w:rsidR="00C560D0">
        <w:t xml:space="preserve">by </w:t>
      </w:r>
      <w:r w:rsidR="000745F7">
        <w:t xml:space="preserve">47.8% </w:t>
      </w:r>
      <w:r w:rsidR="00E3572C">
        <w:t xml:space="preserve">compared </w:t>
      </w:r>
      <w:r w:rsidR="000745F7">
        <w:t xml:space="preserve">to the </w:t>
      </w:r>
      <w:r w:rsidR="00635A05">
        <w:t xml:space="preserve">preceding </w:t>
      </w:r>
      <w:r w:rsidR="00A36534">
        <w:t xml:space="preserve">biennium (US$2,441,884), </w:t>
      </w:r>
      <w:r w:rsidR="00635A05">
        <w:t>this</w:t>
      </w:r>
      <w:r w:rsidR="00A36534">
        <w:t xml:space="preserve"> rate remains low </w:t>
      </w:r>
      <w:r w:rsidR="00635A05">
        <w:t>as the</w:t>
      </w:r>
      <w:r w:rsidR="00A36534">
        <w:t xml:space="preserve"> total budget approved </w:t>
      </w:r>
      <w:r w:rsidR="00635A05">
        <w:t>also increased</w:t>
      </w:r>
      <w:r w:rsidR="00814B19" w:rsidRPr="00814B19">
        <w:t xml:space="preserve"> </w:t>
      </w:r>
      <w:r w:rsidR="00814B19">
        <w:t>in relation to the preceding biennium</w:t>
      </w:r>
      <w:r w:rsidR="00A36534">
        <w:t>.</w:t>
      </w:r>
      <w:r w:rsidR="00135D75">
        <w:t xml:space="preserve"> </w:t>
      </w:r>
      <w:r w:rsidR="005A5792" w:rsidRPr="00F410D6">
        <w:t xml:space="preserve">Explanations </w:t>
      </w:r>
      <w:r w:rsidR="00E3572C">
        <w:t>for</w:t>
      </w:r>
      <w:r w:rsidR="005A5792" w:rsidRPr="00F410D6">
        <w:t xml:space="preserve"> each budget line </w:t>
      </w:r>
      <w:r w:rsidR="003F1686" w:rsidRPr="00F410D6">
        <w:t xml:space="preserve">of </w:t>
      </w:r>
      <w:r w:rsidR="005A5792" w:rsidRPr="00F410D6">
        <w:t xml:space="preserve">the </w:t>
      </w:r>
      <w:r w:rsidR="003F1686" w:rsidRPr="00F410D6">
        <w:t>s</w:t>
      </w:r>
      <w:r w:rsidR="005A5792" w:rsidRPr="00F410D6">
        <w:t xml:space="preserve">chedule of appropriations and expenditure </w:t>
      </w:r>
      <w:proofErr w:type="gramStart"/>
      <w:r w:rsidR="003F1686" w:rsidRPr="00F410D6">
        <w:t>are provided</w:t>
      </w:r>
      <w:proofErr w:type="gramEnd"/>
      <w:r w:rsidR="003F1686" w:rsidRPr="00F410D6">
        <w:t xml:space="preserve"> below</w:t>
      </w:r>
      <w:r w:rsidR="005A5792" w:rsidRPr="00F410D6">
        <w:t>.</w:t>
      </w:r>
    </w:p>
    <w:p w14:paraId="48673DB9" w14:textId="714A1F69" w:rsidR="00A22F99" w:rsidRPr="00A22F99" w:rsidRDefault="007E4DAE" w:rsidP="00796AB0">
      <w:pPr>
        <w:pStyle w:val="ListParagraph"/>
        <w:ind w:left="567" w:hanging="567"/>
      </w:pPr>
      <w:r w:rsidRPr="00F410D6">
        <w:t xml:space="preserve">The low implementation of the Fund </w:t>
      </w:r>
      <w:r w:rsidR="000913B0">
        <w:rPr>
          <w:bCs/>
        </w:rPr>
        <w:t xml:space="preserve">continues to </w:t>
      </w:r>
      <w:proofErr w:type="gramStart"/>
      <w:r w:rsidR="000913B0">
        <w:rPr>
          <w:bCs/>
        </w:rPr>
        <w:t>be directly linked</w:t>
      </w:r>
      <w:proofErr w:type="gramEnd"/>
      <w:r w:rsidR="000913B0">
        <w:rPr>
          <w:bCs/>
        </w:rPr>
        <w:t xml:space="preserve"> to the insufficient use</w:t>
      </w:r>
      <w:r w:rsidR="00E22742">
        <w:rPr>
          <w:bCs/>
        </w:rPr>
        <w:t xml:space="preserve"> States Parties</w:t>
      </w:r>
      <w:r w:rsidR="000913B0">
        <w:rPr>
          <w:bCs/>
        </w:rPr>
        <w:t xml:space="preserve"> </w:t>
      </w:r>
      <w:r w:rsidR="00E3572C">
        <w:rPr>
          <w:bCs/>
        </w:rPr>
        <w:t xml:space="preserve">make </w:t>
      </w:r>
      <w:r w:rsidR="000913B0">
        <w:rPr>
          <w:bCs/>
        </w:rPr>
        <w:t>of the International Assistance mechanisms</w:t>
      </w:r>
      <w:r w:rsidR="007409A4">
        <w:rPr>
          <w:bCs/>
        </w:rPr>
        <w:t xml:space="preserve"> </w:t>
      </w:r>
      <w:r w:rsidR="007409A4" w:rsidRPr="00A22F99">
        <w:rPr>
          <w:bCs/>
        </w:rPr>
        <w:t>(budget lines 1 and 2)</w:t>
      </w:r>
      <w:r w:rsidR="000913B0">
        <w:rPr>
          <w:bCs/>
        </w:rPr>
        <w:t xml:space="preserve">. </w:t>
      </w:r>
      <w:r w:rsidR="00E22742">
        <w:rPr>
          <w:bCs/>
        </w:rPr>
        <w:t>As at 31 December 2017</w:t>
      </w:r>
      <w:r w:rsidR="007409A4">
        <w:rPr>
          <w:bCs/>
        </w:rPr>
        <w:t>,</w:t>
      </w:r>
      <w:r w:rsidR="000913B0">
        <w:rPr>
          <w:bCs/>
        </w:rPr>
        <w:t xml:space="preserve"> </w:t>
      </w:r>
      <w:r w:rsidR="00A22F99" w:rsidRPr="00A22F99">
        <w:rPr>
          <w:b/>
          <w:bCs/>
        </w:rPr>
        <w:t>budget line 1</w:t>
      </w:r>
      <w:r w:rsidR="00A22F99">
        <w:rPr>
          <w:b/>
          <w:bCs/>
        </w:rPr>
        <w:t xml:space="preserve"> </w:t>
      </w:r>
      <w:r w:rsidR="00A22F99" w:rsidRPr="00A22F99">
        <w:rPr>
          <w:bCs/>
        </w:rPr>
        <w:t>(</w:t>
      </w:r>
      <w:r w:rsidR="00A22F99">
        <w:rPr>
          <w:bCs/>
        </w:rPr>
        <w:t xml:space="preserve">International Assistance) </w:t>
      </w:r>
      <w:r w:rsidR="00E22742">
        <w:rPr>
          <w:bCs/>
        </w:rPr>
        <w:t>presented an implementation rate of only 27.4%</w:t>
      </w:r>
      <w:r w:rsidR="00A22F99">
        <w:rPr>
          <w:bCs/>
        </w:rPr>
        <w:t xml:space="preserve">. </w:t>
      </w:r>
      <w:r w:rsidR="003E5D80">
        <w:rPr>
          <w:bCs/>
        </w:rPr>
        <w:t xml:space="preserve">It is worth </w:t>
      </w:r>
      <w:r w:rsidR="00796AB0">
        <w:rPr>
          <w:bCs/>
        </w:rPr>
        <w:t>mentioning</w:t>
      </w:r>
      <w:r w:rsidR="003E5D80">
        <w:rPr>
          <w:bCs/>
        </w:rPr>
        <w:t xml:space="preserve"> that </w:t>
      </w:r>
      <w:r w:rsidR="00E22742">
        <w:rPr>
          <w:bCs/>
        </w:rPr>
        <w:t xml:space="preserve">during the reporting period </w:t>
      </w:r>
      <w:r w:rsidR="00635A05">
        <w:rPr>
          <w:bCs/>
        </w:rPr>
        <w:t xml:space="preserve">the Committee or its Bureau approved </w:t>
      </w:r>
      <w:r w:rsidR="003E5D80">
        <w:rPr>
          <w:bCs/>
        </w:rPr>
        <w:t>seventeen</w:t>
      </w:r>
      <w:r w:rsidR="00E22742">
        <w:rPr>
          <w:bCs/>
        </w:rPr>
        <w:t xml:space="preserve"> projects</w:t>
      </w:r>
      <w:r w:rsidR="003E5D80">
        <w:rPr>
          <w:bCs/>
        </w:rPr>
        <w:t xml:space="preserve"> for an amount of </w:t>
      </w:r>
      <w:r w:rsidR="00E3572C">
        <w:rPr>
          <w:bCs/>
        </w:rPr>
        <w:t xml:space="preserve">over </w:t>
      </w:r>
      <w:r w:rsidR="003E5D80">
        <w:rPr>
          <w:bCs/>
        </w:rPr>
        <w:t>US$1.7 million</w:t>
      </w:r>
      <w:r w:rsidR="00E22742">
        <w:rPr>
          <w:bCs/>
        </w:rPr>
        <w:t>. However,</w:t>
      </w:r>
      <w:r w:rsidR="003E5D80">
        <w:rPr>
          <w:bCs/>
        </w:rPr>
        <w:t xml:space="preserve"> </w:t>
      </w:r>
      <w:r w:rsidR="00D74BE6">
        <w:rPr>
          <w:bCs/>
        </w:rPr>
        <w:t xml:space="preserve">the </w:t>
      </w:r>
      <w:r w:rsidR="00814B19">
        <w:t xml:space="preserve">financial reports </w:t>
      </w:r>
      <w:r w:rsidR="00B670D3">
        <w:t>only</w:t>
      </w:r>
      <w:r w:rsidR="00814B19">
        <w:t xml:space="preserve"> reflect </w:t>
      </w:r>
      <w:r w:rsidR="00D76F6A">
        <w:t xml:space="preserve">those </w:t>
      </w:r>
      <w:r w:rsidR="00814B19">
        <w:t>p</w:t>
      </w:r>
      <w:r w:rsidR="00E22742">
        <w:t>rojects</w:t>
      </w:r>
      <w:r w:rsidR="00D76F6A">
        <w:t xml:space="preserve"> </w:t>
      </w:r>
      <w:r w:rsidR="00B670D3">
        <w:t xml:space="preserve">for which </w:t>
      </w:r>
      <w:r w:rsidR="00D76F6A">
        <w:t xml:space="preserve">contracts </w:t>
      </w:r>
      <w:proofErr w:type="gramStart"/>
      <w:r w:rsidR="00E3572C">
        <w:t>had</w:t>
      </w:r>
      <w:r w:rsidR="00D76F6A">
        <w:t xml:space="preserve"> </w:t>
      </w:r>
      <w:r w:rsidR="00E3572C">
        <w:t>been</w:t>
      </w:r>
      <w:r w:rsidR="00D76F6A">
        <w:t xml:space="preserve"> established</w:t>
      </w:r>
      <w:proofErr w:type="gramEnd"/>
      <w:r w:rsidR="00E22742">
        <w:t xml:space="preserve"> </w:t>
      </w:r>
      <w:r w:rsidR="00B670D3">
        <w:t>during the</w:t>
      </w:r>
      <w:r w:rsidR="00814B19">
        <w:t xml:space="preserve"> reporting period</w:t>
      </w:r>
      <w:r w:rsidR="003E5D80">
        <w:t>.</w:t>
      </w:r>
    </w:p>
    <w:p w14:paraId="3BB7ABCA" w14:textId="146B1C97" w:rsidR="006C1111" w:rsidRPr="009B4607" w:rsidRDefault="006F461F" w:rsidP="006C1111">
      <w:pPr>
        <w:pStyle w:val="ListParagraph"/>
        <w:ind w:left="567" w:hanging="567"/>
      </w:pPr>
      <w:r>
        <w:rPr>
          <w:rFonts w:cs="Times New Roman"/>
        </w:rPr>
        <w:t xml:space="preserve">Concerning </w:t>
      </w:r>
      <w:proofErr w:type="gramStart"/>
      <w:r w:rsidRPr="00033DB5">
        <w:rPr>
          <w:rFonts w:cs="Times New Roman"/>
          <w:b/>
        </w:rPr>
        <w:t>budget</w:t>
      </w:r>
      <w:proofErr w:type="gramEnd"/>
      <w:r w:rsidRPr="00033DB5">
        <w:rPr>
          <w:rFonts w:cs="Times New Roman"/>
          <w:b/>
        </w:rPr>
        <w:t xml:space="preserve"> line 2</w:t>
      </w:r>
      <w:r>
        <w:rPr>
          <w:rFonts w:cs="Times New Roman"/>
        </w:rPr>
        <w:t xml:space="preserve"> (</w:t>
      </w:r>
      <w:r w:rsidR="00A51251">
        <w:rPr>
          <w:rFonts w:cs="Times New Roman"/>
        </w:rPr>
        <w:t>P</w:t>
      </w:r>
      <w:r>
        <w:rPr>
          <w:rFonts w:cs="Times New Roman"/>
        </w:rPr>
        <w:t xml:space="preserve">reparatory </w:t>
      </w:r>
      <w:r w:rsidR="00A51251">
        <w:rPr>
          <w:rFonts w:cs="Times New Roman"/>
        </w:rPr>
        <w:t>Assistance</w:t>
      </w:r>
      <w:r>
        <w:rPr>
          <w:rFonts w:cs="Times New Roman"/>
        </w:rPr>
        <w:t>)</w:t>
      </w:r>
      <w:r w:rsidR="00E3572C">
        <w:rPr>
          <w:rFonts w:cs="Times New Roman"/>
        </w:rPr>
        <w:t>,</w:t>
      </w:r>
      <w:r>
        <w:rPr>
          <w:rFonts w:cs="Times New Roman"/>
        </w:rPr>
        <w:t xml:space="preserve"> </w:t>
      </w:r>
      <w:r>
        <w:t>only two</w:t>
      </w:r>
      <w:r w:rsidRPr="00F410D6">
        <w:t xml:space="preserve"> Preparatory Assistance requests for </w:t>
      </w:r>
      <w:r w:rsidR="00F41D92">
        <w:t>preparing</w:t>
      </w:r>
      <w:r w:rsidR="00F41D92" w:rsidRPr="00F410D6">
        <w:t xml:space="preserve"> </w:t>
      </w:r>
      <w:r w:rsidRPr="00F410D6">
        <w:t xml:space="preserve">a nomination to the Urgent Safeguarding List </w:t>
      </w:r>
      <w:r>
        <w:t>w</w:t>
      </w:r>
      <w:r w:rsidR="00F41D92">
        <w:t>ere</w:t>
      </w:r>
      <w:r w:rsidRPr="00F410D6">
        <w:t xml:space="preserve"> submitted and subsequently approved by the Bureau. </w:t>
      </w:r>
      <w:r w:rsidR="00033DB5">
        <w:t>This line was used additionally, and in the sense of the decision of the Committee taken at its eighth session in 2013 (</w:t>
      </w:r>
      <w:hyperlink r:id="rId15" w:history="1">
        <w:r w:rsidR="00033DB5" w:rsidRPr="00F410D6">
          <w:rPr>
            <w:rStyle w:val="Hyperlink"/>
          </w:rPr>
          <w:t>Decision 8.COM 7.c</w:t>
        </w:r>
      </w:hyperlink>
      <w:r w:rsidR="00033DB5">
        <w:rPr>
          <w:rStyle w:val="Hyperlink"/>
        </w:rPr>
        <w:t>)</w:t>
      </w:r>
      <w:r w:rsidR="00033DB5" w:rsidRPr="00F410D6">
        <w:t xml:space="preserve">, </w:t>
      </w:r>
      <w:r w:rsidR="00033DB5">
        <w:t xml:space="preserve">to provide technical assistance </w:t>
      </w:r>
      <w:r w:rsidR="005A4282">
        <w:t>‘</w:t>
      </w:r>
      <w:r w:rsidR="00033DB5">
        <w:t xml:space="preserve">to States Parties </w:t>
      </w:r>
      <w:r w:rsidR="006C1111" w:rsidRPr="00F410D6">
        <w:t xml:space="preserve">wishing to elaborate requests for International Assistance’. </w:t>
      </w:r>
      <w:r w:rsidR="00033DB5">
        <w:t xml:space="preserve">Such assistance </w:t>
      </w:r>
      <w:proofErr w:type="gramStart"/>
      <w:r w:rsidR="00033DB5">
        <w:t>was provided</w:t>
      </w:r>
      <w:proofErr w:type="gramEnd"/>
      <w:r w:rsidR="00033DB5">
        <w:t xml:space="preserve"> through the provision of experts - </w:t>
      </w:r>
      <w:r w:rsidR="00033DB5" w:rsidRPr="00F410D6">
        <w:t>both external consultants and the Secretariat</w:t>
      </w:r>
      <w:r w:rsidR="00033DB5">
        <w:t xml:space="preserve"> - upon specific requests from States Parties. During the reporting period</w:t>
      </w:r>
      <w:r w:rsidR="005A4282">
        <w:t>,</w:t>
      </w:r>
      <w:r w:rsidR="00033DB5">
        <w:t xml:space="preserve"> </w:t>
      </w:r>
      <w:r w:rsidR="006C1111" w:rsidRPr="00F410D6">
        <w:t xml:space="preserve">technical assistance </w:t>
      </w:r>
      <w:proofErr w:type="gramStart"/>
      <w:r w:rsidR="00033DB5">
        <w:t xml:space="preserve">was </w:t>
      </w:r>
      <w:r w:rsidR="006C1111" w:rsidRPr="00F410D6">
        <w:t>provided</w:t>
      </w:r>
      <w:proofErr w:type="gramEnd"/>
      <w:r w:rsidR="006C1111" w:rsidRPr="00F410D6">
        <w:t xml:space="preserve"> to </w:t>
      </w:r>
      <w:r w:rsidR="00796AB0">
        <w:t>five</w:t>
      </w:r>
      <w:r w:rsidR="006C1111" w:rsidRPr="00F410D6">
        <w:t xml:space="preserve"> requesting States</w:t>
      </w:r>
      <w:r w:rsidR="005A4282">
        <w:t>;</w:t>
      </w:r>
      <w:r w:rsidR="0066451D">
        <w:t xml:space="preserve"> </w:t>
      </w:r>
      <w:r w:rsidR="005A4282">
        <w:t xml:space="preserve">two </w:t>
      </w:r>
      <w:r w:rsidR="0066451D" w:rsidRPr="009B4607">
        <w:t xml:space="preserve">of </w:t>
      </w:r>
      <w:r w:rsidR="005A4282">
        <w:t>these requests</w:t>
      </w:r>
      <w:r w:rsidR="0066451D" w:rsidRPr="009B4607">
        <w:t xml:space="preserve"> were presented to the Bureau and received assistance under the Fund</w:t>
      </w:r>
      <w:r w:rsidR="006C1111" w:rsidRPr="009B4607">
        <w:t>.</w:t>
      </w:r>
    </w:p>
    <w:p w14:paraId="10462619" w14:textId="2D854B45" w:rsidR="00EE1372" w:rsidRPr="006E21A0" w:rsidRDefault="003B71DB" w:rsidP="00590B42">
      <w:pPr>
        <w:pStyle w:val="ListParagraph"/>
        <w:ind w:left="567" w:hanging="567"/>
      </w:pPr>
      <w:r>
        <w:t xml:space="preserve">Based on </w:t>
      </w:r>
      <w:r w:rsidRPr="00F410D6">
        <w:t>specific proposals prepared by the Secretariat</w:t>
      </w:r>
      <w:r>
        <w:t>,</w:t>
      </w:r>
      <w:r w:rsidRPr="00F410D6">
        <w:t xml:space="preserve"> the Bureau </w:t>
      </w:r>
      <w:r>
        <w:t xml:space="preserve">decided </w:t>
      </w:r>
      <w:r w:rsidR="009303FA">
        <w:t>upon the</w:t>
      </w:r>
      <w:r>
        <w:t xml:space="preserve"> </w:t>
      </w:r>
      <w:r w:rsidR="009303FA">
        <w:t>utilization</w:t>
      </w:r>
      <w:r>
        <w:t xml:space="preserve"> of resources in </w:t>
      </w:r>
      <w:r w:rsidRPr="003B71DB">
        <w:rPr>
          <w:b/>
        </w:rPr>
        <w:t>budget line 3</w:t>
      </w:r>
      <w:r w:rsidR="005A4282" w:rsidRPr="005A4282">
        <w:t>,</w:t>
      </w:r>
      <w:r>
        <w:t xml:space="preserve"> </w:t>
      </w:r>
      <w:r w:rsidR="004B5B99" w:rsidRPr="00F410D6">
        <w:t xml:space="preserve">‘other functions of the Committee’ </w:t>
      </w:r>
      <w:r w:rsidR="005A5792" w:rsidRPr="00F410D6">
        <w:lastRenderedPageBreak/>
        <w:t>(</w:t>
      </w:r>
      <w:hyperlink r:id="rId16" w:history="1">
        <w:r w:rsidR="005A5792" w:rsidRPr="00F410D6">
          <w:rPr>
            <w:rStyle w:val="Hyperlink"/>
          </w:rPr>
          <w:t>Decision</w:t>
        </w:r>
        <w:r w:rsidR="006C1111" w:rsidRPr="00F410D6">
          <w:rPr>
            <w:rStyle w:val="Hyperlink"/>
          </w:rPr>
          <w:t> </w:t>
        </w:r>
        <w:r w:rsidR="005351A5" w:rsidRPr="00F410D6">
          <w:rPr>
            <w:rStyle w:val="Hyperlink"/>
          </w:rPr>
          <w:t>8</w:t>
        </w:r>
        <w:r w:rsidR="005A5792" w:rsidRPr="00F410D6">
          <w:rPr>
            <w:rStyle w:val="Hyperlink"/>
          </w:rPr>
          <w:t>.COM </w:t>
        </w:r>
        <w:r w:rsidR="005351A5" w:rsidRPr="00F410D6">
          <w:rPr>
            <w:rStyle w:val="Hyperlink"/>
          </w:rPr>
          <w:t>11</w:t>
        </w:r>
      </w:hyperlink>
      <w:r w:rsidR="00D76F6A">
        <w:t xml:space="preserve"> and </w:t>
      </w:r>
      <w:hyperlink r:id="rId17" w:history="1">
        <w:r w:rsidR="00D76F6A" w:rsidRPr="00B27C85">
          <w:rPr>
            <w:rStyle w:val="Hyperlink"/>
          </w:rPr>
          <w:t>Decision 11.COM 2.BUR</w:t>
        </w:r>
        <w:r w:rsidR="00590B42">
          <w:rPr>
            <w:rStyle w:val="Hyperlink"/>
          </w:rPr>
          <w:t> </w:t>
        </w:r>
        <w:r w:rsidR="00D76F6A" w:rsidRPr="00B27C85">
          <w:rPr>
            <w:rStyle w:val="Hyperlink"/>
          </w:rPr>
          <w:t>1</w:t>
        </w:r>
      </w:hyperlink>
      <w:r w:rsidR="005A5792" w:rsidRPr="00F410D6">
        <w:t xml:space="preserve">). </w:t>
      </w:r>
      <w:r w:rsidR="00D76F6A">
        <w:t>The</w:t>
      </w:r>
      <w:r>
        <w:t>se</w:t>
      </w:r>
      <w:r w:rsidR="00D76F6A">
        <w:t xml:space="preserve"> resources </w:t>
      </w:r>
      <w:r w:rsidR="00B27C85">
        <w:t>were</w:t>
      </w:r>
      <w:r w:rsidR="006C1111" w:rsidRPr="00F410D6">
        <w:t xml:space="preserve"> </w:t>
      </w:r>
      <w:r w:rsidR="00814B19">
        <w:t>dedicated to</w:t>
      </w:r>
      <w:r w:rsidR="006C1111" w:rsidRPr="00F410D6">
        <w:t xml:space="preserve"> capacity</w:t>
      </w:r>
      <w:r w:rsidR="005A4282">
        <w:t xml:space="preserve"> </w:t>
      </w:r>
      <w:r w:rsidR="006C1111" w:rsidRPr="00F410D6">
        <w:t>building (</w:t>
      </w:r>
      <w:r w:rsidR="00B27C85">
        <w:t>51.</w:t>
      </w:r>
      <w:r w:rsidR="008F4F6E">
        <w:t>4</w:t>
      </w:r>
      <w:r w:rsidR="006C1111" w:rsidRPr="00F410D6">
        <w:t xml:space="preserve">%), </w:t>
      </w:r>
      <w:r w:rsidR="00D547A9" w:rsidRPr="00F410D6">
        <w:t>knowledge-management services (</w:t>
      </w:r>
      <w:r w:rsidR="00B27C85">
        <w:t>24.3</w:t>
      </w:r>
      <w:r w:rsidR="00D547A9" w:rsidRPr="00F410D6">
        <w:t xml:space="preserve">%), </w:t>
      </w:r>
      <w:r w:rsidR="006C1111" w:rsidRPr="00F410D6">
        <w:t xml:space="preserve">the </w:t>
      </w:r>
      <w:r w:rsidR="00B27C85">
        <w:t>development of an overall results framework to monitor the implementation of the Convention</w:t>
      </w:r>
      <w:r w:rsidR="00D547A9" w:rsidRPr="00F410D6">
        <w:t xml:space="preserve"> (</w:t>
      </w:r>
      <w:r w:rsidR="00B27C85">
        <w:t>3.</w:t>
      </w:r>
      <w:r w:rsidR="008F4F6E">
        <w:t>1</w:t>
      </w:r>
      <w:r w:rsidR="00D547A9" w:rsidRPr="00F410D6">
        <w:t>%) and</w:t>
      </w:r>
      <w:r w:rsidR="006C1111" w:rsidRPr="00F410D6">
        <w:t xml:space="preserve"> communication and </w:t>
      </w:r>
      <w:r w:rsidR="005811A3">
        <w:t>outreach</w:t>
      </w:r>
      <w:r w:rsidR="006C1111" w:rsidRPr="00F410D6">
        <w:t xml:space="preserve"> </w:t>
      </w:r>
      <w:r w:rsidR="00D76F6A">
        <w:t xml:space="preserve">tools </w:t>
      </w:r>
      <w:r w:rsidR="006C1111" w:rsidRPr="00F410D6">
        <w:t>(</w:t>
      </w:r>
      <w:r w:rsidR="00B27C85">
        <w:t>21.2</w:t>
      </w:r>
      <w:r w:rsidR="006C1111" w:rsidRPr="00F410D6">
        <w:t xml:space="preserve">%). </w:t>
      </w:r>
      <w:r w:rsidR="00B27C85">
        <w:t>92.8</w:t>
      </w:r>
      <w:r w:rsidR="006C1111" w:rsidRPr="00F410D6">
        <w:t xml:space="preserve">% of the funds were </w:t>
      </w:r>
      <w:r w:rsidR="008F4F6E">
        <w:t xml:space="preserve">spent and </w:t>
      </w:r>
      <w:r w:rsidR="00B27C85">
        <w:t>obligated as of 31 December 2017</w:t>
      </w:r>
      <w:r w:rsidR="00BA5145">
        <w:t>. The level of execution</w:t>
      </w:r>
      <w:r w:rsidR="009303FA">
        <w:t xml:space="preserve"> </w:t>
      </w:r>
      <w:r w:rsidR="00182574">
        <w:t>represent</w:t>
      </w:r>
      <w:r w:rsidR="00BA5145">
        <w:t>s</w:t>
      </w:r>
      <w:r w:rsidR="00182574">
        <w:t xml:space="preserve"> </w:t>
      </w:r>
      <w:r w:rsidR="00B27C85">
        <w:t>an increase of 2</w:t>
      </w:r>
      <w:r w:rsidR="009303FA">
        <w:t>.</w:t>
      </w:r>
      <w:r w:rsidR="008F4F6E">
        <w:t>6</w:t>
      </w:r>
      <w:r w:rsidR="00B27C85">
        <w:t xml:space="preserve">% </w:t>
      </w:r>
      <w:r w:rsidR="008F4F6E">
        <w:t>compared to</w:t>
      </w:r>
      <w:r w:rsidR="00BA5145">
        <w:t xml:space="preserve"> previous biennium</w:t>
      </w:r>
      <w:r w:rsidR="005A4282">
        <w:t>,</w:t>
      </w:r>
      <w:r w:rsidR="00BA5145">
        <w:t xml:space="preserve"> </w:t>
      </w:r>
      <w:r w:rsidR="005A4282">
        <w:t>t</w:t>
      </w:r>
      <w:r w:rsidR="00D74BE6">
        <w:t xml:space="preserve">hus </w:t>
      </w:r>
      <w:r w:rsidR="00B27C85">
        <w:t xml:space="preserve">maintaining </w:t>
      </w:r>
      <w:r w:rsidR="00814B19">
        <w:t xml:space="preserve">the high </w:t>
      </w:r>
      <w:r w:rsidR="008F4F6E">
        <w:t xml:space="preserve">expenditure </w:t>
      </w:r>
      <w:r w:rsidR="00814B19">
        <w:t>rate</w:t>
      </w:r>
      <w:r w:rsidR="005A4282" w:rsidRPr="005A4282">
        <w:t xml:space="preserve"> </w:t>
      </w:r>
      <w:r w:rsidR="005A4282">
        <w:t>once again</w:t>
      </w:r>
      <w:r w:rsidR="00814B19">
        <w:t>.</w:t>
      </w:r>
      <w:r w:rsidR="00B27C85">
        <w:t xml:space="preserve"> </w:t>
      </w:r>
      <w:r w:rsidR="00814B19">
        <w:t>More</w:t>
      </w:r>
      <w:r w:rsidR="006C1111" w:rsidRPr="00F410D6">
        <w:t xml:space="preserve"> detail</w:t>
      </w:r>
      <w:r w:rsidR="00814B19">
        <w:t>s</w:t>
      </w:r>
      <w:r w:rsidR="006C1111" w:rsidRPr="00F410D6">
        <w:t xml:space="preserve"> on the progress</w:t>
      </w:r>
      <w:r w:rsidR="005A4282">
        <w:t xml:space="preserve"> made</w:t>
      </w:r>
      <w:r w:rsidR="006C1111" w:rsidRPr="00F410D6">
        <w:t xml:space="preserve"> </w:t>
      </w:r>
      <w:r w:rsidR="005A4282">
        <w:t>in the</w:t>
      </w:r>
      <w:r w:rsidR="006C1111" w:rsidRPr="00F410D6">
        <w:t xml:space="preserve"> implementation of these funds</w:t>
      </w:r>
      <w:r w:rsidR="00B27C85">
        <w:t xml:space="preserve"> </w:t>
      </w:r>
      <w:proofErr w:type="gramStart"/>
      <w:r w:rsidR="00B27C85">
        <w:t>can be found</w:t>
      </w:r>
      <w:proofErr w:type="gramEnd"/>
      <w:r w:rsidR="00B27C85">
        <w:t xml:space="preserve"> in document </w:t>
      </w:r>
      <w:hyperlink r:id="rId18" w:history="1">
        <w:r w:rsidR="00B27C85" w:rsidRPr="006E21A0">
          <w:rPr>
            <w:rStyle w:val="Hyperlink"/>
          </w:rPr>
          <w:t>ITH/18/7.GA/7</w:t>
        </w:r>
      </w:hyperlink>
      <w:r w:rsidR="006C1111" w:rsidRPr="006E21A0">
        <w:t xml:space="preserve">, ‘Report </w:t>
      </w:r>
      <w:r w:rsidR="00B27C85" w:rsidRPr="006E21A0">
        <w:t>of the Secretariat</w:t>
      </w:r>
      <w:r w:rsidR="006E21A0" w:rsidRPr="006E21A0">
        <w:t xml:space="preserve"> on its activities</w:t>
      </w:r>
      <w:r w:rsidR="006C1111" w:rsidRPr="006E21A0">
        <w:t>’.</w:t>
      </w:r>
    </w:p>
    <w:p w14:paraId="6E304C05" w14:textId="52DD12FB" w:rsidR="006C1111" w:rsidRPr="009C5C23" w:rsidRDefault="00EE1372" w:rsidP="00EE1372">
      <w:pPr>
        <w:pStyle w:val="ListParagraph"/>
        <w:ind w:left="567" w:hanging="567"/>
        <w:rPr>
          <w:rFonts w:cs="Times New Roman"/>
        </w:rPr>
      </w:pPr>
      <w:r w:rsidRPr="00F410D6">
        <w:t>Following the Internal Oversight Service’s recommendation in its audit of the working methods of the culture conventions (</w:t>
      </w:r>
      <w:hyperlink r:id="rId19" w:history="1">
        <w:r w:rsidRPr="00F410D6">
          <w:rPr>
            <w:rStyle w:val="Hyperlink"/>
          </w:rPr>
          <w:t>IOS/AUD/2013/06</w:t>
        </w:r>
      </w:hyperlink>
      <w:r w:rsidRPr="00F410D6">
        <w:t>), the Committee requested t</w:t>
      </w:r>
      <w:r w:rsidR="005A4282">
        <w:t>hat</w:t>
      </w:r>
      <w:r w:rsidRPr="00F410D6">
        <w:t xml:space="preserve"> the Secretariat</w:t>
      </w:r>
      <w:r w:rsidR="002D4649">
        <w:t xml:space="preserve"> </w:t>
      </w:r>
      <w:r w:rsidRPr="00F410D6">
        <w:t>apply the cost recovery policy consistently when using the resources of the Fund</w:t>
      </w:r>
      <w:r w:rsidR="002D4649">
        <w:t xml:space="preserve"> (</w:t>
      </w:r>
      <w:hyperlink r:id="rId20" w:history="1">
        <w:r w:rsidR="002D4649" w:rsidRPr="00F410D6">
          <w:rPr>
            <w:rStyle w:val="Hyperlink"/>
          </w:rPr>
          <w:t>Decision 8.COM 11</w:t>
        </w:r>
      </w:hyperlink>
      <w:r w:rsidR="002D4649">
        <w:t>)</w:t>
      </w:r>
      <w:r w:rsidRPr="00F410D6">
        <w:t>. Consequently, and as provided in Article 5.2 of the Financial Regulations</w:t>
      </w:r>
      <w:r w:rsidR="005A4282">
        <w:t xml:space="preserve"> of the Fund</w:t>
      </w:r>
      <w:r w:rsidRPr="00F410D6">
        <w:t xml:space="preserve">, budget lines 1 to 3 </w:t>
      </w:r>
      <w:proofErr w:type="gramStart"/>
      <w:r w:rsidRPr="00F410D6">
        <w:t>were charged</w:t>
      </w:r>
      <w:proofErr w:type="gramEnd"/>
      <w:r w:rsidRPr="00F410D6">
        <w:t xml:space="preserve"> with direct expenses related to the</w:t>
      </w:r>
      <w:r w:rsidR="001A378D">
        <w:t>ir</w:t>
      </w:r>
      <w:r w:rsidRPr="00F410D6">
        <w:t xml:space="preserve"> implementation</w:t>
      </w:r>
      <w:r w:rsidRPr="009C5C23">
        <w:t>.</w:t>
      </w:r>
    </w:p>
    <w:p w14:paraId="120A054A" w14:textId="6DA5535B" w:rsidR="00B35FB9" w:rsidRPr="009C5C23" w:rsidRDefault="00B35FB9" w:rsidP="002F32BF">
      <w:pPr>
        <w:pStyle w:val="ListParagraph"/>
        <w:ind w:left="567" w:hanging="567"/>
      </w:pPr>
      <w:r w:rsidRPr="009C5C23">
        <w:rPr>
          <w:b/>
        </w:rPr>
        <w:t>Budget line 4</w:t>
      </w:r>
      <w:r w:rsidR="00A85A10" w:rsidRPr="009C5C23">
        <w:t xml:space="preserve"> </w:t>
      </w:r>
      <w:proofErr w:type="gramStart"/>
      <w:r w:rsidR="009C6D4F" w:rsidRPr="009C5C23">
        <w:t>was</w:t>
      </w:r>
      <w:r w:rsidRPr="009C5C23">
        <w:t xml:space="preserve"> used</w:t>
      </w:r>
      <w:proofErr w:type="gramEnd"/>
      <w:r w:rsidRPr="009C5C23">
        <w:t xml:space="preserve"> to finance the participation of </w:t>
      </w:r>
      <w:r w:rsidR="009C6D4F" w:rsidRPr="009C5C23">
        <w:t>twenty-nine</w:t>
      </w:r>
      <w:r w:rsidR="00D061F2" w:rsidRPr="009C5C23">
        <w:t xml:space="preserve"> </w:t>
      </w:r>
      <w:r w:rsidRPr="009C5C23">
        <w:t>experts representing developing States Members of the Committee, its Bureau and subsidiary bodies in its sessions</w:t>
      </w:r>
      <w:r w:rsidR="00A85A10" w:rsidRPr="009C5C23">
        <w:t>.</w:t>
      </w:r>
      <w:r w:rsidRPr="009C5C23">
        <w:t xml:space="preserve"> </w:t>
      </w:r>
      <w:r w:rsidR="00A85A10" w:rsidRPr="009C5C23">
        <w:t>The</w:t>
      </w:r>
      <w:r w:rsidRPr="009C5C23">
        <w:t xml:space="preserve"> expenditure rate</w:t>
      </w:r>
      <w:r w:rsidR="00A85A10" w:rsidRPr="009C5C23">
        <w:t xml:space="preserve"> for this line is</w:t>
      </w:r>
      <w:r w:rsidRPr="009C5C23">
        <w:t xml:space="preserve"> 58.6%, maintaining </w:t>
      </w:r>
      <w:r w:rsidR="009303FA" w:rsidRPr="009C5C23">
        <w:t>the rate of</w:t>
      </w:r>
      <w:r w:rsidRPr="009C5C23">
        <w:t xml:space="preserve"> recent exercises.</w:t>
      </w:r>
      <w:r w:rsidR="00201081">
        <w:t xml:space="preserve"> </w:t>
      </w:r>
      <w:r w:rsidR="00C7473A" w:rsidRPr="009C5C23">
        <w:t>In turn, t</w:t>
      </w:r>
      <w:r w:rsidRPr="009C5C23">
        <w:t xml:space="preserve">he expenditure rate of </w:t>
      </w:r>
      <w:r w:rsidRPr="009C5C23">
        <w:rPr>
          <w:b/>
        </w:rPr>
        <w:t>budget line 5</w:t>
      </w:r>
      <w:r w:rsidRPr="009C5C23">
        <w:t xml:space="preserve"> reached almost 100%. </w:t>
      </w:r>
      <w:r w:rsidR="008F4F6E">
        <w:t>Expenditure</w:t>
      </w:r>
      <w:r w:rsidR="008F4F6E" w:rsidRPr="009C5C23">
        <w:t xml:space="preserve"> </w:t>
      </w:r>
      <w:r w:rsidRPr="009C5C23">
        <w:t>include</w:t>
      </w:r>
      <w:r w:rsidR="008F4F6E">
        <w:t>s</w:t>
      </w:r>
      <w:r w:rsidRPr="009C5C23">
        <w:t xml:space="preserve"> the participation costs of </w:t>
      </w:r>
      <w:r w:rsidR="009C6D4F" w:rsidRPr="009C5C23">
        <w:t>nine</w:t>
      </w:r>
      <w:r w:rsidR="00D061F2" w:rsidRPr="009C5C23">
        <w:t xml:space="preserve"> </w:t>
      </w:r>
      <w:r w:rsidRPr="009C5C23">
        <w:t xml:space="preserve">eligible experts from developing States Parties non-members of the Committee serving on the Evaluation Body in 2016 and 2017 and the participation costs of </w:t>
      </w:r>
      <w:r w:rsidR="009C6D4F" w:rsidRPr="009C5C23">
        <w:t>forty-nine</w:t>
      </w:r>
      <w:r w:rsidR="00D061F2" w:rsidRPr="009C5C23">
        <w:t xml:space="preserve"> </w:t>
      </w:r>
      <w:r w:rsidRPr="009C5C23">
        <w:t>experts in the eleventh</w:t>
      </w:r>
      <w:r w:rsidR="00CE24A5" w:rsidRPr="009C5C23">
        <w:t xml:space="preserve"> and twelfth</w:t>
      </w:r>
      <w:r w:rsidRPr="009C5C23">
        <w:t xml:space="preserve"> session</w:t>
      </w:r>
      <w:r w:rsidR="00CE24A5" w:rsidRPr="009C5C23">
        <w:t>s</w:t>
      </w:r>
      <w:r w:rsidRPr="009C5C23">
        <w:t xml:space="preserve"> of the Committee. </w:t>
      </w:r>
      <w:r w:rsidRPr="009C5C23">
        <w:rPr>
          <w:b/>
        </w:rPr>
        <w:t>Budget Line 6</w:t>
      </w:r>
      <w:r w:rsidRPr="009C5C23">
        <w:t xml:space="preserve"> shows an expenditure rate of 65.7%, which reflects the participation costs of the six accredited non-governmental organizations (NGOs) serving on the Evaluation Body in 2016 and 2017 and the participation of twenty-three NGOs in the eleventh</w:t>
      </w:r>
      <w:r w:rsidR="00CE24A5" w:rsidRPr="009C5C23">
        <w:t xml:space="preserve"> and twelfth</w:t>
      </w:r>
      <w:r w:rsidRPr="009C5C23">
        <w:t xml:space="preserve"> session</w:t>
      </w:r>
      <w:r w:rsidR="00CE24A5" w:rsidRPr="009C5C23">
        <w:t>s</w:t>
      </w:r>
      <w:r w:rsidRPr="009C5C23">
        <w:t xml:space="preserve"> of the Committee</w:t>
      </w:r>
      <w:r w:rsidR="00201081">
        <w:t>,</w:t>
      </w:r>
      <w:r w:rsidR="00814B19" w:rsidRPr="009C5C23">
        <w:t xml:space="preserve"> respectively</w:t>
      </w:r>
      <w:r w:rsidR="00CE24A5" w:rsidRPr="009C5C23">
        <w:t>.</w:t>
      </w:r>
    </w:p>
    <w:p w14:paraId="2579ADCB" w14:textId="7A7BBA39" w:rsidR="00814B19" w:rsidRPr="00943E22" w:rsidRDefault="009303FA" w:rsidP="00B35FB9">
      <w:pPr>
        <w:pStyle w:val="ListParagraph"/>
        <w:ind w:left="567" w:hanging="567"/>
      </w:pPr>
      <w:r>
        <w:t>Noting</w:t>
      </w:r>
      <w:r w:rsidR="00814B19" w:rsidRPr="00943E22">
        <w:t xml:space="preserve"> the unequal use of the </w:t>
      </w:r>
      <w:r w:rsidR="00943E22" w:rsidRPr="00943E22">
        <w:t>resources</w:t>
      </w:r>
      <w:r w:rsidR="00814B19" w:rsidRPr="00943E22">
        <w:t xml:space="preserve"> in budget l</w:t>
      </w:r>
      <w:r w:rsidR="00943E22" w:rsidRPr="00943E22">
        <w:t xml:space="preserve">ines 4, 5 and 6, </w:t>
      </w:r>
      <w:r w:rsidR="005A4282" w:rsidRPr="00943E22">
        <w:t xml:space="preserve">at its twelfth session </w:t>
      </w:r>
      <w:r w:rsidR="00943E22" w:rsidRPr="00943E22">
        <w:t>t</w:t>
      </w:r>
      <w:r w:rsidR="00814B19" w:rsidRPr="00943E22">
        <w:t xml:space="preserve">he Committee </w:t>
      </w:r>
      <w:r>
        <w:t>proposed t</w:t>
      </w:r>
      <w:r w:rsidR="005A4282">
        <w:t xml:space="preserve">hat </w:t>
      </w:r>
      <w:r>
        <w:t xml:space="preserve">the General Assembly </w:t>
      </w:r>
      <w:r w:rsidR="00814B19" w:rsidRPr="00943E22">
        <w:t xml:space="preserve">authorize the </w:t>
      </w:r>
      <w:r w:rsidR="00943E22">
        <w:t>Secretariat to make transfers between those lines in the future up to an equivalent of 30%</w:t>
      </w:r>
      <w:r w:rsidR="000360C7">
        <w:t xml:space="preserve"> of their total allocation</w:t>
      </w:r>
      <w:r w:rsidR="00943E22">
        <w:t xml:space="preserve">. </w:t>
      </w:r>
      <w:r w:rsidR="005A4282">
        <w:t>This</w:t>
      </w:r>
      <w:r w:rsidR="00943E22">
        <w:t xml:space="preserve"> decision </w:t>
      </w:r>
      <w:proofErr w:type="gramStart"/>
      <w:r w:rsidR="00943E22">
        <w:t>is expected</w:t>
      </w:r>
      <w:proofErr w:type="gramEnd"/>
      <w:r w:rsidR="00943E22">
        <w:t xml:space="preserve"> to improve the use of the resources and the </w:t>
      </w:r>
      <w:r w:rsidR="008F4F6E">
        <w:t xml:space="preserve">expenditure </w:t>
      </w:r>
      <w:r w:rsidR="00943E22">
        <w:t xml:space="preserve">rate </w:t>
      </w:r>
      <w:r>
        <w:t>of</w:t>
      </w:r>
      <w:r w:rsidR="00943E22">
        <w:t xml:space="preserve"> th</w:t>
      </w:r>
      <w:r>
        <w:t>ese three</w:t>
      </w:r>
      <w:r w:rsidR="00943E22">
        <w:t xml:space="preserve"> lines </w:t>
      </w:r>
      <w:r>
        <w:t xml:space="preserve">by </w:t>
      </w:r>
      <w:r w:rsidR="00943E22">
        <w:t xml:space="preserve">allowing </w:t>
      </w:r>
      <w:r w:rsidR="000360C7">
        <w:t xml:space="preserve">the Secretariat </w:t>
      </w:r>
      <w:r w:rsidR="005A4282">
        <w:t xml:space="preserve">a </w:t>
      </w:r>
      <w:r w:rsidR="00C56C5D">
        <w:t xml:space="preserve">certain flexibility </w:t>
      </w:r>
      <w:r w:rsidR="005A4282">
        <w:t>in</w:t>
      </w:r>
      <w:r w:rsidR="000360C7">
        <w:t xml:space="preserve"> </w:t>
      </w:r>
      <w:r w:rsidR="00C56C5D">
        <w:t>respond</w:t>
      </w:r>
      <w:r w:rsidR="005A4282">
        <w:t>ing</w:t>
      </w:r>
      <w:r w:rsidR="00C56C5D">
        <w:t xml:space="preserve"> </w:t>
      </w:r>
      <w:r w:rsidR="000360C7">
        <w:t xml:space="preserve">to the </w:t>
      </w:r>
      <w:r w:rsidR="00C56C5D">
        <w:t xml:space="preserve">specific </w:t>
      </w:r>
      <w:r w:rsidR="00AB1552">
        <w:t xml:space="preserve">requirements </w:t>
      </w:r>
      <w:r w:rsidR="000360C7" w:rsidRPr="000360C7">
        <w:t>of each biennium.</w:t>
      </w:r>
    </w:p>
    <w:p w14:paraId="480D0A48" w14:textId="77A419C2" w:rsidR="00E16F28" w:rsidRPr="00F410D6" w:rsidRDefault="00E16F28" w:rsidP="00D02A61">
      <w:pPr>
        <w:pStyle w:val="ListParagraph"/>
        <w:ind w:left="567" w:hanging="567"/>
      </w:pPr>
      <w:r w:rsidRPr="00F410D6">
        <w:t xml:space="preserve">Lastly, </w:t>
      </w:r>
      <w:r w:rsidRPr="00C60906">
        <w:rPr>
          <w:b/>
        </w:rPr>
        <w:t>budget line 7</w:t>
      </w:r>
      <w:r w:rsidR="00C60906">
        <w:t xml:space="preserve"> </w:t>
      </w:r>
      <w:r w:rsidR="00C60906" w:rsidRPr="00EF4582">
        <w:t xml:space="preserve">shows an </w:t>
      </w:r>
      <w:r w:rsidR="00C60906">
        <w:t xml:space="preserve">expenditure </w:t>
      </w:r>
      <w:r w:rsidR="00C60906" w:rsidRPr="00EF4582">
        <w:t xml:space="preserve">rate of </w:t>
      </w:r>
      <w:r w:rsidR="00C60906" w:rsidRPr="000B21E2">
        <w:t>51.4</w:t>
      </w:r>
      <w:r w:rsidR="00C60906">
        <w:t>%,</w:t>
      </w:r>
      <w:r w:rsidR="00C60906" w:rsidRPr="00EF4582">
        <w:t xml:space="preserve"> corresponding to the fees of </w:t>
      </w:r>
      <w:r w:rsidR="00C60906" w:rsidRPr="000B21E2">
        <w:t>the eligible members</w:t>
      </w:r>
      <w:r w:rsidR="00C60906" w:rsidRPr="00EF4582">
        <w:t xml:space="preserve"> of the </w:t>
      </w:r>
      <w:r w:rsidR="00C60906" w:rsidRPr="000B21E2">
        <w:t>Evaluation</w:t>
      </w:r>
      <w:r w:rsidR="00C60906" w:rsidRPr="00EF4582">
        <w:t xml:space="preserve"> Body</w:t>
      </w:r>
      <w:r w:rsidR="00C60906" w:rsidRPr="000B21E2">
        <w:t xml:space="preserve"> (</w:t>
      </w:r>
      <w:r w:rsidR="00C60906">
        <w:t xml:space="preserve">ten </w:t>
      </w:r>
      <w:r w:rsidR="00C60906" w:rsidRPr="000B21E2">
        <w:t xml:space="preserve">in 2016 and </w:t>
      </w:r>
      <w:r w:rsidR="00C60906">
        <w:t>eleven</w:t>
      </w:r>
      <w:r w:rsidR="00C60906" w:rsidRPr="000B21E2">
        <w:t xml:space="preserve"> in 2017) and the</w:t>
      </w:r>
      <w:r w:rsidR="00C60906" w:rsidRPr="00EF4582">
        <w:t xml:space="preserve"> fees </w:t>
      </w:r>
      <w:r w:rsidR="00C60906">
        <w:t>paid</w:t>
      </w:r>
      <w:r w:rsidR="00C60906" w:rsidRPr="00EF4582">
        <w:t xml:space="preserve"> </w:t>
      </w:r>
      <w:r w:rsidR="00C60906">
        <w:t>to</w:t>
      </w:r>
      <w:r w:rsidR="00C60906" w:rsidRPr="00EF4582">
        <w:t xml:space="preserve"> the Chairperson and the Rapporteur of the Body</w:t>
      </w:r>
      <w:r w:rsidR="00C60906" w:rsidRPr="000B21E2">
        <w:t xml:space="preserve"> for the additional tasks they perform</w:t>
      </w:r>
      <w:r w:rsidR="00C60906">
        <w:t>. This rate remains relatively low due to the need to establish the contract</w:t>
      </w:r>
      <w:r w:rsidR="005A4282">
        <w:t>s</w:t>
      </w:r>
      <w:r w:rsidR="00C60906">
        <w:t xml:space="preserve"> of the members of the Evaluation Body at the beginning of the evaluation cycle, when only one fourth of the total budget is</w:t>
      </w:r>
      <w:r w:rsidR="00943E22">
        <w:t xml:space="preserve"> </w:t>
      </w:r>
      <w:r w:rsidR="00C60906">
        <w:t>available. Therefore, it is necessary to overestimate the total percentage allocated, to have enough funds until the final approval of the General Assembly (</w:t>
      </w:r>
      <w:r w:rsidR="008F4F6E">
        <w:t>during the month of</w:t>
      </w:r>
      <w:r w:rsidR="00C60906">
        <w:t xml:space="preserve"> June of the</w:t>
      </w:r>
      <w:r w:rsidR="008F4F6E">
        <w:t xml:space="preserve"> first year of the</w:t>
      </w:r>
      <w:r w:rsidR="00C60906">
        <w:t xml:space="preserve"> biennium).</w:t>
      </w:r>
    </w:p>
    <w:p w14:paraId="37503536" w14:textId="77777777" w:rsidR="001F044D" w:rsidRPr="00F410D6" w:rsidRDefault="001F044D" w:rsidP="00B6186A">
      <w:pPr>
        <w:pStyle w:val="Default"/>
        <w:keepNext/>
        <w:spacing w:before="240" w:after="240"/>
        <w:rPr>
          <w:b/>
          <w:bCs/>
          <w:color w:val="auto"/>
          <w:sz w:val="22"/>
          <w:szCs w:val="22"/>
          <w:lang w:val="en-GB"/>
        </w:rPr>
      </w:pPr>
      <w:r w:rsidRPr="00F410D6">
        <w:rPr>
          <w:b/>
          <w:bCs/>
          <w:color w:val="auto"/>
          <w:sz w:val="22"/>
          <w:szCs w:val="22"/>
          <w:lang w:val="en-GB"/>
        </w:rPr>
        <w:t>Additional reports</w:t>
      </w:r>
    </w:p>
    <w:p w14:paraId="1B163648" w14:textId="7E945EF3" w:rsidR="001F044D" w:rsidRDefault="00775E55" w:rsidP="00DD001E">
      <w:pPr>
        <w:pStyle w:val="ListParagraph"/>
        <w:keepLines/>
        <w:ind w:left="567" w:hanging="567"/>
      </w:pPr>
      <w:r>
        <w:t>According to</w:t>
      </w:r>
      <w:r w:rsidRPr="00F410D6">
        <w:t xml:space="preserve"> Article 25.5 of the Conventi</w:t>
      </w:r>
      <w:r>
        <w:t xml:space="preserve">on, </w:t>
      </w:r>
      <w:r w:rsidR="00E16F28" w:rsidRPr="009C5C23">
        <w:t>Annex</w:t>
      </w:r>
      <w:r w:rsidR="00C53A06" w:rsidRPr="009C5C23">
        <w:t>es</w:t>
      </w:r>
      <w:r w:rsidR="00E16F28" w:rsidRPr="009C5C23">
        <w:t> </w:t>
      </w:r>
      <w:r w:rsidR="00C53A06" w:rsidRPr="009C5C23">
        <w:t>II</w:t>
      </w:r>
      <w:r w:rsidR="009F261A">
        <w:t> </w:t>
      </w:r>
      <w:r w:rsidR="00C53A06" w:rsidRPr="009C5C23">
        <w:t>(a</w:t>
      </w:r>
      <w:r w:rsidR="00105111" w:rsidRPr="009C5C23">
        <w:t>)</w:t>
      </w:r>
      <w:r w:rsidR="00C53A06" w:rsidRPr="009C5C23">
        <w:t xml:space="preserve"> and II</w:t>
      </w:r>
      <w:r w:rsidR="009F261A">
        <w:t> </w:t>
      </w:r>
      <w:r w:rsidR="00C53A06" w:rsidRPr="009C5C23">
        <w:t>(b)</w:t>
      </w:r>
      <w:r w:rsidR="00E16F28" w:rsidRPr="009C5C23">
        <w:t xml:space="preserve"> </w:t>
      </w:r>
      <w:r w:rsidRPr="009C5C23">
        <w:t>to</w:t>
      </w:r>
      <w:r>
        <w:t xml:space="preserve"> this document</w:t>
      </w:r>
      <w:r w:rsidR="0063188F" w:rsidRPr="00F410D6">
        <w:t xml:space="preserve"> </w:t>
      </w:r>
      <w:r>
        <w:t xml:space="preserve">present </w:t>
      </w:r>
      <w:r w:rsidR="00E16F28" w:rsidRPr="00F410D6">
        <w:t xml:space="preserve">the list of voluntary supplementary contributions </w:t>
      </w:r>
      <w:r w:rsidR="00745B5E">
        <w:t xml:space="preserve">received </w:t>
      </w:r>
      <w:r w:rsidR="00E16F28" w:rsidRPr="00F410D6">
        <w:t xml:space="preserve">for specific purposes, </w:t>
      </w:r>
      <w:r w:rsidR="00B60DFE">
        <w:t>for the period 1 January 2016 to 31 December 2017</w:t>
      </w:r>
      <w:r w:rsidR="00CC619E">
        <w:t xml:space="preserve">, as well as </w:t>
      </w:r>
      <w:r w:rsidR="002E3B93">
        <w:t xml:space="preserve">other forms of support </w:t>
      </w:r>
      <w:r w:rsidR="00943E22">
        <w:t xml:space="preserve">provided </w:t>
      </w:r>
      <w:r w:rsidR="002E3B93">
        <w:t>by State Parties and other entities during the same reporting period</w:t>
      </w:r>
      <w:r w:rsidR="00E16F28" w:rsidRPr="00F410D6">
        <w:t xml:space="preserve">. </w:t>
      </w:r>
      <w:r w:rsidR="00745B5E">
        <w:t>In conformity with</w:t>
      </w:r>
      <w:r w:rsidR="002E3B93" w:rsidRPr="00E73EEB">
        <w:t xml:space="preserve"> paragraph 77 of the Operational Directives</w:t>
      </w:r>
      <w:r w:rsidR="002E3B93">
        <w:t xml:space="preserve">, </w:t>
      </w:r>
      <w:hyperlink r:id="rId21" w:history="1">
        <w:r w:rsidR="002E3B93" w:rsidRPr="006E21A0">
          <w:rPr>
            <w:rStyle w:val="Hyperlink"/>
          </w:rPr>
          <w:t>an updated list of donors</w:t>
        </w:r>
      </w:hyperlink>
      <w:r w:rsidR="002E3B93">
        <w:t xml:space="preserve"> </w:t>
      </w:r>
      <w:proofErr w:type="gramStart"/>
      <w:r w:rsidR="005A4282">
        <w:t>can be</w:t>
      </w:r>
      <w:r w:rsidR="002E3B93">
        <w:t xml:space="preserve"> found</w:t>
      </w:r>
      <w:proofErr w:type="gramEnd"/>
      <w:r w:rsidR="002E3B93">
        <w:t xml:space="preserve"> </w:t>
      </w:r>
      <w:r w:rsidR="002E3B93" w:rsidRPr="00E73EEB">
        <w:t>on the website of the Intangible Cultural Heritage Convention</w:t>
      </w:r>
      <w:r w:rsidR="006E21A0">
        <w:t>.</w:t>
      </w:r>
    </w:p>
    <w:p w14:paraId="63D4A429" w14:textId="3FABCA50" w:rsidR="00DF36BC" w:rsidRPr="006E21A0" w:rsidRDefault="00023505" w:rsidP="00C47D45">
      <w:pPr>
        <w:pStyle w:val="ListParagraph"/>
        <w:keepLines/>
        <w:ind w:left="567" w:hanging="567"/>
      </w:pPr>
      <w:r w:rsidRPr="006E21A0">
        <w:lastRenderedPageBreak/>
        <w:t>Annex </w:t>
      </w:r>
      <w:r w:rsidR="00105111" w:rsidRPr="006E21A0">
        <w:t>II</w:t>
      </w:r>
      <w:r w:rsidR="009F261A" w:rsidRPr="006E21A0">
        <w:t> </w:t>
      </w:r>
      <w:r w:rsidR="00105111" w:rsidRPr="006E21A0">
        <w:t>(c)</w:t>
      </w:r>
      <w:r w:rsidRPr="006E21A0">
        <w:t xml:space="preserve"> </w:t>
      </w:r>
      <w:r w:rsidR="00745B5E" w:rsidRPr="006E21A0">
        <w:t xml:space="preserve">presents </w:t>
      </w:r>
      <w:r w:rsidRPr="006E21A0">
        <w:t>the total expenditure incurred for each project</w:t>
      </w:r>
      <w:r w:rsidR="00745B5E" w:rsidRPr="006E21A0">
        <w:t xml:space="preserve"> financed through earmarked contributions</w:t>
      </w:r>
      <w:r w:rsidRPr="006E21A0">
        <w:t xml:space="preserve"> </w:t>
      </w:r>
      <w:r w:rsidR="005A4282" w:rsidRPr="006E21A0">
        <w:t>from</w:t>
      </w:r>
      <w:r w:rsidRPr="006E21A0">
        <w:t xml:space="preserve"> its beginning until 31 December 2017. Finally, Annex </w:t>
      </w:r>
      <w:r w:rsidR="00105111" w:rsidRPr="006E21A0">
        <w:t>II</w:t>
      </w:r>
      <w:r w:rsidR="009F261A" w:rsidRPr="006E21A0">
        <w:t> </w:t>
      </w:r>
      <w:r w:rsidR="00105111" w:rsidRPr="006E21A0">
        <w:t>(d)</w:t>
      </w:r>
      <w:r w:rsidRPr="006E21A0">
        <w:t xml:space="preserve"> shows the forecasts as of 31 December 2017, based on the Secretariat’s estimation, for the future use of the funds allocated to ongoing projects based on funds not committed at that date and budgets approved by the Committee. In cases where the donor has already confirmed that the outstanding contribution will not be paid (marked with an asterisk), forecasts are based on the actual funding received to date.</w:t>
      </w:r>
    </w:p>
    <w:p w14:paraId="6FAA9A39" w14:textId="77777777" w:rsidR="00C47D45" w:rsidRDefault="00B74EEE" w:rsidP="00C47D45">
      <w:pPr>
        <w:pStyle w:val="ListParagraph"/>
        <w:numPr>
          <w:ilvl w:val="0"/>
          <w:numId w:val="0"/>
        </w:numPr>
      </w:pPr>
      <w:r w:rsidRPr="002E3B93">
        <w:br w:type="page"/>
      </w:r>
    </w:p>
    <w:p w14:paraId="7EEB7B08" w14:textId="77777777" w:rsidR="00C47D45" w:rsidRPr="00C47D45" w:rsidRDefault="00C47D45" w:rsidP="00C47D45">
      <w:pPr>
        <w:pStyle w:val="ListParagraph"/>
        <w:numPr>
          <w:ilvl w:val="0"/>
          <w:numId w:val="0"/>
        </w:numPr>
        <w:jc w:val="center"/>
        <w:rPr>
          <w:b/>
          <w:u w:val="single"/>
        </w:rPr>
      </w:pPr>
      <w:r w:rsidRPr="00C47D45">
        <w:rPr>
          <w:b/>
          <w:u w:val="single"/>
        </w:rPr>
        <w:lastRenderedPageBreak/>
        <w:t>ANNEX I</w:t>
      </w:r>
    </w:p>
    <w:p w14:paraId="2ADBEBB3" w14:textId="77777777" w:rsidR="00AF1C32" w:rsidRPr="000B56F5" w:rsidRDefault="00DA53F5" w:rsidP="002023E2">
      <w:pPr>
        <w:pStyle w:val="ListParagraph"/>
        <w:numPr>
          <w:ilvl w:val="0"/>
          <w:numId w:val="0"/>
        </w:numPr>
        <w:jc w:val="right"/>
        <w:rPr>
          <w:bCs/>
        </w:rPr>
      </w:pPr>
      <w:r w:rsidRPr="000B56F5">
        <w:rPr>
          <w:bCs/>
        </w:rPr>
        <w:t>Statement I</w:t>
      </w:r>
    </w:p>
    <w:p w14:paraId="6C94F654" w14:textId="77777777" w:rsidR="007A519A" w:rsidRDefault="000931F0" w:rsidP="005A4282">
      <w:pPr>
        <w:pStyle w:val="ListParagraph"/>
        <w:numPr>
          <w:ilvl w:val="0"/>
          <w:numId w:val="0"/>
        </w:numPr>
        <w:tabs>
          <w:tab w:val="left" w:pos="6237"/>
        </w:tabs>
        <w:jc w:val="right"/>
      </w:pPr>
      <w:r>
        <w:rPr>
          <w:noProof/>
          <w:snapToGrid/>
          <w:lang w:val="en-US" w:eastAsia="ko-KR"/>
        </w:rPr>
        <w:drawing>
          <wp:inline distT="0" distB="0" distL="0" distR="0" wp14:anchorId="367D8316" wp14:editId="6902BCCA">
            <wp:extent cx="6120130" cy="5258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ment 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5258435"/>
                    </a:xfrm>
                    <a:prstGeom prst="rect">
                      <a:avLst/>
                    </a:prstGeom>
                  </pic:spPr>
                </pic:pic>
              </a:graphicData>
            </a:graphic>
          </wp:inline>
        </w:drawing>
      </w:r>
      <w:r w:rsidR="00082B3E" w:rsidRPr="00F410D6">
        <w:t xml:space="preserve"> </w:t>
      </w:r>
      <w:r w:rsidR="00DA53F5" w:rsidRPr="00F410D6">
        <w:br w:type="page"/>
      </w:r>
    </w:p>
    <w:p w14:paraId="3043C4E5" w14:textId="4D50656E" w:rsidR="007A519A" w:rsidRDefault="007A519A" w:rsidP="005A4282">
      <w:pPr>
        <w:pStyle w:val="ListParagraph"/>
        <w:numPr>
          <w:ilvl w:val="0"/>
          <w:numId w:val="0"/>
        </w:numPr>
        <w:tabs>
          <w:tab w:val="left" w:pos="6237"/>
        </w:tabs>
        <w:jc w:val="right"/>
      </w:pPr>
      <w:r>
        <w:lastRenderedPageBreak/>
        <w:t>Schedule 1.1</w:t>
      </w:r>
    </w:p>
    <w:p w14:paraId="51EE0D5D" w14:textId="6CD7DCF0" w:rsidR="00DA53F5" w:rsidRPr="000B56F5" w:rsidRDefault="000931F0" w:rsidP="005A4282">
      <w:pPr>
        <w:pStyle w:val="ListParagraph"/>
        <w:numPr>
          <w:ilvl w:val="0"/>
          <w:numId w:val="0"/>
        </w:numPr>
        <w:tabs>
          <w:tab w:val="left" w:pos="6237"/>
        </w:tabs>
        <w:jc w:val="right"/>
        <w:rPr>
          <w:bCs/>
        </w:rPr>
      </w:pPr>
      <w:r>
        <w:rPr>
          <w:noProof/>
          <w:snapToGrid/>
          <w:lang w:val="en-US" w:eastAsia="ko-KR"/>
        </w:rPr>
        <w:drawing>
          <wp:inline distT="0" distB="0" distL="0" distR="0" wp14:anchorId="4A790068" wp14:editId="587F00C0">
            <wp:extent cx="6120130" cy="6734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dule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6734175"/>
                    </a:xfrm>
                    <a:prstGeom prst="rect">
                      <a:avLst/>
                    </a:prstGeom>
                  </pic:spPr>
                </pic:pic>
              </a:graphicData>
            </a:graphic>
          </wp:inline>
        </w:drawing>
      </w:r>
      <w:r w:rsidR="00616429" w:rsidRPr="00F410D6">
        <w:t xml:space="preserve"> </w:t>
      </w:r>
      <w:r w:rsidR="005E715E" w:rsidRPr="00F410D6">
        <w:t xml:space="preserve"> </w:t>
      </w:r>
      <w:r w:rsidR="00DA53F5" w:rsidRPr="00F410D6">
        <w:br w:type="page"/>
      </w:r>
      <w:r w:rsidR="00DA53F5" w:rsidRPr="000B56F5">
        <w:rPr>
          <w:bCs/>
        </w:rPr>
        <w:lastRenderedPageBreak/>
        <w:t>Statement II</w:t>
      </w:r>
    </w:p>
    <w:p w14:paraId="348392BC" w14:textId="3147F55B" w:rsidR="005E715E" w:rsidRPr="000B56F5" w:rsidRDefault="000931F0" w:rsidP="00F31AD1">
      <w:pPr>
        <w:pStyle w:val="ListParagraph"/>
        <w:numPr>
          <w:ilvl w:val="0"/>
          <w:numId w:val="0"/>
        </w:numPr>
        <w:jc w:val="right"/>
        <w:rPr>
          <w:bCs/>
        </w:rPr>
      </w:pPr>
      <w:r>
        <w:rPr>
          <w:noProof/>
          <w:snapToGrid/>
          <w:lang w:val="en-US" w:eastAsia="ko-KR"/>
        </w:rPr>
        <w:drawing>
          <wp:inline distT="0" distB="0" distL="0" distR="0" wp14:anchorId="5AD1E422" wp14:editId="36B45D66">
            <wp:extent cx="6120130" cy="5685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ment I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5685790"/>
                    </a:xfrm>
                    <a:prstGeom prst="rect">
                      <a:avLst/>
                    </a:prstGeom>
                  </pic:spPr>
                </pic:pic>
              </a:graphicData>
            </a:graphic>
          </wp:inline>
        </w:drawing>
      </w:r>
      <w:r w:rsidR="00F31AD1" w:rsidRPr="00F410D6" w:rsidDel="00F31AD1">
        <w:t xml:space="preserve"> </w:t>
      </w:r>
      <w:r w:rsidR="00DA53F5" w:rsidRPr="00F410D6">
        <w:br w:type="page"/>
      </w:r>
      <w:r w:rsidR="00DA53F5" w:rsidRPr="000B56F5">
        <w:rPr>
          <w:bCs/>
        </w:rPr>
        <w:lastRenderedPageBreak/>
        <w:t>Statement III</w:t>
      </w:r>
    </w:p>
    <w:p w14:paraId="36A109FE" w14:textId="288A0981" w:rsidR="00DD001E" w:rsidRPr="00F410D6" w:rsidRDefault="000931F0" w:rsidP="001C0176">
      <w:pPr>
        <w:pStyle w:val="ListParagraph"/>
        <w:numPr>
          <w:ilvl w:val="0"/>
          <w:numId w:val="0"/>
        </w:numPr>
        <w:jc w:val="center"/>
      </w:pPr>
      <w:r>
        <w:rPr>
          <w:noProof/>
          <w:snapToGrid/>
          <w:lang w:val="en-US" w:eastAsia="ko-KR"/>
        </w:rPr>
        <w:drawing>
          <wp:inline distT="0" distB="0" distL="0" distR="0" wp14:anchorId="61F426EA" wp14:editId="143AE92C">
            <wp:extent cx="6120130" cy="613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ment II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6138545"/>
                    </a:xfrm>
                    <a:prstGeom prst="rect">
                      <a:avLst/>
                    </a:prstGeom>
                  </pic:spPr>
                </pic:pic>
              </a:graphicData>
            </a:graphic>
          </wp:inline>
        </w:drawing>
      </w:r>
    </w:p>
    <w:p w14:paraId="5B092AFD" w14:textId="77777777" w:rsidR="00C47D45" w:rsidRPr="000B56F5" w:rsidRDefault="00DD001E" w:rsidP="000931F0">
      <w:pPr>
        <w:pStyle w:val="ListParagraph"/>
        <w:numPr>
          <w:ilvl w:val="0"/>
          <w:numId w:val="0"/>
        </w:numPr>
        <w:spacing w:after="240"/>
        <w:jc w:val="center"/>
        <w:rPr>
          <w:b/>
          <w:u w:val="single"/>
        </w:rPr>
      </w:pPr>
      <w:r w:rsidRPr="000B56F5">
        <w:rPr>
          <w:sz w:val="24"/>
          <w:szCs w:val="24"/>
        </w:rPr>
        <w:br w:type="page"/>
      </w:r>
      <w:r w:rsidRPr="000B56F5">
        <w:rPr>
          <w:b/>
          <w:u w:val="single"/>
        </w:rPr>
        <w:lastRenderedPageBreak/>
        <w:t>A</w:t>
      </w:r>
      <w:r w:rsidR="00C47D45" w:rsidRPr="000B56F5">
        <w:rPr>
          <w:b/>
          <w:u w:val="single"/>
        </w:rPr>
        <w:t>NNEX</w:t>
      </w:r>
      <w:r w:rsidRPr="000B56F5">
        <w:rPr>
          <w:b/>
          <w:u w:val="single"/>
        </w:rPr>
        <w:t> </w:t>
      </w:r>
      <w:r w:rsidR="00C47D45" w:rsidRPr="000B56F5">
        <w:rPr>
          <w:b/>
          <w:u w:val="single"/>
        </w:rPr>
        <w:t>II (a)</w:t>
      </w:r>
    </w:p>
    <w:p w14:paraId="09C32453" w14:textId="0EABDE37" w:rsidR="00C47D45" w:rsidRDefault="000931F0">
      <w:pPr>
        <w:spacing w:after="0"/>
        <w:rPr>
          <w:rFonts w:ascii="Arial" w:hAnsi="Arial" w:cs="Arial"/>
          <w:b/>
          <w:snapToGrid w:val="0"/>
          <w:sz w:val="20"/>
          <w:szCs w:val="20"/>
          <w:lang w:eastAsia="en-US"/>
        </w:rPr>
      </w:pPr>
      <w:r>
        <w:rPr>
          <w:b/>
          <w:noProof/>
          <w:sz w:val="20"/>
          <w:szCs w:val="20"/>
          <w:lang w:val="en-US" w:eastAsia="ko-KR"/>
        </w:rPr>
        <w:drawing>
          <wp:inline distT="0" distB="0" distL="0" distR="0" wp14:anchorId="6C9597C2" wp14:editId="648A7492">
            <wp:extent cx="6056388" cy="5693676"/>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6388" cy="5693676"/>
                    </a:xfrm>
                    <a:prstGeom prst="rect">
                      <a:avLst/>
                    </a:prstGeom>
                  </pic:spPr>
                </pic:pic>
              </a:graphicData>
            </a:graphic>
          </wp:inline>
        </w:drawing>
      </w:r>
      <w:r w:rsidR="00C47D45">
        <w:rPr>
          <w:b/>
          <w:sz w:val="20"/>
          <w:szCs w:val="20"/>
        </w:rPr>
        <w:br w:type="page"/>
      </w:r>
    </w:p>
    <w:p w14:paraId="1E5533A9" w14:textId="47831C88" w:rsidR="00DD001E" w:rsidRPr="000B56F5" w:rsidRDefault="00C47D45" w:rsidP="00C47D45">
      <w:pPr>
        <w:pStyle w:val="ListParagraph"/>
        <w:numPr>
          <w:ilvl w:val="0"/>
          <w:numId w:val="0"/>
        </w:numPr>
        <w:jc w:val="center"/>
        <w:rPr>
          <w:b/>
          <w:u w:val="single"/>
        </w:rPr>
      </w:pPr>
      <w:r w:rsidRPr="000B56F5">
        <w:rPr>
          <w:b/>
          <w:u w:val="single"/>
        </w:rPr>
        <w:lastRenderedPageBreak/>
        <w:t>ANNEX II (b)</w:t>
      </w:r>
      <w:r w:rsidR="00A50493">
        <w:rPr>
          <w:rStyle w:val="FootnoteReference"/>
          <w:b/>
          <w:u w:val="single"/>
        </w:rPr>
        <w:footnoteReference w:id="3"/>
      </w:r>
    </w:p>
    <w:p w14:paraId="625A2B14" w14:textId="57CE4766" w:rsidR="00ED25A5" w:rsidRPr="00E73EEB" w:rsidRDefault="00C53A06" w:rsidP="00C53A06">
      <w:pPr>
        <w:pStyle w:val="COMParaDecision"/>
        <w:keepNext/>
        <w:spacing w:before="240"/>
        <w:jc w:val="center"/>
      </w:pPr>
      <w:r>
        <w:rPr>
          <w:b/>
          <w:u w:val="none"/>
        </w:rPr>
        <w:t xml:space="preserve">Other </w:t>
      </w:r>
      <w:r w:rsidR="00C56C5D">
        <w:rPr>
          <w:b/>
          <w:u w:val="none"/>
        </w:rPr>
        <w:t>k</w:t>
      </w:r>
      <w:r>
        <w:rPr>
          <w:b/>
          <w:u w:val="none"/>
        </w:rPr>
        <w:t>inds of v</w:t>
      </w:r>
      <w:r w:rsidR="00ED25A5" w:rsidRPr="00E73EEB">
        <w:rPr>
          <w:b/>
          <w:u w:val="none"/>
        </w:rPr>
        <w:t>oluntary contributions in support of the 2003 Convention for the Safeguarding</w:t>
      </w:r>
      <w:r>
        <w:rPr>
          <w:b/>
          <w:u w:val="none"/>
        </w:rPr>
        <w:t xml:space="preserve"> </w:t>
      </w:r>
      <w:r w:rsidR="00ED25A5" w:rsidRPr="00E73EEB">
        <w:rPr>
          <w:b/>
          <w:u w:val="none"/>
        </w:rPr>
        <w:t>of the Intangible Cultural Heritage</w:t>
      </w:r>
      <w:r w:rsidR="00ED25A5">
        <w:rPr>
          <w:b/>
          <w:u w:val="none"/>
        </w:rPr>
        <w:t xml:space="preserve"> </w:t>
      </w:r>
      <w:r w:rsidR="00ED25A5" w:rsidRPr="00E73EEB">
        <w:rPr>
          <w:b/>
          <w:u w:val="none"/>
        </w:rPr>
        <w:t xml:space="preserve">for the period </w:t>
      </w:r>
      <w:r w:rsidR="00ED25A5">
        <w:rPr>
          <w:b/>
          <w:u w:val="none"/>
        </w:rPr>
        <w:t>1 January 2016</w:t>
      </w:r>
      <w:r w:rsidR="00ED25A5" w:rsidRPr="00E73EEB">
        <w:rPr>
          <w:b/>
          <w:u w:val="none"/>
        </w:rPr>
        <w:t xml:space="preserve"> to </w:t>
      </w:r>
      <w:r w:rsidR="00ED25A5">
        <w:rPr>
          <w:b/>
          <w:u w:val="none"/>
        </w:rPr>
        <w:t>31 December 2017</w:t>
      </w:r>
    </w:p>
    <w:p w14:paraId="41DE8BF9" w14:textId="77777777" w:rsidR="00ED25A5" w:rsidRPr="00E73EEB" w:rsidRDefault="00ED25A5" w:rsidP="00ED25A5">
      <w:pPr>
        <w:pStyle w:val="COMParaDecision"/>
        <w:keepNext/>
        <w:spacing w:before="240"/>
        <w:jc w:val="center"/>
        <w:rPr>
          <w:b/>
          <w:u w:val="none"/>
        </w:rPr>
      </w:pPr>
    </w:p>
    <w:p w14:paraId="11AC9E6F" w14:textId="77777777" w:rsidR="00ED25A5" w:rsidRPr="00E73EEB" w:rsidRDefault="00ED25A5" w:rsidP="00ED25A5">
      <w:pPr>
        <w:keepNext/>
        <w:spacing w:before="360"/>
        <w:rPr>
          <w:rFonts w:ascii="Arial" w:hAnsi="Arial" w:cs="Arial"/>
          <w:b/>
          <w:smallCaps/>
          <w:color w:val="000000"/>
          <w:szCs w:val="22"/>
        </w:rPr>
      </w:pPr>
      <w:r w:rsidRPr="00E73EEB">
        <w:rPr>
          <w:rFonts w:ascii="Arial" w:hAnsi="Arial" w:cs="Arial"/>
          <w:b/>
          <w:smallCaps/>
          <w:color w:val="000000"/>
          <w:szCs w:val="22"/>
        </w:rPr>
        <w:t>Funds-in-Trust</w:t>
      </w:r>
      <w:r w:rsidRPr="00E73EEB">
        <w:rPr>
          <w:rStyle w:val="FootnoteReference"/>
          <w:rFonts w:ascii="Arial" w:hAnsi="Arial" w:cs="Arial"/>
          <w:b/>
          <w:smallCaps/>
          <w:color w:val="000000"/>
          <w:szCs w:val="22"/>
        </w:rPr>
        <w:footnoteReference w:id="4"/>
      </w:r>
    </w:p>
    <w:tbl>
      <w:tblPr>
        <w:tblW w:w="0" w:type="auto"/>
        <w:tblInd w:w="709" w:type="dxa"/>
        <w:tblLook w:val="04A0" w:firstRow="1" w:lastRow="0" w:firstColumn="1" w:lastColumn="0" w:noHBand="0" w:noVBand="1"/>
      </w:tblPr>
      <w:tblGrid>
        <w:gridCol w:w="5353"/>
        <w:gridCol w:w="3118"/>
      </w:tblGrid>
      <w:tr w:rsidR="00ED25A5" w:rsidRPr="00E73EEB" w14:paraId="4E3A7CAF" w14:textId="77777777" w:rsidTr="00646C65">
        <w:trPr>
          <w:cantSplit/>
          <w:trHeight w:val="560"/>
        </w:trPr>
        <w:tc>
          <w:tcPr>
            <w:tcW w:w="5353" w:type="dxa"/>
            <w:shd w:val="clear" w:color="auto" w:fill="auto"/>
            <w:vAlign w:val="center"/>
          </w:tcPr>
          <w:p w14:paraId="2646CD09" w14:textId="77777777" w:rsidR="00ED25A5" w:rsidRPr="00E73EEB" w:rsidRDefault="00ED25A5" w:rsidP="00646C65">
            <w:pPr>
              <w:spacing w:before="60" w:after="60"/>
              <w:rPr>
                <w:rFonts w:ascii="Arial" w:hAnsi="Arial" w:cs="Arial"/>
                <w:color w:val="000000"/>
                <w:szCs w:val="22"/>
              </w:rPr>
            </w:pPr>
            <w:r>
              <w:rPr>
                <w:rFonts w:ascii="Arial" w:hAnsi="Arial" w:cs="Arial"/>
                <w:color w:val="000000"/>
                <w:szCs w:val="22"/>
              </w:rPr>
              <w:t>Flanders (Belgium)</w:t>
            </w:r>
          </w:p>
        </w:tc>
        <w:tc>
          <w:tcPr>
            <w:tcW w:w="3118" w:type="dxa"/>
            <w:vAlign w:val="center"/>
          </w:tcPr>
          <w:p w14:paraId="05349B67" w14:textId="77777777" w:rsidR="00ED25A5" w:rsidRPr="00E73EEB" w:rsidRDefault="00ED25A5" w:rsidP="00646C65">
            <w:pPr>
              <w:spacing w:before="60" w:after="60"/>
              <w:jc w:val="right"/>
              <w:rPr>
                <w:rFonts w:ascii="Arial" w:hAnsi="Arial" w:cs="Arial"/>
                <w:color w:val="000000"/>
                <w:szCs w:val="22"/>
              </w:rPr>
            </w:pPr>
            <w:r w:rsidRPr="00E73EEB">
              <w:rPr>
                <w:rFonts w:ascii="Arial" w:hAnsi="Arial" w:cs="Arial"/>
                <w:color w:val="000000"/>
                <w:szCs w:val="22"/>
              </w:rPr>
              <w:t>US$</w:t>
            </w:r>
            <w:r>
              <w:rPr>
                <w:rFonts w:ascii="Arial" w:hAnsi="Arial" w:cs="Arial"/>
                <w:color w:val="000000"/>
                <w:szCs w:val="22"/>
              </w:rPr>
              <w:t>250,000</w:t>
            </w:r>
          </w:p>
        </w:tc>
      </w:tr>
      <w:tr w:rsidR="00ED25A5" w:rsidRPr="00E73EEB" w14:paraId="7CF87A45" w14:textId="77777777" w:rsidTr="00646C65">
        <w:trPr>
          <w:cantSplit/>
          <w:trHeight w:val="560"/>
        </w:trPr>
        <w:tc>
          <w:tcPr>
            <w:tcW w:w="5353" w:type="dxa"/>
            <w:shd w:val="clear" w:color="auto" w:fill="auto"/>
            <w:vAlign w:val="center"/>
          </w:tcPr>
          <w:p w14:paraId="34CE1D3E" w14:textId="77777777" w:rsidR="00ED25A5" w:rsidRPr="00E73EEB" w:rsidRDefault="00ED25A5" w:rsidP="00646C65">
            <w:pPr>
              <w:spacing w:before="60" w:after="60"/>
              <w:rPr>
                <w:rFonts w:ascii="Arial" w:hAnsi="Arial" w:cs="Arial"/>
                <w:color w:val="000000"/>
                <w:szCs w:val="22"/>
              </w:rPr>
            </w:pPr>
            <w:r w:rsidRPr="00E73EEB">
              <w:rPr>
                <w:rFonts w:ascii="Arial" w:hAnsi="Arial" w:cs="Arial"/>
                <w:color w:val="000000"/>
                <w:szCs w:val="22"/>
              </w:rPr>
              <w:t>Japan</w:t>
            </w:r>
          </w:p>
        </w:tc>
        <w:tc>
          <w:tcPr>
            <w:tcW w:w="3118" w:type="dxa"/>
            <w:vAlign w:val="center"/>
          </w:tcPr>
          <w:p w14:paraId="62449AEE" w14:textId="77777777" w:rsidR="00ED25A5" w:rsidRPr="00E73EEB" w:rsidRDefault="00ED25A5" w:rsidP="00646C65">
            <w:pPr>
              <w:spacing w:before="60" w:after="60"/>
              <w:jc w:val="right"/>
              <w:rPr>
                <w:rFonts w:ascii="Arial" w:hAnsi="Arial" w:cs="Arial"/>
                <w:color w:val="000000"/>
                <w:szCs w:val="22"/>
              </w:rPr>
            </w:pPr>
            <w:r w:rsidRPr="00E73EEB">
              <w:rPr>
                <w:rFonts w:ascii="Arial" w:hAnsi="Arial" w:cs="Arial"/>
                <w:color w:val="000000"/>
                <w:szCs w:val="22"/>
              </w:rPr>
              <w:t>US$</w:t>
            </w:r>
            <w:r>
              <w:rPr>
                <w:rFonts w:ascii="Arial" w:hAnsi="Arial" w:cs="Arial"/>
                <w:color w:val="000000"/>
                <w:szCs w:val="22"/>
              </w:rPr>
              <w:t>102,409</w:t>
            </w:r>
          </w:p>
        </w:tc>
      </w:tr>
      <w:tr w:rsidR="00ED25A5" w:rsidRPr="00DF36BC" w14:paraId="2FBA2DB9" w14:textId="77777777" w:rsidTr="00646C65">
        <w:trPr>
          <w:cantSplit/>
          <w:trHeight w:val="560"/>
        </w:trPr>
        <w:tc>
          <w:tcPr>
            <w:tcW w:w="5353" w:type="dxa"/>
            <w:shd w:val="clear" w:color="auto" w:fill="auto"/>
            <w:vAlign w:val="center"/>
          </w:tcPr>
          <w:p w14:paraId="637792CA" w14:textId="77777777" w:rsidR="00ED25A5" w:rsidRPr="009426E5" w:rsidRDefault="00ED25A5" w:rsidP="00646C65">
            <w:pPr>
              <w:spacing w:before="60" w:after="60"/>
              <w:rPr>
                <w:rFonts w:ascii="Arial" w:hAnsi="Arial" w:cs="Arial"/>
                <w:color w:val="000000"/>
                <w:sz w:val="20"/>
                <w:szCs w:val="20"/>
              </w:rPr>
            </w:pPr>
            <w:r w:rsidRPr="00DF36BC">
              <w:rPr>
                <w:rFonts w:ascii="Arial" w:hAnsi="Arial" w:cs="Arial"/>
                <w:color w:val="000000"/>
                <w:szCs w:val="22"/>
              </w:rPr>
              <w:t>United Arab Emirates (Abu Dhabi Tourism &amp; Culture Authority)</w:t>
            </w:r>
          </w:p>
        </w:tc>
        <w:tc>
          <w:tcPr>
            <w:tcW w:w="3118" w:type="dxa"/>
            <w:vAlign w:val="center"/>
          </w:tcPr>
          <w:p w14:paraId="7D47349C" w14:textId="77777777" w:rsidR="00ED25A5" w:rsidRPr="00E73EEB" w:rsidRDefault="00ED25A5" w:rsidP="00646C65">
            <w:pPr>
              <w:spacing w:before="60" w:after="60"/>
              <w:jc w:val="right"/>
              <w:rPr>
                <w:rFonts w:ascii="Arial" w:hAnsi="Arial" w:cs="Arial"/>
                <w:color w:val="000000"/>
                <w:szCs w:val="22"/>
              </w:rPr>
            </w:pPr>
            <w:r w:rsidRPr="00DF36BC">
              <w:rPr>
                <w:rFonts w:ascii="Arial" w:hAnsi="Arial" w:cs="Arial"/>
                <w:color w:val="000000"/>
                <w:szCs w:val="22"/>
              </w:rPr>
              <w:t>US$1,227,257</w:t>
            </w:r>
          </w:p>
        </w:tc>
      </w:tr>
    </w:tbl>
    <w:p w14:paraId="1478DF29" w14:textId="77777777" w:rsidR="00ED25A5" w:rsidRDefault="00ED25A5" w:rsidP="00ED25A5">
      <w:pPr>
        <w:pStyle w:val="ListParagraph"/>
        <w:numPr>
          <w:ilvl w:val="0"/>
          <w:numId w:val="0"/>
        </w:numPr>
        <w:jc w:val="center"/>
      </w:pPr>
    </w:p>
    <w:p w14:paraId="7C15F046" w14:textId="77777777" w:rsidR="00ED25A5" w:rsidRPr="00C75E87" w:rsidRDefault="00ED25A5" w:rsidP="00ED25A5">
      <w:pPr>
        <w:spacing w:before="360" w:after="60"/>
        <w:rPr>
          <w:rFonts w:ascii="Arial" w:hAnsi="Arial" w:cs="Arial"/>
          <w:b/>
          <w:smallCaps/>
          <w:color w:val="000000"/>
          <w:szCs w:val="22"/>
        </w:rPr>
      </w:pPr>
      <w:r w:rsidRPr="00C75E87">
        <w:rPr>
          <w:rFonts w:ascii="Arial" w:hAnsi="Arial" w:cs="Arial"/>
          <w:b/>
          <w:smallCaps/>
          <w:color w:val="000000"/>
          <w:szCs w:val="22"/>
        </w:rPr>
        <w:t>Loans and Secondments</w:t>
      </w:r>
      <w:r w:rsidR="00E56876" w:rsidRPr="00E73EEB">
        <w:rPr>
          <w:rStyle w:val="FootnoteReference"/>
          <w:rFonts w:ascii="Arial" w:hAnsi="Arial" w:cs="Arial"/>
          <w:b/>
          <w:smallCaps/>
          <w:color w:val="000000"/>
          <w:szCs w:val="22"/>
        </w:rPr>
        <w:footnoteReference w:id="5"/>
      </w:r>
    </w:p>
    <w:tbl>
      <w:tblPr>
        <w:tblW w:w="8949" w:type="dxa"/>
        <w:tblInd w:w="709" w:type="dxa"/>
        <w:tblLook w:val="04A0" w:firstRow="1" w:lastRow="0" w:firstColumn="1" w:lastColumn="0" w:noHBand="0" w:noVBand="1"/>
      </w:tblPr>
      <w:tblGrid>
        <w:gridCol w:w="6487"/>
        <w:gridCol w:w="2462"/>
      </w:tblGrid>
      <w:tr w:rsidR="00ED25A5" w:rsidRPr="00C75E87" w14:paraId="317804F9" w14:textId="77777777" w:rsidTr="00646C65">
        <w:trPr>
          <w:cantSplit/>
        </w:trPr>
        <w:tc>
          <w:tcPr>
            <w:tcW w:w="6487" w:type="dxa"/>
            <w:vAlign w:val="center"/>
            <w:hideMark/>
          </w:tcPr>
          <w:p w14:paraId="70AF9919" w14:textId="77777777" w:rsidR="00ED25A5" w:rsidRPr="00DF36BC" w:rsidRDefault="00ED25A5" w:rsidP="00646C65">
            <w:pPr>
              <w:spacing w:before="60" w:after="60"/>
              <w:rPr>
                <w:rFonts w:ascii="Arial" w:hAnsi="Arial" w:cs="Arial"/>
                <w:color w:val="000000"/>
                <w:szCs w:val="22"/>
              </w:rPr>
            </w:pPr>
            <w:r w:rsidRPr="00DF36BC">
              <w:rPr>
                <w:rFonts w:ascii="Arial" w:hAnsi="Arial" w:cs="Arial"/>
                <w:color w:val="000000"/>
                <w:szCs w:val="22"/>
              </w:rPr>
              <w:t>China</w:t>
            </w:r>
          </w:p>
        </w:tc>
        <w:tc>
          <w:tcPr>
            <w:tcW w:w="2462" w:type="dxa"/>
            <w:vAlign w:val="center"/>
            <w:hideMark/>
          </w:tcPr>
          <w:p w14:paraId="1B915509" w14:textId="77777777" w:rsidR="00ED25A5" w:rsidRPr="00DF36BC" w:rsidRDefault="00ED25A5" w:rsidP="00646C65">
            <w:pPr>
              <w:spacing w:before="60" w:after="60"/>
              <w:rPr>
                <w:rFonts w:ascii="Arial" w:hAnsi="Arial" w:cs="Arial"/>
                <w:color w:val="000000"/>
                <w:szCs w:val="22"/>
              </w:rPr>
            </w:pPr>
            <w:r>
              <w:rPr>
                <w:rFonts w:ascii="Arial" w:hAnsi="Arial" w:cs="Arial"/>
                <w:color w:val="000000"/>
                <w:szCs w:val="22"/>
              </w:rPr>
              <w:t>24</w:t>
            </w:r>
            <w:r w:rsidRPr="00DF36BC">
              <w:rPr>
                <w:rFonts w:ascii="Arial" w:hAnsi="Arial" w:cs="Arial"/>
                <w:color w:val="000000"/>
                <w:szCs w:val="22"/>
              </w:rPr>
              <w:t> months at P-2 level</w:t>
            </w:r>
          </w:p>
        </w:tc>
      </w:tr>
      <w:tr w:rsidR="00ED25A5" w:rsidRPr="00C75E87" w14:paraId="66183730" w14:textId="77777777" w:rsidTr="00646C65">
        <w:trPr>
          <w:cantSplit/>
        </w:trPr>
        <w:tc>
          <w:tcPr>
            <w:tcW w:w="6487" w:type="dxa"/>
            <w:vAlign w:val="center"/>
          </w:tcPr>
          <w:p w14:paraId="6463A1F7" w14:textId="77777777" w:rsidR="00ED25A5" w:rsidRPr="00DF36BC" w:rsidRDefault="00ED25A5" w:rsidP="00646C65">
            <w:pPr>
              <w:spacing w:before="60" w:after="60"/>
              <w:rPr>
                <w:rFonts w:ascii="Arial" w:hAnsi="Arial" w:cs="Arial"/>
                <w:color w:val="000000"/>
                <w:szCs w:val="22"/>
              </w:rPr>
            </w:pPr>
            <w:r w:rsidRPr="00DF36BC">
              <w:rPr>
                <w:rFonts w:ascii="Arial" w:hAnsi="Arial" w:cs="Arial"/>
                <w:color w:val="000000"/>
                <w:szCs w:val="22"/>
              </w:rPr>
              <w:t>Japan</w:t>
            </w:r>
          </w:p>
        </w:tc>
        <w:tc>
          <w:tcPr>
            <w:tcW w:w="2462" w:type="dxa"/>
            <w:vAlign w:val="center"/>
          </w:tcPr>
          <w:p w14:paraId="5D4974F1" w14:textId="77777777" w:rsidR="00ED25A5" w:rsidRPr="00DF36BC" w:rsidRDefault="00ED25A5" w:rsidP="00646C65">
            <w:pPr>
              <w:spacing w:before="60" w:after="60"/>
              <w:rPr>
                <w:rFonts w:ascii="Arial" w:hAnsi="Arial" w:cs="Arial"/>
                <w:color w:val="000000"/>
                <w:szCs w:val="22"/>
              </w:rPr>
            </w:pPr>
            <w:r>
              <w:rPr>
                <w:rFonts w:ascii="Arial" w:hAnsi="Arial" w:cs="Arial"/>
                <w:color w:val="000000"/>
                <w:szCs w:val="22"/>
              </w:rPr>
              <w:t>24</w:t>
            </w:r>
            <w:r w:rsidRPr="00DF36BC">
              <w:rPr>
                <w:rFonts w:ascii="Arial" w:hAnsi="Arial" w:cs="Arial"/>
                <w:color w:val="000000"/>
                <w:szCs w:val="22"/>
              </w:rPr>
              <w:t> months at P-2 level</w:t>
            </w:r>
          </w:p>
        </w:tc>
      </w:tr>
      <w:tr w:rsidR="00ED25A5" w:rsidRPr="00C75E87" w14:paraId="35101FC8" w14:textId="77777777" w:rsidTr="00646C65">
        <w:trPr>
          <w:cantSplit/>
        </w:trPr>
        <w:tc>
          <w:tcPr>
            <w:tcW w:w="6487" w:type="dxa"/>
            <w:vAlign w:val="center"/>
          </w:tcPr>
          <w:p w14:paraId="4A0A0D05" w14:textId="77777777" w:rsidR="00ED25A5" w:rsidRPr="00DF36BC" w:rsidRDefault="00ED25A5" w:rsidP="00646C65">
            <w:pPr>
              <w:spacing w:before="60" w:after="60"/>
              <w:rPr>
                <w:rFonts w:ascii="Arial" w:hAnsi="Arial" w:cs="Arial"/>
                <w:color w:val="000000"/>
                <w:szCs w:val="22"/>
              </w:rPr>
            </w:pPr>
            <w:r w:rsidRPr="00DF36BC">
              <w:rPr>
                <w:rFonts w:ascii="Arial" w:hAnsi="Arial" w:cs="Arial"/>
                <w:color w:val="000000"/>
                <w:szCs w:val="22"/>
              </w:rPr>
              <w:t>United Arab Emirates (Abu Dhabi Tourism &amp; Culture Authority) (Project Appointment)</w:t>
            </w:r>
          </w:p>
        </w:tc>
        <w:tc>
          <w:tcPr>
            <w:tcW w:w="2462" w:type="dxa"/>
            <w:vAlign w:val="center"/>
          </w:tcPr>
          <w:p w14:paraId="7EA257D2" w14:textId="77777777" w:rsidR="00ED25A5" w:rsidRPr="00DF36BC" w:rsidRDefault="00ED25A5" w:rsidP="00646C65">
            <w:pPr>
              <w:spacing w:before="60" w:after="60"/>
              <w:rPr>
                <w:rFonts w:ascii="Arial" w:hAnsi="Arial" w:cs="Arial"/>
                <w:color w:val="000000"/>
                <w:szCs w:val="22"/>
              </w:rPr>
            </w:pPr>
            <w:r>
              <w:rPr>
                <w:rFonts w:ascii="Arial" w:hAnsi="Arial" w:cs="Arial"/>
                <w:color w:val="000000"/>
                <w:szCs w:val="22"/>
              </w:rPr>
              <w:t>1</w:t>
            </w:r>
            <w:r w:rsidRPr="00DF36BC">
              <w:rPr>
                <w:rFonts w:ascii="Arial" w:hAnsi="Arial" w:cs="Arial"/>
                <w:color w:val="000000"/>
                <w:szCs w:val="22"/>
              </w:rPr>
              <w:t>6 months at P-2 level</w:t>
            </w:r>
          </w:p>
        </w:tc>
      </w:tr>
    </w:tbl>
    <w:p w14:paraId="46A00550" w14:textId="77777777" w:rsidR="008029F3" w:rsidRPr="00F410D6" w:rsidRDefault="008029F3" w:rsidP="00E21E51">
      <w:pPr>
        <w:pStyle w:val="ListParagraph"/>
        <w:numPr>
          <w:ilvl w:val="0"/>
          <w:numId w:val="0"/>
        </w:numPr>
        <w:jc w:val="center"/>
      </w:pPr>
    </w:p>
    <w:p w14:paraId="03F896BF" w14:textId="77777777" w:rsidR="00DD001E" w:rsidRPr="00F410D6" w:rsidRDefault="00DD001E" w:rsidP="00DD001E">
      <w:pPr>
        <w:pStyle w:val="ListParagraph"/>
        <w:numPr>
          <w:ilvl w:val="0"/>
          <w:numId w:val="0"/>
        </w:numPr>
      </w:pPr>
    </w:p>
    <w:p w14:paraId="72BBD834" w14:textId="77777777" w:rsidR="00DD001E" w:rsidRPr="00F410D6" w:rsidRDefault="00DD001E" w:rsidP="00DD001E">
      <w:pPr>
        <w:pStyle w:val="ListParagraph"/>
        <w:numPr>
          <w:ilvl w:val="0"/>
          <w:numId w:val="0"/>
        </w:numPr>
        <w:sectPr w:rsidR="00DD001E" w:rsidRPr="00F410D6" w:rsidSect="00590B42">
          <w:headerReference w:type="even" r:id="rId27"/>
          <w:headerReference w:type="default" r:id="rId28"/>
          <w:headerReference w:type="first" r:id="rId29"/>
          <w:pgSz w:w="11906" w:h="16838" w:code="9"/>
          <w:pgMar w:top="1418" w:right="1134" w:bottom="1134" w:left="1134" w:header="397" w:footer="284" w:gutter="0"/>
          <w:cols w:space="708"/>
          <w:titlePg/>
          <w:docGrid w:linePitch="360"/>
        </w:sectPr>
      </w:pPr>
    </w:p>
    <w:p w14:paraId="2B623349" w14:textId="77777777" w:rsidR="001C0176" w:rsidRPr="000B56F5" w:rsidRDefault="00C47D45" w:rsidP="00C47D45">
      <w:pPr>
        <w:pStyle w:val="ListParagraph"/>
        <w:pageBreakBefore/>
        <w:numPr>
          <w:ilvl w:val="0"/>
          <w:numId w:val="0"/>
        </w:numPr>
        <w:jc w:val="center"/>
        <w:rPr>
          <w:b/>
          <w:u w:val="single"/>
        </w:rPr>
      </w:pPr>
      <w:r w:rsidRPr="000B56F5">
        <w:rPr>
          <w:b/>
          <w:u w:val="single"/>
        </w:rPr>
        <w:lastRenderedPageBreak/>
        <w:t>ANNEX II (c)</w:t>
      </w:r>
    </w:p>
    <w:p w14:paraId="71563CAD" w14:textId="5ABF2387" w:rsidR="004F05D5" w:rsidRPr="00F410D6" w:rsidRDefault="000931F0" w:rsidP="001C0176">
      <w:pPr>
        <w:pStyle w:val="ListParagraph"/>
        <w:numPr>
          <w:ilvl w:val="0"/>
          <w:numId w:val="0"/>
        </w:numPr>
        <w:spacing w:after="0"/>
        <w:jc w:val="center"/>
      </w:pPr>
      <w:r>
        <w:rPr>
          <w:noProof/>
          <w:snapToGrid/>
          <w:lang w:val="en-US" w:eastAsia="ko-KR"/>
        </w:rPr>
        <w:drawing>
          <wp:inline distT="0" distB="0" distL="0" distR="0" wp14:anchorId="37F20204" wp14:editId="0B445EF0">
            <wp:extent cx="8727256" cy="59400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27256" cy="5940000"/>
                    </a:xfrm>
                    <a:prstGeom prst="rect">
                      <a:avLst/>
                    </a:prstGeom>
                  </pic:spPr>
                </pic:pic>
              </a:graphicData>
            </a:graphic>
          </wp:inline>
        </w:drawing>
      </w:r>
    </w:p>
    <w:p w14:paraId="1462ABCA" w14:textId="77777777" w:rsidR="00DD001E" w:rsidRPr="000B56F5" w:rsidRDefault="00DD001E" w:rsidP="00C47D45">
      <w:pPr>
        <w:spacing w:after="240"/>
        <w:jc w:val="center"/>
        <w:rPr>
          <w:rFonts w:ascii="Arial" w:hAnsi="Arial" w:cs="Arial"/>
          <w:b/>
          <w:szCs w:val="22"/>
          <w:u w:val="single"/>
          <w:lang w:eastAsia="en-US"/>
        </w:rPr>
      </w:pPr>
      <w:r w:rsidRPr="000B56F5">
        <w:rPr>
          <w:rFonts w:ascii="Arial" w:hAnsi="Arial" w:cs="Arial"/>
          <w:b/>
          <w:szCs w:val="22"/>
          <w:u w:val="single"/>
          <w:lang w:eastAsia="en-US"/>
        </w:rPr>
        <w:lastRenderedPageBreak/>
        <w:t>A</w:t>
      </w:r>
      <w:r w:rsidR="00C47D45" w:rsidRPr="000B56F5">
        <w:rPr>
          <w:rFonts w:ascii="Arial" w:hAnsi="Arial" w:cs="Arial"/>
          <w:b/>
          <w:szCs w:val="22"/>
          <w:u w:val="single"/>
          <w:lang w:eastAsia="en-US"/>
        </w:rPr>
        <w:t>NNEX II</w:t>
      </w:r>
      <w:r w:rsidRPr="000B56F5">
        <w:rPr>
          <w:rFonts w:ascii="Arial" w:hAnsi="Arial" w:cs="Arial"/>
          <w:b/>
          <w:szCs w:val="22"/>
          <w:u w:val="single"/>
          <w:lang w:eastAsia="en-US"/>
        </w:rPr>
        <w:t> </w:t>
      </w:r>
      <w:r w:rsidR="00C47D45" w:rsidRPr="000B56F5">
        <w:rPr>
          <w:rFonts w:ascii="Arial" w:hAnsi="Arial" w:cs="Arial"/>
          <w:b/>
          <w:szCs w:val="22"/>
          <w:u w:val="single"/>
          <w:lang w:eastAsia="en-US"/>
        </w:rPr>
        <w:t>(d)</w:t>
      </w:r>
    </w:p>
    <w:p w14:paraId="28653070" w14:textId="206603C9" w:rsidR="000739B5" w:rsidRPr="00F94FF9" w:rsidRDefault="000931F0" w:rsidP="00DD001E">
      <w:pPr>
        <w:jc w:val="center"/>
        <w:rPr>
          <w:b/>
        </w:rPr>
      </w:pPr>
      <w:r>
        <w:rPr>
          <w:b/>
          <w:noProof/>
          <w:lang w:val="en-US" w:eastAsia="ko-KR"/>
        </w:rPr>
        <w:drawing>
          <wp:inline distT="0" distB="0" distL="0" distR="0" wp14:anchorId="25C57757" wp14:editId="45A4C247">
            <wp:extent cx="9229363" cy="463906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x 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29363" cy="4639065"/>
                    </a:xfrm>
                    <a:prstGeom prst="rect">
                      <a:avLst/>
                    </a:prstGeom>
                  </pic:spPr>
                </pic:pic>
              </a:graphicData>
            </a:graphic>
          </wp:inline>
        </w:drawing>
      </w:r>
    </w:p>
    <w:sectPr w:rsidR="000739B5" w:rsidRPr="00F94FF9" w:rsidSect="001C0176">
      <w:pgSz w:w="16838" w:h="11906" w:orient="landscape" w:code="9"/>
      <w:pgMar w:top="1134" w:right="1134" w:bottom="992" w:left="1134" w:header="39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1B280" w16cid:durableId="1E7A25E9"/>
  <w16cid:commentId w16cid:paraId="784E03C9" w16cid:durableId="1E7A267D"/>
  <w16cid:commentId w16cid:paraId="1109C9B0" w16cid:durableId="1E7A2760"/>
  <w16cid:commentId w16cid:paraId="51D5DD21" w16cid:durableId="1E7A2798"/>
  <w16cid:commentId w16cid:paraId="1687F2F3" w16cid:durableId="1E7AF328"/>
  <w16cid:commentId w16cid:paraId="4C08AC09" w16cid:durableId="1E7A282C"/>
  <w16cid:commentId w16cid:paraId="0D94A413" w16cid:durableId="1E7A2A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9BE6A" w14:textId="77777777" w:rsidR="00716011" w:rsidRDefault="00716011" w:rsidP="002938F2">
      <w:r>
        <w:separator/>
      </w:r>
    </w:p>
    <w:p w14:paraId="3D6ADBAC" w14:textId="77777777" w:rsidR="00716011" w:rsidRDefault="00716011"/>
  </w:endnote>
  <w:endnote w:type="continuationSeparator" w:id="0">
    <w:p w14:paraId="368488AB" w14:textId="77777777" w:rsidR="00716011" w:rsidRDefault="00716011" w:rsidP="002938F2">
      <w:r>
        <w:continuationSeparator/>
      </w:r>
    </w:p>
    <w:p w14:paraId="157BDDC4" w14:textId="77777777" w:rsidR="00716011" w:rsidRDefault="00716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12C76" w14:textId="77777777" w:rsidR="00716011" w:rsidRDefault="00716011">
      <w:r>
        <w:separator/>
      </w:r>
    </w:p>
  </w:footnote>
  <w:footnote w:type="continuationSeparator" w:id="0">
    <w:p w14:paraId="31DB0EED" w14:textId="77777777" w:rsidR="00716011" w:rsidRDefault="00716011" w:rsidP="002938F2">
      <w:r>
        <w:continuationSeparator/>
      </w:r>
    </w:p>
  </w:footnote>
  <w:footnote w:id="1">
    <w:p w14:paraId="7338A6A9" w14:textId="0E6C8171" w:rsidR="002556CF" w:rsidRPr="00213471" w:rsidRDefault="002556CF" w:rsidP="00187B6E">
      <w:pPr>
        <w:pStyle w:val="Paragraph"/>
        <w:tabs>
          <w:tab w:val="left" w:pos="567"/>
        </w:tabs>
        <w:spacing w:before="60" w:after="60"/>
        <w:ind w:left="567" w:hanging="567"/>
        <w:rPr>
          <w:sz w:val="20"/>
          <w:szCs w:val="20"/>
        </w:rPr>
      </w:pPr>
      <w:r w:rsidRPr="00213471">
        <w:rPr>
          <w:sz w:val="18"/>
          <w:szCs w:val="18"/>
        </w:rPr>
        <w:footnoteRef/>
      </w:r>
      <w:r w:rsidRPr="00213471">
        <w:rPr>
          <w:sz w:val="18"/>
          <w:szCs w:val="18"/>
        </w:rPr>
        <w:t>.</w:t>
      </w:r>
      <w:r w:rsidRPr="00213471">
        <w:rPr>
          <w:sz w:val="18"/>
          <w:szCs w:val="18"/>
        </w:rPr>
        <w:tab/>
        <w:t xml:space="preserve">Figures rounded </w:t>
      </w:r>
      <w:r w:rsidR="00E3572C">
        <w:rPr>
          <w:sz w:val="18"/>
          <w:szCs w:val="18"/>
        </w:rPr>
        <w:t xml:space="preserve">up </w:t>
      </w:r>
      <w:r w:rsidRPr="00213471">
        <w:rPr>
          <w:sz w:val="18"/>
          <w:szCs w:val="18"/>
        </w:rPr>
        <w:t>to the next highest dollar compared to that in Statement I.</w:t>
      </w:r>
    </w:p>
  </w:footnote>
  <w:footnote w:id="2">
    <w:p w14:paraId="5F5EA6B1" w14:textId="380F977F" w:rsidR="005974BB" w:rsidRPr="00213471" w:rsidRDefault="005974BB" w:rsidP="00F410D6">
      <w:pPr>
        <w:pStyle w:val="Paragraph"/>
        <w:tabs>
          <w:tab w:val="left" w:pos="567"/>
        </w:tabs>
        <w:spacing w:before="60" w:after="60"/>
        <w:ind w:left="567" w:hanging="567"/>
        <w:rPr>
          <w:sz w:val="18"/>
          <w:szCs w:val="18"/>
        </w:rPr>
      </w:pPr>
      <w:r w:rsidRPr="00213471">
        <w:rPr>
          <w:rStyle w:val="FootnoteReference"/>
          <w:sz w:val="18"/>
          <w:szCs w:val="18"/>
          <w:vertAlign w:val="baseline"/>
        </w:rPr>
        <w:footnoteRef/>
      </w:r>
      <w:r w:rsidRPr="00213471">
        <w:rPr>
          <w:sz w:val="18"/>
          <w:szCs w:val="18"/>
        </w:rPr>
        <w:t>.</w:t>
      </w:r>
      <w:r w:rsidRPr="00213471">
        <w:rPr>
          <w:sz w:val="18"/>
          <w:szCs w:val="18"/>
        </w:rPr>
        <w:tab/>
        <w:t xml:space="preserve">In </w:t>
      </w:r>
      <w:r>
        <w:rPr>
          <w:sz w:val="18"/>
          <w:szCs w:val="18"/>
        </w:rPr>
        <w:t>Annex</w:t>
      </w:r>
      <w:r w:rsidR="00590B42">
        <w:rPr>
          <w:sz w:val="18"/>
          <w:szCs w:val="18"/>
        </w:rPr>
        <w:t xml:space="preserve"> </w:t>
      </w:r>
      <w:r>
        <w:rPr>
          <w:sz w:val="18"/>
          <w:szCs w:val="18"/>
        </w:rPr>
        <w:t>I/</w:t>
      </w:r>
      <w:r w:rsidRPr="00213471">
        <w:rPr>
          <w:sz w:val="18"/>
          <w:szCs w:val="18"/>
        </w:rPr>
        <w:t xml:space="preserve">Statement I, the compulsory assessed contributions for the period 2016-2017 are shown as income, whether or not they have been received; </w:t>
      </w:r>
      <w:r>
        <w:rPr>
          <w:sz w:val="18"/>
          <w:szCs w:val="18"/>
        </w:rPr>
        <w:t>Annex</w:t>
      </w:r>
      <w:r w:rsidR="00590B42">
        <w:rPr>
          <w:sz w:val="18"/>
          <w:szCs w:val="18"/>
        </w:rPr>
        <w:t xml:space="preserve"> </w:t>
      </w:r>
      <w:r>
        <w:rPr>
          <w:sz w:val="18"/>
          <w:szCs w:val="18"/>
        </w:rPr>
        <w:t>I/</w:t>
      </w:r>
      <w:r w:rsidRPr="00213471">
        <w:rPr>
          <w:sz w:val="18"/>
          <w:szCs w:val="18"/>
        </w:rPr>
        <w:t xml:space="preserve">Statement II shows that the amount still unpaid and receivable from States Parties as of 31 December 2017 was US$455,033. Voluntary assessed contributions </w:t>
      </w:r>
      <w:proofErr w:type="gramStart"/>
      <w:r w:rsidRPr="00213471">
        <w:rPr>
          <w:sz w:val="18"/>
          <w:szCs w:val="18"/>
        </w:rPr>
        <w:t>are shown</w:t>
      </w:r>
      <w:proofErr w:type="gramEnd"/>
      <w:r w:rsidRPr="00213471">
        <w:rPr>
          <w:sz w:val="18"/>
          <w:szCs w:val="18"/>
        </w:rPr>
        <w:t xml:space="preserve"> as income only at the time cash is received.</w:t>
      </w:r>
    </w:p>
  </w:footnote>
  <w:footnote w:id="3">
    <w:p w14:paraId="0BEA75C9" w14:textId="1F4BFD0E" w:rsidR="00A50493" w:rsidRPr="007A519A" w:rsidRDefault="00A50493" w:rsidP="007A519A">
      <w:pPr>
        <w:pStyle w:val="FootnoteText"/>
        <w:spacing w:before="60" w:after="60"/>
        <w:ind w:left="567" w:hanging="567"/>
        <w:rPr>
          <w:rFonts w:ascii="Arial" w:hAnsi="Arial" w:cs="Arial"/>
          <w:sz w:val="18"/>
          <w:szCs w:val="18"/>
          <w:lang w:val="en-US"/>
        </w:rPr>
      </w:pPr>
      <w:r w:rsidRPr="007A519A">
        <w:rPr>
          <w:rStyle w:val="FootnoteReference"/>
          <w:rFonts w:ascii="Arial" w:hAnsi="Arial" w:cs="Arial"/>
          <w:sz w:val="18"/>
          <w:szCs w:val="18"/>
          <w:vertAlign w:val="baseline"/>
          <w:lang w:val="en-GB"/>
        </w:rPr>
        <w:footnoteRef/>
      </w:r>
      <w:r w:rsidR="007A519A" w:rsidRPr="007A519A">
        <w:rPr>
          <w:rFonts w:ascii="Arial" w:hAnsi="Arial" w:cs="Arial"/>
          <w:sz w:val="18"/>
          <w:szCs w:val="18"/>
        </w:rPr>
        <w:t>.</w:t>
      </w:r>
      <w:r w:rsidR="007A519A" w:rsidRPr="007A519A">
        <w:rPr>
          <w:rFonts w:ascii="Arial" w:hAnsi="Arial" w:cs="Arial"/>
          <w:sz w:val="18"/>
          <w:szCs w:val="18"/>
        </w:rPr>
        <w:tab/>
      </w:r>
      <w:r w:rsidRPr="007A519A">
        <w:rPr>
          <w:rFonts w:ascii="Arial" w:hAnsi="Arial" w:cs="Arial"/>
          <w:sz w:val="18"/>
          <w:szCs w:val="18"/>
          <w:lang w:val="en-GB"/>
        </w:rPr>
        <w:t>Annex II(b) issued by the Intangible Cultural Heritage section (ITH) as a complement to the financial report issued by the Bureau of Financial Management (BFM)</w:t>
      </w:r>
    </w:p>
  </w:footnote>
  <w:footnote w:id="4">
    <w:p w14:paraId="4D2DB389" w14:textId="77777777" w:rsidR="00ED25A5" w:rsidRPr="007A519A" w:rsidRDefault="00ED25A5" w:rsidP="007A519A">
      <w:pPr>
        <w:pStyle w:val="FootnoteText"/>
        <w:spacing w:before="60" w:after="60" w:line="240" w:lineRule="auto"/>
        <w:ind w:left="567" w:hanging="567"/>
        <w:rPr>
          <w:rFonts w:ascii="Arial" w:hAnsi="Arial" w:cs="Arial"/>
          <w:sz w:val="18"/>
          <w:szCs w:val="18"/>
          <w:lang w:val="en-GB"/>
        </w:rPr>
      </w:pPr>
      <w:r w:rsidRPr="007A519A">
        <w:rPr>
          <w:rStyle w:val="FootnoteReference"/>
          <w:rFonts w:ascii="Arial" w:hAnsi="Arial" w:cs="Arial"/>
          <w:sz w:val="18"/>
          <w:szCs w:val="18"/>
          <w:vertAlign w:val="baseline"/>
          <w:lang w:val="en-GB"/>
        </w:rPr>
        <w:footnoteRef/>
      </w:r>
      <w:r w:rsidRPr="007A519A">
        <w:rPr>
          <w:rFonts w:ascii="Arial" w:hAnsi="Arial" w:cs="Arial"/>
          <w:sz w:val="18"/>
          <w:szCs w:val="18"/>
          <w:lang w:val="en-GB"/>
        </w:rPr>
        <w:t>.</w:t>
      </w:r>
      <w:r w:rsidRPr="007A519A">
        <w:rPr>
          <w:rFonts w:ascii="Arial" w:hAnsi="Arial" w:cs="Arial"/>
          <w:sz w:val="18"/>
          <w:szCs w:val="18"/>
          <w:lang w:val="en-GB"/>
        </w:rPr>
        <w:tab/>
        <w:t>Financial contributions received during the reporting period.</w:t>
      </w:r>
    </w:p>
  </w:footnote>
  <w:footnote w:id="5">
    <w:p w14:paraId="6D4D6370" w14:textId="77777777" w:rsidR="00E56876" w:rsidRPr="007A519A" w:rsidRDefault="00E56876" w:rsidP="007A519A">
      <w:pPr>
        <w:pStyle w:val="FootnoteText"/>
        <w:spacing w:before="60" w:after="60" w:line="240" w:lineRule="auto"/>
        <w:ind w:left="567" w:hanging="567"/>
        <w:rPr>
          <w:rFonts w:ascii="Arial" w:hAnsi="Arial" w:cs="Arial"/>
          <w:sz w:val="18"/>
          <w:szCs w:val="18"/>
          <w:lang w:val="en-US"/>
        </w:rPr>
      </w:pPr>
      <w:r w:rsidRPr="007A519A">
        <w:rPr>
          <w:rFonts w:ascii="Arial" w:hAnsi="Arial" w:cs="Arial"/>
          <w:sz w:val="18"/>
          <w:szCs w:val="18"/>
          <w:lang w:val="en-GB"/>
        </w:rPr>
        <w:footnoteRef/>
      </w:r>
      <w:r w:rsidRPr="007A519A">
        <w:rPr>
          <w:rFonts w:ascii="Arial" w:hAnsi="Arial" w:cs="Arial"/>
          <w:sz w:val="18"/>
          <w:szCs w:val="18"/>
          <w:lang w:val="en-GB"/>
        </w:rPr>
        <w:t>.</w:t>
      </w:r>
      <w:r w:rsidRPr="007A519A">
        <w:rPr>
          <w:rFonts w:ascii="Arial" w:hAnsi="Arial" w:cs="Arial"/>
          <w:sz w:val="18"/>
          <w:szCs w:val="18"/>
          <w:lang w:val="en-GB"/>
        </w:rPr>
        <w:tab/>
        <w:t>Staff in office during the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F6B4" w14:textId="70E34C35" w:rsidR="007C3D0C" w:rsidRPr="008029F3" w:rsidRDefault="007C3D0C">
    <w:pPr>
      <w:pStyle w:val="Header"/>
      <w:rPr>
        <w:rFonts w:ascii="Arial" w:hAnsi="Arial" w:cs="Arial"/>
        <w:lang w:val="en-US"/>
      </w:rPr>
    </w:pPr>
    <w:r w:rsidRPr="00A43442">
      <w:rPr>
        <w:rFonts w:ascii="Arial" w:hAnsi="Arial" w:cs="Arial"/>
        <w:sz w:val="20"/>
        <w:szCs w:val="20"/>
        <w:lang w:val="en-US"/>
      </w:rPr>
      <w:t>ITH/1</w:t>
    </w:r>
    <w:r w:rsidR="00DC440E">
      <w:rPr>
        <w:rFonts w:ascii="Arial" w:hAnsi="Arial" w:cs="Arial"/>
        <w:sz w:val="20"/>
        <w:szCs w:val="20"/>
        <w:lang w:val="en-US"/>
      </w:rPr>
      <w:t>8</w:t>
    </w:r>
    <w:r w:rsidRPr="00A43442">
      <w:rPr>
        <w:rFonts w:ascii="Arial" w:hAnsi="Arial" w:cs="Arial"/>
        <w:sz w:val="20"/>
        <w:szCs w:val="20"/>
        <w:lang w:val="en-US"/>
      </w:rPr>
      <w:t>/</w:t>
    </w:r>
    <w:r w:rsidR="00DC440E">
      <w:rPr>
        <w:rFonts w:ascii="Arial" w:hAnsi="Arial" w:cs="Arial"/>
        <w:sz w:val="20"/>
        <w:szCs w:val="20"/>
        <w:lang w:val="en-US"/>
      </w:rPr>
      <w:t>7</w:t>
    </w:r>
    <w:r w:rsidRPr="00A43442">
      <w:rPr>
        <w:rFonts w:ascii="Arial" w:hAnsi="Arial" w:cs="Arial"/>
        <w:sz w:val="20"/>
        <w:szCs w:val="20"/>
        <w:lang w:val="en-US"/>
      </w:rPr>
      <w:t>.GA/INF.</w:t>
    </w:r>
    <w:r w:rsidR="00DC440E">
      <w:rPr>
        <w:rFonts w:ascii="Arial" w:hAnsi="Arial" w:cs="Arial"/>
        <w:sz w:val="20"/>
        <w:szCs w:val="20"/>
        <w:lang w:val="en-US"/>
      </w:rPr>
      <w:t>8</w:t>
    </w:r>
    <w:r w:rsidRPr="00A43442">
      <w:rPr>
        <w:rFonts w:ascii="Arial" w:hAnsi="Arial" w:cs="Arial"/>
        <w:sz w:val="20"/>
        <w:szCs w:val="20"/>
        <w:lang w:val="en-US"/>
      </w:rPr>
      <w:t xml:space="preserve"> – page </w:t>
    </w:r>
    <w:r w:rsidRPr="00A43442">
      <w:rPr>
        <w:rStyle w:val="PageNumber"/>
        <w:rFonts w:ascii="Arial" w:hAnsi="Arial" w:cs="Arial"/>
        <w:sz w:val="20"/>
        <w:szCs w:val="20"/>
      </w:rPr>
      <w:fldChar w:fldCharType="begin"/>
    </w:r>
    <w:r w:rsidRPr="00A43442">
      <w:rPr>
        <w:rStyle w:val="PageNumber"/>
        <w:rFonts w:ascii="Arial" w:hAnsi="Arial" w:cs="Arial"/>
        <w:sz w:val="20"/>
        <w:szCs w:val="20"/>
        <w:lang w:val="en-US"/>
      </w:rPr>
      <w:instrText xml:space="preserve"> PAGE </w:instrText>
    </w:r>
    <w:r w:rsidRPr="00A43442">
      <w:rPr>
        <w:rStyle w:val="PageNumber"/>
        <w:rFonts w:ascii="Arial" w:hAnsi="Arial" w:cs="Arial"/>
        <w:sz w:val="20"/>
        <w:szCs w:val="20"/>
      </w:rPr>
      <w:fldChar w:fldCharType="separate"/>
    </w:r>
    <w:r w:rsidR="00C66707">
      <w:rPr>
        <w:rStyle w:val="PageNumber"/>
        <w:rFonts w:ascii="Arial" w:hAnsi="Arial" w:cs="Arial"/>
        <w:noProof/>
        <w:sz w:val="20"/>
        <w:szCs w:val="20"/>
        <w:lang w:val="en-US"/>
      </w:rPr>
      <w:t>6</w:t>
    </w:r>
    <w:r w:rsidRPr="00A43442">
      <w:rPr>
        <w:rStyle w:val="PageNumbe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B0A73" w14:textId="0F18744B" w:rsidR="007C3D0C" w:rsidRPr="008029F3" w:rsidRDefault="001764B7" w:rsidP="008029F3">
    <w:pPr>
      <w:pStyle w:val="Header"/>
      <w:jc w:val="right"/>
      <w:rPr>
        <w:rFonts w:ascii="Arial" w:hAnsi="Arial" w:cs="Arial"/>
        <w:lang w:val="en-US"/>
      </w:rPr>
    </w:pPr>
    <w:r w:rsidRPr="00A43442">
      <w:rPr>
        <w:rFonts w:ascii="Arial" w:hAnsi="Arial" w:cs="Arial"/>
        <w:sz w:val="20"/>
        <w:szCs w:val="20"/>
        <w:lang w:val="en-US"/>
      </w:rPr>
      <w:t>ITH/1</w:t>
    </w:r>
    <w:r w:rsidR="00DC440E">
      <w:rPr>
        <w:rFonts w:ascii="Arial" w:hAnsi="Arial" w:cs="Arial"/>
        <w:sz w:val="20"/>
        <w:szCs w:val="20"/>
        <w:lang w:val="en-US"/>
      </w:rPr>
      <w:t>8</w:t>
    </w:r>
    <w:r w:rsidRPr="00A43442">
      <w:rPr>
        <w:rFonts w:ascii="Arial" w:hAnsi="Arial" w:cs="Arial"/>
        <w:sz w:val="20"/>
        <w:szCs w:val="20"/>
        <w:lang w:val="en-US"/>
      </w:rPr>
      <w:t>/</w:t>
    </w:r>
    <w:r w:rsidR="00DC440E">
      <w:rPr>
        <w:rFonts w:ascii="Arial" w:hAnsi="Arial" w:cs="Arial"/>
        <w:sz w:val="20"/>
        <w:szCs w:val="20"/>
        <w:lang w:val="en-US"/>
      </w:rPr>
      <w:t>7</w:t>
    </w:r>
    <w:r w:rsidRPr="00A43442">
      <w:rPr>
        <w:rFonts w:ascii="Arial" w:hAnsi="Arial" w:cs="Arial"/>
        <w:sz w:val="20"/>
        <w:szCs w:val="20"/>
        <w:lang w:val="en-US"/>
      </w:rPr>
      <w:t>.GA/INF.</w:t>
    </w:r>
    <w:r w:rsidR="00DC440E">
      <w:rPr>
        <w:rFonts w:ascii="Arial" w:hAnsi="Arial" w:cs="Arial"/>
        <w:sz w:val="20"/>
        <w:szCs w:val="20"/>
        <w:lang w:val="en-US"/>
      </w:rPr>
      <w:t>8</w:t>
    </w:r>
    <w:r w:rsidR="007C3D0C" w:rsidRPr="00EF563B">
      <w:rPr>
        <w:rFonts w:ascii="Arial" w:hAnsi="Arial" w:cs="Arial"/>
        <w:sz w:val="20"/>
        <w:szCs w:val="20"/>
        <w:lang w:val="en-US"/>
      </w:rPr>
      <w:t xml:space="preserve"> – page </w:t>
    </w:r>
    <w:r w:rsidR="007C3D0C" w:rsidRPr="00EF563B">
      <w:rPr>
        <w:rStyle w:val="PageNumber"/>
        <w:rFonts w:ascii="Arial" w:hAnsi="Arial" w:cs="Arial"/>
        <w:sz w:val="20"/>
        <w:szCs w:val="20"/>
      </w:rPr>
      <w:fldChar w:fldCharType="begin"/>
    </w:r>
    <w:r w:rsidR="007C3D0C" w:rsidRPr="00EF563B">
      <w:rPr>
        <w:rStyle w:val="PageNumber"/>
        <w:rFonts w:ascii="Arial" w:hAnsi="Arial" w:cs="Arial"/>
        <w:sz w:val="20"/>
        <w:szCs w:val="20"/>
        <w:lang w:val="en-US"/>
      </w:rPr>
      <w:instrText xml:space="preserve"> </w:instrText>
    </w:r>
    <w:r w:rsidR="007C3D0C">
      <w:rPr>
        <w:rStyle w:val="PageNumber"/>
        <w:rFonts w:ascii="Arial" w:hAnsi="Arial" w:cs="Arial"/>
        <w:sz w:val="20"/>
        <w:szCs w:val="20"/>
        <w:lang w:val="en-US"/>
      </w:rPr>
      <w:instrText>PAGE</w:instrText>
    </w:r>
    <w:r w:rsidR="007C3D0C" w:rsidRPr="00EF563B">
      <w:rPr>
        <w:rStyle w:val="PageNumber"/>
        <w:rFonts w:ascii="Arial" w:hAnsi="Arial" w:cs="Arial"/>
        <w:sz w:val="20"/>
        <w:szCs w:val="20"/>
        <w:lang w:val="en-US"/>
      </w:rPr>
      <w:instrText xml:space="preserve"> </w:instrText>
    </w:r>
    <w:r w:rsidR="007C3D0C" w:rsidRPr="00EF563B">
      <w:rPr>
        <w:rStyle w:val="PageNumber"/>
        <w:rFonts w:ascii="Arial" w:hAnsi="Arial" w:cs="Arial"/>
        <w:sz w:val="20"/>
        <w:szCs w:val="20"/>
      </w:rPr>
      <w:fldChar w:fldCharType="separate"/>
    </w:r>
    <w:r w:rsidR="00C66707">
      <w:rPr>
        <w:rStyle w:val="PageNumber"/>
        <w:rFonts w:ascii="Arial" w:hAnsi="Arial" w:cs="Arial"/>
        <w:noProof/>
        <w:sz w:val="20"/>
        <w:szCs w:val="20"/>
        <w:lang w:val="en-US"/>
      </w:rPr>
      <w:t>7</w:t>
    </w:r>
    <w:r w:rsidR="007C3D0C" w:rsidRPr="00EF563B">
      <w:rPr>
        <w:rStyle w:val="PageNumber"/>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905F" w14:textId="77777777" w:rsidR="007C3D0C" w:rsidRPr="008724E5" w:rsidRDefault="009B3DBC">
    <w:pPr>
      <w:pStyle w:val="Header"/>
    </w:pPr>
    <w:r>
      <w:rPr>
        <w:noProof/>
        <w:lang w:val="en-US" w:eastAsia="ko-KR"/>
      </w:rPr>
      <w:drawing>
        <wp:anchor distT="0" distB="0" distL="114300" distR="114300" simplePos="0" relativeHeight="251657728" behindDoc="0" locked="0" layoutInCell="1" allowOverlap="1" wp14:anchorId="5D4DDE36" wp14:editId="0F52A279">
          <wp:simplePos x="0" y="0"/>
          <wp:positionH relativeFrom="column">
            <wp:posOffset>-567690</wp:posOffset>
          </wp:positionH>
          <wp:positionV relativeFrom="paragraph">
            <wp:posOffset>3810</wp:posOffset>
          </wp:positionV>
          <wp:extent cx="2228215" cy="1367790"/>
          <wp:effectExtent l="0" t="0" r="0" b="0"/>
          <wp:wrapNone/>
          <wp:docPr id="3"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363BA" w14:textId="77777777" w:rsidR="007C3D0C" w:rsidRPr="00D81948" w:rsidRDefault="0088082E" w:rsidP="002938F2">
    <w:pPr>
      <w:pStyle w:val="Header"/>
      <w:spacing w:after="520"/>
      <w:jc w:val="right"/>
      <w:rPr>
        <w:rFonts w:ascii="Arial" w:hAnsi="Arial" w:cs="Arial"/>
        <w:b/>
        <w:sz w:val="44"/>
        <w:szCs w:val="44"/>
      </w:rPr>
    </w:pPr>
    <w:r>
      <w:rPr>
        <w:rFonts w:ascii="Arial" w:hAnsi="Arial" w:cs="Arial"/>
        <w:b/>
        <w:sz w:val="44"/>
        <w:szCs w:val="44"/>
      </w:rPr>
      <w:t>7</w:t>
    </w:r>
    <w:r w:rsidR="007C3D0C" w:rsidRPr="00D81948">
      <w:rPr>
        <w:rFonts w:ascii="Arial" w:hAnsi="Arial" w:cs="Arial"/>
        <w:b/>
        <w:sz w:val="44"/>
        <w:szCs w:val="44"/>
      </w:rPr>
      <w:t xml:space="preserve"> GA</w:t>
    </w:r>
  </w:p>
  <w:p w14:paraId="0235C0E6" w14:textId="29C8710D" w:rsidR="007C3D0C" w:rsidRPr="00D81948" w:rsidRDefault="007C3D0C" w:rsidP="002D396D">
    <w:pPr>
      <w:spacing w:after="0"/>
      <w:jc w:val="right"/>
      <w:rPr>
        <w:rFonts w:ascii="Arial" w:hAnsi="Arial" w:cs="Arial"/>
        <w:b/>
        <w:szCs w:val="22"/>
      </w:rPr>
    </w:pPr>
    <w:r w:rsidRPr="00D81948">
      <w:rPr>
        <w:rFonts w:ascii="Arial" w:hAnsi="Arial" w:cs="Arial"/>
        <w:b/>
        <w:szCs w:val="22"/>
      </w:rPr>
      <w:t>ITH/1</w:t>
    </w:r>
    <w:r w:rsidR="0088082E">
      <w:rPr>
        <w:rFonts w:ascii="Arial" w:hAnsi="Arial" w:cs="Arial"/>
        <w:b/>
        <w:szCs w:val="22"/>
      </w:rPr>
      <w:t>8</w:t>
    </w:r>
    <w:r w:rsidRPr="00D81948">
      <w:rPr>
        <w:rFonts w:ascii="Arial" w:hAnsi="Arial" w:cs="Arial"/>
        <w:b/>
        <w:szCs w:val="22"/>
      </w:rPr>
      <w:t>/</w:t>
    </w:r>
    <w:r w:rsidR="0088082E">
      <w:rPr>
        <w:rFonts w:ascii="Arial" w:hAnsi="Arial" w:cs="Arial"/>
        <w:b/>
        <w:szCs w:val="22"/>
      </w:rPr>
      <w:t>7</w:t>
    </w:r>
    <w:r w:rsidRPr="00D81948">
      <w:rPr>
        <w:rFonts w:ascii="Arial" w:hAnsi="Arial" w:cs="Arial"/>
        <w:b/>
        <w:szCs w:val="22"/>
      </w:rPr>
      <w:t>.GA/INF.</w:t>
    </w:r>
    <w:r w:rsidR="0088082E">
      <w:rPr>
        <w:rFonts w:ascii="Arial" w:hAnsi="Arial" w:cs="Arial"/>
        <w:b/>
        <w:szCs w:val="22"/>
      </w:rPr>
      <w:t>8</w:t>
    </w:r>
  </w:p>
  <w:p w14:paraId="6335E15D" w14:textId="1D0B9401" w:rsidR="007C3D0C" w:rsidRDefault="007C3D0C" w:rsidP="007A519A">
    <w:pPr>
      <w:spacing w:after="0"/>
      <w:jc w:val="right"/>
      <w:rPr>
        <w:rFonts w:ascii="Arial" w:hAnsi="Arial" w:cs="Arial"/>
        <w:b/>
        <w:szCs w:val="22"/>
      </w:rPr>
    </w:pPr>
    <w:r w:rsidRPr="000C16BE">
      <w:rPr>
        <w:rFonts w:ascii="Arial" w:hAnsi="Arial" w:cs="Arial"/>
        <w:b/>
        <w:szCs w:val="22"/>
      </w:rPr>
      <w:t xml:space="preserve">Paris, </w:t>
    </w:r>
    <w:r w:rsidR="007A519A">
      <w:rPr>
        <w:rFonts w:ascii="Arial" w:hAnsi="Arial" w:cs="Arial"/>
        <w:b/>
        <w:szCs w:val="22"/>
      </w:rPr>
      <w:t>4 May</w:t>
    </w:r>
    <w:r w:rsidR="0088082E">
      <w:rPr>
        <w:rFonts w:ascii="Arial" w:hAnsi="Arial" w:cs="Arial"/>
        <w:b/>
        <w:szCs w:val="22"/>
      </w:rPr>
      <w:t xml:space="preserve"> 2018</w:t>
    </w:r>
  </w:p>
  <w:p w14:paraId="25139444" w14:textId="00554BDC" w:rsidR="007C3D0C" w:rsidRDefault="007C3D0C" w:rsidP="002D396D">
    <w:pPr>
      <w:spacing w:after="0"/>
      <w:jc w:val="right"/>
      <w:rPr>
        <w:rFonts w:ascii="Arial" w:hAnsi="Arial" w:cs="Arial"/>
        <w:b/>
        <w:szCs w:val="22"/>
      </w:rPr>
    </w:pPr>
    <w:r w:rsidRPr="00D81948">
      <w:rPr>
        <w:rFonts w:ascii="Arial" w:hAnsi="Arial" w:cs="Arial"/>
        <w:b/>
        <w:szCs w:val="22"/>
      </w:rPr>
      <w:t xml:space="preserve">Original: </w:t>
    </w:r>
    <w:r>
      <w:rPr>
        <w:rFonts w:ascii="Arial" w:hAnsi="Arial" w:cs="Arial"/>
        <w:b/>
        <w:szCs w:val="22"/>
      </w:rPr>
      <w:t>English</w:t>
    </w:r>
  </w:p>
  <w:p w14:paraId="634BF21D" w14:textId="77777777" w:rsidR="00187B6E" w:rsidRPr="00187B6E" w:rsidRDefault="00187B6E" w:rsidP="00187B6E">
    <w:pPr>
      <w:spacing w:after="0"/>
      <w:rPr>
        <w:rFonts w:ascii="Arial" w:hAnsi="Arial" w:cs="Arial"/>
        <w:bCs/>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1AC23FD"/>
    <w:multiLevelType w:val="hybridMultilevel"/>
    <w:tmpl w:val="50705A4A"/>
    <w:lvl w:ilvl="0" w:tplc="0AAA5900">
      <w:start w:val="1"/>
      <w:numFmt w:val="decimal"/>
      <w:lvlText w:val="%1."/>
      <w:lvlJc w:val="left"/>
      <w:pPr>
        <w:tabs>
          <w:tab w:val="num" w:pos="363"/>
        </w:tabs>
        <w:ind w:left="363" w:hanging="360"/>
      </w:pPr>
      <w:rPr>
        <w:b w:val="0"/>
      </w:rPr>
    </w:lvl>
    <w:lvl w:ilvl="1" w:tplc="BB401AD4">
      <w:start w:val="1"/>
      <w:numFmt w:val="bullet"/>
      <w:lvlText w:val="-"/>
      <w:lvlJc w:val="left"/>
      <w:pPr>
        <w:tabs>
          <w:tab w:val="num" w:pos="1083"/>
        </w:tabs>
        <w:ind w:left="1083" w:hanging="360"/>
      </w:pPr>
      <w:rPr>
        <w:rFonts w:ascii="Arial" w:eastAsia="Times New Roman" w:hAnsi="Arial" w:cs="Arial" w:hint="default"/>
      </w:rPr>
    </w:lvl>
    <w:lvl w:ilvl="2" w:tplc="0CD4806C">
      <w:start w:val="1"/>
      <w:numFmt w:val="lowerLetter"/>
      <w:lvlText w:val="%3)"/>
      <w:lvlJc w:val="left"/>
      <w:pPr>
        <w:ind w:left="1983" w:hanging="360"/>
      </w:pPr>
      <w:rPr>
        <w:rFonts w:hint="default"/>
      </w:r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2"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1F70952"/>
    <w:multiLevelType w:val="hybridMultilevel"/>
    <w:tmpl w:val="5D06041C"/>
    <w:lvl w:ilvl="0" w:tplc="D120746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24080"/>
    <w:multiLevelType w:val="hybridMultilevel"/>
    <w:tmpl w:val="51603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F07BFE"/>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15:restartNumberingAfterBreak="0">
    <w:nsid w:val="41BD40C5"/>
    <w:multiLevelType w:val="hybridMultilevel"/>
    <w:tmpl w:val="68923BB4"/>
    <w:lvl w:ilvl="0" w:tplc="1176456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B71665"/>
    <w:multiLevelType w:val="hybridMultilevel"/>
    <w:tmpl w:val="7340C63C"/>
    <w:lvl w:ilvl="0" w:tplc="D04ECF5C">
      <w:start w:val="1"/>
      <w:numFmt w:val="decimal"/>
      <w:pStyle w:val="ListParagraph"/>
      <w:lvlText w:val="%1."/>
      <w:lvlJc w:val="left"/>
      <w:pPr>
        <w:ind w:left="502"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6A02196"/>
    <w:multiLevelType w:val="hybridMultilevel"/>
    <w:tmpl w:val="4EDA57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94573A"/>
    <w:multiLevelType w:val="hybridMultilevel"/>
    <w:tmpl w:val="7256B022"/>
    <w:lvl w:ilvl="0" w:tplc="A574CF68">
      <w:start w:val="1"/>
      <w:numFmt w:val="bullet"/>
      <w:pStyle w:val="Bullet1"/>
      <w:lvlText w:val=""/>
      <w:lvlJc w:val="left"/>
      <w:pPr>
        <w:ind w:left="720" w:hanging="360"/>
      </w:pPr>
      <w:rPr>
        <w:rFonts w:ascii="Symbol" w:hAnsi="Symbol" w:hint="default"/>
      </w:rPr>
    </w:lvl>
    <w:lvl w:ilvl="1" w:tplc="19845772">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04205E8"/>
    <w:multiLevelType w:val="hybridMultilevel"/>
    <w:tmpl w:val="9182B90E"/>
    <w:lvl w:ilvl="0" w:tplc="04090017">
      <w:start w:val="1"/>
      <w:numFmt w:val="lowerLetter"/>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6F2D2B"/>
    <w:multiLevelType w:val="hybridMultilevel"/>
    <w:tmpl w:val="C562D1DC"/>
    <w:lvl w:ilvl="0" w:tplc="11764566">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7"/>
  </w:num>
  <w:num w:numId="3">
    <w:abstractNumId w:val="2"/>
  </w:num>
  <w:num w:numId="4">
    <w:abstractNumId w:val="16"/>
  </w:num>
  <w:num w:numId="5">
    <w:abstractNumId w:val="14"/>
  </w:num>
  <w:num w:numId="6">
    <w:abstractNumId w:val="0"/>
  </w:num>
  <w:num w:numId="7">
    <w:abstractNumId w:val="3"/>
  </w:num>
  <w:num w:numId="8">
    <w:abstractNumId w:val="6"/>
  </w:num>
  <w:num w:numId="9">
    <w:abstractNumId w:val="9"/>
  </w:num>
  <w:num w:numId="10">
    <w:abstractNumId w:val="1"/>
  </w:num>
  <w:num w:numId="11">
    <w:abstractNumId w:val="8"/>
  </w:num>
  <w:num w:numId="12">
    <w:abstractNumId w:val="9"/>
  </w:num>
  <w:num w:numId="13">
    <w:abstractNumId w:val="9"/>
  </w:num>
  <w:num w:numId="14">
    <w:abstractNumId w:val="9"/>
  </w:num>
  <w:num w:numId="15">
    <w:abstractNumId w:val="9"/>
  </w:num>
  <w:num w:numId="16">
    <w:abstractNumId w:val="9"/>
  </w:num>
  <w:num w:numId="17">
    <w:abstractNumId w:val="11"/>
  </w:num>
  <w:num w:numId="18">
    <w:abstractNumId w:val="5"/>
  </w:num>
  <w:num w:numId="19">
    <w:abstractNumId w:val="9"/>
  </w:num>
  <w:num w:numId="20">
    <w:abstractNumId w:val="9"/>
  </w:num>
  <w:num w:numId="21">
    <w:abstractNumId w:val="9"/>
  </w:num>
  <w:num w:numId="22">
    <w:abstractNumId w:val="9"/>
  </w:num>
  <w:num w:numId="23">
    <w:abstractNumId w:val="6"/>
    <w:lvlOverride w:ilvl="0">
      <w:startOverride w:val="1"/>
    </w:lvlOverride>
  </w:num>
  <w:num w:numId="24">
    <w:abstractNumId w:val="9"/>
  </w:num>
  <w:num w:numId="25">
    <w:abstractNumId w:val="9"/>
  </w:num>
  <w:num w:numId="26">
    <w:abstractNumId w:val="9"/>
  </w:num>
  <w:num w:numId="27">
    <w:abstractNumId w:val="9"/>
  </w:num>
  <w:num w:numId="28">
    <w:abstractNumId w:val="15"/>
  </w:num>
  <w:num w:numId="29">
    <w:abstractNumId w:val="13"/>
  </w:num>
  <w:num w:numId="30">
    <w:abstractNumId w:val="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567"/>
  <w:hyphenationZone w:val="425"/>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196"/>
    <w:rsid w:val="000003ED"/>
    <w:rsid w:val="00000773"/>
    <w:rsid w:val="000016A4"/>
    <w:rsid w:val="000019DB"/>
    <w:rsid w:val="000047CC"/>
    <w:rsid w:val="00012043"/>
    <w:rsid w:val="000120FD"/>
    <w:rsid w:val="000150DA"/>
    <w:rsid w:val="00017560"/>
    <w:rsid w:val="00021831"/>
    <w:rsid w:val="00023505"/>
    <w:rsid w:val="00033DB5"/>
    <w:rsid w:val="000352F3"/>
    <w:rsid w:val="000360C7"/>
    <w:rsid w:val="00047E58"/>
    <w:rsid w:val="000515CF"/>
    <w:rsid w:val="00051C59"/>
    <w:rsid w:val="00066857"/>
    <w:rsid w:val="000673E9"/>
    <w:rsid w:val="00073900"/>
    <w:rsid w:val="000739B5"/>
    <w:rsid w:val="00073D20"/>
    <w:rsid w:val="000745F7"/>
    <w:rsid w:val="000755E1"/>
    <w:rsid w:val="00082B3E"/>
    <w:rsid w:val="00085541"/>
    <w:rsid w:val="000913B0"/>
    <w:rsid w:val="000931F0"/>
    <w:rsid w:val="000A2C3B"/>
    <w:rsid w:val="000A34CE"/>
    <w:rsid w:val="000B52AF"/>
    <w:rsid w:val="000B56F5"/>
    <w:rsid w:val="000B5F6E"/>
    <w:rsid w:val="000C00C7"/>
    <w:rsid w:val="000C1661"/>
    <w:rsid w:val="000C16BE"/>
    <w:rsid w:val="000C3944"/>
    <w:rsid w:val="000C65E4"/>
    <w:rsid w:val="000C7B89"/>
    <w:rsid w:val="000E26B1"/>
    <w:rsid w:val="000E7A8C"/>
    <w:rsid w:val="000F1B54"/>
    <w:rsid w:val="000F4858"/>
    <w:rsid w:val="00105111"/>
    <w:rsid w:val="00106B72"/>
    <w:rsid w:val="0011750D"/>
    <w:rsid w:val="00117946"/>
    <w:rsid w:val="00121510"/>
    <w:rsid w:val="00131A2D"/>
    <w:rsid w:val="00135D75"/>
    <w:rsid w:val="001412DE"/>
    <w:rsid w:val="00144A4D"/>
    <w:rsid w:val="00147DFC"/>
    <w:rsid w:val="00151351"/>
    <w:rsid w:val="00157CEB"/>
    <w:rsid w:val="00165E65"/>
    <w:rsid w:val="00167529"/>
    <w:rsid w:val="00174B39"/>
    <w:rsid w:val="001764B7"/>
    <w:rsid w:val="00181704"/>
    <w:rsid w:val="00182574"/>
    <w:rsid w:val="00184D6F"/>
    <w:rsid w:val="00187B6E"/>
    <w:rsid w:val="00193E58"/>
    <w:rsid w:val="00197D99"/>
    <w:rsid w:val="001A378D"/>
    <w:rsid w:val="001A431C"/>
    <w:rsid w:val="001B2BB0"/>
    <w:rsid w:val="001B67EB"/>
    <w:rsid w:val="001C0176"/>
    <w:rsid w:val="001C521C"/>
    <w:rsid w:val="001D00B5"/>
    <w:rsid w:val="001D3B29"/>
    <w:rsid w:val="001E4EEB"/>
    <w:rsid w:val="001F044D"/>
    <w:rsid w:val="001F37CA"/>
    <w:rsid w:val="00201081"/>
    <w:rsid w:val="002019ED"/>
    <w:rsid w:val="002023E2"/>
    <w:rsid w:val="00213471"/>
    <w:rsid w:val="002259FA"/>
    <w:rsid w:val="00227D89"/>
    <w:rsid w:val="00232B6D"/>
    <w:rsid w:val="002374DE"/>
    <w:rsid w:val="00240372"/>
    <w:rsid w:val="002556CF"/>
    <w:rsid w:val="00256B4E"/>
    <w:rsid w:val="0027198B"/>
    <w:rsid w:val="00281C9D"/>
    <w:rsid w:val="00286C0C"/>
    <w:rsid w:val="00287032"/>
    <w:rsid w:val="00290D5F"/>
    <w:rsid w:val="002938F2"/>
    <w:rsid w:val="002B50BC"/>
    <w:rsid w:val="002B5D8D"/>
    <w:rsid w:val="002C4850"/>
    <w:rsid w:val="002C5280"/>
    <w:rsid w:val="002D396D"/>
    <w:rsid w:val="002D4649"/>
    <w:rsid w:val="002E3266"/>
    <w:rsid w:val="002E3B93"/>
    <w:rsid w:val="002E62EA"/>
    <w:rsid w:val="002F32BF"/>
    <w:rsid w:val="0030153A"/>
    <w:rsid w:val="0030548A"/>
    <w:rsid w:val="00320FF9"/>
    <w:rsid w:val="00322A88"/>
    <w:rsid w:val="00336F06"/>
    <w:rsid w:val="003437FD"/>
    <w:rsid w:val="00343E68"/>
    <w:rsid w:val="00355B36"/>
    <w:rsid w:val="00355DB7"/>
    <w:rsid w:val="00356DDA"/>
    <w:rsid w:val="00363995"/>
    <w:rsid w:val="00363EAB"/>
    <w:rsid w:val="00367A4D"/>
    <w:rsid w:val="00380959"/>
    <w:rsid w:val="00384D5F"/>
    <w:rsid w:val="003878DF"/>
    <w:rsid w:val="0039446E"/>
    <w:rsid w:val="003968A9"/>
    <w:rsid w:val="003B71DB"/>
    <w:rsid w:val="003C7065"/>
    <w:rsid w:val="003D20A6"/>
    <w:rsid w:val="003D3E76"/>
    <w:rsid w:val="003D56A5"/>
    <w:rsid w:val="003E5D80"/>
    <w:rsid w:val="003F1686"/>
    <w:rsid w:val="0040156E"/>
    <w:rsid w:val="004108B6"/>
    <w:rsid w:val="0041339C"/>
    <w:rsid w:val="00417D89"/>
    <w:rsid w:val="00421C3D"/>
    <w:rsid w:val="00426676"/>
    <w:rsid w:val="00431C5E"/>
    <w:rsid w:val="00434773"/>
    <w:rsid w:val="00447630"/>
    <w:rsid w:val="004543FC"/>
    <w:rsid w:val="00467D19"/>
    <w:rsid w:val="00471B34"/>
    <w:rsid w:val="00485E13"/>
    <w:rsid w:val="00487AF0"/>
    <w:rsid w:val="00493E01"/>
    <w:rsid w:val="0049436B"/>
    <w:rsid w:val="004A5954"/>
    <w:rsid w:val="004B2EBB"/>
    <w:rsid w:val="004B5B99"/>
    <w:rsid w:val="004C00BD"/>
    <w:rsid w:val="004C0380"/>
    <w:rsid w:val="004D17AF"/>
    <w:rsid w:val="004D2D1F"/>
    <w:rsid w:val="004F05D5"/>
    <w:rsid w:val="005016FB"/>
    <w:rsid w:val="00503586"/>
    <w:rsid w:val="005035E7"/>
    <w:rsid w:val="00511D17"/>
    <w:rsid w:val="005123D8"/>
    <w:rsid w:val="0051699F"/>
    <w:rsid w:val="00522EFF"/>
    <w:rsid w:val="00527699"/>
    <w:rsid w:val="005351A5"/>
    <w:rsid w:val="00552E74"/>
    <w:rsid w:val="00560A33"/>
    <w:rsid w:val="00562C05"/>
    <w:rsid w:val="00564908"/>
    <w:rsid w:val="00565DFE"/>
    <w:rsid w:val="00566CAD"/>
    <w:rsid w:val="0057108D"/>
    <w:rsid w:val="005811A3"/>
    <w:rsid w:val="00586520"/>
    <w:rsid w:val="00590B42"/>
    <w:rsid w:val="005974BB"/>
    <w:rsid w:val="005A4282"/>
    <w:rsid w:val="005A4FE3"/>
    <w:rsid w:val="005A5792"/>
    <w:rsid w:val="005A6B51"/>
    <w:rsid w:val="005A75FE"/>
    <w:rsid w:val="005B32E0"/>
    <w:rsid w:val="005B5D1B"/>
    <w:rsid w:val="005C0660"/>
    <w:rsid w:val="005C08C0"/>
    <w:rsid w:val="005C7FD8"/>
    <w:rsid w:val="005E476B"/>
    <w:rsid w:val="005E5275"/>
    <w:rsid w:val="005E715E"/>
    <w:rsid w:val="005E770E"/>
    <w:rsid w:val="005F084E"/>
    <w:rsid w:val="005F4A48"/>
    <w:rsid w:val="00614EE8"/>
    <w:rsid w:val="00616429"/>
    <w:rsid w:val="006257D1"/>
    <w:rsid w:val="0063188F"/>
    <w:rsid w:val="00635379"/>
    <w:rsid w:val="00635A05"/>
    <w:rsid w:val="00640FC5"/>
    <w:rsid w:val="00646C65"/>
    <w:rsid w:val="006506E3"/>
    <w:rsid w:val="006515C9"/>
    <w:rsid w:val="00652318"/>
    <w:rsid w:val="0065545A"/>
    <w:rsid w:val="00657CDC"/>
    <w:rsid w:val="00662221"/>
    <w:rsid w:val="0066451D"/>
    <w:rsid w:val="006645A0"/>
    <w:rsid w:val="006667FE"/>
    <w:rsid w:val="00675C18"/>
    <w:rsid w:val="00676781"/>
    <w:rsid w:val="00691F7A"/>
    <w:rsid w:val="00692D05"/>
    <w:rsid w:val="00697357"/>
    <w:rsid w:val="006B681A"/>
    <w:rsid w:val="006C1111"/>
    <w:rsid w:val="006C55BE"/>
    <w:rsid w:val="006C75AF"/>
    <w:rsid w:val="006E21A0"/>
    <w:rsid w:val="006E52BE"/>
    <w:rsid w:val="006F461F"/>
    <w:rsid w:val="006F4B28"/>
    <w:rsid w:val="00700324"/>
    <w:rsid w:val="007024D5"/>
    <w:rsid w:val="0070543B"/>
    <w:rsid w:val="00713A15"/>
    <w:rsid w:val="00716011"/>
    <w:rsid w:val="00720710"/>
    <w:rsid w:val="00722604"/>
    <w:rsid w:val="0072307E"/>
    <w:rsid w:val="00727517"/>
    <w:rsid w:val="007409A4"/>
    <w:rsid w:val="00745B5E"/>
    <w:rsid w:val="00746204"/>
    <w:rsid w:val="00747715"/>
    <w:rsid w:val="00750138"/>
    <w:rsid w:val="00753DA3"/>
    <w:rsid w:val="0076103C"/>
    <w:rsid w:val="00764F50"/>
    <w:rsid w:val="0076583F"/>
    <w:rsid w:val="00772D2D"/>
    <w:rsid w:val="00775E55"/>
    <w:rsid w:val="007819ED"/>
    <w:rsid w:val="00790C65"/>
    <w:rsid w:val="00791613"/>
    <w:rsid w:val="00796AB0"/>
    <w:rsid w:val="007A2F68"/>
    <w:rsid w:val="007A519A"/>
    <w:rsid w:val="007A7D45"/>
    <w:rsid w:val="007B1853"/>
    <w:rsid w:val="007C1B00"/>
    <w:rsid w:val="007C3CAC"/>
    <w:rsid w:val="007C3D0C"/>
    <w:rsid w:val="007C7400"/>
    <w:rsid w:val="007D0988"/>
    <w:rsid w:val="007D31CE"/>
    <w:rsid w:val="007D5BB7"/>
    <w:rsid w:val="007D6FEA"/>
    <w:rsid w:val="007E0621"/>
    <w:rsid w:val="007E4DAE"/>
    <w:rsid w:val="007F360A"/>
    <w:rsid w:val="007F4B07"/>
    <w:rsid w:val="007F7483"/>
    <w:rsid w:val="008029F3"/>
    <w:rsid w:val="00806B17"/>
    <w:rsid w:val="00814B19"/>
    <w:rsid w:val="0083488D"/>
    <w:rsid w:val="00840AD1"/>
    <w:rsid w:val="008411AD"/>
    <w:rsid w:val="008466C3"/>
    <w:rsid w:val="00851458"/>
    <w:rsid w:val="00860B4B"/>
    <w:rsid w:val="00861A47"/>
    <w:rsid w:val="008707FF"/>
    <w:rsid w:val="008724E5"/>
    <w:rsid w:val="00873F4B"/>
    <w:rsid w:val="008767B0"/>
    <w:rsid w:val="0088048E"/>
    <w:rsid w:val="0088082E"/>
    <w:rsid w:val="00881905"/>
    <w:rsid w:val="00883D72"/>
    <w:rsid w:val="00885ED2"/>
    <w:rsid w:val="008D07BF"/>
    <w:rsid w:val="008E324E"/>
    <w:rsid w:val="008F16C6"/>
    <w:rsid w:val="008F1A0A"/>
    <w:rsid w:val="008F34A1"/>
    <w:rsid w:val="008F4F6E"/>
    <w:rsid w:val="0090381F"/>
    <w:rsid w:val="009121CE"/>
    <w:rsid w:val="00914E97"/>
    <w:rsid w:val="00916940"/>
    <w:rsid w:val="00920025"/>
    <w:rsid w:val="009220D0"/>
    <w:rsid w:val="00924A13"/>
    <w:rsid w:val="009303FA"/>
    <w:rsid w:val="00930F1B"/>
    <w:rsid w:val="009351D0"/>
    <w:rsid w:val="00941F83"/>
    <w:rsid w:val="00943DDE"/>
    <w:rsid w:val="00943E22"/>
    <w:rsid w:val="00946FE2"/>
    <w:rsid w:val="00950E8A"/>
    <w:rsid w:val="00952878"/>
    <w:rsid w:val="009538D7"/>
    <w:rsid w:val="00955C4A"/>
    <w:rsid w:val="00965BC4"/>
    <w:rsid w:val="009676AA"/>
    <w:rsid w:val="00971848"/>
    <w:rsid w:val="00972164"/>
    <w:rsid w:val="0097349C"/>
    <w:rsid w:val="00974675"/>
    <w:rsid w:val="00974D46"/>
    <w:rsid w:val="009775D2"/>
    <w:rsid w:val="0099306A"/>
    <w:rsid w:val="009A4F68"/>
    <w:rsid w:val="009B0C6B"/>
    <w:rsid w:val="009B2655"/>
    <w:rsid w:val="009B3DBC"/>
    <w:rsid w:val="009B4607"/>
    <w:rsid w:val="009B7183"/>
    <w:rsid w:val="009C5C23"/>
    <w:rsid w:val="009C6D4F"/>
    <w:rsid w:val="009D5E38"/>
    <w:rsid w:val="009E3180"/>
    <w:rsid w:val="009F261A"/>
    <w:rsid w:val="009F3117"/>
    <w:rsid w:val="009F3988"/>
    <w:rsid w:val="00A009CA"/>
    <w:rsid w:val="00A02EB7"/>
    <w:rsid w:val="00A1010A"/>
    <w:rsid w:val="00A150C7"/>
    <w:rsid w:val="00A22F99"/>
    <w:rsid w:val="00A258D0"/>
    <w:rsid w:val="00A36534"/>
    <w:rsid w:val="00A37D3F"/>
    <w:rsid w:val="00A43442"/>
    <w:rsid w:val="00A50493"/>
    <w:rsid w:val="00A51251"/>
    <w:rsid w:val="00A519A2"/>
    <w:rsid w:val="00A62B0F"/>
    <w:rsid w:val="00A64B40"/>
    <w:rsid w:val="00A6732A"/>
    <w:rsid w:val="00A70883"/>
    <w:rsid w:val="00A70C0F"/>
    <w:rsid w:val="00A77AEB"/>
    <w:rsid w:val="00A81B23"/>
    <w:rsid w:val="00A85A10"/>
    <w:rsid w:val="00A962A0"/>
    <w:rsid w:val="00AA0F8C"/>
    <w:rsid w:val="00AA444A"/>
    <w:rsid w:val="00AA5EAA"/>
    <w:rsid w:val="00AB1528"/>
    <w:rsid w:val="00AB1552"/>
    <w:rsid w:val="00AB2E75"/>
    <w:rsid w:val="00AC1196"/>
    <w:rsid w:val="00AC27F5"/>
    <w:rsid w:val="00AC5B2A"/>
    <w:rsid w:val="00AD2267"/>
    <w:rsid w:val="00AE1B18"/>
    <w:rsid w:val="00AE5198"/>
    <w:rsid w:val="00AF0BD4"/>
    <w:rsid w:val="00AF1C32"/>
    <w:rsid w:val="00B11AE3"/>
    <w:rsid w:val="00B13AE2"/>
    <w:rsid w:val="00B23BA6"/>
    <w:rsid w:val="00B24C93"/>
    <w:rsid w:val="00B266C4"/>
    <w:rsid w:val="00B27C85"/>
    <w:rsid w:val="00B34DAC"/>
    <w:rsid w:val="00B35FB9"/>
    <w:rsid w:val="00B4182F"/>
    <w:rsid w:val="00B53231"/>
    <w:rsid w:val="00B60DFE"/>
    <w:rsid w:val="00B6167A"/>
    <w:rsid w:val="00B6186A"/>
    <w:rsid w:val="00B63FE2"/>
    <w:rsid w:val="00B642A7"/>
    <w:rsid w:val="00B670D3"/>
    <w:rsid w:val="00B706BE"/>
    <w:rsid w:val="00B74EEE"/>
    <w:rsid w:val="00B87C76"/>
    <w:rsid w:val="00B947AB"/>
    <w:rsid w:val="00B96FB2"/>
    <w:rsid w:val="00B973B5"/>
    <w:rsid w:val="00BA5145"/>
    <w:rsid w:val="00BB2119"/>
    <w:rsid w:val="00BB4CD7"/>
    <w:rsid w:val="00BF0559"/>
    <w:rsid w:val="00BF114B"/>
    <w:rsid w:val="00BF683C"/>
    <w:rsid w:val="00C00E16"/>
    <w:rsid w:val="00C14508"/>
    <w:rsid w:val="00C34F50"/>
    <w:rsid w:val="00C369CA"/>
    <w:rsid w:val="00C47D45"/>
    <w:rsid w:val="00C53A06"/>
    <w:rsid w:val="00C560D0"/>
    <w:rsid w:val="00C56C5D"/>
    <w:rsid w:val="00C60906"/>
    <w:rsid w:val="00C630AC"/>
    <w:rsid w:val="00C6478B"/>
    <w:rsid w:val="00C66707"/>
    <w:rsid w:val="00C7473A"/>
    <w:rsid w:val="00C86D52"/>
    <w:rsid w:val="00C9054C"/>
    <w:rsid w:val="00C96650"/>
    <w:rsid w:val="00CA4F7D"/>
    <w:rsid w:val="00CB0F37"/>
    <w:rsid w:val="00CB3DA6"/>
    <w:rsid w:val="00CB3F45"/>
    <w:rsid w:val="00CC2BC6"/>
    <w:rsid w:val="00CC619E"/>
    <w:rsid w:val="00CE126A"/>
    <w:rsid w:val="00CE24A5"/>
    <w:rsid w:val="00CE2586"/>
    <w:rsid w:val="00CE6DE2"/>
    <w:rsid w:val="00CF76A4"/>
    <w:rsid w:val="00D02A61"/>
    <w:rsid w:val="00D061F2"/>
    <w:rsid w:val="00D15FE0"/>
    <w:rsid w:val="00D245CD"/>
    <w:rsid w:val="00D25677"/>
    <w:rsid w:val="00D30A82"/>
    <w:rsid w:val="00D404B7"/>
    <w:rsid w:val="00D454C3"/>
    <w:rsid w:val="00D542FA"/>
    <w:rsid w:val="00D547A9"/>
    <w:rsid w:val="00D7233B"/>
    <w:rsid w:val="00D74BE6"/>
    <w:rsid w:val="00D76F6A"/>
    <w:rsid w:val="00D809E5"/>
    <w:rsid w:val="00D81948"/>
    <w:rsid w:val="00D820DF"/>
    <w:rsid w:val="00D9126B"/>
    <w:rsid w:val="00D913CE"/>
    <w:rsid w:val="00D9501F"/>
    <w:rsid w:val="00D9641A"/>
    <w:rsid w:val="00D979B7"/>
    <w:rsid w:val="00DA1123"/>
    <w:rsid w:val="00DA53F5"/>
    <w:rsid w:val="00DA620A"/>
    <w:rsid w:val="00DB50D5"/>
    <w:rsid w:val="00DB572F"/>
    <w:rsid w:val="00DC440E"/>
    <w:rsid w:val="00DD001E"/>
    <w:rsid w:val="00DD5B90"/>
    <w:rsid w:val="00DF0688"/>
    <w:rsid w:val="00DF36BC"/>
    <w:rsid w:val="00DF3DA3"/>
    <w:rsid w:val="00E04687"/>
    <w:rsid w:val="00E06A00"/>
    <w:rsid w:val="00E10817"/>
    <w:rsid w:val="00E16F28"/>
    <w:rsid w:val="00E21E51"/>
    <w:rsid w:val="00E22742"/>
    <w:rsid w:val="00E22B99"/>
    <w:rsid w:val="00E258D9"/>
    <w:rsid w:val="00E3572C"/>
    <w:rsid w:val="00E439CA"/>
    <w:rsid w:val="00E51B44"/>
    <w:rsid w:val="00E5219B"/>
    <w:rsid w:val="00E56876"/>
    <w:rsid w:val="00E605C7"/>
    <w:rsid w:val="00E65735"/>
    <w:rsid w:val="00E77AB0"/>
    <w:rsid w:val="00E8636E"/>
    <w:rsid w:val="00E867EF"/>
    <w:rsid w:val="00EA198F"/>
    <w:rsid w:val="00EB3A0A"/>
    <w:rsid w:val="00EB74FD"/>
    <w:rsid w:val="00ED25A5"/>
    <w:rsid w:val="00ED5E9D"/>
    <w:rsid w:val="00EE1372"/>
    <w:rsid w:val="00EE7026"/>
    <w:rsid w:val="00EF0BCB"/>
    <w:rsid w:val="00EF0E74"/>
    <w:rsid w:val="00EF44A6"/>
    <w:rsid w:val="00EF609E"/>
    <w:rsid w:val="00F00E8A"/>
    <w:rsid w:val="00F31AD1"/>
    <w:rsid w:val="00F410D6"/>
    <w:rsid w:val="00F4192C"/>
    <w:rsid w:val="00F41D92"/>
    <w:rsid w:val="00F420C3"/>
    <w:rsid w:val="00F63DDA"/>
    <w:rsid w:val="00F65E74"/>
    <w:rsid w:val="00F70858"/>
    <w:rsid w:val="00F7397F"/>
    <w:rsid w:val="00F75949"/>
    <w:rsid w:val="00F81759"/>
    <w:rsid w:val="00F8650B"/>
    <w:rsid w:val="00F866B1"/>
    <w:rsid w:val="00F941F0"/>
    <w:rsid w:val="00F94578"/>
    <w:rsid w:val="00F94FF9"/>
    <w:rsid w:val="00FD131E"/>
    <w:rsid w:val="00FD5516"/>
    <w:rsid w:val="00FE5AC7"/>
    <w:rsid w:val="00FF2B1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6F6888"/>
  <w15:docId w15:val="{6B882465-2B60-4F4E-A060-E0653235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99"/>
    <w:pPr>
      <w:spacing w:after="120"/>
    </w:pPr>
    <w:rPr>
      <w:rFonts w:ascii="Times New Roman" w:eastAsia="Times New Roman" w:hAnsi="Times New Roman"/>
      <w:sz w:val="22"/>
      <w:szCs w:val="24"/>
      <w:lang w:val="en-GB" w:eastAsia="fr-FR"/>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4">
    <w:name w:val="heading 4"/>
    <w:aliases w:val="GA Heading"/>
    <w:basedOn w:val="Normal"/>
    <w:next w:val="Normal"/>
    <w:link w:val="Heading4Char"/>
    <w:qFormat/>
    <w:rsid w:val="00F66657"/>
    <w:pPr>
      <w:keepNext/>
      <w:keepLines/>
      <w:tabs>
        <w:tab w:val="left" w:pos="567"/>
      </w:tabs>
      <w:snapToGrid w:val="0"/>
      <w:spacing w:after="240"/>
      <w:outlineLvl w:val="3"/>
    </w:pPr>
    <w:rPr>
      <w:rFonts w:ascii="Arial" w:hAnsi="Arial"/>
      <w:b/>
      <w:bCs/>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spacing w:after="0"/>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lang w:val="fr-FR" w:eastAsia="fr-FR"/>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GA Heading Char"/>
    <w:link w:val="Heading4"/>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rsid w:val="00B11AE3"/>
    <w:rPr>
      <w:sz w:val="16"/>
      <w:szCs w:val="16"/>
    </w:rPr>
  </w:style>
  <w:style w:type="paragraph" w:styleId="CommentText">
    <w:name w:val="annotation text"/>
    <w:basedOn w:val="Normal"/>
    <w:link w:val="CommentTextChar"/>
    <w:rsid w:val="00B11AE3"/>
    <w:rPr>
      <w:sz w:val="20"/>
      <w:szCs w:val="20"/>
    </w:rPr>
  </w:style>
  <w:style w:type="character" w:customStyle="1" w:styleId="CommentTextChar">
    <w:name w:val="Comment Text Char"/>
    <w:link w:val="CommentText"/>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rsid w:val="00B11AE3"/>
    <w:rPr>
      <w:b/>
      <w:bCs/>
    </w:rPr>
  </w:style>
  <w:style w:type="character" w:customStyle="1" w:styleId="CommentSubjectChar">
    <w:name w:val="Comment Subject Char"/>
    <w:link w:val="CommentSubject"/>
    <w:rsid w:val="00B11AE3"/>
    <w:rPr>
      <w:rFonts w:ascii="Times New Roman" w:eastAsia="Times New Roman" w:hAnsi="Times New Roman"/>
      <w:b/>
      <w:bCs/>
      <w:lang w:val="en-GB"/>
    </w:rPr>
  </w:style>
  <w:style w:type="paragraph" w:customStyle="1" w:styleId="1GAPara">
    <w:name w:val="1. GA Para"/>
    <w:qFormat/>
    <w:rsid w:val="00E22B99"/>
    <w:pPr>
      <w:numPr>
        <w:numId w:val="8"/>
      </w:numPr>
      <w:spacing w:after="120"/>
      <w:ind w:left="567" w:hanging="567"/>
    </w:pPr>
    <w:rPr>
      <w:rFonts w:ascii="Arial" w:eastAsia="Times New Roman" w:hAnsi="Arial" w:cs="Arial"/>
      <w:snapToGrid w:val="0"/>
      <w:sz w:val="22"/>
      <w:szCs w:val="22"/>
      <w:lang w:val="en-GB" w:eastAsia="en-US"/>
    </w:rPr>
  </w:style>
  <w:style w:type="paragraph" w:styleId="NoSpacing">
    <w:name w:val="No Spacing"/>
    <w:link w:val="NoSpacingChar"/>
    <w:uiPriority w:val="1"/>
    <w:qFormat/>
    <w:rsid w:val="005A5792"/>
    <w:rPr>
      <w:rFonts w:ascii="Times New Roman" w:eastAsia="Times New Roman" w:hAnsi="Times New Roman"/>
      <w:sz w:val="24"/>
      <w:szCs w:val="24"/>
      <w:lang w:val="en-GB" w:eastAsia="en-GB"/>
    </w:rPr>
  </w:style>
  <w:style w:type="character" w:customStyle="1" w:styleId="NoSpacingChar">
    <w:name w:val="No Spacing Char"/>
    <w:link w:val="NoSpacing"/>
    <w:uiPriority w:val="1"/>
    <w:locked/>
    <w:rsid w:val="005A5792"/>
    <w:rPr>
      <w:rFonts w:ascii="Times New Roman" w:eastAsia="Times New Roman" w:hAnsi="Times New Roman"/>
      <w:sz w:val="24"/>
      <w:szCs w:val="24"/>
    </w:rPr>
  </w:style>
  <w:style w:type="paragraph" w:customStyle="1" w:styleId="Pranumrotrecommenc1">
    <w:name w:val="Pra numéroté recommencé à 1"/>
    <w:basedOn w:val="Normal"/>
    <w:rsid w:val="005A5792"/>
    <w:pPr>
      <w:tabs>
        <w:tab w:val="num" w:pos="360"/>
      </w:tabs>
      <w:spacing w:after="0"/>
      <w:ind w:left="360" w:hanging="360"/>
    </w:pPr>
    <w:rPr>
      <w:rFonts w:ascii="Arial" w:hAnsi="Arial"/>
      <w:sz w:val="24"/>
      <w:lang w:val="fr-FR"/>
    </w:rPr>
  </w:style>
  <w:style w:type="paragraph" w:styleId="FootnoteText">
    <w:name w:val="footnote text"/>
    <w:basedOn w:val="Normal"/>
    <w:link w:val="FootnoteTextChar"/>
    <w:uiPriority w:val="99"/>
    <w:unhideWhenUsed/>
    <w:rsid w:val="005A5792"/>
    <w:pPr>
      <w:spacing w:after="200" w:line="276" w:lineRule="auto"/>
    </w:pPr>
    <w:rPr>
      <w:rFonts w:ascii="Calibri" w:eastAsia="SimSun" w:hAnsi="Calibri"/>
      <w:sz w:val="20"/>
      <w:szCs w:val="20"/>
      <w:lang w:val="x-none" w:eastAsia="zh-CN"/>
    </w:rPr>
  </w:style>
  <w:style w:type="character" w:customStyle="1" w:styleId="FootnoteTextChar">
    <w:name w:val="Footnote Text Char"/>
    <w:link w:val="FootnoteText"/>
    <w:uiPriority w:val="99"/>
    <w:rsid w:val="005A5792"/>
    <w:rPr>
      <w:lang w:val="x-none" w:eastAsia="zh-CN"/>
    </w:rPr>
  </w:style>
  <w:style w:type="character" w:styleId="FootnoteReference">
    <w:name w:val="footnote reference"/>
    <w:uiPriority w:val="99"/>
    <w:unhideWhenUsed/>
    <w:rsid w:val="005A5792"/>
    <w:rPr>
      <w:vertAlign w:val="superscript"/>
    </w:rPr>
  </w:style>
  <w:style w:type="paragraph" w:styleId="ListParagraph">
    <w:name w:val="List Paragraph"/>
    <w:basedOn w:val="Marge"/>
    <w:qFormat/>
    <w:rsid w:val="00193E58"/>
    <w:pPr>
      <w:numPr>
        <w:numId w:val="9"/>
      </w:numPr>
      <w:spacing w:after="120"/>
    </w:pPr>
    <w:rPr>
      <w:rFonts w:cs="Arial"/>
      <w:szCs w:val="22"/>
    </w:rPr>
  </w:style>
  <w:style w:type="paragraph" w:customStyle="1" w:styleId="Default">
    <w:name w:val="Default"/>
    <w:uiPriority w:val="99"/>
    <w:rsid w:val="005A5792"/>
    <w:pPr>
      <w:autoSpaceDE w:val="0"/>
      <w:autoSpaceDN w:val="0"/>
      <w:adjustRightInd w:val="0"/>
    </w:pPr>
    <w:rPr>
      <w:rFonts w:ascii="Arial" w:hAnsi="Arial" w:cs="Arial"/>
      <w:color w:val="000000"/>
      <w:sz w:val="24"/>
      <w:szCs w:val="24"/>
      <w:lang w:eastAsia="zh-CN"/>
    </w:rPr>
  </w:style>
  <w:style w:type="paragraph" w:customStyle="1" w:styleId="Paragraph">
    <w:name w:val="Paragraph"/>
    <w:basedOn w:val="Default"/>
    <w:link w:val="ParagraphChar"/>
    <w:qFormat/>
    <w:rsid w:val="002B50BC"/>
    <w:pPr>
      <w:spacing w:after="240"/>
      <w:jc w:val="both"/>
    </w:pPr>
    <w:rPr>
      <w:bCs/>
      <w:sz w:val="22"/>
      <w:szCs w:val="22"/>
      <w:lang w:val="en-GB"/>
    </w:rPr>
  </w:style>
  <w:style w:type="character" w:customStyle="1" w:styleId="ParagraphChar">
    <w:name w:val="Paragraph Char"/>
    <w:link w:val="Paragraph"/>
    <w:rsid w:val="002B50BC"/>
    <w:rPr>
      <w:rFonts w:ascii="Arial" w:hAnsi="Arial" w:cs="Arial"/>
      <w:bCs/>
      <w:color w:val="000000"/>
      <w:sz w:val="22"/>
      <w:szCs w:val="22"/>
      <w:lang w:eastAsia="zh-CN"/>
    </w:rPr>
  </w:style>
  <w:style w:type="character" w:styleId="Hyperlink">
    <w:name w:val="Hyperlink"/>
    <w:unhideWhenUsed/>
    <w:rsid w:val="00691F7A"/>
    <w:rPr>
      <w:color w:val="0000FF"/>
      <w:u w:val="single"/>
    </w:rPr>
  </w:style>
  <w:style w:type="character" w:customStyle="1" w:styleId="hps">
    <w:name w:val="hps"/>
    <w:rsid w:val="00B706BE"/>
  </w:style>
  <w:style w:type="paragraph" w:styleId="Revision">
    <w:name w:val="Revision"/>
    <w:hidden/>
    <w:uiPriority w:val="99"/>
    <w:semiHidden/>
    <w:rsid w:val="00D9126B"/>
    <w:rPr>
      <w:rFonts w:ascii="Times New Roman" w:eastAsia="Times New Roman" w:hAnsi="Times New Roman"/>
      <w:sz w:val="22"/>
      <w:szCs w:val="24"/>
      <w:lang w:val="en-GB" w:eastAsia="fr-FR"/>
    </w:rPr>
  </w:style>
  <w:style w:type="character" w:styleId="FollowedHyperlink">
    <w:name w:val="FollowedHyperlink"/>
    <w:semiHidden/>
    <w:unhideWhenUsed/>
    <w:rsid w:val="00E65735"/>
    <w:rPr>
      <w:color w:val="800080"/>
      <w:u w:val="single"/>
    </w:rPr>
  </w:style>
  <w:style w:type="paragraph" w:customStyle="1" w:styleId="COMPara">
    <w:name w:val="COM Para"/>
    <w:qFormat/>
    <w:rsid w:val="003F1686"/>
    <w:pPr>
      <w:spacing w:after="120"/>
      <w:ind w:left="567" w:hanging="567"/>
    </w:pPr>
    <w:rPr>
      <w:rFonts w:ascii="Arial" w:eastAsia="Times New Roman" w:hAnsi="Arial" w:cs="Arial"/>
      <w:snapToGrid w:val="0"/>
      <w:sz w:val="22"/>
      <w:szCs w:val="22"/>
      <w:lang w:val="en-GB" w:eastAsia="en-US"/>
    </w:rPr>
  </w:style>
  <w:style w:type="paragraph" w:customStyle="1" w:styleId="Bullet1">
    <w:name w:val="Bullet_1"/>
    <w:basedOn w:val="Marge"/>
    <w:link w:val="Bullet1Char"/>
    <w:qFormat/>
    <w:rsid w:val="006C1111"/>
    <w:pPr>
      <w:numPr>
        <w:numId w:val="17"/>
      </w:numPr>
      <w:tabs>
        <w:tab w:val="clear" w:pos="567"/>
      </w:tabs>
      <w:spacing w:before="240" w:line="360" w:lineRule="auto"/>
    </w:pPr>
    <w:rPr>
      <w:rFonts w:eastAsia="SimSun" w:cs="Arial"/>
      <w:sz w:val="28"/>
      <w:szCs w:val="28"/>
      <w:lang w:eastAsia="zh-CN"/>
    </w:rPr>
  </w:style>
  <w:style w:type="paragraph" w:customStyle="1" w:styleId="Bullet2">
    <w:name w:val="Bullet_2"/>
    <w:basedOn w:val="Marge"/>
    <w:qFormat/>
    <w:rsid w:val="006C1111"/>
    <w:pPr>
      <w:numPr>
        <w:ilvl w:val="1"/>
        <w:numId w:val="17"/>
      </w:numPr>
      <w:tabs>
        <w:tab w:val="clear" w:pos="567"/>
      </w:tabs>
      <w:spacing w:before="240" w:line="360" w:lineRule="auto"/>
    </w:pPr>
    <w:rPr>
      <w:rFonts w:eastAsia="SimSun" w:cs="Arial"/>
      <w:sz w:val="28"/>
      <w:szCs w:val="28"/>
      <w:lang w:eastAsia="zh-CN"/>
    </w:rPr>
  </w:style>
  <w:style w:type="character" w:customStyle="1" w:styleId="Bullet1Char">
    <w:name w:val="Bullet_1 Char"/>
    <w:link w:val="Bullet1"/>
    <w:rsid w:val="006C1111"/>
    <w:rPr>
      <w:rFonts w:ascii="Arial" w:hAnsi="Arial" w:cs="Arial"/>
      <w:snapToGrid w:val="0"/>
      <w:sz w:val="28"/>
      <w:szCs w:val="28"/>
      <w:lang w:val="en-GB" w:eastAsia="zh-CN"/>
    </w:rPr>
  </w:style>
  <w:style w:type="paragraph" w:customStyle="1" w:styleId="COMParaDecision">
    <w:name w:val="COM Para Decision"/>
    <w:basedOn w:val="Normal"/>
    <w:qFormat/>
    <w:rsid w:val="002E3B93"/>
    <w:pPr>
      <w:autoSpaceDE w:val="0"/>
      <w:autoSpaceDN w:val="0"/>
      <w:adjustRightInd w:val="0"/>
      <w:jc w:val="both"/>
    </w:pPr>
    <w:rPr>
      <w:rFonts w:ascii="Arial" w:eastAsia="SimSun" w:hAnsi="Arial" w:cs="Arial"/>
      <w:szCs w:val="22"/>
      <w:u w:val="single"/>
    </w:rPr>
  </w:style>
  <w:style w:type="paragraph" w:styleId="EndnoteText">
    <w:name w:val="endnote text"/>
    <w:basedOn w:val="Normal"/>
    <w:link w:val="EndnoteTextChar"/>
    <w:semiHidden/>
    <w:unhideWhenUsed/>
    <w:rsid w:val="00A50493"/>
    <w:pPr>
      <w:spacing w:after="0"/>
    </w:pPr>
    <w:rPr>
      <w:sz w:val="20"/>
      <w:szCs w:val="20"/>
    </w:rPr>
  </w:style>
  <w:style w:type="character" w:customStyle="1" w:styleId="EndnoteTextChar">
    <w:name w:val="Endnote Text Char"/>
    <w:basedOn w:val="DefaultParagraphFont"/>
    <w:link w:val="EndnoteText"/>
    <w:semiHidden/>
    <w:rsid w:val="00A50493"/>
    <w:rPr>
      <w:rFonts w:ascii="Times New Roman" w:eastAsia="Times New Roman" w:hAnsi="Times New Roman"/>
      <w:lang w:val="en-GB" w:eastAsia="fr-FR"/>
    </w:rPr>
  </w:style>
  <w:style w:type="character" w:styleId="EndnoteReference">
    <w:name w:val="endnote reference"/>
    <w:basedOn w:val="DefaultParagraphFont"/>
    <w:semiHidden/>
    <w:unhideWhenUsed/>
    <w:rsid w:val="00A504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8519">
      <w:bodyDiv w:val="1"/>
      <w:marLeft w:val="0"/>
      <w:marRight w:val="0"/>
      <w:marTop w:val="0"/>
      <w:marBottom w:val="0"/>
      <w:divBdr>
        <w:top w:val="none" w:sz="0" w:space="0" w:color="auto"/>
        <w:left w:val="none" w:sz="0" w:space="0" w:color="auto"/>
        <w:bottom w:val="none" w:sz="0" w:space="0" w:color="auto"/>
        <w:right w:val="none" w:sz="0" w:space="0" w:color="auto"/>
      </w:divBdr>
    </w:div>
    <w:div w:id="105395299">
      <w:bodyDiv w:val="1"/>
      <w:marLeft w:val="0"/>
      <w:marRight w:val="0"/>
      <w:marTop w:val="0"/>
      <w:marBottom w:val="0"/>
      <w:divBdr>
        <w:top w:val="none" w:sz="0" w:space="0" w:color="auto"/>
        <w:left w:val="none" w:sz="0" w:space="0" w:color="auto"/>
        <w:bottom w:val="none" w:sz="0" w:space="0" w:color="auto"/>
        <w:right w:val="none" w:sz="0" w:space="0" w:color="auto"/>
      </w:divBdr>
    </w:div>
    <w:div w:id="159010195">
      <w:bodyDiv w:val="1"/>
      <w:marLeft w:val="0"/>
      <w:marRight w:val="0"/>
      <w:marTop w:val="0"/>
      <w:marBottom w:val="0"/>
      <w:divBdr>
        <w:top w:val="none" w:sz="0" w:space="0" w:color="auto"/>
        <w:left w:val="none" w:sz="0" w:space="0" w:color="auto"/>
        <w:bottom w:val="none" w:sz="0" w:space="0" w:color="auto"/>
        <w:right w:val="none" w:sz="0" w:space="0" w:color="auto"/>
      </w:divBdr>
    </w:div>
    <w:div w:id="166796059">
      <w:bodyDiv w:val="1"/>
      <w:marLeft w:val="0"/>
      <w:marRight w:val="0"/>
      <w:marTop w:val="0"/>
      <w:marBottom w:val="0"/>
      <w:divBdr>
        <w:top w:val="none" w:sz="0" w:space="0" w:color="auto"/>
        <w:left w:val="none" w:sz="0" w:space="0" w:color="auto"/>
        <w:bottom w:val="none" w:sz="0" w:space="0" w:color="auto"/>
        <w:right w:val="none" w:sz="0" w:space="0" w:color="auto"/>
      </w:divBdr>
    </w:div>
    <w:div w:id="195235589">
      <w:bodyDiv w:val="1"/>
      <w:marLeft w:val="0"/>
      <w:marRight w:val="0"/>
      <w:marTop w:val="0"/>
      <w:marBottom w:val="0"/>
      <w:divBdr>
        <w:top w:val="none" w:sz="0" w:space="0" w:color="auto"/>
        <w:left w:val="none" w:sz="0" w:space="0" w:color="auto"/>
        <w:bottom w:val="none" w:sz="0" w:space="0" w:color="auto"/>
        <w:right w:val="none" w:sz="0" w:space="0" w:color="auto"/>
      </w:divBdr>
    </w:div>
    <w:div w:id="195390996">
      <w:bodyDiv w:val="1"/>
      <w:marLeft w:val="0"/>
      <w:marRight w:val="0"/>
      <w:marTop w:val="0"/>
      <w:marBottom w:val="0"/>
      <w:divBdr>
        <w:top w:val="none" w:sz="0" w:space="0" w:color="auto"/>
        <w:left w:val="none" w:sz="0" w:space="0" w:color="auto"/>
        <w:bottom w:val="none" w:sz="0" w:space="0" w:color="auto"/>
        <w:right w:val="none" w:sz="0" w:space="0" w:color="auto"/>
      </w:divBdr>
    </w:div>
    <w:div w:id="206068308">
      <w:bodyDiv w:val="1"/>
      <w:marLeft w:val="0"/>
      <w:marRight w:val="0"/>
      <w:marTop w:val="0"/>
      <w:marBottom w:val="0"/>
      <w:divBdr>
        <w:top w:val="none" w:sz="0" w:space="0" w:color="auto"/>
        <w:left w:val="none" w:sz="0" w:space="0" w:color="auto"/>
        <w:bottom w:val="none" w:sz="0" w:space="0" w:color="auto"/>
        <w:right w:val="none" w:sz="0" w:space="0" w:color="auto"/>
      </w:divBdr>
    </w:div>
    <w:div w:id="258298058">
      <w:bodyDiv w:val="1"/>
      <w:marLeft w:val="0"/>
      <w:marRight w:val="0"/>
      <w:marTop w:val="0"/>
      <w:marBottom w:val="0"/>
      <w:divBdr>
        <w:top w:val="none" w:sz="0" w:space="0" w:color="auto"/>
        <w:left w:val="none" w:sz="0" w:space="0" w:color="auto"/>
        <w:bottom w:val="none" w:sz="0" w:space="0" w:color="auto"/>
        <w:right w:val="none" w:sz="0" w:space="0" w:color="auto"/>
      </w:divBdr>
    </w:div>
    <w:div w:id="283855306">
      <w:bodyDiv w:val="1"/>
      <w:marLeft w:val="0"/>
      <w:marRight w:val="0"/>
      <w:marTop w:val="0"/>
      <w:marBottom w:val="0"/>
      <w:divBdr>
        <w:top w:val="none" w:sz="0" w:space="0" w:color="auto"/>
        <w:left w:val="none" w:sz="0" w:space="0" w:color="auto"/>
        <w:bottom w:val="none" w:sz="0" w:space="0" w:color="auto"/>
        <w:right w:val="none" w:sz="0" w:space="0" w:color="auto"/>
      </w:divBdr>
    </w:div>
    <w:div w:id="418216632">
      <w:bodyDiv w:val="1"/>
      <w:marLeft w:val="0"/>
      <w:marRight w:val="0"/>
      <w:marTop w:val="0"/>
      <w:marBottom w:val="0"/>
      <w:divBdr>
        <w:top w:val="none" w:sz="0" w:space="0" w:color="auto"/>
        <w:left w:val="none" w:sz="0" w:space="0" w:color="auto"/>
        <w:bottom w:val="none" w:sz="0" w:space="0" w:color="auto"/>
        <w:right w:val="none" w:sz="0" w:space="0" w:color="auto"/>
      </w:divBdr>
    </w:div>
    <w:div w:id="419451714">
      <w:bodyDiv w:val="1"/>
      <w:marLeft w:val="0"/>
      <w:marRight w:val="0"/>
      <w:marTop w:val="0"/>
      <w:marBottom w:val="0"/>
      <w:divBdr>
        <w:top w:val="none" w:sz="0" w:space="0" w:color="auto"/>
        <w:left w:val="none" w:sz="0" w:space="0" w:color="auto"/>
        <w:bottom w:val="none" w:sz="0" w:space="0" w:color="auto"/>
        <w:right w:val="none" w:sz="0" w:space="0" w:color="auto"/>
      </w:divBdr>
    </w:div>
    <w:div w:id="433670119">
      <w:bodyDiv w:val="1"/>
      <w:marLeft w:val="0"/>
      <w:marRight w:val="0"/>
      <w:marTop w:val="0"/>
      <w:marBottom w:val="0"/>
      <w:divBdr>
        <w:top w:val="none" w:sz="0" w:space="0" w:color="auto"/>
        <w:left w:val="none" w:sz="0" w:space="0" w:color="auto"/>
        <w:bottom w:val="none" w:sz="0" w:space="0" w:color="auto"/>
        <w:right w:val="none" w:sz="0" w:space="0" w:color="auto"/>
      </w:divBdr>
    </w:div>
    <w:div w:id="456413966">
      <w:bodyDiv w:val="1"/>
      <w:marLeft w:val="0"/>
      <w:marRight w:val="0"/>
      <w:marTop w:val="0"/>
      <w:marBottom w:val="0"/>
      <w:divBdr>
        <w:top w:val="none" w:sz="0" w:space="0" w:color="auto"/>
        <w:left w:val="none" w:sz="0" w:space="0" w:color="auto"/>
        <w:bottom w:val="none" w:sz="0" w:space="0" w:color="auto"/>
        <w:right w:val="none" w:sz="0" w:space="0" w:color="auto"/>
      </w:divBdr>
    </w:div>
    <w:div w:id="501892409">
      <w:bodyDiv w:val="1"/>
      <w:marLeft w:val="0"/>
      <w:marRight w:val="0"/>
      <w:marTop w:val="0"/>
      <w:marBottom w:val="0"/>
      <w:divBdr>
        <w:top w:val="none" w:sz="0" w:space="0" w:color="auto"/>
        <w:left w:val="none" w:sz="0" w:space="0" w:color="auto"/>
        <w:bottom w:val="none" w:sz="0" w:space="0" w:color="auto"/>
        <w:right w:val="none" w:sz="0" w:space="0" w:color="auto"/>
      </w:divBdr>
    </w:div>
    <w:div w:id="523635506">
      <w:bodyDiv w:val="1"/>
      <w:marLeft w:val="0"/>
      <w:marRight w:val="0"/>
      <w:marTop w:val="0"/>
      <w:marBottom w:val="0"/>
      <w:divBdr>
        <w:top w:val="none" w:sz="0" w:space="0" w:color="auto"/>
        <w:left w:val="none" w:sz="0" w:space="0" w:color="auto"/>
        <w:bottom w:val="none" w:sz="0" w:space="0" w:color="auto"/>
        <w:right w:val="none" w:sz="0" w:space="0" w:color="auto"/>
      </w:divBdr>
    </w:div>
    <w:div w:id="537663245">
      <w:bodyDiv w:val="1"/>
      <w:marLeft w:val="0"/>
      <w:marRight w:val="0"/>
      <w:marTop w:val="0"/>
      <w:marBottom w:val="0"/>
      <w:divBdr>
        <w:top w:val="none" w:sz="0" w:space="0" w:color="auto"/>
        <w:left w:val="none" w:sz="0" w:space="0" w:color="auto"/>
        <w:bottom w:val="none" w:sz="0" w:space="0" w:color="auto"/>
        <w:right w:val="none" w:sz="0" w:space="0" w:color="auto"/>
      </w:divBdr>
    </w:div>
    <w:div w:id="663630323">
      <w:bodyDiv w:val="1"/>
      <w:marLeft w:val="0"/>
      <w:marRight w:val="0"/>
      <w:marTop w:val="0"/>
      <w:marBottom w:val="0"/>
      <w:divBdr>
        <w:top w:val="none" w:sz="0" w:space="0" w:color="auto"/>
        <w:left w:val="none" w:sz="0" w:space="0" w:color="auto"/>
        <w:bottom w:val="none" w:sz="0" w:space="0" w:color="auto"/>
        <w:right w:val="none" w:sz="0" w:space="0" w:color="auto"/>
      </w:divBdr>
    </w:div>
    <w:div w:id="668752319">
      <w:bodyDiv w:val="1"/>
      <w:marLeft w:val="0"/>
      <w:marRight w:val="0"/>
      <w:marTop w:val="0"/>
      <w:marBottom w:val="0"/>
      <w:divBdr>
        <w:top w:val="none" w:sz="0" w:space="0" w:color="auto"/>
        <w:left w:val="none" w:sz="0" w:space="0" w:color="auto"/>
        <w:bottom w:val="none" w:sz="0" w:space="0" w:color="auto"/>
        <w:right w:val="none" w:sz="0" w:space="0" w:color="auto"/>
      </w:divBdr>
    </w:div>
    <w:div w:id="733700885">
      <w:bodyDiv w:val="1"/>
      <w:marLeft w:val="0"/>
      <w:marRight w:val="0"/>
      <w:marTop w:val="0"/>
      <w:marBottom w:val="0"/>
      <w:divBdr>
        <w:top w:val="none" w:sz="0" w:space="0" w:color="auto"/>
        <w:left w:val="none" w:sz="0" w:space="0" w:color="auto"/>
        <w:bottom w:val="none" w:sz="0" w:space="0" w:color="auto"/>
        <w:right w:val="none" w:sz="0" w:space="0" w:color="auto"/>
      </w:divBdr>
    </w:div>
    <w:div w:id="735782139">
      <w:bodyDiv w:val="1"/>
      <w:marLeft w:val="0"/>
      <w:marRight w:val="0"/>
      <w:marTop w:val="0"/>
      <w:marBottom w:val="0"/>
      <w:divBdr>
        <w:top w:val="none" w:sz="0" w:space="0" w:color="auto"/>
        <w:left w:val="none" w:sz="0" w:space="0" w:color="auto"/>
        <w:bottom w:val="none" w:sz="0" w:space="0" w:color="auto"/>
        <w:right w:val="none" w:sz="0" w:space="0" w:color="auto"/>
      </w:divBdr>
    </w:div>
    <w:div w:id="764230810">
      <w:bodyDiv w:val="1"/>
      <w:marLeft w:val="0"/>
      <w:marRight w:val="0"/>
      <w:marTop w:val="0"/>
      <w:marBottom w:val="0"/>
      <w:divBdr>
        <w:top w:val="none" w:sz="0" w:space="0" w:color="auto"/>
        <w:left w:val="none" w:sz="0" w:space="0" w:color="auto"/>
        <w:bottom w:val="none" w:sz="0" w:space="0" w:color="auto"/>
        <w:right w:val="none" w:sz="0" w:space="0" w:color="auto"/>
      </w:divBdr>
    </w:div>
    <w:div w:id="781845617">
      <w:bodyDiv w:val="1"/>
      <w:marLeft w:val="0"/>
      <w:marRight w:val="0"/>
      <w:marTop w:val="0"/>
      <w:marBottom w:val="0"/>
      <w:divBdr>
        <w:top w:val="none" w:sz="0" w:space="0" w:color="auto"/>
        <w:left w:val="none" w:sz="0" w:space="0" w:color="auto"/>
        <w:bottom w:val="none" w:sz="0" w:space="0" w:color="auto"/>
        <w:right w:val="none" w:sz="0" w:space="0" w:color="auto"/>
      </w:divBdr>
    </w:div>
    <w:div w:id="819542929">
      <w:bodyDiv w:val="1"/>
      <w:marLeft w:val="0"/>
      <w:marRight w:val="0"/>
      <w:marTop w:val="0"/>
      <w:marBottom w:val="0"/>
      <w:divBdr>
        <w:top w:val="none" w:sz="0" w:space="0" w:color="auto"/>
        <w:left w:val="none" w:sz="0" w:space="0" w:color="auto"/>
        <w:bottom w:val="none" w:sz="0" w:space="0" w:color="auto"/>
        <w:right w:val="none" w:sz="0" w:space="0" w:color="auto"/>
      </w:divBdr>
    </w:div>
    <w:div w:id="876552330">
      <w:bodyDiv w:val="1"/>
      <w:marLeft w:val="0"/>
      <w:marRight w:val="0"/>
      <w:marTop w:val="0"/>
      <w:marBottom w:val="0"/>
      <w:divBdr>
        <w:top w:val="none" w:sz="0" w:space="0" w:color="auto"/>
        <w:left w:val="none" w:sz="0" w:space="0" w:color="auto"/>
        <w:bottom w:val="none" w:sz="0" w:space="0" w:color="auto"/>
        <w:right w:val="none" w:sz="0" w:space="0" w:color="auto"/>
      </w:divBdr>
    </w:div>
    <w:div w:id="922957602">
      <w:bodyDiv w:val="1"/>
      <w:marLeft w:val="0"/>
      <w:marRight w:val="0"/>
      <w:marTop w:val="0"/>
      <w:marBottom w:val="0"/>
      <w:divBdr>
        <w:top w:val="none" w:sz="0" w:space="0" w:color="auto"/>
        <w:left w:val="none" w:sz="0" w:space="0" w:color="auto"/>
        <w:bottom w:val="none" w:sz="0" w:space="0" w:color="auto"/>
        <w:right w:val="none" w:sz="0" w:space="0" w:color="auto"/>
      </w:divBdr>
    </w:div>
    <w:div w:id="1018779672">
      <w:bodyDiv w:val="1"/>
      <w:marLeft w:val="0"/>
      <w:marRight w:val="0"/>
      <w:marTop w:val="0"/>
      <w:marBottom w:val="0"/>
      <w:divBdr>
        <w:top w:val="none" w:sz="0" w:space="0" w:color="auto"/>
        <w:left w:val="none" w:sz="0" w:space="0" w:color="auto"/>
        <w:bottom w:val="none" w:sz="0" w:space="0" w:color="auto"/>
        <w:right w:val="none" w:sz="0" w:space="0" w:color="auto"/>
      </w:divBdr>
    </w:div>
    <w:div w:id="1061750762">
      <w:bodyDiv w:val="1"/>
      <w:marLeft w:val="0"/>
      <w:marRight w:val="0"/>
      <w:marTop w:val="0"/>
      <w:marBottom w:val="0"/>
      <w:divBdr>
        <w:top w:val="none" w:sz="0" w:space="0" w:color="auto"/>
        <w:left w:val="none" w:sz="0" w:space="0" w:color="auto"/>
        <w:bottom w:val="none" w:sz="0" w:space="0" w:color="auto"/>
        <w:right w:val="none" w:sz="0" w:space="0" w:color="auto"/>
      </w:divBdr>
    </w:div>
    <w:div w:id="1066420322">
      <w:bodyDiv w:val="1"/>
      <w:marLeft w:val="0"/>
      <w:marRight w:val="0"/>
      <w:marTop w:val="0"/>
      <w:marBottom w:val="0"/>
      <w:divBdr>
        <w:top w:val="none" w:sz="0" w:space="0" w:color="auto"/>
        <w:left w:val="none" w:sz="0" w:space="0" w:color="auto"/>
        <w:bottom w:val="none" w:sz="0" w:space="0" w:color="auto"/>
        <w:right w:val="none" w:sz="0" w:space="0" w:color="auto"/>
      </w:divBdr>
    </w:div>
    <w:div w:id="1081097705">
      <w:bodyDiv w:val="1"/>
      <w:marLeft w:val="0"/>
      <w:marRight w:val="0"/>
      <w:marTop w:val="0"/>
      <w:marBottom w:val="0"/>
      <w:divBdr>
        <w:top w:val="none" w:sz="0" w:space="0" w:color="auto"/>
        <w:left w:val="none" w:sz="0" w:space="0" w:color="auto"/>
        <w:bottom w:val="none" w:sz="0" w:space="0" w:color="auto"/>
        <w:right w:val="none" w:sz="0" w:space="0" w:color="auto"/>
      </w:divBdr>
    </w:div>
    <w:div w:id="1085688393">
      <w:bodyDiv w:val="1"/>
      <w:marLeft w:val="0"/>
      <w:marRight w:val="0"/>
      <w:marTop w:val="0"/>
      <w:marBottom w:val="0"/>
      <w:divBdr>
        <w:top w:val="none" w:sz="0" w:space="0" w:color="auto"/>
        <w:left w:val="none" w:sz="0" w:space="0" w:color="auto"/>
        <w:bottom w:val="none" w:sz="0" w:space="0" w:color="auto"/>
        <w:right w:val="none" w:sz="0" w:space="0" w:color="auto"/>
      </w:divBdr>
    </w:div>
    <w:div w:id="1254507200">
      <w:bodyDiv w:val="1"/>
      <w:marLeft w:val="0"/>
      <w:marRight w:val="0"/>
      <w:marTop w:val="0"/>
      <w:marBottom w:val="0"/>
      <w:divBdr>
        <w:top w:val="none" w:sz="0" w:space="0" w:color="auto"/>
        <w:left w:val="none" w:sz="0" w:space="0" w:color="auto"/>
        <w:bottom w:val="none" w:sz="0" w:space="0" w:color="auto"/>
        <w:right w:val="none" w:sz="0" w:space="0" w:color="auto"/>
      </w:divBdr>
    </w:div>
    <w:div w:id="1256741149">
      <w:bodyDiv w:val="1"/>
      <w:marLeft w:val="0"/>
      <w:marRight w:val="0"/>
      <w:marTop w:val="0"/>
      <w:marBottom w:val="0"/>
      <w:divBdr>
        <w:top w:val="none" w:sz="0" w:space="0" w:color="auto"/>
        <w:left w:val="none" w:sz="0" w:space="0" w:color="auto"/>
        <w:bottom w:val="none" w:sz="0" w:space="0" w:color="auto"/>
        <w:right w:val="none" w:sz="0" w:space="0" w:color="auto"/>
      </w:divBdr>
    </w:div>
    <w:div w:id="1280719515">
      <w:bodyDiv w:val="1"/>
      <w:marLeft w:val="0"/>
      <w:marRight w:val="0"/>
      <w:marTop w:val="0"/>
      <w:marBottom w:val="0"/>
      <w:divBdr>
        <w:top w:val="none" w:sz="0" w:space="0" w:color="auto"/>
        <w:left w:val="none" w:sz="0" w:space="0" w:color="auto"/>
        <w:bottom w:val="none" w:sz="0" w:space="0" w:color="auto"/>
        <w:right w:val="none" w:sz="0" w:space="0" w:color="auto"/>
      </w:divBdr>
    </w:div>
    <w:div w:id="1315060613">
      <w:bodyDiv w:val="1"/>
      <w:marLeft w:val="0"/>
      <w:marRight w:val="0"/>
      <w:marTop w:val="0"/>
      <w:marBottom w:val="0"/>
      <w:divBdr>
        <w:top w:val="none" w:sz="0" w:space="0" w:color="auto"/>
        <w:left w:val="none" w:sz="0" w:space="0" w:color="auto"/>
        <w:bottom w:val="none" w:sz="0" w:space="0" w:color="auto"/>
        <w:right w:val="none" w:sz="0" w:space="0" w:color="auto"/>
      </w:divBdr>
    </w:div>
    <w:div w:id="1325818481">
      <w:bodyDiv w:val="1"/>
      <w:marLeft w:val="0"/>
      <w:marRight w:val="0"/>
      <w:marTop w:val="0"/>
      <w:marBottom w:val="0"/>
      <w:divBdr>
        <w:top w:val="none" w:sz="0" w:space="0" w:color="auto"/>
        <w:left w:val="none" w:sz="0" w:space="0" w:color="auto"/>
        <w:bottom w:val="none" w:sz="0" w:space="0" w:color="auto"/>
        <w:right w:val="none" w:sz="0" w:space="0" w:color="auto"/>
      </w:divBdr>
    </w:div>
    <w:div w:id="1335256134">
      <w:bodyDiv w:val="1"/>
      <w:marLeft w:val="0"/>
      <w:marRight w:val="0"/>
      <w:marTop w:val="0"/>
      <w:marBottom w:val="0"/>
      <w:divBdr>
        <w:top w:val="none" w:sz="0" w:space="0" w:color="auto"/>
        <w:left w:val="none" w:sz="0" w:space="0" w:color="auto"/>
        <w:bottom w:val="none" w:sz="0" w:space="0" w:color="auto"/>
        <w:right w:val="none" w:sz="0" w:space="0" w:color="auto"/>
      </w:divBdr>
    </w:div>
    <w:div w:id="1396707121">
      <w:bodyDiv w:val="1"/>
      <w:marLeft w:val="0"/>
      <w:marRight w:val="0"/>
      <w:marTop w:val="0"/>
      <w:marBottom w:val="0"/>
      <w:divBdr>
        <w:top w:val="none" w:sz="0" w:space="0" w:color="auto"/>
        <w:left w:val="none" w:sz="0" w:space="0" w:color="auto"/>
        <w:bottom w:val="none" w:sz="0" w:space="0" w:color="auto"/>
        <w:right w:val="none" w:sz="0" w:space="0" w:color="auto"/>
      </w:divBdr>
    </w:div>
    <w:div w:id="1425027888">
      <w:bodyDiv w:val="1"/>
      <w:marLeft w:val="0"/>
      <w:marRight w:val="0"/>
      <w:marTop w:val="0"/>
      <w:marBottom w:val="0"/>
      <w:divBdr>
        <w:top w:val="none" w:sz="0" w:space="0" w:color="auto"/>
        <w:left w:val="none" w:sz="0" w:space="0" w:color="auto"/>
        <w:bottom w:val="none" w:sz="0" w:space="0" w:color="auto"/>
        <w:right w:val="none" w:sz="0" w:space="0" w:color="auto"/>
      </w:divBdr>
    </w:div>
    <w:div w:id="1520464102">
      <w:bodyDiv w:val="1"/>
      <w:marLeft w:val="0"/>
      <w:marRight w:val="0"/>
      <w:marTop w:val="0"/>
      <w:marBottom w:val="0"/>
      <w:divBdr>
        <w:top w:val="none" w:sz="0" w:space="0" w:color="auto"/>
        <w:left w:val="none" w:sz="0" w:space="0" w:color="auto"/>
        <w:bottom w:val="none" w:sz="0" w:space="0" w:color="auto"/>
        <w:right w:val="none" w:sz="0" w:space="0" w:color="auto"/>
      </w:divBdr>
    </w:div>
    <w:div w:id="1557473563">
      <w:bodyDiv w:val="1"/>
      <w:marLeft w:val="0"/>
      <w:marRight w:val="0"/>
      <w:marTop w:val="0"/>
      <w:marBottom w:val="0"/>
      <w:divBdr>
        <w:top w:val="none" w:sz="0" w:space="0" w:color="auto"/>
        <w:left w:val="none" w:sz="0" w:space="0" w:color="auto"/>
        <w:bottom w:val="none" w:sz="0" w:space="0" w:color="auto"/>
        <w:right w:val="none" w:sz="0" w:space="0" w:color="auto"/>
      </w:divBdr>
    </w:div>
    <w:div w:id="1583415769">
      <w:bodyDiv w:val="1"/>
      <w:marLeft w:val="0"/>
      <w:marRight w:val="0"/>
      <w:marTop w:val="0"/>
      <w:marBottom w:val="0"/>
      <w:divBdr>
        <w:top w:val="none" w:sz="0" w:space="0" w:color="auto"/>
        <w:left w:val="none" w:sz="0" w:space="0" w:color="auto"/>
        <w:bottom w:val="none" w:sz="0" w:space="0" w:color="auto"/>
        <w:right w:val="none" w:sz="0" w:space="0" w:color="auto"/>
      </w:divBdr>
    </w:div>
    <w:div w:id="1601450091">
      <w:bodyDiv w:val="1"/>
      <w:marLeft w:val="0"/>
      <w:marRight w:val="0"/>
      <w:marTop w:val="0"/>
      <w:marBottom w:val="0"/>
      <w:divBdr>
        <w:top w:val="none" w:sz="0" w:space="0" w:color="auto"/>
        <w:left w:val="none" w:sz="0" w:space="0" w:color="auto"/>
        <w:bottom w:val="none" w:sz="0" w:space="0" w:color="auto"/>
        <w:right w:val="none" w:sz="0" w:space="0" w:color="auto"/>
      </w:divBdr>
    </w:div>
    <w:div w:id="1650204014">
      <w:bodyDiv w:val="1"/>
      <w:marLeft w:val="0"/>
      <w:marRight w:val="0"/>
      <w:marTop w:val="0"/>
      <w:marBottom w:val="0"/>
      <w:divBdr>
        <w:top w:val="none" w:sz="0" w:space="0" w:color="auto"/>
        <w:left w:val="none" w:sz="0" w:space="0" w:color="auto"/>
        <w:bottom w:val="none" w:sz="0" w:space="0" w:color="auto"/>
        <w:right w:val="none" w:sz="0" w:space="0" w:color="auto"/>
      </w:divBdr>
      <w:divsChild>
        <w:div w:id="958029676">
          <w:marLeft w:val="0"/>
          <w:marRight w:val="0"/>
          <w:marTop w:val="0"/>
          <w:marBottom w:val="0"/>
          <w:divBdr>
            <w:top w:val="none" w:sz="0" w:space="0" w:color="auto"/>
            <w:left w:val="none" w:sz="0" w:space="0" w:color="auto"/>
            <w:bottom w:val="none" w:sz="0" w:space="0" w:color="auto"/>
            <w:right w:val="none" w:sz="0" w:space="0" w:color="auto"/>
          </w:divBdr>
          <w:divsChild>
            <w:div w:id="706416089">
              <w:marLeft w:val="0"/>
              <w:marRight w:val="0"/>
              <w:marTop w:val="0"/>
              <w:marBottom w:val="0"/>
              <w:divBdr>
                <w:top w:val="none" w:sz="0" w:space="0" w:color="auto"/>
                <w:left w:val="none" w:sz="0" w:space="0" w:color="auto"/>
                <w:bottom w:val="none" w:sz="0" w:space="0" w:color="auto"/>
                <w:right w:val="none" w:sz="0" w:space="0" w:color="auto"/>
              </w:divBdr>
              <w:divsChild>
                <w:div w:id="1112242929">
                  <w:marLeft w:val="0"/>
                  <w:marRight w:val="0"/>
                  <w:marTop w:val="0"/>
                  <w:marBottom w:val="0"/>
                  <w:divBdr>
                    <w:top w:val="none" w:sz="0" w:space="0" w:color="auto"/>
                    <w:left w:val="none" w:sz="0" w:space="0" w:color="auto"/>
                    <w:bottom w:val="none" w:sz="0" w:space="0" w:color="auto"/>
                    <w:right w:val="none" w:sz="0" w:space="0" w:color="auto"/>
                  </w:divBdr>
                  <w:divsChild>
                    <w:div w:id="1713726656">
                      <w:marLeft w:val="0"/>
                      <w:marRight w:val="0"/>
                      <w:marTop w:val="0"/>
                      <w:marBottom w:val="0"/>
                      <w:divBdr>
                        <w:top w:val="none" w:sz="0" w:space="0" w:color="auto"/>
                        <w:left w:val="none" w:sz="0" w:space="0" w:color="auto"/>
                        <w:bottom w:val="none" w:sz="0" w:space="0" w:color="auto"/>
                        <w:right w:val="none" w:sz="0" w:space="0" w:color="auto"/>
                      </w:divBdr>
                      <w:divsChild>
                        <w:div w:id="1013218142">
                          <w:marLeft w:val="0"/>
                          <w:marRight w:val="0"/>
                          <w:marTop w:val="0"/>
                          <w:marBottom w:val="0"/>
                          <w:divBdr>
                            <w:top w:val="none" w:sz="0" w:space="0" w:color="auto"/>
                            <w:left w:val="none" w:sz="0" w:space="0" w:color="auto"/>
                            <w:bottom w:val="none" w:sz="0" w:space="0" w:color="auto"/>
                            <w:right w:val="none" w:sz="0" w:space="0" w:color="auto"/>
                          </w:divBdr>
                          <w:divsChild>
                            <w:div w:id="4169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611409">
      <w:bodyDiv w:val="1"/>
      <w:marLeft w:val="0"/>
      <w:marRight w:val="0"/>
      <w:marTop w:val="0"/>
      <w:marBottom w:val="0"/>
      <w:divBdr>
        <w:top w:val="none" w:sz="0" w:space="0" w:color="auto"/>
        <w:left w:val="none" w:sz="0" w:space="0" w:color="auto"/>
        <w:bottom w:val="none" w:sz="0" w:space="0" w:color="auto"/>
        <w:right w:val="none" w:sz="0" w:space="0" w:color="auto"/>
      </w:divBdr>
    </w:div>
    <w:div w:id="1669821334">
      <w:bodyDiv w:val="1"/>
      <w:marLeft w:val="0"/>
      <w:marRight w:val="0"/>
      <w:marTop w:val="0"/>
      <w:marBottom w:val="0"/>
      <w:divBdr>
        <w:top w:val="none" w:sz="0" w:space="0" w:color="auto"/>
        <w:left w:val="none" w:sz="0" w:space="0" w:color="auto"/>
        <w:bottom w:val="none" w:sz="0" w:space="0" w:color="auto"/>
        <w:right w:val="none" w:sz="0" w:space="0" w:color="auto"/>
      </w:divBdr>
    </w:div>
    <w:div w:id="1699237547">
      <w:bodyDiv w:val="1"/>
      <w:marLeft w:val="0"/>
      <w:marRight w:val="0"/>
      <w:marTop w:val="0"/>
      <w:marBottom w:val="0"/>
      <w:divBdr>
        <w:top w:val="none" w:sz="0" w:space="0" w:color="auto"/>
        <w:left w:val="none" w:sz="0" w:space="0" w:color="auto"/>
        <w:bottom w:val="none" w:sz="0" w:space="0" w:color="auto"/>
        <w:right w:val="none" w:sz="0" w:space="0" w:color="auto"/>
      </w:divBdr>
    </w:div>
    <w:div w:id="1704868982">
      <w:bodyDiv w:val="1"/>
      <w:marLeft w:val="0"/>
      <w:marRight w:val="0"/>
      <w:marTop w:val="0"/>
      <w:marBottom w:val="0"/>
      <w:divBdr>
        <w:top w:val="none" w:sz="0" w:space="0" w:color="auto"/>
        <w:left w:val="none" w:sz="0" w:space="0" w:color="auto"/>
        <w:bottom w:val="none" w:sz="0" w:space="0" w:color="auto"/>
        <w:right w:val="none" w:sz="0" w:space="0" w:color="auto"/>
      </w:divBdr>
    </w:div>
    <w:div w:id="1711147695">
      <w:bodyDiv w:val="1"/>
      <w:marLeft w:val="0"/>
      <w:marRight w:val="0"/>
      <w:marTop w:val="0"/>
      <w:marBottom w:val="0"/>
      <w:divBdr>
        <w:top w:val="none" w:sz="0" w:space="0" w:color="auto"/>
        <w:left w:val="none" w:sz="0" w:space="0" w:color="auto"/>
        <w:bottom w:val="none" w:sz="0" w:space="0" w:color="auto"/>
        <w:right w:val="none" w:sz="0" w:space="0" w:color="auto"/>
      </w:divBdr>
    </w:div>
    <w:div w:id="1719236476">
      <w:bodyDiv w:val="1"/>
      <w:marLeft w:val="0"/>
      <w:marRight w:val="0"/>
      <w:marTop w:val="0"/>
      <w:marBottom w:val="0"/>
      <w:divBdr>
        <w:top w:val="none" w:sz="0" w:space="0" w:color="auto"/>
        <w:left w:val="none" w:sz="0" w:space="0" w:color="auto"/>
        <w:bottom w:val="none" w:sz="0" w:space="0" w:color="auto"/>
        <w:right w:val="none" w:sz="0" w:space="0" w:color="auto"/>
      </w:divBdr>
    </w:div>
    <w:div w:id="1722291004">
      <w:bodyDiv w:val="1"/>
      <w:marLeft w:val="0"/>
      <w:marRight w:val="0"/>
      <w:marTop w:val="0"/>
      <w:marBottom w:val="0"/>
      <w:divBdr>
        <w:top w:val="none" w:sz="0" w:space="0" w:color="auto"/>
        <w:left w:val="none" w:sz="0" w:space="0" w:color="auto"/>
        <w:bottom w:val="none" w:sz="0" w:space="0" w:color="auto"/>
        <w:right w:val="none" w:sz="0" w:space="0" w:color="auto"/>
      </w:divBdr>
    </w:div>
    <w:div w:id="1802187227">
      <w:bodyDiv w:val="1"/>
      <w:marLeft w:val="0"/>
      <w:marRight w:val="0"/>
      <w:marTop w:val="0"/>
      <w:marBottom w:val="0"/>
      <w:divBdr>
        <w:top w:val="none" w:sz="0" w:space="0" w:color="auto"/>
        <w:left w:val="none" w:sz="0" w:space="0" w:color="auto"/>
        <w:bottom w:val="none" w:sz="0" w:space="0" w:color="auto"/>
        <w:right w:val="none" w:sz="0" w:space="0" w:color="auto"/>
      </w:divBdr>
    </w:div>
    <w:div w:id="1831865841">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867478548">
      <w:bodyDiv w:val="1"/>
      <w:marLeft w:val="0"/>
      <w:marRight w:val="0"/>
      <w:marTop w:val="0"/>
      <w:marBottom w:val="0"/>
      <w:divBdr>
        <w:top w:val="none" w:sz="0" w:space="0" w:color="auto"/>
        <w:left w:val="none" w:sz="0" w:space="0" w:color="auto"/>
        <w:bottom w:val="none" w:sz="0" w:space="0" w:color="auto"/>
        <w:right w:val="none" w:sz="0" w:space="0" w:color="auto"/>
      </w:divBdr>
    </w:div>
    <w:div w:id="1874151107">
      <w:bodyDiv w:val="1"/>
      <w:marLeft w:val="0"/>
      <w:marRight w:val="0"/>
      <w:marTop w:val="0"/>
      <w:marBottom w:val="0"/>
      <w:divBdr>
        <w:top w:val="none" w:sz="0" w:space="0" w:color="auto"/>
        <w:left w:val="none" w:sz="0" w:space="0" w:color="auto"/>
        <w:bottom w:val="none" w:sz="0" w:space="0" w:color="auto"/>
        <w:right w:val="none" w:sz="0" w:space="0" w:color="auto"/>
      </w:divBdr>
    </w:div>
    <w:div w:id="1909346052">
      <w:bodyDiv w:val="1"/>
      <w:marLeft w:val="0"/>
      <w:marRight w:val="0"/>
      <w:marTop w:val="0"/>
      <w:marBottom w:val="0"/>
      <w:divBdr>
        <w:top w:val="none" w:sz="0" w:space="0" w:color="auto"/>
        <w:left w:val="none" w:sz="0" w:space="0" w:color="auto"/>
        <w:bottom w:val="none" w:sz="0" w:space="0" w:color="auto"/>
        <w:right w:val="none" w:sz="0" w:space="0" w:color="auto"/>
      </w:divBdr>
    </w:div>
    <w:div w:id="2038189380">
      <w:bodyDiv w:val="1"/>
      <w:marLeft w:val="0"/>
      <w:marRight w:val="0"/>
      <w:marTop w:val="0"/>
      <w:marBottom w:val="0"/>
      <w:divBdr>
        <w:top w:val="none" w:sz="0" w:space="0" w:color="auto"/>
        <w:left w:val="none" w:sz="0" w:space="0" w:color="auto"/>
        <w:bottom w:val="none" w:sz="0" w:space="0" w:color="auto"/>
        <w:right w:val="none" w:sz="0" w:space="0" w:color="auto"/>
      </w:divBdr>
    </w:div>
    <w:div w:id="2041784613">
      <w:bodyDiv w:val="1"/>
      <w:marLeft w:val="0"/>
      <w:marRight w:val="0"/>
      <w:marTop w:val="0"/>
      <w:marBottom w:val="0"/>
      <w:divBdr>
        <w:top w:val="none" w:sz="0" w:space="0" w:color="auto"/>
        <w:left w:val="none" w:sz="0" w:space="0" w:color="auto"/>
        <w:bottom w:val="none" w:sz="0" w:space="0" w:color="auto"/>
        <w:right w:val="none" w:sz="0" w:space="0" w:color="auto"/>
      </w:divBdr>
    </w:div>
    <w:div w:id="21048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en/Decisions/10.COM/8" TargetMode="External"/><Relationship Id="rId18" Type="http://schemas.openxmlformats.org/officeDocument/2006/relationships/hyperlink" Target="https://ich.unesco.org/doc/src/ITH-18-7.GA-7-EN.doc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ich.unesco.org/en/donors"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unesco.org/culture/ich/doc/src/ITH-10-3.GA-CONF.201-Resolution%20Rev.-EN.doc" TargetMode="External"/><Relationship Id="rId17" Type="http://schemas.openxmlformats.org/officeDocument/2006/relationships/hyperlink" Target="file:///\\hqfs\OurDrive\CLT\ProgrammeExecution\2003Convention\2003-StatutoryMeetings\2016\2016-06_11%20COM%202%20BUR\11%20COM%202%20BUR%20_Decisions_EN.docx"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esco.org/culture/ich/doc/src/ITH-13-8.COM-Decisions-EN.doc" TargetMode="External"/><Relationship Id="rId20" Type="http://schemas.openxmlformats.org/officeDocument/2006/relationships/hyperlink" Target="http://www.unesco.org/culture/ich/doc/src/ITH-13-8.COM-Decisions-EN.doc"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en/Decisions/11.COM/6"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esco.org/culture/ich/doc/src/ITH-13-8.COM-Decisions-EN.doc"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hyperlink" Target="https://ich.unesco.org/en/Decisions/10.COM/9" TargetMode="External"/><Relationship Id="rId19" Type="http://schemas.openxmlformats.org/officeDocument/2006/relationships/hyperlink" Target="http://www.unesco.org/culture/ich/doc/src/IOS-AUD-2013-06-EN.pdf"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ch.unesco.org/en/Decisions/9.COM/7" TargetMode="External"/><Relationship Id="rId14" Type="http://schemas.openxmlformats.org/officeDocument/2006/relationships/hyperlink" Target="https://ich.unesco.org/en/Resolutions/6.GA/9" TargetMode="Externa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image" Target="media/image7.png"/><Relationship Id="rId8" Type="http://schemas.openxmlformats.org/officeDocument/2006/relationships/hyperlink" Target="file:///\\hqfs\OurDrive\CLT\ProgrammeExecution\2003Convention\2003-StatutoryMeetings\2016\2016-06_6GA_PARIS\Resolutions\6GA_Resolutions_EN.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9CDB-37DF-4D91-A8A6-DE33B975A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2018</Words>
  <Characters>11504</Characters>
  <Application>Microsoft Office Word</Application>
  <DocSecurity>0</DocSecurity>
  <Lines>95</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13496</CharactersWithSpaces>
  <SharedDoc>false</SharedDoc>
  <HLinks>
    <vt:vector size="90" baseType="variant">
      <vt:variant>
        <vt:i4>3539070</vt:i4>
      </vt:variant>
      <vt:variant>
        <vt:i4>42</vt:i4>
      </vt:variant>
      <vt:variant>
        <vt:i4>0</vt:i4>
      </vt:variant>
      <vt:variant>
        <vt:i4>5</vt:i4>
      </vt:variant>
      <vt:variant>
        <vt:lpwstr>http://www.unesco.org/culture/ich/doc/src/ITH-13-8.COM-Decisions-EN.doc</vt:lpwstr>
      </vt:variant>
      <vt:variant>
        <vt:lpwstr/>
      </vt:variant>
      <vt:variant>
        <vt:i4>5898251</vt:i4>
      </vt:variant>
      <vt:variant>
        <vt:i4>39</vt:i4>
      </vt:variant>
      <vt:variant>
        <vt:i4>0</vt:i4>
      </vt:variant>
      <vt:variant>
        <vt:i4>5</vt:i4>
      </vt:variant>
      <vt:variant>
        <vt:lpwstr>http://www.unesco.org/culture/ich/doc/src/IOS-AUD-2013-06-EN.pdf</vt:lpwstr>
      </vt:variant>
      <vt:variant>
        <vt:lpwstr/>
      </vt:variant>
      <vt:variant>
        <vt:i4>6881348</vt:i4>
      </vt:variant>
      <vt:variant>
        <vt:i4>36</vt:i4>
      </vt:variant>
      <vt:variant>
        <vt:i4>0</vt:i4>
      </vt:variant>
      <vt:variant>
        <vt:i4>5</vt:i4>
      </vt:variant>
      <vt:variant>
        <vt:lpwstr>../../../../../2016/2016-06_11 COM 2 BUR/11 COM 2 BUR _Decisions_EN.docx</vt:lpwstr>
      </vt:variant>
      <vt:variant>
        <vt:lpwstr/>
      </vt:variant>
      <vt:variant>
        <vt:i4>2555915</vt:i4>
      </vt:variant>
      <vt:variant>
        <vt:i4>33</vt:i4>
      </vt:variant>
      <vt:variant>
        <vt:i4>0</vt:i4>
      </vt:variant>
      <vt:variant>
        <vt:i4>5</vt:i4>
      </vt:variant>
      <vt:variant>
        <vt:lpwstr>\\hqfs\OurDrive\CLT\ProgrammeExecution\2003Convention\2003-StatutoryMeetings\2016\2016-06_11 COM 2 BUR\11 COM 2 BUR _Decisions_EN.docx</vt:lpwstr>
      </vt:variant>
      <vt:variant>
        <vt:lpwstr/>
      </vt:variant>
      <vt:variant>
        <vt:i4>3539070</vt:i4>
      </vt:variant>
      <vt:variant>
        <vt:i4>30</vt:i4>
      </vt:variant>
      <vt:variant>
        <vt:i4>0</vt:i4>
      </vt:variant>
      <vt:variant>
        <vt:i4>5</vt:i4>
      </vt:variant>
      <vt:variant>
        <vt:lpwstr>http://www.unesco.org/culture/ich/doc/src/ITH-13-8.COM-Decisions-EN.doc</vt:lpwstr>
      </vt:variant>
      <vt:variant>
        <vt:lpwstr/>
      </vt:variant>
      <vt:variant>
        <vt:i4>3539070</vt:i4>
      </vt:variant>
      <vt:variant>
        <vt:i4>27</vt:i4>
      </vt:variant>
      <vt:variant>
        <vt:i4>0</vt:i4>
      </vt:variant>
      <vt:variant>
        <vt:i4>5</vt:i4>
      </vt:variant>
      <vt:variant>
        <vt:lpwstr>http://www.unesco.org/culture/ich/doc/src/ITH-13-8.COM-Decisions-EN.doc</vt:lpwstr>
      </vt:variant>
      <vt:variant>
        <vt:lpwstr/>
      </vt:variant>
      <vt:variant>
        <vt:i4>5570634</vt:i4>
      </vt:variant>
      <vt:variant>
        <vt:i4>24</vt:i4>
      </vt:variant>
      <vt:variant>
        <vt:i4>0</vt:i4>
      </vt:variant>
      <vt:variant>
        <vt:i4>5</vt:i4>
      </vt:variant>
      <vt:variant>
        <vt:lpwstr>../../../../../2016/2016-06_6GA_PARIS/Resolutions/6GA_Resolutions_EN.docx</vt:lpwstr>
      </vt:variant>
      <vt:variant>
        <vt:lpwstr/>
      </vt:variant>
      <vt:variant>
        <vt:i4>5046356</vt:i4>
      </vt:variant>
      <vt:variant>
        <vt:i4>21</vt:i4>
      </vt:variant>
      <vt:variant>
        <vt:i4>0</vt:i4>
      </vt:variant>
      <vt:variant>
        <vt:i4>5</vt:i4>
      </vt:variant>
      <vt:variant>
        <vt:lpwstr>https://ich.unesco.org/en/Resolutions/6.GA/9</vt:lpwstr>
      </vt:variant>
      <vt:variant>
        <vt:lpwstr/>
      </vt:variant>
      <vt:variant>
        <vt:i4>5111832</vt:i4>
      </vt:variant>
      <vt:variant>
        <vt:i4>18</vt:i4>
      </vt:variant>
      <vt:variant>
        <vt:i4>0</vt:i4>
      </vt:variant>
      <vt:variant>
        <vt:i4>5</vt:i4>
      </vt:variant>
      <vt:variant>
        <vt:lpwstr>https://ich.unesco.org/en/Decisions/10.COM/8</vt:lpwstr>
      </vt:variant>
      <vt:variant>
        <vt:lpwstr/>
      </vt:variant>
      <vt:variant>
        <vt:i4>327700</vt:i4>
      </vt:variant>
      <vt:variant>
        <vt:i4>15</vt:i4>
      </vt:variant>
      <vt:variant>
        <vt:i4>0</vt:i4>
      </vt:variant>
      <vt:variant>
        <vt:i4>5</vt:i4>
      </vt:variant>
      <vt:variant>
        <vt:lpwstr>http://www.unesco.org/culture/ich/doc/src/ITH-10-3.GA-CONF.201-Resolution Rev.-EN.doc</vt:lpwstr>
      </vt:variant>
      <vt:variant>
        <vt:lpwstr/>
      </vt:variant>
      <vt:variant>
        <vt:i4>4259864</vt:i4>
      </vt:variant>
      <vt:variant>
        <vt:i4>12</vt:i4>
      </vt:variant>
      <vt:variant>
        <vt:i4>0</vt:i4>
      </vt:variant>
      <vt:variant>
        <vt:i4>5</vt:i4>
      </vt:variant>
      <vt:variant>
        <vt:lpwstr>https://ich.unesco.org/en/Decisions/11.COM/6</vt:lpwstr>
      </vt:variant>
      <vt:variant>
        <vt:lpwstr/>
      </vt:variant>
      <vt:variant>
        <vt:i4>5177368</vt:i4>
      </vt:variant>
      <vt:variant>
        <vt:i4>9</vt:i4>
      </vt:variant>
      <vt:variant>
        <vt:i4>0</vt:i4>
      </vt:variant>
      <vt:variant>
        <vt:i4>5</vt:i4>
      </vt:variant>
      <vt:variant>
        <vt:lpwstr>https://ich.unesco.org/en/Decisions/10.COM/9</vt:lpwstr>
      </vt:variant>
      <vt:variant>
        <vt:lpwstr/>
      </vt:variant>
      <vt:variant>
        <vt:i4>2490480</vt:i4>
      </vt:variant>
      <vt:variant>
        <vt:i4>6</vt:i4>
      </vt:variant>
      <vt:variant>
        <vt:i4>0</vt:i4>
      </vt:variant>
      <vt:variant>
        <vt:i4>5</vt:i4>
      </vt:variant>
      <vt:variant>
        <vt:lpwstr>https://ich.unesco.org/en/Decisions/9.COM/7</vt:lpwstr>
      </vt:variant>
      <vt:variant>
        <vt:lpwstr/>
      </vt:variant>
      <vt:variant>
        <vt:i4>7078006</vt:i4>
      </vt:variant>
      <vt:variant>
        <vt:i4>3</vt:i4>
      </vt:variant>
      <vt:variant>
        <vt:i4>0</vt:i4>
      </vt:variant>
      <vt:variant>
        <vt:i4>5</vt:i4>
      </vt:variant>
      <vt:variant>
        <vt:lpwstr>http://www.unesco.org/culture/ich/doc/src/00192-EN-PDF.pdf</vt:lpwstr>
      </vt:variant>
      <vt:variant>
        <vt:lpwstr/>
      </vt:variant>
      <vt:variant>
        <vt:i4>5570634</vt:i4>
      </vt:variant>
      <vt:variant>
        <vt:i4>0</vt:i4>
      </vt:variant>
      <vt:variant>
        <vt:i4>0</vt:i4>
      </vt:variant>
      <vt:variant>
        <vt:i4>5</vt:i4>
      </vt:variant>
      <vt:variant>
        <vt:lpwstr>../../../../../2016/2016-06_6GA_PARIS/Resolutions/6GA_Resolutions_EN.docx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Eunkyung</dc:creator>
  <cp:keywords/>
  <cp:lastModifiedBy>Shin, Eunkyung</cp:lastModifiedBy>
  <cp:revision>4</cp:revision>
  <cp:lastPrinted>2018-05-03T12:37:00Z</cp:lastPrinted>
  <dcterms:created xsi:type="dcterms:W3CDTF">2018-05-04T10:47:00Z</dcterms:created>
  <dcterms:modified xsi:type="dcterms:W3CDTF">2018-05-04T15:39:00Z</dcterms:modified>
</cp:coreProperties>
</file>