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DD30D" w14:textId="01458624" w:rsidR="00EC6F8D" w:rsidRPr="00123CAE" w:rsidRDefault="00EC6F8D" w:rsidP="00EC6F8D">
      <w:pPr>
        <w:spacing w:before="1440"/>
        <w:jc w:val="center"/>
        <w:rPr>
          <w:rFonts w:ascii="Arial" w:hAnsi="Arial" w:cs="Arial"/>
          <w:b/>
          <w:sz w:val="22"/>
          <w:szCs w:val="22"/>
          <w:lang w:val="en-GB"/>
        </w:rPr>
      </w:pPr>
      <w:r w:rsidRPr="00123CAE">
        <w:rPr>
          <w:rFonts w:ascii="Arial" w:hAnsi="Arial" w:cs="Arial"/>
          <w:b/>
          <w:sz w:val="22"/>
          <w:szCs w:val="22"/>
          <w:lang w:val="en-GB"/>
        </w:rPr>
        <w:t>CONVENTION FOR THE SAFEGUARDING OF THE</w:t>
      </w:r>
      <w:r w:rsidRPr="00123CAE">
        <w:rPr>
          <w:rFonts w:ascii="Arial" w:hAnsi="Arial" w:cs="Arial"/>
          <w:b/>
          <w:sz w:val="22"/>
          <w:szCs w:val="22"/>
          <w:lang w:val="en-GB"/>
        </w:rPr>
        <w:br/>
        <w:t>INTANGIBLE CULTURAL HERITAGE</w:t>
      </w:r>
    </w:p>
    <w:p w14:paraId="16066D6C" w14:textId="77777777" w:rsidR="00EC6F8D" w:rsidRPr="00123CAE" w:rsidRDefault="00EC6F8D" w:rsidP="00EC6F8D">
      <w:pPr>
        <w:spacing w:before="1200"/>
        <w:jc w:val="center"/>
        <w:rPr>
          <w:rFonts w:ascii="Arial" w:hAnsi="Arial" w:cs="Arial"/>
          <w:b/>
          <w:sz w:val="22"/>
          <w:szCs w:val="22"/>
          <w:lang w:val="en-GB"/>
        </w:rPr>
      </w:pPr>
      <w:r w:rsidRPr="00123CAE">
        <w:rPr>
          <w:rFonts w:ascii="Arial" w:hAnsi="Arial" w:cs="Arial"/>
          <w:b/>
          <w:sz w:val="22"/>
          <w:szCs w:val="22"/>
          <w:lang w:val="en-GB"/>
        </w:rPr>
        <w:t>INTERGOVERNMENTAL COMMITTEE FOR THE</w:t>
      </w:r>
      <w:r w:rsidRPr="00123CAE">
        <w:rPr>
          <w:rFonts w:ascii="Arial" w:hAnsi="Arial" w:cs="Arial"/>
          <w:b/>
          <w:sz w:val="22"/>
          <w:szCs w:val="22"/>
          <w:lang w:val="en-GB"/>
        </w:rPr>
        <w:br/>
        <w:t>SAFEGUARDING OF THE INTANGIBLE CULTURAL HERITAGE</w:t>
      </w:r>
    </w:p>
    <w:p w14:paraId="0FA07798" w14:textId="77777777" w:rsidR="00EC6F8D" w:rsidRPr="00123CAE" w:rsidRDefault="00CB0542" w:rsidP="00EC6F8D">
      <w:pPr>
        <w:spacing w:before="840"/>
        <w:jc w:val="center"/>
        <w:rPr>
          <w:rFonts w:ascii="Arial" w:hAnsi="Arial" w:cs="Arial"/>
          <w:b/>
          <w:sz w:val="22"/>
          <w:szCs w:val="22"/>
          <w:lang w:val="en-GB"/>
        </w:rPr>
      </w:pPr>
      <w:r w:rsidRPr="00123CAE">
        <w:rPr>
          <w:rFonts w:ascii="Arial" w:hAnsi="Arial" w:cs="Arial"/>
          <w:b/>
          <w:sz w:val="22"/>
          <w:szCs w:val="22"/>
          <w:lang w:val="en-GB"/>
        </w:rPr>
        <w:t>Eleventh</w:t>
      </w:r>
      <w:r w:rsidR="00EC6F8D" w:rsidRPr="00123CAE">
        <w:rPr>
          <w:rFonts w:ascii="Arial" w:hAnsi="Arial" w:cs="Arial"/>
          <w:b/>
          <w:sz w:val="22"/>
          <w:szCs w:val="22"/>
          <w:lang w:val="en-GB"/>
        </w:rPr>
        <w:t xml:space="preserve"> session</w:t>
      </w:r>
    </w:p>
    <w:p w14:paraId="1A18ADE8" w14:textId="496CA34B" w:rsidR="009D5428" w:rsidRPr="00123CAE" w:rsidRDefault="00893A34" w:rsidP="005E7074">
      <w:pPr>
        <w:jc w:val="center"/>
        <w:rPr>
          <w:rFonts w:ascii="Arial" w:hAnsi="Arial" w:cs="Arial"/>
          <w:b/>
          <w:sz w:val="22"/>
          <w:szCs w:val="22"/>
          <w:lang w:val="en-GB"/>
        </w:rPr>
      </w:pPr>
      <w:r>
        <w:rPr>
          <w:rFonts w:ascii="Arial" w:hAnsi="Arial" w:cs="Arial"/>
          <w:b/>
          <w:sz w:val="22"/>
          <w:szCs w:val="22"/>
          <w:lang w:val="en-GB"/>
        </w:rPr>
        <w:t>Addis Ababa, Ethiopia</w:t>
      </w:r>
    </w:p>
    <w:p w14:paraId="3FD44CC9" w14:textId="77777777" w:rsidR="00EC6F8D" w:rsidRPr="00123CAE" w:rsidRDefault="00CB0542" w:rsidP="00EC6F8D">
      <w:pPr>
        <w:jc w:val="center"/>
        <w:rPr>
          <w:rFonts w:ascii="Arial" w:hAnsi="Arial" w:cs="Arial"/>
          <w:b/>
          <w:sz w:val="22"/>
          <w:szCs w:val="22"/>
          <w:lang w:val="en-GB"/>
        </w:rPr>
      </w:pPr>
      <w:r w:rsidRPr="00123CAE">
        <w:rPr>
          <w:rFonts w:ascii="Arial" w:hAnsi="Arial" w:cs="Arial"/>
          <w:b/>
          <w:sz w:val="22"/>
          <w:szCs w:val="22"/>
          <w:lang w:val="en-GB"/>
        </w:rPr>
        <w:t>28</w:t>
      </w:r>
      <w:r w:rsidR="00D8250F" w:rsidRPr="00123CAE">
        <w:rPr>
          <w:rFonts w:ascii="Arial" w:hAnsi="Arial" w:cs="Arial"/>
          <w:b/>
          <w:sz w:val="22"/>
          <w:szCs w:val="22"/>
          <w:lang w:val="en-GB"/>
        </w:rPr>
        <w:t xml:space="preserve"> November</w:t>
      </w:r>
      <w:r w:rsidR="00EC6F8D" w:rsidRPr="00123CAE">
        <w:rPr>
          <w:rFonts w:ascii="Arial" w:hAnsi="Arial" w:cs="Arial"/>
          <w:b/>
          <w:sz w:val="22"/>
          <w:szCs w:val="22"/>
          <w:lang w:val="en-GB"/>
        </w:rPr>
        <w:t xml:space="preserve"> to </w:t>
      </w:r>
      <w:r w:rsidRPr="00123CAE">
        <w:rPr>
          <w:rFonts w:ascii="Arial" w:hAnsi="Arial" w:cs="Arial"/>
          <w:b/>
          <w:sz w:val="22"/>
          <w:szCs w:val="22"/>
          <w:lang w:val="en-GB"/>
        </w:rPr>
        <w:t>2 December 2016</w:t>
      </w:r>
    </w:p>
    <w:p w14:paraId="4E929B01" w14:textId="77777777" w:rsidR="00EC6F8D" w:rsidRPr="00123CAE" w:rsidRDefault="00EC6F8D" w:rsidP="00EC6F8D">
      <w:pPr>
        <w:pStyle w:val="Sansinterligne2"/>
        <w:spacing w:before="1200"/>
        <w:jc w:val="center"/>
        <w:rPr>
          <w:rFonts w:ascii="Arial" w:hAnsi="Arial" w:cs="Arial"/>
          <w:b/>
          <w:sz w:val="22"/>
          <w:szCs w:val="22"/>
          <w:lang w:val="en-GB"/>
        </w:rPr>
      </w:pPr>
      <w:r w:rsidRPr="00123CAE">
        <w:rPr>
          <w:rFonts w:ascii="Arial" w:hAnsi="Arial" w:cs="Arial"/>
          <w:b/>
          <w:sz w:val="22"/>
          <w:szCs w:val="22"/>
          <w:u w:val="single"/>
          <w:lang w:val="en-GB"/>
        </w:rPr>
        <w:t xml:space="preserve">Item </w:t>
      </w:r>
      <w:r w:rsidR="00A5425D" w:rsidRPr="00123CAE">
        <w:rPr>
          <w:rFonts w:ascii="Arial" w:hAnsi="Arial" w:cs="Arial"/>
          <w:b/>
          <w:sz w:val="22"/>
          <w:szCs w:val="22"/>
          <w:u w:val="single"/>
          <w:lang w:val="en-GB"/>
        </w:rPr>
        <w:t>9.b</w:t>
      </w:r>
      <w:r w:rsidRPr="00123CAE">
        <w:rPr>
          <w:rFonts w:ascii="Arial" w:hAnsi="Arial" w:cs="Arial"/>
          <w:b/>
          <w:sz w:val="22"/>
          <w:szCs w:val="22"/>
          <w:u w:val="single"/>
          <w:lang w:val="en-GB"/>
        </w:rPr>
        <w:t xml:space="preserve"> of the Provisional Agenda</w:t>
      </w:r>
      <w:r w:rsidRPr="00123CAE">
        <w:rPr>
          <w:rFonts w:ascii="Arial" w:hAnsi="Arial" w:cs="Arial"/>
          <w:b/>
          <w:sz w:val="22"/>
          <w:szCs w:val="22"/>
          <w:lang w:val="en-GB"/>
        </w:rPr>
        <w:t>:</w:t>
      </w:r>
    </w:p>
    <w:p w14:paraId="695142FD" w14:textId="77777777" w:rsidR="00EC6F8D" w:rsidRPr="00123CAE" w:rsidRDefault="00A5425D" w:rsidP="00EC6F8D">
      <w:pPr>
        <w:pStyle w:val="Sansinterligne2"/>
        <w:spacing w:after="1200"/>
        <w:jc w:val="center"/>
        <w:rPr>
          <w:rFonts w:ascii="Arial" w:hAnsi="Arial" w:cs="Arial"/>
          <w:b/>
          <w:sz w:val="22"/>
          <w:szCs w:val="22"/>
          <w:lang w:val="en-GB"/>
        </w:rPr>
      </w:pPr>
      <w:r w:rsidRPr="00123CAE">
        <w:rPr>
          <w:rFonts w:ascii="Arial" w:hAnsi="Arial" w:cs="Arial"/>
          <w:b/>
          <w:sz w:val="22"/>
          <w:szCs w:val="22"/>
          <w:lang w:val="en-GB"/>
        </w:rPr>
        <w:t>Examination of the reports of States Parties on the current status of elements</w:t>
      </w:r>
      <w:r w:rsidRPr="00123CAE">
        <w:rPr>
          <w:rFonts w:ascii="Arial" w:hAnsi="Arial" w:cs="Arial"/>
          <w:b/>
          <w:sz w:val="22"/>
          <w:szCs w:val="22"/>
          <w:lang w:val="en-GB"/>
        </w:rPr>
        <w:br/>
        <w:t>inscribed on the List of Intangible Cultural Heritage in Need of Urgent Safeguarding</w:t>
      </w:r>
    </w:p>
    <w:tbl>
      <w:tblPr>
        <w:tblW w:w="7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7"/>
      </w:tblGrid>
      <w:tr w:rsidR="00EC6F8D" w:rsidRPr="00123CAE" w14:paraId="7AB082D1" w14:textId="77777777" w:rsidTr="008C0F0A">
        <w:trPr>
          <w:jc w:val="center"/>
        </w:trPr>
        <w:tc>
          <w:tcPr>
            <w:tcW w:w="7337" w:type="dxa"/>
            <w:vAlign w:val="center"/>
          </w:tcPr>
          <w:p w14:paraId="6D83C4A4" w14:textId="77777777" w:rsidR="00EC6F8D" w:rsidRPr="00123CAE" w:rsidRDefault="00EC6F8D" w:rsidP="00CA56BB">
            <w:pPr>
              <w:pStyle w:val="Sansinterligne1"/>
              <w:spacing w:before="200" w:after="200"/>
              <w:jc w:val="center"/>
              <w:rPr>
                <w:rFonts w:ascii="Arial" w:hAnsi="Arial" w:cs="Arial"/>
                <w:b/>
                <w:sz w:val="22"/>
                <w:szCs w:val="22"/>
                <w:lang w:val="en-GB"/>
              </w:rPr>
            </w:pPr>
            <w:r w:rsidRPr="00123CAE">
              <w:rPr>
                <w:rFonts w:ascii="Arial" w:hAnsi="Arial" w:cs="Arial"/>
                <w:b/>
                <w:sz w:val="22"/>
                <w:szCs w:val="22"/>
                <w:lang w:val="en-GB"/>
              </w:rPr>
              <w:t>Summary</w:t>
            </w:r>
          </w:p>
          <w:p w14:paraId="731BB485" w14:textId="5BCB2556" w:rsidR="00EC6F8D" w:rsidRPr="00123CAE" w:rsidRDefault="00A5425D" w:rsidP="00CA56BB">
            <w:pPr>
              <w:pStyle w:val="Sansinterligne1"/>
              <w:jc w:val="both"/>
              <w:rPr>
                <w:rFonts w:ascii="Arial" w:hAnsi="Arial" w:cs="Arial"/>
                <w:bCs/>
                <w:sz w:val="22"/>
                <w:szCs w:val="22"/>
                <w:lang w:val="en-GB"/>
              </w:rPr>
            </w:pPr>
            <w:r w:rsidRPr="00123CAE">
              <w:rPr>
                <w:rFonts w:ascii="Arial" w:hAnsi="Arial" w:cs="Arial"/>
                <w:sz w:val="22"/>
                <w:szCs w:val="22"/>
                <w:lang w:val="en-GB"/>
              </w:rPr>
              <w:t xml:space="preserve">Paragraph 160 of the Operational Directives stipulates that ‘Each State Party shall submit to the Committee reports on the status of elements of intangible cultural heritage present in its territory that have been inscribed on the List of Intangible Cultural Heritage in Need of Urgent Safeguarding’. This document covers reporting on </w:t>
            </w:r>
            <w:r w:rsidR="00893A34">
              <w:rPr>
                <w:rFonts w:ascii="Arial" w:hAnsi="Arial" w:cs="Arial"/>
                <w:sz w:val="22"/>
                <w:szCs w:val="22"/>
                <w:lang w:val="en-GB"/>
              </w:rPr>
              <w:t xml:space="preserve">one element inscribed in 2009 and five </w:t>
            </w:r>
            <w:r w:rsidRPr="00123CAE">
              <w:rPr>
                <w:rFonts w:ascii="Arial" w:hAnsi="Arial" w:cs="Arial"/>
                <w:sz w:val="22"/>
                <w:szCs w:val="22"/>
                <w:lang w:val="en-GB"/>
              </w:rPr>
              <w:t>element</w:t>
            </w:r>
            <w:r w:rsidR="00747DF8" w:rsidRPr="00123CAE">
              <w:rPr>
                <w:rFonts w:ascii="Arial" w:hAnsi="Arial" w:cs="Arial"/>
                <w:sz w:val="22"/>
                <w:szCs w:val="22"/>
                <w:lang w:val="en-GB"/>
              </w:rPr>
              <w:t>s inscribed in 2011</w:t>
            </w:r>
            <w:r w:rsidRPr="00123CAE">
              <w:rPr>
                <w:rFonts w:ascii="Arial" w:hAnsi="Arial" w:cs="Arial"/>
                <w:sz w:val="22"/>
                <w:szCs w:val="22"/>
                <w:lang w:val="en-GB"/>
              </w:rPr>
              <w:t xml:space="preserve">. The </w:t>
            </w:r>
            <w:r w:rsidR="00747DF8" w:rsidRPr="00123CAE">
              <w:rPr>
                <w:rFonts w:ascii="Arial" w:hAnsi="Arial" w:cs="Arial"/>
                <w:sz w:val="22"/>
                <w:szCs w:val="22"/>
                <w:lang w:val="en-GB"/>
              </w:rPr>
              <w:t xml:space="preserve">six </w:t>
            </w:r>
            <w:r w:rsidRPr="00123CAE">
              <w:rPr>
                <w:rFonts w:ascii="Arial" w:hAnsi="Arial" w:cs="Arial"/>
                <w:sz w:val="22"/>
                <w:szCs w:val="22"/>
                <w:lang w:val="en-GB"/>
              </w:rPr>
              <w:t>reports submitted by the States Parties are available online</w:t>
            </w:r>
            <w:r w:rsidR="00747DF8" w:rsidRPr="00123CAE">
              <w:rPr>
                <w:rFonts w:ascii="Arial" w:hAnsi="Arial" w:cs="Arial"/>
                <w:sz w:val="22"/>
                <w:szCs w:val="22"/>
                <w:lang w:val="en-GB"/>
              </w:rPr>
              <w:t xml:space="preserve"> and t</w:t>
            </w:r>
            <w:r w:rsidRPr="00123CAE">
              <w:rPr>
                <w:rFonts w:ascii="Arial" w:hAnsi="Arial" w:cs="Arial"/>
                <w:sz w:val="22"/>
                <w:szCs w:val="22"/>
                <w:lang w:val="en-GB"/>
              </w:rPr>
              <w:t>he present document includes a set of assessments and draft decisions for the Committee’s consideration.</w:t>
            </w:r>
          </w:p>
          <w:p w14:paraId="08E956B8" w14:textId="29824550" w:rsidR="00EC6F8D" w:rsidRPr="00123CAE" w:rsidRDefault="00EC6F8D" w:rsidP="006C2E0E">
            <w:pPr>
              <w:pStyle w:val="Sansinterligne2"/>
              <w:spacing w:before="200" w:after="200"/>
              <w:jc w:val="both"/>
              <w:rPr>
                <w:rFonts w:ascii="Arial" w:hAnsi="Arial" w:cs="Arial"/>
                <w:b/>
                <w:sz w:val="22"/>
                <w:szCs w:val="22"/>
                <w:lang w:val="en-GB"/>
              </w:rPr>
            </w:pPr>
            <w:r w:rsidRPr="00123CAE">
              <w:rPr>
                <w:rFonts w:ascii="Arial" w:hAnsi="Arial" w:cs="Arial"/>
                <w:b/>
                <w:sz w:val="22"/>
                <w:szCs w:val="22"/>
                <w:lang w:val="en-GB"/>
              </w:rPr>
              <w:t>Decision</w:t>
            </w:r>
            <w:r w:rsidR="00893A34">
              <w:rPr>
                <w:rFonts w:ascii="Arial" w:hAnsi="Arial" w:cs="Arial"/>
                <w:b/>
                <w:sz w:val="22"/>
                <w:szCs w:val="22"/>
                <w:lang w:val="en-GB"/>
              </w:rPr>
              <w:t>s</w:t>
            </w:r>
            <w:r w:rsidRPr="00123CAE">
              <w:rPr>
                <w:rFonts w:ascii="Arial" w:hAnsi="Arial" w:cs="Arial"/>
                <w:b/>
                <w:sz w:val="22"/>
                <w:szCs w:val="22"/>
                <w:lang w:val="en-GB"/>
              </w:rPr>
              <w:t xml:space="preserve"> required: </w:t>
            </w:r>
            <w:r w:rsidRPr="00123CAE">
              <w:rPr>
                <w:rFonts w:ascii="Arial" w:hAnsi="Arial" w:cs="Arial"/>
                <w:bCs/>
                <w:sz w:val="22"/>
                <w:szCs w:val="22"/>
                <w:lang w:val="en-GB"/>
              </w:rPr>
              <w:t>paragraph</w:t>
            </w:r>
            <w:r w:rsidR="00893A34">
              <w:rPr>
                <w:rFonts w:ascii="Arial" w:hAnsi="Arial" w:cs="Arial"/>
                <w:bCs/>
                <w:sz w:val="22"/>
                <w:szCs w:val="22"/>
                <w:lang w:val="en-GB"/>
              </w:rPr>
              <w:t>s</w:t>
            </w:r>
            <w:r w:rsidRPr="00123CAE">
              <w:rPr>
                <w:rFonts w:ascii="Arial" w:hAnsi="Arial" w:cs="Arial"/>
                <w:bCs/>
                <w:sz w:val="22"/>
                <w:szCs w:val="22"/>
                <w:lang w:val="en-GB"/>
              </w:rPr>
              <w:t xml:space="preserve"> </w:t>
            </w:r>
            <w:r w:rsidR="006C2E0E" w:rsidRPr="00B71920">
              <w:rPr>
                <w:rFonts w:ascii="Arial" w:hAnsi="Arial" w:cs="Arial"/>
                <w:bCs/>
                <w:sz w:val="22"/>
                <w:szCs w:val="22"/>
                <w:lang w:val="en-GB"/>
              </w:rPr>
              <w:t>7</w:t>
            </w:r>
            <w:r w:rsidR="00D61F14">
              <w:rPr>
                <w:rFonts w:ascii="Arial" w:hAnsi="Arial" w:cs="Arial"/>
                <w:bCs/>
                <w:sz w:val="22"/>
                <w:szCs w:val="22"/>
                <w:lang w:val="en-GB"/>
              </w:rPr>
              <w:t>, 13, 19, 25, 31, 37 and 43</w:t>
            </w:r>
          </w:p>
        </w:tc>
      </w:tr>
    </w:tbl>
    <w:p w14:paraId="6097920C" w14:textId="56620B34" w:rsidR="00597DB0" w:rsidRPr="00123CAE" w:rsidRDefault="00655736" w:rsidP="00597DB0">
      <w:pPr>
        <w:pStyle w:val="Marge"/>
        <w:numPr>
          <w:ilvl w:val="0"/>
          <w:numId w:val="9"/>
        </w:numPr>
        <w:spacing w:after="120"/>
        <w:ind w:left="567" w:hanging="567"/>
        <w:rPr>
          <w:rFonts w:cs="Arial"/>
          <w:szCs w:val="22"/>
          <w:lang w:val="en-GB"/>
        </w:rPr>
      </w:pPr>
      <w:r w:rsidRPr="00123CAE">
        <w:rPr>
          <w:lang w:val="en-GB"/>
        </w:rPr>
        <w:br w:type="page"/>
      </w:r>
      <w:r w:rsidR="00597DB0" w:rsidRPr="00123CAE">
        <w:rPr>
          <w:rFonts w:cs="Arial"/>
          <w:szCs w:val="22"/>
          <w:lang w:val="en-GB"/>
        </w:rPr>
        <w:lastRenderedPageBreak/>
        <w:t xml:space="preserve">Article 7(f) of the Convention provides that the Committee’s duties shall include to ‘examine, in accordance with Article 29, the reports submitted by States Parties, and to summarize them for the General Assembly’. </w:t>
      </w:r>
      <w:r w:rsidR="00992447">
        <w:rPr>
          <w:rFonts w:cs="Arial"/>
          <w:szCs w:val="22"/>
          <w:lang w:val="en-GB"/>
        </w:rPr>
        <w:t>Article 29 in turn stipulates that ‘the States Parties shall submit to the Committee</w:t>
      </w:r>
      <w:r w:rsidR="009769D3">
        <w:rPr>
          <w:rFonts w:cs="Arial"/>
          <w:szCs w:val="22"/>
          <w:lang w:val="en-GB"/>
        </w:rPr>
        <w:t xml:space="preserve"> </w:t>
      </w:r>
      <w:r w:rsidR="0046078B">
        <w:rPr>
          <w:rFonts w:cs="Arial"/>
          <w:szCs w:val="22"/>
          <w:lang w:val="en-GB"/>
        </w:rPr>
        <w:t>[…]</w:t>
      </w:r>
      <w:r w:rsidR="00992447">
        <w:rPr>
          <w:rFonts w:cs="Arial"/>
          <w:szCs w:val="22"/>
          <w:lang w:val="en-GB"/>
        </w:rPr>
        <w:t xml:space="preserve"> reports on the legislative, regulatory and other measures taken for the implementation of this Convention’. </w:t>
      </w:r>
      <w:r w:rsidR="00597DB0" w:rsidRPr="00123CAE">
        <w:rPr>
          <w:rFonts w:cs="Arial"/>
          <w:szCs w:val="22"/>
          <w:lang w:val="en-GB"/>
        </w:rPr>
        <w:t>Based in part on those reports, the Committee then submits its report to the General Assembly</w:t>
      </w:r>
      <w:r w:rsidR="00414D21" w:rsidRPr="00123CAE">
        <w:rPr>
          <w:rFonts w:cs="Arial"/>
          <w:szCs w:val="22"/>
          <w:lang w:val="en-GB"/>
        </w:rPr>
        <w:t xml:space="preserve">, in conformity with </w:t>
      </w:r>
      <w:r w:rsidR="00597DB0" w:rsidRPr="00123CAE">
        <w:rPr>
          <w:rFonts w:cs="Arial"/>
          <w:szCs w:val="22"/>
          <w:lang w:val="en-GB"/>
        </w:rPr>
        <w:t>Article 30.</w:t>
      </w:r>
    </w:p>
    <w:p w14:paraId="31CAB598" w14:textId="7C60F59C" w:rsidR="00597DB0" w:rsidRPr="00123CAE" w:rsidRDefault="00597DB0" w:rsidP="00597DB0">
      <w:pPr>
        <w:pStyle w:val="Marge"/>
        <w:numPr>
          <w:ilvl w:val="0"/>
          <w:numId w:val="9"/>
        </w:numPr>
        <w:spacing w:after="120"/>
        <w:ind w:left="567" w:hanging="567"/>
        <w:rPr>
          <w:rFonts w:cs="Arial"/>
          <w:szCs w:val="22"/>
          <w:lang w:val="en-GB"/>
        </w:rPr>
      </w:pPr>
      <w:r w:rsidRPr="00123CAE">
        <w:rPr>
          <w:rFonts w:cs="Arial"/>
          <w:szCs w:val="22"/>
          <w:lang w:val="en-GB"/>
        </w:rPr>
        <w:t>According to paragraphs 160 to 164 of the Operational Directives</w:t>
      </w:r>
      <w:r w:rsidR="00976C61">
        <w:rPr>
          <w:rFonts w:cs="Arial"/>
          <w:szCs w:val="22"/>
          <w:lang w:val="en-GB"/>
        </w:rPr>
        <w:t xml:space="preserve"> (under Chapter V)</w:t>
      </w:r>
      <w:r w:rsidRPr="00123CAE">
        <w:rPr>
          <w:rFonts w:cs="Arial"/>
          <w:szCs w:val="22"/>
          <w:lang w:val="en-GB"/>
        </w:rPr>
        <w:t xml:space="preserve">, each State Party to the Convention shall submit to the Committee reports on the status of elements of intangible cultural heritage present in its territory that have been inscribed on the List of Intangible Cultural Heritage in Need of Urgent Safeguarding, and paragraphs 165 to 167 describe the receipt and processing of </w:t>
      </w:r>
      <w:r w:rsidR="00974C1F" w:rsidRPr="00123CAE">
        <w:rPr>
          <w:rFonts w:cs="Arial"/>
          <w:szCs w:val="22"/>
          <w:lang w:val="en-GB"/>
        </w:rPr>
        <w:t xml:space="preserve">these </w:t>
      </w:r>
      <w:r w:rsidRPr="00123CAE">
        <w:rPr>
          <w:rFonts w:cs="Arial"/>
          <w:szCs w:val="22"/>
          <w:lang w:val="en-GB"/>
        </w:rPr>
        <w:t xml:space="preserve">reports. </w:t>
      </w:r>
      <w:r w:rsidR="005C2BAE" w:rsidRPr="00123CAE">
        <w:rPr>
          <w:rFonts w:cs="Arial"/>
          <w:szCs w:val="22"/>
          <w:lang w:val="en-GB"/>
        </w:rPr>
        <w:t xml:space="preserve">The </w:t>
      </w:r>
      <w:r w:rsidRPr="00123CAE">
        <w:rPr>
          <w:rFonts w:cs="Arial"/>
          <w:szCs w:val="22"/>
          <w:lang w:val="en-GB"/>
        </w:rPr>
        <w:t>reports are submitted four years after inscription and every fourth year thereafter.</w:t>
      </w:r>
    </w:p>
    <w:p w14:paraId="48A55CE3" w14:textId="6CCA32FD" w:rsidR="00ED4D65" w:rsidRPr="00123CAE" w:rsidRDefault="00597DB0" w:rsidP="00597DB0">
      <w:pPr>
        <w:pStyle w:val="Marge"/>
        <w:numPr>
          <w:ilvl w:val="0"/>
          <w:numId w:val="9"/>
        </w:numPr>
        <w:spacing w:after="120"/>
        <w:ind w:left="567" w:hanging="567"/>
        <w:rPr>
          <w:rFonts w:cs="Arial"/>
          <w:szCs w:val="22"/>
          <w:lang w:val="en-GB"/>
        </w:rPr>
      </w:pPr>
      <w:r w:rsidRPr="00123CAE">
        <w:rPr>
          <w:rFonts w:cs="Arial"/>
          <w:szCs w:val="22"/>
          <w:lang w:val="en-GB"/>
        </w:rPr>
        <w:t xml:space="preserve">The present document concerns the </w:t>
      </w:r>
      <w:r w:rsidR="002318DD" w:rsidRPr="00123CAE">
        <w:rPr>
          <w:rFonts w:cs="Arial"/>
          <w:szCs w:val="22"/>
          <w:lang w:val="en-GB"/>
        </w:rPr>
        <w:t>third</w:t>
      </w:r>
      <w:r w:rsidRPr="00123CAE">
        <w:rPr>
          <w:rFonts w:cs="Arial"/>
          <w:szCs w:val="22"/>
          <w:lang w:val="en-GB"/>
        </w:rPr>
        <w:t xml:space="preserve"> cycle of ordinary reporting</w:t>
      </w:r>
      <w:r w:rsidR="00ED4D65" w:rsidRPr="00123CAE">
        <w:rPr>
          <w:rFonts w:cs="Arial"/>
          <w:szCs w:val="22"/>
          <w:lang w:val="en-GB"/>
        </w:rPr>
        <w:t xml:space="preserve"> covering the period from the date of inscription until December 2015.</w:t>
      </w:r>
      <w:r w:rsidR="00ED4D65" w:rsidRPr="00123CAE">
        <w:rPr>
          <w:lang w:val="en-GB"/>
        </w:rPr>
        <w:t xml:space="preserve"> A total of </w:t>
      </w:r>
      <w:r w:rsidR="001C6953" w:rsidRPr="00123CAE">
        <w:rPr>
          <w:lang w:val="en-GB"/>
        </w:rPr>
        <w:t xml:space="preserve">18 </w:t>
      </w:r>
      <w:r w:rsidR="00ED4D65" w:rsidRPr="00123CAE">
        <w:rPr>
          <w:lang w:val="en-GB"/>
        </w:rPr>
        <w:t xml:space="preserve">reports </w:t>
      </w:r>
      <w:r w:rsidR="00305105">
        <w:rPr>
          <w:lang w:val="en-GB"/>
        </w:rPr>
        <w:t xml:space="preserve">were </w:t>
      </w:r>
      <w:r w:rsidR="00ED4D65" w:rsidRPr="00123CAE">
        <w:rPr>
          <w:lang w:val="en-GB"/>
        </w:rPr>
        <w:t xml:space="preserve">expected to be examined by the Committee at the current session. These include </w:t>
      </w:r>
      <w:r w:rsidR="001C6953" w:rsidRPr="00123CAE">
        <w:rPr>
          <w:lang w:val="en-GB"/>
        </w:rPr>
        <w:t>11</w:t>
      </w:r>
      <w:r w:rsidR="00ED4D65" w:rsidRPr="00123CAE">
        <w:rPr>
          <w:lang w:val="en-GB"/>
        </w:rPr>
        <w:t xml:space="preserve"> reports on </w:t>
      </w:r>
      <w:r w:rsidRPr="00123CAE">
        <w:rPr>
          <w:rFonts w:cs="Arial"/>
          <w:szCs w:val="22"/>
          <w:lang w:val="en-GB"/>
        </w:rPr>
        <w:t>elements inscribed in 20</w:t>
      </w:r>
      <w:r w:rsidR="002318DD" w:rsidRPr="00123CAE">
        <w:rPr>
          <w:rFonts w:cs="Arial"/>
          <w:szCs w:val="22"/>
          <w:lang w:val="en-GB"/>
        </w:rPr>
        <w:t>11</w:t>
      </w:r>
      <w:r w:rsidR="00ED4D65" w:rsidRPr="00123CAE">
        <w:rPr>
          <w:rFonts w:cs="Arial"/>
          <w:szCs w:val="22"/>
          <w:lang w:val="en-GB"/>
        </w:rPr>
        <w:t>,</w:t>
      </w:r>
      <w:r w:rsidRPr="00123CAE">
        <w:rPr>
          <w:rFonts w:cs="Arial"/>
          <w:szCs w:val="22"/>
          <w:lang w:val="en-GB"/>
        </w:rPr>
        <w:t xml:space="preserve"> </w:t>
      </w:r>
      <w:r w:rsidR="00ED4D65" w:rsidRPr="00123CAE">
        <w:rPr>
          <w:rFonts w:cs="Arial"/>
          <w:szCs w:val="22"/>
          <w:lang w:val="en-GB"/>
        </w:rPr>
        <w:t xml:space="preserve">as well as three on elements inscribed in 2010 and four on elements inscribed in 2009 that were expected in previous cycles </w:t>
      </w:r>
      <w:r w:rsidR="00414D21" w:rsidRPr="00123CAE">
        <w:rPr>
          <w:rFonts w:cs="Arial"/>
          <w:szCs w:val="22"/>
          <w:lang w:val="en-GB"/>
        </w:rPr>
        <w:t xml:space="preserve">but were </w:t>
      </w:r>
      <w:r w:rsidR="00505E73">
        <w:rPr>
          <w:rFonts w:cs="Arial"/>
          <w:szCs w:val="22"/>
          <w:lang w:val="en-GB"/>
        </w:rPr>
        <w:t>not</w:t>
      </w:r>
      <w:r w:rsidR="00ED4D65" w:rsidRPr="00123CAE">
        <w:rPr>
          <w:rFonts w:cs="Arial"/>
          <w:szCs w:val="22"/>
          <w:lang w:val="en-GB"/>
        </w:rPr>
        <w:t xml:space="preserve"> submitted.</w:t>
      </w:r>
    </w:p>
    <w:p w14:paraId="0AE9540C" w14:textId="0A31F23D" w:rsidR="00F60B58" w:rsidRPr="00123CAE" w:rsidRDefault="00ED4D65" w:rsidP="0010035C">
      <w:pPr>
        <w:pStyle w:val="Marge"/>
        <w:numPr>
          <w:ilvl w:val="0"/>
          <w:numId w:val="9"/>
        </w:numPr>
        <w:spacing w:after="120"/>
        <w:ind w:left="567" w:hanging="567"/>
        <w:rPr>
          <w:lang w:val="en-GB"/>
        </w:rPr>
      </w:pPr>
      <w:r w:rsidRPr="00123CAE">
        <w:rPr>
          <w:lang w:val="en-GB"/>
        </w:rPr>
        <w:t xml:space="preserve">Of the </w:t>
      </w:r>
      <w:r w:rsidR="00BD3B12" w:rsidRPr="00123CAE">
        <w:rPr>
          <w:lang w:val="en-GB"/>
        </w:rPr>
        <w:t xml:space="preserve">11 </w:t>
      </w:r>
      <w:r w:rsidR="00597DB0" w:rsidRPr="00123CAE">
        <w:rPr>
          <w:lang w:val="en-GB"/>
        </w:rPr>
        <w:t xml:space="preserve">reports </w:t>
      </w:r>
      <w:r w:rsidR="00A25A63" w:rsidRPr="00123CAE">
        <w:rPr>
          <w:lang w:val="en-GB"/>
        </w:rPr>
        <w:t xml:space="preserve">on elements inscribed in 2011, </w:t>
      </w:r>
      <w:r w:rsidR="005E1EF3" w:rsidRPr="00123CAE">
        <w:rPr>
          <w:lang w:val="en-GB"/>
        </w:rPr>
        <w:t xml:space="preserve">five </w:t>
      </w:r>
      <w:r w:rsidR="002318DD" w:rsidRPr="00123CAE">
        <w:rPr>
          <w:lang w:val="en-GB"/>
        </w:rPr>
        <w:t xml:space="preserve">were </w:t>
      </w:r>
      <w:r w:rsidR="00597DB0" w:rsidRPr="00123CAE">
        <w:rPr>
          <w:lang w:val="en-GB"/>
        </w:rPr>
        <w:t xml:space="preserve">submitted on time. </w:t>
      </w:r>
      <w:r w:rsidR="007470F1" w:rsidRPr="00123CAE">
        <w:rPr>
          <w:lang w:val="en-GB"/>
        </w:rPr>
        <w:t xml:space="preserve">Another </w:t>
      </w:r>
      <w:r w:rsidR="00822EB1" w:rsidRPr="00123CAE">
        <w:rPr>
          <w:lang w:val="en-GB"/>
        </w:rPr>
        <w:t xml:space="preserve">report was also submitted before the statutory deadline by </w:t>
      </w:r>
      <w:r w:rsidR="001E759C" w:rsidRPr="00123CAE">
        <w:rPr>
          <w:lang w:val="en-GB"/>
        </w:rPr>
        <w:t>Viet Nam</w:t>
      </w:r>
      <w:r w:rsidR="00A25A63" w:rsidRPr="00123CAE">
        <w:rPr>
          <w:lang w:val="en-GB"/>
        </w:rPr>
        <w:t>, namely the report on the status of ‘Xoan singing of Phú Thọ Province, Viet Nam’ (file number</w:t>
      </w:r>
      <w:r w:rsidR="007470F1" w:rsidRPr="00123CAE">
        <w:rPr>
          <w:lang w:val="en-GB"/>
        </w:rPr>
        <w:t xml:space="preserve"> </w:t>
      </w:r>
      <w:hyperlink r:id="rId8" w:history="1">
        <w:r w:rsidR="007470F1" w:rsidRPr="00123CAE">
          <w:rPr>
            <w:rStyle w:val="Hyperlink"/>
            <w:lang w:val="en-GB"/>
          </w:rPr>
          <w:t>00538</w:t>
        </w:r>
      </w:hyperlink>
      <w:r w:rsidR="00F60B58" w:rsidRPr="00123CAE">
        <w:rPr>
          <w:lang w:val="en-GB"/>
        </w:rPr>
        <w:t>)</w:t>
      </w:r>
      <w:r w:rsidR="00414D21" w:rsidRPr="00123CAE">
        <w:rPr>
          <w:lang w:val="en-GB"/>
        </w:rPr>
        <w:t>.</w:t>
      </w:r>
      <w:r w:rsidR="001E759C" w:rsidRPr="00123CAE">
        <w:rPr>
          <w:lang w:val="en-GB"/>
        </w:rPr>
        <w:t xml:space="preserve"> </w:t>
      </w:r>
      <w:r w:rsidR="00414D21" w:rsidRPr="00123CAE">
        <w:rPr>
          <w:lang w:val="en-GB"/>
        </w:rPr>
        <w:t>I</w:t>
      </w:r>
      <w:r w:rsidR="001E759C" w:rsidRPr="00123CAE">
        <w:rPr>
          <w:lang w:val="en-GB"/>
        </w:rPr>
        <w:t>n compliance with</w:t>
      </w:r>
      <w:r w:rsidR="007470F1" w:rsidRPr="00123CAE">
        <w:rPr>
          <w:lang w:val="en-GB"/>
        </w:rPr>
        <w:t xml:space="preserve"> </w:t>
      </w:r>
      <w:hyperlink r:id="rId9" w:history="1">
        <w:r w:rsidR="0019514B">
          <w:rPr>
            <w:rStyle w:val="Hyperlink"/>
            <w:lang w:val="en-GB"/>
          </w:rPr>
          <w:t>Decision</w:t>
        </w:r>
        <w:r w:rsidR="0019514B">
          <w:rPr>
            <w:rStyle w:val="Hyperlink"/>
            <w:lang w:val="en-US"/>
          </w:rPr>
          <w:t> </w:t>
        </w:r>
        <w:r w:rsidR="007470F1" w:rsidRPr="00123CAE">
          <w:rPr>
            <w:rStyle w:val="Hyperlink"/>
            <w:lang w:val="en-GB"/>
          </w:rPr>
          <w:t>10.COM 19</w:t>
        </w:r>
      </w:hyperlink>
      <w:r w:rsidR="00414D21" w:rsidRPr="00123CAE">
        <w:rPr>
          <w:lang w:val="en-GB"/>
        </w:rPr>
        <w:t>, this report</w:t>
      </w:r>
      <w:r w:rsidR="001E759C" w:rsidRPr="00123CAE">
        <w:rPr>
          <w:lang w:val="en-GB"/>
        </w:rPr>
        <w:t xml:space="preserve"> will be examined at the twelfth session of the Committee in 2017 </w:t>
      </w:r>
      <w:r w:rsidR="001010A4">
        <w:rPr>
          <w:lang w:val="en-GB"/>
        </w:rPr>
        <w:t>when</w:t>
      </w:r>
      <w:r w:rsidR="001E759C" w:rsidRPr="00123CAE">
        <w:rPr>
          <w:lang w:val="en-GB"/>
        </w:rPr>
        <w:t xml:space="preserve"> a new nomination of the same element for possible transfer from the List of Intangible Cultural Heritage in Need of Urgent Safeguarding to the Representative List of the Intangibl</w:t>
      </w:r>
      <w:r w:rsidR="00822EB1" w:rsidRPr="00123CAE">
        <w:rPr>
          <w:lang w:val="en-GB"/>
        </w:rPr>
        <w:t>e Cultural Heritage of Humanity</w:t>
      </w:r>
      <w:r w:rsidR="001010A4">
        <w:rPr>
          <w:lang w:val="en-GB"/>
        </w:rPr>
        <w:t xml:space="preserve"> will be examined</w:t>
      </w:r>
      <w:r w:rsidR="00414D21" w:rsidRPr="00123CAE">
        <w:rPr>
          <w:lang w:val="en-GB"/>
        </w:rPr>
        <w:t>, following</w:t>
      </w:r>
      <w:r w:rsidR="00822EB1" w:rsidRPr="00123CAE">
        <w:rPr>
          <w:lang w:val="en-GB"/>
        </w:rPr>
        <w:t xml:space="preserve"> the request </w:t>
      </w:r>
      <w:r w:rsidR="00414D21" w:rsidRPr="00123CAE">
        <w:rPr>
          <w:lang w:val="en-GB"/>
        </w:rPr>
        <w:t xml:space="preserve">presented </w:t>
      </w:r>
      <w:r w:rsidR="00822CD4" w:rsidRPr="00123CAE">
        <w:rPr>
          <w:lang w:val="en-GB"/>
        </w:rPr>
        <w:t>by</w:t>
      </w:r>
      <w:r w:rsidR="00822EB1" w:rsidRPr="00123CAE">
        <w:rPr>
          <w:lang w:val="en-GB"/>
        </w:rPr>
        <w:t xml:space="preserve"> Viet Nam.</w:t>
      </w:r>
    </w:p>
    <w:p w14:paraId="344A1332" w14:textId="4A5FC94F" w:rsidR="00597DB0" w:rsidRPr="00123CAE" w:rsidRDefault="007470F1" w:rsidP="0010035C">
      <w:pPr>
        <w:pStyle w:val="Marge"/>
        <w:numPr>
          <w:ilvl w:val="0"/>
          <w:numId w:val="9"/>
        </w:numPr>
        <w:spacing w:after="120"/>
        <w:ind w:left="567" w:hanging="567"/>
        <w:rPr>
          <w:lang w:val="en-GB"/>
        </w:rPr>
      </w:pPr>
      <w:r w:rsidRPr="00123CAE">
        <w:rPr>
          <w:lang w:val="en-GB"/>
        </w:rPr>
        <w:t>S</w:t>
      </w:r>
      <w:r w:rsidR="004C5555" w:rsidRPr="00123CAE">
        <w:rPr>
          <w:lang w:val="en-GB"/>
        </w:rPr>
        <w:t>even</w:t>
      </w:r>
      <w:r w:rsidR="001E759C" w:rsidRPr="00123CAE">
        <w:rPr>
          <w:lang w:val="en-GB"/>
        </w:rPr>
        <w:t xml:space="preserve"> reports </w:t>
      </w:r>
      <w:r w:rsidR="001736ED" w:rsidRPr="00123CAE">
        <w:rPr>
          <w:lang w:val="en-GB"/>
        </w:rPr>
        <w:t xml:space="preserve">regarding </w:t>
      </w:r>
      <w:r w:rsidR="001E759C" w:rsidRPr="00123CAE">
        <w:rPr>
          <w:lang w:val="en-GB"/>
        </w:rPr>
        <w:t>elements inscribed in 2009 and 2010</w:t>
      </w:r>
      <w:r w:rsidR="001736ED" w:rsidRPr="00123CAE">
        <w:rPr>
          <w:lang w:val="en-GB"/>
        </w:rPr>
        <w:t>, which had been overdue,</w:t>
      </w:r>
      <w:r w:rsidR="001E759C" w:rsidRPr="00123CAE">
        <w:rPr>
          <w:lang w:val="en-GB"/>
        </w:rPr>
        <w:t xml:space="preserve"> </w:t>
      </w:r>
      <w:r w:rsidR="001736ED" w:rsidRPr="00123CAE">
        <w:rPr>
          <w:lang w:val="en-GB"/>
        </w:rPr>
        <w:t>were duly received</w:t>
      </w:r>
      <w:r w:rsidR="004C5555" w:rsidRPr="00123CAE">
        <w:rPr>
          <w:lang w:val="en-GB"/>
        </w:rPr>
        <w:t>.</w:t>
      </w:r>
      <w:r w:rsidR="001E759C" w:rsidRPr="00123CAE">
        <w:rPr>
          <w:lang w:val="en-GB"/>
        </w:rPr>
        <w:t xml:space="preserve"> Out of </w:t>
      </w:r>
      <w:r w:rsidR="001736ED" w:rsidRPr="00123CAE">
        <w:rPr>
          <w:lang w:val="en-GB"/>
        </w:rPr>
        <w:t>them</w:t>
      </w:r>
      <w:r w:rsidR="001E759C" w:rsidRPr="00123CAE">
        <w:rPr>
          <w:lang w:val="en-GB"/>
        </w:rPr>
        <w:t xml:space="preserve">, six </w:t>
      </w:r>
      <w:r w:rsidR="001736ED" w:rsidRPr="00123CAE">
        <w:rPr>
          <w:lang w:val="en-GB"/>
        </w:rPr>
        <w:t>concerned</w:t>
      </w:r>
      <w:r w:rsidR="001E759C" w:rsidRPr="00123CAE">
        <w:rPr>
          <w:lang w:val="en-GB"/>
        </w:rPr>
        <w:t xml:space="preserve"> China</w:t>
      </w:r>
      <w:r w:rsidR="00822EB1" w:rsidRPr="00123CAE">
        <w:rPr>
          <w:lang w:val="en-GB"/>
        </w:rPr>
        <w:t xml:space="preserve"> and one</w:t>
      </w:r>
      <w:r w:rsidR="00BD3B12" w:rsidRPr="00123CAE">
        <w:rPr>
          <w:lang w:val="en-GB"/>
        </w:rPr>
        <w:t xml:space="preserve"> </w:t>
      </w:r>
      <w:r w:rsidR="005C2BAE" w:rsidRPr="00123CAE">
        <w:rPr>
          <w:lang w:val="en-GB"/>
        </w:rPr>
        <w:t>concerned</w:t>
      </w:r>
      <w:r w:rsidR="001736ED" w:rsidRPr="00123CAE">
        <w:rPr>
          <w:lang w:val="en-GB"/>
        </w:rPr>
        <w:t xml:space="preserve"> </w:t>
      </w:r>
      <w:r w:rsidR="00822EB1" w:rsidRPr="00123CAE">
        <w:rPr>
          <w:lang w:val="en-GB"/>
        </w:rPr>
        <w:t>France</w:t>
      </w:r>
      <w:r w:rsidR="001E759C" w:rsidRPr="00123CAE">
        <w:rPr>
          <w:lang w:val="en-GB"/>
        </w:rPr>
        <w:t xml:space="preserve">. </w:t>
      </w:r>
      <w:r w:rsidR="00822EB1" w:rsidRPr="00123CAE">
        <w:rPr>
          <w:lang w:val="en-GB"/>
        </w:rPr>
        <w:t xml:space="preserve">The latter </w:t>
      </w:r>
      <w:r w:rsidR="001736ED" w:rsidRPr="00123CAE">
        <w:rPr>
          <w:lang w:val="en-GB"/>
        </w:rPr>
        <w:t>was</w:t>
      </w:r>
      <w:r w:rsidR="00822EB1" w:rsidRPr="00123CAE">
        <w:rPr>
          <w:lang w:val="en-GB"/>
        </w:rPr>
        <w:t xml:space="preserve"> submitted within the </w:t>
      </w:r>
      <w:r w:rsidR="00414D21" w:rsidRPr="00123CAE">
        <w:rPr>
          <w:lang w:val="en-GB"/>
        </w:rPr>
        <w:t xml:space="preserve">annual </w:t>
      </w:r>
      <w:r w:rsidR="00822EB1" w:rsidRPr="00123CAE">
        <w:rPr>
          <w:lang w:val="en-GB"/>
        </w:rPr>
        <w:t xml:space="preserve">statutory deadline </w:t>
      </w:r>
      <w:r w:rsidR="00414D21" w:rsidRPr="00123CAE">
        <w:rPr>
          <w:lang w:val="en-GB"/>
        </w:rPr>
        <w:t xml:space="preserve">of 15 December </w:t>
      </w:r>
      <w:r w:rsidR="00822EB1" w:rsidRPr="00123CAE">
        <w:rPr>
          <w:lang w:val="en-GB"/>
        </w:rPr>
        <w:t>and is</w:t>
      </w:r>
      <w:r w:rsidR="00BD3B12" w:rsidRPr="00123CAE">
        <w:rPr>
          <w:lang w:val="en-GB"/>
        </w:rPr>
        <w:t>,</w:t>
      </w:r>
      <w:r w:rsidR="00822EB1" w:rsidRPr="00123CAE">
        <w:rPr>
          <w:lang w:val="en-GB"/>
        </w:rPr>
        <w:t xml:space="preserve"> therefore</w:t>
      </w:r>
      <w:r w:rsidR="00BD3B12" w:rsidRPr="00123CAE">
        <w:rPr>
          <w:lang w:val="en-GB"/>
        </w:rPr>
        <w:t>,</w:t>
      </w:r>
      <w:r w:rsidR="00822EB1" w:rsidRPr="00123CAE">
        <w:rPr>
          <w:lang w:val="en-GB"/>
        </w:rPr>
        <w:t xml:space="preserve"> part of the six reports covered by the present document. </w:t>
      </w:r>
      <w:r w:rsidR="006A2458" w:rsidRPr="00123CAE">
        <w:rPr>
          <w:lang w:val="en-GB"/>
        </w:rPr>
        <w:t xml:space="preserve">Concerning the </w:t>
      </w:r>
      <w:r w:rsidR="00505E73">
        <w:rPr>
          <w:lang w:val="en-GB"/>
        </w:rPr>
        <w:t>remaining reports</w:t>
      </w:r>
      <w:r w:rsidR="006A2458" w:rsidRPr="00123CAE">
        <w:rPr>
          <w:lang w:val="en-GB"/>
        </w:rPr>
        <w:t>, i</w:t>
      </w:r>
      <w:r w:rsidR="00822EB1" w:rsidRPr="00123CAE">
        <w:rPr>
          <w:lang w:val="en-GB"/>
        </w:rPr>
        <w:t xml:space="preserve">n May 2016 China </w:t>
      </w:r>
      <w:r w:rsidR="006A2458" w:rsidRPr="00123CAE">
        <w:rPr>
          <w:lang w:val="en-GB"/>
        </w:rPr>
        <w:t xml:space="preserve">also </w:t>
      </w:r>
      <w:r w:rsidR="00822EB1" w:rsidRPr="00123CAE">
        <w:rPr>
          <w:lang w:val="en-GB"/>
        </w:rPr>
        <w:t>submitted its six overdue reports</w:t>
      </w:r>
      <w:r w:rsidR="001B4194" w:rsidRPr="00123CAE">
        <w:rPr>
          <w:lang w:val="en-GB"/>
        </w:rPr>
        <w:t>,</w:t>
      </w:r>
      <w:r w:rsidR="00822EB1" w:rsidRPr="00123CAE">
        <w:rPr>
          <w:lang w:val="en-GB"/>
        </w:rPr>
        <w:t xml:space="preserve"> as well as a seventh</w:t>
      </w:r>
      <w:r w:rsidR="00BD3B12" w:rsidRPr="00123CAE">
        <w:rPr>
          <w:lang w:val="en-GB"/>
        </w:rPr>
        <w:t xml:space="preserve"> </w:t>
      </w:r>
      <w:r w:rsidR="00822EB1" w:rsidRPr="00123CAE">
        <w:rPr>
          <w:lang w:val="en-GB"/>
        </w:rPr>
        <w:t>report for an element inscribed in 2011</w:t>
      </w:r>
      <w:r w:rsidR="006A2458" w:rsidRPr="00123CAE">
        <w:rPr>
          <w:lang w:val="en-GB"/>
        </w:rPr>
        <w:t>.</w:t>
      </w:r>
      <w:r w:rsidR="00822EB1" w:rsidRPr="00123CAE">
        <w:rPr>
          <w:lang w:val="en-GB"/>
        </w:rPr>
        <w:t xml:space="preserve"> </w:t>
      </w:r>
      <w:r w:rsidR="006A2458" w:rsidRPr="00123CAE">
        <w:rPr>
          <w:lang w:val="en-GB"/>
        </w:rPr>
        <w:t>T</w:t>
      </w:r>
      <w:r w:rsidR="00822EB1" w:rsidRPr="00123CAE">
        <w:rPr>
          <w:lang w:val="en-GB"/>
        </w:rPr>
        <w:t xml:space="preserve">hese reports will be examined by the Committee at its twelfth session in 2017 together with </w:t>
      </w:r>
      <w:r w:rsidR="001736ED" w:rsidRPr="00123CAE">
        <w:rPr>
          <w:lang w:val="en-GB"/>
        </w:rPr>
        <w:t>others</w:t>
      </w:r>
      <w:r w:rsidR="00822EB1" w:rsidRPr="00123CAE">
        <w:rPr>
          <w:lang w:val="en-GB"/>
        </w:rPr>
        <w:t xml:space="preserve"> </w:t>
      </w:r>
      <w:r w:rsidR="00597DB0" w:rsidRPr="00123CAE">
        <w:rPr>
          <w:lang w:val="en-GB"/>
        </w:rPr>
        <w:t>on</w:t>
      </w:r>
      <w:r w:rsidR="00822EB1" w:rsidRPr="00123CAE">
        <w:rPr>
          <w:lang w:val="en-GB"/>
        </w:rPr>
        <w:t xml:space="preserve"> four elements inscribed in 2011</w:t>
      </w:r>
      <w:r w:rsidR="00597DB0" w:rsidRPr="00123CAE">
        <w:rPr>
          <w:lang w:val="en-GB"/>
        </w:rPr>
        <w:t xml:space="preserve"> </w:t>
      </w:r>
      <w:r w:rsidR="006A2458" w:rsidRPr="00123CAE">
        <w:rPr>
          <w:lang w:val="en-GB"/>
        </w:rPr>
        <w:t>that were</w:t>
      </w:r>
      <w:r w:rsidR="00597DB0" w:rsidRPr="00123CAE">
        <w:rPr>
          <w:lang w:val="en-GB"/>
        </w:rPr>
        <w:t xml:space="preserve"> expected </w:t>
      </w:r>
      <w:r w:rsidR="006A2458" w:rsidRPr="00123CAE">
        <w:rPr>
          <w:lang w:val="en-GB"/>
        </w:rPr>
        <w:t>by 15 </w:t>
      </w:r>
      <w:r w:rsidR="00822EB1" w:rsidRPr="00123CAE">
        <w:rPr>
          <w:lang w:val="en-GB"/>
        </w:rPr>
        <w:t xml:space="preserve">December 2015 </w:t>
      </w:r>
      <w:r w:rsidR="006A2458" w:rsidRPr="00123CAE">
        <w:rPr>
          <w:lang w:val="en-GB"/>
        </w:rPr>
        <w:t xml:space="preserve">and </w:t>
      </w:r>
      <w:r w:rsidR="001736ED" w:rsidRPr="00123CAE">
        <w:rPr>
          <w:lang w:val="en-GB"/>
        </w:rPr>
        <w:t>were not</w:t>
      </w:r>
      <w:r w:rsidR="00597DB0" w:rsidRPr="00123CAE">
        <w:rPr>
          <w:lang w:val="en-GB"/>
        </w:rPr>
        <w:t xml:space="preserve"> submitted by the States Parties</w:t>
      </w:r>
      <w:r w:rsidR="00BD3B12" w:rsidRPr="00123CAE">
        <w:rPr>
          <w:lang w:val="en-GB"/>
        </w:rPr>
        <w:t xml:space="preserve"> concerned</w:t>
      </w:r>
      <w:r w:rsidR="00597DB0" w:rsidRPr="00123CAE">
        <w:rPr>
          <w:lang w:val="en-GB"/>
        </w:rPr>
        <w:t xml:space="preserve">. Therefore, the reports on the status of the following </w:t>
      </w:r>
      <w:r w:rsidR="00BD3B12" w:rsidRPr="00123CAE">
        <w:rPr>
          <w:lang w:val="en-GB"/>
        </w:rPr>
        <w:t xml:space="preserve">11 </w:t>
      </w:r>
      <w:r w:rsidR="00597DB0" w:rsidRPr="00123CAE">
        <w:rPr>
          <w:lang w:val="en-GB"/>
        </w:rPr>
        <w:t>elements cannot be examined by the Committee during the present session:</w:t>
      </w:r>
    </w:p>
    <w:tbl>
      <w:tblPr>
        <w:tblW w:w="9072" w:type="dxa"/>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1253"/>
        <w:gridCol w:w="5908"/>
        <w:gridCol w:w="1036"/>
        <w:gridCol w:w="875"/>
      </w:tblGrid>
      <w:tr w:rsidR="00597DB0" w:rsidRPr="00123CAE" w14:paraId="0C0A3DF2" w14:textId="77777777" w:rsidTr="0019514B">
        <w:trPr>
          <w:cantSplit/>
          <w:tblHeader/>
        </w:trPr>
        <w:tc>
          <w:tcPr>
            <w:tcW w:w="691" w:type="pct"/>
            <w:shd w:val="clear" w:color="auto" w:fill="BFBFBF"/>
            <w:vAlign w:val="center"/>
            <w:hideMark/>
          </w:tcPr>
          <w:p w14:paraId="18CF3FE8" w14:textId="77777777" w:rsidR="00597DB0" w:rsidRPr="00123CAE" w:rsidRDefault="00597DB0" w:rsidP="001C6953">
            <w:pPr>
              <w:spacing w:before="120" w:after="120"/>
              <w:jc w:val="center"/>
              <w:rPr>
                <w:rFonts w:ascii="Arial" w:hAnsi="Arial" w:cs="Arial"/>
                <w:color w:val="000000"/>
                <w:sz w:val="18"/>
                <w:szCs w:val="18"/>
                <w:lang w:val="en-GB"/>
              </w:rPr>
            </w:pPr>
            <w:r w:rsidRPr="00123CAE">
              <w:rPr>
                <w:rFonts w:ascii="Arial" w:hAnsi="Arial" w:cs="Arial"/>
                <w:b/>
                <w:bCs/>
                <w:color w:val="000000"/>
                <w:sz w:val="18"/>
                <w:szCs w:val="18"/>
                <w:lang w:val="en-GB" w:eastAsia="en-GB"/>
              </w:rPr>
              <w:t>Submitting State</w:t>
            </w:r>
          </w:p>
        </w:tc>
        <w:tc>
          <w:tcPr>
            <w:tcW w:w="3255" w:type="pct"/>
            <w:shd w:val="clear" w:color="auto" w:fill="BFBFBF"/>
            <w:vAlign w:val="center"/>
            <w:hideMark/>
          </w:tcPr>
          <w:p w14:paraId="61D3597B" w14:textId="77777777" w:rsidR="00597DB0" w:rsidRPr="00123CAE" w:rsidRDefault="00597DB0" w:rsidP="001C6953">
            <w:pPr>
              <w:spacing w:before="120" w:after="120"/>
              <w:jc w:val="center"/>
              <w:rPr>
                <w:rFonts w:ascii="Arial" w:hAnsi="Arial" w:cs="Arial"/>
                <w:color w:val="000000"/>
                <w:sz w:val="18"/>
                <w:szCs w:val="18"/>
                <w:lang w:val="en-GB"/>
              </w:rPr>
            </w:pPr>
            <w:r w:rsidRPr="00123CAE">
              <w:rPr>
                <w:rFonts w:ascii="Arial" w:hAnsi="Arial" w:cs="Arial"/>
                <w:b/>
                <w:bCs/>
                <w:color w:val="000000"/>
                <w:sz w:val="18"/>
                <w:szCs w:val="18"/>
                <w:lang w:val="en-GB" w:eastAsia="en-GB"/>
              </w:rPr>
              <w:t>Element</w:t>
            </w:r>
          </w:p>
        </w:tc>
        <w:tc>
          <w:tcPr>
            <w:tcW w:w="571" w:type="pct"/>
            <w:shd w:val="clear" w:color="auto" w:fill="BFBFBF"/>
          </w:tcPr>
          <w:p w14:paraId="041CB85A" w14:textId="77777777" w:rsidR="00597DB0" w:rsidRPr="00123CAE" w:rsidRDefault="00597DB0" w:rsidP="001C6953">
            <w:pPr>
              <w:spacing w:before="120" w:after="120"/>
              <w:jc w:val="center"/>
              <w:rPr>
                <w:rFonts w:ascii="Arial" w:hAnsi="Arial" w:cs="Arial"/>
                <w:b/>
                <w:bCs/>
                <w:color w:val="000000"/>
                <w:sz w:val="18"/>
                <w:szCs w:val="18"/>
                <w:lang w:val="en-GB" w:eastAsia="en-GB"/>
              </w:rPr>
            </w:pPr>
            <w:r w:rsidRPr="00123CAE">
              <w:rPr>
                <w:rFonts w:ascii="Arial" w:hAnsi="Arial" w:cs="Arial"/>
                <w:b/>
                <w:bCs/>
                <w:color w:val="000000"/>
                <w:sz w:val="18"/>
                <w:szCs w:val="18"/>
                <w:lang w:val="en-GB" w:eastAsia="en-GB"/>
              </w:rPr>
              <w:t xml:space="preserve">Year of inscription </w:t>
            </w:r>
          </w:p>
        </w:tc>
        <w:tc>
          <w:tcPr>
            <w:tcW w:w="482" w:type="pct"/>
            <w:shd w:val="clear" w:color="auto" w:fill="BFBFBF"/>
            <w:vAlign w:val="center"/>
            <w:hideMark/>
          </w:tcPr>
          <w:p w14:paraId="5CD9010D" w14:textId="77777777" w:rsidR="00597DB0" w:rsidRPr="00123CAE" w:rsidRDefault="00597DB0" w:rsidP="001C6953">
            <w:pPr>
              <w:spacing w:before="120" w:after="120"/>
              <w:jc w:val="center"/>
              <w:rPr>
                <w:rFonts w:ascii="Arial" w:hAnsi="Arial" w:cs="Arial"/>
                <w:color w:val="000000"/>
                <w:sz w:val="18"/>
                <w:szCs w:val="18"/>
                <w:lang w:val="en-GB"/>
              </w:rPr>
            </w:pPr>
            <w:r w:rsidRPr="00123CAE">
              <w:rPr>
                <w:rFonts w:ascii="Arial" w:hAnsi="Arial" w:cs="Arial"/>
                <w:b/>
                <w:bCs/>
                <w:color w:val="000000"/>
                <w:sz w:val="18"/>
                <w:szCs w:val="18"/>
                <w:lang w:val="en-GB" w:eastAsia="en-GB"/>
              </w:rPr>
              <w:t>File No.</w:t>
            </w:r>
          </w:p>
        </w:tc>
      </w:tr>
      <w:tr w:rsidR="00597DB0" w:rsidRPr="00123CAE" w14:paraId="2417AFC3" w14:textId="77777777" w:rsidTr="0019514B">
        <w:trPr>
          <w:cantSplit/>
        </w:trPr>
        <w:tc>
          <w:tcPr>
            <w:tcW w:w="691" w:type="pct"/>
          </w:tcPr>
          <w:p w14:paraId="7FF727CE" w14:textId="77777777" w:rsidR="00597DB0" w:rsidRPr="00123CAE" w:rsidRDefault="00597DB0" w:rsidP="00822CD4">
            <w:pPr>
              <w:spacing w:before="120" w:after="120"/>
              <w:rPr>
                <w:rFonts w:ascii="Arial" w:hAnsi="Arial" w:cs="Arial"/>
                <w:color w:val="000000"/>
                <w:sz w:val="20"/>
                <w:szCs w:val="20"/>
                <w:lang w:val="en-GB"/>
              </w:rPr>
            </w:pPr>
            <w:r w:rsidRPr="00123CAE">
              <w:rPr>
                <w:rFonts w:ascii="Arial" w:hAnsi="Arial" w:cs="Arial"/>
                <w:color w:val="000000"/>
                <w:sz w:val="20"/>
                <w:szCs w:val="20"/>
                <w:lang w:val="en-GB"/>
              </w:rPr>
              <w:t>China</w:t>
            </w:r>
            <w:r w:rsidR="00822CD4" w:rsidRPr="00123CAE">
              <w:rPr>
                <w:rStyle w:val="FootnoteReference"/>
                <w:rFonts w:ascii="Arial" w:hAnsi="Arial" w:cs="Arial"/>
                <w:color w:val="000000"/>
                <w:sz w:val="20"/>
                <w:szCs w:val="20"/>
                <w:lang w:val="en-GB"/>
              </w:rPr>
              <w:footnoteReference w:customMarkFollows="1" w:id="1"/>
              <w:sym w:font="Symbol" w:char="F02A"/>
            </w:r>
          </w:p>
        </w:tc>
        <w:tc>
          <w:tcPr>
            <w:tcW w:w="3255" w:type="pct"/>
          </w:tcPr>
          <w:p w14:paraId="47BF0132" w14:textId="77777777" w:rsidR="00597DB0" w:rsidRPr="00123CAE" w:rsidRDefault="00597DB0" w:rsidP="001C6953">
            <w:pPr>
              <w:spacing w:before="120" w:after="120"/>
              <w:rPr>
                <w:rFonts w:ascii="Arial" w:hAnsi="Arial" w:cs="Arial"/>
                <w:color w:val="000000"/>
                <w:sz w:val="20"/>
                <w:szCs w:val="20"/>
                <w:lang w:val="en-GB"/>
              </w:rPr>
            </w:pPr>
            <w:r w:rsidRPr="00123CAE">
              <w:rPr>
                <w:rFonts w:ascii="Arial" w:hAnsi="Arial" w:cs="Arial"/>
                <w:color w:val="000000"/>
                <w:sz w:val="20"/>
                <w:szCs w:val="20"/>
                <w:lang w:val="en-GB"/>
              </w:rPr>
              <w:t>Traditional Li textile techniques: spinning, dyeing, weaving and embroidering</w:t>
            </w:r>
          </w:p>
        </w:tc>
        <w:tc>
          <w:tcPr>
            <w:tcW w:w="571" w:type="pct"/>
          </w:tcPr>
          <w:p w14:paraId="059DC2A5" w14:textId="77777777" w:rsidR="00597DB0" w:rsidRPr="00123CAE" w:rsidRDefault="00597DB0" w:rsidP="001C6953">
            <w:pPr>
              <w:spacing w:before="120" w:after="120"/>
              <w:jc w:val="center"/>
              <w:rPr>
                <w:rFonts w:ascii="Arial" w:hAnsi="Arial" w:cs="Arial"/>
                <w:color w:val="000000"/>
                <w:sz w:val="20"/>
                <w:szCs w:val="20"/>
                <w:lang w:val="en-GB"/>
              </w:rPr>
            </w:pPr>
            <w:r w:rsidRPr="00123CAE">
              <w:rPr>
                <w:rFonts w:ascii="Arial" w:hAnsi="Arial" w:cs="Arial"/>
                <w:color w:val="000000"/>
                <w:sz w:val="20"/>
                <w:szCs w:val="20"/>
                <w:lang w:val="en-GB"/>
              </w:rPr>
              <w:t>2009</w:t>
            </w:r>
          </w:p>
        </w:tc>
        <w:tc>
          <w:tcPr>
            <w:tcW w:w="482" w:type="pct"/>
          </w:tcPr>
          <w:p w14:paraId="1040E180" w14:textId="77777777" w:rsidR="00597DB0" w:rsidRPr="00123CAE" w:rsidRDefault="0052232D" w:rsidP="001C6953">
            <w:pPr>
              <w:spacing w:before="120" w:after="120"/>
              <w:jc w:val="center"/>
              <w:rPr>
                <w:rFonts w:ascii="Arial" w:hAnsi="Arial" w:cs="Arial"/>
                <w:color w:val="000000"/>
                <w:sz w:val="20"/>
                <w:szCs w:val="20"/>
                <w:lang w:val="en-GB"/>
              </w:rPr>
            </w:pPr>
            <w:hyperlink r:id="rId10" w:history="1">
              <w:r w:rsidR="00597DB0" w:rsidRPr="00123CAE">
                <w:rPr>
                  <w:rStyle w:val="Hyperlink"/>
                  <w:rFonts w:ascii="Arial" w:hAnsi="Arial" w:cs="Arial"/>
                  <w:sz w:val="20"/>
                  <w:szCs w:val="20"/>
                  <w:lang w:val="en-GB"/>
                </w:rPr>
                <w:t>00302</w:t>
              </w:r>
            </w:hyperlink>
          </w:p>
        </w:tc>
      </w:tr>
      <w:tr w:rsidR="00597DB0" w:rsidRPr="00123CAE" w14:paraId="0160457F" w14:textId="77777777" w:rsidTr="0019514B">
        <w:trPr>
          <w:cantSplit/>
        </w:trPr>
        <w:tc>
          <w:tcPr>
            <w:tcW w:w="691" w:type="pct"/>
          </w:tcPr>
          <w:p w14:paraId="3BBE9186" w14:textId="77777777" w:rsidR="00597DB0" w:rsidRPr="00123CAE" w:rsidRDefault="00597DB0" w:rsidP="00822CD4">
            <w:pPr>
              <w:spacing w:before="120" w:after="120"/>
              <w:rPr>
                <w:rFonts w:ascii="Arial" w:hAnsi="Arial" w:cs="Arial"/>
                <w:color w:val="000000"/>
                <w:sz w:val="20"/>
                <w:szCs w:val="20"/>
                <w:lang w:val="en-GB"/>
              </w:rPr>
            </w:pPr>
            <w:r w:rsidRPr="00123CAE">
              <w:rPr>
                <w:rFonts w:ascii="Arial" w:hAnsi="Arial" w:cs="Arial"/>
                <w:color w:val="000000"/>
                <w:sz w:val="20"/>
                <w:szCs w:val="20"/>
                <w:lang w:val="en-GB"/>
              </w:rPr>
              <w:t>Chin</w:t>
            </w:r>
            <w:r w:rsidR="00822CD4" w:rsidRPr="00123CAE">
              <w:rPr>
                <w:rFonts w:ascii="Arial" w:hAnsi="Arial" w:cs="Arial"/>
                <w:color w:val="000000"/>
                <w:sz w:val="20"/>
                <w:szCs w:val="20"/>
                <w:lang w:val="en-GB"/>
              </w:rPr>
              <w:t>a*</w:t>
            </w:r>
          </w:p>
        </w:tc>
        <w:tc>
          <w:tcPr>
            <w:tcW w:w="3255" w:type="pct"/>
          </w:tcPr>
          <w:p w14:paraId="18E198AD" w14:textId="77777777" w:rsidR="00597DB0" w:rsidRPr="00123CAE" w:rsidRDefault="00597DB0" w:rsidP="001C6953">
            <w:pPr>
              <w:spacing w:before="120" w:after="120"/>
              <w:rPr>
                <w:rFonts w:ascii="Arial" w:hAnsi="Arial" w:cs="Arial"/>
                <w:color w:val="000000"/>
                <w:sz w:val="20"/>
                <w:szCs w:val="20"/>
                <w:lang w:val="en-GB"/>
              </w:rPr>
            </w:pPr>
            <w:r w:rsidRPr="00123CAE">
              <w:rPr>
                <w:rFonts w:ascii="Arial" w:hAnsi="Arial" w:cs="Arial"/>
                <w:color w:val="000000"/>
                <w:sz w:val="20"/>
                <w:szCs w:val="20"/>
                <w:lang w:val="en-GB"/>
              </w:rPr>
              <w:t>Traditional design and practices for building Chinese wooden arch bridges</w:t>
            </w:r>
          </w:p>
        </w:tc>
        <w:tc>
          <w:tcPr>
            <w:tcW w:w="571" w:type="pct"/>
          </w:tcPr>
          <w:p w14:paraId="21AAD3E8" w14:textId="77777777" w:rsidR="00597DB0" w:rsidRPr="00123CAE" w:rsidRDefault="00597DB0" w:rsidP="001C6953">
            <w:pPr>
              <w:spacing w:before="120" w:after="120"/>
              <w:jc w:val="center"/>
              <w:rPr>
                <w:rFonts w:ascii="Arial" w:hAnsi="Arial" w:cs="Arial"/>
                <w:color w:val="000000"/>
                <w:sz w:val="20"/>
                <w:szCs w:val="20"/>
                <w:lang w:val="en-GB"/>
              </w:rPr>
            </w:pPr>
            <w:r w:rsidRPr="00123CAE">
              <w:rPr>
                <w:rFonts w:ascii="Arial" w:hAnsi="Arial" w:cs="Arial"/>
                <w:color w:val="000000"/>
                <w:sz w:val="20"/>
                <w:szCs w:val="20"/>
                <w:lang w:val="en-GB"/>
              </w:rPr>
              <w:t>2009</w:t>
            </w:r>
          </w:p>
        </w:tc>
        <w:tc>
          <w:tcPr>
            <w:tcW w:w="482" w:type="pct"/>
          </w:tcPr>
          <w:p w14:paraId="31902175" w14:textId="77777777" w:rsidR="00597DB0" w:rsidRPr="00123CAE" w:rsidRDefault="0052232D" w:rsidP="001C6953">
            <w:pPr>
              <w:spacing w:before="120" w:after="120"/>
              <w:jc w:val="center"/>
              <w:rPr>
                <w:rFonts w:ascii="Arial" w:hAnsi="Arial" w:cs="Arial"/>
                <w:color w:val="000000"/>
                <w:sz w:val="20"/>
                <w:szCs w:val="20"/>
                <w:lang w:val="en-GB"/>
              </w:rPr>
            </w:pPr>
            <w:hyperlink r:id="rId11" w:history="1">
              <w:r w:rsidR="00597DB0" w:rsidRPr="00123CAE">
                <w:rPr>
                  <w:rStyle w:val="Hyperlink"/>
                  <w:rFonts w:ascii="Arial" w:hAnsi="Arial" w:cs="Arial"/>
                  <w:sz w:val="20"/>
                  <w:szCs w:val="20"/>
                  <w:lang w:val="en-GB"/>
                </w:rPr>
                <w:t>00303</w:t>
              </w:r>
            </w:hyperlink>
          </w:p>
        </w:tc>
      </w:tr>
      <w:tr w:rsidR="00597DB0" w:rsidRPr="00123CAE" w14:paraId="65ADF819" w14:textId="77777777" w:rsidTr="0019514B">
        <w:trPr>
          <w:cantSplit/>
        </w:trPr>
        <w:tc>
          <w:tcPr>
            <w:tcW w:w="691" w:type="pct"/>
          </w:tcPr>
          <w:p w14:paraId="6556D142" w14:textId="77777777" w:rsidR="00597DB0" w:rsidRPr="00123CAE" w:rsidRDefault="00597DB0" w:rsidP="001C6953">
            <w:pPr>
              <w:spacing w:before="120" w:after="120"/>
              <w:rPr>
                <w:rFonts w:ascii="Arial" w:hAnsi="Arial" w:cs="Arial"/>
                <w:color w:val="000000"/>
                <w:sz w:val="20"/>
                <w:szCs w:val="20"/>
                <w:lang w:val="en-GB"/>
              </w:rPr>
            </w:pPr>
            <w:r w:rsidRPr="00123CAE">
              <w:rPr>
                <w:rFonts w:ascii="Arial" w:hAnsi="Arial" w:cs="Arial"/>
                <w:color w:val="000000"/>
                <w:sz w:val="20"/>
                <w:szCs w:val="20"/>
                <w:lang w:val="en-GB"/>
              </w:rPr>
              <w:t>China</w:t>
            </w:r>
            <w:r w:rsidR="00822CD4" w:rsidRPr="00123CAE">
              <w:rPr>
                <w:rFonts w:ascii="Arial" w:hAnsi="Arial" w:cs="Arial"/>
                <w:color w:val="000000"/>
                <w:sz w:val="20"/>
                <w:szCs w:val="20"/>
                <w:lang w:val="en-GB"/>
              </w:rPr>
              <w:t>*</w:t>
            </w:r>
          </w:p>
        </w:tc>
        <w:tc>
          <w:tcPr>
            <w:tcW w:w="3255" w:type="pct"/>
          </w:tcPr>
          <w:p w14:paraId="4EA6ACB0" w14:textId="77777777" w:rsidR="00597DB0" w:rsidRPr="00123CAE" w:rsidRDefault="00597DB0" w:rsidP="001C6953">
            <w:pPr>
              <w:spacing w:before="120" w:after="120"/>
              <w:rPr>
                <w:rFonts w:ascii="Arial" w:hAnsi="Arial" w:cs="Arial"/>
                <w:color w:val="000000"/>
                <w:sz w:val="20"/>
                <w:szCs w:val="20"/>
                <w:lang w:val="en-GB"/>
              </w:rPr>
            </w:pPr>
            <w:r w:rsidRPr="00123CAE">
              <w:rPr>
                <w:rFonts w:ascii="Arial" w:hAnsi="Arial" w:cs="Arial"/>
                <w:color w:val="000000"/>
                <w:sz w:val="20"/>
                <w:szCs w:val="20"/>
                <w:lang w:val="en-GB"/>
              </w:rPr>
              <w:t>Qiang New Year festival</w:t>
            </w:r>
          </w:p>
        </w:tc>
        <w:tc>
          <w:tcPr>
            <w:tcW w:w="571" w:type="pct"/>
          </w:tcPr>
          <w:p w14:paraId="6B3BCDD4" w14:textId="77777777" w:rsidR="00597DB0" w:rsidRPr="00123CAE" w:rsidRDefault="00597DB0" w:rsidP="001C6953">
            <w:pPr>
              <w:spacing w:before="120" w:after="120"/>
              <w:jc w:val="center"/>
              <w:rPr>
                <w:rFonts w:ascii="Arial" w:hAnsi="Arial" w:cs="Arial"/>
                <w:color w:val="000000"/>
                <w:sz w:val="20"/>
                <w:szCs w:val="20"/>
                <w:lang w:val="en-GB"/>
              </w:rPr>
            </w:pPr>
            <w:r w:rsidRPr="00123CAE">
              <w:rPr>
                <w:rFonts w:ascii="Arial" w:hAnsi="Arial" w:cs="Arial"/>
                <w:color w:val="000000"/>
                <w:sz w:val="20"/>
                <w:szCs w:val="20"/>
                <w:lang w:val="en-GB"/>
              </w:rPr>
              <w:t>2009</w:t>
            </w:r>
          </w:p>
        </w:tc>
        <w:tc>
          <w:tcPr>
            <w:tcW w:w="482" w:type="pct"/>
          </w:tcPr>
          <w:p w14:paraId="70541B73" w14:textId="77777777" w:rsidR="00597DB0" w:rsidRPr="00123CAE" w:rsidRDefault="0052232D" w:rsidP="001C6953">
            <w:pPr>
              <w:spacing w:before="120" w:after="120"/>
              <w:jc w:val="center"/>
              <w:rPr>
                <w:rFonts w:ascii="Arial" w:hAnsi="Arial" w:cs="Arial"/>
                <w:color w:val="000000"/>
                <w:sz w:val="20"/>
                <w:szCs w:val="20"/>
                <w:lang w:val="en-GB"/>
              </w:rPr>
            </w:pPr>
            <w:hyperlink r:id="rId12" w:history="1">
              <w:r w:rsidR="00597DB0" w:rsidRPr="00123CAE">
                <w:rPr>
                  <w:rStyle w:val="Hyperlink"/>
                  <w:rFonts w:ascii="Arial" w:hAnsi="Arial" w:cs="Arial"/>
                  <w:sz w:val="20"/>
                  <w:szCs w:val="20"/>
                  <w:lang w:val="en-GB"/>
                </w:rPr>
                <w:t>00305</w:t>
              </w:r>
            </w:hyperlink>
          </w:p>
        </w:tc>
      </w:tr>
      <w:tr w:rsidR="00597DB0" w:rsidRPr="00123CAE" w14:paraId="431D6E52" w14:textId="77777777" w:rsidTr="0019514B">
        <w:trPr>
          <w:cantSplit/>
        </w:trPr>
        <w:tc>
          <w:tcPr>
            <w:tcW w:w="691" w:type="pct"/>
          </w:tcPr>
          <w:p w14:paraId="5E13B185" w14:textId="77777777" w:rsidR="00597DB0" w:rsidRPr="00123CAE" w:rsidRDefault="00597DB0" w:rsidP="001C6953">
            <w:pPr>
              <w:spacing w:before="120" w:after="120"/>
              <w:rPr>
                <w:rFonts w:ascii="Arial" w:hAnsi="Arial" w:cs="Arial"/>
                <w:color w:val="000000"/>
                <w:sz w:val="20"/>
                <w:szCs w:val="20"/>
                <w:lang w:val="en-GB"/>
              </w:rPr>
            </w:pPr>
            <w:r w:rsidRPr="00123CAE">
              <w:rPr>
                <w:rFonts w:ascii="Arial" w:hAnsi="Arial" w:cs="Arial"/>
                <w:color w:val="000000"/>
                <w:sz w:val="20"/>
                <w:szCs w:val="20"/>
                <w:lang w:val="en-GB"/>
              </w:rPr>
              <w:t>China</w:t>
            </w:r>
            <w:r w:rsidR="00822CD4" w:rsidRPr="00123CAE">
              <w:rPr>
                <w:rFonts w:ascii="Arial" w:hAnsi="Arial" w:cs="Arial"/>
                <w:color w:val="000000"/>
                <w:sz w:val="20"/>
                <w:szCs w:val="20"/>
                <w:lang w:val="en-GB"/>
              </w:rPr>
              <w:t>*</w:t>
            </w:r>
          </w:p>
        </w:tc>
        <w:tc>
          <w:tcPr>
            <w:tcW w:w="3255" w:type="pct"/>
          </w:tcPr>
          <w:p w14:paraId="348E1E5F" w14:textId="77777777" w:rsidR="00597DB0" w:rsidRPr="00123CAE" w:rsidRDefault="00597DB0" w:rsidP="001C6953">
            <w:pPr>
              <w:spacing w:before="120" w:after="120"/>
              <w:rPr>
                <w:rFonts w:ascii="Arial" w:hAnsi="Arial" w:cs="Arial"/>
                <w:color w:val="000000"/>
                <w:sz w:val="20"/>
                <w:szCs w:val="20"/>
                <w:lang w:val="en-GB"/>
              </w:rPr>
            </w:pPr>
            <w:r w:rsidRPr="00123CAE">
              <w:rPr>
                <w:rFonts w:ascii="Arial" w:hAnsi="Arial" w:cs="Arial"/>
                <w:color w:val="000000"/>
                <w:sz w:val="20"/>
                <w:szCs w:val="20"/>
                <w:lang w:val="en-GB"/>
              </w:rPr>
              <w:t>Meshrep</w:t>
            </w:r>
          </w:p>
        </w:tc>
        <w:tc>
          <w:tcPr>
            <w:tcW w:w="571" w:type="pct"/>
          </w:tcPr>
          <w:p w14:paraId="4B30014C" w14:textId="77777777" w:rsidR="00597DB0" w:rsidRPr="00123CAE" w:rsidRDefault="00597DB0" w:rsidP="001C6953">
            <w:pPr>
              <w:spacing w:before="120" w:after="120"/>
              <w:jc w:val="center"/>
              <w:rPr>
                <w:rFonts w:ascii="Arial" w:hAnsi="Arial" w:cs="Arial"/>
                <w:color w:val="000000"/>
                <w:sz w:val="20"/>
                <w:szCs w:val="20"/>
                <w:lang w:val="en-GB"/>
              </w:rPr>
            </w:pPr>
            <w:r w:rsidRPr="00123CAE">
              <w:rPr>
                <w:rFonts w:ascii="Arial" w:hAnsi="Arial" w:cs="Arial"/>
                <w:color w:val="000000"/>
                <w:sz w:val="20"/>
                <w:szCs w:val="20"/>
                <w:lang w:val="en-GB"/>
              </w:rPr>
              <w:t>2010</w:t>
            </w:r>
          </w:p>
        </w:tc>
        <w:tc>
          <w:tcPr>
            <w:tcW w:w="482" w:type="pct"/>
          </w:tcPr>
          <w:p w14:paraId="0BAE91D6" w14:textId="77777777" w:rsidR="00597DB0" w:rsidRPr="00123CAE" w:rsidRDefault="0052232D" w:rsidP="001C6953">
            <w:pPr>
              <w:spacing w:before="120" w:after="120"/>
              <w:jc w:val="center"/>
              <w:rPr>
                <w:rFonts w:ascii="Arial" w:hAnsi="Arial" w:cs="Arial"/>
                <w:color w:val="000000"/>
                <w:sz w:val="20"/>
                <w:szCs w:val="20"/>
                <w:lang w:val="en-GB"/>
              </w:rPr>
            </w:pPr>
            <w:hyperlink r:id="rId13" w:history="1">
              <w:r w:rsidR="00597DB0" w:rsidRPr="00123CAE">
                <w:rPr>
                  <w:rStyle w:val="Hyperlink"/>
                  <w:rFonts w:ascii="Arial" w:hAnsi="Arial" w:cs="Arial"/>
                  <w:sz w:val="20"/>
                  <w:szCs w:val="20"/>
                  <w:lang w:val="en-GB"/>
                </w:rPr>
                <w:t>00304</w:t>
              </w:r>
            </w:hyperlink>
          </w:p>
        </w:tc>
      </w:tr>
      <w:tr w:rsidR="00597DB0" w:rsidRPr="00123CAE" w14:paraId="44CA3BB7" w14:textId="77777777" w:rsidTr="0019514B">
        <w:trPr>
          <w:cantSplit/>
        </w:trPr>
        <w:tc>
          <w:tcPr>
            <w:tcW w:w="691" w:type="pct"/>
          </w:tcPr>
          <w:p w14:paraId="5B1E26BD" w14:textId="77777777" w:rsidR="00597DB0" w:rsidRPr="00123CAE" w:rsidRDefault="00597DB0" w:rsidP="001C6953">
            <w:pPr>
              <w:spacing w:before="120" w:after="120"/>
              <w:rPr>
                <w:rFonts w:ascii="Arial" w:hAnsi="Arial" w:cs="Arial"/>
                <w:color w:val="000000"/>
                <w:sz w:val="20"/>
                <w:szCs w:val="20"/>
                <w:lang w:val="en-GB"/>
              </w:rPr>
            </w:pPr>
            <w:r w:rsidRPr="00123CAE">
              <w:rPr>
                <w:rFonts w:ascii="Arial" w:hAnsi="Arial" w:cs="Arial"/>
                <w:color w:val="000000"/>
                <w:sz w:val="20"/>
                <w:szCs w:val="20"/>
                <w:lang w:val="en-GB"/>
              </w:rPr>
              <w:t>China</w:t>
            </w:r>
            <w:r w:rsidR="00822CD4" w:rsidRPr="00123CAE">
              <w:rPr>
                <w:rFonts w:ascii="Arial" w:hAnsi="Arial" w:cs="Arial"/>
                <w:color w:val="000000"/>
                <w:sz w:val="20"/>
                <w:szCs w:val="20"/>
                <w:lang w:val="en-GB"/>
              </w:rPr>
              <w:t>*</w:t>
            </w:r>
          </w:p>
        </w:tc>
        <w:tc>
          <w:tcPr>
            <w:tcW w:w="3255" w:type="pct"/>
          </w:tcPr>
          <w:p w14:paraId="2EC11088" w14:textId="77777777" w:rsidR="00597DB0" w:rsidRPr="00123CAE" w:rsidRDefault="00597DB0" w:rsidP="001C6953">
            <w:pPr>
              <w:spacing w:before="120" w:after="120"/>
              <w:rPr>
                <w:rFonts w:ascii="Arial" w:hAnsi="Arial" w:cs="Arial"/>
                <w:color w:val="000000"/>
                <w:sz w:val="20"/>
                <w:szCs w:val="20"/>
                <w:lang w:val="en-GB"/>
              </w:rPr>
            </w:pPr>
            <w:r w:rsidRPr="00123CAE">
              <w:rPr>
                <w:rFonts w:ascii="Arial" w:hAnsi="Arial" w:cs="Arial"/>
                <w:color w:val="000000"/>
                <w:sz w:val="20"/>
                <w:szCs w:val="20"/>
                <w:lang w:val="en-GB"/>
              </w:rPr>
              <w:t>Watertight-bulkhead technology of Chinese junks</w:t>
            </w:r>
          </w:p>
        </w:tc>
        <w:tc>
          <w:tcPr>
            <w:tcW w:w="571" w:type="pct"/>
          </w:tcPr>
          <w:p w14:paraId="3FA3EC26" w14:textId="77777777" w:rsidR="00597DB0" w:rsidRPr="00123CAE" w:rsidRDefault="00597DB0" w:rsidP="001C6953">
            <w:pPr>
              <w:spacing w:before="120" w:after="120"/>
              <w:jc w:val="center"/>
              <w:rPr>
                <w:rFonts w:ascii="Arial" w:hAnsi="Arial" w:cs="Arial"/>
                <w:color w:val="000000"/>
                <w:sz w:val="20"/>
                <w:szCs w:val="20"/>
                <w:lang w:val="en-GB"/>
              </w:rPr>
            </w:pPr>
            <w:r w:rsidRPr="00123CAE">
              <w:rPr>
                <w:rFonts w:ascii="Arial" w:hAnsi="Arial" w:cs="Arial"/>
                <w:color w:val="000000"/>
                <w:sz w:val="20"/>
                <w:szCs w:val="20"/>
                <w:lang w:val="en-GB"/>
              </w:rPr>
              <w:t>2010</w:t>
            </w:r>
          </w:p>
        </w:tc>
        <w:tc>
          <w:tcPr>
            <w:tcW w:w="482" w:type="pct"/>
          </w:tcPr>
          <w:p w14:paraId="0EA7573B" w14:textId="77777777" w:rsidR="00597DB0" w:rsidRPr="00123CAE" w:rsidRDefault="0052232D" w:rsidP="001C6953">
            <w:pPr>
              <w:spacing w:before="120" w:after="120"/>
              <w:jc w:val="center"/>
              <w:rPr>
                <w:rFonts w:ascii="Arial" w:hAnsi="Arial" w:cs="Arial"/>
                <w:color w:val="000000"/>
                <w:sz w:val="20"/>
                <w:szCs w:val="20"/>
                <w:lang w:val="en-GB"/>
              </w:rPr>
            </w:pPr>
            <w:hyperlink r:id="rId14" w:history="1">
              <w:r w:rsidR="00597DB0" w:rsidRPr="00123CAE">
                <w:rPr>
                  <w:rStyle w:val="Hyperlink"/>
                  <w:rFonts w:ascii="Arial" w:hAnsi="Arial" w:cs="Arial"/>
                  <w:sz w:val="20"/>
                  <w:szCs w:val="20"/>
                  <w:lang w:val="en-GB"/>
                </w:rPr>
                <w:t>00321</w:t>
              </w:r>
            </w:hyperlink>
          </w:p>
        </w:tc>
      </w:tr>
      <w:tr w:rsidR="00597DB0" w:rsidRPr="00123CAE" w14:paraId="39F4377D" w14:textId="77777777" w:rsidTr="0019514B">
        <w:trPr>
          <w:cantSplit/>
        </w:trPr>
        <w:tc>
          <w:tcPr>
            <w:tcW w:w="691" w:type="pct"/>
          </w:tcPr>
          <w:p w14:paraId="1D61A7AF" w14:textId="77777777" w:rsidR="00597DB0" w:rsidRPr="00123CAE" w:rsidRDefault="00597DB0" w:rsidP="001C6953">
            <w:pPr>
              <w:spacing w:before="120" w:after="120"/>
              <w:rPr>
                <w:rFonts w:ascii="Arial" w:hAnsi="Arial" w:cs="Arial"/>
                <w:color w:val="000000"/>
                <w:sz w:val="20"/>
                <w:szCs w:val="20"/>
                <w:lang w:val="en-GB"/>
              </w:rPr>
            </w:pPr>
            <w:r w:rsidRPr="00123CAE">
              <w:rPr>
                <w:rFonts w:ascii="Arial" w:hAnsi="Arial" w:cs="Arial"/>
                <w:color w:val="000000"/>
                <w:sz w:val="20"/>
                <w:szCs w:val="20"/>
                <w:lang w:val="en-GB"/>
              </w:rPr>
              <w:t>China</w:t>
            </w:r>
            <w:r w:rsidR="00822CD4" w:rsidRPr="00123CAE">
              <w:rPr>
                <w:rFonts w:ascii="Arial" w:hAnsi="Arial" w:cs="Arial"/>
                <w:color w:val="000000"/>
                <w:sz w:val="20"/>
                <w:szCs w:val="20"/>
                <w:lang w:val="en-GB"/>
              </w:rPr>
              <w:t>*</w:t>
            </w:r>
          </w:p>
        </w:tc>
        <w:tc>
          <w:tcPr>
            <w:tcW w:w="3255" w:type="pct"/>
          </w:tcPr>
          <w:p w14:paraId="466AB400" w14:textId="77777777" w:rsidR="00597DB0" w:rsidRPr="00123CAE" w:rsidRDefault="00597DB0" w:rsidP="001C6953">
            <w:pPr>
              <w:spacing w:before="120" w:after="120"/>
              <w:rPr>
                <w:rFonts w:ascii="Arial" w:hAnsi="Arial" w:cs="Arial"/>
                <w:color w:val="000000"/>
                <w:sz w:val="20"/>
                <w:szCs w:val="20"/>
                <w:lang w:val="en-GB"/>
              </w:rPr>
            </w:pPr>
            <w:r w:rsidRPr="00123CAE">
              <w:rPr>
                <w:rFonts w:ascii="Arial" w:hAnsi="Arial" w:cs="Arial"/>
                <w:color w:val="000000"/>
                <w:sz w:val="20"/>
                <w:szCs w:val="20"/>
                <w:lang w:val="en-GB"/>
              </w:rPr>
              <w:t>Wooden movable-type printing of China</w:t>
            </w:r>
          </w:p>
        </w:tc>
        <w:tc>
          <w:tcPr>
            <w:tcW w:w="571" w:type="pct"/>
          </w:tcPr>
          <w:p w14:paraId="06882C29" w14:textId="77777777" w:rsidR="00597DB0" w:rsidRPr="00123CAE" w:rsidRDefault="00597DB0" w:rsidP="001C6953">
            <w:pPr>
              <w:spacing w:before="120" w:after="120"/>
              <w:jc w:val="center"/>
              <w:rPr>
                <w:rFonts w:ascii="Arial" w:hAnsi="Arial" w:cs="Arial"/>
                <w:color w:val="000000"/>
                <w:sz w:val="20"/>
                <w:szCs w:val="20"/>
                <w:lang w:val="en-GB"/>
              </w:rPr>
            </w:pPr>
            <w:r w:rsidRPr="00123CAE">
              <w:rPr>
                <w:rFonts w:ascii="Arial" w:hAnsi="Arial" w:cs="Arial"/>
                <w:color w:val="000000"/>
                <w:sz w:val="20"/>
                <w:szCs w:val="20"/>
                <w:lang w:val="en-GB"/>
              </w:rPr>
              <w:t>2010</w:t>
            </w:r>
          </w:p>
        </w:tc>
        <w:tc>
          <w:tcPr>
            <w:tcW w:w="482" w:type="pct"/>
          </w:tcPr>
          <w:p w14:paraId="3112D14D" w14:textId="77777777" w:rsidR="00597DB0" w:rsidRPr="00123CAE" w:rsidRDefault="0052232D" w:rsidP="001C6953">
            <w:pPr>
              <w:spacing w:before="120" w:after="120"/>
              <w:jc w:val="center"/>
              <w:rPr>
                <w:rFonts w:ascii="Arial" w:hAnsi="Arial" w:cs="Arial"/>
                <w:color w:val="000000"/>
                <w:sz w:val="20"/>
                <w:szCs w:val="20"/>
                <w:lang w:val="en-GB"/>
              </w:rPr>
            </w:pPr>
            <w:hyperlink r:id="rId15" w:history="1">
              <w:r w:rsidR="00597DB0" w:rsidRPr="00123CAE">
                <w:rPr>
                  <w:rStyle w:val="Hyperlink"/>
                  <w:rFonts w:ascii="Arial" w:hAnsi="Arial" w:cs="Arial"/>
                  <w:sz w:val="20"/>
                  <w:szCs w:val="20"/>
                  <w:lang w:val="en-GB"/>
                </w:rPr>
                <w:t>00322</w:t>
              </w:r>
            </w:hyperlink>
          </w:p>
        </w:tc>
      </w:tr>
      <w:tr w:rsidR="00CB5386" w:rsidRPr="00123CAE" w14:paraId="1644EEEF" w14:textId="77777777" w:rsidTr="0019514B">
        <w:trPr>
          <w:cantSplit/>
        </w:trPr>
        <w:tc>
          <w:tcPr>
            <w:tcW w:w="691" w:type="pct"/>
          </w:tcPr>
          <w:p w14:paraId="690178F2" w14:textId="77777777" w:rsidR="00CB5386" w:rsidRPr="00123CAE" w:rsidRDefault="00CB5386" w:rsidP="001C6953">
            <w:pPr>
              <w:spacing w:before="120" w:after="120"/>
              <w:rPr>
                <w:rFonts w:ascii="Arial" w:hAnsi="Arial" w:cs="Arial"/>
                <w:color w:val="000000"/>
                <w:sz w:val="20"/>
                <w:szCs w:val="20"/>
                <w:lang w:val="en-GB"/>
              </w:rPr>
            </w:pPr>
            <w:r w:rsidRPr="00123CAE">
              <w:rPr>
                <w:rFonts w:ascii="Arial" w:hAnsi="Arial" w:cs="Arial"/>
                <w:color w:val="000000"/>
                <w:sz w:val="20"/>
                <w:szCs w:val="20"/>
                <w:lang w:val="en-GB"/>
              </w:rPr>
              <w:lastRenderedPageBreak/>
              <w:t>China</w:t>
            </w:r>
            <w:r w:rsidR="00822CD4" w:rsidRPr="00123CAE">
              <w:rPr>
                <w:rFonts w:ascii="Arial" w:hAnsi="Arial" w:cs="Arial"/>
                <w:color w:val="000000"/>
                <w:sz w:val="20"/>
                <w:szCs w:val="20"/>
                <w:lang w:val="en-GB"/>
              </w:rPr>
              <w:t>*</w:t>
            </w:r>
          </w:p>
        </w:tc>
        <w:tc>
          <w:tcPr>
            <w:tcW w:w="3255" w:type="pct"/>
          </w:tcPr>
          <w:p w14:paraId="7889C124" w14:textId="77777777" w:rsidR="00CB5386" w:rsidRPr="00123CAE" w:rsidRDefault="00CB5386" w:rsidP="00CB5386">
            <w:pPr>
              <w:spacing w:before="120" w:after="120"/>
              <w:rPr>
                <w:rFonts w:ascii="Arial" w:hAnsi="Arial" w:cs="Arial"/>
                <w:color w:val="000000"/>
                <w:sz w:val="20"/>
                <w:szCs w:val="20"/>
                <w:lang w:val="en-GB"/>
              </w:rPr>
            </w:pPr>
            <w:r w:rsidRPr="00123CAE">
              <w:rPr>
                <w:rFonts w:ascii="Arial" w:hAnsi="Arial" w:cs="Arial"/>
                <w:color w:val="000000"/>
                <w:sz w:val="20"/>
                <w:szCs w:val="20"/>
                <w:lang w:val="en-GB"/>
              </w:rPr>
              <w:t>Hezhen Yimakan storytelling</w:t>
            </w:r>
          </w:p>
        </w:tc>
        <w:tc>
          <w:tcPr>
            <w:tcW w:w="571" w:type="pct"/>
          </w:tcPr>
          <w:p w14:paraId="57C36B20" w14:textId="77777777" w:rsidR="00CB5386" w:rsidRPr="00123CAE" w:rsidRDefault="00CB5386" w:rsidP="001C6953">
            <w:pPr>
              <w:spacing w:before="120" w:after="120"/>
              <w:jc w:val="center"/>
              <w:rPr>
                <w:rFonts w:ascii="Arial" w:hAnsi="Arial" w:cs="Arial"/>
                <w:color w:val="000000"/>
                <w:sz w:val="20"/>
                <w:szCs w:val="20"/>
                <w:lang w:val="en-GB"/>
              </w:rPr>
            </w:pPr>
            <w:r w:rsidRPr="00123CAE">
              <w:rPr>
                <w:rFonts w:ascii="Arial" w:hAnsi="Arial" w:cs="Arial"/>
                <w:color w:val="000000"/>
                <w:sz w:val="20"/>
                <w:szCs w:val="20"/>
                <w:lang w:val="en-GB"/>
              </w:rPr>
              <w:t>2011</w:t>
            </w:r>
          </w:p>
        </w:tc>
        <w:tc>
          <w:tcPr>
            <w:tcW w:w="482" w:type="pct"/>
          </w:tcPr>
          <w:p w14:paraId="7EF19DF0" w14:textId="77777777" w:rsidR="00CB5386" w:rsidRPr="00123CAE" w:rsidRDefault="0052232D" w:rsidP="001C6953">
            <w:pPr>
              <w:spacing w:before="120" w:after="120"/>
              <w:jc w:val="center"/>
              <w:rPr>
                <w:lang w:val="en-GB"/>
              </w:rPr>
            </w:pPr>
            <w:hyperlink r:id="rId16" w:history="1">
              <w:r w:rsidR="00CB5386" w:rsidRPr="00123CAE">
                <w:rPr>
                  <w:rStyle w:val="Hyperlink"/>
                  <w:rFonts w:ascii="Arial" w:hAnsi="Arial" w:cs="Arial"/>
                  <w:sz w:val="20"/>
                  <w:szCs w:val="20"/>
                  <w:lang w:val="en-GB"/>
                </w:rPr>
                <w:t>00530</w:t>
              </w:r>
            </w:hyperlink>
          </w:p>
        </w:tc>
      </w:tr>
      <w:tr w:rsidR="00CB5386" w:rsidRPr="00123CAE" w14:paraId="543A5EE7" w14:textId="77777777" w:rsidTr="0019514B">
        <w:trPr>
          <w:cantSplit/>
        </w:trPr>
        <w:tc>
          <w:tcPr>
            <w:tcW w:w="691" w:type="pct"/>
          </w:tcPr>
          <w:p w14:paraId="6D8F0C48" w14:textId="77777777" w:rsidR="00CB5386" w:rsidRPr="00123CAE" w:rsidRDefault="00CB5386" w:rsidP="001C6953">
            <w:pPr>
              <w:spacing w:before="120" w:after="120"/>
              <w:rPr>
                <w:rFonts w:ascii="Arial" w:hAnsi="Arial" w:cs="Arial"/>
                <w:color w:val="000000"/>
                <w:sz w:val="20"/>
                <w:szCs w:val="20"/>
                <w:lang w:val="en-GB"/>
              </w:rPr>
            </w:pPr>
            <w:r w:rsidRPr="00123CAE">
              <w:rPr>
                <w:rFonts w:ascii="Arial" w:hAnsi="Arial" w:cs="Arial"/>
                <w:color w:val="000000"/>
                <w:sz w:val="20"/>
                <w:szCs w:val="20"/>
                <w:lang w:val="en-GB"/>
              </w:rPr>
              <w:t>Brazil</w:t>
            </w:r>
          </w:p>
        </w:tc>
        <w:tc>
          <w:tcPr>
            <w:tcW w:w="3255" w:type="pct"/>
          </w:tcPr>
          <w:p w14:paraId="23D70E9C" w14:textId="2309D20D" w:rsidR="00CB5386" w:rsidRPr="00123CAE" w:rsidRDefault="00EF53C1" w:rsidP="001C6953">
            <w:pPr>
              <w:spacing w:before="120" w:after="120"/>
              <w:rPr>
                <w:rFonts w:ascii="Arial" w:hAnsi="Arial" w:cs="Arial"/>
                <w:color w:val="000000"/>
                <w:sz w:val="20"/>
                <w:szCs w:val="20"/>
                <w:lang w:val="en-GB"/>
              </w:rPr>
            </w:pPr>
            <w:r>
              <w:rPr>
                <w:rFonts w:ascii="Arial" w:hAnsi="Arial" w:cs="Arial"/>
                <w:color w:val="000000"/>
                <w:sz w:val="20"/>
                <w:szCs w:val="20"/>
                <w:lang w:val="en-GB"/>
              </w:rPr>
              <w:t>Yaokwa, the Enawene Nawe people’</w:t>
            </w:r>
            <w:r w:rsidR="00CB5386" w:rsidRPr="00123CAE">
              <w:rPr>
                <w:rFonts w:ascii="Arial" w:hAnsi="Arial" w:cs="Arial"/>
                <w:color w:val="000000"/>
                <w:sz w:val="20"/>
                <w:szCs w:val="20"/>
                <w:lang w:val="en-GB"/>
              </w:rPr>
              <w:t>s ritual for the maintenance of social and cosmic order</w:t>
            </w:r>
          </w:p>
        </w:tc>
        <w:tc>
          <w:tcPr>
            <w:tcW w:w="571" w:type="pct"/>
          </w:tcPr>
          <w:p w14:paraId="0C58323E" w14:textId="77777777" w:rsidR="00CB5386" w:rsidRPr="00123CAE" w:rsidRDefault="00CB5386" w:rsidP="001C6953">
            <w:pPr>
              <w:spacing w:before="120" w:after="120"/>
              <w:jc w:val="center"/>
              <w:rPr>
                <w:rFonts w:ascii="Arial" w:hAnsi="Arial" w:cs="Arial"/>
                <w:color w:val="000000"/>
                <w:sz w:val="20"/>
                <w:szCs w:val="20"/>
                <w:lang w:val="en-GB"/>
              </w:rPr>
            </w:pPr>
            <w:r w:rsidRPr="00123CAE">
              <w:rPr>
                <w:rFonts w:ascii="Arial" w:hAnsi="Arial" w:cs="Arial"/>
                <w:color w:val="000000"/>
                <w:sz w:val="20"/>
                <w:szCs w:val="20"/>
                <w:lang w:val="en-GB"/>
              </w:rPr>
              <w:t>2011</w:t>
            </w:r>
          </w:p>
        </w:tc>
        <w:tc>
          <w:tcPr>
            <w:tcW w:w="482" w:type="pct"/>
          </w:tcPr>
          <w:p w14:paraId="2E8C3783" w14:textId="77777777" w:rsidR="00CB5386" w:rsidRPr="00123CAE" w:rsidRDefault="0052232D" w:rsidP="001C6953">
            <w:pPr>
              <w:spacing w:before="120" w:after="120"/>
              <w:jc w:val="center"/>
              <w:rPr>
                <w:lang w:val="en-GB"/>
              </w:rPr>
            </w:pPr>
            <w:hyperlink r:id="rId17" w:history="1">
              <w:r w:rsidR="00CB5386" w:rsidRPr="00123CAE">
                <w:rPr>
                  <w:rStyle w:val="Hyperlink"/>
                  <w:rFonts w:ascii="Arial" w:hAnsi="Arial" w:cs="Arial"/>
                  <w:sz w:val="20"/>
                  <w:szCs w:val="20"/>
                  <w:lang w:val="en-GB"/>
                </w:rPr>
                <w:t>00521</w:t>
              </w:r>
            </w:hyperlink>
          </w:p>
        </w:tc>
      </w:tr>
      <w:tr w:rsidR="00CB5386" w:rsidRPr="00123CAE" w14:paraId="65CA5037" w14:textId="77777777" w:rsidTr="0019514B">
        <w:trPr>
          <w:cantSplit/>
        </w:trPr>
        <w:tc>
          <w:tcPr>
            <w:tcW w:w="691" w:type="pct"/>
          </w:tcPr>
          <w:p w14:paraId="5E57943D" w14:textId="77777777" w:rsidR="00CB5386" w:rsidRPr="00123CAE" w:rsidRDefault="006A2458" w:rsidP="001C6953">
            <w:pPr>
              <w:spacing w:before="120" w:after="120"/>
              <w:rPr>
                <w:rFonts w:ascii="Arial" w:hAnsi="Arial" w:cs="Arial"/>
                <w:color w:val="000000"/>
                <w:sz w:val="20"/>
                <w:szCs w:val="20"/>
                <w:lang w:val="en-GB"/>
              </w:rPr>
            </w:pPr>
            <w:r w:rsidRPr="00123CAE">
              <w:rPr>
                <w:rFonts w:ascii="Arial" w:hAnsi="Arial" w:cs="Arial"/>
                <w:color w:val="000000"/>
                <w:sz w:val="20"/>
                <w:szCs w:val="20"/>
                <w:lang w:val="en-GB"/>
              </w:rPr>
              <w:t>Indonesia</w:t>
            </w:r>
          </w:p>
        </w:tc>
        <w:tc>
          <w:tcPr>
            <w:tcW w:w="3255" w:type="pct"/>
          </w:tcPr>
          <w:p w14:paraId="60DEDD92" w14:textId="77777777" w:rsidR="00CB5386" w:rsidRPr="00123CAE" w:rsidRDefault="006A2458" w:rsidP="001C6953">
            <w:pPr>
              <w:spacing w:before="120" w:after="120"/>
              <w:rPr>
                <w:rFonts w:ascii="Arial" w:hAnsi="Arial" w:cs="Arial"/>
                <w:color w:val="000000"/>
                <w:sz w:val="20"/>
                <w:szCs w:val="20"/>
                <w:lang w:val="en-GB"/>
              </w:rPr>
            </w:pPr>
            <w:r w:rsidRPr="00123CAE">
              <w:rPr>
                <w:rFonts w:ascii="Arial" w:hAnsi="Arial" w:cs="Arial"/>
                <w:color w:val="000000"/>
                <w:sz w:val="20"/>
                <w:szCs w:val="20"/>
                <w:lang w:val="en-GB"/>
              </w:rPr>
              <w:t>Saman dance</w:t>
            </w:r>
          </w:p>
        </w:tc>
        <w:tc>
          <w:tcPr>
            <w:tcW w:w="571" w:type="pct"/>
          </w:tcPr>
          <w:p w14:paraId="60E71C14" w14:textId="77777777" w:rsidR="00CB5386" w:rsidRPr="00123CAE" w:rsidRDefault="00CB5386" w:rsidP="001C6953">
            <w:pPr>
              <w:spacing w:before="120" w:after="120"/>
              <w:jc w:val="center"/>
              <w:rPr>
                <w:rFonts w:ascii="Arial" w:hAnsi="Arial" w:cs="Arial"/>
                <w:color w:val="000000"/>
                <w:sz w:val="20"/>
                <w:szCs w:val="20"/>
                <w:lang w:val="en-GB"/>
              </w:rPr>
            </w:pPr>
            <w:r w:rsidRPr="00123CAE">
              <w:rPr>
                <w:rFonts w:ascii="Arial" w:hAnsi="Arial" w:cs="Arial"/>
                <w:color w:val="000000"/>
                <w:sz w:val="20"/>
                <w:szCs w:val="20"/>
                <w:lang w:val="en-GB"/>
              </w:rPr>
              <w:t>2011</w:t>
            </w:r>
          </w:p>
        </w:tc>
        <w:tc>
          <w:tcPr>
            <w:tcW w:w="482" w:type="pct"/>
          </w:tcPr>
          <w:p w14:paraId="1D2D16A4" w14:textId="77777777" w:rsidR="00CB5386" w:rsidRPr="00123CAE" w:rsidRDefault="0052232D" w:rsidP="001C6953">
            <w:pPr>
              <w:spacing w:before="120" w:after="120"/>
              <w:jc w:val="center"/>
              <w:rPr>
                <w:lang w:val="en-GB"/>
              </w:rPr>
            </w:pPr>
            <w:hyperlink r:id="rId18" w:history="1">
              <w:r w:rsidR="006A2458" w:rsidRPr="00123CAE">
                <w:rPr>
                  <w:rStyle w:val="Hyperlink"/>
                  <w:rFonts w:ascii="Arial" w:hAnsi="Arial" w:cs="Arial"/>
                  <w:sz w:val="20"/>
                  <w:szCs w:val="20"/>
                  <w:lang w:val="en-GB"/>
                </w:rPr>
                <w:t>00509</w:t>
              </w:r>
            </w:hyperlink>
          </w:p>
        </w:tc>
      </w:tr>
      <w:tr w:rsidR="00CB5386" w:rsidRPr="00123CAE" w14:paraId="455D1C06" w14:textId="77777777" w:rsidTr="0019514B">
        <w:trPr>
          <w:cantSplit/>
        </w:trPr>
        <w:tc>
          <w:tcPr>
            <w:tcW w:w="691" w:type="pct"/>
          </w:tcPr>
          <w:p w14:paraId="1D74487E" w14:textId="77777777" w:rsidR="00CB5386" w:rsidRPr="00123CAE" w:rsidRDefault="006A2458" w:rsidP="001C6953">
            <w:pPr>
              <w:spacing w:before="120" w:after="120"/>
              <w:rPr>
                <w:rFonts w:ascii="Arial" w:hAnsi="Arial" w:cs="Arial"/>
                <w:color w:val="000000"/>
                <w:sz w:val="20"/>
                <w:szCs w:val="20"/>
                <w:lang w:val="en-GB"/>
              </w:rPr>
            </w:pPr>
            <w:r w:rsidRPr="00123CAE">
              <w:rPr>
                <w:rFonts w:ascii="Arial" w:hAnsi="Arial" w:cs="Arial"/>
                <w:color w:val="000000"/>
                <w:sz w:val="20"/>
                <w:szCs w:val="20"/>
                <w:lang w:val="en-GB"/>
              </w:rPr>
              <w:t>Mauritania</w:t>
            </w:r>
          </w:p>
        </w:tc>
        <w:tc>
          <w:tcPr>
            <w:tcW w:w="3255" w:type="pct"/>
          </w:tcPr>
          <w:p w14:paraId="110DBC94" w14:textId="77777777" w:rsidR="00CB5386" w:rsidRPr="00123CAE" w:rsidRDefault="006A2458" w:rsidP="001C6953">
            <w:pPr>
              <w:spacing w:before="120" w:after="120"/>
              <w:rPr>
                <w:rFonts w:ascii="Arial" w:hAnsi="Arial" w:cs="Arial"/>
                <w:color w:val="000000"/>
                <w:sz w:val="20"/>
                <w:szCs w:val="20"/>
                <w:lang w:val="en-GB"/>
              </w:rPr>
            </w:pPr>
            <w:r w:rsidRPr="00123CAE">
              <w:rPr>
                <w:rFonts w:ascii="Arial" w:hAnsi="Arial" w:cs="Arial"/>
                <w:color w:val="000000"/>
                <w:sz w:val="20"/>
                <w:szCs w:val="20"/>
                <w:lang w:val="en-GB"/>
              </w:rPr>
              <w:t>Moorish epic T’heydinn</w:t>
            </w:r>
          </w:p>
        </w:tc>
        <w:tc>
          <w:tcPr>
            <w:tcW w:w="571" w:type="pct"/>
          </w:tcPr>
          <w:p w14:paraId="57083316" w14:textId="77777777" w:rsidR="00CB5386" w:rsidRPr="00123CAE" w:rsidRDefault="00CB5386" w:rsidP="001C6953">
            <w:pPr>
              <w:spacing w:before="120" w:after="120"/>
              <w:jc w:val="center"/>
              <w:rPr>
                <w:rFonts w:ascii="Arial" w:hAnsi="Arial" w:cs="Arial"/>
                <w:color w:val="000000"/>
                <w:sz w:val="20"/>
                <w:szCs w:val="20"/>
                <w:lang w:val="en-GB"/>
              </w:rPr>
            </w:pPr>
            <w:r w:rsidRPr="00123CAE">
              <w:rPr>
                <w:rFonts w:ascii="Arial" w:hAnsi="Arial" w:cs="Arial"/>
                <w:color w:val="000000"/>
                <w:sz w:val="20"/>
                <w:szCs w:val="20"/>
                <w:lang w:val="en-GB"/>
              </w:rPr>
              <w:t>2011</w:t>
            </w:r>
          </w:p>
        </w:tc>
        <w:tc>
          <w:tcPr>
            <w:tcW w:w="482" w:type="pct"/>
          </w:tcPr>
          <w:p w14:paraId="709CAB1B" w14:textId="77777777" w:rsidR="00CB5386" w:rsidRPr="00123CAE" w:rsidRDefault="0052232D" w:rsidP="001C6953">
            <w:pPr>
              <w:spacing w:before="120" w:after="120"/>
              <w:jc w:val="center"/>
              <w:rPr>
                <w:lang w:val="en-GB"/>
              </w:rPr>
            </w:pPr>
            <w:hyperlink r:id="rId19" w:history="1">
              <w:r w:rsidR="006A2458" w:rsidRPr="00123CAE">
                <w:rPr>
                  <w:rStyle w:val="Hyperlink"/>
                  <w:rFonts w:ascii="Arial" w:hAnsi="Arial" w:cs="Arial"/>
                  <w:sz w:val="20"/>
                  <w:szCs w:val="20"/>
                  <w:lang w:val="en-GB"/>
                </w:rPr>
                <w:t>00524</w:t>
              </w:r>
            </w:hyperlink>
          </w:p>
        </w:tc>
      </w:tr>
      <w:tr w:rsidR="00CB5386" w:rsidRPr="00123CAE" w14:paraId="75F98CDC" w14:textId="77777777" w:rsidTr="0019514B">
        <w:trPr>
          <w:cantSplit/>
        </w:trPr>
        <w:tc>
          <w:tcPr>
            <w:tcW w:w="691" w:type="pct"/>
          </w:tcPr>
          <w:p w14:paraId="2008FDB4" w14:textId="77777777" w:rsidR="00CB5386" w:rsidRPr="00123CAE" w:rsidRDefault="006A2458" w:rsidP="001C6953">
            <w:pPr>
              <w:spacing w:before="120" w:after="120"/>
              <w:rPr>
                <w:rFonts w:ascii="Arial" w:hAnsi="Arial" w:cs="Arial"/>
                <w:color w:val="000000"/>
                <w:sz w:val="20"/>
                <w:szCs w:val="20"/>
                <w:lang w:val="en-GB"/>
              </w:rPr>
            </w:pPr>
            <w:r w:rsidRPr="00123CAE">
              <w:rPr>
                <w:rFonts w:ascii="Arial" w:hAnsi="Arial" w:cs="Arial"/>
                <w:color w:val="000000"/>
                <w:sz w:val="20"/>
                <w:szCs w:val="20"/>
                <w:lang w:val="en-GB"/>
              </w:rPr>
              <w:t>Peru</w:t>
            </w:r>
          </w:p>
        </w:tc>
        <w:tc>
          <w:tcPr>
            <w:tcW w:w="3255" w:type="pct"/>
          </w:tcPr>
          <w:p w14:paraId="13F9AEF8" w14:textId="77777777" w:rsidR="00CB5386" w:rsidRPr="00123CAE" w:rsidRDefault="006A2458" w:rsidP="001C6953">
            <w:pPr>
              <w:spacing w:before="120" w:after="120"/>
              <w:rPr>
                <w:rFonts w:ascii="Arial" w:hAnsi="Arial" w:cs="Arial"/>
                <w:color w:val="000000"/>
                <w:sz w:val="20"/>
                <w:szCs w:val="20"/>
                <w:lang w:val="en-GB"/>
              </w:rPr>
            </w:pPr>
            <w:r w:rsidRPr="00123CAE">
              <w:rPr>
                <w:rFonts w:ascii="Arial" w:hAnsi="Arial" w:cs="Arial"/>
                <w:color w:val="000000"/>
                <w:sz w:val="20"/>
                <w:szCs w:val="20"/>
                <w:lang w:val="en-GB"/>
              </w:rPr>
              <w:t>Eshuva, Harákmbut sung prayers of Peru’s Huachipaire people</w:t>
            </w:r>
          </w:p>
        </w:tc>
        <w:tc>
          <w:tcPr>
            <w:tcW w:w="571" w:type="pct"/>
          </w:tcPr>
          <w:p w14:paraId="6CBA2BFE" w14:textId="77777777" w:rsidR="00CB5386" w:rsidRPr="00123CAE" w:rsidRDefault="00CB5386" w:rsidP="001C6953">
            <w:pPr>
              <w:spacing w:before="120" w:after="120"/>
              <w:jc w:val="center"/>
              <w:rPr>
                <w:rFonts w:ascii="Arial" w:hAnsi="Arial" w:cs="Arial"/>
                <w:color w:val="000000"/>
                <w:sz w:val="20"/>
                <w:szCs w:val="20"/>
                <w:lang w:val="en-GB"/>
              </w:rPr>
            </w:pPr>
            <w:r w:rsidRPr="00123CAE">
              <w:rPr>
                <w:rFonts w:ascii="Arial" w:hAnsi="Arial" w:cs="Arial"/>
                <w:color w:val="000000"/>
                <w:sz w:val="20"/>
                <w:szCs w:val="20"/>
                <w:lang w:val="en-GB"/>
              </w:rPr>
              <w:t>2011</w:t>
            </w:r>
          </w:p>
        </w:tc>
        <w:tc>
          <w:tcPr>
            <w:tcW w:w="482" w:type="pct"/>
          </w:tcPr>
          <w:p w14:paraId="3D36AF8D" w14:textId="77777777" w:rsidR="00CB5386" w:rsidRPr="00123CAE" w:rsidRDefault="0052232D" w:rsidP="001C6953">
            <w:pPr>
              <w:spacing w:before="120" w:after="120"/>
              <w:jc w:val="center"/>
              <w:rPr>
                <w:lang w:val="en-GB"/>
              </w:rPr>
            </w:pPr>
            <w:hyperlink r:id="rId20" w:history="1">
              <w:r w:rsidR="006A2458" w:rsidRPr="00123CAE">
                <w:rPr>
                  <w:rStyle w:val="Hyperlink"/>
                  <w:rFonts w:ascii="Arial" w:hAnsi="Arial" w:cs="Arial"/>
                  <w:sz w:val="20"/>
                  <w:szCs w:val="20"/>
                  <w:lang w:val="en-GB"/>
                </w:rPr>
                <w:t>00531</w:t>
              </w:r>
            </w:hyperlink>
          </w:p>
        </w:tc>
      </w:tr>
    </w:tbl>
    <w:p w14:paraId="019DCF8F" w14:textId="6A8B46BD" w:rsidR="00597DB0" w:rsidRPr="00123CAE" w:rsidRDefault="009F44A4" w:rsidP="00123CAE">
      <w:pPr>
        <w:pStyle w:val="Marge"/>
        <w:numPr>
          <w:ilvl w:val="0"/>
          <w:numId w:val="9"/>
        </w:numPr>
        <w:spacing w:before="120" w:after="120"/>
        <w:ind w:left="567" w:hanging="567"/>
        <w:rPr>
          <w:lang w:val="en-GB"/>
        </w:rPr>
      </w:pPr>
      <w:r w:rsidRPr="00123CAE">
        <w:rPr>
          <w:bCs/>
          <w:lang w:val="en-GB"/>
        </w:rPr>
        <w:t>Concerning the</w:t>
      </w:r>
      <w:r w:rsidR="00597DB0" w:rsidRPr="00123CAE">
        <w:rPr>
          <w:bCs/>
          <w:lang w:val="en-GB"/>
        </w:rPr>
        <w:t xml:space="preserve"> </w:t>
      </w:r>
      <w:r w:rsidR="006A2458" w:rsidRPr="00123CAE">
        <w:rPr>
          <w:bCs/>
          <w:lang w:val="en-GB"/>
        </w:rPr>
        <w:t>six</w:t>
      </w:r>
      <w:r w:rsidR="00597DB0" w:rsidRPr="00123CAE">
        <w:rPr>
          <w:bCs/>
          <w:lang w:val="en-GB"/>
        </w:rPr>
        <w:t xml:space="preserve"> reports</w:t>
      </w:r>
      <w:r w:rsidR="006A2458" w:rsidRPr="00123CAE">
        <w:rPr>
          <w:bCs/>
          <w:lang w:val="en-GB"/>
        </w:rPr>
        <w:t xml:space="preserve"> </w:t>
      </w:r>
      <w:r w:rsidRPr="00123CAE">
        <w:rPr>
          <w:bCs/>
          <w:lang w:val="en-GB"/>
        </w:rPr>
        <w:t xml:space="preserve">duly submitted </w:t>
      </w:r>
      <w:r w:rsidR="006A2458" w:rsidRPr="00123CAE">
        <w:rPr>
          <w:bCs/>
          <w:lang w:val="en-GB"/>
        </w:rPr>
        <w:t>by the deadline of 15 December 2015</w:t>
      </w:r>
      <w:r w:rsidR="00597DB0" w:rsidRPr="00123CAE">
        <w:rPr>
          <w:lang w:val="en-GB"/>
        </w:rPr>
        <w:t>, the Secretariat informed</w:t>
      </w:r>
      <w:r w:rsidR="00597DB0" w:rsidRPr="00123CAE">
        <w:rPr>
          <w:bCs/>
          <w:lang w:val="en-GB"/>
        </w:rPr>
        <w:t xml:space="preserve"> the States Parties concerned</w:t>
      </w:r>
      <w:r w:rsidR="00597DB0" w:rsidRPr="00123CAE">
        <w:rPr>
          <w:lang w:val="en-GB"/>
        </w:rPr>
        <w:t xml:space="preserve"> about missing information and advised them how to complete their reports. The </w:t>
      </w:r>
      <w:r w:rsidRPr="00123CAE">
        <w:rPr>
          <w:lang w:val="en-GB"/>
        </w:rPr>
        <w:t xml:space="preserve">final </w:t>
      </w:r>
      <w:r w:rsidR="00597DB0" w:rsidRPr="00123CAE">
        <w:rPr>
          <w:lang w:val="en-GB"/>
        </w:rPr>
        <w:t xml:space="preserve">reports are available at: </w:t>
      </w:r>
      <w:hyperlink r:id="rId21" w:history="1">
        <w:r w:rsidR="00123CAE" w:rsidRPr="0019514B">
          <w:rPr>
            <w:rStyle w:val="Hyperlink"/>
            <w:lang w:val="en-GB"/>
          </w:rPr>
          <w:t>http://www.unesco.org/culture/ich/en/periodic-reporting-usl-00858</w:t>
        </w:r>
      </w:hyperlink>
      <w:r w:rsidR="00123CAE" w:rsidRPr="00123CAE">
        <w:rPr>
          <w:lang w:val="en-GB"/>
        </w:rPr>
        <w:t xml:space="preserve">. </w:t>
      </w:r>
      <w:r w:rsidR="00597DB0" w:rsidRPr="00123CAE">
        <w:rPr>
          <w:lang w:val="en-GB"/>
        </w:rPr>
        <w:t>The present docum</w:t>
      </w:r>
      <w:r w:rsidRPr="00123CAE">
        <w:rPr>
          <w:lang w:val="en-GB"/>
        </w:rPr>
        <w:t xml:space="preserve">ent includes an overview of the </w:t>
      </w:r>
      <w:r w:rsidR="00597DB0" w:rsidRPr="00123CAE">
        <w:rPr>
          <w:lang w:val="en-GB"/>
        </w:rPr>
        <w:t>reports received and a set of draft decisions for the Committee’s consideration, with one for each report as follows</w:t>
      </w:r>
      <w:bookmarkStart w:id="0" w:name="Drafts_decisions"/>
      <w:r w:rsidR="00597DB0" w:rsidRPr="00123CAE">
        <w:rPr>
          <w:lang w:val="en-GB"/>
        </w:rPr>
        <w:t>:</w:t>
      </w:r>
      <w:bookmarkEnd w:id="0"/>
    </w:p>
    <w:tbl>
      <w:tblPr>
        <w:tblW w:w="9072" w:type="dxa"/>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1408"/>
        <w:gridCol w:w="1406"/>
        <w:gridCol w:w="5267"/>
        <w:gridCol w:w="991"/>
      </w:tblGrid>
      <w:tr w:rsidR="00597DB0" w:rsidRPr="00123CAE" w14:paraId="7E1E8239" w14:textId="77777777" w:rsidTr="0019514B">
        <w:trPr>
          <w:cantSplit/>
          <w:tblHeader/>
        </w:trPr>
        <w:tc>
          <w:tcPr>
            <w:tcW w:w="776" w:type="pct"/>
            <w:tcBorders>
              <w:top w:val="single" w:sz="4" w:space="0" w:color="auto"/>
              <w:left w:val="single" w:sz="4" w:space="0" w:color="auto"/>
              <w:bottom w:val="single" w:sz="4" w:space="0" w:color="auto"/>
              <w:right w:val="nil"/>
            </w:tcBorders>
            <w:shd w:val="clear" w:color="auto" w:fill="BFBFBF"/>
            <w:vAlign w:val="center"/>
            <w:hideMark/>
          </w:tcPr>
          <w:p w14:paraId="1E304957" w14:textId="77777777" w:rsidR="00597DB0" w:rsidRPr="00123CAE" w:rsidRDefault="00597DB0" w:rsidP="001C6953">
            <w:pPr>
              <w:spacing w:before="120" w:after="120"/>
              <w:jc w:val="center"/>
              <w:rPr>
                <w:rFonts w:ascii="Arial" w:hAnsi="Arial" w:cs="Arial"/>
                <w:color w:val="000000"/>
                <w:sz w:val="18"/>
                <w:szCs w:val="18"/>
                <w:lang w:val="en-GB"/>
              </w:rPr>
            </w:pPr>
            <w:r w:rsidRPr="00123CAE">
              <w:rPr>
                <w:rFonts w:ascii="Arial" w:hAnsi="Arial" w:cs="Arial"/>
                <w:b/>
                <w:bCs/>
                <w:color w:val="000000"/>
                <w:sz w:val="18"/>
                <w:szCs w:val="18"/>
                <w:lang w:val="en-GB" w:eastAsia="en-GB"/>
              </w:rPr>
              <w:t>Draft Decision</w:t>
            </w:r>
          </w:p>
        </w:tc>
        <w:tc>
          <w:tcPr>
            <w:tcW w:w="775" w:type="pct"/>
            <w:tcBorders>
              <w:top w:val="single" w:sz="4" w:space="0" w:color="auto"/>
              <w:left w:val="nil"/>
              <w:bottom w:val="single" w:sz="4" w:space="0" w:color="auto"/>
              <w:right w:val="nil"/>
            </w:tcBorders>
            <w:shd w:val="clear" w:color="auto" w:fill="BFBFBF"/>
            <w:vAlign w:val="center"/>
            <w:hideMark/>
          </w:tcPr>
          <w:p w14:paraId="3D7A3E69" w14:textId="77777777" w:rsidR="00597DB0" w:rsidRPr="00123CAE" w:rsidRDefault="00597DB0" w:rsidP="001C6953">
            <w:pPr>
              <w:spacing w:before="120" w:after="120"/>
              <w:jc w:val="center"/>
              <w:rPr>
                <w:rFonts w:ascii="Arial" w:hAnsi="Arial" w:cs="Arial"/>
                <w:color w:val="000000"/>
                <w:sz w:val="18"/>
                <w:szCs w:val="18"/>
                <w:lang w:val="en-GB"/>
              </w:rPr>
            </w:pPr>
            <w:r w:rsidRPr="00123CAE">
              <w:rPr>
                <w:rFonts w:ascii="Arial" w:hAnsi="Arial" w:cs="Arial"/>
                <w:b/>
                <w:bCs/>
                <w:color w:val="000000"/>
                <w:sz w:val="18"/>
                <w:szCs w:val="18"/>
                <w:lang w:val="en-GB" w:eastAsia="en-GB"/>
              </w:rPr>
              <w:t>Submitting State</w:t>
            </w:r>
          </w:p>
        </w:tc>
        <w:tc>
          <w:tcPr>
            <w:tcW w:w="2903" w:type="pct"/>
            <w:tcBorders>
              <w:top w:val="single" w:sz="4" w:space="0" w:color="auto"/>
              <w:left w:val="nil"/>
              <w:bottom w:val="single" w:sz="4" w:space="0" w:color="auto"/>
              <w:right w:val="nil"/>
            </w:tcBorders>
            <w:shd w:val="clear" w:color="auto" w:fill="BFBFBF"/>
            <w:vAlign w:val="center"/>
            <w:hideMark/>
          </w:tcPr>
          <w:p w14:paraId="15B92324" w14:textId="77777777" w:rsidR="00597DB0" w:rsidRPr="00123CAE" w:rsidRDefault="00597DB0" w:rsidP="001C6953">
            <w:pPr>
              <w:spacing w:before="120" w:after="120"/>
              <w:jc w:val="center"/>
              <w:rPr>
                <w:rFonts w:ascii="Arial" w:hAnsi="Arial" w:cs="Arial"/>
                <w:color w:val="000000"/>
                <w:sz w:val="18"/>
                <w:szCs w:val="18"/>
                <w:lang w:val="en-GB"/>
              </w:rPr>
            </w:pPr>
            <w:r w:rsidRPr="00123CAE">
              <w:rPr>
                <w:rFonts w:ascii="Arial" w:hAnsi="Arial" w:cs="Arial"/>
                <w:b/>
                <w:bCs/>
                <w:color w:val="000000"/>
                <w:sz w:val="18"/>
                <w:szCs w:val="18"/>
                <w:lang w:val="en-GB" w:eastAsia="en-GB"/>
              </w:rPr>
              <w:t>Element</w:t>
            </w:r>
          </w:p>
        </w:tc>
        <w:tc>
          <w:tcPr>
            <w:tcW w:w="546" w:type="pct"/>
            <w:tcBorders>
              <w:top w:val="single" w:sz="4" w:space="0" w:color="auto"/>
              <w:left w:val="nil"/>
              <w:bottom w:val="single" w:sz="4" w:space="0" w:color="auto"/>
              <w:right w:val="single" w:sz="4" w:space="0" w:color="auto"/>
            </w:tcBorders>
            <w:shd w:val="clear" w:color="auto" w:fill="BFBFBF"/>
            <w:vAlign w:val="center"/>
            <w:hideMark/>
          </w:tcPr>
          <w:p w14:paraId="7A85E7E7" w14:textId="77777777" w:rsidR="00597DB0" w:rsidRPr="00123CAE" w:rsidRDefault="00597DB0" w:rsidP="001C6953">
            <w:pPr>
              <w:spacing w:before="120" w:after="120"/>
              <w:jc w:val="center"/>
              <w:rPr>
                <w:rFonts w:ascii="Arial" w:hAnsi="Arial" w:cs="Arial"/>
                <w:color w:val="000000"/>
                <w:sz w:val="18"/>
                <w:szCs w:val="18"/>
                <w:lang w:val="en-GB"/>
              </w:rPr>
            </w:pPr>
            <w:r w:rsidRPr="00123CAE">
              <w:rPr>
                <w:rFonts w:ascii="Arial" w:hAnsi="Arial" w:cs="Arial"/>
                <w:b/>
                <w:bCs/>
                <w:color w:val="000000"/>
                <w:sz w:val="18"/>
                <w:szCs w:val="18"/>
                <w:lang w:val="en-GB" w:eastAsia="en-GB"/>
              </w:rPr>
              <w:t>File No.</w:t>
            </w:r>
          </w:p>
        </w:tc>
      </w:tr>
      <w:tr w:rsidR="00597DB0" w:rsidRPr="00123CAE" w14:paraId="11D930C7" w14:textId="77777777" w:rsidTr="0019514B">
        <w:trPr>
          <w:cantSplit/>
        </w:trPr>
        <w:tc>
          <w:tcPr>
            <w:tcW w:w="776" w:type="pct"/>
            <w:tcBorders>
              <w:top w:val="single" w:sz="4" w:space="0" w:color="auto"/>
              <w:left w:val="single" w:sz="4" w:space="0" w:color="auto"/>
              <w:bottom w:val="single" w:sz="4" w:space="0" w:color="auto"/>
              <w:right w:val="nil"/>
            </w:tcBorders>
          </w:tcPr>
          <w:p w14:paraId="7376C7E7" w14:textId="0710D336" w:rsidR="00597DB0" w:rsidRPr="00123CAE" w:rsidRDefault="0052232D" w:rsidP="001C6953">
            <w:pPr>
              <w:spacing w:before="120" w:after="120"/>
              <w:rPr>
                <w:rFonts w:ascii="Arial" w:hAnsi="Arial" w:cs="Arial"/>
                <w:bCs/>
                <w:color w:val="000000"/>
                <w:sz w:val="20"/>
                <w:szCs w:val="20"/>
                <w:lang w:val="en-GB" w:eastAsia="en-GB"/>
              </w:rPr>
            </w:pPr>
            <w:hyperlink w:anchor="Dec11COM_9b1" w:history="1">
              <w:r w:rsidR="006A2458" w:rsidRPr="00473E27">
                <w:rPr>
                  <w:rStyle w:val="Hyperlink"/>
                  <w:rFonts w:ascii="Arial" w:hAnsi="Arial" w:cs="Arial"/>
                  <w:bCs/>
                  <w:sz w:val="20"/>
                  <w:szCs w:val="20"/>
                  <w:lang w:val="en-GB" w:eastAsia="en-GB"/>
                </w:rPr>
                <w:t>11.COM 9</w:t>
              </w:r>
              <w:r w:rsidR="00597DB0" w:rsidRPr="00473E27">
                <w:rPr>
                  <w:rStyle w:val="Hyperlink"/>
                  <w:rFonts w:ascii="Arial" w:hAnsi="Arial" w:cs="Arial"/>
                  <w:bCs/>
                  <w:sz w:val="20"/>
                  <w:szCs w:val="20"/>
                  <w:lang w:val="en-GB" w:eastAsia="en-GB"/>
                </w:rPr>
                <w:t>.b.1</w:t>
              </w:r>
            </w:hyperlink>
          </w:p>
        </w:tc>
        <w:tc>
          <w:tcPr>
            <w:tcW w:w="775" w:type="pct"/>
            <w:tcBorders>
              <w:top w:val="single" w:sz="4" w:space="0" w:color="auto"/>
              <w:left w:val="nil"/>
              <w:bottom w:val="single" w:sz="4" w:space="0" w:color="auto"/>
              <w:right w:val="nil"/>
            </w:tcBorders>
          </w:tcPr>
          <w:p w14:paraId="2EDFEB38" w14:textId="77777777" w:rsidR="00597DB0" w:rsidRPr="00123CAE" w:rsidRDefault="00CB5386" w:rsidP="001C6953">
            <w:pPr>
              <w:spacing w:before="120" w:after="120"/>
              <w:jc w:val="center"/>
              <w:rPr>
                <w:rFonts w:ascii="Arial" w:hAnsi="Arial" w:cs="Arial"/>
                <w:color w:val="000000"/>
                <w:sz w:val="20"/>
                <w:szCs w:val="20"/>
                <w:lang w:val="en-GB"/>
              </w:rPr>
            </w:pPr>
            <w:r w:rsidRPr="00123CAE">
              <w:rPr>
                <w:rFonts w:ascii="Arial" w:hAnsi="Arial" w:cs="Arial"/>
                <w:color w:val="000000"/>
                <w:sz w:val="20"/>
                <w:szCs w:val="20"/>
                <w:lang w:val="en-GB"/>
              </w:rPr>
              <w:t>France</w:t>
            </w:r>
          </w:p>
        </w:tc>
        <w:tc>
          <w:tcPr>
            <w:tcW w:w="2903" w:type="pct"/>
            <w:tcBorders>
              <w:top w:val="single" w:sz="4" w:space="0" w:color="auto"/>
              <w:left w:val="nil"/>
              <w:bottom w:val="single" w:sz="4" w:space="0" w:color="auto"/>
              <w:right w:val="nil"/>
            </w:tcBorders>
          </w:tcPr>
          <w:p w14:paraId="5F4F9863" w14:textId="77777777" w:rsidR="00597DB0" w:rsidRPr="00123CAE" w:rsidRDefault="00CB5386" w:rsidP="001C6953">
            <w:pPr>
              <w:spacing w:before="120" w:after="120"/>
              <w:rPr>
                <w:rFonts w:ascii="Arial" w:hAnsi="Arial" w:cs="Arial"/>
                <w:color w:val="000000"/>
                <w:sz w:val="20"/>
                <w:szCs w:val="20"/>
                <w:lang w:val="en-GB"/>
              </w:rPr>
            </w:pPr>
            <w:r w:rsidRPr="00123CAE">
              <w:rPr>
                <w:rFonts w:ascii="Arial" w:hAnsi="Arial" w:cs="Arial"/>
                <w:color w:val="000000"/>
                <w:sz w:val="20"/>
                <w:szCs w:val="20"/>
                <w:lang w:val="en-GB"/>
              </w:rPr>
              <w:t>Cantu in paghjella, a secular and liturgical oral tradition of Corsica</w:t>
            </w:r>
          </w:p>
        </w:tc>
        <w:tc>
          <w:tcPr>
            <w:tcW w:w="546" w:type="pct"/>
            <w:tcBorders>
              <w:top w:val="single" w:sz="4" w:space="0" w:color="auto"/>
              <w:left w:val="nil"/>
              <w:bottom w:val="single" w:sz="4" w:space="0" w:color="auto"/>
              <w:right w:val="single" w:sz="4" w:space="0" w:color="auto"/>
            </w:tcBorders>
          </w:tcPr>
          <w:p w14:paraId="0B95EE07" w14:textId="77777777" w:rsidR="00597DB0" w:rsidRPr="00123CAE" w:rsidRDefault="0052232D" w:rsidP="001C6953">
            <w:pPr>
              <w:spacing w:before="120" w:after="120"/>
              <w:jc w:val="center"/>
              <w:rPr>
                <w:rFonts w:ascii="Arial" w:hAnsi="Arial" w:cs="Arial"/>
                <w:color w:val="000000"/>
                <w:sz w:val="20"/>
                <w:szCs w:val="20"/>
                <w:lang w:val="en-GB"/>
              </w:rPr>
            </w:pPr>
            <w:hyperlink r:id="rId22" w:history="1">
              <w:r w:rsidR="00CB5386" w:rsidRPr="00123CAE">
                <w:rPr>
                  <w:rStyle w:val="Hyperlink"/>
                  <w:rFonts w:ascii="Arial" w:hAnsi="Arial" w:cs="Arial"/>
                  <w:sz w:val="20"/>
                  <w:szCs w:val="20"/>
                  <w:lang w:val="en-GB"/>
                </w:rPr>
                <w:t>00315</w:t>
              </w:r>
            </w:hyperlink>
          </w:p>
        </w:tc>
      </w:tr>
      <w:tr w:rsidR="00597DB0" w:rsidRPr="00123CAE" w14:paraId="179417ED" w14:textId="77777777" w:rsidTr="0019514B">
        <w:trPr>
          <w:cantSplit/>
        </w:trPr>
        <w:tc>
          <w:tcPr>
            <w:tcW w:w="776" w:type="pct"/>
            <w:tcBorders>
              <w:top w:val="single" w:sz="4" w:space="0" w:color="auto"/>
              <w:left w:val="single" w:sz="4" w:space="0" w:color="auto"/>
              <w:bottom w:val="single" w:sz="4" w:space="0" w:color="auto"/>
              <w:right w:val="nil"/>
            </w:tcBorders>
          </w:tcPr>
          <w:p w14:paraId="5430F88A" w14:textId="78594461" w:rsidR="00597DB0" w:rsidRPr="00123CAE" w:rsidRDefault="0052232D" w:rsidP="001C6953">
            <w:pPr>
              <w:spacing w:before="120" w:after="120"/>
              <w:rPr>
                <w:rFonts w:ascii="Arial" w:hAnsi="Arial" w:cs="Arial"/>
                <w:bCs/>
                <w:color w:val="000000"/>
                <w:sz w:val="20"/>
                <w:szCs w:val="20"/>
                <w:lang w:val="en-GB" w:eastAsia="en-GB"/>
              </w:rPr>
            </w:pPr>
            <w:hyperlink w:anchor="Dec11COM_9b2" w:history="1">
              <w:r w:rsidR="006A2458" w:rsidRPr="00BF3975">
                <w:rPr>
                  <w:rStyle w:val="Hyperlink"/>
                  <w:rFonts w:ascii="Arial" w:hAnsi="Arial" w:cs="Arial"/>
                  <w:bCs/>
                  <w:sz w:val="20"/>
                  <w:szCs w:val="20"/>
                  <w:lang w:val="en-GB" w:eastAsia="en-GB"/>
                </w:rPr>
                <w:t>11.COM 9.b.2</w:t>
              </w:r>
            </w:hyperlink>
          </w:p>
        </w:tc>
        <w:tc>
          <w:tcPr>
            <w:tcW w:w="775" w:type="pct"/>
            <w:tcBorders>
              <w:top w:val="single" w:sz="4" w:space="0" w:color="auto"/>
              <w:left w:val="nil"/>
              <w:bottom w:val="single" w:sz="4" w:space="0" w:color="auto"/>
              <w:right w:val="nil"/>
            </w:tcBorders>
          </w:tcPr>
          <w:p w14:paraId="75BBB373" w14:textId="77777777" w:rsidR="00597DB0" w:rsidRPr="00123CAE" w:rsidRDefault="00185D6E" w:rsidP="001C6953">
            <w:pPr>
              <w:spacing w:before="120" w:after="120"/>
              <w:jc w:val="center"/>
              <w:rPr>
                <w:rFonts w:ascii="Arial" w:hAnsi="Arial" w:cs="Arial"/>
                <w:color w:val="000000"/>
                <w:sz w:val="20"/>
                <w:szCs w:val="20"/>
                <w:lang w:val="en-GB"/>
              </w:rPr>
            </w:pPr>
            <w:r w:rsidRPr="00123CAE">
              <w:rPr>
                <w:rFonts w:ascii="Arial" w:hAnsi="Arial" w:cs="Arial"/>
                <w:color w:val="000000"/>
                <w:sz w:val="20"/>
                <w:szCs w:val="20"/>
                <w:lang w:val="en-GB"/>
              </w:rPr>
              <w:t>Iran (Islamic Republic of)</w:t>
            </w:r>
          </w:p>
        </w:tc>
        <w:tc>
          <w:tcPr>
            <w:tcW w:w="2903" w:type="pct"/>
            <w:tcBorders>
              <w:top w:val="single" w:sz="4" w:space="0" w:color="auto"/>
              <w:left w:val="nil"/>
              <w:bottom w:val="single" w:sz="4" w:space="0" w:color="auto"/>
              <w:right w:val="nil"/>
            </w:tcBorders>
          </w:tcPr>
          <w:p w14:paraId="3CE04381" w14:textId="77777777" w:rsidR="00597DB0" w:rsidRPr="00123CAE" w:rsidRDefault="00185D6E" w:rsidP="001C6953">
            <w:pPr>
              <w:spacing w:before="120" w:after="120"/>
              <w:rPr>
                <w:rFonts w:ascii="Arial" w:hAnsi="Arial" w:cs="Arial"/>
                <w:color w:val="000000"/>
                <w:sz w:val="20"/>
                <w:szCs w:val="20"/>
                <w:lang w:val="en-GB"/>
              </w:rPr>
            </w:pPr>
            <w:r w:rsidRPr="00123CAE">
              <w:rPr>
                <w:rFonts w:ascii="Arial" w:hAnsi="Arial" w:cs="Arial"/>
                <w:color w:val="000000"/>
                <w:sz w:val="20"/>
                <w:szCs w:val="20"/>
                <w:lang w:val="en-GB"/>
              </w:rPr>
              <w:t>Traditional skills of building and sailing Iranian Lenj boats in the Persian Gulf</w:t>
            </w:r>
          </w:p>
        </w:tc>
        <w:tc>
          <w:tcPr>
            <w:tcW w:w="546" w:type="pct"/>
            <w:tcBorders>
              <w:top w:val="single" w:sz="4" w:space="0" w:color="auto"/>
              <w:left w:val="nil"/>
              <w:bottom w:val="single" w:sz="4" w:space="0" w:color="auto"/>
              <w:right w:val="single" w:sz="4" w:space="0" w:color="auto"/>
            </w:tcBorders>
          </w:tcPr>
          <w:p w14:paraId="028A881B" w14:textId="77777777" w:rsidR="00597DB0" w:rsidRPr="00123CAE" w:rsidRDefault="0052232D" w:rsidP="001C6953">
            <w:pPr>
              <w:spacing w:before="120" w:after="120"/>
              <w:jc w:val="center"/>
              <w:rPr>
                <w:rFonts w:ascii="Arial" w:hAnsi="Arial" w:cs="Arial"/>
                <w:color w:val="000000"/>
                <w:sz w:val="20"/>
                <w:szCs w:val="20"/>
                <w:lang w:val="en-GB"/>
              </w:rPr>
            </w:pPr>
            <w:hyperlink r:id="rId23" w:history="1">
              <w:r w:rsidR="00185D6E" w:rsidRPr="00123CAE">
                <w:rPr>
                  <w:rStyle w:val="Hyperlink"/>
                  <w:rFonts w:ascii="Arial" w:hAnsi="Arial" w:cs="Arial"/>
                  <w:sz w:val="20"/>
                  <w:szCs w:val="20"/>
                  <w:lang w:val="en-GB"/>
                </w:rPr>
                <w:t>00534</w:t>
              </w:r>
            </w:hyperlink>
          </w:p>
        </w:tc>
      </w:tr>
      <w:tr w:rsidR="00597DB0" w:rsidRPr="00123CAE" w14:paraId="359C8A04" w14:textId="77777777" w:rsidTr="0019514B">
        <w:trPr>
          <w:cantSplit/>
        </w:trPr>
        <w:tc>
          <w:tcPr>
            <w:tcW w:w="776" w:type="pct"/>
            <w:tcBorders>
              <w:top w:val="single" w:sz="4" w:space="0" w:color="auto"/>
              <w:left w:val="single" w:sz="4" w:space="0" w:color="auto"/>
              <w:bottom w:val="single" w:sz="4" w:space="0" w:color="auto"/>
              <w:right w:val="nil"/>
            </w:tcBorders>
          </w:tcPr>
          <w:p w14:paraId="2766A7B5" w14:textId="3AF587E2" w:rsidR="00597DB0" w:rsidRPr="00123CAE" w:rsidRDefault="0052232D" w:rsidP="001C6953">
            <w:pPr>
              <w:spacing w:before="120" w:after="120"/>
              <w:rPr>
                <w:rFonts w:ascii="Arial" w:hAnsi="Arial" w:cs="Arial"/>
                <w:bCs/>
                <w:color w:val="000000"/>
                <w:sz w:val="20"/>
                <w:szCs w:val="20"/>
                <w:lang w:val="en-GB" w:eastAsia="en-GB"/>
              </w:rPr>
            </w:pPr>
            <w:hyperlink w:anchor="Dec11COM_9b3" w:history="1">
              <w:r w:rsidR="006A2458" w:rsidRPr="00BF3975">
                <w:rPr>
                  <w:rStyle w:val="Hyperlink"/>
                  <w:rFonts w:ascii="Arial" w:hAnsi="Arial" w:cs="Arial"/>
                  <w:bCs/>
                  <w:sz w:val="20"/>
                  <w:szCs w:val="20"/>
                  <w:lang w:val="en-GB" w:eastAsia="en-GB"/>
                </w:rPr>
                <w:t>11.COM 9.b.3</w:t>
              </w:r>
            </w:hyperlink>
          </w:p>
        </w:tc>
        <w:tc>
          <w:tcPr>
            <w:tcW w:w="775" w:type="pct"/>
            <w:tcBorders>
              <w:top w:val="single" w:sz="4" w:space="0" w:color="auto"/>
              <w:left w:val="nil"/>
              <w:bottom w:val="single" w:sz="4" w:space="0" w:color="auto"/>
              <w:right w:val="nil"/>
            </w:tcBorders>
          </w:tcPr>
          <w:p w14:paraId="283C959C" w14:textId="77777777" w:rsidR="00597DB0" w:rsidRPr="00123CAE" w:rsidRDefault="00185D6E" w:rsidP="001C6953">
            <w:pPr>
              <w:spacing w:before="120" w:after="120"/>
              <w:jc w:val="center"/>
              <w:rPr>
                <w:rFonts w:ascii="Arial" w:hAnsi="Arial" w:cs="Arial"/>
                <w:color w:val="000000"/>
                <w:sz w:val="20"/>
                <w:szCs w:val="20"/>
                <w:lang w:val="en-GB"/>
              </w:rPr>
            </w:pPr>
            <w:r w:rsidRPr="00123CAE">
              <w:rPr>
                <w:rFonts w:ascii="Arial" w:hAnsi="Arial" w:cs="Arial"/>
                <w:color w:val="000000"/>
                <w:sz w:val="20"/>
                <w:szCs w:val="20"/>
                <w:lang w:val="en-GB"/>
              </w:rPr>
              <w:t>Iran (Islamic Republic of)</w:t>
            </w:r>
          </w:p>
        </w:tc>
        <w:tc>
          <w:tcPr>
            <w:tcW w:w="2903" w:type="pct"/>
            <w:tcBorders>
              <w:top w:val="single" w:sz="4" w:space="0" w:color="auto"/>
              <w:left w:val="nil"/>
              <w:bottom w:val="single" w:sz="4" w:space="0" w:color="auto"/>
              <w:right w:val="nil"/>
            </w:tcBorders>
          </w:tcPr>
          <w:p w14:paraId="374446C2" w14:textId="77777777" w:rsidR="00597DB0" w:rsidRPr="00123CAE" w:rsidRDefault="00185D6E" w:rsidP="001C6953">
            <w:pPr>
              <w:spacing w:before="120" w:after="120"/>
              <w:rPr>
                <w:rFonts w:ascii="Arial" w:hAnsi="Arial" w:cs="Arial"/>
                <w:color w:val="000000"/>
                <w:sz w:val="20"/>
                <w:szCs w:val="20"/>
                <w:lang w:val="en-GB"/>
              </w:rPr>
            </w:pPr>
            <w:r w:rsidRPr="00123CAE">
              <w:rPr>
                <w:rFonts w:ascii="Arial" w:hAnsi="Arial" w:cs="Arial"/>
                <w:color w:val="000000"/>
                <w:sz w:val="20"/>
                <w:szCs w:val="20"/>
                <w:lang w:val="en-GB"/>
              </w:rPr>
              <w:t>Naqqāli, Iranian dramatic story-telling</w:t>
            </w:r>
          </w:p>
        </w:tc>
        <w:tc>
          <w:tcPr>
            <w:tcW w:w="546" w:type="pct"/>
            <w:tcBorders>
              <w:top w:val="single" w:sz="4" w:space="0" w:color="auto"/>
              <w:left w:val="nil"/>
              <w:bottom w:val="single" w:sz="4" w:space="0" w:color="auto"/>
              <w:right w:val="single" w:sz="4" w:space="0" w:color="auto"/>
            </w:tcBorders>
          </w:tcPr>
          <w:p w14:paraId="515B4616" w14:textId="77777777" w:rsidR="00597DB0" w:rsidRPr="00123CAE" w:rsidRDefault="0052232D" w:rsidP="001C6953">
            <w:pPr>
              <w:spacing w:before="120" w:after="120"/>
              <w:jc w:val="center"/>
              <w:rPr>
                <w:rFonts w:ascii="Arial" w:hAnsi="Arial" w:cs="Arial"/>
                <w:color w:val="000000"/>
                <w:sz w:val="20"/>
                <w:szCs w:val="20"/>
                <w:lang w:val="en-GB"/>
              </w:rPr>
            </w:pPr>
            <w:hyperlink r:id="rId24" w:history="1">
              <w:r w:rsidR="00185D6E" w:rsidRPr="00123CAE">
                <w:rPr>
                  <w:rStyle w:val="Hyperlink"/>
                  <w:rFonts w:ascii="Arial" w:hAnsi="Arial" w:cs="Arial"/>
                  <w:sz w:val="20"/>
                  <w:szCs w:val="20"/>
                  <w:lang w:val="en-GB"/>
                </w:rPr>
                <w:t>00535</w:t>
              </w:r>
            </w:hyperlink>
          </w:p>
        </w:tc>
      </w:tr>
      <w:tr w:rsidR="006A2458" w:rsidRPr="00123CAE" w14:paraId="7F530073" w14:textId="77777777" w:rsidTr="0019514B">
        <w:trPr>
          <w:cantSplit/>
        </w:trPr>
        <w:tc>
          <w:tcPr>
            <w:tcW w:w="776" w:type="pct"/>
            <w:tcBorders>
              <w:top w:val="single" w:sz="4" w:space="0" w:color="auto"/>
              <w:left w:val="single" w:sz="4" w:space="0" w:color="auto"/>
              <w:bottom w:val="single" w:sz="4" w:space="0" w:color="auto"/>
              <w:right w:val="nil"/>
            </w:tcBorders>
          </w:tcPr>
          <w:p w14:paraId="516794FE" w14:textId="07B2B674" w:rsidR="006A2458" w:rsidRPr="00123CAE" w:rsidRDefault="0052232D" w:rsidP="001C6953">
            <w:pPr>
              <w:spacing w:before="120" w:after="120"/>
              <w:rPr>
                <w:rFonts w:ascii="Arial" w:hAnsi="Arial" w:cs="Arial"/>
                <w:bCs/>
                <w:sz w:val="20"/>
                <w:szCs w:val="20"/>
                <w:lang w:val="en-GB" w:eastAsia="en-GB"/>
              </w:rPr>
            </w:pPr>
            <w:hyperlink w:anchor="Dec11COM_9b4" w:history="1">
              <w:r w:rsidR="006A2458" w:rsidRPr="00BF3975">
                <w:rPr>
                  <w:rStyle w:val="Hyperlink"/>
                  <w:rFonts w:ascii="Arial" w:hAnsi="Arial" w:cs="Arial"/>
                  <w:bCs/>
                  <w:sz w:val="20"/>
                  <w:szCs w:val="20"/>
                  <w:lang w:val="en-GB" w:eastAsia="en-GB"/>
                </w:rPr>
                <w:t>11.COM 9.b.4</w:t>
              </w:r>
            </w:hyperlink>
          </w:p>
        </w:tc>
        <w:tc>
          <w:tcPr>
            <w:tcW w:w="775" w:type="pct"/>
            <w:tcBorders>
              <w:top w:val="single" w:sz="4" w:space="0" w:color="auto"/>
              <w:left w:val="nil"/>
              <w:bottom w:val="single" w:sz="4" w:space="0" w:color="auto"/>
              <w:right w:val="nil"/>
            </w:tcBorders>
          </w:tcPr>
          <w:p w14:paraId="0DCBB070" w14:textId="77777777" w:rsidR="006A2458" w:rsidRPr="00123CAE" w:rsidRDefault="006A2458" w:rsidP="001C6953">
            <w:pPr>
              <w:spacing w:before="120" w:after="120"/>
              <w:jc w:val="center"/>
              <w:rPr>
                <w:rFonts w:ascii="Arial" w:hAnsi="Arial" w:cs="Arial"/>
                <w:color w:val="000000"/>
                <w:sz w:val="20"/>
                <w:szCs w:val="20"/>
                <w:lang w:val="en-GB"/>
              </w:rPr>
            </w:pPr>
            <w:r w:rsidRPr="00123CAE">
              <w:rPr>
                <w:rFonts w:ascii="Arial" w:hAnsi="Arial" w:cs="Arial"/>
                <w:color w:val="000000"/>
                <w:sz w:val="20"/>
                <w:szCs w:val="20"/>
                <w:lang w:val="en-GB"/>
              </w:rPr>
              <w:t>Mali</w:t>
            </w:r>
          </w:p>
        </w:tc>
        <w:tc>
          <w:tcPr>
            <w:tcW w:w="2903" w:type="pct"/>
            <w:tcBorders>
              <w:top w:val="single" w:sz="4" w:space="0" w:color="auto"/>
              <w:left w:val="nil"/>
              <w:bottom w:val="single" w:sz="4" w:space="0" w:color="auto"/>
              <w:right w:val="nil"/>
            </w:tcBorders>
          </w:tcPr>
          <w:p w14:paraId="5A3C7C32" w14:textId="77777777" w:rsidR="006A2458" w:rsidRPr="00123CAE" w:rsidRDefault="00185D6E" w:rsidP="001C6953">
            <w:pPr>
              <w:spacing w:before="120" w:after="120"/>
              <w:rPr>
                <w:rFonts w:ascii="Arial" w:hAnsi="Arial" w:cs="Arial"/>
                <w:color w:val="000000"/>
                <w:sz w:val="20"/>
                <w:szCs w:val="20"/>
                <w:lang w:val="en-GB"/>
              </w:rPr>
            </w:pPr>
            <w:r w:rsidRPr="00123CAE">
              <w:rPr>
                <w:rFonts w:ascii="Arial" w:hAnsi="Arial" w:cs="Arial"/>
                <w:color w:val="000000"/>
                <w:sz w:val="20"/>
                <w:szCs w:val="20"/>
                <w:lang w:val="en-GB"/>
              </w:rPr>
              <w:t>Secret society of the Kôrêdugaw, the rite of wisdom in Mali</w:t>
            </w:r>
          </w:p>
        </w:tc>
        <w:tc>
          <w:tcPr>
            <w:tcW w:w="546" w:type="pct"/>
            <w:tcBorders>
              <w:top w:val="single" w:sz="4" w:space="0" w:color="auto"/>
              <w:left w:val="nil"/>
              <w:bottom w:val="single" w:sz="4" w:space="0" w:color="auto"/>
              <w:right w:val="single" w:sz="4" w:space="0" w:color="auto"/>
            </w:tcBorders>
          </w:tcPr>
          <w:p w14:paraId="5D757D41" w14:textId="77777777" w:rsidR="006A2458" w:rsidRPr="00123CAE" w:rsidRDefault="0052232D" w:rsidP="001C6953">
            <w:pPr>
              <w:spacing w:before="120" w:after="120"/>
              <w:jc w:val="center"/>
              <w:rPr>
                <w:rFonts w:ascii="Arial" w:hAnsi="Arial" w:cs="Arial"/>
                <w:color w:val="000000"/>
                <w:sz w:val="20"/>
                <w:szCs w:val="20"/>
                <w:lang w:val="en-GB"/>
              </w:rPr>
            </w:pPr>
            <w:hyperlink r:id="rId25" w:history="1">
              <w:r w:rsidR="00185D6E" w:rsidRPr="00123CAE">
                <w:rPr>
                  <w:rStyle w:val="Hyperlink"/>
                  <w:rFonts w:ascii="Arial" w:hAnsi="Arial" w:cs="Arial"/>
                  <w:sz w:val="20"/>
                  <w:szCs w:val="20"/>
                  <w:lang w:val="en-GB"/>
                </w:rPr>
                <w:t>00520</w:t>
              </w:r>
            </w:hyperlink>
          </w:p>
        </w:tc>
      </w:tr>
      <w:tr w:rsidR="006A2458" w:rsidRPr="00123CAE" w14:paraId="7AF930DF" w14:textId="77777777" w:rsidTr="0019514B">
        <w:trPr>
          <w:cantSplit/>
        </w:trPr>
        <w:tc>
          <w:tcPr>
            <w:tcW w:w="776" w:type="pct"/>
            <w:tcBorders>
              <w:top w:val="single" w:sz="4" w:space="0" w:color="auto"/>
              <w:left w:val="single" w:sz="4" w:space="0" w:color="auto"/>
              <w:bottom w:val="single" w:sz="4" w:space="0" w:color="auto"/>
              <w:right w:val="nil"/>
            </w:tcBorders>
          </w:tcPr>
          <w:p w14:paraId="2E4533D0" w14:textId="3A094ED7" w:rsidR="006A2458" w:rsidRPr="00123CAE" w:rsidRDefault="0052232D" w:rsidP="001C6953">
            <w:pPr>
              <w:spacing w:before="120" w:after="120"/>
              <w:rPr>
                <w:rFonts w:ascii="Arial" w:hAnsi="Arial" w:cs="Arial"/>
                <w:bCs/>
                <w:sz w:val="20"/>
                <w:szCs w:val="20"/>
                <w:lang w:val="en-GB" w:eastAsia="en-GB"/>
              </w:rPr>
            </w:pPr>
            <w:hyperlink w:anchor="Dec11COM_9b5" w:history="1">
              <w:r w:rsidR="006A2458" w:rsidRPr="00BF3975">
                <w:rPr>
                  <w:rStyle w:val="Hyperlink"/>
                  <w:rFonts w:ascii="Arial" w:hAnsi="Arial" w:cs="Arial"/>
                  <w:bCs/>
                  <w:sz w:val="20"/>
                  <w:szCs w:val="20"/>
                  <w:lang w:val="en-GB" w:eastAsia="en-GB"/>
                </w:rPr>
                <w:t>11.COM 9.b.5</w:t>
              </w:r>
            </w:hyperlink>
          </w:p>
        </w:tc>
        <w:tc>
          <w:tcPr>
            <w:tcW w:w="775" w:type="pct"/>
            <w:tcBorders>
              <w:top w:val="single" w:sz="4" w:space="0" w:color="auto"/>
              <w:left w:val="nil"/>
              <w:bottom w:val="single" w:sz="4" w:space="0" w:color="auto"/>
              <w:right w:val="nil"/>
            </w:tcBorders>
          </w:tcPr>
          <w:p w14:paraId="2FE18C1A" w14:textId="77777777" w:rsidR="006A2458" w:rsidRPr="00123CAE" w:rsidRDefault="006A2458" w:rsidP="001C6953">
            <w:pPr>
              <w:spacing w:before="120" w:after="120"/>
              <w:jc w:val="center"/>
              <w:rPr>
                <w:rFonts w:ascii="Arial" w:hAnsi="Arial" w:cs="Arial"/>
                <w:color w:val="000000"/>
                <w:sz w:val="20"/>
                <w:szCs w:val="20"/>
                <w:lang w:val="en-GB"/>
              </w:rPr>
            </w:pPr>
            <w:r w:rsidRPr="00123CAE">
              <w:rPr>
                <w:rFonts w:ascii="Arial" w:hAnsi="Arial" w:cs="Arial"/>
                <w:color w:val="000000"/>
                <w:sz w:val="20"/>
                <w:szCs w:val="20"/>
                <w:lang w:val="en-GB"/>
              </w:rPr>
              <w:t>Mongolia</w:t>
            </w:r>
          </w:p>
        </w:tc>
        <w:tc>
          <w:tcPr>
            <w:tcW w:w="2903" w:type="pct"/>
            <w:tcBorders>
              <w:top w:val="single" w:sz="4" w:space="0" w:color="auto"/>
              <w:left w:val="nil"/>
              <w:bottom w:val="single" w:sz="4" w:space="0" w:color="auto"/>
              <w:right w:val="nil"/>
            </w:tcBorders>
          </w:tcPr>
          <w:p w14:paraId="7AC89D9B" w14:textId="77777777" w:rsidR="006A2458" w:rsidRPr="00123CAE" w:rsidRDefault="00185D6E" w:rsidP="001C6953">
            <w:pPr>
              <w:spacing w:before="120" w:after="120"/>
              <w:rPr>
                <w:rFonts w:ascii="Arial" w:hAnsi="Arial" w:cs="Arial"/>
                <w:color w:val="000000"/>
                <w:sz w:val="20"/>
                <w:szCs w:val="20"/>
                <w:lang w:val="en-GB"/>
              </w:rPr>
            </w:pPr>
            <w:r w:rsidRPr="00123CAE">
              <w:rPr>
                <w:rFonts w:ascii="Arial" w:hAnsi="Arial" w:cs="Arial"/>
                <w:color w:val="000000"/>
                <w:sz w:val="20"/>
                <w:szCs w:val="20"/>
                <w:lang w:val="en-GB"/>
              </w:rPr>
              <w:t>Folk long song performance technique of Limbe performances - circular breathing</w:t>
            </w:r>
          </w:p>
        </w:tc>
        <w:tc>
          <w:tcPr>
            <w:tcW w:w="546" w:type="pct"/>
            <w:tcBorders>
              <w:top w:val="single" w:sz="4" w:space="0" w:color="auto"/>
              <w:left w:val="nil"/>
              <w:bottom w:val="single" w:sz="4" w:space="0" w:color="auto"/>
              <w:right w:val="single" w:sz="4" w:space="0" w:color="auto"/>
            </w:tcBorders>
          </w:tcPr>
          <w:p w14:paraId="7D532D2E" w14:textId="77777777" w:rsidR="006A2458" w:rsidRPr="00123CAE" w:rsidRDefault="0052232D" w:rsidP="001C6953">
            <w:pPr>
              <w:spacing w:before="120" w:after="120"/>
              <w:jc w:val="center"/>
              <w:rPr>
                <w:rFonts w:ascii="Arial" w:hAnsi="Arial" w:cs="Arial"/>
                <w:color w:val="000000"/>
                <w:sz w:val="20"/>
                <w:szCs w:val="20"/>
                <w:lang w:val="en-GB"/>
              </w:rPr>
            </w:pPr>
            <w:hyperlink r:id="rId26" w:history="1">
              <w:r w:rsidR="00185D6E" w:rsidRPr="00123CAE">
                <w:rPr>
                  <w:rStyle w:val="Hyperlink"/>
                  <w:rFonts w:ascii="Arial" w:hAnsi="Arial" w:cs="Arial"/>
                  <w:sz w:val="20"/>
                  <w:szCs w:val="20"/>
                  <w:lang w:val="en-GB"/>
                </w:rPr>
                <w:t>00543</w:t>
              </w:r>
            </w:hyperlink>
          </w:p>
        </w:tc>
      </w:tr>
      <w:tr w:rsidR="006A2458" w:rsidRPr="00123CAE" w14:paraId="1309CC7E" w14:textId="77777777" w:rsidTr="0019514B">
        <w:trPr>
          <w:cantSplit/>
        </w:trPr>
        <w:tc>
          <w:tcPr>
            <w:tcW w:w="776" w:type="pct"/>
            <w:tcBorders>
              <w:top w:val="single" w:sz="4" w:space="0" w:color="auto"/>
              <w:left w:val="single" w:sz="4" w:space="0" w:color="auto"/>
              <w:bottom w:val="single" w:sz="4" w:space="0" w:color="auto"/>
              <w:right w:val="nil"/>
            </w:tcBorders>
          </w:tcPr>
          <w:p w14:paraId="44D4E242" w14:textId="26EBCB92" w:rsidR="006A2458" w:rsidRPr="00123CAE" w:rsidRDefault="0052232D" w:rsidP="001C6953">
            <w:pPr>
              <w:spacing w:before="120" w:after="120"/>
              <w:rPr>
                <w:rFonts w:ascii="Arial" w:hAnsi="Arial" w:cs="Arial"/>
                <w:bCs/>
                <w:sz w:val="20"/>
                <w:szCs w:val="20"/>
                <w:lang w:val="en-GB" w:eastAsia="en-GB"/>
              </w:rPr>
            </w:pPr>
            <w:hyperlink w:anchor="Dec11COM_9b6" w:history="1">
              <w:r w:rsidR="006A2458" w:rsidRPr="00BF3975">
                <w:rPr>
                  <w:rStyle w:val="Hyperlink"/>
                  <w:rFonts w:ascii="Arial" w:hAnsi="Arial" w:cs="Arial"/>
                  <w:bCs/>
                  <w:sz w:val="20"/>
                  <w:szCs w:val="20"/>
                  <w:lang w:val="en-GB" w:eastAsia="en-GB"/>
                </w:rPr>
                <w:t>11.COM 9.b.6</w:t>
              </w:r>
            </w:hyperlink>
          </w:p>
        </w:tc>
        <w:tc>
          <w:tcPr>
            <w:tcW w:w="775" w:type="pct"/>
            <w:tcBorders>
              <w:top w:val="single" w:sz="4" w:space="0" w:color="auto"/>
              <w:left w:val="nil"/>
              <w:bottom w:val="single" w:sz="4" w:space="0" w:color="auto"/>
              <w:right w:val="nil"/>
            </w:tcBorders>
          </w:tcPr>
          <w:p w14:paraId="35F8D292" w14:textId="77777777" w:rsidR="006A2458" w:rsidRPr="00123CAE" w:rsidRDefault="00185D6E" w:rsidP="001C6953">
            <w:pPr>
              <w:spacing w:before="120" w:after="120"/>
              <w:jc w:val="center"/>
              <w:rPr>
                <w:rFonts w:ascii="Arial" w:hAnsi="Arial" w:cs="Arial"/>
                <w:color w:val="000000"/>
                <w:sz w:val="20"/>
                <w:szCs w:val="20"/>
                <w:lang w:val="en-GB"/>
              </w:rPr>
            </w:pPr>
            <w:r w:rsidRPr="00123CAE">
              <w:rPr>
                <w:rFonts w:ascii="Arial" w:hAnsi="Arial" w:cs="Arial"/>
                <w:color w:val="000000"/>
                <w:sz w:val="20"/>
                <w:szCs w:val="20"/>
                <w:lang w:val="en-GB"/>
              </w:rPr>
              <w:t>United Arab Emirates</w:t>
            </w:r>
          </w:p>
        </w:tc>
        <w:tc>
          <w:tcPr>
            <w:tcW w:w="2903" w:type="pct"/>
            <w:tcBorders>
              <w:top w:val="single" w:sz="4" w:space="0" w:color="auto"/>
              <w:left w:val="nil"/>
              <w:bottom w:val="single" w:sz="4" w:space="0" w:color="auto"/>
              <w:right w:val="nil"/>
            </w:tcBorders>
          </w:tcPr>
          <w:p w14:paraId="25B307A7" w14:textId="77777777" w:rsidR="006A2458" w:rsidRPr="00123CAE" w:rsidRDefault="00185D6E" w:rsidP="001C6953">
            <w:pPr>
              <w:spacing w:before="120" w:after="120"/>
              <w:rPr>
                <w:rFonts w:ascii="Arial" w:hAnsi="Arial" w:cs="Arial"/>
                <w:color w:val="000000"/>
                <w:sz w:val="20"/>
                <w:szCs w:val="20"/>
                <w:lang w:val="en-GB"/>
              </w:rPr>
            </w:pPr>
            <w:r w:rsidRPr="00123CAE">
              <w:rPr>
                <w:rFonts w:ascii="Arial" w:hAnsi="Arial" w:cs="Arial"/>
                <w:color w:val="000000"/>
                <w:sz w:val="20"/>
                <w:szCs w:val="20"/>
                <w:lang w:val="en-GB"/>
              </w:rPr>
              <w:t>Al Sadu, traditional weaving skills in the United Arab Emirates</w:t>
            </w:r>
          </w:p>
        </w:tc>
        <w:tc>
          <w:tcPr>
            <w:tcW w:w="546" w:type="pct"/>
            <w:tcBorders>
              <w:top w:val="single" w:sz="4" w:space="0" w:color="auto"/>
              <w:left w:val="nil"/>
              <w:bottom w:val="single" w:sz="4" w:space="0" w:color="auto"/>
              <w:right w:val="single" w:sz="4" w:space="0" w:color="auto"/>
            </w:tcBorders>
          </w:tcPr>
          <w:p w14:paraId="603958A0" w14:textId="77777777" w:rsidR="006A2458" w:rsidRPr="00123CAE" w:rsidRDefault="0052232D" w:rsidP="001C6953">
            <w:pPr>
              <w:spacing w:before="120" w:after="120"/>
              <w:jc w:val="center"/>
              <w:rPr>
                <w:rFonts w:ascii="Arial" w:hAnsi="Arial" w:cs="Arial"/>
                <w:color w:val="000000"/>
                <w:sz w:val="20"/>
                <w:szCs w:val="20"/>
                <w:lang w:val="en-GB"/>
              </w:rPr>
            </w:pPr>
            <w:hyperlink r:id="rId27" w:history="1">
              <w:r w:rsidR="00185D6E" w:rsidRPr="00123CAE">
                <w:rPr>
                  <w:rStyle w:val="Hyperlink"/>
                  <w:rFonts w:ascii="Arial" w:hAnsi="Arial" w:cs="Arial"/>
                  <w:sz w:val="20"/>
                  <w:szCs w:val="20"/>
                  <w:lang w:val="en-GB"/>
                </w:rPr>
                <w:t>00517</w:t>
              </w:r>
            </w:hyperlink>
          </w:p>
        </w:tc>
      </w:tr>
    </w:tbl>
    <w:p w14:paraId="79F6B37E" w14:textId="77777777" w:rsidR="00D95C4C" w:rsidRPr="00123CAE" w:rsidRDefault="000B1C8F" w:rsidP="009147F8">
      <w:pPr>
        <w:pStyle w:val="Marge"/>
        <w:numPr>
          <w:ilvl w:val="0"/>
          <w:numId w:val="9"/>
        </w:numPr>
        <w:spacing w:before="120" w:after="120"/>
        <w:ind w:left="567" w:hanging="567"/>
        <w:rPr>
          <w:lang w:val="en-GB"/>
        </w:rPr>
      </w:pPr>
      <w:r w:rsidRPr="00123CAE">
        <w:rPr>
          <w:lang w:val="en-GB"/>
        </w:rPr>
        <w:t xml:space="preserve">The </w:t>
      </w:r>
      <w:r w:rsidRPr="00123CAE">
        <w:rPr>
          <w:bCs/>
          <w:lang w:val="en-GB"/>
        </w:rPr>
        <w:t>Committee</w:t>
      </w:r>
      <w:r w:rsidRPr="00123CAE">
        <w:rPr>
          <w:lang w:val="en-GB"/>
        </w:rPr>
        <w:t xml:space="preserve"> may wish to adopt the following decision</w:t>
      </w:r>
      <w:r w:rsidR="00D95C4C" w:rsidRPr="00123CAE">
        <w:rPr>
          <w:lang w:val="en-GB"/>
        </w:rPr>
        <w:t>:</w:t>
      </w:r>
    </w:p>
    <w:p w14:paraId="0850F20C" w14:textId="77777777" w:rsidR="00D95C4C" w:rsidRPr="00123CAE" w:rsidRDefault="004A34A0" w:rsidP="00041A66">
      <w:pPr>
        <w:pStyle w:val="COMTitleDecision"/>
        <w:rPr>
          <w:rFonts w:eastAsia="SimSun"/>
        </w:rPr>
      </w:pPr>
      <w:r w:rsidRPr="00123CAE">
        <w:t xml:space="preserve">DRAFT </w:t>
      </w:r>
      <w:r w:rsidR="00CB0542" w:rsidRPr="00123CAE">
        <w:t>DECISION 11</w:t>
      </w:r>
      <w:r w:rsidR="00EC6F8D" w:rsidRPr="00123CAE">
        <w:t>.COM</w:t>
      </w:r>
      <w:r w:rsidR="00041589" w:rsidRPr="00123CAE">
        <w:t> 9.b</w:t>
      </w:r>
    </w:p>
    <w:p w14:paraId="246260D9" w14:textId="77777777" w:rsidR="00D95C4C" w:rsidRPr="00123CAE" w:rsidRDefault="00285BB4" w:rsidP="00285BB4">
      <w:pPr>
        <w:pStyle w:val="COMPreambulaDecisions"/>
        <w:rPr>
          <w:rFonts w:eastAsia="SimSun"/>
        </w:rPr>
      </w:pPr>
      <w:r w:rsidRPr="00123CAE">
        <w:t>The Committee,</w:t>
      </w:r>
    </w:p>
    <w:p w14:paraId="6D2A17EE" w14:textId="77777777" w:rsidR="0057439C" w:rsidRPr="00123CAE" w:rsidRDefault="00D95C4C" w:rsidP="0027466B">
      <w:pPr>
        <w:pStyle w:val="COMParaDecision"/>
        <w:jc w:val="left"/>
      </w:pPr>
      <w:r w:rsidRPr="00123CAE">
        <w:t>Having examined</w:t>
      </w:r>
      <w:r w:rsidRPr="00123CAE">
        <w:rPr>
          <w:u w:val="none"/>
        </w:rPr>
        <w:t xml:space="preserve"> doc</w:t>
      </w:r>
      <w:r w:rsidR="00CB0542" w:rsidRPr="00123CAE">
        <w:rPr>
          <w:u w:val="none"/>
        </w:rPr>
        <w:t>ument ITH/16/11</w:t>
      </w:r>
      <w:r w:rsidR="00EC6F8D" w:rsidRPr="00123CAE">
        <w:rPr>
          <w:u w:val="none"/>
        </w:rPr>
        <w:t>.COM</w:t>
      </w:r>
      <w:r w:rsidR="004A34A0" w:rsidRPr="00123CAE">
        <w:rPr>
          <w:u w:val="none"/>
        </w:rPr>
        <w:t>/</w:t>
      </w:r>
      <w:r w:rsidR="00041589" w:rsidRPr="00123CAE">
        <w:rPr>
          <w:u w:val="none"/>
        </w:rPr>
        <w:t>9.b</w:t>
      </w:r>
      <w:r w:rsidRPr="00123CAE">
        <w:rPr>
          <w:u w:val="none"/>
        </w:rPr>
        <w:t>,</w:t>
      </w:r>
    </w:p>
    <w:p w14:paraId="02E50106" w14:textId="77777777" w:rsidR="009147F8" w:rsidRPr="00123CAE" w:rsidRDefault="009147F8" w:rsidP="009147F8">
      <w:pPr>
        <w:numPr>
          <w:ilvl w:val="0"/>
          <w:numId w:val="10"/>
        </w:numPr>
        <w:autoSpaceDE w:val="0"/>
        <w:autoSpaceDN w:val="0"/>
        <w:adjustRightInd w:val="0"/>
        <w:spacing w:before="120" w:after="120"/>
        <w:ind w:left="1134" w:hanging="567"/>
        <w:jc w:val="both"/>
        <w:rPr>
          <w:rFonts w:ascii="Arial" w:hAnsi="Arial" w:cs="Arial"/>
          <w:sz w:val="22"/>
          <w:szCs w:val="22"/>
          <w:lang w:val="en-GB"/>
        </w:rPr>
      </w:pPr>
      <w:r w:rsidRPr="00123CAE">
        <w:rPr>
          <w:rFonts w:ascii="Arial" w:hAnsi="Arial" w:cs="Arial"/>
          <w:sz w:val="22"/>
          <w:szCs w:val="22"/>
          <w:u w:val="single"/>
          <w:lang w:val="en-GB"/>
        </w:rPr>
        <w:t>Recalling</w:t>
      </w:r>
      <w:r w:rsidRPr="00123CAE">
        <w:rPr>
          <w:rFonts w:ascii="Arial" w:hAnsi="Arial" w:cs="Arial"/>
          <w:sz w:val="22"/>
          <w:szCs w:val="22"/>
          <w:lang w:val="en-GB"/>
        </w:rPr>
        <w:t xml:space="preserve"> Articles 7, 29 and 30 of the Convention concerning reports by the States Parties, and Chapter V of the Operational Directives,</w:t>
      </w:r>
    </w:p>
    <w:p w14:paraId="2664E486" w14:textId="5C972C4A" w:rsidR="009147F8" w:rsidRPr="00123CAE" w:rsidRDefault="009147F8" w:rsidP="009147F8">
      <w:pPr>
        <w:pStyle w:val="COMParaDecision"/>
        <w:rPr>
          <w:u w:val="none"/>
        </w:rPr>
      </w:pPr>
      <w:r w:rsidRPr="00123CAE">
        <w:t>Thanks</w:t>
      </w:r>
      <w:r w:rsidRPr="00123CAE">
        <w:rPr>
          <w:u w:val="none"/>
        </w:rPr>
        <w:t xml:space="preserve"> the State</w:t>
      </w:r>
      <w:r w:rsidR="00B2399B">
        <w:rPr>
          <w:u w:val="none"/>
        </w:rPr>
        <w:t>s</w:t>
      </w:r>
      <w:r w:rsidRPr="00123CAE">
        <w:rPr>
          <w:u w:val="none"/>
        </w:rPr>
        <w:t xml:space="preserve"> Part</w:t>
      </w:r>
      <w:r w:rsidR="00B2399B">
        <w:rPr>
          <w:u w:val="none"/>
        </w:rPr>
        <w:t>ies</w:t>
      </w:r>
      <w:r w:rsidRPr="00123CAE">
        <w:rPr>
          <w:u w:val="none"/>
        </w:rPr>
        <w:t xml:space="preserve"> that submitted </w:t>
      </w:r>
      <w:r w:rsidR="00B2399B">
        <w:rPr>
          <w:u w:val="none"/>
        </w:rPr>
        <w:t xml:space="preserve">their </w:t>
      </w:r>
      <w:r w:rsidRPr="00123CAE">
        <w:rPr>
          <w:u w:val="none"/>
        </w:rPr>
        <w:t>ordinary report</w:t>
      </w:r>
      <w:r w:rsidR="00B2399B">
        <w:rPr>
          <w:u w:val="none"/>
        </w:rPr>
        <w:t>s</w:t>
      </w:r>
      <w:r w:rsidRPr="00123CAE">
        <w:rPr>
          <w:u w:val="none"/>
        </w:rPr>
        <w:t xml:space="preserve"> on time</w:t>
      </w:r>
      <w:r w:rsidRPr="00123CAE">
        <w:rPr>
          <w:bCs/>
          <w:u w:val="none"/>
        </w:rPr>
        <w:t xml:space="preserve"> and </w:t>
      </w:r>
      <w:r w:rsidRPr="00123CAE">
        <w:rPr>
          <w:bCs/>
        </w:rPr>
        <w:t>invites</w:t>
      </w:r>
      <w:r w:rsidRPr="00123CAE">
        <w:rPr>
          <w:bCs/>
          <w:u w:val="none"/>
        </w:rPr>
        <w:t xml:space="preserve"> </w:t>
      </w:r>
      <w:r w:rsidRPr="00123CAE">
        <w:rPr>
          <w:rFonts w:eastAsia="Times New Roman"/>
          <w:bCs/>
          <w:u w:val="none"/>
        </w:rPr>
        <w:t xml:space="preserve">the States Parties that have not yet submitted their expected reports to duly </w:t>
      </w:r>
      <w:r w:rsidR="008B1689">
        <w:rPr>
          <w:rFonts w:eastAsia="Times New Roman"/>
          <w:bCs/>
          <w:u w:val="none"/>
        </w:rPr>
        <w:t>do so</w:t>
      </w:r>
      <w:r w:rsidRPr="00123CAE">
        <w:rPr>
          <w:rFonts w:eastAsia="Times New Roman"/>
          <w:bCs/>
          <w:u w:val="none"/>
        </w:rPr>
        <w:t xml:space="preserve"> at the earliest opportunity, and in any cas</w:t>
      </w:r>
      <w:r w:rsidR="00F81200" w:rsidRPr="00123CAE">
        <w:rPr>
          <w:rFonts w:eastAsia="Times New Roman"/>
          <w:bCs/>
          <w:u w:val="none"/>
        </w:rPr>
        <w:t>e no later than 15 December 2016</w:t>
      </w:r>
      <w:r w:rsidRPr="00123CAE">
        <w:rPr>
          <w:bCs/>
          <w:u w:val="none"/>
        </w:rPr>
        <w:t xml:space="preserve"> in order for the Committee to examine them at its </w:t>
      </w:r>
      <w:r w:rsidR="00F81200" w:rsidRPr="00123CAE">
        <w:rPr>
          <w:bCs/>
          <w:u w:val="none"/>
        </w:rPr>
        <w:t>twelfth session in 2017</w:t>
      </w:r>
      <w:r w:rsidRPr="00123CAE">
        <w:rPr>
          <w:bCs/>
          <w:u w:val="none"/>
        </w:rPr>
        <w:t>;</w:t>
      </w:r>
    </w:p>
    <w:p w14:paraId="079FBC02" w14:textId="4F6519FA" w:rsidR="00F81200" w:rsidRPr="00123CAE" w:rsidRDefault="00F81200" w:rsidP="009147F8">
      <w:pPr>
        <w:pStyle w:val="COMParaDecision"/>
        <w:rPr>
          <w:u w:val="none"/>
        </w:rPr>
      </w:pPr>
      <w:r w:rsidRPr="00123CAE">
        <w:t>Takes note</w:t>
      </w:r>
      <w:r w:rsidRPr="00123CAE">
        <w:rPr>
          <w:u w:val="none"/>
        </w:rPr>
        <w:t xml:space="preserve"> of the improving rate of submission of these reports </w:t>
      </w:r>
      <w:r w:rsidR="00617060" w:rsidRPr="00123CAE">
        <w:rPr>
          <w:u w:val="none"/>
        </w:rPr>
        <w:t xml:space="preserve">that </w:t>
      </w:r>
      <w:r w:rsidRPr="00123CAE">
        <w:rPr>
          <w:u w:val="none"/>
        </w:rPr>
        <w:t xml:space="preserve">testifies the </w:t>
      </w:r>
      <w:r w:rsidR="00617060" w:rsidRPr="00123CAE">
        <w:rPr>
          <w:u w:val="none"/>
        </w:rPr>
        <w:t xml:space="preserve">growing </w:t>
      </w:r>
      <w:r w:rsidRPr="00123CAE">
        <w:rPr>
          <w:u w:val="none"/>
        </w:rPr>
        <w:t xml:space="preserve">importance that States Parties </w:t>
      </w:r>
      <w:r w:rsidR="00617060" w:rsidRPr="00123CAE">
        <w:rPr>
          <w:u w:val="none"/>
        </w:rPr>
        <w:t>attach to the safeguarding and monitoring of their elements in need of urgent safeguarding;</w:t>
      </w:r>
    </w:p>
    <w:p w14:paraId="15FC3C3F" w14:textId="2E8B0872" w:rsidR="00617060" w:rsidRPr="00123CAE" w:rsidRDefault="00103F93" w:rsidP="00617060">
      <w:pPr>
        <w:pStyle w:val="COMParaDecision"/>
        <w:rPr>
          <w:u w:val="none"/>
        </w:rPr>
      </w:pPr>
      <w:r w:rsidRPr="00123CAE">
        <w:lastRenderedPageBreak/>
        <w:t>Welcomes</w:t>
      </w:r>
      <w:r w:rsidR="00617060" w:rsidRPr="00123CAE">
        <w:rPr>
          <w:u w:val="none"/>
        </w:rPr>
        <w:t xml:space="preserve"> the achievements made by States Parties in ensuring an increased viability of their inscribed elements and </w:t>
      </w:r>
      <w:r w:rsidR="00617060" w:rsidRPr="00123CAE">
        <w:t>encourages</w:t>
      </w:r>
      <w:r w:rsidR="00617060" w:rsidRPr="00123CAE">
        <w:rPr>
          <w:u w:val="none"/>
        </w:rPr>
        <w:t xml:space="preserve"> them to respond to the old and new threats by fully involving the practitioners, bearers and communities </w:t>
      </w:r>
      <w:r w:rsidR="00400A9F" w:rsidRPr="00123CAE">
        <w:rPr>
          <w:u w:val="none"/>
        </w:rPr>
        <w:t xml:space="preserve">concerned </w:t>
      </w:r>
      <w:r w:rsidR="00B2399B">
        <w:rPr>
          <w:u w:val="none"/>
        </w:rPr>
        <w:t xml:space="preserve">when </w:t>
      </w:r>
      <w:r w:rsidR="00617060" w:rsidRPr="00123CAE">
        <w:rPr>
          <w:u w:val="none"/>
        </w:rPr>
        <w:t>developing safeguarding plans</w:t>
      </w:r>
      <w:r w:rsidR="00400A9F" w:rsidRPr="00123CAE">
        <w:rPr>
          <w:u w:val="none"/>
        </w:rPr>
        <w:t>,</w:t>
      </w:r>
      <w:r w:rsidR="00617060" w:rsidRPr="00123CAE">
        <w:rPr>
          <w:u w:val="none"/>
        </w:rPr>
        <w:t xml:space="preserve"> as well as when reporting on </w:t>
      </w:r>
      <w:r w:rsidR="00473443" w:rsidRPr="00123CAE">
        <w:rPr>
          <w:u w:val="none"/>
        </w:rPr>
        <w:t>their implementation</w:t>
      </w:r>
      <w:r w:rsidR="00617060" w:rsidRPr="00123CAE">
        <w:rPr>
          <w:u w:val="none"/>
        </w:rPr>
        <w:t>;</w:t>
      </w:r>
    </w:p>
    <w:p w14:paraId="089FF41D" w14:textId="77777777" w:rsidR="002F4BD6" w:rsidRPr="00123CAE" w:rsidRDefault="009147F8" w:rsidP="002F4BD6">
      <w:pPr>
        <w:pStyle w:val="COMParaDecision"/>
      </w:pPr>
      <w:r w:rsidRPr="00123CAE">
        <w:t>Decides</w:t>
      </w:r>
      <w:r w:rsidRPr="00123CAE">
        <w:rPr>
          <w:u w:val="none"/>
        </w:rPr>
        <w:t xml:space="preserve"> to submit to the General Assembly a summary of the reports of States Parties on the current status of elements inscribed on the List of Intangible Cultural Heritage in Need of Urgent Safeguarding examined in the current session.</w:t>
      </w:r>
    </w:p>
    <w:p w14:paraId="7B64AAFD" w14:textId="2F308182" w:rsidR="002F4BD6" w:rsidRPr="00123CAE" w:rsidRDefault="002F4BD6" w:rsidP="002F4BD6">
      <w:pPr>
        <w:pStyle w:val="COMTitleDecision"/>
        <w:pageBreakBefore/>
        <w:spacing w:before="480"/>
        <w:jc w:val="left"/>
      </w:pPr>
      <w:r w:rsidRPr="00123CAE">
        <w:rPr>
          <w:bCs/>
        </w:rPr>
        <w:lastRenderedPageBreak/>
        <w:t>France:</w:t>
      </w:r>
      <w:r w:rsidRPr="00123CAE">
        <w:t xml:space="preserve"> ‘Cantu in paghjella, a secular and liturgical oral tradition of Corsica’ </w:t>
      </w:r>
      <w:r w:rsidRPr="00123CAE">
        <w:rPr>
          <w:b w:val="0"/>
          <w:bCs/>
          <w:i/>
          <w:iCs/>
        </w:rPr>
        <w:t xml:space="preserve">(consult the </w:t>
      </w:r>
      <w:hyperlink r:id="rId28" w:history="1">
        <w:r w:rsidRPr="005C7B8F">
          <w:rPr>
            <w:rStyle w:val="Hyperlink"/>
            <w:b w:val="0"/>
            <w:bCs/>
            <w:i/>
            <w:iCs/>
          </w:rPr>
          <w:t>report</w:t>
        </w:r>
      </w:hyperlink>
      <w:r w:rsidRPr="00123CAE">
        <w:rPr>
          <w:b w:val="0"/>
          <w:bCs/>
          <w:i/>
          <w:iCs/>
        </w:rPr>
        <w:t>)</w:t>
      </w:r>
    </w:p>
    <w:p w14:paraId="60009D6D" w14:textId="50C8347F" w:rsidR="00540DCD" w:rsidRPr="00123CAE" w:rsidRDefault="00540DCD" w:rsidP="00540DCD">
      <w:pPr>
        <w:pStyle w:val="Marge"/>
        <w:numPr>
          <w:ilvl w:val="0"/>
          <w:numId w:val="9"/>
        </w:numPr>
        <w:tabs>
          <w:tab w:val="clear" w:pos="567"/>
        </w:tabs>
        <w:autoSpaceDE w:val="0"/>
        <w:autoSpaceDN w:val="0"/>
        <w:adjustRightInd w:val="0"/>
        <w:spacing w:after="120"/>
        <w:ind w:left="567" w:hanging="567"/>
        <w:rPr>
          <w:rFonts w:cs="Arial"/>
          <w:bCs/>
          <w:szCs w:val="22"/>
          <w:lang w:val="en-GB"/>
        </w:rPr>
      </w:pPr>
      <w:r w:rsidRPr="00123CAE">
        <w:rPr>
          <w:rFonts w:cs="Arial"/>
          <w:bCs/>
          <w:szCs w:val="22"/>
          <w:lang w:val="en-GB"/>
        </w:rPr>
        <w:t>The Cantu in pagh</w:t>
      </w:r>
      <w:r w:rsidR="00400A9F" w:rsidRPr="00123CAE">
        <w:rPr>
          <w:rFonts w:cs="Arial"/>
          <w:bCs/>
          <w:szCs w:val="22"/>
          <w:lang w:val="en-GB"/>
        </w:rPr>
        <w:t>j</w:t>
      </w:r>
      <w:r w:rsidRPr="00123CAE">
        <w:rPr>
          <w:rFonts w:cs="Arial"/>
          <w:bCs/>
          <w:szCs w:val="22"/>
          <w:lang w:val="en-GB"/>
        </w:rPr>
        <w:t>ella (‘Cantu’) is a chanting tradition of the Island of Corsica performed at festivals and liturgical/semi-liturgical rituals of which there are about 30 practitioners trained in the chanting</w:t>
      </w:r>
      <w:r w:rsidR="00400A9F" w:rsidRPr="00123CAE">
        <w:rPr>
          <w:rFonts w:cs="Arial"/>
          <w:bCs/>
          <w:szCs w:val="22"/>
          <w:lang w:val="en-GB"/>
        </w:rPr>
        <w:t>,</w:t>
      </w:r>
      <w:r w:rsidRPr="00123CAE">
        <w:rPr>
          <w:rFonts w:cs="Arial"/>
          <w:bCs/>
          <w:szCs w:val="22"/>
          <w:lang w:val="en-GB"/>
        </w:rPr>
        <w:t xml:space="preserve"> as well as </w:t>
      </w:r>
      <w:r w:rsidR="00400A9F" w:rsidRPr="00123CAE">
        <w:rPr>
          <w:rFonts w:cs="Arial"/>
          <w:bCs/>
          <w:szCs w:val="22"/>
          <w:lang w:val="en-GB"/>
        </w:rPr>
        <w:t xml:space="preserve">five </w:t>
      </w:r>
      <w:r w:rsidRPr="00123CAE">
        <w:rPr>
          <w:rFonts w:cs="Arial"/>
          <w:bCs/>
          <w:szCs w:val="22"/>
          <w:lang w:val="en-GB"/>
        </w:rPr>
        <w:t>experts related to the element</w:t>
      </w:r>
      <w:r w:rsidR="00943B8E" w:rsidRPr="00123CAE">
        <w:rPr>
          <w:rFonts w:cs="Arial"/>
          <w:bCs/>
          <w:szCs w:val="22"/>
          <w:lang w:val="en-GB"/>
        </w:rPr>
        <w:t>.</w:t>
      </w:r>
      <w:r w:rsidRPr="00123CAE">
        <w:rPr>
          <w:rFonts w:cs="Arial"/>
          <w:bCs/>
          <w:szCs w:val="22"/>
          <w:lang w:val="en-GB"/>
        </w:rPr>
        <w:t xml:space="preserve"> </w:t>
      </w:r>
      <w:r w:rsidR="00943B8E" w:rsidRPr="00123CAE">
        <w:rPr>
          <w:rFonts w:cs="Arial"/>
          <w:bCs/>
          <w:szCs w:val="22"/>
          <w:lang w:val="en-GB"/>
        </w:rPr>
        <w:t>T</w:t>
      </w:r>
      <w:r w:rsidRPr="00123CAE">
        <w:rPr>
          <w:rFonts w:cs="Arial"/>
          <w:bCs/>
          <w:szCs w:val="22"/>
          <w:lang w:val="en-GB"/>
        </w:rPr>
        <w:t>he general public also participate in the ritual and other events at which it is performed</w:t>
      </w:r>
      <w:r w:rsidR="00943B8E" w:rsidRPr="00123CAE">
        <w:rPr>
          <w:rFonts w:cs="Arial"/>
          <w:bCs/>
          <w:szCs w:val="22"/>
          <w:lang w:val="en-GB"/>
        </w:rPr>
        <w:t>. Therefore</w:t>
      </w:r>
      <w:r w:rsidRPr="00123CAE">
        <w:rPr>
          <w:rFonts w:cs="Arial"/>
          <w:bCs/>
          <w:szCs w:val="22"/>
          <w:lang w:val="en-GB"/>
        </w:rPr>
        <w:t xml:space="preserve">, the island’s </w:t>
      </w:r>
      <w:r w:rsidR="000A1BEF" w:rsidRPr="00123CAE">
        <w:rPr>
          <w:rFonts w:cs="Arial"/>
          <w:bCs/>
          <w:szCs w:val="22"/>
          <w:lang w:val="en-GB"/>
        </w:rPr>
        <w:t xml:space="preserve">civil society </w:t>
      </w:r>
      <w:r w:rsidR="00DC01CF" w:rsidRPr="00123CAE">
        <w:rPr>
          <w:rFonts w:cs="Arial"/>
          <w:bCs/>
          <w:szCs w:val="22"/>
          <w:lang w:val="en-GB"/>
        </w:rPr>
        <w:t xml:space="preserve">makes up the community concerned with the </w:t>
      </w:r>
      <w:r w:rsidR="00AC6717" w:rsidRPr="00123CAE">
        <w:rPr>
          <w:rFonts w:cs="Arial"/>
          <w:bCs/>
          <w:szCs w:val="22"/>
          <w:lang w:val="en-GB"/>
        </w:rPr>
        <w:t>practise</w:t>
      </w:r>
      <w:r w:rsidR="00DC01CF" w:rsidRPr="00123CAE">
        <w:rPr>
          <w:rFonts w:cs="Arial"/>
          <w:bCs/>
          <w:szCs w:val="22"/>
          <w:lang w:val="en-GB"/>
        </w:rPr>
        <w:t>, as well as t</w:t>
      </w:r>
      <w:r w:rsidRPr="00123CAE">
        <w:rPr>
          <w:rFonts w:cs="Arial"/>
          <w:bCs/>
          <w:szCs w:val="22"/>
          <w:lang w:val="en-GB"/>
        </w:rPr>
        <w:t xml:space="preserve">he Corsican </w:t>
      </w:r>
      <w:r w:rsidR="004C2378">
        <w:rPr>
          <w:rFonts w:cs="Arial"/>
          <w:bCs/>
          <w:szCs w:val="22"/>
          <w:lang w:val="en-GB"/>
        </w:rPr>
        <w:t>communities</w:t>
      </w:r>
      <w:r w:rsidRPr="00123CAE">
        <w:rPr>
          <w:rFonts w:cs="Arial"/>
          <w:bCs/>
          <w:szCs w:val="22"/>
          <w:lang w:val="en-GB"/>
        </w:rPr>
        <w:t xml:space="preserve"> in mainland France and abroad. The element plays a central role in identity</w:t>
      </w:r>
      <w:r w:rsidR="00297690" w:rsidRPr="00123CAE">
        <w:rPr>
          <w:rFonts w:cs="Arial"/>
          <w:bCs/>
          <w:szCs w:val="22"/>
          <w:lang w:val="en-GB"/>
        </w:rPr>
        <w:noBreakHyphen/>
      </w:r>
      <w:r w:rsidRPr="00123CAE">
        <w:rPr>
          <w:rFonts w:cs="Arial"/>
          <w:bCs/>
          <w:szCs w:val="22"/>
          <w:lang w:val="en-GB"/>
        </w:rPr>
        <w:t>formation and self-identification for the above communities and plays a fundamental role in transmission of the region’s linguistic, poetic and literary heritage.</w:t>
      </w:r>
    </w:p>
    <w:p w14:paraId="12A43FA2" w14:textId="6EFCCD5E" w:rsidR="00540DCD" w:rsidRPr="00123CAE" w:rsidRDefault="00540DCD" w:rsidP="00540DCD">
      <w:pPr>
        <w:pStyle w:val="Marge"/>
        <w:numPr>
          <w:ilvl w:val="0"/>
          <w:numId w:val="9"/>
        </w:numPr>
        <w:tabs>
          <w:tab w:val="clear" w:pos="567"/>
        </w:tabs>
        <w:autoSpaceDE w:val="0"/>
        <w:autoSpaceDN w:val="0"/>
        <w:adjustRightInd w:val="0"/>
        <w:spacing w:after="120"/>
        <w:ind w:left="567" w:hanging="567"/>
        <w:rPr>
          <w:bCs/>
          <w:lang w:val="en-GB"/>
        </w:rPr>
      </w:pPr>
      <w:r w:rsidRPr="00123CAE">
        <w:rPr>
          <w:b/>
          <w:bCs/>
          <w:lang w:val="en-GB"/>
        </w:rPr>
        <w:t>Effectiveness of the safeguarding plan</w:t>
      </w:r>
      <w:r w:rsidRPr="00123CAE">
        <w:rPr>
          <w:bCs/>
          <w:lang w:val="en-GB"/>
        </w:rPr>
        <w:t>. The main objective of the safeguarding plan has been to significantly increase the number of trained individuals who can eventually become paghjellaghi (performers of the Cantu). Two main safeguarding activities are identified in the report, namely the c</w:t>
      </w:r>
      <w:r w:rsidRPr="00123CAE">
        <w:rPr>
          <w:bCs/>
          <w:iCs/>
          <w:lang w:val="en-GB"/>
        </w:rPr>
        <w:t>ollection of systematic recordings of Cantu performances</w:t>
      </w:r>
      <w:r w:rsidRPr="00123CAE">
        <w:rPr>
          <w:bCs/>
          <w:lang w:val="en-GB"/>
        </w:rPr>
        <w:t xml:space="preserve"> and t</w:t>
      </w:r>
      <w:r w:rsidRPr="00123CAE">
        <w:rPr>
          <w:bCs/>
          <w:iCs/>
          <w:lang w:val="en-GB"/>
        </w:rPr>
        <w:t>ransmission activities</w:t>
      </w:r>
      <w:r w:rsidRPr="00123CAE">
        <w:rPr>
          <w:bCs/>
          <w:lang w:val="en-GB"/>
        </w:rPr>
        <w:t xml:space="preserve"> aimed </w:t>
      </w:r>
      <w:r w:rsidR="00400A9F" w:rsidRPr="00123CAE">
        <w:rPr>
          <w:bCs/>
          <w:lang w:val="en-GB"/>
        </w:rPr>
        <w:t>at</w:t>
      </w:r>
      <w:r w:rsidRPr="00123CAE">
        <w:rPr>
          <w:bCs/>
          <w:lang w:val="en-GB"/>
        </w:rPr>
        <w:t xml:space="preserve"> adults and children. </w:t>
      </w:r>
      <w:r w:rsidRPr="00123CAE">
        <w:rPr>
          <w:rFonts w:eastAsiaTheme="minorHAnsi" w:cs="Arial"/>
          <w:szCs w:val="22"/>
          <w:lang w:val="en-GB"/>
        </w:rPr>
        <w:t xml:space="preserve">Since 2015 (and for 2016), an annual budget of </w:t>
      </w:r>
      <w:r w:rsidR="0046078B">
        <w:rPr>
          <w:rFonts w:eastAsiaTheme="minorHAnsi" w:cs="Arial"/>
          <w:szCs w:val="22"/>
          <w:lang w:val="en-GB"/>
        </w:rPr>
        <w:t>EUR</w:t>
      </w:r>
      <w:r w:rsidRPr="00123CAE">
        <w:rPr>
          <w:rFonts w:eastAsiaTheme="minorHAnsi" w:cs="Arial"/>
          <w:szCs w:val="22"/>
          <w:lang w:val="en-GB"/>
        </w:rPr>
        <w:t xml:space="preserve">45,000 has been </w:t>
      </w:r>
      <w:r w:rsidR="00424741" w:rsidRPr="00123CAE">
        <w:rPr>
          <w:rFonts w:eastAsiaTheme="minorHAnsi" w:cs="Arial"/>
          <w:szCs w:val="22"/>
          <w:lang w:val="en-GB"/>
        </w:rPr>
        <w:t>earmarked</w:t>
      </w:r>
      <w:r w:rsidRPr="00123CAE">
        <w:rPr>
          <w:rFonts w:eastAsiaTheme="minorHAnsi" w:cs="Arial"/>
          <w:szCs w:val="22"/>
          <w:lang w:val="en-GB"/>
        </w:rPr>
        <w:t xml:space="preserve"> by the Ministry of Culture for safeguarding activities for this element, including its recording and transmission.</w:t>
      </w:r>
    </w:p>
    <w:p w14:paraId="4229E5F2" w14:textId="525F9A68" w:rsidR="00540DCD" w:rsidRPr="00123CAE" w:rsidRDefault="00540DCD" w:rsidP="00540DCD">
      <w:pPr>
        <w:pStyle w:val="Marge"/>
        <w:numPr>
          <w:ilvl w:val="0"/>
          <w:numId w:val="9"/>
        </w:numPr>
        <w:tabs>
          <w:tab w:val="clear" w:pos="567"/>
        </w:tabs>
        <w:autoSpaceDE w:val="0"/>
        <w:autoSpaceDN w:val="0"/>
        <w:adjustRightInd w:val="0"/>
        <w:spacing w:after="120"/>
        <w:ind w:left="567" w:hanging="567"/>
        <w:rPr>
          <w:bCs/>
          <w:lang w:val="en-GB"/>
        </w:rPr>
      </w:pPr>
      <w:r w:rsidRPr="00123CAE">
        <w:rPr>
          <w:bCs/>
          <w:lang w:val="en-GB"/>
        </w:rPr>
        <w:t xml:space="preserve">The safeguarding plan had only been in place for </w:t>
      </w:r>
      <w:r w:rsidR="00400A9F" w:rsidRPr="00123CAE">
        <w:rPr>
          <w:bCs/>
          <w:lang w:val="en-GB"/>
        </w:rPr>
        <w:t xml:space="preserve">a </w:t>
      </w:r>
      <w:r w:rsidRPr="00123CAE">
        <w:rPr>
          <w:bCs/>
          <w:lang w:val="en-GB"/>
        </w:rPr>
        <w:t xml:space="preserve">year prior to drafting the report and so it is </w:t>
      </w:r>
      <w:r w:rsidR="00B56767" w:rsidRPr="00123CAE">
        <w:rPr>
          <w:bCs/>
          <w:lang w:val="en-GB"/>
        </w:rPr>
        <w:t xml:space="preserve">too </w:t>
      </w:r>
      <w:r w:rsidRPr="00123CAE">
        <w:rPr>
          <w:bCs/>
          <w:lang w:val="en-GB"/>
        </w:rPr>
        <w:t xml:space="preserve">soon to </w:t>
      </w:r>
      <w:r w:rsidRPr="00123CAE">
        <w:rPr>
          <w:rFonts w:eastAsiaTheme="minorHAnsi" w:cs="Arial"/>
          <w:szCs w:val="22"/>
          <w:lang w:val="en-GB"/>
        </w:rPr>
        <w:t xml:space="preserve">be able to </w:t>
      </w:r>
      <w:r w:rsidR="00400A9F" w:rsidRPr="00123CAE">
        <w:rPr>
          <w:rFonts w:eastAsiaTheme="minorHAnsi" w:cs="Arial"/>
          <w:szCs w:val="22"/>
          <w:lang w:val="en-GB"/>
        </w:rPr>
        <w:t xml:space="preserve">fully </w:t>
      </w:r>
      <w:r w:rsidRPr="00123CAE">
        <w:rPr>
          <w:rFonts w:eastAsiaTheme="minorHAnsi" w:cs="Arial"/>
          <w:szCs w:val="22"/>
          <w:lang w:val="en-GB"/>
        </w:rPr>
        <w:t xml:space="preserve">assess its </w:t>
      </w:r>
      <w:r w:rsidR="00B2399B">
        <w:rPr>
          <w:rFonts w:eastAsiaTheme="minorHAnsi" w:cs="Arial"/>
          <w:szCs w:val="22"/>
          <w:lang w:val="en-GB"/>
        </w:rPr>
        <w:t>impact</w:t>
      </w:r>
      <w:r w:rsidRPr="00123CAE">
        <w:rPr>
          <w:rFonts w:eastAsiaTheme="minorHAnsi" w:cs="Arial"/>
          <w:szCs w:val="22"/>
          <w:lang w:val="en-GB"/>
        </w:rPr>
        <w:t xml:space="preserve">. However, an initial assessment of the current state of these measures and their </w:t>
      </w:r>
      <w:r w:rsidR="00B2399B">
        <w:rPr>
          <w:rFonts w:eastAsiaTheme="minorHAnsi" w:cs="Arial"/>
          <w:szCs w:val="22"/>
          <w:lang w:val="en-GB"/>
        </w:rPr>
        <w:t>potential effectiveness</w:t>
      </w:r>
      <w:r w:rsidR="00B2399B" w:rsidRPr="00123CAE">
        <w:rPr>
          <w:rFonts w:eastAsiaTheme="minorHAnsi" w:cs="Arial"/>
          <w:szCs w:val="22"/>
          <w:lang w:val="en-GB"/>
        </w:rPr>
        <w:t xml:space="preserve"> </w:t>
      </w:r>
      <w:r w:rsidRPr="00123CAE">
        <w:rPr>
          <w:rFonts w:eastAsiaTheme="minorHAnsi" w:cs="Arial"/>
          <w:szCs w:val="22"/>
          <w:lang w:val="en-GB"/>
        </w:rPr>
        <w:t xml:space="preserve">can be made. </w:t>
      </w:r>
      <w:r w:rsidRPr="00123CAE">
        <w:rPr>
          <w:rFonts w:cs="Arial"/>
          <w:bCs/>
          <w:szCs w:val="22"/>
          <w:lang w:val="en-GB"/>
        </w:rPr>
        <w:t xml:space="preserve">Since 2015, </w:t>
      </w:r>
      <w:r w:rsidR="00400A9F" w:rsidRPr="00123CAE">
        <w:rPr>
          <w:rFonts w:cs="Arial"/>
          <w:bCs/>
          <w:szCs w:val="22"/>
          <w:lang w:val="en-GB"/>
        </w:rPr>
        <w:t>100</w:t>
      </w:r>
      <w:r w:rsidRPr="00123CAE">
        <w:rPr>
          <w:rFonts w:cs="Arial"/>
          <w:bCs/>
          <w:szCs w:val="22"/>
          <w:lang w:val="en-GB"/>
        </w:rPr>
        <w:t xml:space="preserve"> high school children were given apprenticeship training which, if this continues to their final year (affecting pupils from 11 to 18 years-</w:t>
      </w:r>
      <w:r w:rsidR="00400A9F" w:rsidRPr="00123CAE">
        <w:rPr>
          <w:rFonts w:cs="Arial"/>
          <w:bCs/>
          <w:szCs w:val="22"/>
          <w:lang w:val="en-GB"/>
        </w:rPr>
        <w:t>of-age</w:t>
      </w:r>
      <w:r w:rsidRPr="00123CAE">
        <w:rPr>
          <w:rFonts w:cs="Arial"/>
          <w:bCs/>
          <w:szCs w:val="22"/>
          <w:lang w:val="en-GB"/>
        </w:rPr>
        <w:t>), could double the number of practising paghjellaghi within the next</w:t>
      </w:r>
      <w:r w:rsidRPr="00123CAE">
        <w:rPr>
          <w:bCs/>
          <w:lang w:val="en-GB"/>
        </w:rPr>
        <w:t xml:space="preserve"> </w:t>
      </w:r>
      <w:r w:rsidR="00400A9F" w:rsidRPr="00123CAE">
        <w:rPr>
          <w:bCs/>
          <w:lang w:val="en-GB"/>
        </w:rPr>
        <w:t xml:space="preserve">10 </w:t>
      </w:r>
      <w:r w:rsidRPr="00123CAE">
        <w:rPr>
          <w:bCs/>
          <w:lang w:val="en-GB"/>
        </w:rPr>
        <w:t xml:space="preserve">years. </w:t>
      </w:r>
      <w:r w:rsidRPr="00123CAE">
        <w:rPr>
          <w:rFonts w:eastAsiaTheme="minorHAnsi" w:cs="Arial"/>
          <w:szCs w:val="22"/>
          <w:lang w:val="en-GB"/>
        </w:rPr>
        <w:t xml:space="preserve">Indeed, the demand from this age group is much greater than can currently be catered for with the existing budget, which is both a positive and negative point. As stated in the report, if the financing </w:t>
      </w:r>
      <w:r w:rsidR="000A1BEF" w:rsidRPr="00123CAE">
        <w:rPr>
          <w:rFonts w:eastAsiaTheme="minorHAnsi" w:cs="Arial"/>
          <w:szCs w:val="22"/>
          <w:lang w:val="en-GB"/>
        </w:rPr>
        <w:t xml:space="preserve">was </w:t>
      </w:r>
      <w:r w:rsidRPr="00123CAE">
        <w:rPr>
          <w:rFonts w:eastAsiaTheme="minorHAnsi" w:cs="Arial"/>
          <w:szCs w:val="22"/>
          <w:lang w:val="en-GB"/>
        </w:rPr>
        <w:t>available, this programme could be doubled or even tripled in capacity and, in view of the importance of inter</w:t>
      </w:r>
      <w:r w:rsidR="00297690" w:rsidRPr="00123CAE">
        <w:rPr>
          <w:rFonts w:eastAsiaTheme="minorHAnsi" w:cs="Arial"/>
          <w:szCs w:val="22"/>
          <w:lang w:val="en-GB"/>
        </w:rPr>
        <w:noBreakHyphen/>
      </w:r>
      <w:r w:rsidRPr="00123CAE">
        <w:rPr>
          <w:rFonts w:eastAsiaTheme="minorHAnsi" w:cs="Arial"/>
          <w:szCs w:val="22"/>
          <w:lang w:val="en-GB"/>
        </w:rPr>
        <w:t>generational transmission for an oral element, this might have a great impact. However, the financial means currently available for safeguarding this element are limited</w:t>
      </w:r>
      <w:r w:rsidR="000A1BEF" w:rsidRPr="00123CAE">
        <w:rPr>
          <w:rFonts w:eastAsiaTheme="minorHAnsi" w:cs="Arial"/>
          <w:szCs w:val="22"/>
          <w:lang w:val="en-GB"/>
        </w:rPr>
        <w:t>. A</w:t>
      </w:r>
      <w:r w:rsidRPr="00123CAE">
        <w:rPr>
          <w:rFonts w:eastAsiaTheme="minorHAnsi" w:cs="Arial"/>
          <w:szCs w:val="22"/>
          <w:lang w:val="en-GB"/>
        </w:rPr>
        <w:t xml:space="preserve">s a result, the transmission activities rely heavily on a number of paghjellaghi who do not wish to see the element disappear </w:t>
      </w:r>
      <w:r w:rsidR="00B2399B">
        <w:rPr>
          <w:rFonts w:eastAsiaTheme="minorHAnsi" w:cs="Arial"/>
          <w:szCs w:val="22"/>
          <w:lang w:val="en-GB"/>
        </w:rPr>
        <w:t xml:space="preserve">and often transmit their knowledge on </w:t>
      </w:r>
      <w:r w:rsidR="0030335D">
        <w:rPr>
          <w:rFonts w:eastAsiaTheme="minorHAnsi" w:cs="Arial"/>
          <w:szCs w:val="22"/>
          <w:lang w:val="en-GB"/>
        </w:rPr>
        <w:t xml:space="preserve">a </w:t>
      </w:r>
      <w:r w:rsidR="00B2399B">
        <w:rPr>
          <w:rFonts w:eastAsiaTheme="minorHAnsi" w:cs="Arial"/>
          <w:szCs w:val="22"/>
          <w:lang w:val="en-GB"/>
        </w:rPr>
        <w:t xml:space="preserve">voluntary basis </w:t>
      </w:r>
      <w:r w:rsidR="003F2F0E" w:rsidRPr="00123CAE">
        <w:rPr>
          <w:rFonts w:eastAsiaTheme="minorHAnsi" w:cs="Arial"/>
          <w:szCs w:val="22"/>
          <w:lang w:val="en-GB"/>
        </w:rPr>
        <w:t>with</w:t>
      </w:r>
      <w:r w:rsidRPr="00123CAE">
        <w:rPr>
          <w:rFonts w:eastAsiaTheme="minorHAnsi" w:cs="Arial"/>
          <w:szCs w:val="22"/>
          <w:lang w:val="en-GB"/>
        </w:rPr>
        <w:t xml:space="preserve"> results </w:t>
      </w:r>
      <w:r w:rsidR="003F2F0E" w:rsidRPr="00123CAE">
        <w:rPr>
          <w:rFonts w:eastAsiaTheme="minorHAnsi" w:cs="Arial"/>
          <w:szCs w:val="22"/>
          <w:lang w:val="en-GB"/>
        </w:rPr>
        <w:t xml:space="preserve">that </w:t>
      </w:r>
      <w:r w:rsidRPr="00123CAE">
        <w:rPr>
          <w:rFonts w:eastAsiaTheme="minorHAnsi" w:cs="Arial"/>
          <w:szCs w:val="22"/>
          <w:lang w:val="en-GB"/>
        </w:rPr>
        <w:t>have been much more promising than could have been hoped on the basis of th</w:t>
      </w:r>
      <w:r w:rsidR="00B2399B">
        <w:rPr>
          <w:rFonts w:eastAsiaTheme="minorHAnsi" w:cs="Arial"/>
          <w:szCs w:val="22"/>
          <w:lang w:val="en-GB"/>
        </w:rPr>
        <w:t>e current limited</w:t>
      </w:r>
      <w:r w:rsidRPr="00123CAE">
        <w:rPr>
          <w:rFonts w:eastAsiaTheme="minorHAnsi" w:cs="Arial"/>
          <w:szCs w:val="22"/>
          <w:lang w:val="en-GB"/>
        </w:rPr>
        <w:t xml:space="preserve"> financing.</w:t>
      </w:r>
    </w:p>
    <w:p w14:paraId="5C674250" w14:textId="65154742" w:rsidR="00540DCD" w:rsidRPr="00123CAE" w:rsidRDefault="00540DCD" w:rsidP="00540DCD">
      <w:pPr>
        <w:pStyle w:val="Marge"/>
        <w:numPr>
          <w:ilvl w:val="0"/>
          <w:numId w:val="9"/>
        </w:numPr>
        <w:tabs>
          <w:tab w:val="clear" w:pos="567"/>
        </w:tabs>
        <w:autoSpaceDE w:val="0"/>
        <w:autoSpaceDN w:val="0"/>
        <w:adjustRightInd w:val="0"/>
        <w:spacing w:after="120"/>
        <w:ind w:left="567" w:hanging="567"/>
        <w:rPr>
          <w:bCs/>
          <w:lang w:val="en-GB"/>
        </w:rPr>
      </w:pPr>
      <w:r w:rsidRPr="00123CAE">
        <w:rPr>
          <w:b/>
          <w:bCs/>
          <w:lang w:val="en-GB"/>
        </w:rPr>
        <w:t>Community participation</w:t>
      </w:r>
      <w:r w:rsidRPr="00123CAE">
        <w:rPr>
          <w:bCs/>
          <w:lang w:val="en-GB"/>
        </w:rPr>
        <w:t xml:space="preserve">. </w:t>
      </w:r>
      <w:r w:rsidRPr="00123CAE">
        <w:rPr>
          <w:rFonts w:cs="Arial"/>
          <w:szCs w:val="22"/>
          <w:lang w:val="en-GB"/>
        </w:rPr>
        <w:t>Even several years before its inscription in 2009, the ageing practitioners of this element have been aware of its vulnerability and</w:t>
      </w:r>
      <w:r w:rsidR="003F2F0E" w:rsidRPr="00123CAE">
        <w:rPr>
          <w:rFonts w:cs="Arial"/>
          <w:szCs w:val="22"/>
          <w:lang w:val="en-GB"/>
        </w:rPr>
        <w:t>,</w:t>
      </w:r>
      <w:r w:rsidRPr="00123CAE">
        <w:rPr>
          <w:rFonts w:cs="Arial"/>
          <w:szCs w:val="22"/>
          <w:lang w:val="en-GB"/>
        </w:rPr>
        <w:t xml:space="preserve"> therefore</w:t>
      </w:r>
      <w:r w:rsidR="003F2F0E" w:rsidRPr="00123CAE">
        <w:rPr>
          <w:rFonts w:cs="Arial"/>
          <w:szCs w:val="22"/>
          <w:lang w:val="en-GB"/>
        </w:rPr>
        <w:t>,</w:t>
      </w:r>
      <w:r w:rsidRPr="00123CAE">
        <w:rPr>
          <w:rFonts w:cs="Arial"/>
          <w:szCs w:val="22"/>
          <w:lang w:val="en-GB"/>
        </w:rPr>
        <w:t xml:space="preserve"> very willing to participate in safeguarding efforts, particular</w:t>
      </w:r>
      <w:r w:rsidR="003F2F0E" w:rsidRPr="00123CAE">
        <w:rPr>
          <w:rFonts w:cs="Arial"/>
          <w:szCs w:val="22"/>
          <w:lang w:val="en-GB"/>
        </w:rPr>
        <w:t>ly</w:t>
      </w:r>
      <w:r w:rsidRPr="00123CAE">
        <w:rPr>
          <w:rFonts w:cs="Arial"/>
          <w:szCs w:val="22"/>
          <w:lang w:val="en-GB"/>
        </w:rPr>
        <w:t xml:space="preserve"> in inter-generational transmission activities. The report also </w:t>
      </w:r>
      <w:r w:rsidR="00C24E82" w:rsidRPr="00123CAE">
        <w:rPr>
          <w:rFonts w:cs="Arial"/>
          <w:szCs w:val="22"/>
          <w:lang w:val="en-GB"/>
        </w:rPr>
        <w:t xml:space="preserve">mentions </w:t>
      </w:r>
      <w:r w:rsidRPr="00123CAE">
        <w:rPr>
          <w:rFonts w:cs="Arial"/>
          <w:szCs w:val="22"/>
          <w:lang w:val="en-GB"/>
        </w:rPr>
        <w:t xml:space="preserve">that the adults and children who receive the training and are willing to be trained are themselves part of the community that is participating in </w:t>
      </w:r>
      <w:r w:rsidR="003F2F0E" w:rsidRPr="00123CAE">
        <w:rPr>
          <w:rFonts w:cs="Arial"/>
          <w:szCs w:val="22"/>
          <w:lang w:val="en-GB"/>
        </w:rPr>
        <w:t>the</w:t>
      </w:r>
      <w:r w:rsidRPr="00123CAE">
        <w:rPr>
          <w:rFonts w:cs="Arial"/>
          <w:szCs w:val="22"/>
          <w:lang w:val="en-GB"/>
        </w:rPr>
        <w:t xml:space="preserve"> safeguarding. </w:t>
      </w:r>
      <w:r w:rsidRPr="00123CAE">
        <w:rPr>
          <w:rFonts w:cs="Arial"/>
          <w:bCs/>
          <w:szCs w:val="22"/>
          <w:lang w:val="en-GB"/>
        </w:rPr>
        <w:t xml:space="preserve">There are currently two groups of three practitioners who offer training workshops and </w:t>
      </w:r>
      <w:r w:rsidRPr="00123CAE">
        <w:rPr>
          <w:bCs/>
          <w:lang w:val="en-GB"/>
        </w:rPr>
        <w:t xml:space="preserve">have accepted to put their professional activities on hold in order to </w:t>
      </w:r>
      <w:r w:rsidR="00B2399B">
        <w:rPr>
          <w:bCs/>
          <w:lang w:val="en-GB"/>
        </w:rPr>
        <w:t>provide</w:t>
      </w:r>
      <w:r w:rsidR="00B2399B" w:rsidRPr="00123CAE">
        <w:rPr>
          <w:bCs/>
          <w:lang w:val="en-GB"/>
        </w:rPr>
        <w:t xml:space="preserve"> </w:t>
      </w:r>
      <w:r w:rsidRPr="00123CAE">
        <w:rPr>
          <w:bCs/>
          <w:lang w:val="en-GB"/>
        </w:rPr>
        <w:t>them</w:t>
      </w:r>
      <w:r w:rsidR="00C24E82" w:rsidRPr="00123CAE">
        <w:rPr>
          <w:bCs/>
          <w:lang w:val="en-GB"/>
        </w:rPr>
        <w:t>.</w:t>
      </w:r>
      <w:r w:rsidRPr="00123CAE">
        <w:rPr>
          <w:bCs/>
          <w:lang w:val="en-GB"/>
        </w:rPr>
        <w:t xml:space="preserve"> </w:t>
      </w:r>
      <w:r w:rsidR="00C24E82" w:rsidRPr="00123CAE">
        <w:rPr>
          <w:bCs/>
          <w:lang w:val="en-GB"/>
        </w:rPr>
        <w:t>T</w:t>
      </w:r>
      <w:r w:rsidRPr="00123CAE">
        <w:rPr>
          <w:bCs/>
          <w:lang w:val="en-GB"/>
        </w:rPr>
        <w:t>he limited budget allows compensating them for their time</w:t>
      </w:r>
      <w:r w:rsidR="003F2F0E" w:rsidRPr="00123CAE">
        <w:rPr>
          <w:bCs/>
          <w:lang w:val="en-GB"/>
        </w:rPr>
        <w:t xml:space="preserve"> and effort</w:t>
      </w:r>
      <w:r w:rsidRPr="00123CAE">
        <w:rPr>
          <w:bCs/>
          <w:lang w:val="en-GB"/>
        </w:rPr>
        <w:t xml:space="preserve">. </w:t>
      </w:r>
      <w:r w:rsidRPr="00123CAE">
        <w:rPr>
          <w:rFonts w:cs="Arial"/>
          <w:bCs/>
          <w:szCs w:val="22"/>
          <w:lang w:val="en-GB"/>
        </w:rPr>
        <w:t xml:space="preserve">The Cantu in </w:t>
      </w:r>
      <w:r w:rsidR="00C24E82" w:rsidRPr="00123CAE">
        <w:rPr>
          <w:rFonts w:eastAsiaTheme="minorHAnsi" w:cs="Arial"/>
          <w:szCs w:val="22"/>
          <w:lang w:val="en-GB"/>
        </w:rPr>
        <w:t>p</w:t>
      </w:r>
      <w:r w:rsidRPr="00123CAE">
        <w:rPr>
          <w:rFonts w:eastAsiaTheme="minorHAnsi" w:cs="Arial"/>
          <w:szCs w:val="22"/>
          <w:lang w:val="en-GB"/>
        </w:rPr>
        <w:t xml:space="preserve">aghjella </w:t>
      </w:r>
      <w:r w:rsidR="00C24E82" w:rsidRPr="00123CAE">
        <w:rPr>
          <w:rFonts w:eastAsiaTheme="minorHAnsi" w:cs="Arial"/>
          <w:szCs w:val="22"/>
          <w:lang w:val="en-GB"/>
        </w:rPr>
        <w:t>A</w:t>
      </w:r>
      <w:r w:rsidRPr="00123CAE">
        <w:rPr>
          <w:rFonts w:eastAsiaTheme="minorHAnsi" w:cs="Arial"/>
          <w:szCs w:val="22"/>
          <w:lang w:val="en-GB"/>
        </w:rPr>
        <w:t xml:space="preserve">ssociation is the leading community </w:t>
      </w:r>
      <w:r w:rsidR="00A25506" w:rsidRPr="00123CAE">
        <w:rPr>
          <w:rFonts w:eastAsiaTheme="minorHAnsi" w:cs="Arial"/>
          <w:szCs w:val="22"/>
          <w:lang w:val="en-GB"/>
        </w:rPr>
        <w:t>association, which</w:t>
      </w:r>
      <w:r w:rsidRPr="00123CAE">
        <w:rPr>
          <w:rFonts w:eastAsiaTheme="minorHAnsi" w:cs="Arial"/>
          <w:szCs w:val="22"/>
          <w:lang w:val="en-GB"/>
        </w:rPr>
        <w:t xml:space="preserve"> brings together practitioners. In addition, Corsican society </w:t>
      </w:r>
      <w:r w:rsidR="003F2F0E" w:rsidRPr="00123CAE">
        <w:rPr>
          <w:rFonts w:eastAsiaTheme="minorHAnsi" w:cs="Arial"/>
          <w:szCs w:val="22"/>
          <w:lang w:val="en-GB"/>
        </w:rPr>
        <w:t xml:space="preserve">as a whole </w:t>
      </w:r>
      <w:r w:rsidRPr="00123CAE">
        <w:rPr>
          <w:rFonts w:eastAsiaTheme="minorHAnsi" w:cs="Arial"/>
          <w:szCs w:val="22"/>
          <w:lang w:val="en-GB"/>
        </w:rPr>
        <w:t xml:space="preserve">can be regarded as an important actor since </w:t>
      </w:r>
      <w:r w:rsidR="003F2F0E" w:rsidRPr="00123CAE">
        <w:rPr>
          <w:rFonts w:eastAsiaTheme="minorHAnsi" w:cs="Arial"/>
          <w:szCs w:val="22"/>
          <w:lang w:val="en-GB"/>
        </w:rPr>
        <w:t>i</w:t>
      </w:r>
      <w:r w:rsidRPr="00123CAE">
        <w:rPr>
          <w:rFonts w:eastAsiaTheme="minorHAnsi" w:cs="Arial"/>
          <w:szCs w:val="22"/>
          <w:lang w:val="en-GB"/>
        </w:rPr>
        <w:t>t take</w:t>
      </w:r>
      <w:r w:rsidR="003F2F0E" w:rsidRPr="00123CAE">
        <w:rPr>
          <w:rFonts w:eastAsiaTheme="minorHAnsi" w:cs="Arial"/>
          <w:szCs w:val="22"/>
          <w:lang w:val="en-GB"/>
        </w:rPr>
        <w:t>s</w:t>
      </w:r>
      <w:r w:rsidRPr="00123CAE">
        <w:rPr>
          <w:rFonts w:eastAsiaTheme="minorHAnsi" w:cs="Arial"/>
          <w:szCs w:val="22"/>
          <w:lang w:val="en-GB"/>
        </w:rPr>
        <w:t xml:space="preserve"> part in the events in which Cantu is performed.</w:t>
      </w:r>
    </w:p>
    <w:p w14:paraId="0067E942" w14:textId="4FA10F93" w:rsidR="00540DCD" w:rsidRPr="00123CAE" w:rsidRDefault="00540DCD" w:rsidP="00540DCD">
      <w:pPr>
        <w:pStyle w:val="Marge"/>
        <w:numPr>
          <w:ilvl w:val="0"/>
          <w:numId w:val="9"/>
        </w:numPr>
        <w:tabs>
          <w:tab w:val="clear" w:pos="567"/>
        </w:tabs>
        <w:autoSpaceDE w:val="0"/>
        <w:autoSpaceDN w:val="0"/>
        <w:adjustRightInd w:val="0"/>
        <w:spacing w:after="120"/>
        <w:ind w:left="567" w:hanging="567"/>
        <w:rPr>
          <w:bCs/>
          <w:lang w:val="en-GB"/>
        </w:rPr>
      </w:pPr>
      <w:r w:rsidRPr="00123CAE">
        <w:rPr>
          <w:b/>
          <w:bCs/>
          <w:lang w:val="en-GB"/>
        </w:rPr>
        <w:t>Viability and current risks</w:t>
      </w:r>
      <w:r w:rsidRPr="00123CAE">
        <w:rPr>
          <w:bCs/>
          <w:lang w:val="en-GB"/>
        </w:rPr>
        <w:t>.</w:t>
      </w:r>
      <w:r w:rsidRPr="00123CAE">
        <w:rPr>
          <w:lang w:val="en-GB"/>
        </w:rPr>
        <w:t xml:space="preserve"> </w:t>
      </w:r>
      <w:r w:rsidRPr="00123CAE">
        <w:rPr>
          <w:bCs/>
          <w:lang w:val="en-GB"/>
        </w:rPr>
        <w:t>Despite the genuine efforts of practitioners of Cantu to revitali</w:t>
      </w:r>
      <w:r w:rsidR="003E4E4E" w:rsidRPr="00123CAE">
        <w:rPr>
          <w:bCs/>
          <w:lang w:val="en-GB"/>
        </w:rPr>
        <w:t>z</w:t>
      </w:r>
      <w:r w:rsidRPr="00123CAE">
        <w:rPr>
          <w:bCs/>
          <w:lang w:val="en-GB"/>
        </w:rPr>
        <w:t xml:space="preserve">e its oral mode of transmission and reactivate its repertoire, the </w:t>
      </w:r>
      <w:r w:rsidR="00B2399B">
        <w:rPr>
          <w:bCs/>
          <w:lang w:val="en-GB"/>
        </w:rPr>
        <w:t xml:space="preserve">report claims that the </w:t>
      </w:r>
      <w:r w:rsidRPr="00123CAE">
        <w:rPr>
          <w:bCs/>
          <w:lang w:val="en-GB"/>
        </w:rPr>
        <w:t xml:space="preserve">element has reached its lowest level of </w:t>
      </w:r>
      <w:r w:rsidR="00B2399B">
        <w:rPr>
          <w:bCs/>
          <w:lang w:val="en-GB"/>
        </w:rPr>
        <w:t>viability</w:t>
      </w:r>
      <w:r w:rsidR="00DA5599" w:rsidRPr="00123CAE">
        <w:rPr>
          <w:bCs/>
          <w:lang w:val="en-GB"/>
        </w:rPr>
        <w:t>.</w:t>
      </w:r>
      <w:r w:rsidRPr="00123CAE">
        <w:rPr>
          <w:bCs/>
          <w:lang w:val="en-GB"/>
        </w:rPr>
        <w:t xml:space="preserve"> </w:t>
      </w:r>
      <w:r w:rsidR="004556F8" w:rsidRPr="00123CAE">
        <w:rPr>
          <w:bCs/>
          <w:lang w:val="en-GB"/>
        </w:rPr>
        <w:t>I</w:t>
      </w:r>
      <w:r w:rsidR="00FA75EF" w:rsidRPr="00123CAE">
        <w:rPr>
          <w:bCs/>
          <w:lang w:val="en-GB"/>
        </w:rPr>
        <w:t xml:space="preserve">n the space of two generations, </w:t>
      </w:r>
      <w:r w:rsidR="004556F8" w:rsidRPr="00123CAE">
        <w:rPr>
          <w:bCs/>
          <w:lang w:val="en-GB"/>
        </w:rPr>
        <w:t xml:space="preserve">the number of Cantu practitioners has diminished by two-thirds (now only 30) with the </w:t>
      </w:r>
      <w:r w:rsidRPr="00123CAE">
        <w:rPr>
          <w:bCs/>
          <w:lang w:val="en-GB"/>
        </w:rPr>
        <w:t>age</w:t>
      </w:r>
      <w:r w:rsidR="004556F8" w:rsidRPr="00123CAE">
        <w:rPr>
          <w:bCs/>
          <w:lang w:val="en-GB"/>
        </w:rPr>
        <w:t xml:space="preserve"> of practitioners</w:t>
      </w:r>
      <w:r w:rsidRPr="00123CAE">
        <w:rPr>
          <w:bCs/>
          <w:lang w:val="en-GB"/>
        </w:rPr>
        <w:t xml:space="preserve"> </w:t>
      </w:r>
      <w:r w:rsidR="003167F7" w:rsidRPr="00123CAE">
        <w:rPr>
          <w:bCs/>
          <w:lang w:val="en-GB"/>
        </w:rPr>
        <w:t>start</w:t>
      </w:r>
      <w:r w:rsidR="004556F8" w:rsidRPr="00123CAE">
        <w:rPr>
          <w:bCs/>
          <w:lang w:val="en-GB"/>
        </w:rPr>
        <w:t>ing</w:t>
      </w:r>
      <w:r w:rsidRPr="00123CAE">
        <w:rPr>
          <w:bCs/>
          <w:lang w:val="en-GB"/>
        </w:rPr>
        <w:t xml:space="preserve"> from 45 </w:t>
      </w:r>
      <w:r w:rsidR="00FA75EF" w:rsidRPr="00123CAE">
        <w:rPr>
          <w:bCs/>
          <w:lang w:val="en-GB"/>
        </w:rPr>
        <w:t>onwards</w:t>
      </w:r>
      <w:r w:rsidRPr="00123CAE">
        <w:rPr>
          <w:bCs/>
          <w:lang w:val="en-GB"/>
        </w:rPr>
        <w:t xml:space="preserve">. </w:t>
      </w:r>
      <w:r w:rsidR="004556F8" w:rsidRPr="00123CAE">
        <w:rPr>
          <w:bCs/>
          <w:lang w:val="en-GB"/>
        </w:rPr>
        <w:t>F</w:t>
      </w:r>
      <w:r w:rsidR="00382B5B" w:rsidRPr="00123CAE">
        <w:rPr>
          <w:bCs/>
          <w:lang w:val="en-GB"/>
        </w:rPr>
        <w:t xml:space="preserve">ewer </w:t>
      </w:r>
      <w:r w:rsidR="004556F8" w:rsidRPr="00123CAE">
        <w:rPr>
          <w:bCs/>
          <w:lang w:val="en-GB"/>
        </w:rPr>
        <w:t xml:space="preserve">practitioners has meant fewer </w:t>
      </w:r>
      <w:r w:rsidR="00382B5B" w:rsidRPr="00123CAE">
        <w:rPr>
          <w:bCs/>
          <w:lang w:val="en-GB"/>
        </w:rPr>
        <w:t>performances</w:t>
      </w:r>
      <w:r w:rsidR="004556F8" w:rsidRPr="00123CAE">
        <w:rPr>
          <w:bCs/>
          <w:lang w:val="en-GB"/>
        </w:rPr>
        <w:t xml:space="preserve"> and</w:t>
      </w:r>
      <w:r w:rsidR="00382B5B" w:rsidRPr="00123CAE">
        <w:rPr>
          <w:bCs/>
          <w:lang w:val="en-GB"/>
        </w:rPr>
        <w:t xml:space="preserve"> less public (potential </w:t>
      </w:r>
      <w:r w:rsidR="00382B5B" w:rsidRPr="00123CAE">
        <w:rPr>
          <w:rFonts w:cs="Arial"/>
          <w:bCs/>
          <w:szCs w:val="22"/>
          <w:lang w:val="en-GB"/>
        </w:rPr>
        <w:t>practitioners</w:t>
      </w:r>
      <w:r w:rsidR="00382B5B" w:rsidRPr="00123CAE">
        <w:rPr>
          <w:bCs/>
          <w:lang w:val="en-GB"/>
        </w:rPr>
        <w:t xml:space="preserve">) exposure to the element. </w:t>
      </w:r>
      <w:r w:rsidR="004556F8" w:rsidRPr="00123CAE">
        <w:rPr>
          <w:bCs/>
          <w:lang w:val="en-GB"/>
        </w:rPr>
        <w:t>T</w:t>
      </w:r>
      <w:r w:rsidR="003167F7" w:rsidRPr="00123CAE">
        <w:rPr>
          <w:bCs/>
          <w:lang w:val="en-GB"/>
        </w:rPr>
        <w:t>he secular chants (versi)</w:t>
      </w:r>
      <w:r w:rsidR="0038723B">
        <w:rPr>
          <w:bCs/>
          <w:lang w:val="en-GB"/>
        </w:rPr>
        <w:t xml:space="preserve"> of </w:t>
      </w:r>
      <w:r w:rsidR="003167F7" w:rsidRPr="00123CAE">
        <w:rPr>
          <w:bCs/>
          <w:lang w:val="en-GB"/>
        </w:rPr>
        <w:t>only two out of four local towns</w:t>
      </w:r>
      <w:r w:rsidR="0038723B">
        <w:rPr>
          <w:bCs/>
          <w:lang w:val="en-GB"/>
        </w:rPr>
        <w:t xml:space="preserve"> </w:t>
      </w:r>
      <w:r w:rsidR="0038723B" w:rsidRPr="00123CAE">
        <w:rPr>
          <w:bCs/>
          <w:lang w:val="en-GB"/>
        </w:rPr>
        <w:t>are now regularly performed</w:t>
      </w:r>
      <w:r w:rsidR="003167F7" w:rsidRPr="00123CAE">
        <w:rPr>
          <w:bCs/>
          <w:lang w:val="en-GB"/>
        </w:rPr>
        <w:t xml:space="preserve">. </w:t>
      </w:r>
      <w:r w:rsidR="004556F8" w:rsidRPr="00123CAE">
        <w:rPr>
          <w:bCs/>
          <w:lang w:val="en-GB"/>
        </w:rPr>
        <w:t xml:space="preserve">The Cantu repertoire has also been impoverished. </w:t>
      </w:r>
      <w:r w:rsidR="00AC5BC8" w:rsidRPr="00123CAE">
        <w:rPr>
          <w:bCs/>
          <w:lang w:val="en-GB"/>
        </w:rPr>
        <w:t>The m</w:t>
      </w:r>
      <w:r w:rsidR="00FA75EF" w:rsidRPr="00123CAE">
        <w:rPr>
          <w:bCs/>
          <w:lang w:val="en-GB"/>
        </w:rPr>
        <w:t>ost concerning</w:t>
      </w:r>
      <w:r w:rsidR="00AC5BC8" w:rsidRPr="00123CAE">
        <w:rPr>
          <w:bCs/>
          <w:lang w:val="en-GB"/>
        </w:rPr>
        <w:t xml:space="preserve"> </w:t>
      </w:r>
      <w:r w:rsidR="00887F7C" w:rsidRPr="00123CAE">
        <w:rPr>
          <w:bCs/>
          <w:lang w:val="en-GB"/>
        </w:rPr>
        <w:t>factor</w:t>
      </w:r>
      <w:r w:rsidR="004556F8" w:rsidRPr="00123CAE">
        <w:rPr>
          <w:bCs/>
          <w:lang w:val="en-GB"/>
        </w:rPr>
        <w:t xml:space="preserve"> </w:t>
      </w:r>
      <w:r w:rsidR="00FA75EF" w:rsidRPr="00123CAE">
        <w:rPr>
          <w:bCs/>
          <w:lang w:val="en-GB"/>
        </w:rPr>
        <w:t xml:space="preserve">has been waning public </w:t>
      </w:r>
      <w:r w:rsidR="00AC5BC8" w:rsidRPr="00123CAE">
        <w:rPr>
          <w:bCs/>
          <w:lang w:val="en-GB"/>
        </w:rPr>
        <w:t>attendance</w:t>
      </w:r>
      <w:r w:rsidR="00382B5B" w:rsidRPr="00123CAE">
        <w:rPr>
          <w:bCs/>
          <w:lang w:val="en-GB"/>
        </w:rPr>
        <w:t xml:space="preserve"> </w:t>
      </w:r>
      <w:r w:rsidR="00AC5BC8" w:rsidRPr="00123CAE">
        <w:rPr>
          <w:bCs/>
          <w:lang w:val="en-GB"/>
        </w:rPr>
        <w:t>at</w:t>
      </w:r>
      <w:r w:rsidR="00FA75EF" w:rsidRPr="00123CAE">
        <w:rPr>
          <w:bCs/>
          <w:lang w:val="en-GB"/>
        </w:rPr>
        <w:t xml:space="preserve"> occasions where transmission </w:t>
      </w:r>
      <w:r w:rsidR="001F5776" w:rsidRPr="00123CAE">
        <w:rPr>
          <w:bCs/>
          <w:lang w:val="en-GB"/>
        </w:rPr>
        <w:t xml:space="preserve">of the element </w:t>
      </w:r>
      <w:r w:rsidR="00FA75EF" w:rsidRPr="00123CAE">
        <w:rPr>
          <w:bCs/>
          <w:lang w:val="en-GB"/>
        </w:rPr>
        <w:t>normally occur</w:t>
      </w:r>
      <w:r w:rsidR="00382B5B" w:rsidRPr="00123CAE">
        <w:rPr>
          <w:bCs/>
          <w:lang w:val="en-GB"/>
        </w:rPr>
        <w:t>s</w:t>
      </w:r>
      <w:r w:rsidR="00AC5BC8" w:rsidRPr="00123CAE">
        <w:rPr>
          <w:bCs/>
          <w:lang w:val="en-GB"/>
        </w:rPr>
        <w:t>, such as</w:t>
      </w:r>
      <w:r w:rsidR="00FA75EF" w:rsidRPr="00123CAE">
        <w:rPr>
          <w:bCs/>
          <w:lang w:val="en-GB"/>
        </w:rPr>
        <w:t xml:space="preserve"> Sunday service. </w:t>
      </w:r>
      <w:r w:rsidR="003167F7" w:rsidRPr="00123CAE">
        <w:rPr>
          <w:bCs/>
          <w:lang w:val="en-GB"/>
        </w:rPr>
        <w:t>Lastly</w:t>
      </w:r>
      <w:r w:rsidRPr="00123CAE">
        <w:rPr>
          <w:bCs/>
          <w:lang w:val="en-GB"/>
        </w:rPr>
        <w:t xml:space="preserve">, </w:t>
      </w:r>
      <w:r w:rsidR="00AC445F">
        <w:rPr>
          <w:lang w:val="en"/>
        </w:rPr>
        <w:t xml:space="preserve">media </w:t>
      </w:r>
      <w:r w:rsidR="00AC445F">
        <w:rPr>
          <w:lang w:val="en"/>
        </w:rPr>
        <w:lastRenderedPageBreak/>
        <w:t xml:space="preserve">coverage of the generic Corsican music has overshadowed </w:t>
      </w:r>
      <w:r w:rsidR="00AC445F">
        <w:rPr>
          <w:rStyle w:val="alt-edited"/>
          <w:lang w:val="en"/>
        </w:rPr>
        <w:t xml:space="preserve">the threats faced by </w:t>
      </w:r>
      <w:r w:rsidR="00AC445F">
        <w:rPr>
          <w:lang w:val="en"/>
        </w:rPr>
        <w:t xml:space="preserve">the Cantu in paghjella. </w:t>
      </w:r>
      <w:r w:rsidR="00AC445F">
        <w:rPr>
          <w:rStyle w:val="alt-edited"/>
          <w:lang w:val="en"/>
        </w:rPr>
        <w:t>The popularity of</w:t>
      </w:r>
      <w:r w:rsidR="00AC445F">
        <w:rPr>
          <w:lang w:val="en"/>
        </w:rPr>
        <w:t xml:space="preserve"> the so-called ‘Corsican polyphonic songs’ as well as the proliferation of groups claiming t</w:t>
      </w:r>
      <w:r w:rsidR="00D737DF">
        <w:rPr>
          <w:lang w:val="en"/>
        </w:rPr>
        <w:t>o</w:t>
      </w:r>
      <w:r w:rsidR="00AC445F">
        <w:rPr>
          <w:lang w:val="en"/>
        </w:rPr>
        <w:t xml:space="preserve"> </w:t>
      </w:r>
      <w:r w:rsidR="00D737DF">
        <w:rPr>
          <w:lang w:val="en"/>
        </w:rPr>
        <w:t xml:space="preserve">sing </w:t>
      </w:r>
      <w:r w:rsidR="00AC445F">
        <w:rPr>
          <w:lang w:val="en"/>
        </w:rPr>
        <w:t xml:space="preserve">traditional Corsican </w:t>
      </w:r>
      <w:r w:rsidR="00D737DF">
        <w:rPr>
          <w:lang w:val="en"/>
        </w:rPr>
        <w:t xml:space="preserve">songs </w:t>
      </w:r>
      <w:r w:rsidR="00AC445F">
        <w:rPr>
          <w:lang w:val="en"/>
        </w:rPr>
        <w:t>have increased the semantic confusion with the Cantu in paghjella, particularly among young people.</w:t>
      </w:r>
    </w:p>
    <w:p w14:paraId="2D6C358F" w14:textId="77777777" w:rsidR="002F4BD6" w:rsidRPr="0038723B" w:rsidRDefault="002F4BD6" w:rsidP="00540DCD">
      <w:pPr>
        <w:pStyle w:val="Marge"/>
        <w:numPr>
          <w:ilvl w:val="0"/>
          <w:numId w:val="9"/>
        </w:numPr>
        <w:tabs>
          <w:tab w:val="clear" w:pos="567"/>
        </w:tabs>
        <w:autoSpaceDE w:val="0"/>
        <w:autoSpaceDN w:val="0"/>
        <w:adjustRightInd w:val="0"/>
        <w:spacing w:after="120"/>
        <w:ind w:left="567" w:hanging="567"/>
        <w:rPr>
          <w:lang w:val="en-GB"/>
        </w:rPr>
      </w:pPr>
      <w:r w:rsidRPr="0038723B">
        <w:rPr>
          <w:lang w:val="en-GB"/>
        </w:rPr>
        <w:t xml:space="preserve">The Committee may </w:t>
      </w:r>
      <w:r w:rsidRPr="00123CAE">
        <w:rPr>
          <w:bCs/>
          <w:lang w:val="en-GB"/>
        </w:rPr>
        <w:t>wish</w:t>
      </w:r>
      <w:r w:rsidRPr="0038723B">
        <w:rPr>
          <w:lang w:val="en-GB"/>
        </w:rPr>
        <w:t xml:space="preserve"> to adopt the following decision:</w:t>
      </w:r>
    </w:p>
    <w:p w14:paraId="2B4F8BB7" w14:textId="77777777" w:rsidR="002F4BD6" w:rsidRPr="00123CAE" w:rsidRDefault="002F4BD6" w:rsidP="002F4BD6">
      <w:pPr>
        <w:pStyle w:val="Heading4"/>
        <w:numPr>
          <w:ilvl w:val="0"/>
          <w:numId w:val="0"/>
        </w:numPr>
        <w:spacing w:before="240"/>
        <w:ind w:left="567"/>
        <w:rPr>
          <w:rFonts w:eastAsia="SimSun"/>
        </w:rPr>
      </w:pPr>
      <w:bookmarkStart w:id="1" w:name="Dec10COM_6b1"/>
      <w:bookmarkStart w:id="2" w:name="Dec11COM_9b1"/>
      <w:bookmarkEnd w:id="1"/>
      <w:bookmarkEnd w:id="2"/>
      <w:r w:rsidRPr="00123CAE">
        <w:t xml:space="preserve">DRAFT DECISION 11.COM 9.b.1 </w:t>
      </w:r>
      <w:r w:rsidRPr="00123CAE">
        <w:rPr>
          <w:noProof/>
          <w:snapToGrid/>
          <w:lang w:val="fr-FR" w:eastAsia="fr-FR"/>
        </w:rPr>
        <w:drawing>
          <wp:inline distT="0" distB="0" distL="0" distR="0" wp14:anchorId="6AA8C9E6" wp14:editId="7A8779FD">
            <wp:extent cx="103505" cy="103505"/>
            <wp:effectExtent l="0" t="0" r="0" b="0"/>
            <wp:docPr id="2" name="Picture 2" descr="Return to top">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25AFA866" w14:textId="77777777" w:rsidR="002F4BD6" w:rsidRPr="00123CAE" w:rsidRDefault="002F4BD6" w:rsidP="002F4BD6">
      <w:pPr>
        <w:pStyle w:val="Para"/>
        <w:keepNext/>
        <w:numPr>
          <w:ilvl w:val="0"/>
          <w:numId w:val="0"/>
        </w:numPr>
        <w:tabs>
          <w:tab w:val="left" w:pos="1134"/>
        </w:tabs>
        <w:spacing w:line="240" w:lineRule="auto"/>
        <w:ind w:left="567"/>
        <w:rPr>
          <w:rFonts w:cs="Arial"/>
          <w:sz w:val="22"/>
          <w:szCs w:val="22"/>
          <w:lang w:val="en-GB"/>
        </w:rPr>
      </w:pPr>
      <w:r w:rsidRPr="00123CAE">
        <w:rPr>
          <w:rFonts w:cs="Arial"/>
          <w:sz w:val="22"/>
          <w:szCs w:val="22"/>
          <w:lang w:val="en-GB"/>
        </w:rPr>
        <w:t>The Committee,</w:t>
      </w:r>
    </w:p>
    <w:p w14:paraId="5EDC1E61" w14:textId="77777777" w:rsidR="002F4BD6" w:rsidRPr="00123CAE" w:rsidRDefault="002F4BD6" w:rsidP="002F4BD6">
      <w:pPr>
        <w:pStyle w:val="Para"/>
        <w:numPr>
          <w:ilvl w:val="0"/>
          <w:numId w:val="14"/>
        </w:numPr>
        <w:tabs>
          <w:tab w:val="left" w:pos="1134"/>
        </w:tabs>
        <w:spacing w:line="240" w:lineRule="auto"/>
        <w:ind w:left="567" w:firstLine="0"/>
        <w:rPr>
          <w:rFonts w:cs="Arial"/>
          <w:sz w:val="22"/>
          <w:szCs w:val="22"/>
          <w:lang w:val="en-GB"/>
        </w:rPr>
      </w:pPr>
      <w:r w:rsidRPr="00123CAE">
        <w:rPr>
          <w:rFonts w:cs="Arial"/>
          <w:sz w:val="22"/>
          <w:szCs w:val="22"/>
          <w:u w:val="single"/>
          <w:lang w:val="en-GB"/>
        </w:rPr>
        <w:t>Having examined</w:t>
      </w:r>
      <w:r w:rsidRPr="00123CAE">
        <w:rPr>
          <w:rFonts w:cs="Arial"/>
          <w:sz w:val="22"/>
          <w:szCs w:val="22"/>
          <w:lang w:val="en-GB"/>
        </w:rPr>
        <w:t xml:space="preserve"> document ITH/16/11.COM/9.b,</w:t>
      </w:r>
    </w:p>
    <w:p w14:paraId="3D865A76" w14:textId="2412C894" w:rsidR="002F4BD6" w:rsidRPr="00123CAE" w:rsidRDefault="002F4BD6" w:rsidP="002F4BD6">
      <w:pPr>
        <w:pStyle w:val="Para"/>
        <w:numPr>
          <w:ilvl w:val="0"/>
          <w:numId w:val="14"/>
        </w:numPr>
        <w:tabs>
          <w:tab w:val="left" w:pos="1134"/>
        </w:tabs>
        <w:spacing w:line="240" w:lineRule="auto"/>
        <w:ind w:left="567" w:firstLine="0"/>
        <w:rPr>
          <w:rFonts w:cs="Arial"/>
          <w:sz w:val="22"/>
          <w:szCs w:val="22"/>
          <w:lang w:val="en-GB"/>
        </w:rPr>
      </w:pPr>
      <w:r w:rsidRPr="00123CAE">
        <w:rPr>
          <w:rFonts w:cs="Arial"/>
          <w:sz w:val="22"/>
          <w:szCs w:val="22"/>
          <w:u w:val="single"/>
          <w:lang w:val="en-GB"/>
        </w:rPr>
        <w:t>Recalling</w:t>
      </w:r>
      <w:r w:rsidRPr="00123CAE">
        <w:rPr>
          <w:rFonts w:cs="Arial"/>
          <w:sz w:val="22"/>
          <w:szCs w:val="22"/>
          <w:lang w:val="en-GB"/>
        </w:rPr>
        <w:t xml:space="preserve"> Chapter V of the Operation</w:t>
      </w:r>
      <w:r w:rsidR="009F44A4" w:rsidRPr="00123CAE">
        <w:rPr>
          <w:rFonts w:cs="Arial"/>
          <w:sz w:val="22"/>
          <w:szCs w:val="22"/>
          <w:lang w:val="en-GB"/>
        </w:rPr>
        <w:t xml:space="preserve">al Directives and its Decision </w:t>
      </w:r>
      <w:hyperlink r:id="rId32" w:history="1">
        <w:r w:rsidR="009F44A4" w:rsidRPr="009D1622">
          <w:rPr>
            <w:rStyle w:val="Hyperlink"/>
            <w:rFonts w:cs="Arial"/>
            <w:sz w:val="22"/>
            <w:szCs w:val="22"/>
            <w:lang w:val="en-GB"/>
          </w:rPr>
          <w:t>4</w:t>
        </w:r>
        <w:r w:rsidRPr="009D1622">
          <w:rPr>
            <w:rStyle w:val="Hyperlink"/>
            <w:rFonts w:cs="Arial"/>
            <w:sz w:val="22"/>
            <w:szCs w:val="22"/>
            <w:lang w:val="en-GB"/>
          </w:rPr>
          <w:t>.COM </w:t>
        </w:r>
        <w:r w:rsidR="009F44A4" w:rsidRPr="009D1622">
          <w:rPr>
            <w:rStyle w:val="Hyperlink"/>
            <w:rFonts w:cs="Arial"/>
            <w:sz w:val="22"/>
            <w:szCs w:val="22"/>
            <w:lang w:val="en-GB"/>
          </w:rPr>
          <w:t>14</w:t>
        </w:r>
        <w:r w:rsidRPr="009D1622">
          <w:rPr>
            <w:rStyle w:val="Hyperlink"/>
            <w:rFonts w:cs="Arial"/>
            <w:sz w:val="22"/>
            <w:szCs w:val="22"/>
            <w:lang w:val="en-GB"/>
          </w:rPr>
          <w:t>.</w:t>
        </w:r>
        <w:r w:rsidR="009F44A4" w:rsidRPr="009D1622">
          <w:rPr>
            <w:rStyle w:val="Hyperlink"/>
            <w:rFonts w:cs="Arial"/>
            <w:sz w:val="22"/>
            <w:szCs w:val="22"/>
            <w:lang w:val="en-GB"/>
          </w:rPr>
          <w:t>05</w:t>
        </w:r>
      </w:hyperlink>
      <w:r w:rsidRPr="00123CAE">
        <w:rPr>
          <w:rFonts w:cs="Arial"/>
          <w:sz w:val="22"/>
          <w:szCs w:val="22"/>
          <w:lang w:val="en-GB"/>
        </w:rPr>
        <w:t>,</w:t>
      </w:r>
    </w:p>
    <w:p w14:paraId="664937EF" w14:textId="77777777" w:rsidR="00540DCD" w:rsidRPr="00123CAE" w:rsidRDefault="002F4BD6" w:rsidP="00540DCD">
      <w:pPr>
        <w:pStyle w:val="Para"/>
        <w:numPr>
          <w:ilvl w:val="0"/>
          <w:numId w:val="14"/>
        </w:numPr>
        <w:spacing w:line="240" w:lineRule="auto"/>
        <w:ind w:left="1134" w:hanging="567"/>
        <w:rPr>
          <w:sz w:val="22"/>
          <w:szCs w:val="22"/>
          <w:lang w:val="en-GB"/>
        </w:rPr>
      </w:pPr>
      <w:r w:rsidRPr="00123CAE">
        <w:rPr>
          <w:rFonts w:cs="Arial"/>
          <w:sz w:val="22"/>
          <w:szCs w:val="22"/>
          <w:u w:val="single"/>
          <w:lang w:val="en-GB"/>
        </w:rPr>
        <w:t>Expresses its thanks</w:t>
      </w:r>
      <w:r w:rsidRPr="00123CAE">
        <w:rPr>
          <w:rFonts w:cs="Arial"/>
          <w:sz w:val="22"/>
          <w:szCs w:val="22"/>
          <w:lang w:val="en-GB"/>
        </w:rPr>
        <w:t xml:space="preserve"> </w:t>
      </w:r>
      <w:r w:rsidR="00540DCD" w:rsidRPr="00123CAE">
        <w:rPr>
          <w:sz w:val="22"/>
          <w:szCs w:val="22"/>
          <w:lang w:val="en-GB"/>
        </w:rPr>
        <w:t xml:space="preserve">to France for </w:t>
      </w:r>
      <w:r w:rsidR="00540DCD" w:rsidRPr="00123CAE">
        <w:rPr>
          <w:rFonts w:cs="Arial"/>
          <w:sz w:val="22"/>
          <w:szCs w:val="22"/>
          <w:lang w:val="en-GB"/>
        </w:rPr>
        <w:t>submitting</w:t>
      </w:r>
      <w:r w:rsidR="00540DCD" w:rsidRPr="00123CAE">
        <w:rPr>
          <w:sz w:val="22"/>
          <w:szCs w:val="22"/>
          <w:lang w:val="en-GB"/>
        </w:rPr>
        <w:t xml:space="preserve"> its report on the </w:t>
      </w:r>
      <w:r w:rsidR="00540DCD" w:rsidRPr="00123CAE">
        <w:rPr>
          <w:bCs/>
          <w:sz w:val="22"/>
          <w:szCs w:val="22"/>
          <w:lang w:val="en-GB"/>
        </w:rPr>
        <w:t xml:space="preserve">status of the </w:t>
      </w:r>
      <w:r w:rsidR="00540DCD" w:rsidRPr="00123CAE">
        <w:rPr>
          <w:sz w:val="22"/>
          <w:szCs w:val="22"/>
          <w:lang w:val="en-GB"/>
        </w:rPr>
        <w:t>element ‘Cantu in paghjella, a secular and liturgical oral tradition of Corsica’, inscribed</w:t>
      </w:r>
      <w:r w:rsidR="00D955C4" w:rsidRPr="00123CAE">
        <w:rPr>
          <w:bCs/>
          <w:sz w:val="22"/>
          <w:szCs w:val="22"/>
          <w:lang w:val="en-GB"/>
        </w:rPr>
        <w:t xml:space="preserve"> in 2009</w:t>
      </w:r>
      <w:r w:rsidR="00540DCD" w:rsidRPr="00123CAE">
        <w:rPr>
          <w:bCs/>
          <w:sz w:val="22"/>
          <w:szCs w:val="22"/>
          <w:lang w:val="en-GB"/>
        </w:rPr>
        <w:t xml:space="preserve"> on the List of Intangible Cultural Heritage in Need of Urgent Safeguarding;</w:t>
      </w:r>
    </w:p>
    <w:p w14:paraId="21F3A837" w14:textId="6ACFCE46" w:rsidR="00D955C4" w:rsidRPr="00123CAE" w:rsidRDefault="00D955C4" w:rsidP="00D955C4">
      <w:pPr>
        <w:pStyle w:val="Para"/>
        <w:numPr>
          <w:ilvl w:val="0"/>
          <w:numId w:val="14"/>
        </w:numPr>
        <w:spacing w:line="240" w:lineRule="auto"/>
        <w:ind w:left="1134" w:hanging="567"/>
        <w:rPr>
          <w:rFonts w:cs="Arial"/>
          <w:sz w:val="22"/>
          <w:szCs w:val="22"/>
          <w:lang w:val="en-GB"/>
        </w:rPr>
      </w:pPr>
      <w:r w:rsidRPr="00123CAE">
        <w:rPr>
          <w:rFonts w:cs="Arial"/>
          <w:sz w:val="22"/>
          <w:szCs w:val="22"/>
          <w:u w:val="single"/>
          <w:lang w:val="en-GB"/>
        </w:rPr>
        <w:t>Takes note</w:t>
      </w:r>
      <w:r w:rsidRPr="00123CAE">
        <w:rPr>
          <w:rFonts w:cs="Arial"/>
          <w:sz w:val="22"/>
          <w:szCs w:val="22"/>
          <w:lang w:val="en-GB"/>
        </w:rPr>
        <w:t xml:space="preserve"> of the continued efforts undertaken by France to safeguard the element, in particular the systematic recording of Cantu performances during gatherings where the chants are traditionally sung </w:t>
      </w:r>
      <w:r w:rsidR="0046078B">
        <w:rPr>
          <w:rFonts w:cs="Arial"/>
          <w:sz w:val="22"/>
          <w:szCs w:val="22"/>
          <w:lang w:val="en-GB"/>
        </w:rPr>
        <w:t xml:space="preserve">by </w:t>
      </w:r>
      <w:r w:rsidRPr="00123CAE">
        <w:rPr>
          <w:rFonts w:cs="Arial"/>
          <w:sz w:val="22"/>
          <w:szCs w:val="22"/>
          <w:lang w:val="en-GB"/>
        </w:rPr>
        <w:t>building up a freely accessible archive</w:t>
      </w:r>
      <w:r w:rsidR="0005532B" w:rsidRPr="00123CAE">
        <w:rPr>
          <w:rFonts w:cs="Arial"/>
          <w:sz w:val="22"/>
          <w:szCs w:val="22"/>
          <w:lang w:val="en-GB"/>
        </w:rPr>
        <w:t>,</w:t>
      </w:r>
      <w:r w:rsidRPr="00123CAE">
        <w:rPr>
          <w:rFonts w:cs="Arial"/>
          <w:sz w:val="22"/>
          <w:szCs w:val="22"/>
          <w:lang w:val="en-GB"/>
        </w:rPr>
        <w:t xml:space="preserve"> and supporting transmission activities by bearers </w:t>
      </w:r>
      <w:r w:rsidR="0005532B" w:rsidRPr="00123CAE">
        <w:rPr>
          <w:rFonts w:cs="Arial"/>
          <w:sz w:val="22"/>
          <w:szCs w:val="22"/>
          <w:lang w:val="en-GB"/>
        </w:rPr>
        <w:t>especially</w:t>
      </w:r>
      <w:r w:rsidRPr="00123CAE">
        <w:rPr>
          <w:rFonts w:cs="Arial"/>
          <w:sz w:val="22"/>
          <w:szCs w:val="22"/>
          <w:lang w:val="en-GB"/>
        </w:rPr>
        <w:t xml:space="preserve"> </w:t>
      </w:r>
      <w:r w:rsidR="0005532B" w:rsidRPr="00123CAE">
        <w:rPr>
          <w:rFonts w:cs="Arial"/>
          <w:sz w:val="22"/>
          <w:szCs w:val="22"/>
          <w:lang w:val="en-GB"/>
        </w:rPr>
        <w:t>f</w:t>
      </w:r>
      <w:r w:rsidRPr="00123CAE">
        <w:rPr>
          <w:rFonts w:cs="Arial"/>
          <w:sz w:val="22"/>
          <w:szCs w:val="22"/>
          <w:lang w:val="en-GB"/>
        </w:rPr>
        <w:t>o</w:t>
      </w:r>
      <w:r w:rsidR="0005532B" w:rsidRPr="00123CAE">
        <w:rPr>
          <w:rFonts w:cs="Arial"/>
          <w:sz w:val="22"/>
          <w:szCs w:val="22"/>
          <w:lang w:val="en-GB"/>
        </w:rPr>
        <w:t>r</w:t>
      </w:r>
      <w:r w:rsidRPr="00123CAE">
        <w:rPr>
          <w:rFonts w:cs="Arial"/>
          <w:sz w:val="22"/>
          <w:szCs w:val="22"/>
          <w:lang w:val="en-GB"/>
        </w:rPr>
        <w:t xml:space="preserve"> school-aged children;</w:t>
      </w:r>
    </w:p>
    <w:p w14:paraId="1B88F809" w14:textId="0F155AA1" w:rsidR="00D955C4" w:rsidRPr="00123CAE" w:rsidRDefault="00D955C4" w:rsidP="00D955C4">
      <w:pPr>
        <w:pStyle w:val="Para"/>
        <w:numPr>
          <w:ilvl w:val="0"/>
          <w:numId w:val="14"/>
        </w:numPr>
        <w:spacing w:line="240" w:lineRule="auto"/>
        <w:ind w:left="1134" w:hanging="567"/>
        <w:rPr>
          <w:rFonts w:cs="Arial"/>
          <w:sz w:val="22"/>
          <w:szCs w:val="22"/>
          <w:lang w:val="en-GB"/>
        </w:rPr>
      </w:pPr>
      <w:r w:rsidRPr="00123CAE">
        <w:rPr>
          <w:rFonts w:cs="Arial"/>
          <w:sz w:val="22"/>
          <w:szCs w:val="22"/>
          <w:u w:val="single"/>
          <w:lang w:val="en-GB"/>
        </w:rPr>
        <w:t>Invites</w:t>
      </w:r>
      <w:r w:rsidRPr="00123CAE">
        <w:rPr>
          <w:rFonts w:cs="Arial"/>
          <w:sz w:val="22"/>
          <w:szCs w:val="22"/>
          <w:lang w:val="en-GB"/>
        </w:rPr>
        <w:t xml:space="preserve"> the State Party to continue to confront the current low level of viability of the element, the decrease in the number of practitioners and the impoverishment of the repertoire, in particular through continuing the programme of recording the chants</w:t>
      </w:r>
      <w:r w:rsidR="00B94330">
        <w:rPr>
          <w:rFonts w:cs="Arial"/>
          <w:sz w:val="22"/>
          <w:szCs w:val="22"/>
          <w:lang w:val="en-GB"/>
        </w:rPr>
        <w:t xml:space="preserve"> and</w:t>
      </w:r>
      <w:r w:rsidRPr="00123CAE">
        <w:rPr>
          <w:rFonts w:cs="Arial"/>
          <w:sz w:val="22"/>
          <w:szCs w:val="22"/>
          <w:lang w:val="en-GB"/>
        </w:rPr>
        <w:t xml:space="preserve"> endangered parts of the repertoire, strengthening transmission of the element through training workshops</w:t>
      </w:r>
      <w:r w:rsidR="009D13BA" w:rsidRPr="00123CAE">
        <w:rPr>
          <w:rFonts w:cs="Arial"/>
          <w:sz w:val="22"/>
          <w:szCs w:val="22"/>
          <w:lang w:val="en-GB"/>
        </w:rPr>
        <w:t>,</w:t>
      </w:r>
      <w:r w:rsidRPr="00123CAE">
        <w:rPr>
          <w:rFonts w:cs="Arial"/>
          <w:sz w:val="22"/>
          <w:szCs w:val="22"/>
          <w:lang w:val="en-GB"/>
        </w:rPr>
        <w:t xml:space="preserve"> and seeking increased opportunities for traditional performances of the Cantu;</w:t>
      </w:r>
    </w:p>
    <w:p w14:paraId="70A031A1" w14:textId="4ED3B86B" w:rsidR="00540DCD" w:rsidRPr="00123CAE" w:rsidRDefault="00D955C4" w:rsidP="00D955C4">
      <w:pPr>
        <w:pStyle w:val="Para"/>
        <w:numPr>
          <w:ilvl w:val="0"/>
          <w:numId w:val="14"/>
        </w:numPr>
        <w:spacing w:line="240" w:lineRule="auto"/>
        <w:ind w:left="1134" w:hanging="567"/>
        <w:rPr>
          <w:sz w:val="22"/>
          <w:szCs w:val="22"/>
          <w:lang w:val="en-GB"/>
        </w:rPr>
      </w:pPr>
      <w:r w:rsidRPr="00123CAE">
        <w:rPr>
          <w:rFonts w:cs="Arial"/>
          <w:sz w:val="22"/>
          <w:szCs w:val="22"/>
          <w:u w:val="single"/>
          <w:lang w:val="en-GB"/>
        </w:rPr>
        <w:t>Encourages</w:t>
      </w:r>
      <w:r w:rsidRPr="00123CAE">
        <w:rPr>
          <w:rFonts w:cs="Arial"/>
          <w:sz w:val="22"/>
          <w:szCs w:val="22"/>
          <w:lang w:val="en-GB"/>
        </w:rPr>
        <w:t xml:space="preserve"> the State Party to continue to cooperate with the Cantu in </w:t>
      </w:r>
      <w:r w:rsidR="00504646" w:rsidRPr="00123CAE">
        <w:rPr>
          <w:rFonts w:cs="Arial"/>
          <w:sz w:val="22"/>
          <w:szCs w:val="22"/>
          <w:lang w:val="en-GB"/>
        </w:rPr>
        <w:t>p</w:t>
      </w:r>
      <w:r w:rsidRPr="00123CAE">
        <w:rPr>
          <w:rFonts w:cs="Arial"/>
          <w:sz w:val="22"/>
          <w:szCs w:val="22"/>
          <w:lang w:val="en-GB"/>
        </w:rPr>
        <w:t xml:space="preserve">aghjella </w:t>
      </w:r>
      <w:r w:rsidR="00504646" w:rsidRPr="00123CAE">
        <w:rPr>
          <w:rFonts w:cs="Arial"/>
          <w:sz w:val="22"/>
          <w:szCs w:val="22"/>
          <w:lang w:val="en-GB"/>
        </w:rPr>
        <w:t>A</w:t>
      </w:r>
      <w:r w:rsidRPr="00123CAE">
        <w:rPr>
          <w:rFonts w:cs="Arial"/>
          <w:sz w:val="22"/>
          <w:szCs w:val="22"/>
          <w:lang w:val="en-GB"/>
        </w:rPr>
        <w:t xml:space="preserve">ssociation and the Regional Directorate of Corsica </w:t>
      </w:r>
      <w:r w:rsidR="0030335D">
        <w:rPr>
          <w:rFonts w:cs="Arial"/>
          <w:sz w:val="22"/>
          <w:szCs w:val="22"/>
          <w:lang w:val="en-GB"/>
        </w:rPr>
        <w:t>in safeguarding the element and</w:t>
      </w:r>
      <w:r w:rsidRPr="00123CAE">
        <w:rPr>
          <w:rFonts w:cs="Arial"/>
          <w:sz w:val="22"/>
          <w:szCs w:val="22"/>
          <w:lang w:val="en-GB"/>
        </w:rPr>
        <w:t xml:space="preserve"> to provide </w:t>
      </w:r>
      <w:r w:rsidR="008D09A8">
        <w:rPr>
          <w:rFonts w:cs="Arial"/>
          <w:sz w:val="22"/>
          <w:szCs w:val="22"/>
          <w:lang w:val="en-GB"/>
        </w:rPr>
        <w:t xml:space="preserve">adequate </w:t>
      </w:r>
      <w:r w:rsidRPr="00123CAE">
        <w:rPr>
          <w:rFonts w:cs="Arial"/>
          <w:sz w:val="22"/>
          <w:szCs w:val="22"/>
          <w:lang w:val="en-GB"/>
        </w:rPr>
        <w:t xml:space="preserve">financial support for expanding the transmission activities currently being undertaken </w:t>
      </w:r>
      <w:r w:rsidR="0030335D">
        <w:rPr>
          <w:rFonts w:cs="Arial"/>
          <w:sz w:val="22"/>
          <w:szCs w:val="22"/>
          <w:lang w:val="en-GB"/>
        </w:rPr>
        <w:t>as well as</w:t>
      </w:r>
      <w:r w:rsidRPr="00123CAE">
        <w:rPr>
          <w:rFonts w:cs="Arial"/>
          <w:sz w:val="22"/>
          <w:szCs w:val="22"/>
          <w:lang w:val="en-GB"/>
        </w:rPr>
        <w:t xml:space="preserve"> to the bearers who provide training to adults and children;</w:t>
      </w:r>
    </w:p>
    <w:p w14:paraId="4C9CEED0" w14:textId="72BCAF65" w:rsidR="002F4BD6" w:rsidRPr="00123CAE" w:rsidRDefault="00540DCD" w:rsidP="00540DCD">
      <w:pPr>
        <w:pStyle w:val="Para"/>
        <w:numPr>
          <w:ilvl w:val="0"/>
          <w:numId w:val="14"/>
        </w:numPr>
        <w:tabs>
          <w:tab w:val="left" w:pos="1134"/>
        </w:tabs>
        <w:spacing w:line="240" w:lineRule="auto"/>
        <w:ind w:left="1134" w:hanging="567"/>
        <w:rPr>
          <w:rFonts w:cs="Arial"/>
          <w:sz w:val="22"/>
          <w:szCs w:val="22"/>
          <w:lang w:val="en-GB"/>
        </w:rPr>
      </w:pPr>
      <w:r w:rsidRPr="00123CAE">
        <w:rPr>
          <w:rFonts w:cs="Arial"/>
          <w:sz w:val="22"/>
          <w:szCs w:val="22"/>
          <w:u w:val="single"/>
          <w:lang w:val="en-GB"/>
        </w:rPr>
        <w:t>Requests</w:t>
      </w:r>
      <w:r w:rsidRPr="00123CAE">
        <w:rPr>
          <w:rFonts w:cs="Arial"/>
          <w:sz w:val="22"/>
          <w:szCs w:val="22"/>
          <w:lang w:val="en-GB"/>
        </w:rPr>
        <w:t xml:space="preserve"> the Secretariat to inform the State Party at least nine months prior to the deadline of 15 December 2</w:t>
      </w:r>
      <w:r w:rsidR="00D955C4" w:rsidRPr="00123CAE">
        <w:rPr>
          <w:rFonts w:cs="Arial"/>
          <w:sz w:val="22"/>
          <w:szCs w:val="22"/>
          <w:lang w:val="en-GB"/>
        </w:rPr>
        <w:t>017</w:t>
      </w:r>
      <w:r w:rsidRPr="00123CAE">
        <w:rPr>
          <w:rFonts w:cs="Arial"/>
          <w:sz w:val="22"/>
          <w:szCs w:val="22"/>
          <w:lang w:val="en-GB"/>
        </w:rPr>
        <w:t xml:space="preserve"> </w:t>
      </w:r>
      <w:r w:rsidR="00DD48F8" w:rsidRPr="00123CAE">
        <w:rPr>
          <w:rFonts w:cs="Arial"/>
          <w:sz w:val="22"/>
          <w:szCs w:val="22"/>
          <w:lang w:val="en-GB"/>
        </w:rPr>
        <w:t xml:space="preserve">about </w:t>
      </w:r>
      <w:r w:rsidRPr="00123CAE">
        <w:rPr>
          <w:rFonts w:cs="Arial"/>
          <w:sz w:val="22"/>
          <w:szCs w:val="22"/>
          <w:lang w:val="en-GB"/>
        </w:rPr>
        <w:t xml:space="preserve">the </w:t>
      </w:r>
      <w:r w:rsidR="00DD48F8" w:rsidRPr="00123CAE">
        <w:rPr>
          <w:rFonts w:cs="Arial"/>
          <w:sz w:val="22"/>
          <w:szCs w:val="22"/>
          <w:lang w:val="en-GB"/>
        </w:rPr>
        <w:t xml:space="preserve">required </w:t>
      </w:r>
      <w:r w:rsidRPr="00123CAE">
        <w:rPr>
          <w:rFonts w:cs="Arial"/>
          <w:sz w:val="22"/>
          <w:szCs w:val="22"/>
          <w:lang w:val="en-GB"/>
        </w:rPr>
        <w:t>submission of its next report on the status of this element.</w:t>
      </w:r>
    </w:p>
    <w:p w14:paraId="3B828F2F" w14:textId="77777777" w:rsidR="002F4BD6" w:rsidRPr="00123CAE" w:rsidRDefault="002F4BD6" w:rsidP="008551A9">
      <w:pPr>
        <w:pStyle w:val="COMTitleDecision"/>
        <w:pageBreakBefore/>
        <w:spacing w:before="480"/>
        <w:jc w:val="left"/>
      </w:pPr>
      <w:r w:rsidRPr="00123CAE">
        <w:rPr>
          <w:bCs/>
        </w:rPr>
        <w:lastRenderedPageBreak/>
        <w:t>Iran (Islamic Republic of):</w:t>
      </w:r>
      <w:r w:rsidRPr="00123CAE">
        <w:t xml:space="preserve"> ‘Traditional skills of building and sailing Iranian Lenj boats in the Persian Gulf’ </w:t>
      </w:r>
      <w:r w:rsidRPr="00123CAE">
        <w:rPr>
          <w:b w:val="0"/>
          <w:bCs/>
          <w:i/>
          <w:iCs/>
        </w:rPr>
        <w:t xml:space="preserve">(consult the </w:t>
      </w:r>
      <w:hyperlink r:id="rId33" w:history="1">
        <w:r w:rsidRPr="00123CAE">
          <w:rPr>
            <w:rStyle w:val="Hyperlink"/>
            <w:b w:val="0"/>
            <w:bCs/>
            <w:i/>
            <w:iCs/>
          </w:rPr>
          <w:t>report</w:t>
        </w:r>
      </w:hyperlink>
      <w:r w:rsidRPr="00123CAE">
        <w:rPr>
          <w:b w:val="0"/>
          <w:bCs/>
          <w:i/>
          <w:iCs/>
        </w:rPr>
        <w:t>)</w:t>
      </w:r>
    </w:p>
    <w:p w14:paraId="1ABBCDF3" w14:textId="1FD52809" w:rsidR="002F4BD6" w:rsidRPr="00123CAE" w:rsidRDefault="00635559" w:rsidP="008551A9">
      <w:pPr>
        <w:pStyle w:val="COMPara"/>
        <w:ind w:left="567" w:hanging="567"/>
        <w:jc w:val="both"/>
      </w:pPr>
      <w:r w:rsidRPr="00123CAE">
        <w:rPr>
          <w:bCs/>
        </w:rPr>
        <w:t>The Lenj boats which are used for trading, fishing and pearl-diving are built using traditional craft skills and are sailed through the application of traditional knowledge and know-how. In addition, there are a number of ceremonies and customs associated with sai</w:t>
      </w:r>
      <w:r w:rsidR="00A639E3" w:rsidRPr="00123CAE">
        <w:rPr>
          <w:bCs/>
        </w:rPr>
        <w:t>ling L</w:t>
      </w:r>
      <w:r w:rsidRPr="00123CAE">
        <w:rPr>
          <w:bCs/>
        </w:rPr>
        <w:t>enjes, such as traditional sailor songs, the Fisherman’s New Year and the Shushi (a traditional performing art symboli</w:t>
      </w:r>
      <w:r w:rsidR="009D13BA" w:rsidRPr="00123CAE">
        <w:rPr>
          <w:bCs/>
        </w:rPr>
        <w:t>z</w:t>
      </w:r>
      <w:r w:rsidRPr="00123CAE">
        <w:rPr>
          <w:bCs/>
        </w:rPr>
        <w:t xml:space="preserve">ing </w:t>
      </w:r>
      <w:r w:rsidR="009D13BA" w:rsidRPr="00123CAE">
        <w:rPr>
          <w:bCs/>
        </w:rPr>
        <w:t xml:space="preserve">the </w:t>
      </w:r>
      <w:r w:rsidRPr="00123CAE">
        <w:rPr>
          <w:bCs/>
        </w:rPr>
        <w:t xml:space="preserve">sailors’ respect for nature) which forms part of that </w:t>
      </w:r>
      <w:r w:rsidR="00B94330">
        <w:rPr>
          <w:bCs/>
        </w:rPr>
        <w:t>event</w:t>
      </w:r>
      <w:r w:rsidRPr="00123CAE">
        <w:rPr>
          <w:bCs/>
        </w:rPr>
        <w:t>. Most of the population of the northern Persian Gulf earn their living from the sea</w:t>
      </w:r>
      <w:r w:rsidR="009D13BA" w:rsidRPr="00123CAE">
        <w:rPr>
          <w:bCs/>
        </w:rPr>
        <w:t>.</w:t>
      </w:r>
      <w:r w:rsidRPr="00123CAE">
        <w:rPr>
          <w:bCs/>
        </w:rPr>
        <w:t xml:space="preserve"> </w:t>
      </w:r>
      <w:r w:rsidR="009D13BA" w:rsidRPr="00123CAE">
        <w:rPr>
          <w:bCs/>
        </w:rPr>
        <w:t>T</w:t>
      </w:r>
      <w:r w:rsidRPr="00123CAE">
        <w:rPr>
          <w:bCs/>
        </w:rPr>
        <w:t>he Lenj element is</w:t>
      </w:r>
      <w:r w:rsidR="009D13BA" w:rsidRPr="00123CAE">
        <w:rPr>
          <w:bCs/>
        </w:rPr>
        <w:t>,</w:t>
      </w:r>
      <w:r w:rsidRPr="00123CAE">
        <w:rPr>
          <w:bCs/>
        </w:rPr>
        <w:t xml:space="preserve"> </w:t>
      </w:r>
      <w:r w:rsidR="009D13BA" w:rsidRPr="00123CAE">
        <w:rPr>
          <w:bCs/>
        </w:rPr>
        <w:t xml:space="preserve">therefore, </w:t>
      </w:r>
      <w:r w:rsidRPr="00123CAE">
        <w:rPr>
          <w:bCs/>
        </w:rPr>
        <w:t xml:space="preserve">an identity-marker for </w:t>
      </w:r>
      <w:r w:rsidR="009D13BA" w:rsidRPr="00123CAE">
        <w:rPr>
          <w:bCs/>
        </w:rPr>
        <w:t xml:space="preserve">the </w:t>
      </w:r>
      <w:r w:rsidRPr="00123CAE">
        <w:rPr>
          <w:bCs/>
        </w:rPr>
        <w:t>local people that gives them pride</w:t>
      </w:r>
      <w:r w:rsidR="009D13BA" w:rsidRPr="00123CAE">
        <w:rPr>
          <w:bCs/>
        </w:rPr>
        <w:t>,</w:t>
      </w:r>
      <w:r w:rsidRPr="00123CAE">
        <w:rPr>
          <w:bCs/>
        </w:rPr>
        <w:t xml:space="preserve"> a</w:t>
      </w:r>
      <w:r w:rsidR="009D13BA" w:rsidRPr="00123CAE">
        <w:rPr>
          <w:bCs/>
        </w:rPr>
        <w:t xml:space="preserve">nd </w:t>
      </w:r>
      <w:r w:rsidRPr="00123CAE">
        <w:rPr>
          <w:bCs/>
        </w:rPr>
        <w:t>ensur</w:t>
      </w:r>
      <w:r w:rsidR="009D13BA" w:rsidRPr="00123CAE">
        <w:rPr>
          <w:bCs/>
        </w:rPr>
        <w:t>es</w:t>
      </w:r>
      <w:r w:rsidRPr="00123CAE">
        <w:rPr>
          <w:bCs/>
        </w:rPr>
        <w:t xml:space="preserve"> a cohesive social order that preserves peaceful co-existence among their communities.</w:t>
      </w:r>
    </w:p>
    <w:p w14:paraId="31D8AEE2" w14:textId="520E6963" w:rsidR="00635559" w:rsidRPr="00123CAE" w:rsidRDefault="00635559" w:rsidP="008551A9">
      <w:pPr>
        <w:pStyle w:val="COMPara"/>
        <w:ind w:left="567" w:hanging="567"/>
        <w:jc w:val="both"/>
        <w:rPr>
          <w:bCs/>
        </w:rPr>
      </w:pPr>
      <w:r w:rsidRPr="00123CAE">
        <w:rPr>
          <w:b/>
          <w:bCs/>
        </w:rPr>
        <w:t>Effectiveness of the safeguarding plan</w:t>
      </w:r>
      <w:r w:rsidRPr="00123CAE">
        <w:rPr>
          <w:bCs/>
        </w:rPr>
        <w:t>. The raising of awareness among communities and the wider society on the value and significance of the Lenj element has provided bearers with a sense of pride in their element</w:t>
      </w:r>
      <w:r w:rsidR="001F0770" w:rsidRPr="00123CAE">
        <w:rPr>
          <w:bCs/>
        </w:rPr>
        <w:t>,</w:t>
      </w:r>
      <w:r w:rsidRPr="00123CAE">
        <w:rPr>
          <w:bCs/>
        </w:rPr>
        <w:t xml:space="preserve"> a</w:t>
      </w:r>
      <w:r w:rsidR="001F0770" w:rsidRPr="00123CAE">
        <w:rPr>
          <w:bCs/>
        </w:rPr>
        <w:t xml:space="preserve"> feeling </w:t>
      </w:r>
      <w:r w:rsidRPr="00123CAE">
        <w:rPr>
          <w:bCs/>
        </w:rPr>
        <w:t xml:space="preserve">of being respected, and encouraged them and other local communities, groups and individuals to make efforts for its </w:t>
      </w:r>
      <w:r w:rsidR="003D76BA" w:rsidRPr="00123CAE">
        <w:rPr>
          <w:bCs/>
        </w:rPr>
        <w:t>protection</w:t>
      </w:r>
      <w:r w:rsidRPr="00123CAE">
        <w:rPr>
          <w:bCs/>
        </w:rPr>
        <w:t xml:space="preserve">. Safeguarding activities are divided into five </w:t>
      </w:r>
      <w:r w:rsidR="003D76BA" w:rsidRPr="00123CAE">
        <w:rPr>
          <w:bCs/>
        </w:rPr>
        <w:t>main categories as follows: i) i</w:t>
      </w:r>
      <w:r w:rsidRPr="00123CAE">
        <w:rPr>
          <w:bCs/>
        </w:rPr>
        <w:t>dentification, classification</w:t>
      </w:r>
      <w:r w:rsidR="001F0770" w:rsidRPr="00123CAE">
        <w:rPr>
          <w:bCs/>
        </w:rPr>
        <w:t xml:space="preserve"> and</w:t>
      </w:r>
      <w:r w:rsidRPr="00123CAE">
        <w:rPr>
          <w:bCs/>
        </w:rPr>
        <w:t xml:space="preserve"> documentation: </w:t>
      </w:r>
      <w:r w:rsidR="001F0770" w:rsidRPr="00123CAE">
        <w:rPr>
          <w:bCs/>
        </w:rPr>
        <w:t xml:space="preserve">using </w:t>
      </w:r>
      <w:r w:rsidRPr="00123CAE">
        <w:rPr>
          <w:bCs/>
        </w:rPr>
        <w:t>a field survey of the current state of the Lenj element and all its associated aspects; ii)</w:t>
      </w:r>
      <w:r w:rsidR="003D76BA" w:rsidRPr="00123CAE">
        <w:rPr>
          <w:bCs/>
        </w:rPr>
        <w:t xml:space="preserve"> a</w:t>
      </w:r>
      <w:r w:rsidRPr="00123CAE">
        <w:rPr>
          <w:bCs/>
        </w:rPr>
        <w:t>wareness-raising: organizing local performances and en</w:t>
      </w:r>
      <w:r w:rsidR="003D76BA" w:rsidRPr="00123CAE">
        <w:rPr>
          <w:bCs/>
        </w:rPr>
        <w:t>actments of all aspects of the L</w:t>
      </w:r>
      <w:r w:rsidRPr="00123CAE">
        <w:rPr>
          <w:bCs/>
        </w:rPr>
        <w:t>enj, including short sea journeys and customs and rituals; iii)</w:t>
      </w:r>
      <w:r w:rsidR="003D76BA" w:rsidRPr="00123CAE">
        <w:rPr>
          <w:bCs/>
        </w:rPr>
        <w:t xml:space="preserve"> c</w:t>
      </w:r>
      <w:r w:rsidRPr="00123CAE">
        <w:rPr>
          <w:bCs/>
        </w:rPr>
        <w:t xml:space="preserve">apacity-building training: a number of </w:t>
      </w:r>
      <w:r w:rsidR="003D76BA" w:rsidRPr="00123CAE">
        <w:rPr>
          <w:bCs/>
        </w:rPr>
        <w:t>L</w:t>
      </w:r>
      <w:r w:rsidRPr="00123CAE">
        <w:rPr>
          <w:bCs/>
        </w:rPr>
        <w:t>enj builders/repairers and experienced captains have been employed to transmit their knowledge, skills and know-how to young people, many of whom are university graduates in engineering, mechanics and industrial design; iv)</w:t>
      </w:r>
      <w:r w:rsidR="003D76BA" w:rsidRPr="00123CAE">
        <w:rPr>
          <w:bCs/>
        </w:rPr>
        <w:t xml:space="preserve"> </w:t>
      </w:r>
      <w:r w:rsidRPr="00123CAE">
        <w:rPr>
          <w:bCs/>
        </w:rPr>
        <w:t>a database</w:t>
      </w:r>
      <w:r w:rsidR="00A22C0F" w:rsidRPr="00123CAE">
        <w:rPr>
          <w:bCs/>
        </w:rPr>
        <w:t>:</w:t>
      </w:r>
      <w:r w:rsidR="00CB08AE" w:rsidRPr="00123CAE">
        <w:rPr>
          <w:bCs/>
        </w:rPr>
        <w:t xml:space="preserve"> </w:t>
      </w:r>
      <w:r w:rsidR="003D76BA" w:rsidRPr="00123CAE">
        <w:rPr>
          <w:bCs/>
        </w:rPr>
        <w:t>created by the Research Centre</w:t>
      </w:r>
      <w:r w:rsidR="00A22C0F" w:rsidRPr="00123CAE">
        <w:rPr>
          <w:bCs/>
        </w:rPr>
        <w:t>,</w:t>
      </w:r>
      <w:r w:rsidR="00CB08AE" w:rsidRPr="00123CAE">
        <w:rPr>
          <w:bCs/>
        </w:rPr>
        <w:t xml:space="preserve"> </w:t>
      </w:r>
      <w:r w:rsidR="00A22C0F" w:rsidRPr="00123CAE">
        <w:rPr>
          <w:bCs/>
        </w:rPr>
        <w:t xml:space="preserve">it lists books, journals, magazines and multimedia on research by universities, other institutions and individuals </w:t>
      </w:r>
      <w:r w:rsidRPr="00123CAE">
        <w:rPr>
          <w:bCs/>
        </w:rPr>
        <w:t>provid</w:t>
      </w:r>
      <w:r w:rsidR="00CB08AE" w:rsidRPr="00123CAE">
        <w:rPr>
          <w:bCs/>
        </w:rPr>
        <w:t>ing</w:t>
      </w:r>
      <w:r w:rsidRPr="00123CAE">
        <w:rPr>
          <w:bCs/>
        </w:rPr>
        <w:t xml:space="preserve"> </w:t>
      </w:r>
      <w:r w:rsidR="00A22C0F" w:rsidRPr="00123CAE">
        <w:rPr>
          <w:bCs/>
        </w:rPr>
        <w:t xml:space="preserve">a </w:t>
      </w:r>
      <w:r w:rsidRPr="00123CAE">
        <w:rPr>
          <w:bCs/>
        </w:rPr>
        <w:t xml:space="preserve">scientific basis for combining traditional and modern methods of sailing and navigation; v) </w:t>
      </w:r>
      <w:r w:rsidR="003D76BA" w:rsidRPr="00123CAE">
        <w:rPr>
          <w:bCs/>
        </w:rPr>
        <w:t>r</w:t>
      </w:r>
      <w:r w:rsidRPr="00123CAE">
        <w:rPr>
          <w:bCs/>
        </w:rPr>
        <w:t xml:space="preserve">evitalisation projects </w:t>
      </w:r>
      <w:r w:rsidR="00B94330">
        <w:rPr>
          <w:bCs/>
        </w:rPr>
        <w:t>including</w:t>
      </w:r>
      <w:r w:rsidRPr="00123CAE">
        <w:rPr>
          <w:bCs/>
        </w:rPr>
        <w:t xml:space="preserve"> documentaries and other actions to attract young people to the element. </w:t>
      </w:r>
      <w:r w:rsidR="00B94330">
        <w:rPr>
          <w:bCs/>
        </w:rPr>
        <w:t>A</w:t>
      </w:r>
      <w:r w:rsidRPr="00123CAE">
        <w:rPr>
          <w:bCs/>
        </w:rPr>
        <w:t xml:space="preserve">lthough the traditional knowledge, rituals, festive events, oral culture and performances associated with the </w:t>
      </w:r>
      <w:r w:rsidR="003D76BA" w:rsidRPr="00123CAE">
        <w:rPr>
          <w:bCs/>
        </w:rPr>
        <w:t>L</w:t>
      </w:r>
      <w:r w:rsidRPr="00123CAE">
        <w:rPr>
          <w:bCs/>
        </w:rPr>
        <w:t>enj have generally been</w:t>
      </w:r>
      <w:r w:rsidR="003D76BA" w:rsidRPr="00123CAE">
        <w:rPr>
          <w:bCs/>
        </w:rPr>
        <w:t xml:space="preserve"> revived, only a few remaining L</w:t>
      </w:r>
      <w:r w:rsidRPr="00123CAE">
        <w:rPr>
          <w:bCs/>
        </w:rPr>
        <w:t xml:space="preserve">enj building workshops have been restored and </w:t>
      </w:r>
      <w:r w:rsidR="003D76BA" w:rsidRPr="00123CAE">
        <w:rPr>
          <w:bCs/>
        </w:rPr>
        <w:t>no new workshop</w:t>
      </w:r>
      <w:r w:rsidR="00B323CC" w:rsidRPr="00123CAE">
        <w:rPr>
          <w:bCs/>
        </w:rPr>
        <w:t>s</w:t>
      </w:r>
      <w:r w:rsidR="003D76BA" w:rsidRPr="00123CAE">
        <w:rPr>
          <w:bCs/>
        </w:rPr>
        <w:t xml:space="preserve"> ha</w:t>
      </w:r>
      <w:r w:rsidR="00B323CC" w:rsidRPr="00123CAE">
        <w:rPr>
          <w:bCs/>
        </w:rPr>
        <w:t>ve</w:t>
      </w:r>
      <w:r w:rsidR="003D76BA" w:rsidRPr="00123CAE">
        <w:rPr>
          <w:bCs/>
        </w:rPr>
        <w:t xml:space="preserve"> been built.</w:t>
      </w:r>
    </w:p>
    <w:p w14:paraId="60B9D224" w14:textId="45527206" w:rsidR="00635559" w:rsidRPr="00123CAE" w:rsidRDefault="00635559" w:rsidP="008551A9">
      <w:pPr>
        <w:pStyle w:val="COMPara"/>
        <w:ind w:left="567" w:hanging="567"/>
        <w:jc w:val="both"/>
        <w:rPr>
          <w:bCs/>
        </w:rPr>
      </w:pPr>
      <w:r w:rsidRPr="00123CAE">
        <w:rPr>
          <w:bCs/>
        </w:rPr>
        <w:t xml:space="preserve">In addition to these safeguarding activities, </w:t>
      </w:r>
      <w:r w:rsidR="003D76BA" w:rsidRPr="00123CAE">
        <w:rPr>
          <w:bCs/>
        </w:rPr>
        <w:t xml:space="preserve">the report mentions the important </w:t>
      </w:r>
      <w:r w:rsidRPr="00123CAE">
        <w:rPr>
          <w:bCs/>
        </w:rPr>
        <w:t xml:space="preserve">effort </w:t>
      </w:r>
      <w:r w:rsidR="003D76BA" w:rsidRPr="00123CAE">
        <w:rPr>
          <w:bCs/>
        </w:rPr>
        <w:t xml:space="preserve">that </w:t>
      </w:r>
      <w:r w:rsidRPr="00123CAE">
        <w:rPr>
          <w:bCs/>
        </w:rPr>
        <w:t>has been made to improve the financial situation of bearers. Since 2012, younger captains and sailors have been encouraged to take out private insurance on the basis of arrangements negotiated on their behalf. From 2013, free or low-interest loans have been made available by the Ministry of Constructive Jihad</w:t>
      </w:r>
      <w:r w:rsidR="007E523C">
        <w:rPr>
          <w:bCs/>
        </w:rPr>
        <w:t xml:space="preserve">, </w:t>
      </w:r>
      <w:r w:rsidR="007E523C">
        <w:rPr>
          <w:lang w:bidi="fa-IR"/>
        </w:rPr>
        <w:t xml:space="preserve">the main authority </w:t>
      </w:r>
      <w:r w:rsidR="005657EC">
        <w:rPr>
          <w:lang w:bidi="fa-IR"/>
        </w:rPr>
        <w:t>for fisheries</w:t>
      </w:r>
      <w:r w:rsidR="007E523C">
        <w:rPr>
          <w:lang w:bidi="fa-IR"/>
        </w:rPr>
        <w:t xml:space="preserve"> in Iran,</w:t>
      </w:r>
      <w:r w:rsidRPr="00123CAE">
        <w:rPr>
          <w:bCs/>
        </w:rPr>
        <w:t xml:space="preserve"> and some provision</w:t>
      </w:r>
      <w:r w:rsidR="00E634EC" w:rsidRPr="00123CAE">
        <w:rPr>
          <w:bCs/>
        </w:rPr>
        <w:t xml:space="preserve">s concerning </w:t>
      </w:r>
      <w:r w:rsidRPr="00123CAE">
        <w:rPr>
          <w:bCs/>
        </w:rPr>
        <w:t>bearer</w:t>
      </w:r>
      <w:r w:rsidR="00E634EC" w:rsidRPr="00123CAE">
        <w:rPr>
          <w:bCs/>
        </w:rPr>
        <w:t xml:space="preserve"> pension</w:t>
      </w:r>
      <w:r w:rsidRPr="00123CAE">
        <w:rPr>
          <w:bCs/>
        </w:rPr>
        <w:t>s</w:t>
      </w:r>
      <w:r w:rsidR="004E79A4">
        <w:rPr>
          <w:bCs/>
        </w:rPr>
        <w:t xml:space="preserve"> have </w:t>
      </w:r>
      <w:r w:rsidR="007E523C">
        <w:rPr>
          <w:bCs/>
        </w:rPr>
        <w:t xml:space="preserve">also </w:t>
      </w:r>
      <w:r w:rsidR="004E79A4">
        <w:rPr>
          <w:bCs/>
        </w:rPr>
        <w:t>been adopted</w:t>
      </w:r>
      <w:r w:rsidRPr="00123CAE">
        <w:rPr>
          <w:bCs/>
        </w:rPr>
        <w:t>.</w:t>
      </w:r>
    </w:p>
    <w:p w14:paraId="53BF9834" w14:textId="751E9440" w:rsidR="00635559" w:rsidRPr="00123CAE" w:rsidRDefault="00635559" w:rsidP="008551A9">
      <w:pPr>
        <w:pStyle w:val="COMPara"/>
        <w:ind w:left="567" w:hanging="567"/>
        <w:jc w:val="both"/>
        <w:rPr>
          <w:bCs/>
        </w:rPr>
      </w:pPr>
      <w:r w:rsidRPr="00123CAE">
        <w:rPr>
          <w:b/>
          <w:bCs/>
        </w:rPr>
        <w:t>Community participation</w:t>
      </w:r>
      <w:r w:rsidRPr="00123CAE">
        <w:rPr>
          <w:bCs/>
        </w:rPr>
        <w:t xml:space="preserve">. Since inscription, bearers and local communities have become very active in safeguarding the element, presenting some of their own initiatives, collaborating with researchers (e.g. in data collection) and training apprentices. Some urban dwellers (mostly from bearer families) have provided </w:t>
      </w:r>
      <w:r w:rsidR="003D76BA" w:rsidRPr="00123CAE">
        <w:rPr>
          <w:bCs/>
        </w:rPr>
        <w:t>coastal properties to serve as L</w:t>
      </w:r>
      <w:r w:rsidRPr="00123CAE">
        <w:rPr>
          <w:bCs/>
        </w:rPr>
        <w:t>enj workshops and the Ebrahimi family gave over their house to be the Research Centre. Two professors of sociology and anthropology have voluntarily assisted in documentation and teaching locals at the Research Centre and several academic experts have organized workshops in maritime law. The report was prepared under the overall direction of the Iranian Cultural Heritage and Tourism Organisation operating through its provincial branches. The Research Centre was also directly involved and this helped to bring in local communities who provided documents, photos, videos and other information.</w:t>
      </w:r>
    </w:p>
    <w:p w14:paraId="783ED6A8" w14:textId="27755F63" w:rsidR="00635559" w:rsidRPr="00123CAE" w:rsidRDefault="00635559" w:rsidP="008551A9">
      <w:pPr>
        <w:pStyle w:val="COMPara"/>
        <w:ind w:left="567" w:hanging="567"/>
        <w:jc w:val="both"/>
        <w:rPr>
          <w:bCs/>
        </w:rPr>
      </w:pPr>
      <w:r w:rsidRPr="00123CAE">
        <w:rPr>
          <w:b/>
          <w:bCs/>
        </w:rPr>
        <w:t>Viability and current risks</w:t>
      </w:r>
      <w:r w:rsidRPr="00123CAE">
        <w:rPr>
          <w:bCs/>
        </w:rPr>
        <w:t xml:space="preserve">. </w:t>
      </w:r>
      <w:r w:rsidRPr="00123CAE">
        <w:t>Bu</w:t>
      </w:r>
      <w:r w:rsidR="003D76BA" w:rsidRPr="00123CAE">
        <w:t>ilding and sailing traditional L</w:t>
      </w:r>
      <w:r w:rsidRPr="00123CAE">
        <w:t>enj boats does show signs of revitali</w:t>
      </w:r>
      <w:r w:rsidR="003E4E4E" w:rsidRPr="00123CAE">
        <w:t>z</w:t>
      </w:r>
      <w:r w:rsidRPr="00123CAE">
        <w:t xml:space="preserve">ation but the element faces a number of serious threats at the same time. The community </w:t>
      </w:r>
      <w:r w:rsidR="0061447A" w:rsidRPr="00123CAE">
        <w:t xml:space="preserve">of practitioners </w:t>
      </w:r>
      <w:r w:rsidRPr="00123CAE">
        <w:t xml:space="preserve">is very small and generally composed of elderly people who are currently </w:t>
      </w:r>
      <w:r w:rsidR="0061447A" w:rsidRPr="00123CAE">
        <w:t xml:space="preserve">not </w:t>
      </w:r>
      <w:r w:rsidRPr="00123CAE">
        <w:t xml:space="preserve">being </w:t>
      </w:r>
      <w:r w:rsidR="0061447A" w:rsidRPr="00123CAE">
        <w:t xml:space="preserve">substituted </w:t>
      </w:r>
      <w:r w:rsidRPr="00123CAE">
        <w:t xml:space="preserve">by the younger generation. In addition, traditional wooden boats are being replaced by </w:t>
      </w:r>
      <w:r w:rsidR="0061447A" w:rsidRPr="00123CAE">
        <w:t xml:space="preserve">the </w:t>
      </w:r>
      <w:r w:rsidRPr="00123CAE">
        <w:t xml:space="preserve">modern fibreglass </w:t>
      </w:r>
      <w:r w:rsidR="0061447A" w:rsidRPr="00123CAE">
        <w:t xml:space="preserve">variety </w:t>
      </w:r>
      <w:r w:rsidRPr="00123CAE">
        <w:t xml:space="preserve">and the traditional know-how required for building them is being lost as a consequence. </w:t>
      </w:r>
      <w:r w:rsidR="003D76BA" w:rsidRPr="00123CAE">
        <w:t xml:space="preserve">It is reported that </w:t>
      </w:r>
      <w:r w:rsidRPr="00123CAE">
        <w:t xml:space="preserve">Lenj </w:t>
      </w:r>
      <w:r w:rsidRPr="00123CAE">
        <w:lastRenderedPageBreak/>
        <w:t>boat</w:t>
      </w:r>
      <w:r w:rsidR="00297690" w:rsidRPr="00123CAE">
        <w:noBreakHyphen/>
      </w:r>
      <w:r w:rsidRPr="00123CAE">
        <w:t>builders have no trade union, work for only 10 days per month and receive low wages</w:t>
      </w:r>
      <w:r w:rsidR="0061447A" w:rsidRPr="00123CAE">
        <w:t>.</w:t>
      </w:r>
      <w:r w:rsidRPr="00123CAE">
        <w:t xml:space="preserve"> </w:t>
      </w:r>
      <w:r w:rsidR="0061447A" w:rsidRPr="00123CAE">
        <w:t>A</w:t>
      </w:r>
      <w:r w:rsidRPr="00123CAE">
        <w:t xml:space="preserve">s a result, young people are not motivated to take up the profession. </w:t>
      </w:r>
      <w:r w:rsidR="0061447A" w:rsidRPr="00123CAE">
        <w:t>K</w:t>
      </w:r>
      <w:r w:rsidRPr="00123CAE">
        <w:t>nowledge o</w:t>
      </w:r>
      <w:r w:rsidR="0061447A" w:rsidRPr="00123CAE">
        <w:t>n</w:t>
      </w:r>
      <w:r w:rsidRPr="00123CAE">
        <w:t xml:space="preserve"> navigation and sailing </w:t>
      </w:r>
      <w:r w:rsidR="003D76BA" w:rsidRPr="00123CAE">
        <w:t>L</w:t>
      </w:r>
      <w:r w:rsidRPr="00123CAE">
        <w:t>enjes using</w:t>
      </w:r>
      <w:r w:rsidR="007D5D3D" w:rsidRPr="00123CAE">
        <w:t xml:space="preserve"> for example, </w:t>
      </w:r>
      <w:r w:rsidR="0061447A" w:rsidRPr="00123CAE">
        <w:t>a traditional compass</w:t>
      </w:r>
      <w:r w:rsidR="007D5D3D" w:rsidRPr="00123CAE">
        <w:t xml:space="preserve">, </w:t>
      </w:r>
      <w:r w:rsidRPr="00123CAE">
        <w:t xml:space="preserve">is also being eroded by </w:t>
      </w:r>
      <w:r w:rsidR="00B323CC" w:rsidRPr="00123CAE">
        <w:t xml:space="preserve">the </w:t>
      </w:r>
      <w:r w:rsidR="00DD48F8" w:rsidRPr="00123CAE">
        <w:t>accessibility</w:t>
      </w:r>
      <w:r w:rsidR="00624DAD" w:rsidRPr="00123CAE">
        <w:t xml:space="preserve"> </w:t>
      </w:r>
      <w:r w:rsidRPr="00123CAE">
        <w:t>of weather forecast</w:t>
      </w:r>
      <w:r w:rsidR="00624DAD" w:rsidRPr="00123CAE">
        <w:t xml:space="preserve"> broadcasting</w:t>
      </w:r>
      <w:r w:rsidR="00DD48F8" w:rsidRPr="00123CAE">
        <w:t xml:space="preserve"> and modern GPS technology</w:t>
      </w:r>
      <w:r w:rsidRPr="00123CAE">
        <w:t>. Young people, however, are still being trained in the traditional methods by captains and combine both modern and traditional methods.</w:t>
      </w:r>
    </w:p>
    <w:p w14:paraId="1DBDEE15" w14:textId="77777777" w:rsidR="002F4BD6" w:rsidRPr="00123CAE" w:rsidRDefault="002F4BD6" w:rsidP="008551A9">
      <w:pPr>
        <w:pStyle w:val="COMPara"/>
        <w:ind w:left="567" w:hanging="567"/>
        <w:jc w:val="both"/>
      </w:pPr>
      <w:r w:rsidRPr="00123CAE">
        <w:t>The Committee may wish to adopt the following decision:</w:t>
      </w:r>
    </w:p>
    <w:p w14:paraId="1A6369A2" w14:textId="77777777" w:rsidR="002F4BD6" w:rsidRPr="00123CAE" w:rsidRDefault="00635559" w:rsidP="002F4BD6">
      <w:pPr>
        <w:pStyle w:val="Heading4"/>
        <w:numPr>
          <w:ilvl w:val="0"/>
          <w:numId w:val="0"/>
        </w:numPr>
        <w:spacing w:before="240"/>
        <w:ind w:left="567"/>
        <w:rPr>
          <w:rFonts w:eastAsia="SimSun"/>
        </w:rPr>
      </w:pPr>
      <w:bookmarkStart w:id="3" w:name="Dec11COM_9b2"/>
      <w:bookmarkEnd w:id="3"/>
      <w:r w:rsidRPr="00123CAE">
        <w:t>DRAFT DECISION 11.COM 9.b.2</w:t>
      </w:r>
      <w:r w:rsidR="002F4BD6" w:rsidRPr="00123CAE">
        <w:t xml:space="preserve"> </w:t>
      </w:r>
      <w:r w:rsidR="002F4BD6" w:rsidRPr="00123CAE">
        <w:rPr>
          <w:noProof/>
          <w:snapToGrid/>
          <w:lang w:val="fr-FR" w:eastAsia="fr-FR"/>
        </w:rPr>
        <w:drawing>
          <wp:inline distT="0" distB="0" distL="0" distR="0" wp14:anchorId="588FB510" wp14:editId="77DE72A9">
            <wp:extent cx="103505" cy="103505"/>
            <wp:effectExtent l="0" t="0" r="0" b="0"/>
            <wp:docPr id="3" name="Picture 3" descr="Return to top">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72D822B2" w14:textId="77777777" w:rsidR="002F4BD6" w:rsidRPr="00123CAE" w:rsidRDefault="002F4BD6" w:rsidP="002F4BD6">
      <w:pPr>
        <w:pStyle w:val="Para"/>
        <w:keepNext/>
        <w:numPr>
          <w:ilvl w:val="0"/>
          <w:numId w:val="0"/>
        </w:numPr>
        <w:tabs>
          <w:tab w:val="left" w:pos="1134"/>
        </w:tabs>
        <w:spacing w:line="240" w:lineRule="auto"/>
        <w:ind w:left="567"/>
        <w:rPr>
          <w:rFonts w:cs="Arial"/>
          <w:sz w:val="22"/>
          <w:szCs w:val="22"/>
          <w:lang w:val="en-GB"/>
        </w:rPr>
      </w:pPr>
      <w:r w:rsidRPr="00123CAE">
        <w:rPr>
          <w:rFonts w:cs="Arial"/>
          <w:sz w:val="22"/>
          <w:szCs w:val="22"/>
          <w:lang w:val="en-GB"/>
        </w:rPr>
        <w:t>The Committee,</w:t>
      </w:r>
    </w:p>
    <w:p w14:paraId="68B8055E" w14:textId="77777777" w:rsidR="002F4BD6" w:rsidRPr="00123CAE" w:rsidRDefault="002F4BD6" w:rsidP="00615E3C">
      <w:pPr>
        <w:pStyle w:val="Para"/>
        <w:numPr>
          <w:ilvl w:val="0"/>
          <w:numId w:val="16"/>
        </w:numPr>
        <w:tabs>
          <w:tab w:val="left" w:pos="1134"/>
        </w:tabs>
        <w:spacing w:line="240" w:lineRule="auto"/>
        <w:ind w:left="1134" w:hanging="567"/>
        <w:rPr>
          <w:rFonts w:cs="Arial"/>
          <w:sz w:val="22"/>
          <w:szCs w:val="22"/>
          <w:lang w:val="en-GB"/>
        </w:rPr>
      </w:pPr>
      <w:r w:rsidRPr="00123CAE">
        <w:rPr>
          <w:rFonts w:cs="Arial"/>
          <w:sz w:val="22"/>
          <w:szCs w:val="22"/>
          <w:u w:val="single"/>
          <w:lang w:val="en-GB"/>
        </w:rPr>
        <w:t>Having examined</w:t>
      </w:r>
      <w:r w:rsidR="00635559" w:rsidRPr="00123CAE">
        <w:rPr>
          <w:rFonts w:cs="Arial"/>
          <w:sz w:val="22"/>
          <w:szCs w:val="22"/>
          <w:lang w:val="en-GB"/>
        </w:rPr>
        <w:t xml:space="preserve"> document ITH/16/11</w:t>
      </w:r>
      <w:r w:rsidRPr="00123CAE">
        <w:rPr>
          <w:rFonts w:cs="Arial"/>
          <w:sz w:val="22"/>
          <w:szCs w:val="22"/>
          <w:lang w:val="en-GB"/>
        </w:rPr>
        <w:t>.COM/</w:t>
      </w:r>
      <w:r w:rsidR="00635559" w:rsidRPr="00123CAE">
        <w:rPr>
          <w:rFonts w:cs="Arial"/>
          <w:sz w:val="22"/>
          <w:szCs w:val="22"/>
          <w:lang w:val="en-GB"/>
        </w:rPr>
        <w:t>9</w:t>
      </w:r>
      <w:r w:rsidRPr="00123CAE">
        <w:rPr>
          <w:rFonts w:cs="Arial"/>
          <w:sz w:val="22"/>
          <w:szCs w:val="22"/>
          <w:lang w:val="en-GB"/>
        </w:rPr>
        <w:t>.b,</w:t>
      </w:r>
    </w:p>
    <w:p w14:paraId="76B2C6FB" w14:textId="38DD650E" w:rsidR="002F4BD6" w:rsidRPr="00123CAE" w:rsidRDefault="002F4BD6" w:rsidP="00615E3C">
      <w:pPr>
        <w:pStyle w:val="Para"/>
        <w:numPr>
          <w:ilvl w:val="0"/>
          <w:numId w:val="14"/>
        </w:numPr>
        <w:tabs>
          <w:tab w:val="left" w:pos="1134"/>
        </w:tabs>
        <w:spacing w:line="240" w:lineRule="auto"/>
        <w:ind w:left="1134" w:hanging="567"/>
        <w:rPr>
          <w:rFonts w:cs="Arial"/>
          <w:sz w:val="22"/>
          <w:szCs w:val="22"/>
          <w:lang w:val="en-GB"/>
        </w:rPr>
      </w:pPr>
      <w:r w:rsidRPr="00123CAE">
        <w:rPr>
          <w:rFonts w:cs="Arial"/>
          <w:sz w:val="22"/>
          <w:szCs w:val="22"/>
          <w:u w:val="single"/>
          <w:lang w:val="en-GB"/>
        </w:rPr>
        <w:t>Recalling</w:t>
      </w:r>
      <w:r w:rsidRPr="00123CAE">
        <w:rPr>
          <w:rFonts w:cs="Arial"/>
          <w:sz w:val="22"/>
          <w:szCs w:val="22"/>
          <w:lang w:val="en-GB"/>
        </w:rPr>
        <w:t xml:space="preserve"> Chapter V of the Operational Directives and its Decision </w:t>
      </w:r>
      <w:hyperlink r:id="rId34" w:history="1">
        <w:r w:rsidR="00635559" w:rsidRPr="009D1622">
          <w:rPr>
            <w:rStyle w:val="Hyperlink"/>
            <w:rFonts w:cs="Arial"/>
            <w:sz w:val="22"/>
            <w:szCs w:val="22"/>
            <w:lang w:val="en-GB"/>
          </w:rPr>
          <w:t>6.COM 8.10</w:t>
        </w:r>
      </w:hyperlink>
      <w:r w:rsidRPr="00123CAE">
        <w:rPr>
          <w:rFonts w:cs="Arial"/>
          <w:sz w:val="22"/>
          <w:szCs w:val="22"/>
          <w:lang w:val="en-GB"/>
        </w:rPr>
        <w:t>,</w:t>
      </w:r>
    </w:p>
    <w:p w14:paraId="4388713C" w14:textId="77777777" w:rsidR="00635559" w:rsidRPr="00123CAE" w:rsidRDefault="00635559" w:rsidP="00615E3C">
      <w:pPr>
        <w:pStyle w:val="Para"/>
        <w:numPr>
          <w:ilvl w:val="0"/>
          <w:numId w:val="14"/>
        </w:numPr>
        <w:ind w:left="1134" w:hanging="567"/>
        <w:rPr>
          <w:sz w:val="22"/>
          <w:szCs w:val="22"/>
          <w:lang w:val="en-GB"/>
        </w:rPr>
      </w:pPr>
      <w:r w:rsidRPr="00123CAE">
        <w:rPr>
          <w:sz w:val="22"/>
          <w:szCs w:val="22"/>
          <w:u w:val="single"/>
          <w:lang w:val="en-GB"/>
        </w:rPr>
        <w:t>Expresses its thanks</w:t>
      </w:r>
      <w:r w:rsidRPr="00123CAE">
        <w:rPr>
          <w:sz w:val="22"/>
          <w:szCs w:val="22"/>
          <w:lang w:val="en-GB"/>
        </w:rPr>
        <w:t xml:space="preserve"> to the Islamic Republic of Iran for submitting its report on the </w:t>
      </w:r>
      <w:r w:rsidRPr="00123CAE">
        <w:rPr>
          <w:bCs/>
          <w:sz w:val="22"/>
          <w:szCs w:val="22"/>
          <w:lang w:val="en-GB"/>
        </w:rPr>
        <w:t xml:space="preserve">status of the </w:t>
      </w:r>
      <w:r w:rsidRPr="00123CAE">
        <w:rPr>
          <w:sz w:val="22"/>
          <w:szCs w:val="22"/>
          <w:lang w:val="en-GB"/>
        </w:rPr>
        <w:t xml:space="preserve">element </w:t>
      </w:r>
      <w:r w:rsidR="009B7C93" w:rsidRPr="00123CAE">
        <w:rPr>
          <w:sz w:val="22"/>
          <w:szCs w:val="22"/>
          <w:lang w:val="en-GB"/>
        </w:rPr>
        <w:t>‘</w:t>
      </w:r>
      <w:r w:rsidRPr="00123CAE">
        <w:rPr>
          <w:sz w:val="22"/>
          <w:szCs w:val="22"/>
          <w:lang w:val="en-GB"/>
        </w:rPr>
        <w:t xml:space="preserve">Traditional skills of building and sailing Iranian Lenj boats in the </w:t>
      </w:r>
      <w:r w:rsidRPr="00123CAE">
        <w:rPr>
          <w:bCs/>
          <w:sz w:val="22"/>
          <w:szCs w:val="22"/>
          <w:lang w:val="en-GB"/>
        </w:rPr>
        <w:t>Persian Gulf</w:t>
      </w:r>
      <w:r w:rsidR="009B7C93" w:rsidRPr="00123CAE">
        <w:rPr>
          <w:bCs/>
          <w:sz w:val="22"/>
          <w:szCs w:val="22"/>
          <w:lang w:val="en-GB"/>
        </w:rPr>
        <w:t>’</w:t>
      </w:r>
      <w:r w:rsidRPr="00123CAE">
        <w:rPr>
          <w:sz w:val="22"/>
          <w:szCs w:val="22"/>
          <w:lang w:val="en-GB"/>
        </w:rPr>
        <w:t>, inscribed</w:t>
      </w:r>
      <w:r w:rsidRPr="00123CAE">
        <w:rPr>
          <w:bCs/>
          <w:sz w:val="22"/>
          <w:szCs w:val="22"/>
          <w:lang w:val="en-GB"/>
        </w:rPr>
        <w:t xml:space="preserve"> in 2011 on the List of Intangible Cultural Heritage in Need of Urgent Safeguarding;</w:t>
      </w:r>
    </w:p>
    <w:p w14:paraId="646CF3EB" w14:textId="0F574A5D" w:rsidR="00635559" w:rsidRPr="00123CAE" w:rsidRDefault="00635559" w:rsidP="00615E3C">
      <w:pPr>
        <w:pStyle w:val="Para"/>
        <w:numPr>
          <w:ilvl w:val="0"/>
          <w:numId w:val="14"/>
        </w:numPr>
        <w:ind w:left="1134" w:hanging="567"/>
        <w:rPr>
          <w:sz w:val="22"/>
          <w:szCs w:val="22"/>
          <w:lang w:val="en-GB"/>
        </w:rPr>
      </w:pPr>
      <w:r w:rsidRPr="00123CAE">
        <w:rPr>
          <w:sz w:val="22"/>
          <w:szCs w:val="22"/>
          <w:u w:val="single"/>
          <w:lang w:val="en-GB"/>
        </w:rPr>
        <w:t>Takes note</w:t>
      </w:r>
      <w:r w:rsidRPr="00123CAE">
        <w:rPr>
          <w:sz w:val="22"/>
          <w:szCs w:val="22"/>
          <w:lang w:val="en-GB"/>
        </w:rPr>
        <w:t xml:space="preserve"> of the continued efforts undertaken by </w:t>
      </w:r>
      <w:r w:rsidR="009B7C93" w:rsidRPr="00123CAE">
        <w:rPr>
          <w:sz w:val="22"/>
          <w:szCs w:val="22"/>
          <w:lang w:val="en-GB"/>
        </w:rPr>
        <w:t xml:space="preserve">the Islamic Republic of </w:t>
      </w:r>
      <w:r w:rsidRPr="00123CAE">
        <w:rPr>
          <w:sz w:val="22"/>
          <w:szCs w:val="22"/>
          <w:lang w:val="en-GB"/>
        </w:rPr>
        <w:t xml:space="preserve">Iran to safeguard the element and, in particular, to raise awareness of the element among the bearer community and general public, create a Lenj Research Centre and conduct field research on the current state of the element, institute the training of a new generation of </w:t>
      </w:r>
      <w:r w:rsidR="009B7C93" w:rsidRPr="00123CAE">
        <w:rPr>
          <w:sz w:val="22"/>
          <w:szCs w:val="22"/>
          <w:lang w:val="en-GB"/>
        </w:rPr>
        <w:t>L</w:t>
      </w:r>
      <w:r w:rsidRPr="00123CAE">
        <w:rPr>
          <w:sz w:val="22"/>
          <w:szCs w:val="22"/>
          <w:lang w:val="en-GB"/>
        </w:rPr>
        <w:t>enj builders and sailors using traditional apprenticeship methods and improve the capacity of bearers, non-governmental organi</w:t>
      </w:r>
      <w:r w:rsidR="00C74D31" w:rsidRPr="00123CAE">
        <w:rPr>
          <w:sz w:val="22"/>
          <w:szCs w:val="22"/>
          <w:lang w:val="en-GB"/>
        </w:rPr>
        <w:t>z</w:t>
      </w:r>
      <w:r w:rsidRPr="00123CAE">
        <w:rPr>
          <w:sz w:val="22"/>
          <w:szCs w:val="22"/>
          <w:lang w:val="en-GB"/>
        </w:rPr>
        <w:t>ations, community-based organi</w:t>
      </w:r>
      <w:r w:rsidR="00C74D31" w:rsidRPr="00123CAE">
        <w:rPr>
          <w:sz w:val="22"/>
          <w:szCs w:val="22"/>
          <w:lang w:val="en-GB"/>
        </w:rPr>
        <w:t>z</w:t>
      </w:r>
      <w:r w:rsidRPr="00123CAE">
        <w:rPr>
          <w:sz w:val="22"/>
          <w:szCs w:val="22"/>
          <w:lang w:val="en-GB"/>
        </w:rPr>
        <w:t>ation</w:t>
      </w:r>
      <w:r w:rsidR="009B7C93" w:rsidRPr="00123CAE">
        <w:rPr>
          <w:sz w:val="22"/>
          <w:szCs w:val="22"/>
          <w:lang w:val="en-GB"/>
        </w:rPr>
        <w:t>s and experts for safeguarding;</w:t>
      </w:r>
    </w:p>
    <w:p w14:paraId="42D67881" w14:textId="717AABE2" w:rsidR="00635559" w:rsidRPr="00123CAE" w:rsidRDefault="00635559" w:rsidP="00615E3C">
      <w:pPr>
        <w:pStyle w:val="Para"/>
        <w:numPr>
          <w:ilvl w:val="0"/>
          <w:numId w:val="14"/>
        </w:numPr>
        <w:ind w:left="1134" w:hanging="567"/>
        <w:rPr>
          <w:sz w:val="22"/>
          <w:szCs w:val="22"/>
          <w:lang w:val="en-GB"/>
        </w:rPr>
      </w:pPr>
      <w:r w:rsidRPr="00123CAE">
        <w:rPr>
          <w:sz w:val="22"/>
          <w:szCs w:val="22"/>
          <w:u w:val="single"/>
          <w:lang w:val="en-GB"/>
        </w:rPr>
        <w:t>Invites</w:t>
      </w:r>
      <w:r w:rsidRPr="00123CAE">
        <w:rPr>
          <w:sz w:val="22"/>
          <w:szCs w:val="22"/>
          <w:lang w:val="en-GB"/>
        </w:rPr>
        <w:t xml:space="preserve"> the State Party to continue working with a wide variety of state and non</w:t>
      </w:r>
      <w:r w:rsidR="00297690" w:rsidRPr="00123CAE">
        <w:rPr>
          <w:sz w:val="22"/>
          <w:szCs w:val="22"/>
          <w:lang w:val="en-GB"/>
        </w:rPr>
        <w:noBreakHyphen/>
      </w:r>
      <w:r w:rsidRPr="00123CAE">
        <w:rPr>
          <w:sz w:val="22"/>
          <w:szCs w:val="22"/>
          <w:lang w:val="en-GB"/>
        </w:rPr>
        <w:t>governmental partners, as well as the community</w:t>
      </w:r>
      <w:r w:rsidR="00C74D31" w:rsidRPr="00123CAE">
        <w:rPr>
          <w:sz w:val="22"/>
          <w:szCs w:val="22"/>
          <w:lang w:val="en-GB"/>
        </w:rPr>
        <w:t xml:space="preserve"> concerned</w:t>
      </w:r>
      <w:r w:rsidRPr="00123CAE">
        <w:rPr>
          <w:sz w:val="22"/>
          <w:szCs w:val="22"/>
          <w:lang w:val="en-GB"/>
        </w:rPr>
        <w:t xml:space="preserve"> in order to safeguard the element and further </w:t>
      </w:r>
      <w:r w:rsidR="00C74D31" w:rsidRPr="00123CAE">
        <w:rPr>
          <w:sz w:val="22"/>
          <w:szCs w:val="22"/>
          <w:lang w:val="en-GB"/>
        </w:rPr>
        <w:t xml:space="preserve">develop </w:t>
      </w:r>
      <w:r w:rsidRPr="00123CAE">
        <w:rPr>
          <w:sz w:val="22"/>
          <w:szCs w:val="22"/>
          <w:lang w:val="en-GB"/>
        </w:rPr>
        <w:t xml:space="preserve">its role in the contemporary life of the local community, seek ways </w:t>
      </w:r>
      <w:r w:rsidR="00C74D31" w:rsidRPr="00123CAE">
        <w:rPr>
          <w:sz w:val="22"/>
          <w:szCs w:val="22"/>
          <w:lang w:val="en-GB"/>
        </w:rPr>
        <w:t>f</w:t>
      </w:r>
      <w:r w:rsidRPr="00123CAE">
        <w:rPr>
          <w:sz w:val="22"/>
          <w:szCs w:val="22"/>
          <w:lang w:val="en-GB"/>
        </w:rPr>
        <w:t>o</w:t>
      </w:r>
      <w:r w:rsidR="00C74D31" w:rsidRPr="00123CAE">
        <w:rPr>
          <w:sz w:val="22"/>
          <w:szCs w:val="22"/>
          <w:lang w:val="en-GB"/>
        </w:rPr>
        <w:t>r</w:t>
      </w:r>
      <w:r w:rsidRPr="00123CAE">
        <w:rPr>
          <w:sz w:val="22"/>
          <w:szCs w:val="22"/>
          <w:lang w:val="en-GB"/>
        </w:rPr>
        <w:t xml:space="preserve"> reconcil</w:t>
      </w:r>
      <w:r w:rsidR="00C74D31" w:rsidRPr="00123CAE">
        <w:rPr>
          <w:sz w:val="22"/>
          <w:szCs w:val="22"/>
          <w:lang w:val="en-GB"/>
        </w:rPr>
        <w:t>ing</w:t>
      </w:r>
      <w:r w:rsidRPr="00123CAE">
        <w:rPr>
          <w:sz w:val="22"/>
          <w:szCs w:val="22"/>
          <w:lang w:val="en-GB"/>
        </w:rPr>
        <w:t xml:space="preserve"> modern methods of boat-building and navigation </w:t>
      </w:r>
      <w:r w:rsidR="00C74D31" w:rsidRPr="00123CAE">
        <w:rPr>
          <w:sz w:val="22"/>
          <w:szCs w:val="22"/>
          <w:lang w:val="en-GB"/>
        </w:rPr>
        <w:t xml:space="preserve">with traditional methods </w:t>
      </w:r>
      <w:r w:rsidRPr="00123CAE">
        <w:rPr>
          <w:sz w:val="22"/>
          <w:szCs w:val="22"/>
          <w:lang w:val="en-GB"/>
        </w:rPr>
        <w:t xml:space="preserve">and provide a real living to </w:t>
      </w:r>
      <w:r w:rsidR="009B7C93" w:rsidRPr="00123CAE">
        <w:rPr>
          <w:sz w:val="22"/>
          <w:szCs w:val="22"/>
          <w:lang w:val="en-GB"/>
        </w:rPr>
        <w:t>L</w:t>
      </w:r>
      <w:r w:rsidRPr="00123CAE">
        <w:rPr>
          <w:sz w:val="22"/>
          <w:szCs w:val="22"/>
          <w:lang w:val="en-GB"/>
        </w:rPr>
        <w:t>enj captains and sailors</w:t>
      </w:r>
      <w:r w:rsidR="009B7C93" w:rsidRPr="00123CAE">
        <w:rPr>
          <w:sz w:val="22"/>
          <w:szCs w:val="22"/>
          <w:lang w:val="en-GB"/>
        </w:rPr>
        <w:t>;</w:t>
      </w:r>
    </w:p>
    <w:p w14:paraId="38D9C98D" w14:textId="3EDD9602" w:rsidR="00635559" w:rsidRPr="00123CAE" w:rsidRDefault="00635559" w:rsidP="00615E3C">
      <w:pPr>
        <w:pStyle w:val="Para"/>
        <w:numPr>
          <w:ilvl w:val="0"/>
          <w:numId w:val="14"/>
        </w:numPr>
        <w:ind w:left="1134" w:hanging="567"/>
        <w:rPr>
          <w:sz w:val="22"/>
          <w:szCs w:val="22"/>
          <w:lang w:val="en-GB"/>
        </w:rPr>
      </w:pPr>
      <w:r w:rsidRPr="00123CAE">
        <w:rPr>
          <w:sz w:val="22"/>
          <w:szCs w:val="22"/>
          <w:u w:val="single"/>
          <w:lang w:val="en-GB"/>
        </w:rPr>
        <w:t>Encourages</w:t>
      </w:r>
      <w:r w:rsidRPr="00123CAE">
        <w:rPr>
          <w:sz w:val="22"/>
          <w:szCs w:val="22"/>
          <w:lang w:val="en-GB"/>
        </w:rPr>
        <w:t xml:space="preserve"> the State Party to continue to track the impacts of safeguarding </w:t>
      </w:r>
      <w:r w:rsidR="009B7C93" w:rsidRPr="00123CAE">
        <w:rPr>
          <w:sz w:val="22"/>
          <w:szCs w:val="22"/>
          <w:lang w:val="en-GB"/>
        </w:rPr>
        <w:t xml:space="preserve">activities </w:t>
      </w:r>
      <w:r w:rsidRPr="00123CAE">
        <w:rPr>
          <w:sz w:val="22"/>
          <w:szCs w:val="22"/>
          <w:lang w:val="en-GB"/>
        </w:rPr>
        <w:t xml:space="preserve">on the element and its bearers, to increase the number of </w:t>
      </w:r>
      <w:r w:rsidR="009B7C93" w:rsidRPr="00123CAE">
        <w:rPr>
          <w:sz w:val="22"/>
          <w:szCs w:val="22"/>
          <w:lang w:val="en-GB"/>
        </w:rPr>
        <w:t>L</w:t>
      </w:r>
      <w:r w:rsidRPr="00123CAE">
        <w:rPr>
          <w:sz w:val="22"/>
          <w:szCs w:val="22"/>
          <w:lang w:val="en-GB"/>
        </w:rPr>
        <w:t xml:space="preserve">enj workshops using traditional boat-building techniques and to continue to work with bearers to find innovative means of safeguarding the element in the face of technological and </w:t>
      </w:r>
      <w:r w:rsidR="007E523C">
        <w:rPr>
          <w:sz w:val="22"/>
          <w:szCs w:val="22"/>
          <w:lang w:val="en-GB"/>
        </w:rPr>
        <w:t>economic</w:t>
      </w:r>
      <w:r w:rsidR="007E523C" w:rsidRPr="00123CAE">
        <w:rPr>
          <w:sz w:val="22"/>
          <w:szCs w:val="22"/>
          <w:lang w:val="en-GB"/>
        </w:rPr>
        <w:t xml:space="preserve"> </w:t>
      </w:r>
      <w:r w:rsidRPr="00123CAE">
        <w:rPr>
          <w:sz w:val="22"/>
          <w:szCs w:val="22"/>
          <w:lang w:val="en-GB"/>
        </w:rPr>
        <w:t xml:space="preserve">challenges and </w:t>
      </w:r>
      <w:r w:rsidR="00C74D31" w:rsidRPr="00123CAE">
        <w:rPr>
          <w:sz w:val="22"/>
          <w:szCs w:val="22"/>
          <w:lang w:val="en-GB"/>
        </w:rPr>
        <w:t>t</w:t>
      </w:r>
      <w:r w:rsidRPr="00123CAE">
        <w:rPr>
          <w:sz w:val="22"/>
          <w:szCs w:val="22"/>
          <w:lang w:val="en-GB"/>
        </w:rPr>
        <w:t>o</w:t>
      </w:r>
      <w:r w:rsidR="009B7C93" w:rsidRPr="00123CAE">
        <w:rPr>
          <w:sz w:val="22"/>
          <w:szCs w:val="22"/>
          <w:lang w:val="en-GB"/>
        </w:rPr>
        <w:t xml:space="preserve"> support its practitioners;</w:t>
      </w:r>
    </w:p>
    <w:p w14:paraId="1615F427" w14:textId="05D60FFD" w:rsidR="0034539A" w:rsidRPr="00123CAE" w:rsidRDefault="002F4BD6" w:rsidP="001C5A89">
      <w:pPr>
        <w:pStyle w:val="Para"/>
        <w:numPr>
          <w:ilvl w:val="0"/>
          <w:numId w:val="14"/>
        </w:numPr>
        <w:tabs>
          <w:tab w:val="left" w:pos="1134"/>
        </w:tabs>
        <w:spacing w:line="240" w:lineRule="auto"/>
        <w:ind w:left="1134" w:hanging="567"/>
        <w:rPr>
          <w:rFonts w:cs="Arial"/>
          <w:sz w:val="22"/>
          <w:szCs w:val="22"/>
          <w:lang w:val="en-GB"/>
        </w:rPr>
      </w:pPr>
      <w:r w:rsidRPr="00123CAE">
        <w:rPr>
          <w:rFonts w:cs="Arial"/>
          <w:sz w:val="22"/>
          <w:szCs w:val="22"/>
          <w:u w:val="single"/>
          <w:lang w:val="en-GB"/>
        </w:rPr>
        <w:t>Requests</w:t>
      </w:r>
      <w:r w:rsidRPr="00123CAE">
        <w:rPr>
          <w:rFonts w:cs="Arial"/>
          <w:sz w:val="22"/>
          <w:szCs w:val="22"/>
          <w:lang w:val="en-GB"/>
        </w:rPr>
        <w:t xml:space="preserve"> the Secretariat to inform the State Party </w:t>
      </w:r>
      <w:r w:rsidR="009B7C93" w:rsidRPr="00123CAE">
        <w:rPr>
          <w:rFonts w:cs="Arial"/>
          <w:sz w:val="22"/>
          <w:szCs w:val="22"/>
          <w:lang w:val="en-GB"/>
        </w:rPr>
        <w:t xml:space="preserve">at least nine </w:t>
      </w:r>
      <w:r w:rsidRPr="00123CAE">
        <w:rPr>
          <w:rFonts w:cs="Arial"/>
          <w:sz w:val="22"/>
          <w:szCs w:val="22"/>
          <w:lang w:val="en-GB"/>
        </w:rPr>
        <w:t>months prior to the deadline of 15 December 2</w:t>
      </w:r>
      <w:r w:rsidR="009B7C93" w:rsidRPr="00123CAE">
        <w:rPr>
          <w:rFonts w:cs="Arial"/>
          <w:sz w:val="22"/>
          <w:szCs w:val="22"/>
          <w:lang w:val="en-GB"/>
        </w:rPr>
        <w:t>019</w:t>
      </w:r>
      <w:r w:rsidRPr="00123CAE">
        <w:rPr>
          <w:rFonts w:cs="Arial"/>
          <w:sz w:val="22"/>
          <w:szCs w:val="22"/>
          <w:lang w:val="en-GB"/>
        </w:rPr>
        <w:t xml:space="preserve"> </w:t>
      </w:r>
      <w:r w:rsidR="00DD48F8" w:rsidRPr="00123CAE">
        <w:rPr>
          <w:rFonts w:cs="Arial"/>
          <w:sz w:val="22"/>
          <w:szCs w:val="22"/>
          <w:lang w:val="en-GB"/>
        </w:rPr>
        <w:t xml:space="preserve">about the required </w:t>
      </w:r>
      <w:r w:rsidRPr="00123CAE">
        <w:rPr>
          <w:rFonts w:cs="Arial"/>
          <w:sz w:val="22"/>
          <w:szCs w:val="22"/>
          <w:lang w:val="en-GB"/>
        </w:rPr>
        <w:t>submission of its next report on the status of this element.</w:t>
      </w:r>
    </w:p>
    <w:p w14:paraId="63442C0C" w14:textId="77777777" w:rsidR="007E5144" w:rsidRPr="00123CAE" w:rsidRDefault="007E5144" w:rsidP="007E5144">
      <w:pPr>
        <w:pStyle w:val="COMTitleDecision"/>
        <w:pageBreakBefore/>
        <w:spacing w:before="480"/>
        <w:jc w:val="left"/>
      </w:pPr>
      <w:r w:rsidRPr="00123CAE">
        <w:rPr>
          <w:bCs/>
        </w:rPr>
        <w:lastRenderedPageBreak/>
        <w:t>Iran (Islamic Republic of):</w:t>
      </w:r>
      <w:r w:rsidRPr="00123CAE">
        <w:t xml:space="preserve"> ‘Naqqāli, Iranian dramatic story-telling’ </w:t>
      </w:r>
      <w:r w:rsidRPr="00123CAE">
        <w:rPr>
          <w:b w:val="0"/>
          <w:bCs/>
          <w:i/>
          <w:iCs/>
        </w:rPr>
        <w:t xml:space="preserve">(consult the </w:t>
      </w:r>
      <w:hyperlink r:id="rId35" w:history="1">
        <w:r w:rsidRPr="00123CAE">
          <w:rPr>
            <w:rStyle w:val="Hyperlink"/>
            <w:b w:val="0"/>
            <w:bCs/>
            <w:i/>
            <w:iCs/>
          </w:rPr>
          <w:t>report</w:t>
        </w:r>
      </w:hyperlink>
      <w:r w:rsidRPr="00123CAE">
        <w:rPr>
          <w:b w:val="0"/>
          <w:bCs/>
          <w:i/>
          <w:iCs/>
        </w:rPr>
        <w:t>)</w:t>
      </w:r>
    </w:p>
    <w:p w14:paraId="495AA4D2" w14:textId="4CBB311D" w:rsidR="007E5144" w:rsidRPr="00123CAE" w:rsidRDefault="001C5A89" w:rsidP="007E5144">
      <w:pPr>
        <w:pStyle w:val="Marge"/>
        <w:numPr>
          <w:ilvl w:val="0"/>
          <w:numId w:val="9"/>
        </w:numPr>
        <w:tabs>
          <w:tab w:val="clear" w:pos="567"/>
        </w:tabs>
        <w:autoSpaceDE w:val="0"/>
        <w:autoSpaceDN w:val="0"/>
        <w:adjustRightInd w:val="0"/>
        <w:spacing w:after="120"/>
        <w:ind w:left="567" w:hanging="567"/>
        <w:rPr>
          <w:rFonts w:cs="Arial"/>
          <w:bCs/>
          <w:szCs w:val="22"/>
          <w:lang w:val="en-GB"/>
        </w:rPr>
      </w:pPr>
      <w:r w:rsidRPr="00123CAE">
        <w:rPr>
          <w:rFonts w:cs="Arial"/>
          <w:bCs/>
          <w:szCs w:val="22"/>
          <w:lang w:val="en-GB"/>
        </w:rPr>
        <w:t xml:space="preserve">Naqqāli which is performed by naqqāls (traditional storytellers) is the oldest form of play in </w:t>
      </w:r>
      <w:r w:rsidR="00DC5762" w:rsidRPr="00123CAE">
        <w:rPr>
          <w:rFonts w:cs="Arial"/>
          <w:bCs/>
          <w:szCs w:val="22"/>
          <w:lang w:val="en-GB"/>
        </w:rPr>
        <w:t xml:space="preserve">the Islamic Republic of </w:t>
      </w:r>
      <w:r w:rsidRPr="00123CAE">
        <w:rPr>
          <w:rFonts w:cs="Arial"/>
          <w:bCs/>
          <w:szCs w:val="22"/>
          <w:lang w:val="en-GB"/>
        </w:rPr>
        <w:t xml:space="preserve">Iran that has its origins in ancient Iran. It is a dramatic performance comprising the telling of an historical or legendary story, based </w:t>
      </w:r>
      <w:r w:rsidR="000357FD" w:rsidRPr="00123CAE">
        <w:rPr>
          <w:rFonts w:cs="Arial"/>
          <w:bCs/>
          <w:szCs w:val="22"/>
          <w:lang w:val="en-GB"/>
        </w:rPr>
        <w:t>o</w:t>
      </w:r>
      <w:r w:rsidRPr="00123CAE">
        <w:rPr>
          <w:rFonts w:cs="Arial"/>
          <w:bCs/>
          <w:szCs w:val="22"/>
          <w:lang w:val="en-GB"/>
        </w:rPr>
        <w:t>n a variety of genres. It plays a role in forming Iranian identity and also has important social and cultural functions. Notably, there is a small community of female naqqāls who perform to mixed audiences and also assist in transmitting the element orally to younger women and girls.</w:t>
      </w:r>
    </w:p>
    <w:p w14:paraId="3571EBAC" w14:textId="4CEB097F" w:rsidR="00A20A20" w:rsidRPr="00123CAE" w:rsidRDefault="007E5144" w:rsidP="001567E1">
      <w:pPr>
        <w:pStyle w:val="Marge"/>
        <w:numPr>
          <w:ilvl w:val="0"/>
          <w:numId w:val="9"/>
        </w:numPr>
        <w:tabs>
          <w:tab w:val="clear" w:pos="567"/>
          <w:tab w:val="left" w:pos="4395"/>
        </w:tabs>
        <w:autoSpaceDE w:val="0"/>
        <w:autoSpaceDN w:val="0"/>
        <w:adjustRightInd w:val="0"/>
        <w:spacing w:after="120"/>
        <w:ind w:left="567" w:hanging="567"/>
        <w:rPr>
          <w:rFonts w:cs="Arial"/>
          <w:bCs/>
          <w:szCs w:val="22"/>
          <w:lang w:val="en-GB"/>
        </w:rPr>
      </w:pPr>
      <w:r w:rsidRPr="00123CAE">
        <w:rPr>
          <w:rFonts w:cs="Arial"/>
          <w:b/>
          <w:bCs/>
          <w:szCs w:val="22"/>
          <w:lang w:val="en-GB"/>
        </w:rPr>
        <w:t>Effectiveness of the safeguarding plan</w:t>
      </w:r>
      <w:r w:rsidRPr="00123CAE">
        <w:rPr>
          <w:rFonts w:cs="Arial"/>
          <w:bCs/>
          <w:szCs w:val="22"/>
          <w:lang w:val="en-GB"/>
        </w:rPr>
        <w:t>.</w:t>
      </w:r>
      <w:r w:rsidR="001C5A89" w:rsidRPr="00123CAE">
        <w:rPr>
          <w:rFonts w:cs="Arial"/>
          <w:bCs/>
          <w:szCs w:val="22"/>
          <w:lang w:val="en-GB"/>
        </w:rPr>
        <w:t xml:space="preserve"> </w:t>
      </w:r>
      <w:r w:rsidR="001C5A89" w:rsidRPr="00123CAE">
        <w:rPr>
          <w:rFonts w:cs="Arial"/>
          <w:szCs w:val="22"/>
          <w:lang w:val="en-GB"/>
        </w:rPr>
        <w:t>Three main actions</w:t>
      </w:r>
      <w:r w:rsidR="00582C04" w:rsidRPr="00123CAE">
        <w:rPr>
          <w:rFonts w:cs="Arial"/>
          <w:szCs w:val="22"/>
          <w:lang w:val="en-GB"/>
        </w:rPr>
        <w:t>, with a number of sub</w:t>
      </w:r>
      <w:r w:rsidR="00297690" w:rsidRPr="00123CAE">
        <w:rPr>
          <w:rFonts w:cs="Arial"/>
          <w:szCs w:val="22"/>
          <w:lang w:val="en-GB"/>
        </w:rPr>
        <w:noBreakHyphen/>
      </w:r>
      <w:r w:rsidR="00582C04" w:rsidRPr="00123CAE">
        <w:rPr>
          <w:rFonts w:cs="Arial"/>
          <w:szCs w:val="22"/>
          <w:lang w:val="en-GB"/>
        </w:rPr>
        <w:t>activities,</w:t>
      </w:r>
      <w:r w:rsidR="001C5A89" w:rsidRPr="00123CAE">
        <w:rPr>
          <w:rFonts w:cs="Arial"/>
          <w:szCs w:val="22"/>
          <w:lang w:val="en-GB"/>
        </w:rPr>
        <w:t xml:space="preserve"> have been taken towards safeguarding the element</w:t>
      </w:r>
      <w:r w:rsidR="00A20A20" w:rsidRPr="00123CAE">
        <w:rPr>
          <w:rFonts w:cs="Arial"/>
          <w:szCs w:val="22"/>
          <w:lang w:val="en-GB"/>
        </w:rPr>
        <w:t>.</w:t>
      </w:r>
      <w:r w:rsidR="001C5A89" w:rsidRPr="00123CAE">
        <w:rPr>
          <w:rFonts w:cs="Arial"/>
          <w:szCs w:val="22"/>
          <w:lang w:val="en-GB"/>
        </w:rPr>
        <w:t xml:space="preserve"> </w:t>
      </w:r>
      <w:r w:rsidR="00A20A20" w:rsidRPr="00123CAE">
        <w:rPr>
          <w:rFonts w:cs="Arial"/>
          <w:szCs w:val="22"/>
          <w:lang w:val="en-GB"/>
        </w:rPr>
        <w:t xml:space="preserve">The first </w:t>
      </w:r>
      <w:r w:rsidR="00EB7187" w:rsidRPr="00123CAE">
        <w:rPr>
          <w:rFonts w:cs="Arial"/>
          <w:szCs w:val="22"/>
          <w:lang w:val="en-GB"/>
        </w:rPr>
        <w:t xml:space="preserve">was </w:t>
      </w:r>
      <w:r w:rsidR="00A20A20" w:rsidRPr="00123CAE">
        <w:rPr>
          <w:rFonts w:cs="Arial"/>
          <w:iCs/>
          <w:szCs w:val="22"/>
          <w:lang w:val="en-GB"/>
        </w:rPr>
        <w:t>e</w:t>
      </w:r>
      <w:r w:rsidR="001C5A89" w:rsidRPr="00123CAE">
        <w:rPr>
          <w:rFonts w:cs="Arial"/>
          <w:iCs/>
          <w:szCs w:val="22"/>
          <w:lang w:val="en-GB"/>
        </w:rPr>
        <w:t xml:space="preserve">stablishing </w:t>
      </w:r>
      <w:r w:rsidR="00582C04" w:rsidRPr="00123CAE">
        <w:rPr>
          <w:rFonts w:cs="Arial"/>
          <w:iCs/>
          <w:szCs w:val="22"/>
          <w:lang w:val="en-GB"/>
        </w:rPr>
        <w:t>the</w:t>
      </w:r>
      <w:r w:rsidR="001C5A89" w:rsidRPr="00123CAE">
        <w:rPr>
          <w:rFonts w:cs="Arial"/>
          <w:iCs/>
          <w:szCs w:val="22"/>
          <w:lang w:val="en-GB"/>
        </w:rPr>
        <w:t xml:space="preserve"> Naqqāli House</w:t>
      </w:r>
      <w:r w:rsidR="001C5A89" w:rsidRPr="00123CAE">
        <w:rPr>
          <w:rFonts w:cs="Arial"/>
          <w:szCs w:val="22"/>
          <w:lang w:val="en-GB"/>
        </w:rPr>
        <w:t xml:space="preserve"> in 2015 in </w:t>
      </w:r>
      <w:r w:rsidR="0062462D" w:rsidRPr="00123CAE">
        <w:rPr>
          <w:rFonts w:cs="Arial"/>
          <w:szCs w:val="22"/>
          <w:lang w:val="en-GB"/>
        </w:rPr>
        <w:t>n</w:t>
      </w:r>
      <w:r w:rsidR="001C5A89" w:rsidRPr="00123CAE">
        <w:rPr>
          <w:rFonts w:cs="Arial"/>
          <w:szCs w:val="22"/>
          <w:lang w:val="en-GB"/>
        </w:rPr>
        <w:t>ortheas</w:t>
      </w:r>
      <w:r w:rsidR="00EB7187" w:rsidRPr="00123CAE">
        <w:rPr>
          <w:rFonts w:cs="Arial"/>
          <w:szCs w:val="22"/>
          <w:lang w:val="en-GB"/>
        </w:rPr>
        <w:t xml:space="preserve">t Iran (four more </w:t>
      </w:r>
      <w:r w:rsidR="00582C04" w:rsidRPr="00123CAE">
        <w:rPr>
          <w:rFonts w:cs="Arial"/>
          <w:szCs w:val="22"/>
          <w:lang w:val="en-GB"/>
        </w:rPr>
        <w:t xml:space="preserve">are </w:t>
      </w:r>
      <w:r w:rsidR="00EB7187" w:rsidRPr="00123CAE">
        <w:rPr>
          <w:rFonts w:cs="Arial"/>
          <w:szCs w:val="22"/>
          <w:lang w:val="en-GB"/>
        </w:rPr>
        <w:t>planned)</w:t>
      </w:r>
      <w:r w:rsidR="00582C04" w:rsidRPr="00123CAE">
        <w:rPr>
          <w:rFonts w:cs="Arial"/>
          <w:szCs w:val="22"/>
          <w:lang w:val="en-GB"/>
        </w:rPr>
        <w:t>.</w:t>
      </w:r>
      <w:r w:rsidR="001C5A89" w:rsidRPr="00123CAE">
        <w:rPr>
          <w:rFonts w:cs="Arial"/>
          <w:szCs w:val="22"/>
          <w:lang w:val="en-GB"/>
        </w:rPr>
        <w:t xml:space="preserve"> </w:t>
      </w:r>
      <w:r w:rsidR="00582C04" w:rsidRPr="00123CAE">
        <w:rPr>
          <w:rFonts w:cs="Arial"/>
          <w:szCs w:val="22"/>
          <w:lang w:val="en-GB"/>
        </w:rPr>
        <w:t>I</w:t>
      </w:r>
      <w:r w:rsidR="001C5A89" w:rsidRPr="00123CAE">
        <w:rPr>
          <w:rFonts w:cs="Arial"/>
          <w:szCs w:val="22"/>
          <w:lang w:val="en-GB"/>
        </w:rPr>
        <w:t>ts activities are geared towards research, training and performance</w:t>
      </w:r>
      <w:r w:rsidR="00582C04" w:rsidRPr="00123CAE">
        <w:rPr>
          <w:rFonts w:cs="Arial"/>
          <w:szCs w:val="22"/>
          <w:lang w:val="en-GB"/>
        </w:rPr>
        <w:t xml:space="preserve">, which </w:t>
      </w:r>
      <w:r w:rsidR="001C5A89" w:rsidRPr="00123CAE">
        <w:rPr>
          <w:rFonts w:cs="Arial"/>
          <w:szCs w:val="22"/>
          <w:lang w:val="en-GB"/>
        </w:rPr>
        <w:t>includ</w:t>
      </w:r>
      <w:r w:rsidR="00582C04" w:rsidRPr="00123CAE">
        <w:rPr>
          <w:rFonts w:cs="Arial"/>
          <w:szCs w:val="22"/>
          <w:lang w:val="en-GB"/>
        </w:rPr>
        <w:t>e</w:t>
      </w:r>
      <w:r w:rsidR="001C5A89" w:rsidRPr="00123CAE">
        <w:rPr>
          <w:rFonts w:cs="Arial"/>
          <w:szCs w:val="22"/>
          <w:lang w:val="en-GB"/>
        </w:rPr>
        <w:t xml:space="preserve">: recordings of oral heritage; engaging bearers and practitioners and providing financial support to them; master-pupil apprenticeship training </w:t>
      </w:r>
      <w:r w:rsidR="001567E1" w:rsidRPr="00123CAE">
        <w:rPr>
          <w:rFonts w:cs="Arial"/>
          <w:szCs w:val="22"/>
          <w:lang w:val="en-GB"/>
        </w:rPr>
        <w:t>(</w:t>
      </w:r>
      <w:r w:rsidR="001C5A89" w:rsidRPr="00123CAE">
        <w:rPr>
          <w:rFonts w:cs="Arial"/>
          <w:szCs w:val="22"/>
          <w:lang w:val="en-GB"/>
        </w:rPr>
        <w:t>and recording i</w:t>
      </w:r>
      <w:r w:rsidR="00582C04" w:rsidRPr="00123CAE">
        <w:rPr>
          <w:rFonts w:cs="Arial"/>
          <w:szCs w:val="22"/>
          <w:lang w:val="en-GB"/>
        </w:rPr>
        <w:t>t</w:t>
      </w:r>
      <w:r w:rsidR="001567E1" w:rsidRPr="00123CAE">
        <w:rPr>
          <w:rFonts w:cs="Arial"/>
          <w:szCs w:val="22"/>
          <w:lang w:val="en-GB"/>
        </w:rPr>
        <w:t>)</w:t>
      </w:r>
      <w:r w:rsidR="001C5A89" w:rsidRPr="00123CAE">
        <w:rPr>
          <w:rFonts w:cs="Arial"/>
          <w:szCs w:val="22"/>
          <w:lang w:val="en-GB"/>
        </w:rPr>
        <w:t xml:space="preserve">; </w:t>
      </w:r>
      <w:r w:rsidR="000357FD" w:rsidRPr="00123CAE">
        <w:rPr>
          <w:rFonts w:cs="Arial"/>
          <w:szCs w:val="22"/>
          <w:lang w:val="en-GB"/>
        </w:rPr>
        <w:t xml:space="preserve">and </w:t>
      </w:r>
      <w:r w:rsidR="001C5A89" w:rsidRPr="00123CAE">
        <w:rPr>
          <w:rFonts w:cs="Arial"/>
          <w:szCs w:val="22"/>
          <w:lang w:val="en-GB"/>
        </w:rPr>
        <w:t>re-establishing performances in coffee hous</w:t>
      </w:r>
      <w:r w:rsidR="00EB7187" w:rsidRPr="00123CAE">
        <w:rPr>
          <w:rFonts w:cs="Arial"/>
          <w:szCs w:val="22"/>
          <w:lang w:val="en-GB"/>
        </w:rPr>
        <w:t>es and other appropriate spaces.</w:t>
      </w:r>
      <w:r w:rsidR="001C5A89" w:rsidRPr="00123CAE">
        <w:rPr>
          <w:rFonts w:cs="Arial"/>
          <w:szCs w:val="22"/>
          <w:lang w:val="en-GB"/>
        </w:rPr>
        <w:t xml:space="preserve"> </w:t>
      </w:r>
      <w:r w:rsidR="00EB7187" w:rsidRPr="00123CAE">
        <w:rPr>
          <w:rFonts w:cs="Arial"/>
          <w:szCs w:val="22"/>
          <w:lang w:val="en-GB"/>
        </w:rPr>
        <w:t>The second</w:t>
      </w:r>
      <w:r w:rsidR="00582C04" w:rsidRPr="00123CAE">
        <w:rPr>
          <w:rFonts w:cs="Arial"/>
          <w:szCs w:val="22"/>
          <w:lang w:val="en-GB"/>
        </w:rPr>
        <w:t xml:space="preserve"> action</w:t>
      </w:r>
      <w:r w:rsidR="00EB7187" w:rsidRPr="00123CAE">
        <w:rPr>
          <w:rFonts w:cs="Arial"/>
          <w:szCs w:val="22"/>
          <w:lang w:val="en-GB"/>
        </w:rPr>
        <w:t xml:space="preserve"> </w:t>
      </w:r>
      <w:r w:rsidR="001567E1" w:rsidRPr="00123CAE">
        <w:rPr>
          <w:rFonts w:cs="Arial"/>
          <w:szCs w:val="22"/>
          <w:lang w:val="en-GB"/>
        </w:rPr>
        <w:t>is</w:t>
      </w:r>
      <w:r w:rsidR="000357FD" w:rsidRPr="00123CAE">
        <w:rPr>
          <w:rFonts w:cs="Arial"/>
          <w:szCs w:val="22"/>
          <w:lang w:val="en-GB"/>
        </w:rPr>
        <w:t xml:space="preserve"> </w:t>
      </w:r>
      <w:r w:rsidR="00EB7187" w:rsidRPr="00123CAE">
        <w:rPr>
          <w:rFonts w:cs="Arial"/>
          <w:szCs w:val="22"/>
          <w:lang w:val="en-GB"/>
        </w:rPr>
        <w:t>e</w:t>
      </w:r>
      <w:r w:rsidR="001C5A89" w:rsidRPr="00123CAE">
        <w:rPr>
          <w:rFonts w:cs="Arial"/>
          <w:iCs/>
          <w:szCs w:val="22"/>
          <w:lang w:val="en-GB"/>
        </w:rPr>
        <w:t>stablishing a Naqqāli Foundation</w:t>
      </w:r>
      <w:r w:rsidR="001C5A89" w:rsidRPr="00123CAE">
        <w:rPr>
          <w:rFonts w:cs="Arial"/>
          <w:szCs w:val="22"/>
          <w:lang w:val="en-GB"/>
        </w:rPr>
        <w:t xml:space="preserve"> </w:t>
      </w:r>
      <w:r w:rsidR="000357FD" w:rsidRPr="00123CAE">
        <w:rPr>
          <w:rFonts w:cs="Arial"/>
          <w:szCs w:val="22"/>
          <w:lang w:val="en-GB"/>
        </w:rPr>
        <w:t>(</w:t>
      </w:r>
      <w:r w:rsidR="00EB7187" w:rsidRPr="00123CAE">
        <w:rPr>
          <w:rFonts w:cs="Arial"/>
          <w:szCs w:val="22"/>
          <w:lang w:val="en-GB"/>
        </w:rPr>
        <w:t>s</w:t>
      </w:r>
      <w:r w:rsidR="001C5A89" w:rsidRPr="00123CAE">
        <w:rPr>
          <w:rFonts w:cs="Arial"/>
          <w:szCs w:val="22"/>
          <w:lang w:val="en-GB"/>
        </w:rPr>
        <w:t>till in the planning stage</w:t>
      </w:r>
      <w:r w:rsidR="001567E1" w:rsidRPr="00123CAE">
        <w:rPr>
          <w:rFonts w:cs="Arial"/>
          <w:szCs w:val="22"/>
          <w:lang w:val="en-GB"/>
        </w:rPr>
        <w:t>)</w:t>
      </w:r>
      <w:r w:rsidR="001C5A89" w:rsidRPr="00123CAE">
        <w:rPr>
          <w:rFonts w:cs="Arial"/>
          <w:szCs w:val="22"/>
          <w:lang w:val="en-GB"/>
        </w:rPr>
        <w:t xml:space="preserve"> </w:t>
      </w:r>
      <w:r w:rsidR="001567E1" w:rsidRPr="00123CAE">
        <w:rPr>
          <w:rFonts w:cs="Arial"/>
          <w:szCs w:val="22"/>
          <w:lang w:val="en-GB"/>
        </w:rPr>
        <w:t xml:space="preserve">to </w:t>
      </w:r>
      <w:r w:rsidR="001C5A89" w:rsidRPr="00123CAE">
        <w:rPr>
          <w:rFonts w:cs="Arial"/>
          <w:szCs w:val="22"/>
          <w:lang w:val="en-GB"/>
        </w:rPr>
        <w:t>process recordings and other information provided by the Naqqāli House</w:t>
      </w:r>
      <w:r w:rsidR="00582C04" w:rsidRPr="00123CAE">
        <w:rPr>
          <w:rFonts w:cs="Arial"/>
          <w:szCs w:val="22"/>
          <w:lang w:val="en-GB"/>
        </w:rPr>
        <w:t>(</w:t>
      </w:r>
      <w:r w:rsidR="001C5A89" w:rsidRPr="00123CAE">
        <w:rPr>
          <w:rFonts w:cs="Arial"/>
          <w:szCs w:val="22"/>
          <w:lang w:val="en-GB"/>
        </w:rPr>
        <w:t>s</w:t>
      </w:r>
      <w:r w:rsidR="00582C04" w:rsidRPr="00123CAE">
        <w:rPr>
          <w:rFonts w:cs="Arial"/>
          <w:szCs w:val="22"/>
          <w:lang w:val="en-GB"/>
        </w:rPr>
        <w:t>)</w:t>
      </w:r>
      <w:r w:rsidR="005E35E4">
        <w:rPr>
          <w:rFonts w:cs="Arial"/>
          <w:szCs w:val="22"/>
          <w:lang w:val="en-GB"/>
        </w:rPr>
        <w:t xml:space="preserve"> and</w:t>
      </w:r>
      <w:r w:rsidR="001C5A89" w:rsidRPr="00123CAE">
        <w:rPr>
          <w:rFonts w:cs="Arial"/>
          <w:szCs w:val="22"/>
          <w:lang w:val="en-GB"/>
        </w:rPr>
        <w:t xml:space="preserve"> provide it in print and digital formats</w:t>
      </w:r>
      <w:r w:rsidR="005E35E4">
        <w:rPr>
          <w:rFonts w:cs="Arial"/>
          <w:szCs w:val="22"/>
          <w:lang w:val="en-GB"/>
        </w:rPr>
        <w:t>;</w:t>
      </w:r>
      <w:r w:rsidR="000357FD" w:rsidRPr="00123CAE">
        <w:rPr>
          <w:rFonts w:cs="Arial"/>
          <w:szCs w:val="22"/>
          <w:lang w:val="en-GB"/>
        </w:rPr>
        <w:t xml:space="preserve"> </w:t>
      </w:r>
      <w:r w:rsidR="005E35E4">
        <w:rPr>
          <w:rFonts w:cs="Arial"/>
          <w:szCs w:val="22"/>
          <w:lang w:val="en-GB"/>
        </w:rPr>
        <w:t>as</w:t>
      </w:r>
      <w:r w:rsidR="001C5A89" w:rsidRPr="00123CAE">
        <w:rPr>
          <w:rFonts w:cs="Arial"/>
          <w:szCs w:val="22"/>
          <w:lang w:val="en-GB"/>
        </w:rPr>
        <w:t xml:space="preserve"> </w:t>
      </w:r>
      <w:r w:rsidR="005E35E4">
        <w:rPr>
          <w:rFonts w:cs="Arial"/>
          <w:szCs w:val="22"/>
          <w:lang w:val="en-GB"/>
        </w:rPr>
        <w:t xml:space="preserve">part of the Foundation, </w:t>
      </w:r>
      <w:r w:rsidR="001C5A89" w:rsidRPr="00123CAE">
        <w:rPr>
          <w:rFonts w:cs="Arial"/>
          <w:szCs w:val="22"/>
          <w:lang w:val="en-GB"/>
        </w:rPr>
        <w:t xml:space="preserve">an Archive Centre </w:t>
      </w:r>
      <w:r w:rsidR="005E35E4">
        <w:rPr>
          <w:rFonts w:cs="Arial"/>
          <w:szCs w:val="22"/>
          <w:lang w:val="en-GB"/>
        </w:rPr>
        <w:t xml:space="preserve">will </w:t>
      </w:r>
      <w:r w:rsidR="001C5A89" w:rsidRPr="00123CAE">
        <w:rPr>
          <w:rFonts w:cs="Arial"/>
          <w:szCs w:val="22"/>
          <w:lang w:val="en-GB"/>
        </w:rPr>
        <w:t>promote the element and create documentary films</w:t>
      </w:r>
      <w:r w:rsidR="00EB7187" w:rsidRPr="00123CAE">
        <w:rPr>
          <w:rFonts w:cs="Arial"/>
          <w:szCs w:val="22"/>
          <w:lang w:val="en-GB"/>
        </w:rPr>
        <w:t xml:space="preserve">. Finally, several </w:t>
      </w:r>
      <w:r w:rsidR="00E32FDF" w:rsidRPr="00123CAE">
        <w:rPr>
          <w:rFonts w:cs="Arial"/>
          <w:iCs/>
          <w:szCs w:val="22"/>
          <w:lang w:val="en-GB"/>
        </w:rPr>
        <w:t>n</w:t>
      </w:r>
      <w:r w:rsidR="001C5A89" w:rsidRPr="00123CAE">
        <w:rPr>
          <w:rFonts w:cs="Arial"/>
          <w:iCs/>
          <w:szCs w:val="22"/>
          <w:lang w:val="en-GB"/>
        </w:rPr>
        <w:t xml:space="preserve">aqqāli </w:t>
      </w:r>
      <w:r w:rsidR="00582C04" w:rsidRPr="00123CAE">
        <w:rPr>
          <w:rFonts w:cs="Arial"/>
          <w:iCs/>
          <w:szCs w:val="22"/>
          <w:lang w:val="en-GB"/>
        </w:rPr>
        <w:t>f</w:t>
      </w:r>
      <w:r w:rsidR="001C5A89" w:rsidRPr="00123CAE">
        <w:rPr>
          <w:rFonts w:cs="Arial"/>
          <w:iCs/>
          <w:szCs w:val="22"/>
          <w:lang w:val="en-GB"/>
        </w:rPr>
        <w:t>estivals</w:t>
      </w:r>
      <w:r w:rsidR="001C5A89" w:rsidRPr="00123CAE">
        <w:rPr>
          <w:rFonts w:cs="Arial"/>
          <w:szCs w:val="22"/>
          <w:lang w:val="en-GB"/>
        </w:rPr>
        <w:t xml:space="preserve"> </w:t>
      </w:r>
      <w:r w:rsidR="00582C04" w:rsidRPr="00123CAE">
        <w:rPr>
          <w:rFonts w:cs="Arial"/>
          <w:szCs w:val="22"/>
          <w:lang w:val="en-GB"/>
        </w:rPr>
        <w:t xml:space="preserve">have </w:t>
      </w:r>
      <w:r w:rsidR="001567E1" w:rsidRPr="00123CAE">
        <w:rPr>
          <w:rFonts w:cs="Arial"/>
          <w:szCs w:val="22"/>
          <w:lang w:val="en-GB"/>
        </w:rPr>
        <w:t xml:space="preserve">also </w:t>
      </w:r>
      <w:r w:rsidR="00582C04" w:rsidRPr="00123CAE">
        <w:rPr>
          <w:rFonts w:cs="Arial"/>
          <w:szCs w:val="22"/>
          <w:lang w:val="en-GB"/>
        </w:rPr>
        <w:t xml:space="preserve">been organized </w:t>
      </w:r>
      <w:r w:rsidR="001567E1" w:rsidRPr="00123CAE">
        <w:rPr>
          <w:rFonts w:cs="Arial"/>
          <w:szCs w:val="22"/>
          <w:lang w:val="en-GB"/>
        </w:rPr>
        <w:t xml:space="preserve">made up of </w:t>
      </w:r>
      <w:r w:rsidR="001C5A89" w:rsidRPr="00123CAE">
        <w:rPr>
          <w:rFonts w:cs="Arial"/>
          <w:szCs w:val="22"/>
          <w:lang w:val="en-GB"/>
        </w:rPr>
        <w:t xml:space="preserve">two </w:t>
      </w:r>
      <w:r w:rsidR="00EB7187" w:rsidRPr="00123CAE">
        <w:rPr>
          <w:rFonts w:cs="Arial"/>
          <w:szCs w:val="22"/>
          <w:lang w:val="en-GB"/>
        </w:rPr>
        <w:t xml:space="preserve">main </w:t>
      </w:r>
      <w:r w:rsidR="001C5A89" w:rsidRPr="00123CAE">
        <w:rPr>
          <w:rFonts w:cs="Arial"/>
          <w:szCs w:val="22"/>
          <w:lang w:val="en-GB"/>
        </w:rPr>
        <w:t xml:space="preserve">sections </w:t>
      </w:r>
      <w:r w:rsidR="001567E1" w:rsidRPr="00123CAE">
        <w:rPr>
          <w:rFonts w:cs="Arial"/>
          <w:szCs w:val="22"/>
          <w:lang w:val="en-GB"/>
        </w:rPr>
        <w:t xml:space="preserve">for </w:t>
      </w:r>
      <w:r w:rsidR="001C5A89" w:rsidRPr="00123CAE">
        <w:rPr>
          <w:rFonts w:cs="Arial"/>
          <w:szCs w:val="22"/>
          <w:lang w:val="en-GB"/>
        </w:rPr>
        <w:t xml:space="preserve">traditional performances of </w:t>
      </w:r>
      <w:r w:rsidR="00E32FDF" w:rsidRPr="00123CAE">
        <w:rPr>
          <w:rFonts w:cs="Arial"/>
          <w:szCs w:val="22"/>
          <w:lang w:val="en-GB"/>
        </w:rPr>
        <w:t>n</w:t>
      </w:r>
      <w:r w:rsidR="001C5A89" w:rsidRPr="00123CAE">
        <w:rPr>
          <w:rFonts w:cs="Arial"/>
          <w:szCs w:val="22"/>
          <w:lang w:val="en-GB"/>
        </w:rPr>
        <w:t>aqqāli and modern</w:t>
      </w:r>
      <w:r w:rsidR="00297690" w:rsidRPr="00123CAE">
        <w:rPr>
          <w:rFonts w:cs="Arial"/>
          <w:szCs w:val="22"/>
          <w:lang w:val="en-GB"/>
        </w:rPr>
        <w:noBreakHyphen/>
      </w:r>
      <w:r w:rsidR="001567E1" w:rsidRPr="00123CAE">
        <w:rPr>
          <w:rFonts w:cs="Arial"/>
          <w:szCs w:val="22"/>
          <w:lang w:val="en-GB"/>
        </w:rPr>
        <w:t>day works</w:t>
      </w:r>
      <w:r w:rsidR="001C5A89" w:rsidRPr="00123CAE">
        <w:rPr>
          <w:rFonts w:cs="Arial"/>
          <w:szCs w:val="22"/>
          <w:lang w:val="en-GB"/>
        </w:rPr>
        <w:t xml:space="preserve"> inspired by the </w:t>
      </w:r>
      <w:r w:rsidR="001567E1" w:rsidRPr="00123CAE">
        <w:rPr>
          <w:rFonts w:cs="Arial"/>
          <w:szCs w:val="22"/>
          <w:lang w:val="en-GB"/>
        </w:rPr>
        <w:t xml:space="preserve">play’s </w:t>
      </w:r>
      <w:r w:rsidR="001C5A89" w:rsidRPr="00123CAE">
        <w:rPr>
          <w:rFonts w:cs="Arial"/>
          <w:szCs w:val="22"/>
          <w:lang w:val="en-GB"/>
        </w:rPr>
        <w:t>traditional conventions.</w:t>
      </w:r>
    </w:p>
    <w:p w14:paraId="6E6B0816" w14:textId="3B69112E" w:rsidR="007E5144" w:rsidRPr="00123CAE" w:rsidRDefault="001C5A89" w:rsidP="007E5144">
      <w:pPr>
        <w:pStyle w:val="Marge"/>
        <w:numPr>
          <w:ilvl w:val="0"/>
          <w:numId w:val="9"/>
        </w:numPr>
        <w:tabs>
          <w:tab w:val="clear" w:pos="567"/>
        </w:tabs>
        <w:autoSpaceDE w:val="0"/>
        <w:autoSpaceDN w:val="0"/>
        <w:adjustRightInd w:val="0"/>
        <w:spacing w:after="120"/>
        <w:ind w:left="567" w:hanging="567"/>
        <w:rPr>
          <w:rFonts w:cs="Arial"/>
          <w:bCs/>
          <w:szCs w:val="22"/>
          <w:lang w:val="en-GB"/>
        </w:rPr>
      </w:pPr>
      <w:r w:rsidRPr="00123CAE">
        <w:rPr>
          <w:rFonts w:cs="Arial"/>
          <w:szCs w:val="22"/>
          <w:lang w:val="en-GB"/>
        </w:rPr>
        <w:t xml:space="preserve">The establishment of </w:t>
      </w:r>
      <w:r w:rsidR="004855A3" w:rsidRPr="00123CAE">
        <w:rPr>
          <w:rFonts w:cs="Arial"/>
          <w:szCs w:val="22"/>
          <w:lang w:val="en-GB"/>
        </w:rPr>
        <w:t xml:space="preserve">the </w:t>
      </w:r>
      <w:r w:rsidRPr="00123CAE">
        <w:rPr>
          <w:rFonts w:cs="Arial"/>
          <w:szCs w:val="22"/>
          <w:lang w:val="en-GB"/>
        </w:rPr>
        <w:t xml:space="preserve">Naqqāli House proved to be an effective strategy since it can operate as a strategic centre for implementing planned safeguarding </w:t>
      </w:r>
      <w:r w:rsidR="00EB7187" w:rsidRPr="00123CAE">
        <w:rPr>
          <w:rFonts w:cs="Arial"/>
          <w:szCs w:val="22"/>
          <w:lang w:val="en-GB"/>
        </w:rPr>
        <w:t xml:space="preserve">activities </w:t>
      </w:r>
      <w:r w:rsidRPr="00123CAE">
        <w:rPr>
          <w:rFonts w:cs="Arial"/>
          <w:szCs w:val="22"/>
          <w:lang w:val="en-GB"/>
        </w:rPr>
        <w:t>and devising new and innovative measures, through its membership</w:t>
      </w:r>
      <w:r w:rsidR="001B1232" w:rsidRPr="00123CAE">
        <w:rPr>
          <w:rFonts w:cs="Arial"/>
          <w:szCs w:val="22"/>
          <w:lang w:val="en-GB"/>
        </w:rPr>
        <w:t>,</w:t>
      </w:r>
      <w:r w:rsidRPr="00123CAE">
        <w:rPr>
          <w:rFonts w:cs="Arial"/>
          <w:szCs w:val="22"/>
          <w:lang w:val="en-GB"/>
        </w:rPr>
        <w:t xml:space="preserve"> which includes many performers as well as other experts. The viability of the element</w:t>
      </w:r>
      <w:r w:rsidR="00960760" w:rsidRPr="00123CAE">
        <w:rPr>
          <w:rFonts w:cs="Arial"/>
          <w:szCs w:val="22"/>
          <w:lang w:val="en-GB"/>
        </w:rPr>
        <w:t>,</w:t>
      </w:r>
      <w:r w:rsidRPr="00123CAE">
        <w:rPr>
          <w:rFonts w:cs="Arial"/>
          <w:szCs w:val="22"/>
          <w:lang w:val="en-GB"/>
        </w:rPr>
        <w:t xml:space="preserve"> </w:t>
      </w:r>
      <w:r w:rsidR="005E35E4">
        <w:rPr>
          <w:rFonts w:cs="Arial"/>
          <w:szCs w:val="22"/>
          <w:lang w:val="en-GB"/>
        </w:rPr>
        <w:t xml:space="preserve">its </w:t>
      </w:r>
      <w:r w:rsidR="001B1232" w:rsidRPr="00123CAE">
        <w:rPr>
          <w:rFonts w:cs="Arial"/>
          <w:szCs w:val="22"/>
          <w:lang w:val="en-GB"/>
        </w:rPr>
        <w:t xml:space="preserve">status </w:t>
      </w:r>
      <w:r w:rsidRPr="00123CAE">
        <w:rPr>
          <w:rFonts w:cs="Arial"/>
          <w:szCs w:val="22"/>
          <w:lang w:val="en-GB"/>
        </w:rPr>
        <w:t>as well as th</w:t>
      </w:r>
      <w:r w:rsidR="001B1232" w:rsidRPr="00123CAE">
        <w:rPr>
          <w:rFonts w:cs="Arial"/>
          <w:szCs w:val="22"/>
          <w:lang w:val="en-GB"/>
        </w:rPr>
        <w:t>at</w:t>
      </w:r>
      <w:r w:rsidRPr="00123CAE">
        <w:rPr>
          <w:rFonts w:cs="Arial"/>
          <w:szCs w:val="22"/>
          <w:lang w:val="en-GB"/>
        </w:rPr>
        <w:t xml:space="preserve"> of the masters</w:t>
      </w:r>
      <w:r w:rsidR="00960760" w:rsidRPr="00123CAE">
        <w:rPr>
          <w:rFonts w:cs="Arial"/>
          <w:szCs w:val="22"/>
          <w:lang w:val="en-GB"/>
        </w:rPr>
        <w:t>,</w:t>
      </w:r>
      <w:r w:rsidRPr="00123CAE">
        <w:rPr>
          <w:rFonts w:cs="Arial"/>
          <w:szCs w:val="22"/>
          <w:lang w:val="en-GB"/>
        </w:rPr>
        <w:t xml:space="preserve"> </w:t>
      </w:r>
      <w:r w:rsidR="005E35E4">
        <w:rPr>
          <w:rFonts w:cs="Arial"/>
          <w:szCs w:val="22"/>
          <w:lang w:val="en-GB"/>
        </w:rPr>
        <w:t>have</w:t>
      </w:r>
      <w:r w:rsidR="00A06D76" w:rsidRPr="00123CAE">
        <w:rPr>
          <w:rFonts w:cs="Arial"/>
          <w:szCs w:val="22"/>
          <w:lang w:val="en-GB"/>
        </w:rPr>
        <w:t xml:space="preserve"> </w:t>
      </w:r>
      <w:r w:rsidRPr="00123CAE">
        <w:rPr>
          <w:rFonts w:cs="Arial"/>
          <w:szCs w:val="22"/>
          <w:lang w:val="en-GB"/>
        </w:rPr>
        <w:t xml:space="preserve">been strengthened by attracting younger male and female apprentices. </w:t>
      </w:r>
      <w:r w:rsidR="00EB7187" w:rsidRPr="00123CAE">
        <w:rPr>
          <w:rFonts w:cs="Arial"/>
          <w:szCs w:val="22"/>
          <w:lang w:val="en-GB"/>
        </w:rPr>
        <w:t xml:space="preserve">It is reported that </w:t>
      </w:r>
      <w:r w:rsidRPr="00123CAE">
        <w:rPr>
          <w:rFonts w:cs="Arial"/>
          <w:szCs w:val="22"/>
          <w:lang w:val="en-GB"/>
        </w:rPr>
        <w:t xml:space="preserve">family members of naqqāls have begun to return to the art since they can now rely on several years of support </w:t>
      </w:r>
      <w:r w:rsidR="008D6502" w:rsidRPr="00123CAE">
        <w:rPr>
          <w:rFonts w:cs="Arial"/>
          <w:szCs w:val="22"/>
          <w:lang w:val="en-GB"/>
        </w:rPr>
        <w:t xml:space="preserve">to </w:t>
      </w:r>
      <w:r w:rsidR="00960760" w:rsidRPr="00123CAE">
        <w:rPr>
          <w:rFonts w:cs="Arial"/>
          <w:szCs w:val="22"/>
          <w:lang w:val="en-GB"/>
        </w:rPr>
        <w:t>do</w:t>
      </w:r>
      <w:r w:rsidRPr="00123CAE">
        <w:rPr>
          <w:rFonts w:cs="Arial"/>
          <w:szCs w:val="22"/>
          <w:lang w:val="en-GB"/>
        </w:rPr>
        <w:t xml:space="preserve"> s</w:t>
      </w:r>
      <w:r w:rsidR="000E57FF" w:rsidRPr="00123CAE">
        <w:rPr>
          <w:rFonts w:cs="Arial"/>
          <w:szCs w:val="22"/>
          <w:lang w:val="en-GB"/>
        </w:rPr>
        <w:t>o</w:t>
      </w:r>
      <w:r w:rsidRPr="00123CAE">
        <w:rPr>
          <w:rFonts w:cs="Arial"/>
          <w:szCs w:val="22"/>
          <w:lang w:val="en-GB"/>
        </w:rPr>
        <w:t xml:space="preserve">, allowing the element to become financially viable. </w:t>
      </w:r>
      <w:r w:rsidR="008D6502" w:rsidRPr="00123CAE">
        <w:rPr>
          <w:rFonts w:cs="Arial"/>
          <w:szCs w:val="22"/>
          <w:lang w:val="en-GB"/>
        </w:rPr>
        <w:t xml:space="preserve">A </w:t>
      </w:r>
      <w:r w:rsidRPr="00123CAE">
        <w:rPr>
          <w:rFonts w:cs="Arial"/>
          <w:szCs w:val="22"/>
          <w:lang w:val="en-GB"/>
        </w:rPr>
        <w:t xml:space="preserve">core of trained individuals that has built up </w:t>
      </w:r>
      <w:r w:rsidR="00EB7187" w:rsidRPr="00123CAE">
        <w:rPr>
          <w:rFonts w:cs="Arial"/>
          <w:szCs w:val="22"/>
          <w:lang w:val="en-GB"/>
        </w:rPr>
        <w:t xml:space="preserve">seems to </w:t>
      </w:r>
      <w:r w:rsidR="00960760" w:rsidRPr="00123CAE">
        <w:rPr>
          <w:rFonts w:cs="Arial"/>
          <w:szCs w:val="22"/>
          <w:lang w:val="en-GB"/>
        </w:rPr>
        <w:t xml:space="preserve">now </w:t>
      </w:r>
      <w:r w:rsidRPr="00123CAE">
        <w:rPr>
          <w:rFonts w:cs="Arial"/>
          <w:szCs w:val="22"/>
          <w:lang w:val="en-GB"/>
        </w:rPr>
        <w:t xml:space="preserve">play a key role in undertaking safeguarding activities. The efforts of </w:t>
      </w:r>
      <w:r w:rsidR="00960760" w:rsidRPr="00123CAE">
        <w:rPr>
          <w:rFonts w:cs="Arial"/>
          <w:szCs w:val="22"/>
          <w:lang w:val="en-GB"/>
        </w:rPr>
        <w:t>non-governmental organization</w:t>
      </w:r>
      <w:r w:rsidRPr="00123CAE">
        <w:rPr>
          <w:rFonts w:cs="Arial"/>
          <w:szCs w:val="22"/>
          <w:lang w:val="en-GB"/>
        </w:rPr>
        <w:t>s have attracted more audiences, especially outside Tehran.</w:t>
      </w:r>
    </w:p>
    <w:p w14:paraId="1B2235B2" w14:textId="26077F1B" w:rsidR="007E5144" w:rsidRPr="00123CAE" w:rsidRDefault="007E5144" w:rsidP="008551A9">
      <w:pPr>
        <w:pStyle w:val="Marge"/>
        <w:numPr>
          <w:ilvl w:val="0"/>
          <w:numId w:val="9"/>
        </w:numPr>
        <w:tabs>
          <w:tab w:val="clear" w:pos="567"/>
        </w:tabs>
        <w:autoSpaceDE w:val="0"/>
        <w:autoSpaceDN w:val="0"/>
        <w:adjustRightInd w:val="0"/>
        <w:spacing w:after="120"/>
        <w:ind w:left="567" w:hanging="567"/>
        <w:rPr>
          <w:rFonts w:cs="Arial"/>
          <w:bCs/>
          <w:szCs w:val="22"/>
          <w:lang w:val="en-GB"/>
        </w:rPr>
      </w:pPr>
      <w:r w:rsidRPr="00123CAE">
        <w:rPr>
          <w:rFonts w:cs="Arial"/>
          <w:b/>
          <w:bCs/>
          <w:szCs w:val="22"/>
          <w:lang w:val="en-GB"/>
        </w:rPr>
        <w:t>Community participation</w:t>
      </w:r>
      <w:r w:rsidRPr="00123CAE">
        <w:rPr>
          <w:rFonts w:cs="Arial"/>
          <w:bCs/>
          <w:szCs w:val="22"/>
          <w:lang w:val="en-GB"/>
        </w:rPr>
        <w:t>.</w:t>
      </w:r>
      <w:r w:rsidR="001C5A89" w:rsidRPr="00123CAE">
        <w:rPr>
          <w:rFonts w:cs="Arial"/>
          <w:bCs/>
          <w:szCs w:val="22"/>
          <w:lang w:val="en-GB"/>
        </w:rPr>
        <w:t xml:space="preserve"> </w:t>
      </w:r>
      <w:r w:rsidR="001C5A89" w:rsidRPr="00123CAE">
        <w:rPr>
          <w:rFonts w:eastAsia="SimSun" w:cs="Arial"/>
          <w:szCs w:val="22"/>
          <w:lang w:val="en-GB" w:eastAsia="ar-SA"/>
        </w:rPr>
        <w:t>The report states that the aforementioned safeguarding measures were developed with the full participation of bearers of the element from various ethnic groups, their representatives and relevant non-governmental organi</w:t>
      </w:r>
      <w:r w:rsidR="00960760" w:rsidRPr="00123CAE">
        <w:rPr>
          <w:rFonts w:eastAsia="SimSun" w:cs="Arial"/>
          <w:szCs w:val="22"/>
          <w:lang w:val="en-GB" w:eastAsia="ar-SA"/>
        </w:rPr>
        <w:t>z</w:t>
      </w:r>
      <w:r w:rsidR="001C5A89" w:rsidRPr="00123CAE">
        <w:rPr>
          <w:rFonts w:eastAsia="SimSun" w:cs="Arial"/>
          <w:szCs w:val="22"/>
          <w:lang w:val="en-GB" w:eastAsia="ar-SA"/>
        </w:rPr>
        <w:t xml:space="preserve">ations. In addition, the main safeguarding activities of research, promotion and transmission were undertaken with the involvement of naqqāls (12 of whom named are from different provinces </w:t>
      </w:r>
      <w:r w:rsidR="001C5A89" w:rsidRPr="00123CAE">
        <w:rPr>
          <w:rFonts w:cs="Arial"/>
          <w:szCs w:val="22"/>
          <w:lang w:val="en-GB"/>
        </w:rPr>
        <w:t>and</w:t>
      </w:r>
      <w:r w:rsidR="001C5A89" w:rsidRPr="00123CAE">
        <w:rPr>
          <w:rFonts w:eastAsia="SimSun" w:cs="Arial"/>
          <w:szCs w:val="22"/>
          <w:lang w:val="en-GB" w:eastAsia="ar-SA"/>
        </w:rPr>
        <w:t xml:space="preserve"> include one woman). Several Iranian theatre experts who work on rec</w:t>
      </w:r>
      <w:r w:rsidR="001C5A89" w:rsidRPr="005E35E4">
        <w:rPr>
          <w:rFonts w:eastAsia="SimSun"/>
          <w:lang w:val="en-GB" w:eastAsia="ar-SA"/>
        </w:rPr>
        <w:t>ording and researching Iranian N</w:t>
      </w:r>
      <w:r w:rsidR="001C5A89" w:rsidRPr="00123CAE">
        <w:rPr>
          <w:rFonts w:eastAsia="SimSun" w:cs="Arial"/>
          <w:szCs w:val="22"/>
          <w:lang w:val="en-GB" w:eastAsia="ar-SA"/>
        </w:rPr>
        <w:t>aqqāli have also played an important role. In addition to these</w:t>
      </w:r>
      <w:r w:rsidR="000E57FF" w:rsidRPr="00123CAE">
        <w:rPr>
          <w:rFonts w:eastAsia="SimSun" w:cs="Arial"/>
          <w:szCs w:val="22"/>
          <w:lang w:val="en-GB" w:eastAsia="ar-SA"/>
        </w:rPr>
        <w:t xml:space="preserve"> experts</w:t>
      </w:r>
      <w:r w:rsidR="001C5A89" w:rsidRPr="00123CAE">
        <w:rPr>
          <w:rFonts w:eastAsia="SimSun" w:cs="Arial"/>
          <w:szCs w:val="22"/>
          <w:lang w:val="en-GB" w:eastAsia="ar-SA"/>
        </w:rPr>
        <w:t>, three non-governmental organi</w:t>
      </w:r>
      <w:r w:rsidR="00960760" w:rsidRPr="00123CAE">
        <w:rPr>
          <w:rFonts w:eastAsia="SimSun" w:cs="Arial"/>
          <w:szCs w:val="22"/>
          <w:lang w:val="en-GB" w:eastAsia="ar-SA"/>
        </w:rPr>
        <w:t>z</w:t>
      </w:r>
      <w:r w:rsidR="001C5A89" w:rsidRPr="00123CAE">
        <w:rPr>
          <w:rFonts w:eastAsia="SimSun" w:cs="Arial"/>
          <w:szCs w:val="22"/>
          <w:lang w:val="en-GB" w:eastAsia="ar-SA"/>
        </w:rPr>
        <w:t>ations are mentioned in the report.</w:t>
      </w:r>
      <w:r w:rsidR="00EB7187" w:rsidRPr="005E35E4">
        <w:rPr>
          <w:rFonts w:eastAsia="SimSun"/>
          <w:lang w:val="en-GB" w:eastAsia="ar-SA"/>
        </w:rPr>
        <w:t xml:space="preserve"> </w:t>
      </w:r>
      <w:r w:rsidR="001C5A89" w:rsidRPr="00123CAE">
        <w:rPr>
          <w:rFonts w:eastAsia="SimSun" w:cs="Arial"/>
          <w:szCs w:val="22"/>
          <w:lang w:val="en-GB" w:eastAsia="ar-SA"/>
        </w:rPr>
        <w:t xml:space="preserve">The Iranian Cultural Heritage, Handicrafts and Tourism Organization managed the overall process of preparing the report, while attempting to have participation </w:t>
      </w:r>
      <w:r w:rsidR="000E57FF" w:rsidRPr="00123CAE">
        <w:rPr>
          <w:rFonts w:eastAsia="SimSun" w:cs="Arial"/>
          <w:szCs w:val="22"/>
          <w:lang w:val="en-GB" w:eastAsia="ar-SA"/>
        </w:rPr>
        <w:t xml:space="preserve">as wide as possible </w:t>
      </w:r>
      <w:r w:rsidR="001C5A89" w:rsidRPr="00123CAE">
        <w:rPr>
          <w:rFonts w:eastAsia="SimSun" w:cs="Arial"/>
          <w:szCs w:val="22"/>
          <w:lang w:val="en-GB" w:eastAsia="ar-SA"/>
        </w:rPr>
        <w:t>from the various institutional actors (non-governmental, scientific and artistic) all providing reports on their safeguarding activities.</w:t>
      </w:r>
    </w:p>
    <w:p w14:paraId="0A72B154" w14:textId="543C16AF" w:rsidR="007E5144" w:rsidRPr="00123CAE" w:rsidRDefault="007E5144" w:rsidP="008551A9">
      <w:pPr>
        <w:pStyle w:val="Marge"/>
        <w:numPr>
          <w:ilvl w:val="0"/>
          <w:numId w:val="9"/>
        </w:numPr>
        <w:tabs>
          <w:tab w:val="clear" w:pos="567"/>
        </w:tabs>
        <w:autoSpaceDE w:val="0"/>
        <w:autoSpaceDN w:val="0"/>
        <w:adjustRightInd w:val="0"/>
        <w:spacing w:after="120"/>
        <w:ind w:left="567" w:hanging="567"/>
        <w:rPr>
          <w:rFonts w:cs="Arial"/>
          <w:bCs/>
          <w:szCs w:val="22"/>
          <w:lang w:val="en-GB"/>
        </w:rPr>
      </w:pPr>
      <w:r w:rsidRPr="00123CAE">
        <w:rPr>
          <w:rFonts w:cs="Arial"/>
          <w:b/>
          <w:bCs/>
          <w:szCs w:val="22"/>
          <w:lang w:val="en-GB"/>
        </w:rPr>
        <w:t>Viability and current risks</w:t>
      </w:r>
      <w:r w:rsidRPr="00123CAE">
        <w:rPr>
          <w:rFonts w:cs="Arial"/>
          <w:bCs/>
          <w:szCs w:val="22"/>
          <w:lang w:val="en-GB"/>
        </w:rPr>
        <w:t>.</w:t>
      </w:r>
      <w:r w:rsidR="001C5A89" w:rsidRPr="00123CAE">
        <w:rPr>
          <w:rFonts w:cs="Arial"/>
          <w:bCs/>
          <w:szCs w:val="22"/>
          <w:lang w:val="en-GB"/>
        </w:rPr>
        <w:t xml:space="preserve"> </w:t>
      </w:r>
      <w:r w:rsidR="001C5A89" w:rsidRPr="00123CAE">
        <w:rPr>
          <w:rFonts w:cs="Arial"/>
          <w:szCs w:val="22"/>
          <w:lang w:val="en-GB"/>
        </w:rPr>
        <w:t>The viability of the element</w:t>
      </w:r>
      <w:r w:rsidR="00EB7187" w:rsidRPr="005E35E4">
        <w:rPr>
          <w:lang w:val="en-GB"/>
        </w:rPr>
        <w:t xml:space="preserve"> has improved since inscription</w:t>
      </w:r>
      <w:r w:rsidR="000E57FF" w:rsidRPr="00123CAE">
        <w:rPr>
          <w:lang w:val="en-GB"/>
        </w:rPr>
        <w:t>.</w:t>
      </w:r>
      <w:r w:rsidR="00EB7187" w:rsidRPr="005E35E4">
        <w:rPr>
          <w:lang w:val="en-GB"/>
        </w:rPr>
        <w:t xml:space="preserve"> </w:t>
      </w:r>
      <w:r w:rsidR="000E57FF" w:rsidRPr="00123CAE">
        <w:rPr>
          <w:rFonts w:cs="Arial"/>
          <w:szCs w:val="22"/>
          <w:lang w:val="en-GB"/>
        </w:rPr>
        <w:t>T</w:t>
      </w:r>
      <w:r w:rsidR="001C5A89" w:rsidRPr="00123CAE">
        <w:rPr>
          <w:rFonts w:cs="Arial"/>
          <w:szCs w:val="22"/>
          <w:lang w:val="en-GB"/>
        </w:rPr>
        <w:t xml:space="preserve">he number of naqqāls has increased to some degree and traditional modes of transmission have been strengthened. </w:t>
      </w:r>
      <w:r w:rsidR="00EB7187" w:rsidRPr="005E35E4">
        <w:rPr>
          <w:lang w:val="en-GB"/>
        </w:rPr>
        <w:t xml:space="preserve">The report mentions that </w:t>
      </w:r>
      <w:r w:rsidR="00960760" w:rsidRPr="00123CAE">
        <w:rPr>
          <w:lang w:val="en-GB"/>
        </w:rPr>
        <w:t>65</w:t>
      </w:r>
      <w:r w:rsidR="001C5A89" w:rsidRPr="00123CAE">
        <w:rPr>
          <w:rFonts w:cs="Arial"/>
          <w:szCs w:val="22"/>
          <w:lang w:val="en-GB"/>
        </w:rPr>
        <w:t xml:space="preserve"> individuals have been trained as naqqāls of whom 24 are women and, although most are living in cities, some come from rural areas. However, no naqqāl can currently support him/herself solely from performing the element</w:t>
      </w:r>
      <w:r w:rsidR="000E57FF" w:rsidRPr="00123CAE">
        <w:rPr>
          <w:rFonts w:cs="Arial"/>
          <w:szCs w:val="22"/>
          <w:lang w:val="en-GB"/>
        </w:rPr>
        <w:t>. A</w:t>
      </w:r>
      <w:r w:rsidR="001C5A89" w:rsidRPr="00123CAE">
        <w:rPr>
          <w:rFonts w:cs="Arial"/>
          <w:szCs w:val="22"/>
          <w:lang w:val="en-GB"/>
        </w:rPr>
        <w:t xml:space="preserve"> major aspect to </w:t>
      </w:r>
      <w:r w:rsidR="000E57FF" w:rsidRPr="00123CAE">
        <w:rPr>
          <w:rFonts w:cs="Arial"/>
          <w:szCs w:val="22"/>
          <w:lang w:val="en-GB"/>
        </w:rPr>
        <w:t>the element’s</w:t>
      </w:r>
      <w:r w:rsidR="001C5A89" w:rsidRPr="00123CAE">
        <w:rPr>
          <w:rFonts w:cs="Arial"/>
          <w:szCs w:val="22"/>
          <w:lang w:val="en-GB"/>
        </w:rPr>
        <w:t xml:space="preserve"> future viability </w:t>
      </w:r>
      <w:r w:rsidR="00EB7187" w:rsidRPr="005E35E4">
        <w:rPr>
          <w:lang w:val="en-GB"/>
        </w:rPr>
        <w:t>might</w:t>
      </w:r>
      <w:r w:rsidR="001C5A89" w:rsidRPr="00123CAE">
        <w:rPr>
          <w:rFonts w:cs="Arial"/>
          <w:szCs w:val="22"/>
          <w:lang w:val="en-GB"/>
        </w:rPr>
        <w:t xml:space="preserve"> be to provide support to naqqāls for their living costs for some </w:t>
      </w:r>
      <w:r w:rsidR="000E57FF" w:rsidRPr="00123CAE">
        <w:rPr>
          <w:rFonts w:cs="Arial"/>
          <w:szCs w:val="22"/>
          <w:lang w:val="en-GB"/>
        </w:rPr>
        <w:t>time</w:t>
      </w:r>
      <w:r w:rsidR="001C5A89" w:rsidRPr="00123CAE">
        <w:rPr>
          <w:rFonts w:cs="Arial"/>
          <w:szCs w:val="22"/>
          <w:lang w:val="en-GB"/>
        </w:rPr>
        <w:t>. In addition,</w:t>
      </w:r>
      <w:r w:rsidR="00EB7187" w:rsidRPr="005E35E4">
        <w:rPr>
          <w:lang w:val="en-GB"/>
        </w:rPr>
        <w:t xml:space="preserve"> in the report it is stated that</w:t>
      </w:r>
      <w:r w:rsidR="001C5A89" w:rsidRPr="00123CAE">
        <w:rPr>
          <w:rFonts w:cs="Arial"/>
          <w:szCs w:val="22"/>
          <w:lang w:val="en-GB"/>
        </w:rPr>
        <w:t xml:space="preserve"> the international sanctions placed on Iran over the past few years have affected the ability of the </w:t>
      </w:r>
      <w:r w:rsidR="00960760" w:rsidRPr="00123CAE">
        <w:rPr>
          <w:rFonts w:cs="Arial"/>
          <w:szCs w:val="22"/>
          <w:lang w:val="en-GB"/>
        </w:rPr>
        <w:t>g</w:t>
      </w:r>
      <w:r w:rsidR="001C5A89" w:rsidRPr="00123CAE">
        <w:rPr>
          <w:rFonts w:cs="Arial"/>
          <w:szCs w:val="22"/>
          <w:lang w:val="en-GB"/>
        </w:rPr>
        <w:t xml:space="preserve">overnment to secure the budget </w:t>
      </w:r>
      <w:r w:rsidR="000E57FF" w:rsidRPr="00123CAE">
        <w:rPr>
          <w:rFonts w:cs="Arial"/>
          <w:szCs w:val="22"/>
          <w:lang w:val="en-GB"/>
        </w:rPr>
        <w:t xml:space="preserve">necessary </w:t>
      </w:r>
      <w:r w:rsidR="001C5A89" w:rsidRPr="00123CAE">
        <w:rPr>
          <w:rFonts w:cs="Arial"/>
          <w:szCs w:val="22"/>
          <w:lang w:val="en-GB"/>
        </w:rPr>
        <w:t>for safeguarding this element.</w:t>
      </w:r>
    </w:p>
    <w:p w14:paraId="6D0997D0" w14:textId="77777777" w:rsidR="007E5144" w:rsidRPr="00123CAE" w:rsidRDefault="007E5144" w:rsidP="008551A9">
      <w:pPr>
        <w:pStyle w:val="Marge"/>
        <w:keepNext/>
        <w:numPr>
          <w:ilvl w:val="0"/>
          <w:numId w:val="9"/>
        </w:numPr>
        <w:tabs>
          <w:tab w:val="clear" w:pos="567"/>
        </w:tabs>
        <w:autoSpaceDE w:val="0"/>
        <w:autoSpaceDN w:val="0"/>
        <w:adjustRightInd w:val="0"/>
        <w:spacing w:after="120"/>
        <w:ind w:left="567" w:hanging="567"/>
        <w:rPr>
          <w:rFonts w:cs="Arial"/>
          <w:szCs w:val="22"/>
          <w:lang w:val="en-GB"/>
        </w:rPr>
      </w:pPr>
      <w:r w:rsidRPr="00123CAE">
        <w:rPr>
          <w:rFonts w:cs="Arial"/>
          <w:szCs w:val="22"/>
          <w:lang w:val="en-GB"/>
        </w:rPr>
        <w:lastRenderedPageBreak/>
        <w:t>The Committee may wish to adopt the following decision:</w:t>
      </w:r>
    </w:p>
    <w:p w14:paraId="2411FE86" w14:textId="77777777" w:rsidR="007E5144" w:rsidRPr="00123CAE" w:rsidRDefault="007E5144" w:rsidP="007E5144">
      <w:pPr>
        <w:pStyle w:val="Heading4"/>
        <w:numPr>
          <w:ilvl w:val="0"/>
          <w:numId w:val="0"/>
        </w:numPr>
        <w:spacing w:before="240"/>
        <w:ind w:left="567"/>
        <w:rPr>
          <w:rFonts w:eastAsia="SimSun" w:cs="Arial"/>
          <w:szCs w:val="22"/>
        </w:rPr>
      </w:pPr>
      <w:bookmarkStart w:id="4" w:name="Dec11COM_9b3"/>
      <w:bookmarkEnd w:id="4"/>
      <w:r w:rsidRPr="00123CAE">
        <w:rPr>
          <w:rFonts w:cs="Arial"/>
          <w:szCs w:val="22"/>
        </w:rPr>
        <w:t xml:space="preserve">DRAFT DECISION 11.COM 9.b.3 </w:t>
      </w:r>
      <w:r w:rsidRPr="00123CAE">
        <w:rPr>
          <w:rFonts w:cs="Arial"/>
          <w:noProof/>
          <w:snapToGrid/>
          <w:szCs w:val="22"/>
          <w:lang w:val="fr-FR" w:eastAsia="fr-FR"/>
        </w:rPr>
        <w:drawing>
          <wp:inline distT="0" distB="0" distL="0" distR="0" wp14:anchorId="5FE753AF" wp14:editId="13A125EB">
            <wp:extent cx="103505" cy="103505"/>
            <wp:effectExtent l="0" t="0" r="0" b="0"/>
            <wp:docPr id="5" name="Picture 5" descr="Return to top">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615E2D2D" w14:textId="77777777" w:rsidR="007E5144" w:rsidRPr="00123CAE" w:rsidRDefault="007E5144" w:rsidP="007E5144">
      <w:pPr>
        <w:pStyle w:val="Para"/>
        <w:keepNext/>
        <w:numPr>
          <w:ilvl w:val="0"/>
          <w:numId w:val="0"/>
        </w:numPr>
        <w:tabs>
          <w:tab w:val="left" w:pos="1134"/>
        </w:tabs>
        <w:spacing w:line="240" w:lineRule="auto"/>
        <w:ind w:left="567"/>
        <w:rPr>
          <w:rFonts w:cs="Arial"/>
          <w:sz w:val="22"/>
          <w:szCs w:val="22"/>
          <w:lang w:val="en-GB"/>
        </w:rPr>
      </w:pPr>
      <w:r w:rsidRPr="00123CAE">
        <w:rPr>
          <w:rFonts w:cs="Arial"/>
          <w:sz w:val="22"/>
          <w:szCs w:val="22"/>
          <w:lang w:val="en-GB"/>
        </w:rPr>
        <w:t>The Committee,</w:t>
      </w:r>
    </w:p>
    <w:p w14:paraId="74F7F0A9" w14:textId="77777777" w:rsidR="00DC5762" w:rsidRPr="00123CAE" w:rsidRDefault="00DC5762" w:rsidP="00DC5762">
      <w:pPr>
        <w:pStyle w:val="Para"/>
        <w:ind w:left="1134" w:hanging="567"/>
        <w:rPr>
          <w:rFonts w:cs="Arial"/>
          <w:sz w:val="22"/>
          <w:szCs w:val="22"/>
          <w:u w:val="single"/>
          <w:lang w:val="en-GB"/>
        </w:rPr>
      </w:pPr>
      <w:r w:rsidRPr="00123CAE">
        <w:rPr>
          <w:rFonts w:cs="Arial"/>
          <w:sz w:val="22"/>
          <w:szCs w:val="22"/>
          <w:u w:val="single"/>
          <w:lang w:val="en-GB"/>
        </w:rPr>
        <w:t>Having examined</w:t>
      </w:r>
      <w:r w:rsidRPr="00123CAE">
        <w:rPr>
          <w:rFonts w:cs="Arial"/>
          <w:sz w:val="22"/>
          <w:szCs w:val="22"/>
          <w:lang w:val="en-GB"/>
        </w:rPr>
        <w:t xml:space="preserve"> document ITH/16/11.COM/9.b,</w:t>
      </w:r>
    </w:p>
    <w:p w14:paraId="66D87103" w14:textId="5F7E3DD8" w:rsidR="00DC5762" w:rsidRPr="00123CAE" w:rsidRDefault="00DC5762" w:rsidP="00DC5762">
      <w:pPr>
        <w:pStyle w:val="Para"/>
        <w:ind w:left="1134" w:hanging="567"/>
        <w:rPr>
          <w:rFonts w:cs="Arial"/>
          <w:sz w:val="22"/>
          <w:szCs w:val="22"/>
          <w:u w:val="single"/>
          <w:lang w:val="en-GB"/>
        </w:rPr>
      </w:pPr>
      <w:r w:rsidRPr="00123CAE">
        <w:rPr>
          <w:rFonts w:cs="Arial"/>
          <w:sz w:val="22"/>
          <w:szCs w:val="22"/>
          <w:u w:val="single"/>
          <w:lang w:val="en-GB"/>
        </w:rPr>
        <w:t>Recalling</w:t>
      </w:r>
      <w:r w:rsidRPr="00123CAE">
        <w:rPr>
          <w:rFonts w:cs="Arial"/>
          <w:sz w:val="22"/>
          <w:szCs w:val="22"/>
          <w:lang w:val="en-GB"/>
        </w:rPr>
        <w:t xml:space="preserve"> Chapter V of the Operational Di</w:t>
      </w:r>
      <w:r w:rsidR="00CC4860">
        <w:rPr>
          <w:rFonts w:cs="Arial"/>
          <w:sz w:val="22"/>
          <w:szCs w:val="22"/>
          <w:lang w:val="en-GB"/>
        </w:rPr>
        <w:t>rectives and its Decision </w:t>
      </w:r>
      <w:hyperlink r:id="rId36" w:history="1">
        <w:r w:rsidR="00CC4860" w:rsidRPr="009D1622">
          <w:rPr>
            <w:rStyle w:val="Hyperlink"/>
            <w:rFonts w:cs="Arial"/>
            <w:sz w:val="22"/>
            <w:szCs w:val="22"/>
            <w:lang w:val="en-GB"/>
          </w:rPr>
          <w:t>6.COM </w:t>
        </w:r>
        <w:r w:rsidRPr="009D1622">
          <w:rPr>
            <w:rStyle w:val="Hyperlink"/>
            <w:rFonts w:cs="Arial"/>
            <w:sz w:val="22"/>
            <w:szCs w:val="22"/>
            <w:lang w:val="en-GB"/>
          </w:rPr>
          <w:t>8.9</w:t>
        </w:r>
      </w:hyperlink>
      <w:r w:rsidRPr="00123CAE">
        <w:rPr>
          <w:rFonts w:cs="Arial"/>
          <w:sz w:val="22"/>
          <w:szCs w:val="22"/>
          <w:lang w:val="en-GB"/>
        </w:rPr>
        <w:t>,</w:t>
      </w:r>
    </w:p>
    <w:p w14:paraId="18747668" w14:textId="77777777" w:rsidR="001C5A89" w:rsidRPr="00123CAE" w:rsidRDefault="001C5A89" w:rsidP="00DC5762">
      <w:pPr>
        <w:pStyle w:val="Para"/>
        <w:ind w:left="1134" w:hanging="567"/>
        <w:rPr>
          <w:rFonts w:cs="Arial"/>
          <w:sz w:val="22"/>
          <w:szCs w:val="22"/>
          <w:lang w:val="en-GB"/>
        </w:rPr>
      </w:pPr>
      <w:r w:rsidRPr="00123CAE">
        <w:rPr>
          <w:rFonts w:cs="Arial"/>
          <w:sz w:val="22"/>
          <w:szCs w:val="22"/>
          <w:u w:val="single"/>
          <w:lang w:val="en-GB"/>
        </w:rPr>
        <w:t>Expresses its thanks</w:t>
      </w:r>
      <w:r w:rsidRPr="00123CAE">
        <w:rPr>
          <w:rFonts w:cs="Arial"/>
          <w:sz w:val="22"/>
          <w:szCs w:val="22"/>
          <w:lang w:val="en-GB"/>
        </w:rPr>
        <w:t xml:space="preserve"> to the Islamic Republic of Iran for submitting its report on the </w:t>
      </w:r>
      <w:r w:rsidRPr="00123CAE">
        <w:rPr>
          <w:rFonts w:cs="Arial"/>
          <w:bCs/>
          <w:sz w:val="22"/>
          <w:szCs w:val="22"/>
          <w:lang w:val="en-GB"/>
        </w:rPr>
        <w:t xml:space="preserve">status of the </w:t>
      </w:r>
      <w:r w:rsidRPr="00123CAE">
        <w:rPr>
          <w:rFonts w:cs="Arial"/>
          <w:sz w:val="22"/>
          <w:szCs w:val="22"/>
          <w:lang w:val="en-GB"/>
        </w:rPr>
        <w:t xml:space="preserve">element </w:t>
      </w:r>
      <w:r w:rsidR="00DC5762" w:rsidRPr="00123CAE">
        <w:rPr>
          <w:rFonts w:cs="Arial"/>
          <w:sz w:val="22"/>
          <w:szCs w:val="22"/>
          <w:lang w:val="en-GB"/>
        </w:rPr>
        <w:t>‘</w:t>
      </w:r>
      <w:r w:rsidRPr="00123CAE">
        <w:rPr>
          <w:rFonts w:cs="Arial"/>
          <w:sz w:val="22"/>
          <w:szCs w:val="22"/>
          <w:lang w:val="en-GB"/>
        </w:rPr>
        <w:t>Naqqāli, Iranian dramatic story-telling</w:t>
      </w:r>
      <w:r w:rsidR="00DC5762" w:rsidRPr="00123CAE">
        <w:rPr>
          <w:rFonts w:cs="Arial"/>
          <w:sz w:val="22"/>
          <w:szCs w:val="22"/>
          <w:lang w:val="en-GB"/>
        </w:rPr>
        <w:t>’</w:t>
      </w:r>
      <w:r w:rsidRPr="00123CAE">
        <w:rPr>
          <w:rFonts w:cs="Arial"/>
          <w:sz w:val="22"/>
          <w:szCs w:val="22"/>
          <w:lang w:val="en-GB"/>
        </w:rPr>
        <w:t>, inscribed</w:t>
      </w:r>
      <w:r w:rsidRPr="00123CAE">
        <w:rPr>
          <w:rFonts w:cs="Arial"/>
          <w:bCs/>
          <w:sz w:val="22"/>
          <w:szCs w:val="22"/>
          <w:lang w:val="en-GB"/>
        </w:rPr>
        <w:t xml:space="preserve"> in 2011 on the List of Intangible Cultural Heritage in Need of Urgent Safeguarding;</w:t>
      </w:r>
    </w:p>
    <w:p w14:paraId="46EF1FFD" w14:textId="51100A71" w:rsidR="00493729" w:rsidRPr="00123CAE" w:rsidRDefault="001C5A89" w:rsidP="001C5A89">
      <w:pPr>
        <w:pStyle w:val="Para"/>
        <w:ind w:left="1134" w:hanging="567"/>
        <w:rPr>
          <w:rFonts w:cs="Arial"/>
          <w:sz w:val="22"/>
          <w:szCs w:val="22"/>
          <w:lang w:val="en-GB"/>
        </w:rPr>
      </w:pPr>
      <w:r w:rsidRPr="00123CAE">
        <w:rPr>
          <w:rFonts w:cs="Arial"/>
          <w:sz w:val="22"/>
          <w:szCs w:val="22"/>
          <w:u w:val="single"/>
          <w:lang w:val="en-GB"/>
        </w:rPr>
        <w:t>Takes note</w:t>
      </w:r>
      <w:r w:rsidRPr="00123CAE">
        <w:rPr>
          <w:rFonts w:cs="Arial"/>
          <w:sz w:val="22"/>
          <w:szCs w:val="22"/>
          <w:lang w:val="en-GB"/>
        </w:rPr>
        <w:t xml:space="preserve"> of the continued efforts undertaken by </w:t>
      </w:r>
      <w:r w:rsidR="00EB7187" w:rsidRPr="00123CAE">
        <w:rPr>
          <w:rFonts w:cs="Arial"/>
          <w:sz w:val="22"/>
          <w:szCs w:val="22"/>
          <w:lang w:val="en-GB"/>
        </w:rPr>
        <w:t xml:space="preserve">the </w:t>
      </w:r>
      <w:r w:rsidR="00736F22" w:rsidRPr="00123CAE">
        <w:rPr>
          <w:sz w:val="22"/>
          <w:szCs w:val="22"/>
          <w:lang w:val="en-GB"/>
        </w:rPr>
        <w:t xml:space="preserve">Islamic Republic of Iran </w:t>
      </w:r>
      <w:r w:rsidRPr="00123CAE">
        <w:rPr>
          <w:rFonts w:cs="Arial"/>
          <w:sz w:val="22"/>
          <w:szCs w:val="22"/>
          <w:lang w:val="en-GB"/>
        </w:rPr>
        <w:t xml:space="preserve">to safeguard the element and, in particular the financial support given to practitioners as well as other actions including improving their social status through awareness-raising, holding naqqāli festivals, </w:t>
      </w:r>
      <w:r w:rsidR="00960760" w:rsidRPr="00123CAE">
        <w:rPr>
          <w:rFonts w:cs="Arial"/>
          <w:sz w:val="22"/>
          <w:szCs w:val="22"/>
          <w:lang w:val="en-GB"/>
        </w:rPr>
        <w:t xml:space="preserve">and </w:t>
      </w:r>
      <w:r w:rsidRPr="00123CAE">
        <w:rPr>
          <w:rFonts w:cs="Arial"/>
          <w:sz w:val="22"/>
          <w:szCs w:val="22"/>
          <w:lang w:val="en-GB"/>
        </w:rPr>
        <w:t>supporting inter-generational transmission of naqqāli to future naqqāls, illustrators an</w:t>
      </w:r>
      <w:r w:rsidR="00493729" w:rsidRPr="00123CAE">
        <w:rPr>
          <w:rFonts w:cs="Arial"/>
          <w:sz w:val="22"/>
          <w:szCs w:val="22"/>
          <w:lang w:val="en-GB"/>
        </w:rPr>
        <w:t>d traditional instrument-makers;</w:t>
      </w:r>
    </w:p>
    <w:p w14:paraId="5EAB0D31" w14:textId="303B0DC8" w:rsidR="001C5A89" w:rsidRPr="00123CAE" w:rsidRDefault="00493729" w:rsidP="001C5A89">
      <w:pPr>
        <w:pStyle w:val="Para"/>
        <w:ind w:left="1134" w:hanging="567"/>
        <w:rPr>
          <w:rFonts w:cs="Arial"/>
          <w:sz w:val="22"/>
          <w:szCs w:val="22"/>
          <w:lang w:val="en-GB"/>
        </w:rPr>
      </w:pPr>
      <w:r w:rsidRPr="00123CAE">
        <w:rPr>
          <w:rFonts w:cs="Arial"/>
          <w:sz w:val="22"/>
          <w:szCs w:val="22"/>
          <w:u w:val="single"/>
          <w:lang w:val="en-GB"/>
        </w:rPr>
        <w:t>Commends</w:t>
      </w:r>
      <w:r w:rsidR="001C5A89" w:rsidRPr="00123CAE">
        <w:rPr>
          <w:rFonts w:cs="Arial"/>
          <w:sz w:val="22"/>
          <w:szCs w:val="22"/>
          <w:lang w:val="en-GB"/>
        </w:rPr>
        <w:t xml:space="preserve"> </w:t>
      </w:r>
      <w:r w:rsidRPr="00123CAE">
        <w:rPr>
          <w:rFonts w:cs="Arial"/>
          <w:sz w:val="22"/>
          <w:szCs w:val="22"/>
          <w:lang w:val="en-GB"/>
        </w:rPr>
        <w:t xml:space="preserve">the State Party for having established the first </w:t>
      </w:r>
      <w:r w:rsidR="001C5A89" w:rsidRPr="00123CAE">
        <w:rPr>
          <w:rFonts w:cs="Arial"/>
          <w:sz w:val="22"/>
          <w:szCs w:val="22"/>
          <w:lang w:val="en-GB"/>
        </w:rPr>
        <w:t xml:space="preserve">Naqqāli House to safeguard the element through research and documentation of the element and training in different aspects of </w:t>
      </w:r>
      <w:r w:rsidR="00E32FDF" w:rsidRPr="00123CAE">
        <w:rPr>
          <w:rFonts w:cs="Arial"/>
          <w:sz w:val="22"/>
          <w:szCs w:val="22"/>
          <w:lang w:val="en-GB"/>
        </w:rPr>
        <w:t>n</w:t>
      </w:r>
      <w:r w:rsidR="001C5A89" w:rsidRPr="00123CAE">
        <w:rPr>
          <w:rFonts w:cs="Arial"/>
          <w:sz w:val="22"/>
          <w:szCs w:val="22"/>
          <w:lang w:val="en-GB"/>
        </w:rPr>
        <w:t>aqqāli and of staging performances</w:t>
      </w:r>
      <w:r w:rsidRPr="00123CAE">
        <w:rPr>
          <w:rFonts w:cs="Arial"/>
          <w:sz w:val="22"/>
          <w:szCs w:val="22"/>
          <w:lang w:val="en-GB"/>
        </w:rPr>
        <w:t>;</w:t>
      </w:r>
    </w:p>
    <w:p w14:paraId="6325FA4C" w14:textId="648C86B3" w:rsidR="001C5A89" w:rsidRPr="00123CAE" w:rsidRDefault="001C5A89" w:rsidP="001C5A89">
      <w:pPr>
        <w:pStyle w:val="Para"/>
        <w:ind w:left="1134" w:hanging="567"/>
        <w:rPr>
          <w:rFonts w:cs="Arial"/>
          <w:sz w:val="22"/>
          <w:szCs w:val="22"/>
          <w:lang w:val="en-GB"/>
        </w:rPr>
      </w:pPr>
      <w:r w:rsidRPr="00123CAE">
        <w:rPr>
          <w:rFonts w:cs="Arial"/>
          <w:sz w:val="22"/>
          <w:szCs w:val="22"/>
          <w:u w:val="single"/>
          <w:lang w:val="en-GB"/>
        </w:rPr>
        <w:t>Invites</w:t>
      </w:r>
      <w:r w:rsidRPr="00123CAE">
        <w:rPr>
          <w:rFonts w:cs="Arial"/>
          <w:sz w:val="22"/>
          <w:szCs w:val="22"/>
          <w:lang w:val="en-GB"/>
        </w:rPr>
        <w:t xml:space="preserve"> the State Party to continue </w:t>
      </w:r>
      <w:r w:rsidR="009E7546" w:rsidRPr="00123CAE">
        <w:rPr>
          <w:rFonts w:cs="Arial"/>
          <w:sz w:val="22"/>
          <w:szCs w:val="22"/>
          <w:lang w:val="en-GB"/>
        </w:rPr>
        <w:t>to</w:t>
      </w:r>
      <w:r w:rsidRPr="00123CAE">
        <w:rPr>
          <w:rFonts w:cs="Arial"/>
          <w:sz w:val="22"/>
          <w:szCs w:val="22"/>
          <w:lang w:val="en-GB"/>
        </w:rPr>
        <w:t xml:space="preserve"> develop its safeguarding efforts and, in particular, to undertake its plans to build four more Naqqāli Houses in various regions of Iran and to establish a Naqqāli Foundation for processing and disseminating recordings and other information on the element</w:t>
      </w:r>
      <w:r w:rsidR="00493729" w:rsidRPr="00123CAE">
        <w:rPr>
          <w:rFonts w:cs="Arial"/>
          <w:sz w:val="22"/>
          <w:szCs w:val="22"/>
          <w:lang w:val="en-GB"/>
        </w:rPr>
        <w:t>;</w:t>
      </w:r>
    </w:p>
    <w:p w14:paraId="43002C39" w14:textId="77777777" w:rsidR="001C5A89" w:rsidRPr="00123CAE" w:rsidRDefault="001C5A89" w:rsidP="001C5A89">
      <w:pPr>
        <w:pStyle w:val="Para"/>
        <w:ind w:left="1134" w:hanging="567"/>
        <w:rPr>
          <w:rFonts w:cs="Arial"/>
          <w:sz w:val="22"/>
          <w:szCs w:val="22"/>
          <w:lang w:val="en-GB"/>
        </w:rPr>
      </w:pPr>
      <w:r w:rsidRPr="00123CAE">
        <w:rPr>
          <w:rFonts w:cs="Arial"/>
          <w:sz w:val="22"/>
          <w:szCs w:val="22"/>
          <w:u w:val="single"/>
          <w:lang w:val="en-GB"/>
        </w:rPr>
        <w:t>Encourages</w:t>
      </w:r>
      <w:r w:rsidRPr="00123CAE">
        <w:rPr>
          <w:rFonts w:cs="Arial"/>
          <w:sz w:val="22"/>
          <w:szCs w:val="22"/>
          <w:lang w:val="en-GB"/>
        </w:rPr>
        <w:t xml:space="preserve"> the State Party to continue to provide financial support to naqqāls for their living costs, in particular to those who undertake transmission activities, and to collaborate with practitioners and experts through the Naqqāli Houses in developing and implementing innovative safeguarding approaches</w:t>
      </w:r>
      <w:r w:rsidR="00493729" w:rsidRPr="00123CAE">
        <w:rPr>
          <w:rFonts w:cs="Arial"/>
          <w:sz w:val="22"/>
          <w:szCs w:val="22"/>
          <w:lang w:val="en-GB"/>
        </w:rPr>
        <w:t>;</w:t>
      </w:r>
    </w:p>
    <w:p w14:paraId="78AD4EC9" w14:textId="7E186115" w:rsidR="001C5A89" w:rsidRPr="00123CAE" w:rsidRDefault="001C5A89" w:rsidP="001C5A89">
      <w:pPr>
        <w:pStyle w:val="Para"/>
        <w:ind w:left="1134" w:hanging="567"/>
        <w:rPr>
          <w:rFonts w:cs="Arial"/>
          <w:sz w:val="22"/>
          <w:szCs w:val="22"/>
          <w:lang w:val="en-GB"/>
        </w:rPr>
      </w:pPr>
      <w:r w:rsidRPr="00123CAE">
        <w:rPr>
          <w:rFonts w:cs="Arial"/>
          <w:sz w:val="22"/>
          <w:szCs w:val="22"/>
          <w:u w:val="single"/>
          <w:lang w:val="en-GB"/>
        </w:rPr>
        <w:t>Requests</w:t>
      </w:r>
      <w:r w:rsidRPr="00123CAE">
        <w:rPr>
          <w:rFonts w:cs="Arial"/>
          <w:sz w:val="22"/>
          <w:szCs w:val="22"/>
          <w:lang w:val="en-GB"/>
        </w:rPr>
        <w:t> </w:t>
      </w:r>
      <w:r w:rsidR="00493729" w:rsidRPr="00123CAE">
        <w:rPr>
          <w:rFonts w:cs="Arial"/>
          <w:sz w:val="22"/>
          <w:szCs w:val="22"/>
          <w:lang w:val="en-GB"/>
        </w:rPr>
        <w:t xml:space="preserve">the Secretariat to inform the State Party at least nine months prior to the deadline of 15 December 2019 </w:t>
      </w:r>
      <w:r w:rsidR="00E32FDF" w:rsidRPr="00123CAE">
        <w:rPr>
          <w:rFonts w:cs="Arial"/>
          <w:sz w:val="22"/>
          <w:szCs w:val="22"/>
          <w:lang w:val="en-GB"/>
        </w:rPr>
        <w:t xml:space="preserve">about </w:t>
      </w:r>
      <w:r w:rsidR="00493729" w:rsidRPr="00123CAE">
        <w:rPr>
          <w:rFonts w:cs="Arial"/>
          <w:sz w:val="22"/>
          <w:szCs w:val="22"/>
          <w:lang w:val="en-GB"/>
        </w:rPr>
        <w:t xml:space="preserve">the </w:t>
      </w:r>
      <w:r w:rsidR="00E32FDF" w:rsidRPr="00123CAE">
        <w:rPr>
          <w:rFonts w:cs="Arial"/>
          <w:sz w:val="22"/>
          <w:szCs w:val="22"/>
          <w:lang w:val="en-GB"/>
        </w:rPr>
        <w:t xml:space="preserve">required </w:t>
      </w:r>
      <w:r w:rsidR="00493729" w:rsidRPr="00123CAE">
        <w:rPr>
          <w:rFonts w:cs="Arial"/>
          <w:sz w:val="22"/>
          <w:szCs w:val="22"/>
          <w:lang w:val="en-GB"/>
        </w:rPr>
        <w:t>submission of its next report on the status of this element.</w:t>
      </w:r>
    </w:p>
    <w:p w14:paraId="2BB46B2F" w14:textId="5FDB4388" w:rsidR="007E5144" w:rsidRPr="00123CAE" w:rsidRDefault="007E5144" w:rsidP="007E5144">
      <w:pPr>
        <w:pStyle w:val="COMTitleDecision"/>
        <w:pageBreakBefore/>
        <w:spacing w:before="480"/>
        <w:jc w:val="left"/>
      </w:pPr>
      <w:r w:rsidRPr="00123CAE">
        <w:rPr>
          <w:bCs/>
        </w:rPr>
        <w:lastRenderedPageBreak/>
        <w:t>Mali:</w:t>
      </w:r>
      <w:r w:rsidRPr="00123CAE">
        <w:t xml:space="preserve"> ‘Secret society of the Kôrêdugaw, the rite of wisdom in Mali’ </w:t>
      </w:r>
      <w:r w:rsidRPr="00123CAE">
        <w:rPr>
          <w:b w:val="0"/>
          <w:bCs/>
          <w:i/>
          <w:iCs/>
        </w:rPr>
        <w:t xml:space="preserve">(consult the </w:t>
      </w:r>
      <w:hyperlink r:id="rId37" w:history="1">
        <w:r w:rsidRPr="005E35E4">
          <w:rPr>
            <w:rStyle w:val="Hyperlink"/>
            <w:b w:val="0"/>
            <w:bCs/>
            <w:i/>
            <w:iCs/>
          </w:rPr>
          <w:t>report</w:t>
        </w:r>
      </w:hyperlink>
      <w:r w:rsidRPr="00123CAE">
        <w:rPr>
          <w:b w:val="0"/>
          <w:bCs/>
          <w:i/>
          <w:iCs/>
        </w:rPr>
        <w:t>)</w:t>
      </w:r>
    </w:p>
    <w:p w14:paraId="4380AEC9" w14:textId="04589762" w:rsidR="007E5144" w:rsidRPr="00123CAE" w:rsidRDefault="007503CA" w:rsidP="007503CA">
      <w:pPr>
        <w:pStyle w:val="Marge"/>
        <w:numPr>
          <w:ilvl w:val="0"/>
          <w:numId w:val="9"/>
        </w:numPr>
        <w:tabs>
          <w:tab w:val="clear" w:pos="567"/>
        </w:tabs>
        <w:autoSpaceDE w:val="0"/>
        <w:autoSpaceDN w:val="0"/>
        <w:adjustRightInd w:val="0"/>
        <w:spacing w:after="120"/>
        <w:ind w:left="567" w:hanging="567"/>
        <w:rPr>
          <w:rFonts w:cs="Arial"/>
          <w:bCs/>
          <w:szCs w:val="22"/>
          <w:lang w:val="en-GB"/>
        </w:rPr>
      </w:pPr>
      <w:r w:rsidRPr="00123CAE">
        <w:rPr>
          <w:rFonts w:cs="Arial"/>
          <w:szCs w:val="22"/>
          <w:lang w:val="en-GB"/>
        </w:rPr>
        <w:t xml:space="preserve">The ‘Secret Society of the Kôrêdugaw, the rite of wisdom in Mali’ is an initiation rite dedicated to the quest for wisdom that encompasses an aspiration towards immortality of the soul through the spiritual guidance of community life. Initiates (the Kôrêdugaw) provoke laughter with behaviour characterized by caustic humour, but also possess great intelligence and wisdom. The Kôrêdugaw play the role of social mediators (e.g. conducting reconciliation of inter-and intra-community conflicts), educate children, </w:t>
      </w:r>
      <w:r w:rsidR="00D01E5E" w:rsidRPr="00123CAE">
        <w:rPr>
          <w:rFonts w:cs="Arial"/>
          <w:szCs w:val="22"/>
          <w:lang w:val="en-GB"/>
        </w:rPr>
        <w:t xml:space="preserve">help to </w:t>
      </w:r>
      <w:r w:rsidRPr="00123CAE">
        <w:rPr>
          <w:rFonts w:cs="Arial"/>
          <w:szCs w:val="22"/>
          <w:lang w:val="en-GB"/>
        </w:rPr>
        <w:t>cure illnesses through traditional medicine, attend various ceremonies (marriages, baptisms, funerals</w:t>
      </w:r>
      <w:r w:rsidR="00DB18C1" w:rsidRPr="00123CAE">
        <w:rPr>
          <w:rFonts w:cs="Arial"/>
          <w:szCs w:val="22"/>
          <w:lang w:val="en-GB"/>
        </w:rPr>
        <w:t xml:space="preserve"> and</w:t>
      </w:r>
      <w:r w:rsidRPr="00123CAE">
        <w:rPr>
          <w:rFonts w:cs="Arial"/>
          <w:szCs w:val="22"/>
          <w:lang w:val="en-GB"/>
        </w:rPr>
        <w:t xml:space="preserve"> official receptions), and </w:t>
      </w:r>
      <w:r w:rsidR="00D01E5E" w:rsidRPr="00123CAE">
        <w:rPr>
          <w:rFonts w:cs="Arial"/>
          <w:szCs w:val="22"/>
          <w:lang w:val="en-GB"/>
        </w:rPr>
        <w:t xml:space="preserve">try to </w:t>
      </w:r>
      <w:r w:rsidRPr="00123CAE">
        <w:rPr>
          <w:rFonts w:cs="Arial"/>
          <w:szCs w:val="22"/>
          <w:lang w:val="en-GB"/>
        </w:rPr>
        <w:t>invoke heavy rains and abundant harvests. They symbolize generosity, tolerance, and mastery of knowledge, embodying the rules of conduct that they advocate for others. The secret society of Kôrêdugaw is an essential part of the cultural identity of the Bambara, Malinké, Senoufo and Samogo peoples.</w:t>
      </w:r>
    </w:p>
    <w:p w14:paraId="3ABE1E26" w14:textId="21E3320C" w:rsidR="007503CA" w:rsidRPr="00123CAE" w:rsidRDefault="007503CA" w:rsidP="007503CA">
      <w:pPr>
        <w:pStyle w:val="COMPara"/>
        <w:ind w:left="567" w:hanging="567"/>
        <w:jc w:val="both"/>
      </w:pPr>
      <w:r w:rsidRPr="00123CAE">
        <w:rPr>
          <w:b/>
        </w:rPr>
        <w:t>Effectiveness of the safeguarding plan</w:t>
      </w:r>
      <w:r w:rsidRPr="00CC4860">
        <w:t xml:space="preserve">. </w:t>
      </w:r>
      <w:r w:rsidRPr="00123CAE">
        <w:t>Under the responsibility of the</w:t>
      </w:r>
      <w:r w:rsidRPr="00123CAE">
        <w:rPr>
          <w:bCs/>
          <w:lang w:eastAsia="fr-FR"/>
        </w:rPr>
        <w:t xml:space="preserve"> Cultural Heritage Directorate (DNPC) from the Ministry of Culture and </w:t>
      </w:r>
      <w:r w:rsidRPr="00123CAE">
        <w:t>with the active participation of the bearer communities, communal and customary authorities, and the Kôrêdugaw associations</w:t>
      </w:r>
      <w:r w:rsidRPr="00123CAE">
        <w:rPr>
          <w:bCs/>
        </w:rPr>
        <w:t>, t</w:t>
      </w:r>
      <w:r w:rsidRPr="00123CAE">
        <w:t xml:space="preserve">he following safeguarding measures have been undertaken: (i) establishment of Kôrêdugaw associations throughout the country; (ii) </w:t>
      </w:r>
      <w:r w:rsidRPr="00123CAE">
        <w:rPr>
          <w:iCs/>
        </w:rPr>
        <w:t>promotion of the element through</w:t>
      </w:r>
      <w:r w:rsidRPr="00123CAE">
        <w:t xml:space="preserve"> conferences, broadcast</w:t>
      </w:r>
      <w:r w:rsidR="00DB18C1" w:rsidRPr="00123CAE">
        <w:t>ing radio programmes</w:t>
      </w:r>
      <w:r w:rsidRPr="00123CAE">
        <w:t xml:space="preserve">, exhibitions and meetings between Kôrêdugaw associations and various authorities in different regions; (iii) </w:t>
      </w:r>
      <w:r w:rsidR="00DB18C1" w:rsidRPr="00123CAE">
        <w:t xml:space="preserve">an </w:t>
      </w:r>
      <w:r w:rsidRPr="00123CAE">
        <w:t>educational programme targeting you</w:t>
      </w:r>
      <w:r w:rsidR="00663B99" w:rsidRPr="00123CAE">
        <w:t>ng people</w:t>
      </w:r>
      <w:r w:rsidRPr="00123CAE">
        <w:t xml:space="preserve"> in schools; (iv) capacity building of Kôrêdugaw associations on fundraising and safeguarding needs’ identification; </w:t>
      </w:r>
      <w:r w:rsidR="00DB18C1" w:rsidRPr="00123CAE">
        <w:t xml:space="preserve">and </w:t>
      </w:r>
      <w:r w:rsidRPr="00123CAE">
        <w:t xml:space="preserve">(v) </w:t>
      </w:r>
      <w:r w:rsidRPr="00123CAE">
        <w:rPr>
          <w:iCs/>
        </w:rPr>
        <w:t xml:space="preserve">documentation </w:t>
      </w:r>
      <w:r w:rsidR="00663B99" w:rsidRPr="00123CAE">
        <w:rPr>
          <w:iCs/>
        </w:rPr>
        <w:t>by</w:t>
      </w:r>
      <w:r w:rsidR="00663B99" w:rsidRPr="00123CAE">
        <w:t xml:space="preserve"> </w:t>
      </w:r>
      <w:r w:rsidRPr="00123CAE">
        <w:t xml:space="preserve">inventorying, </w:t>
      </w:r>
      <w:r w:rsidR="00663B99" w:rsidRPr="00123CAE">
        <w:t xml:space="preserve">conducting </w:t>
      </w:r>
      <w:r w:rsidRPr="00123CAE">
        <w:t xml:space="preserve">field studies, </w:t>
      </w:r>
      <w:r w:rsidR="00663B99" w:rsidRPr="00123CAE">
        <w:t xml:space="preserve">and making </w:t>
      </w:r>
      <w:r w:rsidRPr="00123CAE">
        <w:t>audiovisual recordings and brochures.</w:t>
      </w:r>
    </w:p>
    <w:p w14:paraId="2A977C6F" w14:textId="7A4368E6" w:rsidR="007503CA" w:rsidRPr="00123CAE" w:rsidRDefault="007503CA" w:rsidP="007503CA">
      <w:pPr>
        <w:pStyle w:val="COMPara"/>
        <w:ind w:left="567" w:hanging="567"/>
        <w:jc w:val="both"/>
        <w:rPr>
          <w:rFonts w:eastAsia="SimSun"/>
          <w:kern w:val="1"/>
          <w:lang w:eastAsia="ar-SA"/>
        </w:rPr>
      </w:pPr>
      <w:r w:rsidRPr="00123CAE">
        <w:t>According to the report, the safeguarding measures have greatly contributed to revitaliz</w:t>
      </w:r>
      <w:r w:rsidR="00DB18C1" w:rsidRPr="00123CAE">
        <w:t>ing</w:t>
      </w:r>
      <w:r w:rsidRPr="00123CAE">
        <w:t xml:space="preserve"> the element. </w:t>
      </w:r>
      <w:r w:rsidR="002D045F" w:rsidRPr="00123CAE">
        <w:t>A</w:t>
      </w:r>
      <w:r w:rsidRPr="00123CAE">
        <w:t xml:space="preserve">t the core of the safeguarding process, </w:t>
      </w:r>
      <w:r w:rsidR="002D045F" w:rsidRPr="00123CAE">
        <w:t>the bearers (</w:t>
      </w:r>
      <w:r w:rsidRPr="00123CAE">
        <w:t>through the Kôrêdugaw associations</w:t>
      </w:r>
      <w:r w:rsidR="002D045F" w:rsidRPr="00123CAE">
        <w:t>)</w:t>
      </w:r>
      <w:r w:rsidRPr="00123CAE">
        <w:t xml:space="preserve"> have strengthened the communities’ sense of ownership of the element and greatly mobili</w:t>
      </w:r>
      <w:r w:rsidR="002D045F" w:rsidRPr="00123CAE">
        <w:t>z</w:t>
      </w:r>
      <w:r w:rsidRPr="00123CAE">
        <w:t>ed the populations around the Society. The communities have become more aware of the potential negative impacts of the degradation of the customs and have responded by organi</w:t>
      </w:r>
      <w:r w:rsidR="002D045F" w:rsidRPr="00123CAE">
        <w:t>z</w:t>
      </w:r>
      <w:r w:rsidRPr="00123CAE">
        <w:t xml:space="preserve">ing festivals and informing </w:t>
      </w:r>
      <w:r w:rsidR="002D045F" w:rsidRPr="00123CAE">
        <w:t xml:space="preserve">the </w:t>
      </w:r>
      <w:r w:rsidRPr="00123CAE">
        <w:t>broad</w:t>
      </w:r>
      <w:r w:rsidR="002D045F" w:rsidRPr="00123CAE">
        <w:t>er</w:t>
      </w:r>
      <w:r w:rsidRPr="00123CAE">
        <w:t xml:space="preserve"> public about the importance of the element. Women and you</w:t>
      </w:r>
      <w:r w:rsidR="00663B99" w:rsidRPr="00123CAE">
        <w:t>ng people</w:t>
      </w:r>
      <w:r w:rsidR="002D045F" w:rsidRPr="00123CAE">
        <w:t>,</w:t>
      </w:r>
      <w:r w:rsidRPr="00123CAE">
        <w:t xml:space="preserve"> in particular have shown a strong interest in learning and transmitting their parents’ traditional practices and knowledge. Among the activities, the use of radio broadcasts in local languages has allowed for widespread dissemination of the intended message while the distribution of brochures has informed people of threats to the element. The educational programme organized in schools has taught you</w:t>
      </w:r>
      <w:r w:rsidR="002D045F" w:rsidRPr="00123CAE">
        <w:t>ng people</w:t>
      </w:r>
      <w:r w:rsidRPr="00123CAE">
        <w:t xml:space="preserve"> about the history and values of the Society as a guide to behaviour. Festivals on the Society have achieved popular mobili</w:t>
      </w:r>
      <w:r w:rsidR="002D045F" w:rsidRPr="00123CAE">
        <w:t>z</w:t>
      </w:r>
      <w:r w:rsidRPr="00123CAE">
        <w:t>ation and have now been included in economic de</w:t>
      </w:r>
      <w:r w:rsidR="00C1325B" w:rsidRPr="00123CAE">
        <w:t>velopment budgets of the local c</w:t>
      </w:r>
      <w:r w:rsidRPr="00123CAE">
        <w:t>ommunes. According to the report, lack of financial resources and logistical support has constituted the only obstacle to the implementation of all planned activities.</w:t>
      </w:r>
    </w:p>
    <w:p w14:paraId="108D85FE" w14:textId="6F1E68F6" w:rsidR="007503CA" w:rsidRPr="00123CAE" w:rsidRDefault="007503CA" w:rsidP="007503CA">
      <w:pPr>
        <w:pStyle w:val="COMPara"/>
        <w:ind w:left="567" w:hanging="567"/>
        <w:jc w:val="both"/>
      </w:pPr>
      <w:r w:rsidRPr="00123CAE">
        <w:rPr>
          <w:b/>
        </w:rPr>
        <w:t>Community participation</w:t>
      </w:r>
      <w:r w:rsidRPr="00123CAE">
        <w:t xml:space="preserve">. The </w:t>
      </w:r>
      <w:r w:rsidR="00D66DDD" w:rsidRPr="00123CAE">
        <w:t xml:space="preserve">communities of </w:t>
      </w:r>
      <w:r w:rsidRPr="00123CAE">
        <w:t xml:space="preserve">Koulikoro, Ségou and Sikasso </w:t>
      </w:r>
      <w:r w:rsidR="00D66DDD" w:rsidRPr="00123CAE">
        <w:t xml:space="preserve">regions </w:t>
      </w:r>
      <w:r w:rsidRPr="00123CAE">
        <w:t xml:space="preserve">actively participated in the preparation and implementation of the safeguarding activities through their representatives, associations, </w:t>
      </w:r>
      <w:r w:rsidR="00663B99" w:rsidRPr="00123CAE">
        <w:t xml:space="preserve">and </w:t>
      </w:r>
      <w:r w:rsidRPr="00123CAE">
        <w:t>initiated and resource persons. In particular, the numerous Kôrêdugaw associations played a central role and greatly contributed to making the safeguarding approach inclusive</w:t>
      </w:r>
      <w:r w:rsidR="003729C8" w:rsidRPr="00123CAE">
        <w:t>.</w:t>
      </w:r>
      <w:r w:rsidRPr="00123CAE">
        <w:t xml:space="preserve"> </w:t>
      </w:r>
      <w:r w:rsidR="003729C8" w:rsidRPr="00123CAE">
        <w:t>T</w:t>
      </w:r>
      <w:r w:rsidRPr="00123CAE">
        <w:t>hey met with the administrative, political and customary authorities in each region and also organi</w:t>
      </w:r>
      <w:r w:rsidR="00CD304E" w:rsidRPr="00123CAE">
        <w:t>z</w:t>
      </w:r>
      <w:r w:rsidRPr="00123CAE">
        <w:t xml:space="preserve">ed working sessions with village councils, notables and local resource persons for this purpose. In addition, the parental associations of </w:t>
      </w:r>
      <w:r w:rsidRPr="00123CAE">
        <w:rPr>
          <w:bCs/>
          <w:lang w:eastAsia="fr-FR"/>
        </w:rPr>
        <w:t>school children mobili</w:t>
      </w:r>
      <w:r w:rsidR="00CD304E" w:rsidRPr="00123CAE">
        <w:rPr>
          <w:bCs/>
          <w:lang w:eastAsia="fr-FR"/>
        </w:rPr>
        <w:t>z</w:t>
      </w:r>
      <w:r w:rsidRPr="00123CAE">
        <w:rPr>
          <w:bCs/>
          <w:lang w:eastAsia="fr-FR"/>
        </w:rPr>
        <w:t xml:space="preserve">ed school-age pupils. The report </w:t>
      </w:r>
      <w:r w:rsidRPr="00123CAE">
        <w:t>has been established with the contribution of local authorities and the Kôrêdugaw associations who help to identify community representatives in the Koulikoro, Ségou and Sikasso regions to gather information through field investigation teams</w:t>
      </w:r>
      <w:r w:rsidR="00D66DDD" w:rsidRPr="00123CAE">
        <w:t>.</w:t>
      </w:r>
    </w:p>
    <w:p w14:paraId="205A28AF" w14:textId="2890F395" w:rsidR="007E5144" w:rsidRPr="00123CAE" w:rsidRDefault="007503CA" w:rsidP="007503CA">
      <w:pPr>
        <w:pStyle w:val="COMPara"/>
        <w:ind w:left="567" w:hanging="567"/>
        <w:jc w:val="both"/>
        <w:rPr>
          <w:bCs/>
        </w:rPr>
      </w:pPr>
      <w:r w:rsidRPr="00123CAE">
        <w:rPr>
          <w:b/>
        </w:rPr>
        <w:t>Viability and current risks</w:t>
      </w:r>
      <w:r w:rsidRPr="00EE5FE1">
        <w:t>.</w:t>
      </w:r>
      <w:r w:rsidRPr="00123CAE">
        <w:t xml:space="preserve"> The viability of the element now relies on the large number of associations protecting and promoting the Society. </w:t>
      </w:r>
      <w:r w:rsidR="00D66DDD" w:rsidRPr="00123CAE">
        <w:t>As mentioned in the report, t</w:t>
      </w:r>
      <w:r w:rsidRPr="00123CAE">
        <w:t>oday it is through these associations that the initiation</w:t>
      </w:r>
      <w:r w:rsidR="006457A1" w:rsidRPr="00123CAE">
        <w:t>’</w:t>
      </w:r>
      <w:r w:rsidRPr="00123CAE">
        <w:t>s rites are organi</w:t>
      </w:r>
      <w:r w:rsidR="006457A1" w:rsidRPr="00123CAE">
        <w:t>z</w:t>
      </w:r>
      <w:r w:rsidRPr="00123CAE">
        <w:t xml:space="preserve">ed in all bearer communities. </w:t>
      </w:r>
      <w:r w:rsidRPr="00123CAE">
        <w:lastRenderedPageBreak/>
        <w:t xml:space="preserve">The practitioners come from all social and professional backgrounds and </w:t>
      </w:r>
      <w:r w:rsidR="00D66DDD" w:rsidRPr="00123CAE">
        <w:t>ethnic groups and entry to the S</w:t>
      </w:r>
      <w:r w:rsidRPr="00123CAE">
        <w:t>ociety is open to all, which is a further aspect of its viability. In addition, non</w:t>
      </w:r>
      <w:r w:rsidR="00297690" w:rsidRPr="00123CAE">
        <w:noBreakHyphen/>
      </w:r>
      <w:r w:rsidRPr="00123CAE">
        <w:t>members also participate in the element, such as young people and women who contribute to the Kôrêdugaw gatherings and festivals. Kôrêdugaw associations’ membership fees help to fund the safeguarding activities and thus contribute to the sustainability of the element.</w:t>
      </w:r>
    </w:p>
    <w:p w14:paraId="3DD77906" w14:textId="77777777" w:rsidR="007E5144" w:rsidRPr="00123CAE" w:rsidRDefault="007E5144" w:rsidP="007503CA">
      <w:pPr>
        <w:pStyle w:val="COMPara"/>
        <w:ind w:left="567" w:hanging="567"/>
        <w:jc w:val="both"/>
      </w:pPr>
      <w:r w:rsidRPr="00123CAE">
        <w:t>The Committee may wish to adopt the following decision:</w:t>
      </w:r>
    </w:p>
    <w:p w14:paraId="0E4A9E8B" w14:textId="77777777" w:rsidR="007E5144" w:rsidRPr="00123CAE" w:rsidRDefault="007E5144" w:rsidP="007E5144">
      <w:pPr>
        <w:pStyle w:val="Heading4"/>
        <w:numPr>
          <w:ilvl w:val="0"/>
          <w:numId w:val="0"/>
        </w:numPr>
        <w:spacing w:before="240"/>
        <w:ind w:left="567"/>
        <w:rPr>
          <w:rFonts w:eastAsia="SimSun"/>
        </w:rPr>
      </w:pPr>
      <w:bookmarkStart w:id="5" w:name="Dec11COM_9b4"/>
      <w:bookmarkEnd w:id="5"/>
      <w:r w:rsidRPr="00123CAE">
        <w:t xml:space="preserve">DRAFT DECISION 11.COM 9.b.4 </w:t>
      </w:r>
      <w:r w:rsidRPr="00123CAE">
        <w:rPr>
          <w:noProof/>
          <w:snapToGrid/>
          <w:lang w:val="fr-FR" w:eastAsia="fr-FR"/>
        </w:rPr>
        <w:drawing>
          <wp:inline distT="0" distB="0" distL="0" distR="0" wp14:anchorId="47B9FE29" wp14:editId="786AC93B">
            <wp:extent cx="103505" cy="103505"/>
            <wp:effectExtent l="0" t="0" r="0" b="0"/>
            <wp:docPr id="6" name="Picture 6" descr="Return to top">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5FB0F949" w14:textId="77777777" w:rsidR="007E5144" w:rsidRPr="00123CAE" w:rsidRDefault="007E5144" w:rsidP="007E5144">
      <w:pPr>
        <w:pStyle w:val="Para"/>
        <w:keepNext/>
        <w:numPr>
          <w:ilvl w:val="0"/>
          <w:numId w:val="0"/>
        </w:numPr>
        <w:tabs>
          <w:tab w:val="left" w:pos="1134"/>
        </w:tabs>
        <w:spacing w:line="240" w:lineRule="auto"/>
        <w:ind w:left="567"/>
        <w:rPr>
          <w:rFonts w:cs="Arial"/>
          <w:sz w:val="22"/>
          <w:szCs w:val="22"/>
          <w:lang w:val="en-GB"/>
        </w:rPr>
      </w:pPr>
      <w:r w:rsidRPr="00123CAE">
        <w:rPr>
          <w:rFonts w:cs="Arial"/>
          <w:sz w:val="22"/>
          <w:szCs w:val="22"/>
          <w:lang w:val="en-GB"/>
        </w:rPr>
        <w:t>The Committee,</w:t>
      </w:r>
    </w:p>
    <w:p w14:paraId="2358479A" w14:textId="77777777" w:rsidR="007503CA" w:rsidRPr="00123CAE" w:rsidRDefault="007503CA" w:rsidP="007503CA">
      <w:pPr>
        <w:pStyle w:val="Para"/>
        <w:numPr>
          <w:ilvl w:val="0"/>
          <w:numId w:val="20"/>
        </w:numPr>
        <w:ind w:left="1134" w:hanging="567"/>
        <w:rPr>
          <w:rFonts w:cs="Arial"/>
          <w:sz w:val="22"/>
          <w:szCs w:val="22"/>
          <w:u w:val="single"/>
          <w:lang w:val="en-GB"/>
        </w:rPr>
      </w:pPr>
      <w:r w:rsidRPr="00123CAE">
        <w:rPr>
          <w:rFonts w:cs="Arial"/>
          <w:sz w:val="22"/>
          <w:szCs w:val="22"/>
          <w:u w:val="single"/>
          <w:lang w:val="en-GB"/>
        </w:rPr>
        <w:t>Having examined</w:t>
      </w:r>
      <w:r w:rsidRPr="00123CAE">
        <w:rPr>
          <w:rFonts w:cs="Arial"/>
          <w:sz w:val="22"/>
          <w:szCs w:val="22"/>
          <w:lang w:val="en-GB"/>
        </w:rPr>
        <w:t xml:space="preserve"> document ITH/16/11.COM/9.b,</w:t>
      </w:r>
    </w:p>
    <w:p w14:paraId="0CBFAFDF" w14:textId="0B6ADE45" w:rsidR="007503CA" w:rsidRPr="00123CAE" w:rsidRDefault="007503CA" w:rsidP="007503CA">
      <w:pPr>
        <w:pStyle w:val="Para"/>
        <w:numPr>
          <w:ilvl w:val="0"/>
          <w:numId w:val="20"/>
        </w:numPr>
        <w:ind w:left="1134" w:hanging="567"/>
        <w:rPr>
          <w:rFonts w:cs="Arial"/>
          <w:sz w:val="22"/>
          <w:szCs w:val="22"/>
          <w:lang w:val="en-GB"/>
        </w:rPr>
      </w:pPr>
      <w:r w:rsidRPr="00123CAE">
        <w:rPr>
          <w:rFonts w:cs="Arial"/>
          <w:sz w:val="22"/>
          <w:szCs w:val="22"/>
          <w:u w:val="single"/>
          <w:lang w:val="en-GB"/>
        </w:rPr>
        <w:t>Recalling</w:t>
      </w:r>
      <w:r w:rsidRPr="00123CAE">
        <w:rPr>
          <w:rFonts w:cs="Arial"/>
          <w:sz w:val="22"/>
          <w:szCs w:val="22"/>
          <w:lang w:val="en-GB"/>
        </w:rPr>
        <w:t xml:space="preserve"> Chapter V of the Operational Directives and its Decision </w:t>
      </w:r>
      <w:hyperlink r:id="rId38" w:history="1">
        <w:r w:rsidRPr="0019063F">
          <w:rPr>
            <w:rStyle w:val="Hyperlink"/>
            <w:rFonts w:cs="Arial"/>
            <w:sz w:val="22"/>
            <w:szCs w:val="22"/>
            <w:lang w:val="en-GB"/>
          </w:rPr>
          <w:t>6.COM 8.12</w:t>
        </w:r>
      </w:hyperlink>
      <w:r w:rsidRPr="00123CAE">
        <w:rPr>
          <w:rFonts w:cs="Arial"/>
          <w:sz w:val="22"/>
          <w:szCs w:val="22"/>
          <w:lang w:val="en-GB"/>
        </w:rPr>
        <w:t>,</w:t>
      </w:r>
    </w:p>
    <w:p w14:paraId="30CAB815" w14:textId="77777777" w:rsidR="007503CA" w:rsidRPr="00123CAE" w:rsidRDefault="007503CA" w:rsidP="007503CA">
      <w:pPr>
        <w:pStyle w:val="Para"/>
        <w:numPr>
          <w:ilvl w:val="0"/>
          <w:numId w:val="20"/>
        </w:numPr>
        <w:tabs>
          <w:tab w:val="left" w:pos="1134"/>
        </w:tabs>
        <w:spacing w:line="240" w:lineRule="auto"/>
        <w:ind w:left="1134" w:hanging="567"/>
        <w:rPr>
          <w:rFonts w:cs="Arial"/>
          <w:sz w:val="22"/>
          <w:szCs w:val="22"/>
          <w:lang w:val="en-GB"/>
        </w:rPr>
      </w:pPr>
      <w:r w:rsidRPr="00123CAE">
        <w:rPr>
          <w:rFonts w:cs="Arial"/>
          <w:sz w:val="22"/>
          <w:szCs w:val="22"/>
          <w:u w:val="single"/>
          <w:lang w:val="en-GB"/>
        </w:rPr>
        <w:t>Expresses its thanks</w:t>
      </w:r>
      <w:r w:rsidRPr="00123CAE">
        <w:rPr>
          <w:rFonts w:cs="Arial"/>
          <w:sz w:val="22"/>
          <w:szCs w:val="22"/>
          <w:lang w:val="en-GB"/>
        </w:rPr>
        <w:t xml:space="preserve"> to Mali for submitting its report on the </w:t>
      </w:r>
      <w:r w:rsidRPr="00123CAE">
        <w:rPr>
          <w:rFonts w:cs="Arial"/>
          <w:bCs/>
          <w:sz w:val="22"/>
          <w:szCs w:val="22"/>
          <w:lang w:val="en-GB"/>
        </w:rPr>
        <w:t xml:space="preserve">status of the </w:t>
      </w:r>
      <w:r w:rsidRPr="00123CAE">
        <w:rPr>
          <w:rFonts w:cs="Arial"/>
          <w:sz w:val="22"/>
          <w:szCs w:val="22"/>
          <w:lang w:val="en-GB"/>
        </w:rPr>
        <w:t>element ‘Secret Society of the Kôrêdugaw, the rite of wisdom in Mali’, inscribed</w:t>
      </w:r>
      <w:r w:rsidRPr="00123CAE">
        <w:rPr>
          <w:rFonts w:cs="Arial"/>
          <w:bCs/>
          <w:sz w:val="22"/>
          <w:szCs w:val="22"/>
          <w:lang w:val="en-GB"/>
        </w:rPr>
        <w:t xml:space="preserve"> in 2011 on the List of Intangible Cultural Heritage in Need of Urgent Safeguarding;</w:t>
      </w:r>
    </w:p>
    <w:p w14:paraId="6C04CEB3" w14:textId="6F6D6172" w:rsidR="007503CA" w:rsidRPr="00123CAE" w:rsidRDefault="007503CA" w:rsidP="007503CA">
      <w:pPr>
        <w:pStyle w:val="Para"/>
        <w:tabs>
          <w:tab w:val="left" w:pos="1134"/>
        </w:tabs>
        <w:spacing w:line="240" w:lineRule="auto"/>
        <w:ind w:left="1134" w:hanging="567"/>
        <w:rPr>
          <w:rFonts w:cs="Arial"/>
          <w:sz w:val="22"/>
          <w:szCs w:val="22"/>
          <w:lang w:val="en-GB"/>
        </w:rPr>
      </w:pPr>
      <w:r w:rsidRPr="00123CAE">
        <w:rPr>
          <w:rFonts w:cs="Arial"/>
          <w:sz w:val="22"/>
          <w:szCs w:val="22"/>
          <w:u w:val="single"/>
          <w:lang w:val="en-GB"/>
        </w:rPr>
        <w:t>Takes note</w:t>
      </w:r>
      <w:r w:rsidRPr="00123CAE">
        <w:rPr>
          <w:rFonts w:cs="Arial"/>
          <w:sz w:val="22"/>
          <w:szCs w:val="22"/>
          <w:lang w:val="en-GB"/>
        </w:rPr>
        <w:t xml:space="preserve"> of the continued efforts undertaken by </w:t>
      </w:r>
      <w:r w:rsidR="00736F22">
        <w:rPr>
          <w:rFonts w:cs="Arial"/>
          <w:sz w:val="22"/>
          <w:szCs w:val="22"/>
          <w:lang w:val="en-GB"/>
        </w:rPr>
        <w:t xml:space="preserve">Mali </w:t>
      </w:r>
      <w:r w:rsidRPr="00123CAE">
        <w:rPr>
          <w:rFonts w:cs="Arial"/>
          <w:sz w:val="22"/>
          <w:szCs w:val="22"/>
          <w:lang w:val="en-GB"/>
        </w:rPr>
        <w:t>to revitalize the element, in particular through the establishment of Kôrêdugaw associations throughout the country and the active role they play for community-based safeguarding, as well as educational programmes for you</w:t>
      </w:r>
      <w:r w:rsidR="006457A1" w:rsidRPr="00123CAE">
        <w:rPr>
          <w:rFonts w:cs="Arial"/>
          <w:sz w:val="22"/>
          <w:szCs w:val="22"/>
          <w:lang w:val="en-GB"/>
        </w:rPr>
        <w:t>ng people</w:t>
      </w:r>
      <w:r w:rsidRPr="00123CAE">
        <w:rPr>
          <w:rFonts w:cs="Arial"/>
          <w:sz w:val="22"/>
          <w:szCs w:val="22"/>
          <w:lang w:val="en-GB"/>
        </w:rPr>
        <w:t xml:space="preserve"> and field studies in which substantial new information has been collected</w:t>
      </w:r>
      <w:r w:rsidR="00D66DDD" w:rsidRPr="00123CAE">
        <w:rPr>
          <w:rFonts w:cs="Arial"/>
          <w:sz w:val="22"/>
          <w:szCs w:val="22"/>
          <w:lang w:val="en-GB"/>
        </w:rPr>
        <w:t>;</w:t>
      </w:r>
    </w:p>
    <w:p w14:paraId="0F7A9766" w14:textId="59D1A048" w:rsidR="007503CA" w:rsidRPr="00123CAE" w:rsidRDefault="007503CA" w:rsidP="007503CA">
      <w:pPr>
        <w:pStyle w:val="Para"/>
        <w:tabs>
          <w:tab w:val="left" w:pos="1134"/>
        </w:tabs>
        <w:spacing w:line="240" w:lineRule="auto"/>
        <w:ind w:left="1134" w:hanging="567"/>
        <w:rPr>
          <w:rFonts w:cs="Arial"/>
          <w:sz w:val="22"/>
          <w:szCs w:val="22"/>
          <w:lang w:val="en-GB"/>
        </w:rPr>
      </w:pPr>
      <w:r w:rsidRPr="00123CAE">
        <w:rPr>
          <w:rFonts w:cs="Arial"/>
          <w:sz w:val="22"/>
          <w:szCs w:val="22"/>
          <w:u w:val="single"/>
          <w:lang w:val="en-GB"/>
        </w:rPr>
        <w:t xml:space="preserve">Invites </w:t>
      </w:r>
      <w:r w:rsidRPr="00123CAE">
        <w:rPr>
          <w:rFonts w:cs="Arial"/>
          <w:sz w:val="22"/>
          <w:szCs w:val="22"/>
          <w:lang w:val="en-GB"/>
        </w:rPr>
        <w:t>the State Party</w:t>
      </w:r>
      <w:r w:rsidR="00D66DDD" w:rsidRPr="00123CAE">
        <w:rPr>
          <w:rFonts w:cs="Arial"/>
          <w:sz w:val="22"/>
          <w:szCs w:val="22"/>
          <w:lang w:val="en-GB"/>
        </w:rPr>
        <w:t>, with the view to ensur</w:t>
      </w:r>
      <w:r w:rsidR="006457A1" w:rsidRPr="00123CAE">
        <w:rPr>
          <w:rFonts w:cs="Arial"/>
          <w:sz w:val="22"/>
          <w:szCs w:val="22"/>
          <w:lang w:val="en-GB"/>
        </w:rPr>
        <w:t>ing</w:t>
      </w:r>
      <w:r w:rsidR="00D66DDD" w:rsidRPr="00123CAE">
        <w:rPr>
          <w:rFonts w:cs="Arial"/>
          <w:sz w:val="22"/>
          <w:szCs w:val="22"/>
          <w:lang w:val="en-GB"/>
        </w:rPr>
        <w:t xml:space="preserve"> the long-term viability of the element,</w:t>
      </w:r>
      <w:r w:rsidRPr="00123CAE">
        <w:rPr>
          <w:rFonts w:cs="Arial"/>
          <w:sz w:val="22"/>
          <w:szCs w:val="22"/>
          <w:lang w:val="en-GB"/>
        </w:rPr>
        <w:t xml:space="preserve"> to continue </w:t>
      </w:r>
      <w:r w:rsidR="00D66DDD" w:rsidRPr="00123CAE">
        <w:rPr>
          <w:rFonts w:cs="Arial"/>
          <w:sz w:val="22"/>
          <w:szCs w:val="22"/>
          <w:lang w:val="en-GB"/>
        </w:rPr>
        <w:t xml:space="preserve">implementing </w:t>
      </w:r>
      <w:r w:rsidRPr="00123CAE">
        <w:rPr>
          <w:rFonts w:cs="Arial"/>
          <w:sz w:val="22"/>
          <w:szCs w:val="22"/>
          <w:lang w:val="en-GB"/>
        </w:rPr>
        <w:t xml:space="preserve">the safeguarding activities and </w:t>
      </w:r>
      <w:r w:rsidR="00D66DDD" w:rsidRPr="00123CAE">
        <w:rPr>
          <w:rFonts w:cs="Arial"/>
          <w:sz w:val="22"/>
          <w:szCs w:val="22"/>
          <w:lang w:val="en-GB"/>
        </w:rPr>
        <w:t xml:space="preserve">developing </w:t>
      </w:r>
      <w:r w:rsidRPr="00123CAE">
        <w:rPr>
          <w:rFonts w:cs="Arial"/>
          <w:sz w:val="22"/>
          <w:szCs w:val="22"/>
          <w:lang w:val="en-GB"/>
        </w:rPr>
        <w:t xml:space="preserve">the solid cooperation that now exists between various local actors </w:t>
      </w:r>
      <w:r w:rsidR="00D66DDD" w:rsidRPr="00123CAE">
        <w:rPr>
          <w:rFonts w:cs="Arial"/>
          <w:sz w:val="22"/>
          <w:szCs w:val="22"/>
          <w:lang w:val="en-GB"/>
        </w:rPr>
        <w:t xml:space="preserve">such as the communities in </w:t>
      </w:r>
      <w:r w:rsidRPr="00123CAE">
        <w:rPr>
          <w:rFonts w:cs="Arial"/>
          <w:bCs/>
          <w:sz w:val="22"/>
          <w:szCs w:val="22"/>
          <w:lang w:val="en-GB"/>
        </w:rPr>
        <w:t xml:space="preserve">Koulikoro, Ségou and Sikasso </w:t>
      </w:r>
      <w:r w:rsidR="00D66DDD" w:rsidRPr="00123CAE">
        <w:rPr>
          <w:rFonts w:cs="Arial"/>
          <w:bCs/>
          <w:sz w:val="22"/>
          <w:szCs w:val="22"/>
          <w:lang w:val="en-GB"/>
        </w:rPr>
        <w:t>regions</w:t>
      </w:r>
      <w:r w:rsidRPr="00123CAE">
        <w:rPr>
          <w:rFonts w:cs="Arial"/>
          <w:bCs/>
          <w:sz w:val="22"/>
          <w:szCs w:val="22"/>
          <w:lang w:val="en-GB"/>
        </w:rPr>
        <w:t xml:space="preserve">, </w:t>
      </w:r>
      <w:r w:rsidRPr="00123CAE">
        <w:rPr>
          <w:rFonts w:cs="Arial"/>
          <w:sz w:val="22"/>
          <w:szCs w:val="22"/>
          <w:lang w:val="en-GB"/>
        </w:rPr>
        <w:t>Kôrêdugaw associations, the local and customary authorities, village councils and resource persons;</w:t>
      </w:r>
    </w:p>
    <w:p w14:paraId="6D0EECF5" w14:textId="2B66605A" w:rsidR="007503CA" w:rsidRPr="00123CAE" w:rsidRDefault="007503CA" w:rsidP="007503CA">
      <w:pPr>
        <w:pStyle w:val="Para"/>
        <w:tabs>
          <w:tab w:val="left" w:pos="1134"/>
        </w:tabs>
        <w:spacing w:line="240" w:lineRule="auto"/>
        <w:ind w:left="1134" w:hanging="567"/>
        <w:rPr>
          <w:rFonts w:cs="Arial"/>
          <w:sz w:val="22"/>
          <w:szCs w:val="22"/>
          <w:lang w:val="en-GB"/>
        </w:rPr>
      </w:pPr>
      <w:r w:rsidRPr="00123CAE">
        <w:rPr>
          <w:rFonts w:cs="Arial"/>
          <w:sz w:val="22"/>
          <w:szCs w:val="22"/>
          <w:u w:val="single"/>
          <w:lang w:val="en-GB"/>
        </w:rPr>
        <w:t>Encourages</w:t>
      </w:r>
      <w:r w:rsidRPr="00123CAE">
        <w:rPr>
          <w:rFonts w:cs="Arial"/>
          <w:sz w:val="22"/>
          <w:szCs w:val="22"/>
          <w:lang w:val="en-GB"/>
        </w:rPr>
        <w:t xml:space="preserve"> the State Party to address the lack of financial resources required to implement all planned safeguarding activities by mobilizing funds at the national and local levels, and exploring other funding possibilities through intern</w:t>
      </w:r>
      <w:r w:rsidR="00EE5FE1">
        <w:rPr>
          <w:rFonts w:cs="Arial"/>
          <w:sz w:val="22"/>
          <w:szCs w:val="22"/>
          <w:lang w:val="en-GB"/>
        </w:rPr>
        <w:t>ational cooperation mechanisms;</w:t>
      </w:r>
    </w:p>
    <w:p w14:paraId="70A56917" w14:textId="623E52F9" w:rsidR="007503CA" w:rsidRPr="00123CAE" w:rsidRDefault="00D66DDD" w:rsidP="00D66DDD">
      <w:pPr>
        <w:pStyle w:val="Para"/>
        <w:tabs>
          <w:tab w:val="left" w:pos="1134"/>
        </w:tabs>
        <w:spacing w:line="240" w:lineRule="auto"/>
        <w:ind w:left="1134" w:hanging="567"/>
        <w:rPr>
          <w:rFonts w:cs="Arial"/>
          <w:sz w:val="22"/>
          <w:szCs w:val="22"/>
          <w:lang w:val="en-GB"/>
        </w:rPr>
      </w:pPr>
      <w:r w:rsidRPr="00123CAE">
        <w:rPr>
          <w:rFonts w:cs="Arial"/>
          <w:sz w:val="22"/>
          <w:szCs w:val="22"/>
          <w:u w:val="single"/>
          <w:lang w:val="en-GB"/>
        </w:rPr>
        <w:t>Requests</w:t>
      </w:r>
      <w:r w:rsidRPr="00123CAE">
        <w:rPr>
          <w:rFonts w:cs="Arial"/>
          <w:sz w:val="22"/>
          <w:szCs w:val="22"/>
          <w:lang w:val="en-GB"/>
        </w:rPr>
        <w:t xml:space="preserve"> the Secretariat to inform the State Party at least nine months prior to the deadline of 15 December 2019 </w:t>
      </w:r>
      <w:r w:rsidR="00DF7FAF" w:rsidRPr="00123CAE">
        <w:rPr>
          <w:rFonts w:cs="Arial"/>
          <w:sz w:val="22"/>
          <w:szCs w:val="22"/>
          <w:lang w:val="en-GB"/>
        </w:rPr>
        <w:t>about</w:t>
      </w:r>
      <w:r w:rsidRPr="00123CAE">
        <w:rPr>
          <w:rFonts w:cs="Arial"/>
          <w:sz w:val="22"/>
          <w:szCs w:val="22"/>
          <w:lang w:val="en-GB"/>
        </w:rPr>
        <w:t xml:space="preserve"> </w:t>
      </w:r>
      <w:r w:rsidR="004F2E14" w:rsidRPr="00123CAE">
        <w:rPr>
          <w:rFonts w:cs="Arial"/>
          <w:sz w:val="22"/>
          <w:szCs w:val="22"/>
          <w:lang w:val="en-GB"/>
        </w:rPr>
        <w:t>the required</w:t>
      </w:r>
      <w:r w:rsidRPr="00123CAE">
        <w:rPr>
          <w:rFonts w:cs="Arial"/>
          <w:sz w:val="22"/>
          <w:szCs w:val="22"/>
          <w:lang w:val="en-GB"/>
        </w:rPr>
        <w:t xml:space="preserve"> submission of its next report on the status of this element.</w:t>
      </w:r>
    </w:p>
    <w:p w14:paraId="14BD7B63" w14:textId="77777777" w:rsidR="007E5144" w:rsidRPr="00123CAE" w:rsidRDefault="007E5144" w:rsidP="007E5144">
      <w:pPr>
        <w:pStyle w:val="COMTitleDecision"/>
        <w:pageBreakBefore/>
        <w:spacing w:before="480"/>
        <w:jc w:val="left"/>
      </w:pPr>
      <w:r w:rsidRPr="00123CAE">
        <w:rPr>
          <w:bCs/>
        </w:rPr>
        <w:lastRenderedPageBreak/>
        <w:t>Mongolia:</w:t>
      </w:r>
      <w:r w:rsidRPr="00123CAE">
        <w:t xml:space="preserve"> ‘Folk long song performance technique of Limbe performances - circular breathing’ </w:t>
      </w:r>
      <w:r w:rsidRPr="00123CAE">
        <w:rPr>
          <w:b w:val="0"/>
          <w:bCs/>
          <w:i/>
          <w:iCs/>
        </w:rPr>
        <w:t xml:space="preserve">(consult the </w:t>
      </w:r>
      <w:hyperlink r:id="rId39" w:history="1">
        <w:r w:rsidRPr="00123CAE">
          <w:rPr>
            <w:rStyle w:val="Hyperlink"/>
            <w:b w:val="0"/>
            <w:bCs/>
            <w:i/>
            <w:iCs/>
          </w:rPr>
          <w:t>report</w:t>
        </w:r>
      </w:hyperlink>
      <w:r w:rsidRPr="00123CAE">
        <w:rPr>
          <w:b w:val="0"/>
          <w:bCs/>
          <w:i/>
          <w:iCs/>
        </w:rPr>
        <w:t>)</w:t>
      </w:r>
    </w:p>
    <w:p w14:paraId="44334B53" w14:textId="1DC4DC35" w:rsidR="00585D8E" w:rsidRPr="00123CAE" w:rsidRDefault="00585D8E" w:rsidP="00585D8E">
      <w:pPr>
        <w:pStyle w:val="Marge"/>
        <w:numPr>
          <w:ilvl w:val="0"/>
          <w:numId w:val="9"/>
        </w:numPr>
        <w:tabs>
          <w:tab w:val="clear" w:pos="567"/>
        </w:tabs>
        <w:autoSpaceDE w:val="0"/>
        <w:autoSpaceDN w:val="0"/>
        <w:adjustRightInd w:val="0"/>
        <w:spacing w:after="120"/>
        <w:ind w:left="567" w:hanging="567"/>
        <w:rPr>
          <w:rFonts w:cs="Arial"/>
          <w:bCs/>
          <w:szCs w:val="22"/>
          <w:lang w:val="en-GB"/>
        </w:rPr>
      </w:pPr>
      <w:r w:rsidRPr="00123CAE">
        <w:rPr>
          <w:rFonts w:cs="Arial"/>
          <w:bCs/>
          <w:szCs w:val="22"/>
          <w:lang w:val="en-GB"/>
        </w:rPr>
        <w:t xml:space="preserve">The Limbe is an ancient musical </w:t>
      </w:r>
      <w:r w:rsidR="003729C8" w:rsidRPr="00123CAE">
        <w:rPr>
          <w:rFonts w:cs="Arial"/>
          <w:bCs/>
          <w:szCs w:val="22"/>
          <w:lang w:val="en-GB"/>
        </w:rPr>
        <w:t xml:space="preserve">wind </w:t>
      </w:r>
      <w:r w:rsidRPr="00123CAE">
        <w:rPr>
          <w:rFonts w:cs="Arial"/>
          <w:bCs/>
          <w:szCs w:val="22"/>
          <w:lang w:val="en-GB"/>
        </w:rPr>
        <w:t>instrument, mostly made of hardwood and bamboo</w:t>
      </w:r>
      <w:r w:rsidR="00C4094C" w:rsidRPr="00123CAE">
        <w:rPr>
          <w:rFonts w:cs="Arial"/>
          <w:bCs/>
          <w:szCs w:val="22"/>
          <w:lang w:val="en-GB"/>
        </w:rPr>
        <w:t>.</w:t>
      </w:r>
      <w:r w:rsidRPr="00123CAE">
        <w:rPr>
          <w:rFonts w:cs="Arial"/>
          <w:bCs/>
          <w:szCs w:val="22"/>
          <w:lang w:val="en-GB"/>
        </w:rPr>
        <w:t xml:space="preserve"> </w:t>
      </w:r>
      <w:r w:rsidR="00C4094C" w:rsidRPr="00123CAE">
        <w:rPr>
          <w:rFonts w:cs="Arial"/>
          <w:bCs/>
          <w:szCs w:val="22"/>
          <w:lang w:val="en-GB"/>
        </w:rPr>
        <w:t>C</w:t>
      </w:r>
      <w:r w:rsidRPr="00123CAE">
        <w:rPr>
          <w:rFonts w:cs="Arial"/>
          <w:bCs/>
          <w:szCs w:val="22"/>
          <w:lang w:val="en-GB"/>
        </w:rPr>
        <w:t xml:space="preserve">ommunities in Mongolia have developed the traditional technique known as ‘circular breathing’ to play it. This technique, originally developed by ancient </w:t>
      </w:r>
      <w:r w:rsidR="00C4094C" w:rsidRPr="00123CAE">
        <w:rPr>
          <w:rFonts w:cs="Arial"/>
          <w:bCs/>
          <w:szCs w:val="22"/>
          <w:lang w:val="en-GB"/>
        </w:rPr>
        <w:t xml:space="preserve">craftspeople </w:t>
      </w:r>
      <w:r w:rsidRPr="00123CAE">
        <w:rPr>
          <w:rFonts w:cs="Arial"/>
          <w:bCs/>
          <w:szCs w:val="22"/>
          <w:lang w:val="en-GB"/>
        </w:rPr>
        <w:t>(silver- and goldsmiths), is closely linked with traditional folk song</w:t>
      </w:r>
      <w:r w:rsidR="007E523C">
        <w:rPr>
          <w:rFonts w:cs="Arial"/>
          <w:bCs/>
          <w:szCs w:val="22"/>
          <w:lang w:val="en-GB"/>
        </w:rPr>
        <w:t>s</w:t>
      </w:r>
      <w:r w:rsidRPr="00123CAE">
        <w:rPr>
          <w:rFonts w:cs="Arial"/>
          <w:bCs/>
          <w:szCs w:val="22"/>
          <w:lang w:val="en-GB"/>
        </w:rPr>
        <w:t xml:space="preserve">, the nomadic identity of Mongolians and the vast steppe. A family tradition, the technique forms an important part of their cultural heritage. It has </w:t>
      </w:r>
      <w:r w:rsidR="00C4094C" w:rsidRPr="00123CAE">
        <w:rPr>
          <w:rFonts w:cs="Arial"/>
          <w:bCs/>
          <w:szCs w:val="22"/>
          <w:lang w:val="en-GB"/>
        </w:rPr>
        <w:t xml:space="preserve">significant </w:t>
      </w:r>
      <w:r w:rsidRPr="00123CAE">
        <w:rPr>
          <w:rFonts w:cs="Arial"/>
          <w:bCs/>
          <w:szCs w:val="22"/>
          <w:lang w:val="en-GB"/>
        </w:rPr>
        <w:t xml:space="preserve">social and cultural functions and is performed during rituals associated with life events (weddings, festive events, </w:t>
      </w:r>
      <w:r w:rsidR="00C4094C" w:rsidRPr="00123CAE">
        <w:rPr>
          <w:rFonts w:cs="Arial"/>
          <w:bCs/>
          <w:szCs w:val="22"/>
          <w:lang w:val="en-GB"/>
        </w:rPr>
        <w:t xml:space="preserve">the </w:t>
      </w:r>
      <w:r w:rsidRPr="00123CAE">
        <w:rPr>
          <w:rFonts w:cs="Arial"/>
          <w:bCs/>
          <w:szCs w:val="22"/>
          <w:lang w:val="en-GB"/>
        </w:rPr>
        <w:t>first cutting of a child’s hair etc.)</w:t>
      </w:r>
      <w:r w:rsidR="00C4094C" w:rsidRPr="00123CAE">
        <w:rPr>
          <w:rFonts w:cs="Arial"/>
          <w:bCs/>
          <w:szCs w:val="22"/>
          <w:lang w:val="en-GB"/>
        </w:rPr>
        <w:t>,</w:t>
      </w:r>
      <w:r w:rsidRPr="00123CAE">
        <w:rPr>
          <w:rFonts w:cs="Arial"/>
          <w:bCs/>
          <w:szCs w:val="22"/>
          <w:lang w:val="en-GB"/>
        </w:rPr>
        <w:t xml:space="preserve"> as well as at the Naadam Festival.</w:t>
      </w:r>
    </w:p>
    <w:p w14:paraId="7EDD7821" w14:textId="45838934" w:rsidR="00585D8E" w:rsidRPr="00123CAE" w:rsidRDefault="00585D8E" w:rsidP="00585D8E">
      <w:pPr>
        <w:pStyle w:val="Marge"/>
        <w:numPr>
          <w:ilvl w:val="0"/>
          <w:numId w:val="9"/>
        </w:numPr>
        <w:tabs>
          <w:tab w:val="clear" w:pos="567"/>
        </w:tabs>
        <w:autoSpaceDE w:val="0"/>
        <w:autoSpaceDN w:val="0"/>
        <w:adjustRightInd w:val="0"/>
        <w:spacing w:after="120"/>
        <w:ind w:left="567" w:hanging="567"/>
        <w:rPr>
          <w:bCs/>
          <w:lang w:val="en-GB"/>
        </w:rPr>
      </w:pPr>
      <w:r w:rsidRPr="00123CAE">
        <w:rPr>
          <w:b/>
          <w:bCs/>
          <w:lang w:val="en-GB"/>
        </w:rPr>
        <w:t>Effectiveness of the safeguarding plan</w:t>
      </w:r>
      <w:r w:rsidRPr="00123CAE">
        <w:rPr>
          <w:bCs/>
          <w:lang w:val="en-GB"/>
        </w:rPr>
        <w:t xml:space="preserve">. Safeguarding activities for the element can be divided into four broad categories. The first </w:t>
      </w:r>
      <w:r w:rsidR="00C4094C" w:rsidRPr="00123CAE">
        <w:rPr>
          <w:bCs/>
          <w:lang w:val="en-GB"/>
        </w:rPr>
        <w:t xml:space="preserve">category </w:t>
      </w:r>
      <w:r w:rsidRPr="00123CAE">
        <w:rPr>
          <w:bCs/>
          <w:lang w:val="en-GB"/>
        </w:rPr>
        <w:t xml:space="preserve">consists </w:t>
      </w:r>
      <w:r w:rsidR="00C4094C" w:rsidRPr="00123CAE">
        <w:rPr>
          <w:bCs/>
          <w:lang w:val="en-GB"/>
        </w:rPr>
        <w:t>of</w:t>
      </w:r>
      <w:r w:rsidRPr="00123CAE">
        <w:rPr>
          <w:bCs/>
          <w:lang w:val="en-GB"/>
        </w:rPr>
        <w:t xml:space="preserve"> a field study </w:t>
      </w:r>
      <w:r w:rsidR="00C4094C" w:rsidRPr="00123CAE">
        <w:rPr>
          <w:bCs/>
          <w:lang w:val="en-GB"/>
        </w:rPr>
        <w:t xml:space="preserve">that was conducted </w:t>
      </w:r>
      <w:r w:rsidR="008229EE" w:rsidRPr="00123CAE">
        <w:rPr>
          <w:bCs/>
          <w:lang w:val="en-GB"/>
        </w:rPr>
        <w:t xml:space="preserve">on </w:t>
      </w:r>
      <w:r w:rsidRPr="00123CAE">
        <w:rPr>
          <w:bCs/>
          <w:lang w:val="en-GB"/>
        </w:rPr>
        <w:t>the current state of Limbe, its repertoire and associated customs/rituals</w:t>
      </w:r>
      <w:r w:rsidR="0063255A" w:rsidRPr="00123CAE">
        <w:rPr>
          <w:bCs/>
          <w:lang w:val="en-GB"/>
        </w:rPr>
        <w:t>.</w:t>
      </w:r>
      <w:r w:rsidRPr="00123CAE">
        <w:rPr>
          <w:bCs/>
          <w:lang w:val="en-GB"/>
        </w:rPr>
        <w:t xml:space="preserve"> </w:t>
      </w:r>
      <w:r w:rsidR="0063255A" w:rsidRPr="00123CAE">
        <w:rPr>
          <w:bCs/>
          <w:lang w:val="en-GB"/>
        </w:rPr>
        <w:t>A</w:t>
      </w:r>
      <w:r w:rsidRPr="00123CAE">
        <w:rPr>
          <w:bCs/>
          <w:lang w:val="en-GB"/>
        </w:rPr>
        <w:t xml:space="preserve"> registration-information database has </w:t>
      </w:r>
      <w:r w:rsidR="0063255A" w:rsidRPr="00123CAE">
        <w:rPr>
          <w:bCs/>
          <w:lang w:val="en-GB"/>
        </w:rPr>
        <w:t xml:space="preserve">also </w:t>
      </w:r>
      <w:r w:rsidRPr="00123CAE">
        <w:rPr>
          <w:bCs/>
          <w:lang w:val="en-GB"/>
        </w:rPr>
        <w:t>been created. A second category of safeguarding activities is mainly aim</w:t>
      </w:r>
      <w:r w:rsidR="00C4094C" w:rsidRPr="00123CAE">
        <w:rPr>
          <w:bCs/>
          <w:lang w:val="en-GB"/>
        </w:rPr>
        <w:t>ed</w:t>
      </w:r>
      <w:r w:rsidRPr="00123CAE">
        <w:rPr>
          <w:bCs/>
          <w:lang w:val="en-GB"/>
        </w:rPr>
        <w:t xml:space="preserve"> at transmission: this has included the training of 60 higher education students by </w:t>
      </w:r>
      <w:r w:rsidR="00C73C5F" w:rsidRPr="00123CAE">
        <w:rPr>
          <w:bCs/>
          <w:lang w:val="en-GB"/>
        </w:rPr>
        <w:t xml:space="preserve">nine </w:t>
      </w:r>
      <w:r w:rsidRPr="00123CAE">
        <w:rPr>
          <w:bCs/>
          <w:lang w:val="en-GB"/>
        </w:rPr>
        <w:t xml:space="preserve">trainer-performers in a formal education setting, </w:t>
      </w:r>
      <w:r w:rsidR="007D63D9" w:rsidRPr="00123CAE">
        <w:rPr>
          <w:bCs/>
          <w:lang w:val="en-GB"/>
        </w:rPr>
        <w:t>covering</w:t>
      </w:r>
      <w:r w:rsidRPr="00123CAE">
        <w:rPr>
          <w:bCs/>
          <w:lang w:val="en-GB"/>
        </w:rPr>
        <w:t xml:space="preserve"> the </w:t>
      </w:r>
      <w:r w:rsidR="004B01C1" w:rsidRPr="00123CAE">
        <w:rPr>
          <w:bCs/>
          <w:lang w:val="en-GB"/>
        </w:rPr>
        <w:t xml:space="preserve">circular breathing technique </w:t>
      </w:r>
      <w:r w:rsidRPr="00123CAE">
        <w:rPr>
          <w:bCs/>
          <w:lang w:val="en-GB"/>
        </w:rPr>
        <w:t xml:space="preserve">and the training of 10 students by a master using traditional apprenticeship methods. The third category is focused on scientific meetings and research on the circular breathing </w:t>
      </w:r>
      <w:r w:rsidR="008229EE" w:rsidRPr="00123CAE">
        <w:rPr>
          <w:bCs/>
          <w:lang w:val="en-GB"/>
        </w:rPr>
        <w:t xml:space="preserve">technique </w:t>
      </w:r>
      <w:r w:rsidR="004B01C1" w:rsidRPr="00123CAE">
        <w:rPr>
          <w:bCs/>
          <w:lang w:val="en-GB"/>
        </w:rPr>
        <w:t xml:space="preserve">that occurred </w:t>
      </w:r>
      <w:r w:rsidRPr="00123CAE">
        <w:rPr>
          <w:bCs/>
          <w:lang w:val="en-GB"/>
        </w:rPr>
        <w:t xml:space="preserve">during 2012-14 resulting in the distribution of 400 tutorial manuals with DVDs to libraries and higher education institutions. </w:t>
      </w:r>
      <w:r w:rsidR="004B01C1" w:rsidRPr="00123CAE">
        <w:rPr>
          <w:bCs/>
          <w:lang w:val="en-GB"/>
        </w:rPr>
        <w:t>The</w:t>
      </w:r>
      <w:r w:rsidRPr="00123CAE">
        <w:rPr>
          <w:bCs/>
          <w:lang w:val="en-GB"/>
        </w:rPr>
        <w:t xml:space="preserve"> fourth category of awareness-raising and promotional activities includ</w:t>
      </w:r>
      <w:r w:rsidR="004B01C1" w:rsidRPr="00123CAE">
        <w:rPr>
          <w:bCs/>
          <w:lang w:val="en-GB"/>
        </w:rPr>
        <w:t>es</w:t>
      </w:r>
      <w:r w:rsidRPr="00123CAE">
        <w:rPr>
          <w:bCs/>
          <w:lang w:val="en-GB"/>
        </w:rPr>
        <w:t xml:space="preserve"> the inscription of two bearers on the national Living Human Treasure List, participation of Limbe performers in international and national folk music competitions and overseas concerts</w:t>
      </w:r>
      <w:r w:rsidR="004B01C1" w:rsidRPr="00123CAE">
        <w:rPr>
          <w:bCs/>
          <w:lang w:val="en-GB"/>
        </w:rPr>
        <w:t>,</w:t>
      </w:r>
      <w:r w:rsidRPr="00123CAE">
        <w:rPr>
          <w:bCs/>
          <w:lang w:val="en-GB"/>
        </w:rPr>
        <w:t xml:space="preserve"> and a public performance by Limbe students.</w:t>
      </w:r>
    </w:p>
    <w:p w14:paraId="1156870C" w14:textId="5FC8BBE4" w:rsidR="00585D8E" w:rsidRPr="00123CAE" w:rsidRDefault="00585D8E" w:rsidP="00585D8E">
      <w:pPr>
        <w:pStyle w:val="Marge"/>
        <w:numPr>
          <w:ilvl w:val="0"/>
          <w:numId w:val="9"/>
        </w:numPr>
        <w:tabs>
          <w:tab w:val="clear" w:pos="567"/>
        </w:tabs>
        <w:autoSpaceDE w:val="0"/>
        <w:autoSpaceDN w:val="0"/>
        <w:adjustRightInd w:val="0"/>
        <w:spacing w:after="120"/>
        <w:ind w:left="567" w:hanging="567"/>
        <w:rPr>
          <w:lang w:val="en-GB"/>
        </w:rPr>
      </w:pPr>
      <w:r w:rsidRPr="00123CAE">
        <w:rPr>
          <w:lang w:val="en-GB"/>
        </w:rPr>
        <w:t xml:space="preserve">The report states that the Limbe technique has </w:t>
      </w:r>
      <w:r w:rsidR="007E523C">
        <w:rPr>
          <w:lang w:val="en-GB"/>
        </w:rPr>
        <w:t xml:space="preserve">for now </w:t>
      </w:r>
      <w:r w:rsidRPr="00123CAE">
        <w:rPr>
          <w:lang w:val="en-GB"/>
        </w:rPr>
        <w:t xml:space="preserve">escaped from vanishing </w:t>
      </w:r>
      <w:r w:rsidR="00A25506" w:rsidRPr="00123CAE">
        <w:rPr>
          <w:lang w:val="en-GB"/>
        </w:rPr>
        <w:t>completely, which</w:t>
      </w:r>
      <w:r w:rsidRPr="00123CAE">
        <w:rPr>
          <w:lang w:val="en-GB"/>
        </w:rPr>
        <w:t xml:space="preserve"> is a major achievement</w:t>
      </w:r>
      <w:r w:rsidR="004B01C1" w:rsidRPr="00123CAE">
        <w:rPr>
          <w:lang w:val="en-GB"/>
        </w:rPr>
        <w:t>,</w:t>
      </w:r>
      <w:r w:rsidRPr="00123CAE">
        <w:rPr>
          <w:lang w:val="en-GB"/>
        </w:rPr>
        <w:t xml:space="preserve"> although further efforts are needed to establish a firm foundation for its future viability. This will include developing an appropriate legal framework and sustainable financial support. Since inscription, bearers and their communities have become more aware of the need to transmit their skills and know-how and this has allowed for a step-by-step approach </w:t>
      </w:r>
      <w:r w:rsidR="00C73C5F" w:rsidRPr="00123CAE">
        <w:rPr>
          <w:lang w:val="en-GB"/>
        </w:rPr>
        <w:t xml:space="preserve">in </w:t>
      </w:r>
      <w:r w:rsidR="007E523C">
        <w:rPr>
          <w:lang w:val="en-GB"/>
        </w:rPr>
        <w:t xml:space="preserve">the </w:t>
      </w:r>
      <w:r w:rsidRPr="00123CAE">
        <w:rPr>
          <w:lang w:val="en-GB"/>
        </w:rPr>
        <w:t xml:space="preserve">safeguarding </w:t>
      </w:r>
      <w:r w:rsidR="00C73C5F" w:rsidRPr="00123CAE">
        <w:rPr>
          <w:lang w:val="en-GB"/>
        </w:rPr>
        <w:t>strategy</w:t>
      </w:r>
      <w:r w:rsidRPr="00123CAE">
        <w:rPr>
          <w:lang w:val="en-GB"/>
        </w:rPr>
        <w:t xml:space="preserve"> develop</w:t>
      </w:r>
      <w:r w:rsidR="00C73C5F" w:rsidRPr="00123CAE">
        <w:rPr>
          <w:lang w:val="en-GB"/>
        </w:rPr>
        <w:t>ment</w:t>
      </w:r>
      <w:r w:rsidRPr="00123CAE">
        <w:rPr>
          <w:lang w:val="en-GB"/>
        </w:rPr>
        <w:t xml:space="preserve">. The </w:t>
      </w:r>
      <w:r w:rsidRPr="00123CAE">
        <w:rPr>
          <w:iCs/>
          <w:lang w:val="en-GB"/>
        </w:rPr>
        <w:t>results</w:t>
      </w:r>
      <w:r w:rsidRPr="00123CAE">
        <w:rPr>
          <w:lang w:val="en-GB"/>
        </w:rPr>
        <w:t xml:space="preserve"> of the safeguarding plan include a two-fold increase in the number of Limbe performers/trainees; improvements in methods of safeguarding (e.g. teaching, studying and researching, </w:t>
      </w:r>
      <w:r w:rsidR="004B01C1" w:rsidRPr="00123CAE">
        <w:rPr>
          <w:lang w:val="en-GB"/>
        </w:rPr>
        <w:t xml:space="preserve">and </w:t>
      </w:r>
      <w:r w:rsidRPr="00123CAE">
        <w:rPr>
          <w:lang w:val="en-GB"/>
        </w:rPr>
        <w:t>disseminating and sustaining the element); organi</w:t>
      </w:r>
      <w:r w:rsidR="004B01C1" w:rsidRPr="00123CAE">
        <w:rPr>
          <w:lang w:val="en-GB"/>
        </w:rPr>
        <w:t>z</w:t>
      </w:r>
      <w:r w:rsidRPr="00123CAE">
        <w:rPr>
          <w:lang w:val="en-GB"/>
        </w:rPr>
        <w:t>ation of local Limbe competitions; and greater awareness of the element and its significance among the bearer community and general</w:t>
      </w:r>
      <w:r w:rsidR="0085628B" w:rsidRPr="00123CAE">
        <w:rPr>
          <w:lang w:val="en-GB"/>
        </w:rPr>
        <w:t xml:space="preserve"> public</w:t>
      </w:r>
      <w:r w:rsidRPr="00123CAE">
        <w:rPr>
          <w:lang w:val="en-GB"/>
        </w:rPr>
        <w:t xml:space="preserve">. The total budget for the activities reported by Mongolia was </w:t>
      </w:r>
      <w:r w:rsidR="009833D4">
        <w:rPr>
          <w:lang w:val="en-GB"/>
        </w:rPr>
        <w:t>US$</w:t>
      </w:r>
      <w:r w:rsidRPr="00123CAE">
        <w:rPr>
          <w:lang w:val="en-GB"/>
        </w:rPr>
        <w:t>23,650. Budgetary sources include the state budget, local government and the non-governmental sector. It is stressed in the report that the budget available was not sufficient to undertake all the activities planned and some have been postponed as a result.</w:t>
      </w:r>
    </w:p>
    <w:p w14:paraId="3F8790FB" w14:textId="7911E1C4" w:rsidR="00585D8E" w:rsidRPr="00123CAE" w:rsidRDefault="00585D8E" w:rsidP="00585D8E">
      <w:pPr>
        <w:pStyle w:val="COMPara"/>
        <w:ind w:left="567" w:hanging="567"/>
        <w:jc w:val="both"/>
      </w:pPr>
      <w:r w:rsidRPr="00123CAE">
        <w:rPr>
          <w:b/>
        </w:rPr>
        <w:t>Community participation</w:t>
      </w:r>
      <w:r w:rsidRPr="00123CAE">
        <w:t>. Bearer communities are actively involved in developing safeguarding activities aimed at safeguarding the technique (and its repertoire) and protecting, promoting, teaching and transmitting it. Thi</w:t>
      </w:r>
      <w:r w:rsidR="00331259" w:rsidRPr="00123CAE">
        <w:t>s</w:t>
      </w:r>
      <w:r w:rsidRPr="00123CAE">
        <w:t xml:space="preserve"> involvement includes conduct</w:t>
      </w:r>
      <w:r w:rsidR="00331259" w:rsidRPr="00123CAE">
        <w:t>ing</w:t>
      </w:r>
      <w:r w:rsidRPr="00123CAE">
        <w:t xml:space="preserve"> research studies. </w:t>
      </w:r>
      <w:r w:rsidRPr="00123CAE">
        <w:rPr>
          <w:bCs/>
        </w:rPr>
        <w:t xml:space="preserve">The safeguarding activities described in the report were also </w:t>
      </w:r>
      <w:r w:rsidR="007856FD" w:rsidRPr="00123CAE">
        <w:rPr>
          <w:bCs/>
        </w:rPr>
        <w:t xml:space="preserve">developed </w:t>
      </w:r>
      <w:r w:rsidRPr="00123CAE">
        <w:rPr>
          <w:bCs/>
        </w:rPr>
        <w:t>in coordination with non-governmental organi</w:t>
      </w:r>
      <w:r w:rsidR="007856FD" w:rsidRPr="00123CAE">
        <w:rPr>
          <w:bCs/>
        </w:rPr>
        <w:t>z</w:t>
      </w:r>
      <w:r w:rsidRPr="00123CAE">
        <w:rPr>
          <w:bCs/>
        </w:rPr>
        <w:t>ations. The Mongolian Association of Limbe Performers (established in 2007) plays a central role</w:t>
      </w:r>
      <w:r w:rsidR="00331259" w:rsidRPr="00123CAE">
        <w:rPr>
          <w:bCs/>
        </w:rPr>
        <w:t>,</w:t>
      </w:r>
      <w:r w:rsidRPr="00123CAE">
        <w:rPr>
          <w:bCs/>
        </w:rPr>
        <w:t xml:space="preserve"> undertak</w:t>
      </w:r>
      <w:r w:rsidR="00331259" w:rsidRPr="00123CAE">
        <w:rPr>
          <w:bCs/>
        </w:rPr>
        <w:t>ing</w:t>
      </w:r>
      <w:r w:rsidRPr="00123CAE">
        <w:rPr>
          <w:bCs/>
        </w:rPr>
        <w:t xml:space="preserve"> a range of safeguarding activities (e.g. identification, revitali</w:t>
      </w:r>
      <w:r w:rsidR="007856FD" w:rsidRPr="00123CAE">
        <w:rPr>
          <w:bCs/>
        </w:rPr>
        <w:t>z</w:t>
      </w:r>
      <w:r w:rsidRPr="00123CAE">
        <w:rPr>
          <w:bCs/>
        </w:rPr>
        <w:t xml:space="preserve">ation, research, transmission, supporting bearers and developing associated crafts skills). The </w:t>
      </w:r>
      <w:r w:rsidR="007856FD" w:rsidRPr="00123CAE">
        <w:rPr>
          <w:bCs/>
        </w:rPr>
        <w:t>g</w:t>
      </w:r>
      <w:r w:rsidRPr="00123CAE">
        <w:rPr>
          <w:bCs/>
        </w:rPr>
        <w:t>overnment established a commission for drafting reports on national activities for safeguarding elements inscribed on the Urgent Safeguarding List, which includes members from governmental and non-governmental organi</w:t>
      </w:r>
      <w:r w:rsidR="007856FD" w:rsidRPr="00123CAE">
        <w:rPr>
          <w:bCs/>
        </w:rPr>
        <w:t>z</w:t>
      </w:r>
      <w:r w:rsidRPr="00123CAE">
        <w:rPr>
          <w:bCs/>
        </w:rPr>
        <w:t>ations, communities, performers and individuals. During preparation of the report, the cultural community, practitioners and some individuals have provided their assistance and information about their activities.</w:t>
      </w:r>
    </w:p>
    <w:p w14:paraId="4ED1BACF" w14:textId="7D43908D" w:rsidR="00585D8E" w:rsidRPr="00123CAE" w:rsidRDefault="00585D8E" w:rsidP="00585D8E">
      <w:pPr>
        <w:pStyle w:val="COMPara"/>
        <w:ind w:left="567" w:hanging="567"/>
        <w:jc w:val="both"/>
        <w:rPr>
          <w:bCs/>
        </w:rPr>
      </w:pPr>
      <w:r w:rsidRPr="00123CAE">
        <w:rPr>
          <w:b/>
          <w:bCs/>
        </w:rPr>
        <w:lastRenderedPageBreak/>
        <w:t>Viability and current risks</w:t>
      </w:r>
      <w:r w:rsidRPr="00123CAE">
        <w:rPr>
          <w:bCs/>
        </w:rPr>
        <w:t xml:space="preserve">. The element’s survival has been mostly due to the efforts of a few masters and their apprentices, some of whom are the founders of the Mongolian Association of Limbe Performers which plays a central role in </w:t>
      </w:r>
      <w:r w:rsidR="00331259" w:rsidRPr="00123CAE">
        <w:rPr>
          <w:bCs/>
        </w:rPr>
        <w:t xml:space="preserve">the element’s </w:t>
      </w:r>
      <w:r w:rsidRPr="00123CAE">
        <w:rPr>
          <w:bCs/>
        </w:rPr>
        <w:t xml:space="preserve">continued transmission and performance. The </w:t>
      </w:r>
      <w:r w:rsidR="005657EC">
        <w:rPr>
          <w:bCs/>
        </w:rPr>
        <w:t xml:space="preserve">number of </w:t>
      </w:r>
      <w:r w:rsidR="005657EC" w:rsidRPr="00123CAE">
        <w:rPr>
          <w:bCs/>
        </w:rPr>
        <w:t xml:space="preserve">performers/trainees </w:t>
      </w:r>
      <w:r w:rsidR="007E523C">
        <w:rPr>
          <w:bCs/>
        </w:rPr>
        <w:t xml:space="preserve">has doubled </w:t>
      </w:r>
      <w:r w:rsidRPr="00123CAE">
        <w:rPr>
          <w:bCs/>
        </w:rPr>
        <w:t xml:space="preserve">over the </w:t>
      </w:r>
      <w:r w:rsidR="00331259" w:rsidRPr="00123CAE">
        <w:rPr>
          <w:bCs/>
        </w:rPr>
        <w:t>p</w:t>
      </w:r>
      <w:r w:rsidRPr="00123CAE">
        <w:rPr>
          <w:bCs/>
        </w:rPr>
        <w:t xml:space="preserve">ast four years </w:t>
      </w:r>
      <w:r w:rsidR="005657EC">
        <w:rPr>
          <w:bCs/>
        </w:rPr>
        <w:t xml:space="preserve">thanks to the </w:t>
      </w:r>
      <w:r w:rsidR="005657EC" w:rsidRPr="00123CAE">
        <w:rPr>
          <w:bCs/>
        </w:rPr>
        <w:t xml:space="preserve">efforts of these trainer-performers </w:t>
      </w:r>
      <w:r w:rsidRPr="00123CAE">
        <w:rPr>
          <w:bCs/>
        </w:rPr>
        <w:t xml:space="preserve">and </w:t>
      </w:r>
      <w:r w:rsidR="007E523C">
        <w:rPr>
          <w:bCs/>
        </w:rPr>
        <w:t xml:space="preserve">the </w:t>
      </w:r>
      <w:r w:rsidRPr="00123CAE">
        <w:rPr>
          <w:bCs/>
        </w:rPr>
        <w:t xml:space="preserve">long-term viability </w:t>
      </w:r>
      <w:r w:rsidR="007E523C">
        <w:rPr>
          <w:bCs/>
        </w:rPr>
        <w:t xml:space="preserve">of the element </w:t>
      </w:r>
      <w:r w:rsidRPr="00123CAE">
        <w:rPr>
          <w:bCs/>
        </w:rPr>
        <w:t>has thus been increased. However, several threats to this exist, including increased urbani</w:t>
      </w:r>
      <w:r w:rsidR="00DF7FAF" w:rsidRPr="00123CAE">
        <w:rPr>
          <w:bCs/>
        </w:rPr>
        <w:t>z</w:t>
      </w:r>
      <w:r w:rsidRPr="00123CAE">
        <w:rPr>
          <w:bCs/>
        </w:rPr>
        <w:t xml:space="preserve">ation, a decrease in the number of traditional folklore groups and performers, changes to the traditional repertoire and the introduction of non-traditional methods into the training system. In the report it is suggested that in order to ensure future viability, a favourable legal and financial </w:t>
      </w:r>
      <w:r w:rsidR="007E523C">
        <w:rPr>
          <w:bCs/>
        </w:rPr>
        <w:t>framework</w:t>
      </w:r>
      <w:r w:rsidR="007E523C" w:rsidRPr="00123CAE">
        <w:rPr>
          <w:bCs/>
        </w:rPr>
        <w:t xml:space="preserve"> </w:t>
      </w:r>
      <w:r w:rsidRPr="00123CAE">
        <w:rPr>
          <w:bCs/>
        </w:rPr>
        <w:t xml:space="preserve">to protect the bearers is essential, </w:t>
      </w:r>
      <w:r w:rsidR="00331259" w:rsidRPr="00123CAE">
        <w:rPr>
          <w:bCs/>
        </w:rPr>
        <w:t xml:space="preserve">which </w:t>
      </w:r>
      <w:r w:rsidRPr="00123CAE">
        <w:rPr>
          <w:bCs/>
        </w:rPr>
        <w:t>includ</w:t>
      </w:r>
      <w:r w:rsidR="00331259" w:rsidRPr="00123CAE">
        <w:rPr>
          <w:bCs/>
        </w:rPr>
        <w:t>es</w:t>
      </w:r>
      <w:r w:rsidRPr="00123CAE">
        <w:rPr>
          <w:bCs/>
        </w:rPr>
        <w:t xml:space="preserve"> providing a system of incentives.</w:t>
      </w:r>
    </w:p>
    <w:p w14:paraId="5EF877EE" w14:textId="77777777" w:rsidR="007E5144" w:rsidRPr="00123CAE" w:rsidRDefault="007E5144" w:rsidP="00585D8E">
      <w:pPr>
        <w:pStyle w:val="COMPara"/>
        <w:ind w:left="567" w:hanging="567"/>
        <w:jc w:val="both"/>
      </w:pPr>
      <w:r w:rsidRPr="00123CAE">
        <w:t xml:space="preserve">The Committee may wish to adopt the </w:t>
      </w:r>
      <w:r w:rsidRPr="00123CAE">
        <w:rPr>
          <w:bCs/>
        </w:rPr>
        <w:t>following</w:t>
      </w:r>
      <w:r w:rsidRPr="00123CAE">
        <w:t xml:space="preserve"> decision:</w:t>
      </w:r>
    </w:p>
    <w:p w14:paraId="7D1DD267" w14:textId="77777777" w:rsidR="007E5144" w:rsidRPr="00123CAE" w:rsidRDefault="007E5144" w:rsidP="007E5144">
      <w:pPr>
        <w:pStyle w:val="Heading4"/>
        <w:numPr>
          <w:ilvl w:val="0"/>
          <w:numId w:val="0"/>
        </w:numPr>
        <w:spacing w:before="240"/>
        <w:ind w:left="567"/>
        <w:rPr>
          <w:rFonts w:eastAsia="SimSun"/>
        </w:rPr>
      </w:pPr>
      <w:bookmarkStart w:id="6" w:name="Dec11COM_9b5"/>
      <w:bookmarkEnd w:id="6"/>
      <w:r w:rsidRPr="00123CAE">
        <w:t xml:space="preserve">DRAFT DECISION 11.COM 9.b.5 </w:t>
      </w:r>
      <w:r w:rsidRPr="00123CAE">
        <w:rPr>
          <w:noProof/>
          <w:snapToGrid/>
          <w:lang w:val="fr-FR" w:eastAsia="fr-FR"/>
        </w:rPr>
        <w:drawing>
          <wp:inline distT="0" distB="0" distL="0" distR="0" wp14:anchorId="68349C3D" wp14:editId="6E0E253A">
            <wp:extent cx="103505" cy="103505"/>
            <wp:effectExtent l="0" t="0" r="0" b="0"/>
            <wp:docPr id="7" name="Picture 7" descr="Return to top">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7C1DBDAA" w14:textId="77777777" w:rsidR="007E5144" w:rsidRPr="00123CAE" w:rsidRDefault="007E5144" w:rsidP="007E5144">
      <w:pPr>
        <w:pStyle w:val="Para"/>
        <w:keepNext/>
        <w:numPr>
          <w:ilvl w:val="0"/>
          <w:numId w:val="0"/>
        </w:numPr>
        <w:tabs>
          <w:tab w:val="left" w:pos="1134"/>
        </w:tabs>
        <w:spacing w:line="240" w:lineRule="auto"/>
        <w:ind w:left="567"/>
        <w:rPr>
          <w:rFonts w:cs="Arial"/>
          <w:sz w:val="22"/>
          <w:szCs w:val="22"/>
          <w:lang w:val="en-GB"/>
        </w:rPr>
      </w:pPr>
      <w:r w:rsidRPr="00123CAE">
        <w:rPr>
          <w:rFonts w:cs="Arial"/>
          <w:sz w:val="22"/>
          <w:szCs w:val="22"/>
          <w:lang w:val="en-GB"/>
        </w:rPr>
        <w:t>The Committee,</w:t>
      </w:r>
    </w:p>
    <w:p w14:paraId="1C021387" w14:textId="77777777" w:rsidR="00585D8E" w:rsidRPr="00123CAE" w:rsidRDefault="00585D8E" w:rsidP="00585D8E">
      <w:pPr>
        <w:pStyle w:val="Para"/>
        <w:numPr>
          <w:ilvl w:val="0"/>
          <w:numId w:val="21"/>
        </w:numPr>
        <w:ind w:left="1134" w:hanging="567"/>
        <w:rPr>
          <w:rFonts w:cs="Arial"/>
          <w:sz w:val="22"/>
          <w:szCs w:val="22"/>
          <w:u w:val="single"/>
          <w:lang w:val="en-GB"/>
        </w:rPr>
      </w:pPr>
      <w:r w:rsidRPr="00123CAE">
        <w:rPr>
          <w:rFonts w:cs="Arial"/>
          <w:sz w:val="22"/>
          <w:szCs w:val="22"/>
          <w:u w:val="single"/>
          <w:lang w:val="en-GB"/>
        </w:rPr>
        <w:t>Having examined</w:t>
      </w:r>
      <w:r w:rsidRPr="00123CAE">
        <w:rPr>
          <w:rFonts w:cs="Arial"/>
          <w:sz w:val="22"/>
          <w:szCs w:val="22"/>
          <w:lang w:val="en-GB"/>
        </w:rPr>
        <w:t xml:space="preserve"> document ITH/16/11.COM/9.b,</w:t>
      </w:r>
    </w:p>
    <w:p w14:paraId="16B3E3C2" w14:textId="1BC078CC" w:rsidR="00585D8E" w:rsidRPr="00123CAE" w:rsidRDefault="00585D8E" w:rsidP="00585D8E">
      <w:pPr>
        <w:pStyle w:val="Para"/>
        <w:numPr>
          <w:ilvl w:val="0"/>
          <w:numId w:val="20"/>
        </w:numPr>
        <w:ind w:left="1134" w:hanging="567"/>
        <w:rPr>
          <w:rFonts w:cs="Arial"/>
          <w:sz w:val="22"/>
          <w:szCs w:val="22"/>
          <w:lang w:val="en-GB"/>
        </w:rPr>
      </w:pPr>
      <w:r w:rsidRPr="00123CAE">
        <w:rPr>
          <w:rFonts w:cs="Arial"/>
          <w:sz w:val="22"/>
          <w:szCs w:val="22"/>
          <w:u w:val="single"/>
          <w:lang w:val="en-GB"/>
        </w:rPr>
        <w:t>Recalling</w:t>
      </w:r>
      <w:r w:rsidRPr="00123CAE">
        <w:rPr>
          <w:rFonts w:cs="Arial"/>
          <w:sz w:val="22"/>
          <w:szCs w:val="22"/>
          <w:lang w:val="en-GB"/>
        </w:rPr>
        <w:t xml:space="preserve"> Chapter V of the Operational Directives and its Decision </w:t>
      </w:r>
      <w:hyperlink r:id="rId40" w:history="1">
        <w:r w:rsidRPr="0052232D">
          <w:rPr>
            <w:rStyle w:val="Hyperlink"/>
            <w:rFonts w:cs="Arial"/>
            <w:sz w:val="22"/>
            <w:szCs w:val="22"/>
            <w:lang w:val="en-GB"/>
          </w:rPr>
          <w:t>6.COM 8.15</w:t>
        </w:r>
      </w:hyperlink>
      <w:r w:rsidRPr="00123CAE">
        <w:rPr>
          <w:rFonts w:cs="Arial"/>
          <w:sz w:val="22"/>
          <w:szCs w:val="22"/>
          <w:lang w:val="en-GB"/>
        </w:rPr>
        <w:t>,</w:t>
      </w:r>
    </w:p>
    <w:p w14:paraId="0E35486B" w14:textId="77777777" w:rsidR="00585D8E" w:rsidRPr="00123CAE" w:rsidRDefault="00585D8E" w:rsidP="00585D8E">
      <w:pPr>
        <w:pStyle w:val="Para"/>
        <w:numPr>
          <w:ilvl w:val="0"/>
          <w:numId w:val="20"/>
        </w:numPr>
        <w:ind w:left="1134" w:hanging="567"/>
        <w:rPr>
          <w:rFonts w:cs="Arial"/>
          <w:sz w:val="22"/>
          <w:szCs w:val="22"/>
          <w:lang w:val="en-GB"/>
        </w:rPr>
      </w:pPr>
      <w:r w:rsidRPr="00123CAE">
        <w:rPr>
          <w:rFonts w:cs="Arial"/>
          <w:sz w:val="22"/>
          <w:szCs w:val="22"/>
          <w:u w:val="single"/>
          <w:lang w:val="en-GB"/>
        </w:rPr>
        <w:t>Expresses its thanks</w:t>
      </w:r>
      <w:r w:rsidRPr="00123CAE">
        <w:rPr>
          <w:rFonts w:cs="Arial"/>
          <w:sz w:val="22"/>
          <w:szCs w:val="22"/>
          <w:lang w:val="en-GB"/>
        </w:rPr>
        <w:t xml:space="preserve"> to Mongolia for submitting its report on the </w:t>
      </w:r>
      <w:r w:rsidRPr="00123CAE">
        <w:rPr>
          <w:rFonts w:cs="Arial"/>
          <w:bCs/>
          <w:sz w:val="22"/>
          <w:szCs w:val="22"/>
          <w:lang w:val="en-GB"/>
        </w:rPr>
        <w:t xml:space="preserve">status of the </w:t>
      </w:r>
      <w:r w:rsidRPr="00123CAE">
        <w:rPr>
          <w:rFonts w:cs="Arial"/>
          <w:sz w:val="22"/>
          <w:szCs w:val="22"/>
          <w:lang w:val="en-GB"/>
        </w:rPr>
        <w:t>element ‘</w:t>
      </w:r>
      <w:r w:rsidRPr="00123CAE">
        <w:rPr>
          <w:rFonts w:cs="Arial"/>
          <w:bCs/>
          <w:sz w:val="22"/>
          <w:szCs w:val="22"/>
          <w:lang w:val="en-GB"/>
        </w:rPr>
        <w:t>Folk long song performance technique of Limbe performances - circular breathing’</w:t>
      </w:r>
      <w:r w:rsidRPr="00123CAE">
        <w:rPr>
          <w:rFonts w:cs="Arial"/>
          <w:sz w:val="22"/>
          <w:szCs w:val="22"/>
          <w:lang w:val="en-GB"/>
        </w:rPr>
        <w:t>, inscribed</w:t>
      </w:r>
      <w:r w:rsidRPr="00123CAE">
        <w:rPr>
          <w:rFonts w:cs="Arial"/>
          <w:bCs/>
          <w:sz w:val="22"/>
          <w:szCs w:val="22"/>
          <w:lang w:val="en-GB"/>
        </w:rPr>
        <w:t xml:space="preserve"> in 2011 on the List of Intangible Cultural Heritage in Need of Urgent Safeguarding;</w:t>
      </w:r>
    </w:p>
    <w:p w14:paraId="2D27FA87" w14:textId="00CF1CBE" w:rsidR="00585D8E" w:rsidRPr="00123CAE" w:rsidRDefault="00585D8E" w:rsidP="00585D8E">
      <w:pPr>
        <w:pStyle w:val="Para"/>
        <w:numPr>
          <w:ilvl w:val="0"/>
          <w:numId w:val="20"/>
        </w:numPr>
        <w:ind w:left="1134" w:hanging="567"/>
        <w:rPr>
          <w:rFonts w:cs="Arial"/>
          <w:sz w:val="22"/>
          <w:szCs w:val="22"/>
          <w:lang w:val="en-GB"/>
        </w:rPr>
      </w:pPr>
      <w:r w:rsidRPr="00123CAE">
        <w:rPr>
          <w:rFonts w:cs="Arial"/>
          <w:sz w:val="22"/>
          <w:szCs w:val="22"/>
          <w:u w:val="single"/>
          <w:lang w:val="en-GB"/>
        </w:rPr>
        <w:t>Takes note</w:t>
      </w:r>
      <w:r w:rsidRPr="00123CAE">
        <w:rPr>
          <w:rFonts w:cs="Arial"/>
          <w:sz w:val="22"/>
          <w:szCs w:val="22"/>
          <w:lang w:val="en-GB"/>
        </w:rPr>
        <w:t xml:space="preserve"> of the continued efforts undertaken by Mongolia to safeguard the element and, in particular, conducting a field study of the current </w:t>
      </w:r>
      <w:r w:rsidRPr="00123CAE">
        <w:rPr>
          <w:rFonts w:cs="Arial"/>
          <w:bCs/>
          <w:sz w:val="22"/>
          <w:szCs w:val="22"/>
          <w:lang w:val="en-GB"/>
        </w:rPr>
        <w:t>state</w:t>
      </w:r>
      <w:r w:rsidRPr="00123CAE">
        <w:rPr>
          <w:rFonts w:cs="Arial"/>
          <w:sz w:val="22"/>
          <w:szCs w:val="22"/>
          <w:lang w:val="en-GB"/>
        </w:rPr>
        <w:t xml:space="preserve"> of Limbe, its repertoire and its associated customs/rituals, organi</w:t>
      </w:r>
      <w:r w:rsidR="00DF7FAF" w:rsidRPr="00123CAE">
        <w:rPr>
          <w:rFonts w:cs="Arial"/>
          <w:sz w:val="22"/>
          <w:szCs w:val="22"/>
          <w:lang w:val="en-GB"/>
        </w:rPr>
        <w:t>z</w:t>
      </w:r>
      <w:r w:rsidRPr="00123CAE">
        <w:rPr>
          <w:rFonts w:cs="Arial"/>
          <w:sz w:val="22"/>
          <w:szCs w:val="22"/>
          <w:lang w:val="en-GB"/>
        </w:rPr>
        <w:t>ing both formal higher education and non</w:t>
      </w:r>
      <w:r w:rsidR="00297690" w:rsidRPr="00123CAE">
        <w:rPr>
          <w:rFonts w:cs="Arial"/>
          <w:sz w:val="22"/>
          <w:szCs w:val="22"/>
          <w:lang w:val="en-GB"/>
        </w:rPr>
        <w:noBreakHyphen/>
      </w:r>
      <w:r w:rsidRPr="00123CAE">
        <w:rPr>
          <w:rFonts w:cs="Arial"/>
          <w:sz w:val="22"/>
          <w:szCs w:val="22"/>
          <w:lang w:val="en-GB"/>
        </w:rPr>
        <w:t>formal training by a master, holding scientific meetings, distributing tutorial manuals with DVDs on the circular breathing technique</w:t>
      </w:r>
      <w:r w:rsidR="00DF7FAF" w:rsidRPr="00123CAE">
        <w:rPr>
          <w:rFonts w:cs="Arial"/>
          <w:sz w:val="22"/>
          <w:szCs w:val="22"/>
          <w:lang w:val="en-GB"/>
        </w:rPr>
        <w:t>,</w:t>
      </w:r>
      <w:r w:rsidRPr="00123CAE">
        <w:rPr>
          <w:rFonts w:cs="Arial"/>
          <w:sz w:val="22"/>
          <w:szCs w:val="22"/>
          <w:lang w:val="en-GB"/>
        </w:rPr>
        <w:t xml:space="preserve"> </w:t>
      </w:r>
      <w:r w:rsidR="004D07D4" w:rsidRPr="00123CAE">
        <w:rPr>
          <w:rFonts w:cs="Arial"/>
          <w:sz w:val="22"/>
          <w:szCs w:val="22"/>
          <w:lang w:val="en-GB"/>
        </w:rPr>
        <w:t xml:space="preserve">as well as </w:t>
      </w:r>
      <w:r w:rsidRPr="00123CAE">
        <w:rPr>
          <w:rFonts w:cs="Arial"/>
          <w:sz w:val="22"/>
          <w:szCs w:val="22"/>
          <w:lang w:val="en-GB"/>
        </w:rPr>
        <w:t>awareness-raising and promotional activities;</w:t>
      </w:r>
    </w:p>
    <w:p w14:paraId="71C2D5B8" w14:textId="248E5667" w:rsidR="00585D8E" w:rsidRPr="00123CAE" w:rsidRDefault="00585D8E" w:rsidP="00585D8E">
      <w:pPr>
        <w:pStyle w:val="Para"/>
        <w:numPr>
          <w:ilvl w:val="0"/>
          <w:numId w:val="20"/>
        </w:numPr>
        <w:ind w:left="1134" w:hanging="567"/>
        <w:rPr>
          <w:rFonts w:cs="Arial"/>
          <w:sz w:val="22"/>
          <w:szCs w:val="22"/>
          <w:lang w:val="en-GB"/>
        </w:rPr>
      </w:pPr>
      <w:r w:rsidRPr="00123CAE">
        <w:rPr>
          <w:rFonts w:cs="Arial"/>
          <w:sz w:val="22"/>
          <w:szCs w:val="22"/>
          <w:u w:val="single"/>
          <w:lang w:val="en-GB"/>
        </w:rPr>
        <w:t>Invites</w:t>
      </w:r>
      <w:r w:rsidRPr="00123CAE">
        <w:rPr>
          <w:rFonts w:cs="Arial"/>
          <w:sz w:val="22"/>
          <w:szCs w:val="22"/>
          <w:lang w:val="en-GB"/>
        </w:rPr>
        <w:t xml:space="preserve"> the State Party to continue supporting the training of new Limbe </w:t>
      </w:r>
      <w:r w:rsidR="004D07D4" w:rsidRPr="00123CAE">
        <w:rPr>
          <w:rFonts w:cs="Arial"/>
          <w:sz w:val="22"/>
          <w:szCs w:val="22"/>
          <w:lang w:val="en-GB"/>
        </w:rPr>
        <w:t>performers</w:t>
      </w:r>
      <w:r w:rsidRPr="00123CAE">
        <w:rPr>
          <w:rFonts w:cs="Arial"/>
          <w:sz w:val="22"/>
          <w:szCs w:val="22"/>
          <w:lang w:val="en-GB"/>
        </w:rPr>
        <w:t xml:space="preserve">, developing improved methods of </w:t>
      </w:r>
      <w:r w:rsidRPr="00123CAE">
        <w:rPr>
          <w:rFonts w:cs="Arial"/>
          <w:bCs/>
          <w:sz w:val="22"/>
          <w:szCs w:val="22"/>
          <w:lang w:val="en-GB"/>
        </w:rPr>
        <w:t>safeguarding</w:t>
      </w:r>
      <w:r w:rsidR="004D07D4" w:rsidRPr="00123CAE">
        <w:rPr>
          <w:rFonts w:cs="Arial"/>
          <w:bCs/>
          <w:sz w:val="22"/>
          <w:szCs w:val="22"/>
          <w:lang w:val="en-GB"/>
        </w:rPr>
        <w:t>, especially</w:t>
      </w:r>
      <w:r w:rsidRPr="00123CAE">
        <w:rPr>
          <w:rFonts w:cs="Arial"/>
          <w:sz w:val="22"/>
          <w:szCs w:val="22"/>
          <w:lang w:val="en-GB"/>
        </w:rPr>
        <w:t xml:space="preserve"> in the areas of teaching, studying and researching, disseminating and sustaining the element</w:t>
      </w:r>
      <w:r w:rsidR="004D07D4" w:rsidRPr="00123CAE">
        <w:rPr>
          <w:rFonts w:cs="Arial"/>
          <w:sz w:val="22"/>
          <w:szCs w:val="22"/>
          <w:lang w:val="en-GB"/>
        </w:rPr>
        <w:t>,</w:t>
      </w:r>
      <w:r w:rsidRPr="00123CAE">
        <w:rPr>
          <w:rFonts w:cs="Arial"/>
          <w:sz w:val="22"/>
          <w:szCs w:val="22"/>
          <w:lang w:val="en-GB"/>
        </w:rPr>
        <w:t xml:space="preserve"> and </w:t>
      </w:r>
      <w:r w:rsidR="004D07D4" w:rsidRPr="00123CAE">
        <w:rPr>
          <w:rFonts w:cs="Arial"/>
          <w:sz w:val="22"/>
          <w:szCs w:val="22"/>
          <w:lang w:val="en-GB"/>
        </w:rPr>
        <w:t xml:space="preserve">to collaborate </w:t>
      </w:r>
      <w:r w:rsidRPr="00123CAE">
        <w:rPr>
          <w:rFonts w:cs="Arial"/>
          <w:sz w:val="22"/>
          <w:szCs w:val="22"/>
          <w:lang w:val="en-GB"/>
        </w:rPr>
        <w:t xml:space="preserve">closely with </w:t>
      </w:r>
      <w:r w:rsidRPr="00123CAE">
        <w:rPr>
          <w:rFonts w:cs="Arial"/>
          <w:bCs/>
          <w:sz w:val="22"/>
          <w:szCs w:val="22"/>
          <w:lang w:val="en-GB"/>
        </w:rPr>
        <w:t>Limbe bearers, the Mongolian Association of Limbe Performers and other non-governmental organi</w:t>
      </w:r>
      <w:r w:rsidR="00DF7FAF" w:rsidRPr="00123CAE">
        <w:rPr>
          <w:rFonts w:cs="Arial"/>
          <w:bCs/>
          <w:sz w:val="22"/>
          <w:szCs w:val="22"/>
          <w:lang w:val="en-GB"/>
        </w:rPr>
        <w:t>z</w:t>
      </w:r>
      <w:r w:rsidRPr="00123CAE">
        <w:rPr>
          <w:rFonts w:cs="Arial"/>
          <w:bCs/>
          <w:sz w:val="22"/>
          <w:szCs w:val="22"/>
          <w:lang w:val="en-GB"/>
        </w:rPr>
        <w:t>ations in these efforts</w:t>
      </w:r>
      <w:r w:rsidRPr="00123CAE">
        <w:rPr>
          <w:rFonts w:cs="Arial"/>
          <w:sz w:val="22"/>
          <w:szCs w:val="22"/>
          <w:lang w:val="en-GB"/>
        </w:rPr>
        <w:t>;</w:t>
      </w:r>
    </w:p>
    <w:p w14:paraId="5A8DFB63" w14:textId="27A5E467" w:rsidR="00585D8E" w:rsidRPr="00123CAE" w:rsidRDefault="00585D8E" w:rsidP="00585D8E">
      <w:pPr>
        <w:pStyle w:val="Para"/>
        <w:numPr>
          <w:ilvl w:val="0"/>
          <w:numId w:val="20"/>
        </w:numPr>
        <w:ind w:left="1134" w:hanging="567"/>
        <w:rPr>
          <w:rFonts w:cs="Arial"/>
          <w:sz w:val="22"/>
          <w:szCs w:val="22"/>
          <w:lang w:val="en-GB"/>
        </w:rPr>
      </w:pPr>
      <w:r w:rsidRPr="00123CAE">
        <w:rPr>
          <w:rFonts w:cs="Arial"/>
          <w:sz w:val="22"/>
          <w:szCs w:val="22"/>
          <w:u w:val="single"/>
          <w:lang w:val="en-GB"/>
        </w:rPr>
        <w:t>Encourages</w:t>
      </w:r>
      <w:r w:rsidRPr="00123CAE">
        <w:rPr>
          <w:rFonts w:cs="Arial"/>
          <w:sz w:val="22"/>
          <w:szCs w:val="22"/>
          <w:lang w:val="en-GB"/>
        </w:rPr>
        <w:t xml:space="preserve"> the State Party to continue to address the threat of disappearance of this vulnerable element that has </w:t>
      </w:r>
      <w:r w:rsidRPr="00123CAE">
        <w:rPr>
          <w:rFonts w:cs="Arial"/>
          <w:bCs/>
          <w:sz w:val="22"/>
          <w:szCs w:val="22"/>
          <w:lang w:val="en-GB"/>
        </w:rPr>
        <w:t xml:space="preserve">been </w:t>
      </w:r>
      <w:r w:rsidR="004D07D4" w:rsidRPr="00123CAE">
        <w:rPr>
          <w:rFonts w:cs="Arial"/>
          <w:bCs/>
          <w:sz w:val="22"/>
          <w:szCs w:val="22"/>
          <w:lang w:val="en-GB"/>
        </w:rPr>
        <w:t xml:space="preserve">revived </w:t>
      </w:r>
      <w:r w:rsidRPr="00123CAE">
        <w:rPr>
          <w:rFonts w:cs="Arial"/>
          <w:bCs/>
          <w:sz w:val="22"/>
          <w:szCs w:val="22"/>
          <w:lang w:val="en-GB"/>
        </w:rPr>
        <w:t>as a result of safeguarding measures taken, and to establish a firm foundation for its future viability, including through ensuring stable and reliable financial support</w:t>
      </w:r>
      <w:r w:rsidR="004D07D4" w:rsidRPr="00123CAE">
        <w:rPr>
          <w:rFonts w:cs="Arial"/>
          <w:bCs/>
          <w:sz w:val="22"/>
          <w:szCs w:val="22"/>
          <w:lang w:val="en-GB"/>
        </w:rPr>
        <w:t xml:space="preserve"> for its practitioners and specific safeguarding activities</w:t>
      </w:r>
      <w:r w:rsidRPr="00123CAE">
        <w:rPr>
          <w:rFonts w:cs="Arial"/>
          <w:sz w:val="22"/>
          <w:szCs w:val="22"/>
          <w:lang w:val="en-GB"/>
        </w:rPr>
        <w:t>;</w:t>
      </w:r>
    </w:p>
    <w:p w14:paraId="13F1F56F" w14:textId="18BAFFF1" w:rsidR="00585D8E" w:rsidRPr="00123CAE" w:rsidRDefault="00585D8E" w:rsidP="00585D8E">
      <w:pPr>
        <w:pStyle w:val="Para"/>
        <w:numPr>
          <w:ilvl w:val="0"/>
          <w:numId w:val="20"/>
        </w:numPr>
        <w:ind w:left="1134" w:hanging="567"/>
        <w:rPr>
          <w:rFonts w:cs="Arial"/>
          <w:sz w:val="22"/>
          <w:szCs w:val="22"/>
          <w:lang w:val="en-GB"/>
        </w:rPr>
      </w:pPr>
      <w:r w:rsidRPr="00123CAE">
        <w:rPr>
          <w:rFonts w:cs="Arial"/>
          <w:sz w:val="22"/>
          <w:szCs w:val="22"/>
          <w:u w:val="single"/>
          <w:lang w:val="en-GB"/>
        </w:rPr>
        <w:t>Requests</w:t>
      </w:r>
      <w:r w:rsidRPr="00123CAE">
        <w:rPr>
          <w:rFonts w:cs="Arial"/>
          <w:sz w:val="22"/>
          <w:szCs w:val="22"/>
          <w:lang w:val="en-GB"/>
        </w:rPr>
        <w:t xml:space="preserve"> the Secretariat to inform the State Party at least </w:t>
      </w:r>
      <w:r w:rsidRPr="00123CAE">
        <w:rPr>
          <w:rFonts w:cs="Arial"/>
          <w:bCs/>
          <w:sz w:val="22"/>
          <w:szCs w:val="22"/>
          <w:lang w:val="en-GB"/>
        </w:rPr>
        <w:t>nine</w:t>
      </w:r>
      <w:r w:rsidRPr="00123CAE">
        <w:rPr>
          <w:rFonts w:cs="Arial"/>
          <w:sz w:val="22"/>
          <w:szCs w:val="22"/>
          <w:lang w:val="en-GB"/>
        </w:rPr>
        <w:t xml:space="preserve"> months prior to the deadline of 15 December 2019 </w:t>
      </w:r>
      <w:r w:rsidR="00DF7FAF" w:rsidRPr="00123CAE">
        <w:rPr>
          <w:rFonts w:cs="Arial"/>
          <w:sz w:val="22"/>
          <w:szCs w:val="22"/>
          <w:lang w:val="en-GB"/>
        </w:rPr>
        <w:t>about</w:t>
      </w:r>
      <w:r w:rsidRPr="00123CAE">
        <w:rPr>
          <w:rFonts w:cs="Arial"/>
          <w:sz w:val="22"/>
          <w:szCs w:val="22"/>
          <w:lang w:val="en-GB"/>
        </w:rPr>
        <w:t xml:space="preserve"> the </w:t>
      </w:r>
      <w:r w:rsidR="00DF7FAF" w:rsidRPr="00123CAE">
        <w:rPr>
          <w:rFonts w:cs="Arial"/>
          <w:sz w:val="22"/>
          <w:szCs w:val="22"/>
          <w:lang w:val="en-GB"/>
        </w:rPr>
        <w:t xml:space="preserve">required </w:t>
      </w:r>
      <w:r w:rsidRPr="00123CAE">
        <w:rPr>
          <w:rFonts w:cs="Arial"/>
          <w:sz w:val="22"/>
          <w:szCs w:val="22"/>
          <w:lang w:val="en-GB"/>
        </w:rPr>
        <w:t>submission of its next report on the status of this element.</w:t>
      </w:r>
    </w:p>
    <w:p w14:paraId="44616F74" w14:textId="77777777" w:rsidR="007E5144" w:rsidRPr="00123CAE" w:rsidRDefault="007E5144" w:rsidP="007E5144">
      <w:pPr>
        <w:pStyle w:val="COMTitleDecision"/>
        <w:pageBreakBefore/>
        <w:spacing w:before="480"/>
        <w:jc w:val="left"/>
      </w:pPr>
      <w:r w:rsidRPr="00123CAE">
        <w:rPr>
          <w:bCs/>
        </w:rPr>
        <w:lastRenderedPageBreak/>
        <w:t>United Arab Emirates:</w:t>
      </w:r>
      <w:r w:rsidRPr="00123CAE">
        <w:t xml:space="preserve"> ‘Al Sadu, traditional weaving skills in the United Arab Emirates’ </w:t>
      </w:r>
      <w:r w:rsidRPr="00123CAE">
        <w:rPr>
          <w:b w:val="0"/>
          <w:bCs/>
          <w:i/>
          <w:iCs/>
        </w:rPr>
        <w:t xml:space="preserve">(consult the </w:t>
      </w:r>
      <w:hyperlink r:id="rId41" w:history="1">
        <w:r w:rsidRPr="00123CAE">
          <w:rPr>
            <w:rStyle w:val="Hyperlink"/>
            <w:b w:val="0"/>
            <w:bCs/>
            <w:i/>
            <w:iCs/>
          </w:rPr>
          <w:t>report</w:t>
        </w:r>
      </w:hyperlink>
      <w:r w:rsidRPr="00123CAE">
        <w:rPr>
          <w:b w:val="0"/>
          <w:bCs/>
          <w:i/>
          <w:iCs/>
        </w:rPr>
        <w:t>)</w:t>
      </w:r>
    </w:p>
    <w:p w14:paraId="68FD7D98" w14:textId="090EB109" w:rsidR="007E5144" w:rsidRPr="00123CAE" w:rsidRDefault="006D609A" w:rsidP="007E5144">
      <w:pPr>
        <w:pStyle w:val="Marge"/>
        <w:numPr>
          <w:ilvl w:val="0"/>
          <w:numId w:val="9"/>
        </w:numPr>
        <w:tabs>
          <w:tab w:val="clear" w:pos="567"/>
        </w:tabs>
        <w:autoSpaceDE w:val="0"/>
        <w:autoSpaceDN w:val="0"/>
        <w:adjustRightInd w:val="0"/>
        <w:spacing w:after="120"/>
        <w:ind w:left="567" w:hanging="567"/>
        <w:rPr>
          <w:rFonts w:cs="Arial"/>
          <w:bCs/>
          <w:szCs w:val="22"/>
          <w:lang w:val="en-GB"/>
        </w:rPr>
      </w:pPr>
      <w:r w:rsidRPr="00123CAE">
        <w:rPr>
          <w:rFonts w:cs="Arial"/>
          <w:bCs/>
          <w:szCs w:val="22"/>
          <w:lang w:val="en-GB"/>
        </w:rPr>
        <w:t>The Al Sadu</w:t>
      </w:r>
      <w:r w:rsidR="00CA2288" w:rsidRPr="00123CAE">
        <w:rPr>
          <w:rFonts w:cs="Arial"/>
          <w:bCs/>
          <w:szCs w:val="22"/>
          <w:lang w:val="en-GB"/>
        </w:rPr>
        <w:t xml:space="preserve"> </w:t>
      </w:r>
      <w:r w:rsidRPr="00123CAE">
        <w:rPr>
          <w:rFonts w:cs="Arial"/>
          <w:bCs/>
          <w:szCs w:val="22"/>
          <w:lang w:val="en-GB"/>
        </w:rPr>
        <w:t>element reflects the response of the Bedouin people to living in a harsh environment with limited natural resources available. The raw materials used in it are sheep’s wool, camel lint, goat hair, cotton and natural plant dyes. The traditional weaving techniques are practised and transmitted by older women</w:t>
      </w:r>
      <w:r w:rsidR="00DF7FAF" w:rsidRPr="00123CAE">
        <w:rPr>
          <w:rFonts w:cs="Arial"/>
          <w:bCs/>
          <w:szCs w:val="22"/>
          <w:lang w:val="en-GB"/>
        </w:rPr>
        <w:t>,</w:t>
      </w:r>
      <w:r w:rsidRPr="00123CAE">
        <w:rPr>
          <w:rFonts w:cs="Arial"/>
          <w:bCs/>
          <w:szCs w:val="22"/>
          <w:lang w:val="en-GB"/>
        </w:rPr>
        <w:t xml:space="preserve"> while men shear the sheep, collect camel hair and make ropes and other camel accessories. The collective gatherings associated with this element are also forums through which folk tales, proverbs and other oral heritage are transmitted. Although a symbol of the country’s identity, Al Sadu weaving has lost prestige in recent times</w:t>
      </w:r>
      <w:r w:rsidRPr="00297E80">
        <w:rPr>
          <w:rFonts w:cs="Arial"/>
          <w:szCs w:val="22"/>
          <w:lang w:val="en-GB"/>
        </w:rPr>
        <w:t>.</w:t>
      </w:r>
    </w:p>
    <w:p w14:paraId="5FC822DB" w14:textId="73C6FF14" w:rsidR="006D609A" w:rsidRPr="00123CAE" w:rsidRDefault="007E5144" w:rsidP="007E5144">
      <w:pPr>
        <w:pStyle w:val="Marge"/>
        <w:numPr>
          <w:ilvl w:val="0"/>
          <w:numId w:val="9"/>
        </w:numPr>
        <w:tabs>
          <w:tab w:val="clear" w:pos="567"/>
        </w:tabs>
        <w:autoSpaceDE w:val="0"/>
        <w:autoSpaceDN w:val="0"/>
        <w:adjustRightInd w:val="0"/>
        <w:spacing w:after="120"/>
        <w:ind w:left="567" w:hanging="567"/>
        <w:rPr>
          <w:rFonts w:cs="Arial"/>
          <w:bCs/>
          <w:szCs w:val="22"/>
          <w:lang w:val="en-GB"/>
        </w:rPr>
      </w:pPr>
      <w:r w:rsidRPr="00123CAE">
        <w:rPr>
          <w:rFonts w:cs="Arial"/>
          <w:b/>
          <w:bCs/>
          <w:szCs w:val="22"/>
          <w:lang w:val="en-GB"/>
        </w:rPr>
        <w:t>Effectiveness of the safeguarding plan</w:t>
      </w:r>
      <w:r w:rsidRPr="00123CAE">
        <w:rPr>
          <w:rFonts w:cs="Arial"/>
          <w:bCs/>
          <w:szCs w:val="22"/>
          <w:lang w:val="en-GB"/>
        </w:rPr>
        <w:t>.</w:t>
      </w:r>
      <w:r w:rsidR="006D609A" w:rsidRPr="00123CAE">
        <w:rPr>
          <w:rFonts w:cs="Arial"/>
          <w:bCs/>
          <w:szCs w:val="22"/>
          <w:lang w:val="en-GB"/>
        </w:rPr>
        <w:t xml:space="preserve"> </w:t>
      </w:r>
      <w:r w:rsidR="006D609A" w:rsidRPr="00123CAE">
        <w:rPr>
          <w:rFonts w:cs="Arial"/>
          <w:szCs w:val="22"/>
          <w:lang w:val="en-GB"/>
        </w:rPr>
        <w:t xml:space="preserve">The need for safeguarding measures is made clear and the degree of success enjoyed by the activities set out in the report is variable. In general, the measures aimed at strengthening transmission by bearers, </w:t>
      </w:r>
      <w:r w:rsidR="00DF7FAF" w:rsidRPr="00123CAE">
        <w:rPr>
          <w:rFonts w:cs="Arial"/>
          <w:szCs w:val="22"/>
          <w:lang w:val="en-GB"/>
        </w:rPr>
        <w:t xml:space="preserve">and </w:t>
      </w:r>
      <w:r w:rsidR="006D609A" w:rsidRPr="00123CAE">
        <w:rPr>
          <w:rFonts w:cs="Arial"/>
          <w:szCs w:val="22"/>
          <w:lang w:val="en-GB"/>
        </w:rPr>
        <w:t xml:space="preserve">providing financial and technical support to practitioners for income-generating activities associated with </w:t>
      </w:r>
      <w:r w:rsidR="00CA2288" w:rsidRPr="00123CAE">
        <w:rPr>
          <w:rFonts w:cs="Arial"/>
          <w:szCs w:val="22"/>
          <w:lang w:val="en-GB"/>
        </w:rPr>
        <w:t xml:space="preserve">Al </w:t>
      </w:r>
      <w:r w:rsidR="006D609A" w:rsidRPr="00123CAE">
        <w:rPr>
          <w:rFonts w:cs="Arial"/>
          <w:szCs w:val="22"/>
          <w:lang w:val="en-GB"/>
        </w:rPr>
        <w:t>Sadu and its products have been successful and have provided a regular income for them. A further project on providing wool and natural dyes is planned.</w:t>
      </w:r>
    </w:p>
    <w:p w14:paraId="1BEE2851" w14:textId="4E1EFAF9" w:rsidR="007E5144" w:rsidRPr="00123CAE" w:rsidRDefault="006D609A" w:rsidP="007E5144">
      <w:pPr>
        <w:pStyle w:val="Marge"/>
        <w:numPr>
          <w:ilvl w:val="0"/>
          <w:numId w:val="9"/>
        </w:numPr>
        <w:tabs>
          <w:tab w:val="clear" w:pos="567"/>
        </w:tabs>
        <w:autoSpaceDE w:val="0"/>
        <w:autoSpaceDN w:val="0"/>
        <w:adjustRightInd w:val="0"/>
        <w:spacing w:after="120"/>
        <w:ind w:left="567" w:hanging="567"/>
        <w:rPr>
          <w:rFonts w:cs="Arial"/>
          <w:bCs/>
          <w:szCs w:val="22"/>
          <w:lang w:val="en-GB"/>
        </w:rPr>
      </w:pPr>
      <w:r w:rsidRPr="00123CAE">
        <w:rPr>
          <w:rFonts w:cs="Arial"/>
          <w:szCs w:val="22"/>
          <w:lang w:val="en-GB"/>
        </w:rPr>
        <w:t xml:space="preserve">A small number of Bedouin families continue to practise the element as a means of earning a living but they are mostly elderly women. The measures geared towards more formal modes of transmission (e.g. training courses and craft centre activities) have </w:t>
      </w:r>
      <w:r w:rsidR="00F426CF" w:rsidRPr="00123CAE">
        <w:rPr>
          <w:rFonts w:cs="Arial"/>
          <w:szCs w:val="22"/>
          <w:lang w:val="en-GB"/>
        </w:rPr>
        <w:t xml:space="preserve">been </w:t>
      </w:r>
      <w:r w:rsidRPr="00123CAE">
        <w:rPr>
          <w:rFonts w:cs="Arial"/>
          <w:szCs w:val="22"/>
          <w:lang w:val="en-GB"/>
        </w:rPr>
        <w:t>less success</w:t>
      </w:r>
      <w:r w:rsidR="00F426CF" w:rsidRPr="00123CAE">
        <w:rPr>
          <w:rFonts w:cs="Arial"/>
          <w:szCs w:val="22"/>
          <w:lang w:val="en-GB"/>
        </w:rPr>
        <w:t>ful</w:t>
      </w:r>
      <w:r w:rsidRPr="00123CAE">
        <w:rPr>
          <w:rFonts w:cs="Arial"/>
          <w:szCs w:val="22"/>
          <w:lang w:val="en-GB"/>
        </w:rPr>
        <w:t xml:space="preserve"> mainly due to the </w:t>
      </w:r>
      <w:r w:rsidR="00F426CF" w:rsidRPr="00123CAE">
        <w:rPr>
          <w:rFonts w:cs="Arial"/>
          <w:szCs w:val="22"/>
          <w:lang w:val="en-GB"/>
        </w:rPr>
        <w:t xml:space="preserve">skill’s </w:t>
      </w:r>
      <w:r w:rsidRPr="00123CAE">
        <w:rPr>
          <w:rFonts w:cs="Arial"/>
          <w:szCs w:val="22"/>
          <w:lang w:val="en-GB"/>
        </w:rPr>
        <w:t xml:space="preserve">difficulty and time </w:t>
      </w:r>
      <w:r w:rsidR="00F426CF" w:rsidRPr="00123CAE">
        <w:rPr>
          <w:rFonts w:cs="Arial"/>
          <w:szCs w:val="22"/>
          <w:lang w:val="en-GB"/>
        </w:rPr>
        <w:t xml:space="preserve">required to </w:t>
      </w:r>
      <w:r w:rsidRPr="00123CAE">
        <w:rPr>
          <w:rFonts w:cs="Arial"/>
          <w:szCs w:val="22"/>
          <w:lang w:val="en-GB"/>
        </w:rPr>
        <w:t>acquir</w:t>
      </w:r>
      <w:r w:rsidR="00987007" w:rsidRPr="00123CAE">
        <w:rPr>
          <w:rFonts w:cs="Arial"/>
          <w:szCs w:val="22"/>
          <w:lang w:val="en-GB"/>
        </w:rPr>
        <w:t>e</w:t>
      </w:r>
      <w:r w:rsidRPr="00123CAE">
        <w:rPr>
          <w:rFonts w:cs="Arial"/>
          <w:szCs w:val="22"/>
          <w:lang w:val="en-GB"/>
        </w:rPr>
        <w:t xml:space="preserve"> </w:t>
      </w:r>
      <w:r w:rsidR="00F426CF" w:rsidRPr="00123CAE">
        <w:rPr>
          <w:rFonts w:cs="Arial"/>
          <w:szCs w:val="22"/>
          <w:lang w:val="en-GB"/>
        </w:rPr>
        <w:t>it</w:t>
      </w:r>
      <w:r w:rsidR="00987007" w:rsidRPr="00123CAE">
        <w:rPr>
          <w:rFonts w:cs="Arial"/>
          <w:szCs w:val="22"/>
          <w:lang w:val="en-GB"/>
        </w:rPr>
        <w:t>,</w:t>
      </w:r>
      <w:r w:rsidRPr="00123CAE">
        <w:rPr>
          <w:rFonts w:cs="Arial"/>
          <w:szCs w:val="22"/>
          <w:lang w:val="en-GB"/>
        </w:rPr>
        <w:t xml:space="preserve"> a</w:t>
      </w:r>
      <w:r w:rsidR="00987007" w:rsidRPr="00123CAE">
        <w:rPr>
          <w:rFonts w:cs="Arial"/>
          <w:szCs w:val="22"/>
          <w:lang w:val="en-GB"/>
        </w:rPr>
        <w:t xml:space="preserve">s well as </w:t>
      </w:r>
      <w:r w:rsidRPr="00123CAE">
        <w:rPr>
          <w:rFonts w:cs="Arial"/>
          <w:szCs w:val="22"/>
          <w:lang w:val="en-GB"/>
        </w:rPr>
        <w:t>other demands on young people</w:t>
      </w:r>
      <w:r w:rsidR="00F426CF" w:rsidRPr="00123CAE">
        <w:rPr>
          <w:rFonts w:cs="Arial"/>
          <w:szCs w:val="22"/>
          <w:lang w:val="en-GB"/>
        </w:rPr>
        <w:t>’s time</w:t>
      </w:r>
      <w:r w:rsidR="0052346D" w:rsidRPr="00123CAE">
        <w:rPr>
          <w:rFonts w:cs="Arial"/>
          <w:szCs w:val="22"/>
          <w:lang w:val="en-GB"/>
        </w:rPr>
        <w:t>.</w:t>
      </w:r>
      <w:r w:rsidRPr="00123CAE">
        <w:rPr>
          <w:rFonts w:cs="Arial"/>
          <w:szCs w:val="22"/>
          <w:lang w:val="en-GB"/>
        </w:rPr>
        <w:t xml:space="preserve"> </w:t>
      </w:r>
      <w:r w:rsidR="0052346D" w:rsidRPr="00123CAE">
        <w:rPr>
          <w:rFonts w:cs="Arial"/>
          <w:szCs w:val="22"/>
          <w:lang w:val="en-GB"/>
        </w:rPr>
        <w:t>F</w:t>
      </w:r>
      <w:r w:rsidRPr="00123CAE">
        <w:rPr>
          <w:rFonts w:cs="Arial"/>
          <w:szCs w:val="22"/>
          <w:lang w:val="en-GB"/>
        </w:rPr>
        <w:t xml:space="preserve">ew trainees have continued with </w:t>
      </w:r>
      <w:r w:rsidR="00CA2288" w:rsidRPr="00123CAE">
        <w:rPr>
          <w:rFonts w:cs="Arial"/>
          <w:szCs w:val="22"/>
          <w:lang w:val="en-GB"/>
        </w:rPr>
        <w:t xml:space="preserve">Al </w:t>
      </w:r>
      <w:r w:rsidRPr="00123CAE">
        <w:rPr>
          <w:rFonts w:cs="Arial"/>
          <w:szCs w:val="22"/>
          <w:lang w:val="en-GB"/>
        </w:rPr>
        <w:t xml:space="preserve">Sadu weaving as a full-time occupation. At present, the actual number of bearers throughout </w:t>
      </w:r>
      <w:r w:rsidR="00CA2288" w:rsidRPr="00123CAE">
        <w:rPr>
          <w:rFonts w:cs="Arial"/>
          <w:szCs w:val="22"/>
          <w:lang w:val="en-GB"/>
        </w:rPr>
        <w:t>the United Arab Emirates</w:t>
      </w:r>
      <w:r w:rsidRPr="00123CAE">
        <w:rPr>
          <w:rFonts w:cs="Arial"/>
          <w:szCs w:val="22"/>
          <w:lang w:val="en-GB"/>
        </w:rPr>
        <w:t xml:space="preserve"> is not known and surveys are underway in several regions to identify practitioners</w:t>
      </w:r>
      <w:r w:rsidR="00CA2288" w:rsidRPr="00123CAE">
        <w:rPr>
          <w:rFonts w:cs="Arial"/>
          <w:szCs w:val="22"/>
          <w:lang w:val="en-GB"/>
        </w:rPr>
        <w:t xml:space="preserve">. </w:t>
      </w:r>
      <w:r w:rsidRPr="00123CAE">
        <w:rPr>
          <w:rFonts w:cs="Arial"/>
          <w:szCs w:val="22"/>
          <w:lang w:val="en-GB"/>
        </w:rPr>
        <w:t xml:space="preserve">In addition, the efforts have been geographically </w:t>
      </w:r>
      <w:r w:rsidR="00CA2288" w:rsidRPr="00123CAE">
        <w:rPr>
          <w:rFonts w:cs="Arial"/>
          <w:szCs w:val="22"/>
          <w:lang w:val="en-GB"/>
        </w:rPr>
        <w:t>irregular</w:t>
      </w:r>
      <w:r w:rsidRPr="00123CAE">
        <w:rPr>
          <w:rFonts w:cs="Arial"/>
          <w:szCs w:val="22"/>
          <w:lang w:val="en-GB"/>
        </w:rPr>
        <w:t xml:space="preserve"> (in part due to the federal character of the </w:t>
      </w:r>
      <w:r w:rsidR="00CA2288" w:rsidRPr="00123CAE">
        <w:rPr>
          <w:rFonts w:cs="Arial"/>
          <w:szCs w:val="22"/>
          <w:lang w:val="en-GB"/>
        </w:rPr>
        <w:t>United Arab Emirates</w:t>
      </w:r>
      <w:r w:rsidRPr="00123CAE">
        <w:rPr>
          <w:rFonts w:cs="Arial"/>
          <w:szCs w:val="22"/>
          <w:lang w:val="en-GB"/>
        </w:rPr>
        <w:t xml:space="preserve">) and, for this reason, a national committee encompassing all seven emirates has been proposed to develop a national school syllabus on heritage while also responding to the needs of practitioners in each emirate. Moreover, awareness on the element was raised through media coverage and showcasing the element in annual heritage festivals and exhibitions. The profile of Al Sadu at heritage festivals has increased, although media coverage is </w:t>
      </w:r>
      <w:r w:rsidR="00CA2288" w:rsidRPr="00123CAE">
        <w:rPr>
          <w:rFonts w:cs="Arial"/>
          <w:szCs w:val="22"/>
          <w:lang w:val="en-GB"/>
        </w:rPr>
        <w:t xml:space="preserve">reported to </w:t>
      </w:r>
      <w:r w:rsidRPr="00123CAE">
        <w:rPr>
          <w:rFonts w:cs="Arial"/>
          <w:szCs w:val="22"/>
          <w:lang w:val="en-GB"/>
        </w:rPr>
        <w:t xml:space="preserve">not yet </w:t>
      </w:r>
      <w:r w:rsidR="00402D93" w:rsidRPr="00123CAE">
        <w:rPr>
          <w:rFonts w:cs="Arial"/>
          <w:szCs w:val="22"/>
          <w:lang w:val="en-GB"/>
        </w:rPr>
        <w:t xml:space="preserve">be </w:t>
      </w:r>
      <w:r w:rsidRPr="00123CAE">
        <w:rPr>
          <w:rFonts w:cs="Arial"/>
          <w:szCs w:val="22"/>
          <w:lang w:val="en-GB"/>
        </w:rPr>
        <w:t xml:space="preserve">sufficient. Building a Sadu House to act as a workshop combined with a space for training, exhibiting and marketing products is seen </w:t>
      </w:r>
      <w:r w:rsidR="00CA2288" w:rsidRPr="00123CAE">
        <w:rPr>
          <w:rFonts w:cs="Arial"/>
          <w:szCs w:val="22"/>
          <w:lang w:val="en-GB"/>
        </w:rPr>
        <w:t xml:space="preserve">in the report </w:t>
      </w:r>
      <w:r w:rsidRPr="00123CAE">
        <w:rPr>
          <w:rFonts w:cs="Arial"/>
          <w:szCs w:val="22"/>
          <w:lang w:val="en-GB"/>
        </w:rPr>
        <w:t>as an important safeguarding measure, but has not yet been achieved.</w:t>
      </w:r>
    </w:p>
    <w:p w14:paraId="1A8D6F77" w14:textId="4788B307" w:rsidR="007E5144" w:rsidRPr="00123CAE" w:rsidRDefault="007E5144" w:rsidP="006D609A">
      <w:pPr>
        <w:pStyle w:val="Marge"/>
        <w:numPr>
          <w:ilvl w:val="0"/>
          <w:numId w:val="9"/>
        </w:numPr>
        <w:tabs>
          <w:tab w:val="clear" w:pos="567"/>
        </w:tabs>
        <w:autoSpaceDE w:val="0"/>
        <w:autoSpaceDN w:val="0"/>
        <w:adjustRightInd w:val="0"/>
        <w:spacing w:after="120"/>
        <w:ind w:left="567" w:hanging="567"/>
        <w:rPr>
          <w:rFonts w:cs="Arial"/>
          <w:bCs/>
          <w:szCs w:val="22"/>
          <w:lang w:val="en-GB"/>
        </w:rPr>
      </w:pPr>
      <w:r w:rsidRPr="00123CAE">
        <w:rPr>
          <w:rFonts w:cs="Arial"/>
          <w:b/>
          <w:bCs/>
          <w:szCs w:val="22"/>
          <w:lang w:val="en-GB"/>
        </w:rPr>
        <w:t>Community participation</w:t>
      </w:r>
      <w:r w:rsidRPr="00123CAE">
        <w:rPr>
          <w:rFonts w:cs="Arial"/>
          <w:bCs/>
          <w:szCs w:val="22"/>
          <w:lang w:val="en-GB"/>
        </w:rPr>
        <w:t>.</w:t>
      </w:r>
      <w:r w:rsidR="006D609A" w:rsidRPr="00123CAE">
        <w:rPr>
          <w:rFonts w:cs="Arial"/>
          <w:bCs/>
          <w:szCs w:val="22"/>
          <w:lang w:val="en-GB"/>
        </w:rPr>
        <w:t xml:space="preserve"> </w:t>
      </w:r>
      <w:r w:rsidR="006D609A" w:rsidRPr="00123CAE">
        <w:rPr>
          <w:rFonts w:eastAsia="SimSun" w:cs="Arial"/>
          <w:szCs w:val="22"/>
          <w:lang w:val="en-GB" w:eastAsia="ar-SA"/>
        </w:rPr>
        <w:t xml:space="preserve">There are many different communities and social actors in </w:t>
      </w:r>
      <w:r w:rsidR="00CA2288" w:rsidRPr="00123CAE">
        <w:rPr>
          <w:rFonts w:cs="Arial"/>
          <w:szCs w:val="22"/>
          <w:lang w:val="en-GB"/>
        </w:rPr>
        <w:t>the United Arab Emirates</w:t>
      </w:r>
      <w:r w:rsidR="00CA2288" w:rsidRPr="00123CAE">
        <w:rPr>
          <w:rFonts w:eastAsia="SimSun" w:cs="Arial"/>
          <w:szCs w:val="22"/>
          <w:lang w:val="en-GB" w:eastAsia="ar-SA"/>
        </w:rPr>
        <w:t xml:space="preserve"> </w:t>
      </w:r>
      <w:r w:rsidR="006D609A" w:rsidRPr="00123CAE">
        <w:rPr>
          <w:rFonts w:eastAsia="SimSun" w:cs="Arial"/>
          <w:szCs w:val="22"/>
          <w:lang w:val="en-GB" w:eastAsia="ar-SA"/>
        </w:rPr>
        <w:t>directly involved in safeguarding activities</w:t>
      </w:r>
      <w:r w:rsidR="00A1545B" w:rsidRPr="00123CAE">
        <w:rPr>
          <w:rFonts w:eastAsia="SimSun" w:cs="Arial"/>
          <w:szCs w:val="22"/>
          <w:lang w:val="en-GB" w:eastAsia="ar-SA"/>
        </w:rPr>
        <w:t>,</w:t>
      </w:r>
      <w:r w:rsidR="006D609A" w:rsidRPr="00123CAE">
        <w:rPr>
          <w:rFonts w:eastAsia="SimSun" w:cs="Arial"/>
          <w:szCs w:val="22"/>
          <w:lang w:val="en-GB" w:eastAsia="ar-SA"/>
        </w:rPr>
        <w:t xml:space="preserve"> especially in continuing the practice, developing its economic role and in transmission and awareness-raising. Beyond the governmental bodies (e.g. </w:t>
      </w:r>
      <w:r w:rsidR="00A1545B" w:rsidRPr="00123CAE">
        <w:rPr>
          <w:rFonts w:eastAsia="SimSun" w:cs="Arial"/>
          <w:szCs w:val="22"/>
          <w:lang w:val="en-GB" w:eastAsia="ar-SA"/>
        </w:rPr>
        <w:t xml:space="preserve">the </w:t>
      </w:r>
      <w:r w:rsidR="006D609A" w:rsidRPr="00123CAE">
        <w:rPr>
          <w:rFonts w:eastAsia="SimSun" w:cs="Arial"/>
          <w:szCs w:val="22"/>
          <w:lang w:val="en-GB" w:eastAsia="ar-SA"/>
        </w:rPr>
        <w:t xml:space="preserve">Ministry of Social Affairs and the Abu Dhabi Tourism and Culture Association) and state-based </w:t>
      </w:r>
      <w:r w:rsidR="009E273D" w:rsidRPr="00123CAE">
        <w:rPr>
          <w:rFonts w:eastAsia="SimSun" w:cs="Arial"/>
          <w:szCs w:val="22"/>
          <w:lang w:val="en-GB" w:eastAsia="ar-SA"/>
        </w:rPr>
        <w:t xml:space="preserve">charity </w:t>
      </w:r>
      <w:r w:rsidR="006D609A" w:rsidRPr="00123CAE">
        <w:rPr>
          <w:rFonts w:eastAsia="SimSun" w:cs="Arial"/>
          <w:szCs w:val="22"/>
          <w:lang w:val="en-GB" w:eastAsia="ar-SA"/>
        </w:rPr>
        <w:t>bodies (e.g. the Khalifa Foundation and Khalifa</w:t>
      </w:r>
      <w:r w:rsidR="00CA2288" w:rsidRPr="00123CAE">
        <w:rPr>
          <w:rFonts w:eastAsia="SimSun" w:cs="Arial"/>
          <w:szCs w:val="22"/>
          <w:lang w:val="en-GB" w:eastAsia="ar-SA"/>
        </w:rPr>
        <w:t xml:space="preserve"> Humanitarian Foundation),</w:t>
      </w:r>
      <w:r w:rsidR="006D609A" w:rsidRPr="00123CAE">
        <w:rPr>
          <w:rFonts w:eastAsia="SimSun" w:cs="Arial"/>
          <w:szCs w:val="22"/>
          <w:lang w:val="en-GB" w:eastAsia="ar-SA"/>
        </w:rPr>
        <w:t xml:space="preserve"> </w:t>
      </w:r>
      <w:r w:rsidR="00CA2288" w:rsidRPr="00123CAE">
        <w:rPr>
          <w:rFonts w:eastAsia="SimSun" w:cs="Arial"/>
          <w:szCs w:val="22"/>
          <w:lang w:val="en-GB" w:eastAsia="ar-SA"/>
        </w:rPr>
        <w:t>t</w:t>
      </w:r>
      <w:r w:rsidR="006D609A" w:rsidRPr="00123CAE">
        <w:rPr>
          <w:rFonts w:eastAsia="SimSun" w:cs="Arial"/>
          <w:szCs w:val="22"/>
          <w:lang w:val="en-GB" w:eastAsia="ar-SA"/>
        </w:rPr>
        <w:t xml:space="preserve">hese </w:t>
      </w:r>
      <w:r w:rsidR="006D609A" w:rsidRPr="00123CAE">
        <w:rPr>
          <w:rFonts w:cs="Arial"/>
          <w:szCs w:val="22"/>
          <w:lang w:val="en-GB"/>
        </w:rPr>
        <w:t>include</w:t>
      </w:r>
      <w:r w:rsidR="006D609A" w:rsidRPr="00123CAE">
        <w:rPr>
          <w:rFonts w:eastAsia="SimSun" w:cs="Arial"/>
          <w:szCs w:val="22"/>
          <w:lang w:val="en-GB" w:eastAsia="ar-SA"/>
        </w:rPr>
        <w:t xml:space="preserve"> professional organi</w:t>
      </w:r>
      <w:r w:rsidR="00A1545B" w:rsidRPr="00123CAE">
        <w:rPr>
          <w:rFonts w:eastAsia="SimSun" w:cs="Arial"/>
          <w:szCs w:val="22"/>
          <w:lang w:val="en-GB" w:eastAsia="ar-SA"/>
        </w:rPr>
        <w:t>z</w:t>
      </w:r>
      <w:r w:rsidR="006D609A" w:rsidRPr="00123CAE">
        <w:rPr>
          <w:rFonts w:eastAsia="SimSun" w:cs="Arial"/>
          <w:szCs w:val="22"/>
          <w:lang w:val="en-GB" w:eastAsia="ar-SA"/>
        </w:rPr>
        <w:t>ations such as the Abu Dhabi Businesswomen’s Council and civil society groups such as the General Women’s Union. Among non-governmental organi</w:t>
      </w:r>
      <w:r w:rsidR="00A1545B" w:rsidRPr="00123CAE">
        <w:rPr>
          <w:rFonts w:eastAsia="SimSun" w:cs="Arial"/>
          <w:szCs w:val="22"/>
          <w:lang w:val="en-GB" w:eastAsia="ar-SA"/>
        </w:rPr>
        <w:t>z</w:t>
      </w:r>
      <w:r w:rsidR="006D609A" w:rsidRPr="00123CAE">
        <w:rPr>
          <w:rFonts w:eastAsia="SimSun" w:cs="Arial"/>
          <w:szCs w:val="22"/>
          <w:lang w:val="en-GB" w:eastAsia="ar-SA"/>
        </w:rPr>
        <w:t xml:space="preserve">ations, the most heritage-oriented </w:t>
      </w:r>
      <w:r w:rsidR="00110B16" w:rsidRPr="00123CAE">
        <w:rPr>
          <w:rFonts w:eastAsia="SimSun" w:cs="Arial"/>
          <w:szCs w:val="22"/>
          <w:lang w:val="en-GB" w:eastAsia="ar-SA"/>
        </w:rPr>
        <w:t xml:space="preserve">is the Emirates Heritage Club, </w:t>
      </w:r>
      <w:r w:rsidR="006D609A" w:rsidRPr="00123CAE">
        <w:rPr>
          <w:rFonts w:eastAsia="SimSun" w:cs="Arial"/>
          <w:szCs w:val="22"/>
          <w:lang w:val="en-GB" w:eastAsia="ar-SA"/>
        </w:rPr>
        <w:t>and the Sheikha Amnah Heritage and Religious Centre is a women’s organi</w:t>
      </w:r>
      <w:r w:rsidR="00A1545B" w:rsidRPr="00123CAE">
        <w:rPr>
          <w:rFonts w:eastAsia="SimSun" w:cs="Arial"/>
          <w:szCs w:val="22"/>
          <w:lang w:val="en-GB" w:eastAsia="ar-SA"/>
        </w:rPr>
        <w:t>z</w:t>
      </w:r>
      <w:r w:rsidR="006D609A" w:rsidRPr="00123CAE">
        <w:rPr>
          <w:rFonts w:eastAsia="SimSun" w:cs="Arial"/>
          <w:szCs w:val="22"/>
          <w:lang w:val="en-GB" w:eastAsia="ar-SA"/>
        </w:rPr>
        <w:t xml:space="preserve">ation. Other relevant </w:t>
      </w:r>
      <w:r w:rsidR="00476B34" w:rsidRPr="00123CAE">
        <w:rPr>
          <w:rFonts w:eastAsia="SimSun" w:cs="Arial"/>
          <w:szCs w:val="22"/>
          <w:lang w:val="en-GB" w:eastAsia="ar-SA"/>
        </w:rPr>
        <w:t>non-governmental organizations</w:t>
      </w:r>
      <w:r w:rsidR="006D609A" w:rsidRPr="00123CAE">
        <w:rPr>
          <w:rFonts w:eastAsia="SimSun" w:cs="Arial"/>
          <w:szCs w:val="22"/>
          <w:lang w:val="en-GB" w:eastAsia="ar-SA"/>
        </w:rPr>
        <w:t xml:space="preserve"> include the General Women’s Association, the Red Crescent, an</w:t>
      </w:r>
      <w:r w:rsidR="00CA2288" w:rsidRPr="00123CAE">
        <w:rPr>
          <w:rFonts w:eastAsia="SimSun" w:cs="Arial"/>
          <w:szCs w:val="22"/>
          <w:lang w:val="en-GB" w:eastAsia="ar-SA"/>
        </w:rPr>
        <w:t xml:space="preserve">d the Girl Guides Association. </w:t>
      </w:r>
      <w:r w:rsidR="006D609A" w:rsidRPr="00123CAE">
        <w:rPr>
          <w:rFonts w:eastAsia="SimSun" w:cs="Arial"/>
          <w:szCs w:val="22"/>
          <w:lang w:val="en-GB" w:eastAsia="ar-SA"/>
        </w:rPr>
        <w:t>Private companies (e.g. the Senaat Company and Etihad Airlines) are also active in sponsoring activities</w:t>
      </w:r>
      <w:r w:rsidR="00110B16" w:rsidRPr="00123CAE">
        <w:rPr>
          <w:rFonts w:eastAsia="SimSun" w:cs="Arial"/>
          <w:szCs w:val="22"/>
          <w:lang w:val="en-GB" w:eastAsia="ar-SA"/>
        </w:rPr>
        <w:t>.</w:t>
      </w:r>
      <w:r w:rsidR="006D609A" w:rsidRPr="00123CAE">
        <w:rPr>
          <w:rFonts w:eastAsia="SimSun" w:cs="Arial"/>
          <w:szCs w:val="22"/>
          <w:lang w:val="en-GB" w:eastAsia="ar-SA"/>
        </w:rPr>
        <w:t xml:space="preserve"> </w:t>
      </w:r>
      <w:r w:rsidR="008229EE" w:rsidRPr="00123CAE">
        <w:rPr>
          <w:rFonts w:eastAsia="SimSun" w:cs="Arial"/>
          <w:szCs w:val="22"/>
          <w:lang w:val="en-GB" w:eastAsia="ar-SA"/>
        </w:rPr>
        <w:t>M</w:t>
      </w:r>
      <w:r w:rsidR="006D609A" w:rsidRPr="00123CAE">
        <w:rPr>
          <w:rFonts w:eastAsia="SimSun" w:cs="Arial"/>
          <w:szCs w:val="22"/>
          <w:lang w:val="en-GB" w:eastAsia="ar-SA"/>
        </w:rPr>
        <w:t>unicipalities, communities and active individuals</w:t>
      </w:r>
      <w:r w:rsidR="008229EE" w:rsidRPr="00123CAE">
        <w:rPr>
          <w:rFonts w:eastAsia="SimSun" w:cs="Arial"/>
          <w:szCs w:val="22"/>
          <w:lang w:val="en-GB" w:eastAsia="ar-SA"/>
        </w:rPr>
        <w:t xml:space="preserve"> run additional safeguarding measures</w:t>
      </w:r>
      <w:r w:rsidR="006D609A" w:rsidRPr="00123CAE">
        <w:rPr>
          <w:rFonts w:eastAsia="SimSun" w:cs="Arial"/>
          <w:szCs w:val="22"/>
          <w:lang w:val="en-GB" w:eastAsia="ar-SA"/>
        </w:rPr>
        <w:t>.</w:t>
      </w:r>
      <w:r w:rsidR="00CA2288" w:rsidRPr="00123CAE">
        <w:rPr>
          <w:rFonts w:eastAsia="SimSun" w:cs="Arial"/>
          <w:szCs w:val="22"/>
          <w:lang w:val="en-GB" w:eastAsia="ar-SA"/>
        </w:rPr>
        <w:t xml:space="preserve"> </w:t>
      </w:r>
      <w:r w:rsidR="00CA2288" w:rsidRPr="00123CAE">
        <w:rPr>
          <w:rFonts w:eastAsia="SimSun" w:cs="Arial"/>
          <w:bCs/>
          <w:kern w:val="1"/>
          <w:szCs w:val="22"/>
          <w:lang w:val="en-GB" w:eastAsia="ar-SA"/>
        </w:rPr>
        <w:t>Writing the</w:t>
      </w:r>
      <w:r w:rsidR="006D609A" w:rsidRPr="00123CAE">
        <w:rPr>
          <w:rFonts w:eastAsia="SimSun" w:cs="Arial"/>
          <w:bCs/>
          <w:kern w:val="1"/>
          <w:szCs w:val="22"/>
          <w:lang w:val="en-GB" w:eastAsia="ar-SA"/>
        </w:rPr>
        <w:t xml:space="preserve"> report was led by Abu Dhabi TCA and the Ministry of Culture, Youth and Community Deve</w:t>
      </w:r>
      <w:r w:rsidR="00CA2288" w:rsidRPr="00123CAE">
        <w:rPr>
          <w:rFonts w:eastAsia="SimSun" w:cs="Arial"/>
          <w:bCs/>
          <w:kern w:val="1"/>
          <w:szCs w:val="22"/>
          <w:lang w:val="en-GB" w:eastAsia="ar-SA"/>
        </w:rPr>
        <w:t>lopment and other state bodies</w:t>
      </w:r>
      <w:r w:rsidR="00110B16" w:rsidRPr="00123CAE">
        <w:rPr>
          <w:rFonts w:eastAsia="SimSun" w:cs="Arial"/>
          <w:bCs/>
          <w:kern w:val="1"/>
          <w:szCs w:val="22"/>
          <w:lang w:val="en-GB" w:eastAsia="ar-SA"/>
        </w:rPr>
        <w:t>.</w:t>
      </w:r>
      <w:r w:rsidR="00CA2288" w:rsidRPr="00123CAE">
        <w:rPr>
          <w:rFonts w:eastAsia="SimSun" w:cs="Arial"/>
          <w:bCs/>
          <w:kern w:val="1"/>
          <w:szCs w:val="22"/>
          <w:lang w:val="en-GB" w:eastAsia="ar-SA"/>
        </w:rPr>
        <w:t xml:space="preserve"> </w:t>
      </w:r>
      <w:r w:rsidR="00110B16" w:rsidRPr="00123CAE">
        <w:rPr>
          <w:rFonts w:eastAsia="SimSun" w:cs="Arial"/>
          <w:bCs/>
          <w:kern w:val="1"/>
          <w:szCs w:val="22"/>
          <w:lang w:val="en-GB" w:eastAsia="ar-SA"/>
        </w:rPr>
        <w:t>E</w:t>
      </w:r>
      <w:r w:rsidR="006D609A" w:rsidRPr="00123CAE">
        <w:rPr>
          <w:rFonts w:eastAsia="SimSun" w:cs="Arial"/>
          <w:bCs/>
          <w:kern w:val="1"/>
          <w:szCs w:val="22"/>
          <w:lang w:val="en-GB" w:eastAsia="ar-SA"/>
        </w:rPr>
        <w:t xml:space="preserve">ight civil society and non-governmental organizations and 55 bearers participated in its preparation and evaluation. For this purpose, four workshops (with up to 26 participants representing heritage experts, Sadu practitioners and trainers, </w:t>
      </w:r>
      <w:r w:rsidR="00DB7BCB" w:rsidRPr="00123CAE">
        <w:rPr>
          <w:rFonts w:eastAsia="SimSun" w:cs="Arial"/>
          <w:bCs/>
          <w:kern w:val="1"/>
          <w:szCs w:val="22"/>
          <w:lang w:val="en-GB" w:eastAsia="ar-SA"/>
        </w:rPr>
        <w:t xml:space="preserve">and </w:t>
      </w:r>
      <w:r w:rsidR="006D609A" w:rsidRPr="00123CAE">
        <w:rPr>
          <w:rFonts w:eastAsia="SimSun" w:cs="Arial"/>
          <w:bCs/>
          <w:kern w:val="1"/>
          <w:szCs w:val="22"/>
          <w:lang w:val="en-GB" w:eastAsia="ar-SA"/>
        </w:rPr>
        <w:t>interested individuals) and a series of meetings and fieldwork discussions were also held between October and December 2015.</w:t>
      </w:r>
    </w:p>
    <w:p w14:paraId="3EF9D902" w14:textId="37B27ABE" w:rsidR="007E5144" w:rsidRPr="00123CAE" w:rsidRDefault="007E5144" w:rsidP="006D609A">
      <w:pPr>
        <w:pStyle w:val="Marge"/>
        <w:numPr>
          <w:ilvl w:val="0"/>
          <w:numId w:val="9"/>
        </w:numPr>
        <w:tabs>
          <w:tab w:val="clear" w:pos="567"/>
        </w:tabs>
        <w:autoSpaceDE w:val="0"/>
        <w:autoSpaceDN w:val="0"/>
        <w:adjustRightInd w:val="0"/>
        <w:spacing w:after="120"/>
        <w:ind w:left="567" w:hanging="567"/>
        <w:rPr>
          <w:rFonts w:cs="Arial"/>
          <w:bCs/>
          <w:szCs w:val="22"/>
          <w:lang w:val="en-GB"/>
        </w:rPr>
      </w:pPr>
      <w:r w:rsidRPr="00123CAE">
        <w:rPr>
          <w:rFonts w:cs="Arial"/>
          <w:b/>
          <w:bCs/>
          <w:szCs w:val="22"/>
          <w:lang w:val="en-GB"/>
        </w:rPr>
        <w:lastRenderedPageBreak/>
        <w:t>Viability and current risks</w:t>
      </w:r>
      <w:r w:rsidRPr="00123CAE">
        <w:rPr>
          <w:rFonts w:cs="Arial"/>
          <w:bCs/>
          <w:szCs w:val="22"/>
          <w:lang w:val="en-GB"/>
        </w:rPr>
        <w:t>.</w:t>
      </w:r>
      <w:r w:rsidR="006D609A" w:rsidRPr="00123CAE">
        <w:rPr>
          <w:rFonts w:cs="Arial"/>
          <w:bCs/>
          <w:szCs w:val="22"/>
          <w:lang w:val="en-GB"/>
        </w:rPr>
        <w:t xml:space="preserve"> </w:t>
      </w:r>
      <w:r w:rsidR="006D609A" w:rsidRPr="00123CAE">
        <w:rPr>
          <w:rFonts w:cs="Arial"/>
          <w:szCs w:val="22"/>
          <w:lang w:val="en-GB"/>
        </w:rPr>
        <w:t xml:space="preserve">Although its situation </w:t>
      </w:r>
      <w:r w:rsidR="00DB7BCB" w:rsidRPr="00123CAE">
        <w:rPr>
          <w:rFonts w:cs="Arial"/>
          <w:szCs w:val="22"/>
          <w:lang w:val="en-GB"/>
        </w:rPr>
        <w:t>ha</w:t>
      </w:r>
      <w:r w:rsidR="006D609A" w:rsidRPr="00123CAE">
        <w:rPr>
          <w:rFonts w:cs="Arial"/>
          <w:szCs w:val="22"/>
          <w:lang w:val="en-GB"/>
        </w:rPr>
        <w:t xml:space="preserve">s improved following inscription, the element still faces threats to its viability, in particular that many practitioners have abandoned the skill for more lucrative occupations and the relatively old age of most of them. Further, a decline in the traditional Bedouin lifestyle and generally improved living standards in the United Arab Emirates have impacted demand for Al Sadu products and finding new markets (e.g. modern camel </w:t>
      </w:r>
      <w:r w:rsidR="00170A74" w:rsidRPr="00123CAE">
        <w:rPr>
          <w:rFonts w:cs="Arial"/>
          <w:szCs w:val="22"/>
          <w:lang w:val="en-GB"/>
        </w:rPr>
        <w:t xml:space="preserve">racing, </w:t>
      </w:r>
      <w:r w:rsidR="006D609A" w:rsidRPr="00123CAE">
        <w:rPr>
          <w:rFonts w:cs="Arial"/>
          <w:szCs w:val="22"/>
          <w:lang w:val="en-GB"/>
        </w:rPr>
        <w:t xml:space="preserve">horse racing and tourism) is </w:t>
      </w:r>
      <w:r w:rsidR="00F55BCD" w:rsidRPr="00123CAE">
        <w:rPr>
          <w:rFonts w:cs="Arial"/>
          <w:szCs w:val="22"/>
          <w:lang w:val="en-GB"/>
        </w:rPr>
        <w:t xml:space="preserve">identified in the report as </w:t>
      </w:r>
      <w:r w:rsidR="006D609A" w:rsidRPr="00123CAE">
        <w:rPr>
          <w:rFonts w:cs="Arial"/>
          <w:szCs w:val="22"/>
          <w:lang w:val="en-GB"/>
        </w:rPr>
        <w:t xml:space="preserve">necessary. Ensuring the viability of the element requires raised awareness of its value, strengthened transmission to young people and in particular, developing a new function in society and economic role. The current risks to the element </w:t>
      </w:r>
      <w:r w:rsidR="00F55BCD" w:rsidRPr="00123CAE">
        <w:rPr>
          <w:rFonts w:cs="Arial"/>
          <w:szCs w:val="22"/>
          <w:lang w:val="en-GB"/>
        </w:rPr>
        <w:t xml:space="preserve">according to the report </w:t>
      </w:r>
      <w:r w:rsidR="006D609A" w:rsidRPr="00123CAE">
        <w:rPr>
          <w:rFonts w:cs="Arial"/>
          <w:szCs w:val="22"/>
          <w:lang w:val="en-GB"/>
        </w:rPr>
        <w:t>include</w:t>
      </w:r>
      <w:r w:rsidR="00F55BCD" w:rsidRPr="00123CAE">
        <w:rPr>
          <w:rFonts w:cs="Arial"/>
          <w:szCs w:val="22"/>
          <w:lang w:val="en-GB"/>
        </w:rPr>
        <w:t xml:space="preserve"> among others</w:t>
      </w:r>
      <w:r w:rsidR="006D609A" w:rsidRPr="00123CAE">
        <w:rPr>
          <w:rFonts w:cs="Arial"/>
          <w:szCs w:val="22"/>
          <w:lang w:val="en-GB"/>
        </w:rPr>
        <w:t>: the age of the practitioners and a reluctance of young people to take up</w:t>
      </w:r>
      <w:r w:rsidR="00170A74" w:rsidRPr="00123CAE">
        <w:rPr>
          <w:rFonts w:cs="Arial"/>
          <w:szCs w:val="22"/>
          <w:lang w:val="en-GB"/>
        </w:rPr>
        <w:t xml:space="preserve"> the practice</w:t>
      </w:r>
      <w:r w:rsidR="006D609A" w:rsidRPr="00123CAE">
        <w:rPr>
          <w:rFonts w:cs="Arial"/>
          <w:szCs w:val="22"/>
          <w:lang w:val="en-GB"/>
        </w:rPr>
        <w:t>; abandonment of the practice for other economic activities; the impacts of modern living; the cost of the raw materials and time-consuming nature of the production process; the introduction of cheaper look-alike goods in the market (using synthetic materials and non</w:t>
      </w:r>
      <w:r w:rsidR="00297690" w:rsidRPr="00123CAE">
        <w:rPr>
          <w:rFonts w:cs="Arial"/>
          <w:szCs w:val="22"/>
          <w:lang w:val="en-GB"/>
        </w:rPr>
        <w:noBreakHyphen/>
      </w:r>
      <w:r w:rsidR="006D609A" w:rsidRPr="00123CAE">
        <w:rPr>
          <w:rFonts w:cs="Arial"/>
          <w:szCs w:val="22"/>
          <w:lang w:val="en-GB"/>
        </w:rPr>
        <w:t xml:space="preserve">traditional methods); low awareness of the element and its </w:t>
      </w:r>
      <w:r w:rsidR="00F55BCD" w:rsidRPr="00123CAE">
        <w:rPr>
          <w:rFonts w:cs="Arial"/>
          <w:szCs w:val="22"/>
          <w:lang w:val="en-GB"/>
        </w:rPr>
        <w:t>cultural</w:t>
      </w:r>
      <w:r w:rsidR="006D609A" w:rsidRPr="00123CAE">
        <w:rPr>
          <w:rFonts w:cs="Arial"/>
          <w:szCs w:val="22"/>
          <w:lang w:val="en-GB"/>
        </w:rPr>
        <w:t xml:space="preserve"> value; </w:t>
      </w:r>
      <w:r w:rsidR="00F55BCD" w:rsidRPr="00123CAE">
        <w:rPr>
          <w:rFonts w:cs="Arial"/>
          <w:szCs w:val="22"/>
          <w:lang w:val="en-GB"/>
        </w:rPr>
        <w:t xml:space="preserve">and </w:t>
      </w:r>
      <w:r w:rsidR="006D609A" w:rsidRPr="00123CAE">
        <w:rPr>
          <w:rFonts w:cs="Arial"/>
          <w:szCs w:val="22"/>
          <w:lang w:val="en-GB"/>
        </w:rPr>
        <w:t>the lack of festivals or other events to showcase the element.</w:t>
      </w:r>
    </w:p>
    <w:p w14:paraId="12070516" w14:textId="77777777" w:rsidR="007E5144" w:rsidRPr="00123CAE" w:rsidRDefault="007E5144" w:rsidP="006D609A">
      <w:pPr>
        <w:pStyle w:val="Marge"/>
        <w:numPr>
          <w:ilvl w:val="0"/>
          <w:numId w:val="9"/>
        </w:numPr>
        <w:tabs>
          <w:tab w:val="clear" w:pos="567"/>
        </w:tabs>
        <w:autoSpaceDE w:val="0"/>
        <w:autoSpaceDN w:val="0"/>
        <w:adjustRightInd w:val="0"/>
        <w:spacing w:after="120"/>
        <w:ind w:left="567" w:hanging="567"/>
        <w:rPr>
          <w:rFonts w:cs="Arial"/>
          <w:szCs w:val="22"/>
          <w:lang w:val="en-GB"/>
        </w:rPr>
      </w:pPr>
      <w:r w:rsidRPr="00123CAE">
        <w:rPr>
          <w:rFonts w:cs="Arial"/>
          <w:szCs w:val="22"/>
          <w:lang w:val="en-GB"/>
        </w:rPr>
        <w:t>The Committee may wish to adopt the following decision:</w:t>
      </w:r>
    </w:p>
    <w:p w14:paraId="325ACAED" w14:textId="77777777" w:rsidR="007E5144" w:rsidRPr="00123CAE" w:rsidRDefault="007E5144" w:rsidP="007E5144">
      <w:pPr>
        <w:pStyle w:val="Heading4"/>
        <w:numPr>
          <w:ilvl w:val="0"/>
          <w:numId w:val="0"/>
        </w:numPr>
        <w:spacing w:before="240"/>
        <w:ind w:left="567"/>
        <w:rPr>
          <w:rFonts w:eastAsia="SimSun" w:cs="Arial"/>
          <w:szCs w:val="22"/>
        </w:rPr>
      </w:pPr>
      <w:bookmarkStart w:id="7" w:name="Dec11COM_9b6"/>
      <w:bookmarkEnd w:id="7"/>
      <w:r w:rsidRPr="00123CAE">
        <w:rPr>
          <w:rFonts w:cs="Arial"/>
          <w:szCs w:val="22"/>
        </w:rPr>
        <w:t xml:space="preserve">DRAFT DECISION 11.COM 9.b.6 </w:t>
      </w:r>
      <w:r w:rsidRPr="00123CAE">
        <w:rPr>
          <w:rFonts w:cs="Arial"/>
          <w:noProof/>
          <w:snapToGrid/>
          <w:szCs w:val="22"/>
          <w:lang w:val="fr-FR" w:eastAsia="fr-FR"/>
        </w:rPr>
        <w:drawing>
          <wp:inline distT="0" distB="0" distL="0" distR="0" wp14:anchorId="47A21556" wp14:editId="12225FA1">
            <wp:extent cx="103505" cy="103505"/>
            <wp:effectExtent l="0" t="0" r="0" b="0"/>
            <wp:docPr id="8" name="Picture 8" descr="Return to top">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6027A6D6" w14:textId="77777777" w:rsidR="007E5144" w:rsidRPr="00123CAE" w:rsidRDefault="007E5144" w:rsidP="007E5144">
      <w:pPr>
        <w:pStyle w:val="Para"/>
        <w:keepNext/>
        <w:numPr>
          <w:ilvl w:val="0"/>
          <w:numId w:val="0"/>
        </w:numPr>
        <w:tabs>
          <w:tab w:val="left" w:pos="1134"/>
        </w:tabs>
        <w:spacing w:line="240" w:lineRule="auto"/>
        <w:ind w:left="567"/>
        <w:rPr>
          <w:rFonts w:cs="Arial"/>
          <w:sz w:val="22"/>
          <w:szCs w:val="22"/>
          <w:lang w:val="en-GB"/>
        </w:rPr>
      </w:pPr>
      <w:r w:rsidRPr="00123CAE">
        <w:rPr>
          <w:rFonts w:cs="Arial"/>
          <w:sz w:val="22"/>
          <w:szCs w:val="22"/>
          <w:lang w:val="en-GB"/>
        </w:rPr>
        <w:t>The Committee,</w:t>
      </w:r>
    </w:p>
    <w:p w14:paraId="6C38372E" w14:textId="77777777" w:rsidR="006D609A" w:rsidRPr="00123CAE" w:rsidRDefault="006D609A" w:rsidP="009F44A4">
      <w:pPr>
        <w:pStyle w:val="Para"/>
        <w:numPr>
          <w:ilvl w:val="0"/>
          <w:numId w:val="32"/>
        </w:numPr>
        <w:ind w:left="1134" w:hanging="567"/>
        <w:rPr>
          <w:rFonts w:cs="Arial"/>
          <w:sz w:val="22"/>
          <w:szCs w:val="22"/>
          <w:u w:val="single"/>
          <w:lang w:val="en-GB"/>
        </w:rPr>
      </w:pPr>
      <w:r w:rsidRPr="00123CAE">
        <w:rPr>
          <w:rFonts w:cs="Arial"/>
          <w:sz w:val="22"/>
          <w:szCs w:val="22"/>
          <w:u w:val="single"/>
          <w:lang w:val="en-GB"/>
        </w:rPr>
        <w:t>Having examined</w:t>
      </w:r>
      <w:r w:rsidRPr="00123CAE">
        <w:rPr>
          <w:rFonts w:cs="Arial"/>
          <w:sz w:val="22"/>
          <w:szCs w:val="22"/>
          <w:lang w:val="en-GB"/>
        </w:rPr>
        <w:t xml:space="preserve"> document ITH/16/11.COM/9.b,</w:t>
      </w:r>
    </w:p>
    <w:p w14:paraId="43A9DEF0" w14:textId="6144693B" w:rsidR="006D609A" w:rsidRPr="00123CAE" w:rsidRDefault="006D609A" w:rsidP="006D609A">
      <w:pPr>
        <w:pStyle w:val="Para"/>
        <w:numPr>
          <w:ilvl w:val="0"/>
          <w:numId w:val="20"/>
        </w:numPr>
        <w:ind w:left="1134" w:hanging="567"/>
        <w:rPr>
          <w:rFonts w:cs="Arial"/>
          <w:sz w:val="22"/>
          <w:szCs w:val="22"/>
          <w:lang w:val="en-GB"/>
        </w:rPr>
      </w:pPr>
      <w:r w:rsidRPr="00123CAE">
        <w:rPr>
          <w:rFonts w:cs="Arial"/>
          <w:sz w:val="22"/>
          <w:szCs w:val="22"/>
          <w:u w:val="single"/>
          <w:lang w:val="en-GB"/>
        </w:rPr>
        <w:t>Recalling</w:t>
      </w:r>
      <w:r w:rsidRPr="00123CAE">
        <w:rPr>
          <w:rFonts w:cs="Arial"/>
          <w:sz w:val="22"/>
          <w:szCs w:val="22"/>
          <w:lang w:val="en-GB"/>
        </w:rPr>
        <w:t xml:space="preserve"> Chapter V of the Operational Directives and its Decision </w:t>
      </w:r>
      <w:hyperlink r:id="rId42" w:history="1">
        <w:r w:rsidRPr="0052232D">
          <w:rPr>
            <w:rStyle w:val="Hyperlink"/>
            <w:rFonts w:cs="Arial"/>
            <w:sz w:val="22"/>
            <w:szCs w:val="22"/>
            <w:lang w:val="en-GB"/>
          </w:rPr>
          <w:t>6.COM 8.21</w:t>
        </w:r>
      </w:hyperlink>
      <w:bookmarkStart w:id="8" w:name="_GoBack"/>
      <w:bookmarkEnd w:id="8"/>
      <w:r w:rsidRPr="00123CAE">
        <w:rPr>
          <w:rFonts w:cs="Arial"/>
          <w:sz w:val="22"/>
          <w:szCs w:val="22"/>
          <w:lang w:val="en-GB"/>
        </w:rPr>
        <w:t>,</w:t>
      </w:r>
    </w:p>
    <w:p w14:paraId="66DA8782" w14:textId="77777777" w:rsidR="006D609A" w:rsidRPr="00123CAE" w:rsidRDefault="006D609A" w:rsidP="006D609A">
      <w:pPr>
        <w:pStyle w:val="Para"/>
        <w:numPr>
          <w:ilvl w:val="0"/>
          <w:numId w:val="20"/>
        </w:numPr>
        <w:tabs>
          <w:tab w:val="left" w:pos="1134"/>
        </w:tabs>
        <w:spacing w:line="240" w:lineRule="auto"/>
        <w:ind w:left="1134" w:hanging="567"/>
        <w:rPr>
          <w:rFonts w:cs="Arial"/>
          <w:sz w:val="22"/>
          <w:szCs w:val="22"/>
          <w:lang w:val="en-GB"/>
        </w:rPr>
      </w:pPr>
      <w:r w:rsidRPr="00123CAE">
        <w:rPr>
          <w:rFonts w:cs="Arial"/>
          <w:sz w:val="22"/>
          <w:szCs w:val="22"/>
          <w:u w:val="single"/>
          <w:lang w:val="en-GB"/>
        </w:rPr>
        <w:t>Expresses its thanks</w:t>
      </w:r>
      <w:r w:rsidRPr="00123CAE">
        <w:rPr>
          <w:rFonts w:cs="Arial"/>
          <w:sz w:val="22"/>
          <w:szCs w:val="22"/>
          <w:lang w:val="en-GB"/>
        </w:rPr>
        <w:t xml:space="preserve"> to the United Arab Emirates for submitting its report on the </w:t>
      </w:r>
      <w:r w:rsidRPr="00123CAE">
        <w:rPr>
          <w:rFonts w:cs="Arial"/>
          <w:bCs/>
          <w:sz w:val="22"/>
          <w:szCs w:val="22"/>
          <w:lang w:val="en-GB"/>
        </w:rPr>
        <w:t xml:space="preserve">status of the </w:t>
      </w:r>
      <w:r w:rsidRPr="00123CAE">
        <w:rPr>
          <w:rFonts w:cs="Arial"/>
          <w:sz w:val="22"/>
          <w:szCs w:val="22"/>
          <w:lang w:val="en-GB"/>
        </w:rPr>
        <w:t>element ‘</w:t>
      </w:r>
      <w:r w:rsidRPr="00123CAE">
        <w:rPr>
          <w:rFonts w:cs="Arial"/>
          <w:bCs/>
          <w:sz w:val="22"/>
          <w:szCs w:val="22"/>
          <w:lang w:val="en-GB"/>
        </w:rPr>
        <w:t>Al Sadu</w:t>
      </w:r>
      <w:r w:rsidR="00CA2288" w:rsidRPr="00123CAE">
        <w:rPr>
          <w:rFonts w:cs="Arial"/>
          <w:bCs/>
          <w:sz w:val="22"/>
          <w:szCs w:val="22"/>
          <w:lang w:val="en-GB"/>
        </w:rPr>
        <w:t>,</w:t>
      </w:r>
      <w:r w:rsidRPr="00123CAE">
        <w:rPr>
          <w:rFonts w:cs="Arial"/>
          <w:bCs/>
          <w:sz w:val="22"/>
          <w:szCs w:val="22"/>
          <w:lang w:val="en-GB"/>
        </w:rPr>
        <w:t xml:space="preserve"> </w:t>
      </w:r>
      <w:r w:rsidR="00CA2288" w:rsidRPr="00123CAE">
        <w:rPr>
          <w:rFonts w:cs="Arial"/>
          <w:bCs/>
          <w:sz w:val="22"/>
          <w:szCs w:val="22"/>
          <w:lang w:val="en-GB"/>
        </w:rPr>
        <w:t xml:space="preserve">traditional weaving skills </w:t>
      </w:r>
      <w:r w:rsidRPr="00123CAE">
        <w:rPr>
          <w:rFonts w:cs="Arial"/>
          <w:sz w:val="22"/>
          <w:szCs w:val="22"/>
          <w:lang w:val="en-GB"/>
        </w:rPr>
        <w:t>in the United Arab Emirates’, inscribed</w:t>
      </w:r>
      <w:r w:rsidRPr="00123CAE">
        <w:rPr>
          <w:rFonts w:cs="Arial"/>
          <w:bCs/>
          <w:sz w:val="22"/>
          <w:szCs w:val="22"/>
          <w:lang w:val="en-GB"/>
        </w:rPr>
        <w:t xml:space="preserve"> in 2011 on the List of Intangible Cultural Heritage in Need of Urgent Safeguarding;</w:t>
      </w:r>
    </w:p>
    <w:p w14:paraId="688D7CC3" w14:textId="77777777" w:rsidR="00CA2288" w:rsidRPr="00123CAE" w:rsidRDefault="00CA2288" w:rsidP="00CA2288">
      <w:pPr>
        <w:pStyle w:val="Para"/>
        <w:numPr>
          <w:ilvl w:val="0"/>
          <w:numId w:val="20"/>
        </w:numPr>
        <w:ind w:left="1134" w:hanging="567"/>
        <w:rPr>
          <w:rFonts w:cs="Arial"/>
          <w:sz w:val="22"/>
          <w:szCs w:val="22"/>
          <w:lang w:val="en-GB"/>
        </w:rPr>
      </w:pPr>
      <w:r w:rsidRPr="00123CAE">
        <w:rPr>
          <w:rFonts w:cs="Arial"/>
          <w:sz w:val="22"/>
          <w:szCs w:val="22"/>
          <w:u w:val="single"/>
          <w:lang w:val="en-GB"/>
        </w:rPr>
        <w:t>Takes note</w:t>
      </w:r>
      <w:r w:rsidRPr="00123CAE">
        <w:rPr>
          <w:rFonts w:cs="Arial"/>
          <w:sz w:val="22"/>
          <w:szCs w:val="22"/>
          <w:lang w:val="en-GB"/>
        </w:rPr>
        <w:t xml:space="preserve"> of the continued efforts undertaken by the United Arab Emirates to safeguard the element and, in particular, those that have been made to strengthen inter-generational transmission of the element, improve the economic condition of its bearers and develop income-generating opportunities for them associated with the continued practice of the element</w:t>
      </w:r>
      <w:r w:rsidR="00012599" w:rsidRPr="00123CAE">
        <w:rPr>
          <w:rFonts w:cs="Arial"/>
          <w:sz w:val="22"/>
          <w:szCs w:val="22"/>
          <w:lang w:val="en-GB"/>
        </w:rPr>
        <w:t>;</w:t>
      </w:r>
    </w:p>
    <w:p w14:paraId="16F82C52" w14:textId="1A04110B" w:rsidR="00CA2288" w:rsidRPr="00123CAE" w:rsidRDefault="00CA2288" w:rsidP="00CA2288">
      <w:pPr>
        <w:pStyle w:val="Para"/>
        <w:numPr>
          <w:ilvl w:val="0"/>
          <w:numId w:val="20"/>
        </w:numPr>
        <w:ind w:left="1134" w:hanging="567"/>
        <w:rPr>
          <w:rFonts w:cs="Arial"/>
          <w:sz w:val="22"/>
          <w:szCs w:val="22"/>
          <w:lang w:val="en-GB"/>
        </w:rPr>
      </w:pPr>
      <w:r w:rsidRPr="00123CAE">
        <w:rPr>
          <w:rFonts w:cs="Arial"/>
          <w:sz w:val="22"/>
          <w:szCs w:val="22"/>
          <w:u w:val="single"/>
          <w:lang w:val="en-GB"/>
        </w:rPr>
        <w:t>Invites</w:t>
      </w:r>
      <w:r w:rsidRPr="00123CAE">
        <w:rPr>
          <w:rFonts w:cs="Arial"/>
          <w:sz w:val="22"/>
          <w:szCs w:val="22"/>
          <w:lang w:val="en-GB"/>
        </w:rPr>
        <w:t xml:space="preserve"> the State Party to continue its awareness-raising activities related to Al Sadu weaving</w:t>
      </w:r>
      <w:r w:rsidR="00170A74" w:rsidRPr="00123CAE">
        <w:rPr>
          <w:rFonts w:cs="Arial"/>
          <w:sz w:val="22"/>
          <w:szCs w:val="22"/>
          <w:lang w:val="en-GB"/>
        </w:rPr>
        <w:t xml:space="preserve"> </w:t>
      </w:r>
      <w:r w:rsidRPr="00123CAE">
        <w:rPr>
          <w:rFonts w:cs="Arial"/>
          <w:sz w:val="22"/>
          <w:szCs w:val="22"/>
          <w:lang w:val="en-GB"/>
        </w:rPr>
        <w:t>particular</w:t>
      </w:r>
      <w:r w:rsidR="00170A74" w:rsidRPr="00123CAE">
        <w:rPr>
          <w:rFonts w:cs="Arial"/>
          <w:sz w:val="22"/>
          <w:szCs w:val="22"/>
          <w:lang w:val="en-GB"/>
        </w:rPr>
        <w:t>ly</w:t>
      </w:r>
      <w:r w:rsidRPr="00123CAE">
        <w:rPr>
          <w:rFonts w:cs="Arial"/>
          <w:sz w:val="22"/>
          <w:szCs w:val="22"/>
          <w:lang w:val="en-GB"/>
        </w:rPr>
        <w:t xml:space="preserve"> through fairs, festivals and the media, creating a new generation of practitioners and seeking to further </w:t>
      </w:r>
      <w:r w:rsidR="00170A74" w:rsidRPr="00123CAE">
        <w:rPr>
          <w:rFonts w:cs="Arial"/>
          <w:sz w:val="22"/>
          <w:szCs w:val="22"/>
          <w:lang w:val="en-GB"/>
        </w:rPr>
        <w:t xml:space="preserve">develop </w:t>
      </w:r>
      <w:r w:rsidRPr="00123CAE">
        <w:rPr>
          <w:rFonts w:cs="Arial"/>
          <w:sz w:val="22"/>
          <w:szCs w:val="22"/>
          <w:lang w:val="en-GB"/>
        </w:rPr>
        <w:t>the function of the element in the contemporary society of the United Arab Emirates</w:t>
      </w:r>
      <w:r w:rsidR="00012599" w:rsidRPr="00123CAE">
        <w:rPr>
          <w:rFonts w:cs="Arial"/>
          <w:sz w:val="22"/>
          <w:szCs w:val="22"/>
          <w:lang w:val="en-GB"/>
        </w:rPr>
        <w:t>;</w:t>
      </w:r>
    </w:p>
    <w:p w14:paraId="49C8F358" w14:textId="7AC7DB18" w:rsidR="006D609A" w:rsidRPr="00123CAE" w:rsidRDefault="00CA2288" w:rsidP="00CA2288">
      <w:pPr>
        <w:pStyle w:val="Para"/>
        <w:numPr>
          <w:ilvl w:val="0"/>
          <w:numId w:val="20"/>
        </w:numPr>
        <w:tabs>
          <w:tab w:val="left" w:pos="1134"/>
        </w:tabs>
        <w:spacing w:line="240" w:lineRule="auto"/>
        <w:ind w:left="1134" w:hanging="567"/>
        <w:rPr>
          <w:rFonts w:cs="Arial"/>
          <w:sz w:val="22"/>
          <w:szCs w:val="22"/>
          <w:lang w:val="en-GB"/>
        </w:rPr>
      </w:pPr>
      <w:r w:rsidRPr="00123CAE">
        <w:rPr>
          <w:rFonts w:cs="Arial"/>
          <w:sz w:val="22"/>
          <w:szCs w:val="22"/>
          <w:u w:val="single"/>
          <w:lang w:val="en-GB"/>
        </w:rPr>
        <w:t>Encourages</w:t>
      </w:r>
      <w:r w:rsidRPr="00123CAE">
        <w:rPr>
          <w:rFonts w:cs="Arial"/>
          <w:sz w:val="22"/>
          <w:szCs w:val="22"/>
          <w:lang w:val="en-GB"/>
        </w:rPr>
        <w:t xml:space="preserve"> the State Party to continue work</w:t>
      </w:r>
      <w:r w:rsidR="005A3FBC" w:rsidRPr="00123CAE">
        <w:rPr>
          <w:rFonts w:cs="Arial"/>
          <w:sz w:val="22"/>
          <w:szCs w:val="22"/>
          <w:lang w:val="en-GB"/>
        </w:rPr>
        <w:t>ing</w:t>
      </w:r>
      <w:r w:rsidRPr="00123CAE">
        <w:rPr>
          <w:rFonts w:cs="Arial"/>
          <w:sz w:val="22"/>
          <w:szCs w:val="22"/>
          <w:lang w:val="en-GB"/>
        </w:rPr>
        <w:t xml:space="preserve"> with and encourag</w:t>
      </w:r>
      <w:r w:rsidR="005A3FBC" w:rsidRPr="00123CAE">
        <w:rPr>
          <w:rFonts w:cs="Arial"/>
          <w:sz w:val="22"/>
          <w:szCs w:val="22"/>
          <w:lang w:val="en-GB"/>
        </w:rPr>
        <w:t>ing</w:t>
      </w:r>
      <w:r w:rsidRPr="00123CAE">
        <w:rPr>
          <w:rFonts w:cs="Arial"/>
          <w:sz w:val="22"/>
          <w:szCs w:val="22"/>
          <w:lang w:val="en-GB"/>
        </w:rPr>
        <w:t xml:space="preserve"> the activities of a number of different public, non-governmental and private organizations in safeguarding the element and expand its safeguarding </w:t>
      </w:r>
      <w:r w:rsidR="00012599" w:rsidRPr="00123CAE">
        <w:rPr>
          <w:rFonts w:cs="Arial"/>
          <w:sz w:val="22"/>
          <w:szCs w:val="22"/>
          <w:lang w:val="en-GB"/>
        </w:rPr>
        <w:t>activities</w:t>
      </w:r>
      <w:r w:rsidRPr="00123CAE">
        <w:rPr>
          <w:rFonts w:cs="Arial"/>
          <w:sz w:val="22"/>
          <w:szCs w:val="22"/>
          <w:lang w:val="en-GB"/>
        </w:rPr>
        <w:t xml:space="preserve"> to all of the seven </w:t>
      </w:r>
      <w:r w:rsidR="00012599" w:rsidRPr="00123CAE">
        <w:rPr>
          <w:rFonts w:cs="Arial"/>
          <w:sz w:val="22"/>
          <w:szCs w:val="22"/>
          <w:lang w:val="en-GB"/>
        </w:rPr>
        <w:t>e</w:t>
      </w:r>
      <w:r w:rsidRPr="00123CAE">
        <w:rPr>
          <w:rFonts w:cs="Arial"/>
          <w:sz w:val="22"/>
          <w:szCs w:val="22"/>
          <w:lang w:val="en-GB"/>
        </w:rPr>
        <w:t>mirates while putting into place the planned actions of building a Sadu House as a workshop combined with a space for training, exhibiting products and conducting a project on providing wool and natural dyes;</w:t>
      </w:r>
    </w:p>
    <w:p w14:paraId="3D2C6198" w14:textId="602D24B3" w:rsidR="00EE49F4" w:rsidRPr="00123CAE" w:rsidRDefault="006D609A" w:rsidP="00CA2288">
      <w:pPr>
        <w:pStyle w:val="Para"/>
        <w:tabs>
          <w:tab w:val="left" w:pos="1134"/>
        </w:tabs>
        <w:spacing w:line="240" w:lineRule="auto"/>
        <w:ind w:left="1134" w:hanging="567"/>
        <w:rPr>
          <w:rFonts w:cs="Arial"/>
          <w:sz w:val="22"/>
          <w:szCs w:val="22"/>
          <w:lang w:val="en-GB"/>
        </w:rPr>
      </w:pPr>
      <w:r w:rsidRPr="00123CAE">
        <w:rPr>
          <w:rFonts w:cs="Arial"/>
          <w:sz w:val="22"/>
          <w:szCs w:val="22"/>
          <w:u w:val="single"/>
          <w:lang w:val="en-GB"/>
        </w:rPr>
        <w:t>Requests</w:t>
      </w:r>
      <w:r w:rsidRPr="00123CAE">
        <w:rPr>
          <w:rFonts w:cs="Arial"/>
          <w:sz w:val="22"/>
          <w:szCs w:val="22"/>
          <w:lang w:val="en-GB"/>
        </w:rPr>
        <w:t xml:space="preserve"> the Secretariat to inform the State Party at least nine months prior to the deadline of 15 December 2019 </w:t>
      </w:r>
      <w:r w:rsidR="00436180" w:rsidRPr="00123CAE">
        <w:rPr>
          <w:rFonts w:cs="Arial"/>
          <w:sz w:val="22"/>
          <w:szCs w:val="22"/>
          <w:lang w:val="en-GB"/>
        </w:rPr>
        <w:t xml:space="preserve">about </w:t>
      </w:r>
      <w:r w:rsidRPr="00123CAE">
        <w:rPr>
          <w:rFonts w:cs="Arial"/>
          <w:sz w:val="22"/>
          <w:szCs w:val="22"/>
          <w:lang w:val="en-GB"/>
        </w:rPr>
        <w:t xml:space="preserve">the </w:t>
      </w:r>
      <w:r w:rsidR="00436180" w:rsidRPr="00123CAE">
        <w:rPr>
          <w:rFonts w:cs="Arial"/>
          <w:sz w:val="22"/>
          <w:szCs w:val="22"/>
          <w:lang w:val="en-GB"/>
        </w:rPr>
        <w:t xml:space="preserve">required </w:t>
      </w:r>
      <w:r w:rsidRPr="00123CAE">
        <w:rPr>
          <w:rFonts w:cs="Arial"/>
          <w:sz w:val="22"/>
          <w:szCs w:val="22"/>
          <w:lang w:val="en-GB"/>
        </w:rPr>
        <w:t>submission of its next report on the status of this element.</w:t>
      </w:r>
    </w:p>
    <w:sectPr w:rsidR="00EE49F4" w:rsidRPr="00123CAE" w:rsidSect="00655736">
      <w:headerReference w:type="even" r:id="rId43"/>
      <w:headerReference w:type="default" r:id="rId44"/>
      <w:headerReference w:type="first" r:id="rId4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04639" w14:textId="77777777" w:rsidR="00B94330" w:rsidRDefault="00B94330" w:rsidP="00655736">
      <w:r>
        <w:separator/>
      </w:r>
    </w:p>
  </w:endnote>
  <w:endnote w:type="continuationSeparator" w:id="0">
    <w:p w14:paraId="6C6F137B" w14:textId="77777777" w:rsidR="00B94330" w:rsidRDefault="00B94330"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4BAF5" w14:textId="77777777" w:rsidR="00B94330" w:rsidRDefault="00B94330" w:rsidP="00655736">
      <w:r>
        <w:separator/>
      </w:r>
    </w:p>
  </w:footnote>
  <w:footnote w:type="continuationSeparator" w:id="0">
    <w:p w14:paraId="55FC0DD1" w14:textId="77777777" w:rsidR="00B94330" w:rsidRDefault="00B94330" w:rsidP="00655736">
      <w:r>
        <w:continuationSeparator/>
      </w:r>
    </w:p>
  </w:footnote>
  <w:footnote w:id="1">
    <w:p w14:paraId="28B6522B" w14:textId="77777777" w:rsidR="00B94330" w:rsidRPr="0019514B" w:rsidRDefault="00B94330">
      <w:pPr>
        <w:pStyle w:val="FootnoteText"/>
        <w:rPr>
          <w:rFonts w:ascii="Arial" w:hAnsi="Arial" w:cs="Arial"/>
          <w:sz w:val="18"/>
          <w:lang w:val="en-US"/>
        </w:rPr>
      </w:pPr>
      <w:r w:rsidRPr="0019514B">
        <w:rPr>
          <w:rStyle w:val="FootnoteReference"/>
          <w:rFonts w:ascii="Arial" w:hAnsi="Arial" w:cs="Arial"/>
          <w:sz w:val="18"/>
        </w:rPr>
        <w:sym w:font="Symbol" w:char="F02A"/>
      </w:r>
      <w:r w:rsidRPr="0019514B">
        <w:rPr>
          <w:rFonts w:ascii="Arial" w:hAnsi="Arial" w:cs="Arial"/>
          <w:sz w:val="18"/>
          <w:lang w:val="en-US"/>
        </w:rPr>
        <w:t xml:space="preserve"> Report already submitted, to be examined by the Committee at its twelfth session in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59F48" w14:textId="36F9E59E" w:rsidR="00B94330" w:rsidRPr="00C23A97" w:rsidRDefault="00B94330">
    <w:pPr>
      <w:pStyle w:val="Header"/>
      <w:rPr>
        <w:rFonts w:ascii="Arial" w:hAnsi="Arial" w:cs="Arial"/>
        <w:lang w:val="en-GB"/>
      </w:rPr>
    </w:pPr>
    <w:r>
      <w:rPr>
        <w:rFonts w:ascii="Arial" w:hAnsi="Arial" w:cs="Arial"/>
        <w:sz w:val="20"/>
        <w:szCs w:val="20"/>
        <w:lang w:val="en-GB"/>
      </w:rPr>
      <w:t>ITH/16/11.COM</w:t>
    </w:r>
    <w:r w:rsidRPr="00C23A97">
      <w:rPr>
        <w:rFonts w:ascii="Arial" w:hAnsi="Arial" w:cs="Arial"/>
        <w:sz w:val="20"/>
        <w:szCs w:val="20"/>
        <w:lang w:val="en-GB"/>
      </w:rPr>
      <w:t>/</w:t>
    </w:r>
    <w:r>
      <w:rPr>
        <w:rFonts w:ascii="Arial" w:hAnsi="Arial" w:cs="Arial"/>
        <w:sz w:val="20"/>
        <w:szCs w:val="20"/>
        <w:lang w:val="en-GB"/>
      </w:rPr>
      <w:t>9.b</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52232D">
      <w:rPr>
        <w:rStyle w:val="PageNumber"/>
        <w:rFonts w:ascii="Arial" w:hAnsi="Arial" w:cs="Arial"/>
        <w:noProof/>
        <w:sz w:val="20"/>
        <w:szCs w:val="20"/>
        <w:lang w:val="en-GB"/>
      </w:rPr>
      <w:t>16</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36435" w14:textId="03CF7B84" w:rsidR="00B94330" w:rsidRPr="0063300C" w:rsidRDefault="00B94330" w:rsidP="0063300C">
    <w:pPr>
      <w:pStyle w:val="Header"/>
      <w:jc w:val="right"/>
      <w:rPr>
        <w:rFonts w:ascii="Arial" w:hAnsi="Arial" w:cs="Arial"/>
        <w:lang w:val="en-GB"/>
      </w:rPr>
    </w:pPr>
    <w:r>
      <w:rPr>
        <w:rFonts w:ascii="Arial" w:hAnsi="Arial" w:cs="Arial"/>
        <w:sz w:val="20"/>
        <w:szCs w:val="20"/>
        <w:lang w:val="en-GB"/>
      </w:rPr>
      <w:t>ITH/16/11.COM</w:t>
    </w:r>
    <w:r w:rsidRPr="0063300C">
      <w:rPr>
        <w:rFonts w:ascii="Arial" w:hAnsi="Arial" w:cs="Arial"/>
        <w:sz w:val="20"/>
        <w:szCs w:val="20"/>
        <w:lang w:val="en-GB"/>
      </w:rPr>
      <w:t>/</w:t>
    </w:r>
    <w:r>
      <w:rPr>
        <w:rFonts w:ascii="Arial" w:hAnsi="Arial" w:cs="Arial"/>
        <w:sz w:val="20"/>
        <w:szCs w:val="20"/>
        <w:lang w:val="en-GB"/>
      </w:rPr>
      <w:t>9.b</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52232D">
      <w:rPr>
        <w:rStyle w:val="PageNumber"/>
        <w:rFonts w:ascii="Arial" w:hAnsi="Arial" w:cs="Arial"/>
        <w:noProof/>
        <w:sz w:val="20"/>
        <w:szCs w:val="20"/>
        <w:lang w:val="en-GB"/>
      </w:rPr>
      <w:t>15</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24F03" w14:textId="77777777" w:rsidR="00B94330" w:rsidRPr="00F32C23" w:rsidRDefault="00B94330">
    <w:pPr>
      <w:pStyle w:val="Header"/>
      <w:rPr>
        <w:lang w:val="en-GB"/>
      </w:rPr>
    </w:pPr>
    <w:r>
      <w:rPr>
        <w:noProof/>
      </w:rPr>
      <w:drawing>
        <wp:anchor distT="0" distB="0" distL="114300" distR="114300" simplePos="0" relativeHeight="251657728" behindDoc="0" locked="0" layoutInCell="1" allowOverlap="1" wp14:anchorId="70B5C2EF" wp14:editId="6B8A7C17">
          <wp:simplePos x="0" y="0"/>
          <wp:positionH relativeFrom="column">
            <wp:posOffset>-567690</wp:posOffset>
          </wp:positionH>
          <wp:positionV relativeFrom="page">
            <wp:posOffset>255905</wp:posOffset>
          </wp:positionV>
          <wp:extent cx="2228400" cy="136800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E2325" w14:textId="77777777" w:rsidR="00B94330" w:rsidRPr="00F30DC6" w:rsidRDefault="00B94330" w:rsidP="00655736">
    <w:pPr>
      <w:pStyle w:val="Header"/>
      <w:spacing w:after="520"/>
      <w:jc w:val="right"/>
      <w:rPr>
        <w:rFonts w:ascii="Arial" w:hAnsi="Arial" w:cs="Arial"/>
        <w:b/>
        <w:sz w:val="44"/>
        <w:szCs w:val="44"/>
        <w:lang w:val="en-GB"/>
      </w:rPr>
    </w:pPr>
    <w:r>
      <w:rPr>
        <w:rFonts w:ascii="Arial" w:hAnsi="Arial" w:cs="Arial"/>
        <w:b/>
        <w:sz w:val="44"/>
        <w:szCs w:val="44"/>
        <w:lang w:val="en-GB"/>
      </w:rPr>
      <w:t>11</w:t>
    </w:r>
    <w:r w:rsidRPr="00F30DC6">
      <w:rPr>
        <w:rFonts w:ascii="Arial" w:hAnsi="Arial" w:cs="Arial"/>
        <w:b/>
        <w:sz w:val="44"/>
        <w:szCs w:val="44"/>
        <w:lang w:val="en-GB"/>
      </w:rPr>
      <w:t xml:space="preserve"> COM</w:t>
    </w:r>
  </w:p>
  <w:p w14:paraId="71972259" w14:textId="77777777" w:rsidR="00B94330" w:rsidRPr="009D5428" w:rsidRDefault="00B94330" w:rsidP="00655736">
    <w:pPr>
      <w:jc w:val="right"/>
      <w:rPr>
        <w:rFonts w:ascii="Arial" w:hAnsi="Arial" w:cs="Arial"/>
        <w:b/>
        <w:sz w:val="22"/>
        <w:szCs w:val="22"/>
        <w:lang w:val="en-GB"/>
      </w:rPr>
    </w:pPr>
    <w:r>
      <w:rPr>
        <w:rFonts w:ascii="Arial" w:hAnsi="Arial" w:cs="Arial"/>
        <w:b/>
        <w:sz w:val="22"/>
        <w:szCs w:val="22"/>
        <w:lang w:val="en-GB"/>
      </w:rPr>
      <w:t>ITH/16</w:t>
    </w:r>
    <w:r w:rsidRPr="009D5428">
      <w:rPr>
        <w:rFonts w:ascii="Arial" w:hAnsi="Arial" w:cs="Arial"/>
        <w:b/>
        <w:sz w:val="22"/>
        <w:szCs w:val="22"/>
        <w:lang w:val="en-GB"/>
      </w:rPr>
      <w:t>/</w:t>
    </w:r>
    <w:r>
      <w:rPr>
        <w:rFonts w:ascii="Arial" w:hAnsi="Arial" w:cs="Arial"/>
        <w:b/>
        <w:sz w:val="22"/>
        <w:szCs w:val="22"/>
        <w:lang w:val="en-GB"/>
      </w:rPr>
      <w:t>11</w:t>
    </w:r>
    <w:r w:rsidRPr="009D5428">
      <w:rPr>
        <w:rFonts w:ascii="Arial" w:hAnsi="Arial" w:cs="Arial"/>
        <w:b/>
        <w:sz w:val="22"/>
        <w:szCs w:val="22"/>
        <w:lang w:val="en-GB"/>
      </w:rPr>
      <w:t>.COM/</w:t>
    </w:r>
    <w:r>
      <w:rPr>
        <w:rFonts w:ascii="Arial" w:hAnsi="Arial" w:cs="Arial"/>
        <w:b/>
        <w:sz w:val="22"/>
        <w:szCs w:val="22"/>
        <w:lang w:val="en-GB"/>
      </w:rPr>
      <w:t>9.b</w:t>
    </w:r>
  </w:p>
  <w:p w14:paraId="4E0D9D5A" w14:textId="5A69E518" w:rsidR="00B94330" w:rsidRPr="00F32C23" w:rsidRDefault="00B94330" w:rsidP="00655736">
    <w:pPr>
      <w:jc w:val="right"/>
      <w:rPr>
        <w:rFonts w:ascii="Arial" w:hAnsi="Arial" w:cs="Arial"/>
        <w:b/>
        <w:sz w:val="22"/>
        <w:szCs w:val="22"/>
        <w:lang w:val="en-GB"/>
      </w:rPr>
    </w:pPr>
    <w:r w:rsidRPr="009D5428">
      <w:rPr>
        <w:rFonts w:ascii="Arial" w:hAnsi="Arial" w:cs="Arial"/>
        <w:b/>
        <w:sz w:val="22"/>
        <w:szCs w:val="22"/>
        <w:lang w:val="en-GB"/>
      </w:rPr>
      <w:t xml:space="preserve">Paris, </w:t>
    </w:r>
    <w:r w:rsidR="00AF0992">
      <w:rPr>
        <w:rFonts w:ascii="Arial" w:eastAsia="Malgun Gothic" w:hAnsi="Arial" w:cs="Arial" w:hint="eastAsia"/>
        <w:b/>
        <w:sz w:val="22"/>
        <w:szCs w:val="22"/>
        <w:lang w:val="en-GB" w:eastAsia="ko-KR"/>
      </w:rPr>
      <w:t>31 October</w:t>
    </w:r>
    <w:r w:rsidRPr="00F32C23">
      <w:rPr>
        <w:rFonts w:ascii="Arial" w:hAnsi="Arial" w:cs="Arial"/>
        <w:b/>
        <w:sz w:val="22"/>
        <w:szCs w:val="22"/>
        <w:lang w:val="en-GB"/>
      </w:rPr>
      <w:t xml:space="preserve"> </w:t>
    </w:r>
    <w:r>
      <w:rPr>
        <w:rFonts w:ascii="Arial" w:hAnsi="Arial" w:cs="Arial"/>
        <w:b/>
        <w:sz w:val="22"/>
        <w:szCs w:val="22"/>
        <w:lang w:val="en-GB"/>
      </w:rPr>
      <w:t>2016</w:t>
    </w:r>
  </w:p>
  <w:p w14:paraId="56B9494D" w14:textId="2B86C042" w:rsidR="00B94330" w:rsidRPr="00AF0992" w:rsidRDefault="00B94330" w:rsidP="00AF0992">
    <w:pPr>
      <w:jc w:val="right"/>
      <w:rPr>
        <w:rFonts w:ascii="Arial" w:eastAsia="Malgun Gothic" w:hAnsi="Arial" w:cs="Arial"/>
        <w:b/>
        <w:sz w:val="22"/>
        <w:szCs w:val="22"/>
        <w:lang w:val="en-GB" w:eastAsia="ko-KR"/>
      </w:rPr>
    </w:pPr>
    <w:r w:rsidRPr="00F32C23">
      <w:rPr>
        <w:rFonts w:ascii="Arial" w:hAnsi="Arial" w:cs="Arial"/>
        <w:b/>
        <w:sz w:val="22"/>
        <w:szCs w:val="22"/>
        <w:lang w:val="en-GB"/>
      </w:rPr>
      <w:t xml:space="preserve">Original: </w:t>
    </w:r>
    <w:r>
      <w:rPr>
        <w:rFonts w:ascii="Arial" w:hAnsi="Arial" w:cs="Arial"/>
        <w:b/>
        <w:sz w:val="22"/>
        <w:szCs w:val="22"/>
        <w:lang w:val="en-GB"/>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928"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CE7015"/>
    <w:multiLevelType w:val="hybridMultilevel"/>
    <w:tmpl w:val="2CB8E03C"/>
    <w:lvl w:ilvl="0" w:tplc="F438B4EC">
      <w:start w:val="1"/>
      <w:numFmt w:val="decimal"/>
      <w:pStyle w:val="Para"/>
      <w:lvlText w:val="%1."/>
      <w:lvlJc w:val="left"/>
      <w:pPr>
        <w:ind w:left="502" w:hanging="360"/>
      </w:pPr>
      <w:rPr>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12"/>
  </w:num>
  <w:num w:numId="5">
    <w:abstractNumId w:val="11"/>
  </w:num>
  <w:num w:numId="6">
    <w:abstractNumId w:val="0"/>
  </w:num>
  <w:num w:numId="7">
    <w:abstractNumId w:val="2"/>
  </w:num>
  <w:num w:numId="8">
    <w:abstractNumId w:val="9"/>
  </w:num>
  <w:num w:numId="9">
    <w:abstractNumId w:val="3"/>
  </w:num>
  <w:num w:numId="10">
    <w:abstractNumId w:val="5"/>
  </w:num>
  <w:num w:numId="11">
    <w:abstractNumId w:val="8"/>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7"/>
  </w:num>
  <w:num w:numId="16">
    <w:abstractNumId w:val="7"/>
    <w:lvlOverride w:ilvl="0">
      <w:startOverride w:val="1"/>
    </w:lvlOverride>
  </w:num>
  <w:num w:numId="17">
    <w:abstractNumId w:val="3"/>
  </w:num>
  <w:num w:numId="18">
    <w:abstractNumId w:val="3"/>
  </w:num>
  <w:num w:numId="19">
    <w:abstractNumId w:val="3"/>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03889"/>
    <w:rsid w:val="000048ED"/>
    <w:rsid w:val="00012599"/>
    <w:rsid w:val="000357FD"/>
    <w:rsid w:val="00041589"/>
    <w:rsid w:val="00041A66"/>
    <w:rsid w:val="0005176E"/>
    <w:rsid w:val="00054516"/>
    <w:rsid w:val="0005532B"/>
    <w:rsid w:val="0005572E"/>
    <w:rsid w:val="000721E0"/>
    <w:rsid w:val="000765F7"/>
    <w:rsid w:val="00077AB7"/>
    <w:rsid w:val="00081CD8"/>
    <w:rsid w:val="0009465A"/>
    <w:rsid w:val="000A1BEF"/>
    <w:rsid w:val="000A2583"/>
    <w:rsid w:val="000A7F0E"/>
    <w:rsid w:val="000B1C8F"/>
    <w:rsid w:val="000C0D61"/>
    <w:rsid w:val="000E57FF"/>
    <w:rsid w:val="000F3A3F"/>
    <w:rsid w:val="0010035C"/>
    <w:rsid w:val="001010A4"/>
    <w:rsid w:val="00102557"/>
    <w:rsid w:val="0010381E"/>
    <w:rsid w:val="00103F93"/>
    <w:rsid w:val="00110B16"/>
    <w:rsid w:val="00123CAE"/>
    <w:rsid w:val="0013034A"/>
    <w:rsid w:val="00150605"/>
    <w:rsid w:val="00155394"/>
    <w:rsid w:val="001567E1"/>
    <w:rsid w:val="00164D56"/>
    <w:rsid w:val="00167B10"/>
    <w:rsid w:val="00170A74"/>
    <w:rsid w:val="001736ED"/>
    <w:rsid w:val="0017402F"/>
    <w:rsid w:val="00185D6E"/>
    <w:rsid w:val="0019063F"/>
    <w:rsid w:val="0019514B"/>
    <w:rsid w:val="00196C1B"/>
    <w:rsid w:val="001B0F73"/>
    <w:rsid w:val="001B1232"/>
    <w:rsid w:val="001B4194"/>
    <w:rsid w:val="001C2DB7"/>
    <w:rsid w:val="001C5A89"/>
    <w:rsid w:val="001C6953"/>
    <w:rsid w:val="001C6ED3"/>
    <w:rsid w:val="001D2C5C"/>
    <w:rsid w:val="001D5C04"/>
    <w:rsid w:val="001E759C"/>
    <w:rsid w:val="001F0770"/>
    <w:rsid w:val="001F26CF"/>
    <w:rsid w:val="001F5776"/>
    <w:rsid w:val="00222A2D"/>
    <w:rsid w:val="00223029"/>
    <w:rsid w:val="00225A68"/>
    <w:rsid w:val="002318DD"/>
    <w:rsid w:val="00234745"/>
    <w:rsid w:val="002407AF"/>
    <w:rsid w:val="0025589B"/>
    <w:rsid w:val="0027466B"/>
    <w:rsid w:val="002838A5"/>
    <w:rsid w:val="00285BB4"/>
    <w:rsid w:val="0029087F"/>
    <w:rsid w:val="00293372"/>
    <w:rsid w:val="00297690"/>
    <w:rsid w:val="00297E80"/>
    <w:rsid w:val="002B0EDF"/>
    <w:rsid w:val="002C09E3"/>
    <w:rsid w:val="002C43B1"/>
    <w:rsid w:val="002D045F"/>
    <w:rsid w:val="002F4BD6"/>
    <w:rsid w:val="00300B91"/>
    <w:rsid w:val="0030335D"/>
    <w:rsid w:val="00305105"/>
    <w:rsid w:val="003167F7"/>
    <w:rsid w:val="00331259"/>
    <w:rsid w:val="00331D53"/>
    <w:rsid w:val="00344B58"/>
    <w:rsid w:val="0034539A"/>
    <w:rsid w:val="00345CB4"/>
    <w:rsid w:val="00360377"/>
    <w:rsid w:val="00364DF7"/>
    <w:rsid w:val="003729C8"/>
    <w:rsid w:val="00375D42"/>
    <w:rsid w:val="00382B5B"/>
    <w:rsid w:val="003843CD"/>
    <w:rsid w:val="0038723B"/>
    <w:rsid w:val="003B3904"/>
    <w:rsid w:val="003D069C"/>
    <w:rsid w:val="003D1C57"/>
    <w:rsid w:val="003D7646"/>
    <w:rsid w:val="003D76BA"/>
    <w:rsid w:val="003E4E4E"/>
    <w:rsid w:val="003F113A"/>
    <w:rsid w:val="003F2F0E"/>
    <w:rsid w:val="003F3E63"/>
    <w:rsid w:val="003F4AF6"/>
    <w:rsid w:val="00400A9F"/>
    <w:rsid w:val="00402D93"/>
    <w:rsid w:val="00407480"/>
    <w:rsid w:val="00414643"/>
    <w:rsid w:val="00414D21"/>
    <w:rsid w:val="00424741"/>
    <w:rsid w:val="00436180"/>
    <w:rsid w:val="004421E5"/>
    <w:rsid w:val="00452284"/>
    <w:rsid w:val="004556F8"/>
    <w:rsid w:val="00457C8E"/>
    <w:rsid w:val="0046078B"/>
    <w:rsid w:val="00461E50"/>
    <w:rsid w:val="00473443"/>
    <w:rsid w:val="00473E27"/>
    <w:rsid w:val="00476B34"/>
    <w:rsid w:val="004855A3"/>
    <w:rsid w:val="004856CA"/>
    <w:rsid w:val="00487E67"/>
    <w:rsid w:val="00493729"/>
    <w:rsid w:val="0049705E"/>
    <w:rsid w:val="004A1FCD"/>
    <w:rsid w:val="004A34A0"/>
    <w:rsid w:val="004B01C1"/>
    <w:rsid w:val="004B35E9"/>
    <w:rsid w:val="004C22FB"/>
    <w:rsid w:val="004C2378"/>
    <w:rsid w:val="004C5555"/>
    <w:rsid w:val="004D07D4"/>
    <w:rsid w:val="004E0B0F"/>
    <w:rsid w:val="004E0E51"/>
    <w:rsid w:val="004E79A4"/>
    <w:rsid w:val="004F1DB3"/>
    <w:rsid w:val="004F2E14"/>
    <w:rsid w:val="005008A8"/>
    <w:rsid w:val="00504646"/>
    <w:rsid w:val="00505E73"/>
    <w:rsid w:val="0052232D"/>
    <w:rsid w:val="0052346D"/>
    <w:rsid w:val="00526B7B"/>
    <w:rsid w:val="005308CE"/>
    <w:rsid w:val="00537684"/>
    <w:rsid w:val="00540DCD"/>
    <w:rsid w:val="005657EC"/>
    <w:rsid w:val="0057439C"/>
    <w:rsid w:val="00582C04"/>
    <w:rsid w:val="00585D8E"/>
    <w:rsid w:val="00597DB0"/>
    <w:rsid w:val="005A3FBC"/>
    <w:rsid w:val="005B0127"/>
    <w:rsid w:val="005B7A35"/>
    <w:rsid w:val="005C2BAE"/>
    <w:rsid w:val="005C4B73"/>
    <w:rsid w:val="005C7B8F"/>
    <w:rsid w:val="005D20FC"/>
    <w:rsid w:val="005E1D2B"/>
    <w:rsid w:val="005E1EF3"/>
    <w:rsid w:val="005E35E4"/>
    <w:rsid w:val="005E7074"/>
    <w:rsid w:val="005F2BAF"/>
    <w:rsid w:val="00600D93"/>
    <w:rsid w:val="0061447A"/>
    <w:rsid w:val="00615E3C"/>
    <w:rsid w:val="00617060"/>
    <w:rsid w:val="0062462D"/>
    <w:rsid w:val="00624DAD"/>
    <w:rsid w:val="0063255A"/>
    <w:rsid w:val="0063300C"/>
    <w:rsid w:val="00635559"/>
    <w:rsid w:val="006418F8"/>
    <w:rsid w:val="006457A1"/>
    <w:rsid w:val="00655736"/>
    <w:rsid w:val="00663B8D"/>
    <w:rsid w:val="00663B99"/>
    <w:rsid w:val="00696C8D"/>
    <w:rsid w:val="006A2458"/>
    <w:rsid w:val="006A2AC2"/>
    <w:rsid w:val="006A3617"/>
    <w:rsid w:val="006C2E0E"/>
    <w:rsid w:val="006D19AF"/>
    <w:rsid w:val="006D609A"/>
    <w:rsid w:val="006E46E4"/>
    <w:rsid w:val="00717DA5"/>
    <w:rsid w:val="007252DA"/>
    <w:rsid w:val="00736F22"/>
    <w:rsid w:val="00744484"/>
    <w:rsid w:val="007470F1"/>
    <w:rsid w:val="00747566"/>
    <w:rsid w:val="00747DF8"/>
    <w:rsid w:val="007503CA"/>
    <w:rsid w:val="00760C6E"/>
    <w:rsid w:val="00773188"/>
    <w:rsid w:val="0078318B"/>
    <w:rsid w:val="00783782"/>
    <w:rsid w:val="00784B8C"/>
    <w:rsid w:val="007856FD"/>
    <w:rsid w:val="007879E1"/>
    <w:rsid w:val="007900AA"/>
    <w:rsid w:val="007B707D"/>
    <w:rsid w:val="007C1F59"/>
    <w:rsid w:val="007C483D"/>
    <w:rsid w:val="007D5D3D"/>
    <w:rsid w:val="007D63D9"/>
    <w:rsid w:val="007E5144"/>
    <w:rsid w:val="007E523C"/>
    <w:rsid w:val="008229EE"/>
    <w:rsid w:val="00822CD4"/>
    <w:rsid w:val="00822EB1"/>
    <w:rsid w:val="00823A11"/>
    <w:rsid w:val="0085405E"/>
    <w:rsid w:val="0085414A"/>
    <w:rsid w:val="008551A9"/>
    <w:rsid w:val="0085628B"/>
    <w:rsid w:val="0086269D"/>
    <w:rsid w:val="0086543A"/>
    <w:rsid w:val="008724E5"/>
    <w:rsid w:val="00884A9D"/>
    <w:rsid w:val="0088512B"/>
    <w:rsid w:val="00887F7C"/>
    <w:rsid w:val="00893A34"/>
    <w:rsid w:val="008A1F3B"/>
    <w:rsid w:val="008A2B2D"/>
    <w:rsid w:val="008A4E1E"/>
    <w:rsid w:val="008B1689"/>
    <w:rsid w:val="008C0F0A"/>
    <w:rsid w:val="008C296C"/>
    <w:rsid w:val="008D09A8"/>
    <w:rsid w:val="008D4305"/>
    <w:rsid w:val="008D6502"/>
    <w:rsid w:val="008E1A85"/>
    <w:rsid w:val="009147F8"/>
    <w:rsid w:val="009163A7"/>
    <w:rsid w:val="00943B8E"/>
    <w:rsid w:val="00946D0B"/>
    <w:rsid w:val="00955827"/>
    <w:rsid w:val="00955877"/>
    <w:rsid w:val="00960760"/>
    <w:rsid w:val="00974C1F"/>
    <w:rsid w:val="009769D3"/>
    <w:rsid w:val="00976C61"/>
    <w:rsid w:val="009833D4"/>
    <w:rsid w:val="00987007"/>
    <w:rsid w:val="00992447"/>
    <w:rsid w:val="009A18CD"/>
    <w:rsid w:val="009B7C93"/>
    <w:rsid w:val="009D13BA"/>
    <w:rsid w:val="009D1622"/>
    <w:rsid w:val="009D4BAF"/>
    <w:rsid w:val="009D5428"/>
    <w:rsid w:val="009E273D"/>
    <w:rsid w:val="009E7546"/>
    <w:rsid w:val="009F3967"/>
    <w:rsid w:val="009F44A4"/>
    <w:rsid w:val="00A06D76"/>
    <w:rsid w:val="00A12558"/>
    <w:rsid w:val="00A13903"/>
    <w:rsid w:val="00A1545B"/>
    <w:rsid w:val="00A20A20"/>
    <w:rsid w:val="00A2163F"/>
    <w:rsid w:val="00A22C0F"/>
    <w:rsid w:val="00A25506"/>
    <w:rsid w:val="00A25A63"/>
    <w:rsid w:val="00A34ED5"/>
    <w:rsid w:val="00A45DBF"/>
    <w:rsid w:val="00A5425D"/>
    <w:rsid w:val="00A6055C"/>
    <w:rsid w:val="00A639E3"/>
    <w:rsid w:val="00A755A2"/>
    <w:rsid w:val="00AA6660"/>
    <w:rsid w:val="00AB2C36"/>
    <w:rsid w:val="00AB6DDE"/>
    <w:rsid w:val="00AB70B6"/>
    <w:rsid w:val="00AC445F"/>
    <w:rsid w:val="00AC5BC8"/>
    <w:rsid w:val="00AC6717"/>
    <w:rsid w:val="00AD1A86"/>
    <w:rsid w:val="00AE103E"/>
    <w:rsid w:val="00AE5797"/>
    <w:rsid w:val="00AF0992"/>
    <w:rsid w:val="00AF0A07"/>
    <w:rsid w:val="00AF4AEC"/>
    <w:rsid w:val="00AF625E"/>
    <w:rsid w:val="00B2399B"/>
    <w:rsid w:val="00B323CC"/>
    <w:rsid w:val="00B56767"/>
    <w:rsid w:val="00B71920"/>
    <w:rsid w:val="00B749D7"/>
    <w:rsid w:val="00B94330"/>
    <w:rsid w:val="00BA1ABA"/>
    <w:rsid w:val="00BB04AF"/>
    <w:rsid w:val="00BB7844"/>
    <w:rsid w:val="00BD3B12"/>
    <w:rsid w:val="00BD52C9"/>
    <w:rsid w:val="00BE6354"/>
    <w:rsid w:val="00BF3975"/>
    <w:rsid w:val="00C1325B"/>
    <w:rsid w:val="00C138D1"/>
    <w:rsid w:val="00C23A97"/>
    <w:rsid w:val="00C24E82"/>
    <w:rsid w:val="00C37165"/>
    <w:rsid w:val="00C4094C"/>
    <w:rsid w:val="00C465B1"/>
    <w:rsid w:val="00C60C82"/>
    <w:rsid w:val="00C64855"/>
    <w:rsid w:val="00C70EA7"/>
    <w:rsid w:val="00C73C5F"/>
    <w:rsid w:val="00C74D31"/>
    <w:rsid w:val="00C7516E"/>
    <w:rsid w:val="00C75770"/>
    <w:rsid w:val="00C912DE"/>
    <w:rsid w:val="00CA2288"/>
    <w:rsid w:val="00CA56BB"/>
    <w:rsid w:val="00CB0542"/>
    <w:rsid w:val="00CB08AE"/>
    <w:rsid w:val="00CB2747"/>
    <w:rsid w:val="00CB5386"/>
    <w:rsid w:val="00CC4860"/>
    <w:rsid w:val="00CC48D4"/>
    <w:rsid w:val="00CD304E"/>
    <w:rsid w:val="00D00B2B"/>
    <w:rsid w:val="00D01E5E"/>
    <w:rsid w:val="00D24877"/>
    <w:rsid w:val="00D61F14"/>
    <w:rsid w:val="00D66DDD"/>
    <w:rsid w:val="00D737DF"/>
    <w:rsid w:val="00D8250F"/>
    <w:rsid w:val="00D876F5"/>
    <w:rsid w:val="00D955C4"/>
    <w:rsid w:val="00D95C4C"/>
    <w:rsid w:val="00DA36ED"/>
    <w:rsid w:val="00DA5599"/>
    <w:rsid w:val="00DB18C1"/>
    <w:rsid w:val="00DB7BCB"/>
    <w:rsid w:val="00DC01CF"/>
    <w:rsid w:val="00DC211F"/>
    <w:rsid w:val="00DC5762"/>
    <w:rsid w:val="00DD48F8"/>
    <w:rsid w:val="00DE34F1"/>
    <w:rsid w:val="00DE6160"/>
    <w:rsid w:val="00DF4942"/>
    <w:rsid w:val="00DF6DBF"/>
    <w:rsid w:val="00DF7FAF"/>
    <w:rsid w:val="00E244E1"/>
    <w:rsid w:val="00E32FDF"/>
    <w:rsid w:val="00E627B1"/>
    <w:rsid w:val="00E634EC"/>
    <w:rsid w:val="00E671BF"/>
    <w:rsid w:val="00E70169"/>
    <w:rsid w:val="00E77651"/>
    <w:rsid w:val="00E9376C"/>
    <w:rsid w:val="00EA335E"/>
    <w:rsid w:val="00EA528C"/>
    <w:rsid w:val="00EA580C"/>
    <w:rsid w:val="00EB1E21"/>
    <w:rsid w:val="00EB7187"/>
    <w:rsid w:val="00EC40DF"/>
    <w:rsid w:val="00EC6F8D"/>
    <w:rsid w:val="00ED4D65"/>
    <w:rsid w:val="00EE49F4"/>
    <w:rsid w:val="00EE5FE1"/>
    <w:rsid w:val="00EF34E2"/>
    <w:rsid w:val="00EF53C1"/>
    <w:rsid w:val="00F30DC6"/>
    <w:rsid w:val="00F32C23"/>
    <w:rsid w:val="00F4061B"/>
    <w:rsid w:val="00F426CF"/>
    <w:rsid w:val="00F53DE9"/>
    <w:rsid w:val="00F55BCD"/>
    <w:rsid w:val="00F576CB"/>
    <w:rsid w:val="00F60B58"/>
    <w:rsid w:val="00F7035D"/>
    <w:rsid w:val="00F71A02"/>
    <w:rsid w:val="00F81200"/>
    <w:rsid w:val="00F84570"/>
    <w:rsid w:val="00FA0D63"/>
    <w:rsid w:val="00FA75EF"/>
    <w:rsid w:val="00FC49D4"/>
    <w:rsid w:val="00FD1226"/>
    <w:rsid w:val="00FF1C65"/>
    <w:rsid w:val="00FF483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FBA0A6D"/>
  <w15:docId w15:val="{6BCA8B54-2636-473D-BA9C-277002BD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03CA"/>
    <w:rPr>
      <w:rFonts w:ascii="Times New Roman" w:eastAsia="Times New Roman" w:hAnsi="Times New Roman"/>
      <w:sz w:val="24"/>
      <w:szCs w:val="24"/>
    </w:rPr>
  </w:style>
  <w:style w:type="paragraph" w:styleId="Heading1">
    <w:name w:val="heading 1"/>
    <w:basedOn w:val="Normal"/>
    <w:next w:val="Normal"/>
    <w:link w:val="Heading1Char"/>
    <w:uiPriority w:val="9"/>
    <w:rsid w:val="00CB53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uiPriority w:val="99"/>
    <w:unhideWhenUsed/>
    <w:rsid w:val="00597DB0"/>
    <w:rPr>
      <w:color w:val="0000FF"/>
      <w:u w:val="single"/>
    </w:rPr>
  </w:style>
  <w:style w:type="character" w:customStyle="1" w:styleId="hps">
    <w:name w:val="hps"/>
    <w:rsid w:val="00597DB0"/>
  </w:style>
  <w:style w:type="character" w:styleId="FollowedHyperlink">
    <w:name w:val="FollowedHyperlink"/>
    <w:basedOn w:val="DefaultParagraphFont"/>
    <w:uiPriority w:val="99"/>
    <w:semiHidden/>
    <w:unhideWhenUsed/>
    <w:rsid w:val="00CB5386"/>
    <w:rPr>
      <w:color w:val="800080" w:themeColor="followedHyperlink"/>
      <w:u w:val="single"/>
    </w:rPr>
  </w:style>
  <w:style w:type="character" w:customStyle="1" w:styleId="Heading1Char">
    <w:name w:val="Heading 1 Char"/>
    <w:basedOn w:val="DefaultParagraphFont"/>
    <w:link w:val="Heading1"/>
    <w:uiPriority w:val="9"/>
    <w:rsid w:val="00CB5386"/>
    <w:rPr>
      <w:rFonts w:asciiTheme="majorHAnsi" w:eastAsiaTheme="majorEastAsia" w:hAnsiTheme="majorHAnsi" w:cstheme="majorBidi"/>
      <w:b/>
      <w:bCs/>
      <w:color w:val="365F91" w:themeColor="accent1" w:themeShade="BF"/>
      <w:sz w:val="28"/>
      <w:szCs w:val="28"/>
    </w:rPr>
  </w:style>
  <w:style w:type="character" w:customStyle="1" w:styleId="ParaChar">
    <w:name w:val="Para Char"/>
    <w:link w:val="Para"/>
    <w:locked/>
    <w:rsid w:val="002F4BD6"/>
    <w:rPr>
      <w:rFonts w:ascii="Arial" w:hAnsi="Arial"/>
    </w:rPr>
  </w:style>
  <w:style w:type="paragraph" w:customStyle="1" w:styleId="Para">
    <w:name w:val="Para"/>
    <w:basedOn w:val="Normal"/>
    <w:link w:val="ParaChar"/>
    <w:qFormat/>
    <w:rsid w:val="002F4BD6"/>
    <w:pPr>
      <w:numPr>
        <w:numId w:val="13"/>
      </w:numPr>
      <w:spacing w:after="120" w:line="240" w:lineRule="exact"/>
      <w:jc w:val="both"/>
    </w:pPr>
    <w:rPr>
      <w:rFonts w:ascii="Arial" w:eastAsia="SimSun" w:hAnsi="Arial"/>
      <w:sz w:val="20"/>
      <w:szCs w:val="20"/>
    </w:rPr>
  </w:style>
  <w:style w:type="character" w:styleId="CommentReference">
    <w:name w:val="annotation reference"/>
    <w:basedOn w:val="DefaultParagraphFont"/>
    <w:uiPriority w:val="99"/>
    <w:semiHidden/>
    <w:unhideWhenUsed/>
    <w:rsid w:val="007503CA"/>
    <w:rPr>
      <w:sz w:val="16"/>
      <w:szCs w:val="16"/>
    </w:rPr>
  </w:style>
  <w:style w:type="paragraph" w:styleId="CommentText">
    <w:name w:val="annotation text"/>
    <w:basedOn w:val="Normal"/>
    <w:link w:val="CommentTextChar"/>
    <w:uiPriority w:val="99"/>
    <w:semiHidden/>
    <w:unhideWhenUsed/>
    <w:rsid w:val="007503CA"/>
    <w:pPr>
      <w:widowControl w:val="0"/>
      <w:suppressAutoHyphens/>
    </w:pPr>
    <w:rPr>
      <w:rFonts w:eastAsia="SimSun" w:cs="Tahoma"/>
      <w:kern w:val="1"/>
      <w:sz w:val="20"/>
      <w:szCs w:val="20"/>
      <w:lang w:val="en-GB" w:eastAsia="ar-SA"/>
    </w:rPr>
  </w:style>
  <w:style w:type="character" w:customStyle="1" w:styleId="CommentTextChar">
    <w:name w:val="Comment Text Char"/>
    <w:basedOn w:val="DefaultParagraphFont"/>
    <w:link w:val="CommentText"/>
    <w:uiPriority w:val="99"/>
    <w:semiHidden/>
    <w:rsid w:val="007503CA"/>
    <w:rPr>
      <w:rFonts w:ascii="Times New Roman" w:hAnsi="Times New Roman" w:cs="Tahoma"/>
      <w:kern w:val="1"/>
      <w:lang w:val="en-GB" w:eastAsia="ar-SA"/>
    </w:rPr>
  </w:style>
  <w:style w:type="paragraph" w:styleId="FootnoteText">
    <w:name w:val="footnote text"/>
    <w:basedOn w:val="Normal"/>
    <w:link w:val="FootnoteTextChar"/>
    <w:uiPriority w:val="99"/>
    <w:semiHidden/>
    <w:unhideWhenUsed/>
    <w:rsid w:val="00822CD4"/>
    <w:rPr>
      <w:sz w:val="20"/>
      <w:szCs w:val="20"/>
    </w:rPr>
  </w:style>
  <w:style w:type="character" w:customStyle="1" w:styleId="FootnoteTextChar">
    <w:name w:val="Footnote Text Char"/>
    <w:basedOn w:val="DefaultParagraphFont"/>
    <w:link w:val="FootnoteText"/>
    <w:uiPriority w:val="99"/>
    <w:semiHidden/>
    <w:rsid w:val="00822CD4"/>
    <w:rPr>
      <w:rFonts w:ascii="Times New Roman" w:eastAsia="Times New Roman" w:hAnsi="Times New Roman"/>
    </w:rPr>
  </w:style>
  <w:style w:type="character" w:styleId="FootnoteReference">
    <w:name w:val="footnote reference"/>
    <w:basedOn w:val="DefaultParagraphFont"/>
    <w:uiPriority w:val="99"/>
    <w:semiHidden/>
    <w:unhideWhenUsed/>
    <w:rsid w:val="00822CD4"/>
    <w:rPr>
      <w:vertAlign w:val="superscript"/>
    </w:rPr>
  </w:style>
  <w:style w:type="paragraph" w:styleId="CommentSubject">
    <w:name w:val="annotation subject"/>
    <w:basedOn w:val="CommentText"/>
    <w:next w:val="CommentText"/>
    <w:link w:val="CommentSubjectChar"/>
    <w:uiPriority w:val="99"/>
    <w:semiHidden/>
    <w:unhideWhenUsed/>
    <w:rsid w:val="001736ED"/>
    <w:pPr>
      <w:widowControl/>
      <w:suppressAutoHyphens w:val="0"/>
    </w:pPr>
    <w:rPr>
      <w:rFonts w:eastAsia="Times New Roman" w:cs="Times New Roman"/>
      <w:b/>
      <w:bCs/>
      <w:kern w:val="0"/>
      <w:lang w:val="fr-FR" w:eastAsia="fr-FR"/>
    </w:rPr>
  </w:style>
  <w:style w:type="character" w:customStyle="1" w:styleId="CommentSubjectChar">
    <w:name w:val="Comment Subject Char"/>
    <w:basedOn w:val="CommentTextChar"/>
    <w:link w:val="CommentSubject"/>
    <w:uiPriority w:val="99"/>
    <w:semiHidden/>
    <w:rsid w:val="001736ED"/>
    <w:rPr>
      <w:rFonts w:ascii="Times New Roman" w:eastAsia="Times New Roman" w:hAnsi="Times New Roman" w:cs="Tahoma"/>
      <w:b/>
      <w:bCs/>
      <w:kern w:val="1"/>
      <w:lang w:val="en-GB" w:eastAsia="ar-SA"/>
    </w:rPr>
  </w:style>
  <w:style w:type="paragraph" w:styleId="Revision">
    <w:name w:val="Revision"/>
    <w:hidden/>
    <w:uiPriority w:val="99"/>
    <w:semiHidden/>
    <w:rsid w:val="00A6055C"/>
    <w:rPr>
      <w:rFonts w:ascii="Times New Roman" w:eastAsia="Times New Roman" w:hAnsi="Times New Roman"/>
      <w:sz w:val="24"/>
      <w:szCs w:val="24"/>
    </w:rPr>
  </w:style>
  <w:style w:type="character" w:customStyle="1" w:styleId="alt-edited">
    <w:name w:val="alt-edited"/>
    <w:basedOn w:val="DefaultParagraphFont"/>
    <w:rsid w:val="00AC4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53858">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4246360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72456761">
      <w:bodyDiv w:val="1"/>
      <w:marLeft w:val="0"/>
      <w:marRight w:val="0"/>
      <w:marTop w:val="0"/>
      <w:marBottom w:val="0"/>
      <w:divBdr>
        <w:top w:val="none" w:sz="0" w:space="0" w:color="auto"/>
        <w:left w:val="none" w:sz="0" w:space="0" w:color="auto"/>
        <w:bottom w:val="none" w:sz="0" w:space="0" w:color="auto"/>
        <w:right w:val="none" w:sz="0" w:space="0" w:color="auto"/>
      </w:divBdr>
    </w:div>
    <w:div w:id="1889800953">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65115606">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en/USL/xoan-singing-of-phu-tho-province-viet-nam-00538" TargetMode="External"/><Relationship Id="rId13" Type="http://schemas.openxmlformats.org/officeDocument/2006/relationships/hyperlink" Target="http://www.unesco.org/culture/ich/index.php?lg=en&amp;pg=00011&amp;USL=00304" TargetMode="External"/><Relationship Id="rId18" Type="http://schemas.openxmlformats.org/officeDocument/2006/relationships/hyperlink" Target="http://www.unesco.org/culture/ich/en/USL/saman-dance-00509" TargetMode="External"/><Relationship Id="rId26" Type="http://schemas.openxmlformats.org/officeDocument/2006/relationships/hyperlink" Target="http://www.unesco.org/culture/ich/en/USL/folk-long-song-performance-technique-of-limbe-performances-circular-breathing-00543" TargetMode="External"/><Relationship Id="rId39" Type="http://schemas.openxmlformats.org/officeDocument/2006/relationships/hyperlink" Target="http://www.unesco.org/culture/ich/doc/download.php?versionID=39357" TargetMode="External"/><Relationship Id="rId3" Type="http://schemas.openxmlformats.org/officeDocument/2006/relationships/styles" Target="styles.xml"/><Relationship Id="rId21" Type="http://schemas.openxmlformats.org/officeDocument/2006/relationships/hyperlink" Target="http://www.unesco.org/culture/ich/en/periodic-reporting-usl-00858" TargetMode="External"/><Relationship Id="rId34" Type="http://schemas.openxmlformats.org/officeDocument/2006/relationships/hyperlink" Target="http://www.unesco.org/culture/ich/en/d&#233;cisions/6.COM/8.10?dec=decisions&amp;ref_decision=6.COM" TargetMode="External"/><Relationship Id="rId42" Type="http://schemas.openxmlformats.org/officeDocument/2006/relationships/hyperlink" Target="http://www.unesco.org/culture/ich/en/d&#233;cisions/6.COM/8.21?dec=decisions&amp;ref_decision=6.CO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esco.org/culture/ich/index.php?lg=en&amp;pg=00011&amp;USL=00305" TargetMode="External"/><Relationship Id="rId17" Type="http://schemas.openxmlformats.org/officeDocument/2006/relationships/hyperlink" Target="http://www.unesco.org/culture/ich/en/USL/yaokwa-the-enawene-nawe-people-s-ritual-for-the-maintenance-of-social-and-cosmic-order-00521" TargetMode="External"/><Relationship Id="rId25" Type="http://schemas.openxmlformats.org/officeDocument/2006/relationships/hyperlink" Target="http://www.unesco.org/culture/ich/en/USL/secret-society-of-the-koredugaw-the-rite-of-wisdom-in-mali-00520" TargetMode="External"/><Relationship Id="rId33" Type="http://schemas.openxmlformats.org/officeDocument/2006/relationships/hyperlink" Target="http://www.unesco.org/culture/ich/doc/download.php?versionID=39362" TargetMode="External"/><Relationship Id="rId38" Type="http://schemas.openxmlformats.org/officeDocument/2006/relationships/hyperlink" Target="http://www.unesco.org/culture/ich/en/Decisions/6.COM/8.12"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esco.org/culture/ich/en/USL/hezhen-yimakan-storytelling-00530" TargetMode="External"/><Relationship Id="rId20" Type="http://schemas.openxmlformats.org/officeDocument/2006/relationships/hyperlink" Target="http://www.unesco.org/culture/ich/en/USL/eshuva-harakmbut-sung-prayers-of-perus-huachipaire-people-00531" TargetMode="External"/><Relationship Id="rId29" Type="http://schemas.openxmlformats.org/officeDocument/2006/relationships/hyperlink" Target="#Drafts_decisions"/><Relationship Id="rId41" Type="http://schemas.openxmlformats.org/officeDocument/2006/relationships/hyperlink" Target="http://www.unesco.org/culture/ich/doc/download.php?versionID=393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index.php?lg=en&amp;pg=00011&amp;USL=00303" TargetMode="External"/><Relationship Id="rId24" Type="http://schemas.openxmlformats.org/officeDocument/2006/relationships/hyperlink" Target="http://www.unesco.org/culture/ich/en/USL/naqqali-iranian-dramatic-story-telling-00535" TargetMode="External"/><Relationship Id="rId32" Type="http://schemas.openxmlformats.org/officeDocument/2006/relationships/hyperlink" Target="http://www.unesco.org/culture/ich/fr/D&#233;cisions/4.COM/14.05" TargetMode="External"/><Relationship Id="rId37" Type="http://schemas.openxmlformats.org/officeDocument/2006/relationships/hyperlink" Target="http://www.unesco.org/culture/ich/doc/download.php?versionID=39366" TargetMode="External"/><Relationship Id="rId40" Type="http://schemas.openxmlformats.org/officeDocument/2006/relationships/hyperlink" Target="http://www.unesco.org/culture/ich/en/d&#233;cisions/6.COM/8.15?dec=decisions&amp;ref_decision=6.COM"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nesco.org/culture/ich/index.php?lg=en&amp;pg=00011&amp;USL=00322" TargetMode="External"/><Relationship Id="rId23" Type="http://schemas.openxmlformats.org/officeDocument/2006/relationships/hyperlink" Target="http://www.unesco.org/culture/ich/en/USL/traditional-skills-of-building-and-sailing-iranian-lenj-boats-in-the-persian-gulf-00534" TargetMode="External"/><Relationship Id="rId28" Type="http://schemas.openxmlformats.org/officeDocument/2006/relationships/hyperlink" Target="http://www.unesco.org/culture/ich/doc/download.php?versionID=40885" TargetMode="External"/><Relationship Id="rId36" Type="http://schemas.openxmlformats.org/officeDocument/2006/relationships/hyperlink" Target="http://www.unesco.org/culture/ich/en/Decisions/6.COM/8.9" TargetMode="External"/><Relationship Id="rId10" Type="http://schemas.openxmlformats.org/officeDocument/2006/relationships/hyperlink" Target="http://www.unesco.org/culture/ich/index.php?lg=en&amp;pg=00011&amp;USL=00302" TargetMode="External"/><Relationship Id="rId19" Type="http://schemas.openxmlformats.org/officeDocument/2006/relationships/hyperlink" Target="http://www.unesco.org/culture/ich/en/USL/moorish-epic-theydinn-00524" TargetMode="External"/><Relationship Id="rId31" Type="http://schemas.openxmlformats.org/officeDocument/2006/relationships/image" Target="media/image1.pn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nesco.org/culture/ich/en/Decisions/10.COM/19" TargetMode="External"/><Relationship Id="rId14" Type="http://schemas.openxmlformats.org/officeDocument/2006/relationships/hyperlink" Target="http://www.unesco.org/culture/ich/index.php?lg=en&amp;pg=00011&amp;USL=00321" TargetMode="External"/><Relationship Id="rId22" Type="http://schemas.openxmlformats.org/officeDocument/2006/relationships/hyperlink" Target="http://www.unesco.org/culture/ich/index.php?lg=en&amp;pg=00011&amp;USL=00315" TargetMode="External"/><Relationship Id="rId27" Type="http://schemas.openxmlformats.org/officeDocument/2006/relationships/hyperlink" Target="http://www.unesco.org/culture/ich/en/USL/al-sadu-traditional-weaving-skills-in-the-united-arab-emirates-00517" TargetMode="External"/><Relationship Id="rId30" Type="http://schemas.openxmlformats.org/officeDocument/2006/relationships/hyperlink" Target="http://www.unesco.org/culture/ich/index.php?lg=en&amp;pg=00407#top" TargetMode="External"/><Relationship Id="rId35" Type="http://schemas.openxmlformats.org/officeDocument/2006/relationships/hyperlink" Target="http://www.unesco.org/culture/ich/doc/download.php?versionID=40872" TargetMode="External"/><Relationship Id="rId43"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2014A-6184-4379-9853-F256C0A6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184</TotalTime>
  <Pages>16</Pages>
  <Words>7948</Words>
  <Characters>43718</Characters>
  <Application>Microsoft Office Word</Application>
  <DocSecurity>0</DocSecurity>
  <Lines>364</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Constantinou, Elena</cp:lastModifiedBy>
  <cp:revision>19</cp:revision>
  <cp:lastPrinted>2016-08-28T02:35:00Z</cp:lastPrinted>
  <dcterms:created xsi:type="dcterms:W3CDTF">2016-09-14T13:36:00Z</dcterms:created>
  <dcterms:modified xsi:type="dcterms:W3CDTF">2016-10-31T09:36:00Z</dcterms:modified>
</cp:coreProperties>
</file>