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E2006" w14:textId="77777777" w:rsidR="00FF0DAE" w:rsidRPr="00A75061" w:rsidRDefault="000811A4" w:rsidP="00E66B37">
      <w:pPr>
        <w:spacing w:before="1440"/>
        <w:jc w:val="center"/>
        <w:rPr>
          <w:rFonts w:ascii="Arial" w:hAnsi="Arial" w:cs="Arial"/>
          <w:b/>
          <w:sz w:val="22"/>
          <w:szCs w:val="22"/>
        </w:rPr>
      </w:pPr>
      <w:r w:rsidRPr="00A75061">
        <w:rPr>
          <w:rFonts w:ascii="Arial" w:hAnsi="Arial" w:cs="Arial"/>
          <w:b/>
          <w:sz w:val="22"/>
          <w:szCs w:val="22"/>
        </w:rPr>
        <w:t>C</w:t>
      </w:r>
      <w:r w:rsidR="00FF0DAE" w:rsidRPr="00A75061">
        <w:rPr>
          <w:rFonts w:ascii="Arial" w:hAnsi="Arial" w:cs="Arial"/>
          <w:b/>
          <w:sz w:val="22"/>
          <w:szCs w:val="22"/>
        </w:rPr>
        <w:t>ONVENTION POUR LA SAUVEGARDE DU</w:t>
      </w:r>
    </w:p>
    <w:p w14:paraId="4EAF41AC" w14:textId="77777777" w:rsidR="000811A4" w:rsidRPr="00A75061" w:rsidRDefault="000811A4" w:rsidP="00FF0DAE">
      <w:pPr>
        <w:jc w:val="center"/>
        <w:rPr>
          <w:rFonts w:ascii="Arial" w:hAnsi="Arial" w:cs="Arial"/>
          <w:b/>
          <w:sz w:val="22"/>
          <w:szCs w:val="22"/>
        </w:rPr>
      </w:pPr>
      <w:r w:rsidRPr="00A75061">
        <w:rPr>
          <w:rFonts w:ascii="Arial" w:hAnsi="Arial" w:cs="Arial"/>
          <w:b/>
          <w:sz w:val="22"/>
          <w:szCs w:val="22"/>
        </w:rPr>
        <w:t>PATRIMOINE CULTUREL IMMATÉRIEL</w:t>
      </w:r>
    </w:p>
    <w:p w14:paraId="347745DE" w14:textId="34523D53" w:rsidR="000811A4" w:rsidRPr="00A75061" w:rsidRDefault="00E66B37" w:rsidP="000811A4">
      <w:pPr>
        <w:spacing w:before="1200"/>
        <w:jc w:val="center"/>
        <w:rPr>
          <w:rFonts w:ascii="Arial" w:hAnsi="Arial" w:cs="Arial"/>
          <w:b/>
          <w:sz w:val="22"/>
          <w:szCs w:val="22"/>
        </w:rPr>
      </w:pPr>
      <w:r w:rsidRPr="00A75061">
        <w:rPr>
          <w:rFonts w:ascii="Arial" w:hAnsi="Arial"/>
          <w:b/>
          <w:sz w:val="22"/>
        </w:rPr>
        <w:t>COMITÉ INTERGOUVERNEMENTAL DE</w:t>
      </w:r>
      <w:r w:rsidR="000811A4" w:rsidRPr="00A75061">
        <w:rPr>
          <w:rFonts w:ascii="Arial" w:hAnsi="Arial" w:cs="Arial"/>
          <w:b/>
          <w:sz w:val="22"/>
          <w:szCs w:val="22"/>
        </w:rPr>
        <w:br/>
      </w:r>
      <w:r w:rsidR="000811A4" w:rsidRPr="00A75061">
        <w:rPr>
          <w:rFonts w:ascii="Arial" w:hAnsi="Arial"/>
          <w:b/>
          <w:sz w:val="22"/>
        </w:rPr>
        <w:t>SAUVEGARDE DU PATRIMOINE CULTUREL IMMATÉRIEL</w:t>
      </w:r>
    </w:p>
    <w:p w14:paraId="5EC01C14" w14:textId="77777777" w:rsidR="000811A4" w:rsidRPr="00A75061" w:rsidRDefault="000811A4" w:rsidP="000811A4">
      <w:pPr>
        <w:spacing w:before="840"/>
        <w:jc w:val="center"/>
        <w:rPr>
          <w:rFonts w:ascii="Arial" w:hAnsi="Arial" w:cs="Arial"/>
          <w:b/>
          <w:sz w:val="22"/>
          <w:szCs w:val="22"/>
        </w:rPr>
      </w:pPr>
      <w:r w:rsidRPr="00A75061">
        <w:rPr>
          <w:rFonts w:ascii="Arial" w:hAnsi="Arial"/>
          <w:b/>
          <w:sz w:val="22"/>
        </w:rPr>
        <w:t>Onzième session</w:t>
      </w:r>
    </w:p>
    <w:p w14:paraId="0B022195" w14:textId="77777777" w:rsidR="000811A4" w:rsidRPr="00A75061" w:rsidRDefault="000811A4" w:rsidP="000811A4">
      <w:pPr>
        <w:jc w:val="center"/>
        <w:rPr>
          <w:rFonts w:ascii="Arial" w:hAnsi="Arial" w:cs="Arial"/>
          <w:b/>
          <w:sz w:val="22"/>
          <w:szCs w:val="22"/>
        </w:rPr>
      </w:pPr>
      <w:r w:rsidRPr="00A75061">
        <w:rPr>
          <w:rFonts w:ascii="Arial" w:hAnsi="Arial"/>
          <w:b/>
          <w:sz w:val="22"/>
        </w:rPr>
        <w:t>Addis-Abeba, Éthiopie</w:t>
      </w:r>
    </w:p>
    <w:p w14:paraId="6BCEFD56" w14:textId="77777777" w:rsidR="000811A4" w:rsidRPr="00A75061" w:rsidRDefault="000811A4" w:rsidP="000811A4">
      <w:pPr>
        <w:jc w:val="center"/>
        <w:rPr>
          <w:rFonts w:ascii="Arial" w:hAnsi="Arial" w:cs="Arial"/>
          <w:b/>
          <w:sz w:val="22"/>
          <w:szCs w:val="22"/>
        </w:rPr>
      </w:pPr>
      <w:r w:rsidRPr="00A75061">
        <w:rPr>
          <w:rFonts w:ascii="Arial" w:hAnsi="Arial"/>
          <w:b/>
          <w:sz w:val="22"/>
        </w:rPr>
        <w:t>28 novembre – 2 décembre 2016</w:t>
      </w:r>
    </w:p>
    <w:p w14:paraId="7ED9AC86" w14:textId="3B975B57" w:rsidR="00EC6F8D" w:rsidRPr="00A75061" w:rsidRDefault="00EC6F8D" w:rsidP="00EC6F8D">
      <w:pPr>
        <w:pStyle w:val="Sansinterligne2"/>
        <w:spacing w:before="1200"/>
        <w:jc w:val="center"/>
        <w:rPr>
          <w:rFonts w:ascii="Arial" w:hAnsi="Arial" w:cs="Arial"/>
          <w:b/>
          <w:sz w:val="22"/>
          <w:szCs w:val="22"/>
        </w:rPr>
      </w:pPr>
      <w:r w:rsidRPr="00A75061">
        <w:rPr>
          <w:rFonts w:ascii="Arial" w:hAnsi="Arial"/>
          <w:b/>
          <w:sz w:val="22"/>
          <w:u w:val="single"/>
        </w:rPr>
        <w:t>Point 6 de l</w:t>
      </w:r>
      <w:r w:rsidR="00A73D6D" w:rsidRPr="00A75061">
        <w:rPr>
          <w:rFonts w:ascii="Arial" w:hAnsi="Arial"/>
          <w:b/>
          <w:sz w:val="22"/>
          <w:u w:val="single"/>
        </w:rPr>
        <w:t>’</w:t>
      </w:r>
      <w:r w:rsidRPr="00A75061">
        <w:rPr>
          <w:rFonts w:ascii="Arial" w:hAnsi="Arial"/>
          <w:b/>
          <w:sz w:val="22"/>
          <w:u w:val="single"/>
        </w:rPr>
        <w:t>ordre du jour provisoire</w:t>
      </w:r>
      <w:r w:rsidRPr="00A75061">
        <w:rPr>
          <w:rFonts w:ascii="Arial" w:hAnsi="Arial"/>
          <w:b/>
          <w:sz w:val="22"/>
        </w:rPr>
        <w:t> :</w:t>
      </w:r>
    </w:p>
    <w:p w14:paraId="7FBC7A40" w14:textId="77777777" w:rsidR="00EC6F8D" w:rsidRPr="00A75061" w:rsidRDefault="00027D32" w:rsidP="00EC6F8D">
      <w:pPr>
        <w:pStyle w:val="Sansinterligne2"/>
        <w:spacing w:after="1200"/>
        <w:jc w:val="center"/>
        <w:rPr>
          <w:rFonts w:ascii="Arial" w:hAnsi="Arial" w:cs="Arial"/>
          <w:b/>
          <w:sz w:val="22"/>
          <w:szCs w:val="22"/>
        </w:rPr>
      </w:pPr>
      <w:r w:rsidRPr="00A75061">
        <w:rPr>
          <w:rFonts w:ascii="Arial" w:hAnsi="Arial"/>
          <w:b/>
          <w:sz w:val="22"/>
        </w:rPr>
        <w:t>Contributions volontaires supplémentaires au Fonds du patrimoine culturel immatériel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A75061" w14:paraId="24A90DBC" w14:textId="77777777" w:rsidTr="00EC6F8D">
        <w:trPr>
          <w:jc w:val="center"/>
        </w:trPr>
        <w:tc>
          <w:tcPr>
            <w:tcW w:w="5670" w:type="dxa"/>
            <w:vAlign w:val="center"/>
          </w:tcPr>
          <w:p w14:paraId="7CAAE6E7" w14:textId="77777777" w:rsidR="00EC6F8D" w:rsidRPr="00A75061" w:rsidRDefault="00EC6F8D" w:rsidP="00CA56BB">
            <w:pPr>
              <w:pStyle w:val="Sansinterligne1"/>
              <w:spacing w:before="200" w:after="200"/>
              <w:jc w:val="center"/>
              <w:rPr>
                <w:rFonts w:ascii="Arial" w:hAnsi="Arial" w:cs="Arial"/>
                <w:b/>
                <w:sz w:val="22"/>
                <w:szCs w:val="22"/>
              </w:rPr>
            </w:pPr>
            <w:r w:rsidRPr="00A75061">
              <w:rPr>
                <w:rFonts w:ascii="Arial" w:hAnsi="Arial"/>
                <w:b/>
                <w:sz w:val="22"/>
              </w:rPr>
              <w:t>Résumé</w:t>
            </w:r>
          </w:p>
          <w:p w14:paraId="43691D49" w14:textId="28C7E96C" w:rsidR="00A53500" w:rsidRPr="00A75061" w:rsidRDefault="00027D32" w:rsidP="00A53500">
            <w:pPr>
              <w:pStyle w:val="Sansinterligne1"/>
              <w:jc w:val="both"/>
              <w:rPr>
                <w:rFonts w:ascii="Arial" w:hAnsi="Arial" w:cs="Arial"/>
                <w:sz w:val="22"/>
                <w:szCs w:val="22"/>
              </w:rPr>
            </w:pPr>
            <w:r w:rsidRPr="00A75061">
              <w:rPr>
                <w:rFonts w:ascii="Arial" w:hAnsi="Arial"/>
                <w:sz w:val="22"/>
              </w:rPr>
              <w:t>Conformément à l</w:t>
            </w:r>
            <w:r w:rsidR="00A73D6D" w:rsidRPr="00A75061">
              <w:rPr>
                <w:rFonts w:ascii="Arial" w:hAnsi="Arial"/>
                <w:sz w:val="22"/>
              </w:rPr>
              <w:t>’</w:t>
            </w:r>
            <w:r w:rsidRPr="00A75061">
              <w:rPr>
                <w:rFonts w:ascii="Arial" w:hAnsi="Arial"/>
                <w:sz w:val="22"/>
              </w:rPr>
              <w:t xml:space="preserve">article 25.5 de la Convention, le Comité peut accepter des contributions au Fonds fournies à des fins spécifiques se rapportant à des projets spécifiques, pourvu que ces projets aient été approuvés par le Comité. Le présent document rend compte de ces contributions depuis la dixième session du Comité et présente une offre du gouvernement de la République de Corée de soutenir le projet provisoirement intitulé « Amélioration du mécanisme de soumission des rapports périodiques de la Convention </w:t>
            </w:r>
            <w:r w:rsidR="004D0E81" w:rsidRPr="00A75061">
              <w:rPr>
                <w:rFonts w:ascii="Arial" w:hAnsi="Arial"/>
                <w:sz w:val="22"/>
              </w:rPr>
              <w:t xml:space="preserve">de 2003 </w:t>
            </w:r>
            <w:r w:rsidRPr="00A75061">
              <w:rPr>
                <w:rFonts w:ascii="Arial" w:hAnsi="Arial"/>
                <w:sz w:val="22"/>
              </w:rPr>
              <w:t>pour la sauvegarde du pa</w:t>
            </w:r>
            <w:r w:rsidR="00E66B37" w:rsidRPr="00A75061">
              <w:rPr>
                <w:rFonts w:ascii="Arial" w:hAnsi="Arial"/>
                <w:sz w:val="22"/>
              </w:rPr>
              <w:t>trimoine culturel immatériel ».</w:t>
            </w:r>
          </w:p>
          <w:p w14:paraId="32954C9E" w14:textId="77777777" w:rsidR="00EC6F8D" w:rsidRPr="00A75061" w:rsidRDefault="00EC6F8D" w:rsidP="00BB5C94">
            <w:pPr>
              <w:pStyle w:val="Sansinterligne2"/>
              <w:spacing w:before="200" w:after="200"/>
              <w:jc w:val="both"/>
              <w:rPr>
                <w:rFonts w:ascii="Arial" w:hAnsi="Arial" w:cs="Arial"/>
                <w:b/>
                <w:sz w:val="22"/>
                <w:szCs w:val="22"/>
              </w:rPr>
            </w:pPr>
            <w:r w:rsidRPr="00A75061">
              <w:rPr>
                <w:rFonts w:ascii="Arial" w:hAnsi="Arial"/>
                <w:b/>
                <w:sz w:val="22"/>
              </w:rPr>
              <w:t xml:space="preserve">Décision requise : </w:t>
            </w:r>
            <w:r w:rsidRPr="00A75061">
              <w:rPr>
                <w:rFonts w:ascii="Arial" w:hAnsi="Arial"/>
                <w:sz w:val="22"/>
              </w:rPr>
              <w:t>paragraphe 13</w:t>
            </w:r>
          </w:p>
        </w:tc>
      </w:tr>
    </w:tbl>
    <w:p w14:paraId="0480B1F4" w14:textId="6E7DA156" w:rsidR="00027D32" w:rsidRPr="00A75061" w:rsidRDefault="00655736" w:rsidP="00027D32">
      <w:pPr>
        <w:pStyle w:val="Paragraph"/>
        <w:tabs>
          <w:tab w:val="clear" w:pos="360"/>
          <w:tab w:val="num" w:pos="567"/>
        </w:tabs>
        <w:spacing w:after="120"/>
        <w:ind w:left="567" w:hanging="567"/>
        <w:rPr>
          <w:lang w:val="fr-FR"/>
        </w:rPr>
      </w:pPr>
      <w:r w:rsidRPr="00A75061">
        <w:rPr>
          <w:lang w:val="fr-FR"/>
        </w:rPr>
        <w:br w:type="page"/>
      </w:r>
      <w:r w:rsidRPr="00A75061">
        <w:rPr>
          <w:lang w:val="fr-FR"/>
        </w:rPr>
        <w:lastRenderedPageBreak/>
        <w:t xml:space="preserve">Le Chapitre VI de la Convention consacré au Fonds du patrimoine culturel immatériel </w:t>
      </w:r>
      <w:r w:rsidR="003D3974" w:rsidRPr="00A75061">
        <w:rPr>
          <w:lang w:val="fr-FR"/>
        </w:rPr>
        <w:t xml:space="preserve">indique </w:t>
      </w:r>
      <w:r w:rsidRPr="00A75061">
        <w:rPr>
          <w:lang w:val="fr-FR"/>
        </w:rPr>
        <w:t>que les États parties peuvent souhaiter verser des contributions volontaires supplémentaires (article 27) en sus de leurs contributions réglementaires prévues à l</w:t>
      </w:r>
      <w:r w:rsidR="00A73D6D" w:rsidRPr="00A75061">
        <w:rPr>
          <w:lang w:val="fr-FR"/>
        </w:rPr>
        <w:t>’</w:t>
      </w:r>
      <w:r w:rsidRPr="00A75061">
        <w:rPr>
          <w:lang w:val="fr-FR"/>
        </w:rPr>
        <w:t xml:space="preserve">article 26. </w:t>
      </w:r>
      <w:r w:rsidRPr="00A75061">
        <w:rPr>
          <w:rStyle w:val="hps"/>
          <w:lang w:val="fr-FR"/>
        </w:rPr>
        <w:t>L</w:t>
      </w:r>
      <w:r w:rsidR="00A73D6D" w:rsidRPr="00A75061">
        <w:rPr>
          <w:rStyle w:val="hps"/>
          <w:lang w:val="fr-FR"/>
        </w:rPr>
        <w:t>’</w:t>
      </w:r>
      <w:r w:rsidRPr="00A75061">
        <w:rPr>
          <w:rStyle w:val="hps"/>
          <w:lang w:val="fr-FR"/>
        </w:rPr>
        <w:t>article 25.5 prévoit également la possibilité que</w:t>
      </w:r>
      <w:r w:rsidRPr="00A75061">
        <w:rPr>
          <w:lang w:val="fr-FR"/>
        </w:rPr>
        <w:t xml:space="preserve"> ces </w:t>
      </w:r>
      <w:r w:rsidRPr="00A75061">
        <w:rPr>
          <w:rStyle w:val="hps"/>
          <w:lang w:val="fr-FR"/>
        </w:rPr>
        <w:t>contributions soient effectuées en faveur de projets spécifiques</w:t>
      </w:r>
      <w:r w:rsidRPr="00A75061">
        <w:rPr>
          <w:lang w:val="fr-FR"/>
        </w:rPr>
        <w:t xml:space="preserve">, « pourvu que ces projets </w:t>
      </w:r>
      <w:r w:rsidR="00423B01" w:rsidRPr="00A75061">
        <w:rPr>
          <w:lang w:val="fr-FR"/>
        </w:rPr>
        <w:t>soient</w:t>
      </w:r>
      <w:r w:rsidRPr="00A75061">
        <w:rPr>
          <w:lang w:val="fr-FR"/>
        </w:rPr>
        <w:t xml:space="preserve"> approuvés par le Comité ».</w:t>
      </w:r>
    </w:p>
    <w:p w14:paraId="58378A26" w14:textId="4FEF33BD" w:rsidR="00D800E3" w:rsidRPr="00A75061" w:rsidRDefault="00DE5E54" w:rsidP="00D800E3">
      <w:pPr>
        <w:pStyle w:val="Paragraph"/>
        <w:tabs>
          <w:tab w:val="clear" w:pos="360"/>
          <w:tab w:val="num" w:pos="567"/>
        </w:tabs>
        <w:spacing w:after="120"/>
        <w:ind w:left="567" w:hanging="567"/>
        <w:rPr>
          <w:lang w:val="fr-FR"/>
        </w:rPr>
      </w:pPr>
      <w:r w:rsidRPr="00A75061">
        <w:rPr>
          <w:lang w:val="fr-FR"/>
        </w:rPr>
        <w:t>Lors</w:t>
      </w:r>
      <w:r w:rsidR="00453DAC" w:rsidRPr="00A75061">
        <w:rPr>
          <w:lang w:val="fr-FR"/>
        </w:rPr>
        <w:t xml:space="preserve"> de sa neuvième session, le Comité a approuvé la Note conceptuelle pour le Programme additionnel complémentaire 2014-2017 intitulé « Renforcement des capacités de sauvegarde du patrimoine culturel immatériel pour le développement durable » (</w:t>
      </w:r>
      <w:hyperlink r:id="rId9">
        <w:r w:rsidR="00453DAC" w:rsidRPr="00A75061">
          <w:rPr>
            <w:rStyle w:val="Hyperlink"/>
            <w:lang w:val="fr-FR"/>
          </w:rPr>
          <w:t>décision 9.COM 7</w:t>
        </w:r>
      </w:hyperlink>
      <w:r w:rsidR="00453DAC" w:rsidRPr="00A75061">
        <w:rPr>
          <w:lang w:val="fr-FR"/>
        </w:rPr>
        <w:t>) élaborée par le Secrétariat pour élargir la portée et l</w:t>
      </w:r>
      <w:r w:rsidR="00A73D6D" w:rsidRPr="00A75061">
        <w:rPr>
          <w:lang w:val="fr-FR"/>
        </w:rPr>
        <w:t>’</w:t>
      </w:r>
      <w:r w:rsidR="00453DAC" w:rsidRPr="00A75061">
        <w:rPr>
          <w:lang w:val="fr-FR"/>
        </w:rPr>
        <w:t>efficacité de cette stratégie globale de renforcement des capacités et informer les donateurs des besoins de financement de ce programme. En effet, afin que le Comité – en tant qu</w:t>
      </w:r>
      <w:r w:rsidR="00A73D6D" w:rsidRPr="00A75061">
        <w:rPr>
          <w:lang w:val="fr-FR"/>
        </w:rPr>
        <w:t>’</w:t>
      </w:r>
      <w:r w:rsidR="00453DAC" w:rsidRPr="00A75061">
        <w:rPr>
          <w:lang w:val="fr-FR"/>
        </w:rPr>
        <w:t>organe directeur de la Convention décidant de l</w:t>
      </w:r>
      <w:r w:rsidR="00A73D6D" w:rsidRPr="00A75061">
        <w:rPr>
          <w:lang w:val="fr-FR"/>
        </w:rPr>
        <w:t>’</w:t>
      </w:r>
      <w:r w:rsidR="00453DAC" w:rsidRPr="00A75061">
        <w:rPr>
          <w:lang w:val="fr-FR"/>
        </w:rPr>
        <w:t>utilisation des ressources du Fonds du patrimoine culturel immatériel – et la Conférence générale des États membres – en tant qu</w:t>
      </w:r>
      <w:r w:rsidR="00A73D6D" w:rsidRPr="00A75061">
        <w:rPr>
          <w:lang w:val="fr-FR"/>
        </w:rPr>
        <w:t>’</w:t>
      </w:r>
      <w:r w:rsidR="00453DAC" w:rsidRPr="00A75061">
        <w:rPr>
          <w:lang w:val="fr-FR"/>
        </w:rPr>
        <w:t>organe directeur de l</w:t>
      </w:r>
      <w:r w:rsidR="00A73D6D" w:rsidRPr="00A75061">
        <w:rPr>
          <w:lang w:val="fr-FR"/>
        </w:rPr>
        <w:t>’</w:t>
      </w:r>
      <w:r w:rsidR="00453DAC" w:rsidRPr="00A75061">
        <w:rPr>
          <w:lang w:val="fr-FR"/>
        </w:rPr>
        <w:t>UNESCO définissant les politiques et les principaux axes de travail de l</w:t>
      </w:r>
      <w:r w:rsidR="00A73D6D" w:rsidRPr="00A75061">
        <w:rPr>
          <w:lang w:val="fr-FR"/>
        </w:rPr>
        <w:t>’</w:t>
      </w:r>
      <w:r w:rsidR="00453DAC" w:rsidRPr="00A75061">
        <w:rPr>
          <w:lang w:val="fr-FR"/>
        </w:rPr>
        <w:t xml:space="preserve">Organisation – partagent la même </w:t>
      </w:r>
      <w:r w:rsidR="00453DAC" w:rsidRPr="00A75061">
        <w:rPr>
          <w:rStyle w:val="hps"/>
          <w:lang w:val="fr-FR"/>
        </w:rPr>
        <w:t>vision</w:t>
      </w:r>
      <w:r w:rsidR="00453DAC" w:rsidRPr="00A75061">
        <w:rPr>
          <w:lang w:val="fr-FR"/>
        </w:rPr>
        <w:t xml:space="preserve"> des priorités de l</w:t>
      </w:r>
      <w:r w:rsidR="00A73D6D" w:rsidRPr="00A75061">
        <w:rPr>
          <w:lang w:val="fr-FR"/>
        </w:rPr>
        <w:t>’</w:t>
      </w:r>
      <w:r w:rsidR="00453DAC" w:rsidRPr="00A75061">
        <w:rPr>
          <w:lang w:val="fr-FR"/>
        </w:rPr>
        <w:t>action de l</w:t>
      </w:r>
      <w:r w:rsidR="00A73D6D" w:rsidRPr="00A75061">
        <w:rPr>
          <w:lang w:val="fr-FR"/>
        </w:rPr>
        <w:t>’</w:t>
      </w:r>
      <w:r w:rsidR="00453DAC" w:rsidRPr="00A75061">
        <w:rPr>
          <w:lang w:val="fr-FR"/>
        </w:rPr>
        <w:t>UNESCO dans le domaine du patrimoine culturel immatériel, le Comité a jugé opportun d</w:t>
      </w:r>
      <w:r w:rsidR="00A73D6D" w:rsidRPr="00A75061">
        <w:rPr>
          <w:lang w:val="fr-FR"/>
        </w:rPr>
        <w:t>’</w:t>
      </w:r>
      <w:r w:rsidR="00453DAC" w:rsidRPr="00A75061">
        <w:rPr>
          <w:lang w:val="fr-FR"/>
        </w:rPr>
        <w:t>approuver le cadre programmatique décrit dans le Programme additionnel complémentaire dès lors qu</w:t>
      </w:r>
      <w:r w:rsidR="00A73D6D" w:rsidRPr="00A75061">
        <w:rPr>
          <w:lang w:val="fr-FR"/>
        </w:rPr>
        <w:t>’</w:t>
      </w:r>
      <w:r w:rsidR="00453DAC" w:rsidRPr="00A75061">
        <w:rPr>
          <w:lang w:val="fr-FR"/>
        </w:rPr>
        <w:t xml:space="preserve">il est parfaitement en phase avec le Programme ordinaire. Par extension et dans cette même décision, le Comité a accepté toute contribution volontaire supplémentaire future qui pourrait être versée </w:t>
      </w:r>
      <w:r w:rsidR="00453DAC" w:rsidRPr="00A75061">
        <w:rPr>
          <w:rStyle w:val="hps"/>
          <w:lang w:val="fr-FR"/>
        </w:rPr>
        <w:t>entre deux sessions du Comité</w:t>
      </w:r>
      <w:r w:rsidR="00453DAC" w:rsidRPr="00A75061">
        <w:rPr>
          <w:lang w:val="fr-FR"/>
        </w:rPr>
        <w:t xml:space="preserve"> pour soutenir des activités de renforcement de capacités entrant dans ce cadre programmatique ; il a en outre autorisé le Secrétariat à en faire un usage immédiat et lui a demandé de lui faire rapport sur l</w:t>
      </w:r>
      <w:r w:rsidR="00A73D6D" w:rsidRPr="00A75061">
        <w:rPr>
          <w:lang w:val="fr-FR"/>
        </w:rPr>
        <w:t>’</w:t>
      </w:r>
      <w:r w:rsidR="00453DAC" w:rsidRPr="00A75061">
        <w:rPr>
          <w:lang w:val="fr-FR"/>
        </w:rPr>
        <w:t>avancement de la mise en œuvre de toute contribution volontaire supplémentaire reçue depuis sa dernière session.</w:t>
      </w:r>
    </w:p>
    <w:p w14:paraId="65BBA998" w14:textId="379D6C0D" w:rsidR="00547F41" w:rsidRPr="00A75061" w:rsidRDefault="00547F41" w:rsidP="00C75E87">
      <w:pPr>
        <w:pStyle w:val="Paragraph"/>
        <w:tabs>
          <w:tab w:val="clear" w:pos="360"/>
          <w:tab w:val="num" w:pos="567"/>
        </w:tabs>
        <w:spacing w:after="120"/>
        <w:ind w:left="567" w:hanging="567"/>
        <w:rPr>
          <w:lang w:val="fr-FR"/>
        </w:rPr>
      </w:pPr>
      <w:r w:rsidRPr="00A75061">
        <w:rPr>
          <w:lang w:val="fr-FR"/>
        </w:rPr>
        <w:t xml:space="preserve">Depuis sa dernière session, le Fonds du patrimoine culturel immatériel a reçu </w:t>
      </w:r>
      <w:r w:rsidR="008D6586" w:rsidRPr="00A75061">
        <w:rPr>
          <w:lang w:val="fr-FR"/>
        </w:rPr>
        <w:t>deux</w:t>
      </w:r>
      <w:r w:rsidRPr="00A75061">
        <w:rPr>
          <w:lang w:val="fr-FR"/>
        </w:rPr>
        <w:t xml:space="preserve"> contribution</w:t>
      </w:r>
      <w:r w:rsidR="008D6586" w:rsidRPr="00A75061">
        <w:rPr>
          <w:lang w:val="fr-FR"/>
        </w:rPr>
        <w:t>s</w:t>
      </w:r>
      <w:r w:rsidRPr="00A75061">
        <w:rPr>
          <w:lang w:val="fr-FR"/>
        </w:rPr>
        <w:t xml:space="preserve"> au titre du cadre programmatique prévu dans le Programme additionnel complémentaire. Comme l</w:t>
      </w:r>
      <w:r w:rsidR="00A73D6D" w:rsidRPr="00A75061">
        <w:rPr>
          <w:lang w:val="fr-FR"/>
        </w:rPr>
        <w:t>’</w:t>
      </w:r>
      <w:r w:rsidRPr="00A75061">
        <w:rPr>
          <w:lang w:val="fr-FR"/>
        </w:rPr>
        <w:t>a noté le Comité lors de sa dixième session (</w:t>
      </w:r>
      <w:hyperlink r:id="rId10">
        <w:r w:rsidRPr="00A75061">
          <w:rPr>
            <w:rStyle w:val="Hyperlink"/>
            <w:lang w:val="fr-FR"/>
          </w:rPr>
          <w:t>décision 10.COM 9</w:t>
        </w:r>
      </w:hyperlink>
      <w:r w:rsidRPr="00A75061">
        <w:rPr>
          <w:lang w:val="fr-FR"/>
        </w:rPr>
        <w:t xml:space="preserve">), le </w:t>
      </w:r>
      <w:r w:rsidR="001260F3" w:rsidRPr="00A75061">
        <w:rPr>
          <w:lang w:val="fr-FR"/>
        </w:rPr>
        <w:t>g</w:t>
      </w:r>
      <w:r w:rsidR="000926E9" w:rsidRPr="00A75061">
        <w:rPr>
          <w:lang w:val="fr-FR"/>
        </w:rPr>
        <w:t xml:space="preserve">ouvernement </w:t>
      </w:r>
      <w:r w:rsidRPr="00A75061">
        <w:rPr>
          <w:lang w:val="fr-FR"/>
        </w:rPr>
        <w:t>de Catalogne (Espagne) a versé 131 868 dollars des États-Unis en soutien d</w:t>
      </w:r>
      <w:r w:rsidR="00A73D6D" w:rsidRPr="00A75061">
        <w:rPr>
          <w:lang w:val="fr-FR"/>
        </w:rPr>
        <w:t>’</w:t>
      </w:r>
      <w:r w:rsidRPr="00A75061">
        <w:rPr>
          <w:lang w:val="fr-FR"/>
        </w:rPr>
        <w:t xml:space="preserve">un programme </w:t>
      </w:r>
      <w:r w:rsidR="00A3133B" w:rsidRPr="00A75061">
        <w:rPr>
          <w:lang w:val="fr-FR"/>
        </w:rPr>
        <w:t xml:space="preserve">pluriannuel </w:t>
      </w:r>
      <w:r w:rsidRPr="00A75061">
        <w:rPr>
          <w:lang w:val="fr-FR"/>
        </w:rPr>
        <w:t>de renforcement des capacités en Maur</w:t>
      </w:r>
      <w:r w:rsidR="00E66B37" w:rsidRPr="00A75061">
        <w:rPr>
          <w:lang w:val="fr-FR"/>
        </w:rPr>
        <w:t>itanie, au Maroc et en Tunisie.</w:t>
      </w:r>
    </w:p>
    <w:p w14:paraId="6B662B98" w14:textId="2F8C2DA0" w:rsidR="00A53500" w:rsidRPr="00A75061" w:rsidRDefault="00A53500" w:rsidP="00C75E87">
      <w:pPr>
        <w:pStyle w:val="Paragraph"/>
        <w:tabs>
          <w:tab w:val="clear" w:pos="360"/>
          <w:tab w:val="num" w:pos="567"/>
        </w:tabs>
        <w:spacing w:after="120"/>
        <w:ind w:left="567" w:hanging="567"/>
        <w:rPr>
          <w:lang w:val="fr-FR"/>
        </w:rPr>
      </w:pPr>
      <w:r w:rsidRPr="00A75061">
        <w:rPr>
          <w:lang w:val="fr-FR"/>
        </w:rPr>
        <w:t xml:space="preserve">Une contribution volontaire supplémentaire </w:t>
      </w:r>
      <w:r w:rsidR="008D6586" w:rsidRPr="00A75061">
        <w:rPr>
          <w:lang w:val="fr-FR"/>
        </w:rPr>
        <w:t>de 100</w:t>
      </w:r>
      <w:r w:rsidR="001260F3" w:rsidRPr="00A75061">
        <w:rPr>
          <w:lang w:val="fr-FR"/>
        </w:rPr>
        <w:t> </w:t>
      </w:r>
      <w:r w:rsidR="008D6586" w:rsidRPr="00A75061">
        <w:rPr>
          <w:lang w:val="fr-FR"/>
        </w:rPr>
        <w:t xml:space="preserve">000 € </w:t>
      </w:r>
      <w:r w:rsidRPr="00A75061">
        <w:rPr>
          <w:lang w:val="fr-FR"/>
        </w:rPr>
        <w:t xml:space="preserve">en faveur de ce programme </w:t>
      </w:r>
      <w:r w:rsidR="008D6586" w:rsidRPr="00A75061">
        <w:rPr>
          <w:lang w:val="fr-FR"/>
        </w:rPr>
        <w:t>a été versée au Fonds pour le patrimoine culturel immatériel par le</w:t>
      </w:r>
      <w:r w:rsidRPr="00A75061">
        <w:rPr>
          <w:lang w:val="fr-FR"/>
        </w:rPr>
        <w:t xml:space="preserve"> gouvernement des Pays-Bas le </w:t>
      </w:r>
      <w:r w:rsidR="001260F3" w:rsidRPr="00A75061">
        <w:rPr>
          <w:lang w:val="fr-FR"/>
        </w:rPr>
        <w:t>28 </w:t>
      </w:r>
      <w:r w:rsidR="00BE41FB" w:rsidRPr="00A75061">
        <w:rPr>
          <w:lang w:val="fr-FR"/>
        </w:rPr>
        <w:t>octobre</w:t>
      </w:r>
      <w:r w:rsidR="001260F3" w:rsidRPr="00A75061">
        <w:rPr>
          <w:lang w:val="fr-FR"/>
        </w:rPr>
        <w:t> </w:t>
      </w:r>
      <w:r w:rsidR="00BE41FB" w:rsidRPr="00A75061">
        <w:rPr>
          <w:lang w:val="fr-FR"/>
        </w:rPr>
        <w:t>2016</w:t>
      </w:r>
      <w:r w:rsidRPr="00A75061">
        <w:rPr>
          <w:lang w:val="fr-FR"/>
        </w:rPr>
        <w:t xml:space="preserve">. </w:t>
      </w:r>
      <w:r w:rsidR="00AD034A" w:rsidRPr="00A75061">
        <w:rPr>
          <w:lang w:val="fr-FR"/>
        </w:rPr>
        <w:t xml:space="preserve">Elle </w:t>
      </w:r>
      <w:r w:rsidRPr="00A75061">
        <w:rPr>
          <w:lang w:val="fr-FR"/>
        </w:rPr>
        <w:t>sera utilisée pour mettre à profit les résultats du programme de renforcement des capacités qui est arrivé à son terme en septembre 2016 au Suriname et dans les îles néerlandaises des Caraïbes</w:t>
      </w:r>
      <w:r w:rsidR="004D0E81" w:rsidRPr="00A75061">
        <w:rPr>
          <w:lang w:val="fr-FR"/>
        </w:rPr>
        <w:t xml:space="preserve"> </w:t>
      </w:r>
      <w:r w:rsidR="00AD034A" w:rsidRPr="00A75061">
        <w:rPr>
          <w:lang w:val="fr-FR"/>
        </w:rPr>
        <w:t xml:space="preserve">et </w:t>
      </w:r>
      <w:r w:rsidR="001260F3" w:rsidRPr="00A75061">
        <w:rPr>
          <w:lang w:val="fr-FR"/>
        </w:rPr>
        <w:t>viendra</w:t>
      </w:r>
      <w:r w:rsidRPr="00A75061">
        <w:rPr>
          <w:lang w:val="fr-FR"/>
        </w:rPr>
        <w:t xml:space="preserve"> </w:t>
      </w:r>
      <w:r w:rsidRPr="00A75061">
        <w:rPr>
          <w:rStyle w:val="hps"/>
          <w:lang w:val="fr-FR"/>
        </w:rPr>
        <w:t>compléter les efforts importants que les bénéficiaires concernés ont faits ces dernières années pour s</w:t>
      </w:r>
      <w:r w:rsidR="00A73D6D" w:rsidRPr="00A75061">
        <w:rPr>
          <w:rStyle w:val="hps"/>
          <w:lang w:val="fr-FR"/>
        </w:rPr>
        <w:t>’</w:t>
      </w:r>
      <w:r w:rsidRPr="00A75061">
        <w:rPr>
          <w:rStyle w:val="hps"/>
          <w:lang w:val="fr-FR"/>
        </w:rPr>
        <w:t xml:space="preserve">approprier </w:t>
      </w:r>
      <w:r w:rsidR="001260F3" w:rsidRPr="00A75061">
        <w:rPr>
          <w:rStyle w:val="hps"/>
          <w:lang w:val="fr-FR"/>
        </w:rPr>
        <w:t xml:space="preserve">pleinement de </w:t>
      </w:r>
      <w:r w:rsidRPr="00A75061">
        <w:rPr>
          <w:rStyle w:val="hps"/>
          <w:lang w:val="fr-FR"/>
        </w:rPr>
        <w:t>la Convention en tant qu</w:t>
      </w:r>
      <w:r w:rsidR="00A73D6D" w:rsidRPr="00A75061">
        <w:rPr>
          <w:rStyle w:val="hps"/>
          <w:lang w:val="fr-FR"/>
        </w:rPr>
        <w:t>’</w:t>
      </w:r>
      <w:r w:rsidRPr="00A75061">
        <w:rPr>
          <w:rStyle w:val="hps"/>
          <w:lang w:val="fr-FR"/>
        </w:rPr>
        <w:t>outil opérationnel pour la sauvegarde du patrimoine culturel immatériel présent sur leur</w:t>
      </w:r>
      <w:r w:rsidR="001260F3" w:rsidRPr="00A75061">
        <w:rPr>
          <w:rStyle w:val="hps"/>
          <w:lang w:val="fr-FR"/>
        </w:rPr>
        <w:t>s</w:t>
      </w:r>
      <w:r w:rsidRPr="00A75061">
        <w:rPr>
          <w:rStyle w:val="hps"/>
          <w:lang w:val="fr-FR"/>
        </w:rPr>
        <w:t xml:space="preserve"> territoire</w:t>
      </w:r>
      <w:r w:rsidR="001260F3" w:rsidRPr="00A75061">
        <w:rPr>
          <w:rStyle w:val="hps"/>
          <w:lang w:val="fr-FR"/>
        </w:rPr>
        <w:t>s</w:t>
      </w:r>
      <w:r w:rsidRPr="00A75061">
        <w:rPr>
          <w:rStyle w:val="hps"/>
          <w:lang w:val="fr-FR"/>
        </w:rPr>
        <w:t>. Cette deuxième phase devrait permettre de tester le cadre et la méthode d</w:t>
      </w:r>
      <w:r w:rsidR="00A73D6D" w:rsidRPr="00A75061">
        <w:rPr>
          <w:rStyle w:val="hps"/>
          <w:lang w:val="fr-FR"/>
        </w:rPr>
        <w:t>’</w:t>
      </w:r>
      <w:r w:rsidRPr="00A75061">
        <w:rPr>
          <w:rStyle w:val="hps"/>
          <w:lang w:val="fr-FR"/>
        </w:rPr>
        <w:t xml:space="preserve">inventaire </w:t>
      </w:r>
      <w:r w:rsidR="00AD034A" w:rsidRPr="00A75061">
        <w:rPr>
          <w:rStyle w:val="hps"/>
          <w:lang w:val="fr-FR"/>
        </w:rPr>
        <w:t>du patrimoine culturel immatériel développé</w:t>
      </w:r>
      <w:r w:rsidR="001260F3" w:rsidRPr="00A75061">
        <w:rPr>
          <w:rStyle w:val="hps"/>
          <w:lang w:val="fr-FR"/>
        </w:rPr>
        <w:t>s</w:t>
      </w:r>
      <w:r w:rsidRPr="00A75061">
        <w:rPr>
          <w:rStyle w:val="hps"/>
          <w:lang w:val="fr-FR"/>
        </w:rPr>
        <w:t xml:space="preserve"> pendant la première phase avec des activités </w:t>
      </w:r>
      <w:r w:rsidR="001260F3" w:rsidRPr="00A75061">
        <w:rPr>
          <w:rStyle w:val="hps"/>
          <w:lang w:val="fr-FR"/>
        </w:rPr>
        <w:t xml:space="preserve">pilotes </w:t>
      </w:r>
      <w:r w:rsidRPr="00A75061">
        <w:rPr>
          <w:rStyle w:val="hps"/>
          <w:lang w:val="fr-FR"/>
        </w:rPr>
        <w:t>d</w:t>
      </w:r>
      <w:r w:rsidR="00A73D6D" w:rsidRPr="00A75061">
        <w:rPr>
          <w:rStyle w:val="hps"/>
          <w:lang w:val="fr-FR"/>
        </w:rPr>
        <w:t>’</w:t>
      </w:r>
      <w:r w:rsidRPr="00A75061">
        <w:rPr>
          <w:rStyle w:val="hps"/>
          <w:lang w:val="fr-FR"/>
        </w:rPr>
        <w:t>inventaires sur chaque territoire.</w:t>
      </w:r>
    </w:p>
    <w:p w14:paraId="49A35E54" w14:textId="2FBF1177" w:rsidR="002F520C" w:rsidRPr="00A75061" w:rsidRDefault="002F520C" w:rsidP="00C75E87">
      <w:pPr>
        <w:pStyle w:val="Paragraph"/>
        <w:tabs>
          <w:tab w:val="clear" w:pos="360"/>
          <w:tab w:val="num" w:pos="567"/>
        </w:tabs>
        <w:spacing w:after="120"/>
        <w:ind w:left="567" w:hanging="567"/>
        <w:rPr>
          <w:lang w:val="fr-FR"/>
        </w:rPr>
      </w:pPr>
      <w:r w:rsidRPr="00A75061">
        <w:rPr>
          <w:lang w:val="fr-FR"/>
        </w:rPr>
        <w:t xml:space="preserve">Le Département du patrimoine culturel de la République de Corée a également exprimé son souhait de soutenir la Convention </w:t>
      </w:r>
      <w:r w:rsidRPr="00A75061">
        <w:rPr>
          <w:rStyle w:val="hps"/>
          <w:lang w:val="fr-FR"/>
        </w:rPr>
        <w:t>en contribuant au Fonds du patrimoine culturel immatériel</w:t>
      </w:r>
      <w:r w:rsidRPr="00A75061">
        <w:rPr>
          <w:lang w:val="fr-FR"/>
        </w:rPr>
        <w:t xml:space="preserve">. Le faible taux de soumission de rapports sur les mesures législatives et réglementaires, entre autres, prises pour la mise en œuvre de la Convention (ci-après « rapports périodiques ») préoccupe toujours les États parties et les organes directeurs de la </w:t>
      </w:r>
      <w:r w:rsidRPr="00A75061">
        <w:rPr>
          <w:rStyle w:val="hps"/>
          <w:lang w:val="fr-FR"/>
        </w:rPr>
        <w:t>Convention</w:t>
      </w:r>
      <w:r w:rsidRPr="00A75061">
        <w:rPr>
          <w:lang w:val="fr-FR"/>
        </w:rPr>
        <w:t>. La vue d</w:t>
      </w:r>
      <w:r w:rsidR="00A73D6D" w:rsidRPr="00A75061">
        <w:rPr>
          <w:lang w:val="fr-FR"/>
        </w:rPr>
        <w:t>’</w:t>
      </w:r>
      <w:r w:rsidRPr="00A75061">
        <w:rPr>
          <w:lang w:val="fr-FR"/>
        </w:rPr>
        <w:t xml:space="preserve">ensemble des rapports périodiques proposée dans le document </w:t>
      </w:r>
      <w:hyperlink r:id="rId11" w:history="1">
        <w:r w:rsidRPr="00A75061">
          <w:rPr>
            <w:rStyle w:val="Hyperlink"/>
            <w:lang w:val="fr-FR"/>
          </w:rPr>
          <w:t>ITH/16/11.COM/9.a</w:t>
        </w:r>
      </w:hyperlink>
      <w:r w:rsidRPr="00A75061">
        <w:rPr>
          <w:lang w:val="fr-FR"/>
        </w:rPr>
        <w:t xml:space="preserve"> </w:t>
      </w:r>
      <w:proofErr w:type="spellStart"/>
      <w:r w:rsidRPr="00A75061">
        <w:rPr>
          <w:lang w:val="fr-FR"/>
        </w:rPr>
        <w:t>confirme</w:t>
      </w:r>
      <w:proofErr w:type="spellEnd"/>
      <w:r w:rsidRPr="00A75061">
        <w:rPr>
          <w:lang w:val="fr-FR"/>
        </w:rPr>
        <w:t xml:space="preserve"> cette tendance. Pendant la sixième session de l</w:t>
      </w:r>
      <w:r w:rsidR="00A73D6D" w:rsidRPr="00A75061">
        <w:rPr>
          <w:lang w:val="fr-FR"/>
        </w:rPr>
        <w:t>’</w:t>
      </w:r>
      <w:r w:rsidRPr="00A75061">
        <w:rPr>
          <w:lang w:val="fr-FR"/>
        </w:rPr>
        <w:t>Assemblée générale de juin 2016, de nombreux États ont regretté le nombre élevé d</w:t>
      </w:r>
      <w:r w:rsidR="00A73D6D" w:rsidRPr="00A75061">
        <w:rPr>
          <w:lang w:val="fr-FR"/>
        </w:rPr>
        <w:t>’</w:t>
      </w:r>
      <w:r w:rsidRPr="00A75061">
        <w:rPr>
          <w:lang w:val="fr-FR"/>
        </w:rPr>
        <w:t xml:space="preserve">États parties dont les rapports étaient en </w:t>
      </w:r>
      <w:r w:rsidR="007B0F31" w:rsidRPr="00A75061">
        <w:rPr>
          <w:lang w:val="fr-FR"/>
        </w:rPr>
        <w:t>retard</w:t>
      </w:r>
      <w:r w:rsidRPr="00A75061">
        <w:rPr>
          <w:lang w:val="fr-FR"/>
        </w:rPr>
        <w:t>, tout en reconnaissant les difficultés rencontrées par certains d</w:t>
      </w:r>
      <w:r w:rsidR="00A73D6D" w:rsidRPr="00A75061">
        <w:rPr>
          <w:lang w:val="fr-FR"/>
        </w:rPr>
        <w:t>’</w:t>
      </w:r>
      <w:r w:rsidRPr="00A75061">
        <w:rPr>
          <w:lang w:val="fr-FR"/>
        </w:rPr>
        <w:t xml:space="preserve">entre eux </w:t>
      </w:r>
      <w:r w:rsidR="007B0F31" w:rsidRPr="00A75061">
        <w:rPr>
          <w:lang w:val="fr-FR"/>
        </w:rPr>
        <w:t xml:space="preserve">pour remplir </w:t>
      </w:r>
      <w:r w:rsidRPr="00A75061">
        <w:rPr>
          <w:lang w:val="fr-FR"/>
        </w:rPr>
        <w:t xml:space="preserve">cette obligation statutaire. La République de Corée, en particulier, a partagé cette préoccupation et a rappelé, à cette occasion, que </w:t>
      </w:r>
      <w:r w:rsidR="007B0F31" w:rsidRPr="00A75061">
        <w:rPr>
          <w:lang w:val="fr-FR"/>
        </w:rPr>
        <w:t>c</w:t>
      </w:r>
      <w:r w:rsidR="00A73D6D" w:rsidRPr="00A75061">
        <w:rPr>
          <w:lang w:val="fr-FR"/>
        </w:rPr>
        <w:t>’</w:t>
      </w:r>
      <w:r w:rsidR="007B0F31" w:rsidRPr="00A75061">
        <w:rPr>
          <w:lang w:val="fr-FR"/>
        </w:rPr>
        <w:t xml:space="preserve">est </w:t>
      </w:r>
      <w:r w:rsidRPr="00A75061">
        <w:rPr>
          <w:lang w:val="fr-FR"/>
        </w:rPr>
        <w:t xml:space="preserve">le suivi global de </w:t>
      </w:r>
      <w:r w:rsidR="007B0F31" w:rsidRPr="00A75061">
        <w:rPr>
          <w:lang w:val="fr-FR"/>
        </w:rPr>
        <w:t xml:space="preserve">la </w:t>
      </w:r>
      <w:r w:rsidRPr="00A75061">
        <w:rPr>
          <w:lang w:val="fr-FR"/>
        </w:rPr>
        <w:t xml:space="preserve">Convention </w:t>
      </w:r>
      <w:r w:rsidR="007B0F31" w:rsidRPr="00A75061">
        <w:rPr>
          <w:lang w:val="fr-FR"/>
        </w:rPr>
        <w:t xml:space="preserve">qui </w:t>
      </w:r>
      <w:r w:rsidRPr="00A75061">
        <w:rPr>
          <w:lang w:val="fr-FR"/>
        </w:rPr>
        <w:t>souffre de ce dysfonctionnement. En outre, la République de Corée a exprimé sa volonté d</w:t>
      </w:r>
      <w:r w:rsidR="00A73D6D" w:rsidRPr="00A75061">
        <w:rPr>
          <w:lang w:val="fr-FR"/>
        </w:rPr>
        <w:t>’</w:t>
      </w:r>
      <w:r w:rsidRPr="00A75061">
        <w:rPr>
          <w:lang w:val="fr-FR"/>
        </w:rPr>
        <w:t>apporter son soutien financier pour contribuer à établir des mécanismes susceptibles d</w:t>
      </w:r>
      <w:r w:rsidR="00A73D6D" w:rsidRPr="00A75061">
        <w:rPr>
          <w:lang w:val="fr-FR"/>
        </w:rPr>
        <w:t>’</w:t>
      </w:r>
      <w:r w:rsidRPr="00A75061">
        <w:rPr>
          <w:lang w:val="fr-FR"/>
        </w:rPr>
        <w:t>encourager la soumission de rapports périodiques. Par conséquent, le Comité est invité, au cours de la présente session, à approuver l</w:t>
      </w:r>
      <w:r w:rsidR="00A73D6D" w:rsidRPr="00A75061">
        <w:rPr>
          <w:lang w:val="fr-FR"/>
        </w:rPr>
        <w:t>’</w:t>
      </w:r>
      <w:r w:rsidRPr="00A75061">
        <w:rPr>
          <w:lang w:val="fr-FR"/>
        </w:rPr>
        <w:t xml:space="preserve">offre de la </w:t>
      </w:r>
      <w:r w:rsidRPr="00A75061">
        <w:rPr>
          <w:lang w:val="fr-FR"/>
        </w:rPr>
        <w:lastRenderedPageBreak/>
        <w:t>République de Corée, comme indiqué dans la lettre du Département du patrimoine culturel présentée dans l</w:t>
      </w:r>
      <w:r w:rsidR="00A73D6D" w:rsidRPr="00A75061">
        <w:rPr>
          <w:lang w:val="fr-FR"/>
        </w:rPr>
        <w:t>’</w:t>
      </w:r>
      <w:r w:rsidR="005B1925" w:rsidRPr="00A75061">
        <w:rPr>
          <w:lang w:val="fr-FR"/>
        </w:rPr>
        <w:t>a</w:t>
      </w:r>
      <w:r w:rsidRPr="00A75061">
        <w:rPr>
          <w:lang w:val="fr-FR"/>
        </w:rPr>
        <w:t>nnexe I du présent document, de soutenir et d</w:t>
      </w:r>
      <w:r w:rsidR="00A73D6D" w:rsidRPr="00A75061">
        <w:rPr>
          <w:lang w:val="fr-FR"/>
        </w:rPr>
        <w:t>’</w:t>
      </w:r>
      <w:r w:rsidRPr="00A75061">
        <w:rPr>
          <w:lang w:val="fr-FR"/>
        </w:rPr>
        <w:t>aider le Secrétariat à améliorer le mécanisme de soumission de rapports périodiques dans le cadre de la Convention.</w:t>
      </w:r>
    </w:p>
    <w:p w14:paraId="1B669CF3" w14:textId="500DE0DD" w:rsidR="00E60366" w:rsidRPr="00A75061" w:rsidRDefault="00027D32" w:rsidP="00762CD4">
      <w:pPr>
        <w:pStyle w:val="Paragraph"/>
        <w:keepLines/>
        <w:tabs>
          <w:tab w:val="clear" w:pos="360"/>
          <w:tab w:val="num" w:pos="567"/>
        </w:tabs>
        <w:spacing w:after="120"/>
        <w:ind w:left="567" w:hanging="567"/>
        <w:rPr>
          <w:lang w:val="fr-FR"/>
        </w:rPr>
      </w:pPr>
      <w:r w:rsidRPr="00A75061">
        <w:rPr>
          <w:lang w:val="fr-FR"/>
        </w:rPr>
        <w:t xml:space="preserve">Dans sa </w:t>
      </w:r>
      <w:hyperlink r:id="rId12">
        <w:r w:rsidRPr="00A75061">
          <w:rPr>
            <w:rStyle w:val="Hyperlink"/>
            <w:lang w:val="fr-FR"/>
          </w:rPr>
          <w:t>décision 7.COM 20.1</w:t>
        </w:r>
      </w:hyperlink>
      <w:r w:rsidRPr="00A75061">
        <w:rPr>
          <w:lang w:val="fr-FR"/>
        </w:rPr>
        <w:t>, le Comité a pris note du fait que les États recourent à différentes formes de soutien, financier et en nature, à la Convention de 2003 pour la sauvegarde du patrimoine culturel immatériel, et pas seulement aux contributions volontaires supplémentaires au Fonds du patrimoine culturel immatériel visées à l</w:t>
      </w:r>
      <w:r w:rsidR="00A73D6D" w:rsidRPr="00A75061">
        <w:rPr>
          <w:lang w:val="fr-FR"/>
        </w:rPr>
        <w:t>’</w:t>
      </w:r>
      <w:r w:rsidRPr="00A75061">
        <w:rPr>
          <w:lang w:val="fr-FR"/>
        </w:rPr>
        <w:t xml:space="preserve">article 25.5 de la Convention. Il a demandé au Secrétariat </w:t>
      </w:r>
      <w:r w:rsidR="001041C5" w:rsidRPr="00A75061">
        <w:rPr>
          <w:lang w:val="fr-FR"/>
        </w:rPr>
        <w:t>de faire rapport</w:t>
      </w:r>
      <w:r w:rsidRPr="00A75061">
        <w:rPr>
          <w:lang w:val="fr-FR"/>
        </w:rPr>
        <w:t xml:space="preserve"> à chaque session du Comité</w:t>
      </w:r>
      <w:r w:rsidR="001041C5" w:rsidRPr="00A75061">
        <w:rPr>
          <w:lang w:val="fr-FR"/>
        </w:rPr>
        <w:t xml:space="preserve"> sur</w:t>
      </w:r>
      <w:r w:rsidRPr="00A75061">
        <w:rPr>
          <w:lang w:val="fr-FR"/>
        </w:rPr>
        <w:t xml:space="preserve"> la réception de toutes formes de contributions depuis sa session précédente. Par conséquent, la liste des contributions en faveur de la Convention de 2003 depuis la dixième session du Comité figure en annexe II du présent document.</w:t>
      </w:r>
    </w:p>
    <w:p w14:paraId="1972DDD4" w14:textId="74C3E34C" w:rsidR="007E3CE3" w:rsidRPr="00A75061" w:rsidRDefault="00031E76" w:rsidP="00A75061">
      <w:pPr>
        <w:pStyle w:val="Paragraph"/>
        <w:tabs>
          <w:tab w:val="clear" w:pos="360"/>
          <w:tab w:val="num" w:pos="567"/>
        </w:tabs>
        <w:spacing w:after="120"/>
        <w:ind w:left="567" w:hanging="567"/>
        <w:rPr>
          <w:lang w:val="fr-FR"/>
        </w:rPr>
      </w:pPr>
      <w:r w:rsidRPr="00A75061">
        <w:rPr>
          <w:lang w:val="fr-FR"/>
        </w:rPr>
        <w:t xml:space="preserve">Dans la mesure où </w:t>
      </w:r>
      <w:r w:rsidR="005B1925" w:rsidRPr="00A75061">
        <w:rPr>
          <w:lang w:val="fr-FR"/>
        </w:rPr>
        <w:t>le soutien apporté à</w:t>
      </w:r>
      <w:r w:rsidRPr="00A75061">
        <w:rPr>
          <w:lang w:val="fr-FR"/>
        </w:rPr>
        <w:t xml:space="preserve"> la Convention bénéficie en majeure partie au programme global de renforcement de capacités et</w:t>
      </w:r>
      <w:r w:rsidR="008B3D1A" w:rsidRPr="00A75061">
        <w:rPr>
          <w:lang w:val="fr-FR"/>
        </w:rPr>
        <w:t xml:space="preserve"> </w:t>
      </w:r>
      <w:r w:rsidR="001041C5" w:rsidRPr="00A75061">
        <w:rPr>
          <w:lang w:val="fr-FR"/>
        </w:rPr>
        <w:t xml:space="preserve">dans une moindre mesure </w:t>
      </w:r>
      <w:r w:rsidRPr="00A75061">
        <w:rPr>
          <w:lang w:val="fr-FR"/>
        </w:rPr>
        <w:t>au renforcement des ressources humaines du Secrétariat, il semble approprié de montrer au Comité l</w:t>
      </w:r>
      <w:r w:rsidR="00A73D6D" w:rsidRPr="00A75061">
        <w:rPr>
          <w:lang w:val="fr-FR"/>
        </w:rPr>
        <w:t>’</w:t>
      </w:r>
      <w:r w:rsidRPr="00A75061">
        <w:rPr>
          <w:lang w:val="fr-FR"/>
        </w:rPr>
        <w:t xml:space="preserve">évolution de </w:t>
      </w:r>
      <w:r w:rsidR="005B1925" w:rsidRPr="00A75061">
        <w:rPr>
          <w:lang w:val="fr-FR"/>
        </w:rPr>
        <w:t>ce soutien</w:t>
      </w:r>
      <w:r w:rsidRPr="00A75061">
        <w:rPr>
          <w:lang w:val="fr-FR"/>
        </w:rPr>
        <w:t xml:space="preserve"> au cours des trois derniers exercices biennaux. La Figure 1 confirme la tendance générale, à savoir la baisse du montant des ressources mobilisées </w:t>
      </w:r>
      <w:r w:rsidR="005B1925" w:rsidRPr="00A75061">
        <w:rPr>
          <w:lang w:val="fr-FR"/>
        </w:rPr>
        <w:t xml:space="preserve">en faveur du </w:t>
      </w:r>
      <w:r w:rsidRPr="00A75061">
        <w:rPr>
          <w:lang w:val="fr-FR"/>
        </w:rPr>
        <w:t>programme de renforcement de capacités.</w:t>
      </w:r>
    </w:p>
    <w:p w14:paraId="737B2FB3" w14:textId="484AA4EE" w:rsidR="00A12880" w:rsidRPr="00A75061" w:rsidRDefault="007E3CE3" w:rsidP="00DF61FF">
      <w:pPr>
        <w:pStyle w:val="Paragraph"/>
        <w:numPr>
          <w:ilvl w:val="0"/>
          <w:numId w:val="0"/>
        </w:numPr>
        <w:tabs>
          <w:tab w:val="clear" w:pos="567"/>
        </w:tabs>
        <w:spacing w:after="120"/>
        <w:ind w:left="567"/>
        <w:rPr>
          <w:lang w:val="fr-FR"/>
        </w:rPr>
      </w:pPr>
      <w:r w:rsidRPr="00A75061">
        <w:rPr>
          <w:noProof/>
          <w:lang w:val="fr-FR" w:eastAsia="ko-KR"/>
        </w:rPr>
        <w:drawing>
          <wp:inline distT="0" distB="0" distL="0" distR="0" wp14:anchorId="53731773" wp14:editId="56807770">
            <wp:extent cx="5752214" cy="5231219"/>
            <wp:effectExtent l="0" t="0" r="127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E1D538" w14:textId="7167637F" w:rsidR="005E77D3" w:rsidRPr="00A75061" w:rsidRDefault="005E77D3" w:rsidP="000D0AE9">
      <w:pPr>
        <w:pStyle w:val="Caption"/>
        <w:ind w:left="567"/>
        <w:rPr>
          <w:rFonts w:ascii="Arial" w:hAnsi="Arial" w:cs="Arial"/>
          <w:i w:val="0"/>
          <w:color w:val="auto"/>
        </w:rPr>
      </w:pPr>
      <w:r w:rsidRPr="00A75061">
        <w:rPr>
          <w:rFonts w:ascii="Arial" w:hAnsi="Arial"/>
          <w:b/>
          <w:i w:val="0"/>
          <w:color w:val="auto"/>
        </w:rPr>
        <w:t>Figure</w:t>
      </w:r>
      <w:r w:rsidR="00070D4B" w:rsidRPr="00A75061">
        <w:rPr>
          <w:rFonts w:ascii="Arial" w:hAnsi="Arial" w:cs="Arial"/>
          <w:b/>
          <w:i w:val="0"/>
          <w:color w:val="auto"/>
        </w:rPr>
        <w:fldChar w:fldCharType="begin"/>
      </w:r>
      <w:r w:rsidRPr="00A75061">
        <w:rPr>
          <w:rFonts w:ascii="Arial" w:hAnsi="Arial" w:cs="Arial"/>
          <w:b/>
          <w:i w:val="0"/>
          <w:color w:val="auto"/>
        </w:rPr>
        <w:instrText xml:space="preserve"> SEQ Figure \* ARABIC </w:instrText>
      </w:r>
      <w:r w:rsidR="00070D4B" w:rsidRPr="00A75061">
        <w:rPr>
          <w:rFonts w:ascii="Arial" w:hAnsi="Arial" w:cs="Arial"/>
          <w:b/>
          <w:i w:val="0"/>
          <w:color w:val="auto"/>
        </w:rPr>
        <w:fldChar w:fldCharType="separate"/>
      </w:r>
      <w:r w:rsidR="00B2110E">
        <w:rPr>
          <w:rFonts w:ascii="Arial" w:hAnsi="Arial" w:cs="Arial"/>
          <w:b/>
          <w:i w:val="0"/>
          <w:noProof/>
          <w:color w:val="auto"/>
        </w:rPr>
        <w:t>1</w:t>
      </w:r>
      <w:r w:rsidR="00070D4B" w:rsidRPr="00A75061">
        <w:rPr>
          <w:rFonts w:ascii="Arial" w:hAnsi="Arial" w:cs="Arial"/>
          <w:b/>
          <w:i w:val="0"/>
          <w:color w:val="auto"/>
        </w:rPr>
        <w:fldChar w:fldCharType="end"/>
      </w:r>
      <w:r w:rsidRPr="00A75061">
        <w:rPr>
          <w:rFonts w:ascii="Arial" w:hAnsi="Arial"/>
          <w:b/>
          <w:i w:val="0"/>
          <w:color w:val="auto"/>
        </w:rPr>
        <w:t> </w:t>
      </w:r>
      <w:r w:rsidRPr="00A75061">
        <w:rPr>
          <w:rFonts w:ascii="Arial" w:hAnsi="Arial"/>
          <w:i w:val="0"/>
          <w:color w:val="auto"/>
        </w:rPr>
        <w:t xml:space="preserve">: Évolution </w:t>
      </w:r>
      <w:r w:rsidR="00DB7900" w:rsidRPr="00A75061">
        <w:rPr>
          <w:rFonts w:ascii="Arial" w:hAnsi="Arial"/>
          <w:i w:val="0"/>
          <w:color w:val="auto"/>
        </w:rPr>
        <w:t xml:space="preserve">des ressources mobilisées </w:t>
      </w:r>
      <w:r w:rsidR="005B1925" w:rsidRPr="00A75061">
        <w:rPr>
          <w:rFonts w:ascii="Arial" w:hAnsi="Arial"/>
          <w:i w:val="0"/>
          <w:color w:val="auto"/>
        </w:rPr>
        <w:t>en faveur</w:t>
      </w:r>
      <w:r w:rsidR="00063D5A" w:rsidRPr="00A75061">
        <w:rPr>
          <w:rFonts w:ascii="Arial" w:hAnsi="Arial"/>
          <w:i w:val="0"/>
          <w:color w:val="auto"/>
        </w:rPr>
        <w:t xml:space="preserve"> </w:t>
      </w:r>
      <w:r w:rsidR="00DB7900" w:rsidRPr="00A75061">
        <w:rPr>
          <w:rFonts w:ascii="Arial" w:hAnsi="Arial"/>
          <w:i w:val="0"/>
          <w:color w:val="auto"/>
        </w:rPr>
        <w:t>d</w:t>
      </w:r>
      <w:r w:rsidRPr="00A75061">
        <w:rPr>
          <w:rFonts w:ascii="Arial" w:hAnsi="Arial"/>
          <w:i w:val="0"/>
          <w:color w:val="auto"/>
        </w:rPr>
        <w:t>u programme global de renforcement de capacités</w:t>
      </w:r>
    </w:p>
    <w:p w14:paraId="41C0FB05" w14:textId="5C50621C" w:rsidR="009564E4" w:rsidRPr="00A75061" w:rsidRDefault="00E90A0B" w:rsidP="00A75061">
      <w:pPr>
        <w:pStyle w:val="Paragraph"/>
        <w:keepLines/>
        <w:tabs>
          <w:tab w:val="clear" w:pos="360"/>
          <w:tab w:val="num" w:pos="567"/>
        </w:tabs>
        <w:spacing w:after="120"/>
        <w:ind w:left="567" w:hanging="567"/>
        <w:rPr>
          <w:lang w:val="fr-FR"/>
        </w:rPr>
      </w:pPr>
      <w:r w:rsidRPr="00A75061">
        <w:rPr>
          <w:lang w:val="fr-FR"/>
        </w:rPr>
        <w:t>L</w:t>
      </w:r>
      <w:r w:rsidR="00A73D6D" w:rsidRPr="00A75061">
        <w:rPr>
          <w:lang w:val="fr-FR"/>
        </w:rPr>
        <w:t>’</w:t>
      </w:r>
      <w:r w:rsidRPr="00A75061">
        <w:rPr>
          <w:lang w:val="fr-FR"/>
        </w:rPr>
        <w:t xml:space="preserve">exercice biennal 35C/5 a connu le lancement du programme global de renforcement des capacités, qui a suscité </w:t>
      </w:r>
      <w:r w:rsidR="005B1925" w:rsidRPr="00A75061">
        <w:rPr>
          <w:lang w:val="fr-FR"/>
        </w:rPr>
        <w:t xml:space="preserve">un </w:t>
      </w:r>
      <w:r w:rsidRPr="00A75061">
        <w:rPr>
          <w:lang w:val="fr-FR"/>
        </w:rPr>
        <w:t xml:space="preserve">enthousiasme </w:t>
      </w:r>
      <w:r w:rsidR="005B1925" w:rsidRPr="00A75061">
        <w:rPr>
          <w:lang w:val="fr-FR"/>
        </w:rPr>
        <w:t xml:space="preserve">considérable de la part des </w:t>
      </w:r>
      <w:r w:rsidRPr="00A75061">
        <w:rPr>
          <w:lang w:val="fr-FR"/>
        </w:rPr>
        <w:t>donateurs. L</w:t>
      </w:r>
      <w:r w:rsidR="00A73D6D" w:rsidRPr="00A75061">
        <w:rPr>
          <w:lang w:val="fr-FR"/>
        </w:rPr>
        <w:t>’</w:t>
      </w:r>
      <w:r w:rsidRPr="00A75061">
        <w:rPr>
          <w:lang w:val="fr-FR"/>
        </w:rPr>
        <w:t>exercice biennal 36C/5 a été, quant à lui, marqué par la mise en œuvre des ressources mobilisées pendant l</w:t>
      </w:r>
      <w:r w:rsidR="00A73D6D" w:rsidRPr="00A75061">
        <w:rPr>
          <w:lang w:val="fr-FR"/>
        </w:rPr>
        <w:t>’</w:t>
      </w:r>
      <w:r w:rsidRPr="00A75061">
        <w:rPr>
          <w:lang w:val="fr-FR"/>
        </w:rPr>
        <w:t>exercice précédent</w:t>
      </w:r>
      <w:r w:rsidR="005B1925" w:rsidRPr="00A75061">
        <w:rPr>
          <w:lang w:val="fr-FR"/>
        </w:rPr>
        <w:t xml:space="preserve"> et a</w:t>
      </w:r>
      <w:r w:rsidRPr="00A75061">
        <w:rPr>
          <w:lang w:val="fr-FR"/>
        </w:rPr>
        <w:t xml:space="preserve"> suscité un intérêt </w:t>
      </w:r>
      <w:r w:rsidR="005B1925" w:rsidRPr="00A75061">
        <w:rPr>
          <w:lang w:val="fr-FR"/>
        </w:rPr>
        <w:t xml:space="preserve">comparable </w:t>
      </w:r>
      <w:r w:rsidRPr="00A75061">
        <w:rPr>
          <w:lang w:val="fr-FR"/>
        </w:rPr>
        <w:t xml:space="preserve">de la part des donateurs. </w:t>
      </w:r>
      <w:r w:rsidR="00852A9C" w:rsidRPr="00A75061">
        <w:rPr>
          <w:lang w:val="fr-FR"/>
        </w:rPr>
        <w:t>L</w:t>
      </w:r>
      <w:r w:rsidR="00A73D6D" w:rsidRPr="00A75061">
        <w:rPr>
          <w:lang w:val="fr-FR"/>
        </w:rPr>
        <w:t>’</w:t>
      </w:r>
      <w:r w:rsidRPr="00A75061">
        <w:rPr>
          <w:lang w:val="fr-FR"/>
        </w:rPr>
        <w:t xml:space="preserve">exercice biennal 37C/5 a connu un </w:t>
      </w:r>
      <w:r w:rsidR="00852A9C" w:rsidRPr="00A75061">
        <w:rPr>
          <w:lang w:val="fr-FR"/>
        </w:rPr>
        <w:t>renouvellement du financement</w:t>
      </w:r>
      <w:r w:rsidRPr="00A75061">
        <w:rPr>
          <w:lang w:val="fr-FR"/>
        </w:rPr>
        <w:t xml:space="preserve">, </w:t>
      </w:r>
      <w:r w:rsidR="00852A9C" w:rsidRPr="00A75061">
        <w:rPr>
          <w:lang w:val="fr-FR"/>
        </w:rPr>
        <w:t>coïncidant avec l</w:t>
      </w:r>
      <w:r w:rsidR="00A73D6D" w:rsidRPr="00A75061">
        <w:rPr>
          <w:lang w:val="fr-FR"/>
        </w:rPr>
        <w:t>’</w:t>
      </w:r>
      <w:r w:rsidR="00852A9C" w:rsidRPr="00A75061">
        <w:rPr>
          <w:lang w:val="fr-FR"/>
        </w:rPr>
        <w:t xml:space="preserve">approbation par le Comité de la note succincte pour le Programme additionnel complémentaire 2014-2017, et </w:t>
      </w:r>
      <w:r w:rsidR="005B1925" w:rsidRPr="00A75061">
        <w:rPr>
          <w:lang w:val="fr-FR"/>
        </w:rPr>
        <w:t>l</w:t>
      </w:r>
      <w:r w:rsidRPr="00A75061">
        <w:rPr>
          <w:lang w:val="fr-FR"/>
        </w:rPr>
        <w:t xml:space="preserve">es fonds ont atteint </w:t>
      </w:r>
      <w:r w:rsidR="005B1925" w:rsidRPr="00A75061">
        <w:rPr>
          <w:lang w:val="fr-FR"/>
        </w:rPr>
        <w:t xml:space="preserve">son </w:t>
      </w:r>
      <w:r w:rsidR="00852A9C" w:rsidRPr="00A75061">
        <w:rPr>
          <w:lang w:val="fr-FR"/>
        </w:rPr>
        <w:t>objectif à moyen-terme</w:t>
      </w:r>
      <w:r w:rsidRPr="00A75061">
        <w:rPr>
          <w:lang w:val="fr-FR"/>
        </w:rPr>
        <w:t xml:space="preserve">. </w:t>
      </w:r>
      <w:r w:rsidR="00852A9C" w:rsidRPr="00A75061">
        <w:rPr>
          <w:lang w:val="fr-FR"/>
        </w:rPr>
        <w:t xml:space="preserve">Toutefois, la situation du 38C/5 est alarmante, car au moment de la rédaction du présent document, les ressources mobilisées </w:t>
      </w:r>
      <w:r w:rsidR="00D53242" w:rsidRPr="00A75061">
        <w:rPr>
          <w:lang w:val="fr-FR"/>
        </w:rPr>
        <w:t>atteignent</w:t>
      </w:r>
      <w:r w:rsidR="00852A9C" w:rsidRPr="00A75061">
        <w:rPr>
          <w:lang w:val="fr-FR"/>
        </w:rPr>
        <w:t xml:space="preserve"> </w:t>
      </w:r>
      <w:r w:rsidR="00D53242" w:rsidRPr="00A75061">
        <w:rPr>
          <w:lang w:val="fr-FR"/>
        </w:rPr>
        <w:t xml:space="preserve">seulement </w:t>
      </w:r>
      <w:r w:rsidR="00852A9C" w:rsidRPr="00A75061">
        <w:rPr>
          <w:lang w:val="fr-FR"/>
        </w:rPr>
        <w:t>1</w:t>
      </w:r>
      <w:r w:rsidR="00D53242" w:rsidRPr="00A75061">
        <w:rPr>
          <w:lang w:val="fr-FR"/>
        </w:rPr>
        <w:t>2</w:t>
      </w:r>
      <w:r w:rsidR="00852A9C" w:rsidRPr="00A75061">
        <w:rPr>
          <w:lang w:val="fr-FR"/>
        </w:rPr>
        <w:t>% de l</w:t>
      </w:r>
      <w:r w:rsidR="00A73D6D" w:rsidRPr="00A75061">
        <w:rPr>
          <w:lang w:val="fr-FR"/>
        </w:rPr>
        <w:t>’</w:t>
      </w:r>
      <w:r w:rsidR="00852A9C" w:rsidRPr="00A75061">
        <w:rPr>
          <w:lang w:val="fr-FR"/>
        </w:rPr>
        <w:t>objectif à moyen terme, ce qui rend pratiquement impossible l</w:t>
      </w:r>
      <w:r w:rsidR="00A73D6D" w:rsidRPr="00A75061">
        <w:rPr>
          <w:lang w:val="fr-FR"/>
        </w:rPr>
        <w:t>’</w:t>
      </w:r>
      <w:r w:rsidR="00852A9C" w:rsidRPr="00A75061">
        <w:rPr>
          <w:lang w:val="fr-FR"/>
        </w:rPr>
        <w:t>atteinte de l</w:t>
      </w:r>
      <w:r w:rsidR="00A73D6D" w:rsidRPr="00A75061">
        <w:rPr>
          <w:lang w:val="fr-FR"/>
        </w:rPr>
        <w:t>’</w:t>
      </w:r>
      <w:r w:rsidR="00852A9C" w:rsidRPr="00A75061">
        <w:rPr>
          <w:lang w:val="fr-FR"/>
        </w:rPr>
        <w:t xml:space="preserve">objectif </w:t>
      </w:r>
      <w:r w:rsidRPr="00A75061">
        <w:rPr>
          <w:lang w:val="fr-FR"/>
        </w:rPr>
        <w:t>fixé pour la période quadriennale 2014-2017</w:t>
      </w:r>
      <w:r w:rsidRPr="00A75061">
        <w:rPr>
          <w:rStyle w:val="FootnoteReference"/>
          <w:lang w:val="fr-FR"/>
        </w:rPr>
        <w:footnoteReference w:id="1"/>
      </w:r>
      <w:r w:rsidRPr="00A75061">
        <w:rPr>
          <w:lang w:val="fr-FR"/>
        </w:rPr>
        <w:t>.</w:t>
      </w:r>
    </w:p>
    <w:p w14:paraId="49BBC655" w14:textId="17C098FF" w:rsidR="004E07A0" w:rsidRPr="00A75061" w:rsidRDefault="009D2276" w:rsidP="00424398">
      <w:pPr>
        <w:pStyle w:val="Paragraph"/>
        <w:tabs>
          <w:tab w:val="clear" w:pos="360"/>
          <w:tab w:val="num" w:pos="567"/>
        </w:tabs>
        <w:spacing w:after="120"/>
        <w:ind w:left="567" w:hanging="567"/>
        <w:rPr>
          <w:lang w:val="fr-FR"/>
        </w:rPr>
      </w:pPr>
      <w:r w:rsidRPr="00A75061">
        <w:rPr>
          <w:lang w:val="fr-FR"/>
        </w:rPr>
        <w:t xml:space="preserve">Conscients que la capacité du Secrétariat à </w:t>
      </w:r>
      <w:r w:rsidR="00656CD1" w:rsidRPr="00A75061">
        <w:rPr>
          <w:lang w:val="fr-FR"/>
        </w:rPr>
        <w:t xml:space="preserve">fournir </w:t>
      </w:r>
      <w:r w:rsidRPr="00A75061">
        <w:rPr>
          <w:lang w:val="fr-FR"/>
        </w:rPr>
        <w:t>des services de qualité aux États membres dépend en grande partie de ses ressources humaines, de nombreux et divers donateurs ont apporté leur soutien en ce sens en recourant à plusieurs modalités. Pourtant, le graphique ci-dessous met en évidence un</w:t>
      </w:r>
      <w:r w:rsidR="00656CD1" w:rsidRPr="00A75061">
        <w:rPr>
          <w:lang w:val="fr-FR"/>
        </w:rPr>
        <w:t>e diminution</w:t>
      </w:r>
      <w:r w:rsidRPr="00A75061">
        <w:rPr>
          <w:lang w:val="fr-FR"/>
        </w:rPr>
        <w:t xml:space="preserve"> </w:t>
      </w:r>
      <w:r w:rsidR="00656CD1" w:rsidRPr="00A75061">
        <w:rPr>
          <w:lang w:val="fr-FR"/>
        </w:rPr>
        <w:t>globale d</w:t>
      </w:r>
      <w:r w:rsidR="00A73D6D" w:rsidRPr="00A75061">
        <w:rPr>
          <w:lang w:val="fr-FR"/>
        </w:rPr>
        <w:t>’</w:t>
      </w:r>
      <w:r w:rsidR="00656CD1" w:rsidRPr="00A75061">
        <w:rPr>
          <w:lang w:val="fr-FR"/>
        </w:rPr>
        <w:t>un tel</w:t>
      </w:r>
      <w:r w:rsidRPr="00A75061">
        <w:rPr>
          <w:lang w:val="fr-FR"/>
        </w:rPr>
        <w:t xml:space="preserve"> soutien, </w:t>
      </w:r>
      <w:r w:rsidR="00656CD1" w:rsidRPr="00A75061">
        <w:rPr>
          <w:lang w:val="fr-FR"/>
        </w:rPr>
        <w:t>avec à nouveau une baisse alarmante au cours de l</w:t>
      </w:r>
      <w:r w:rsidR="00A73D6D" w:rsidRPr="00A75061">
        <w:rPr>
          <w:lang w:val="fr-FR"/>
        </w:rPr>
        <w:t>’</w:t>
      </w:r>
      <w:r w:rsidR="00656CD1" w:rsidRPr="00A75061">
        <w:rPr>
          <w:lang w:val="fr-FR"/>
        </w:rPr>
        <w:t xml:space="preserve">exercice biennal en cours. </w:t>
      </w:r>
      <w:r w:rsidRPr="00A75061">
        <w:rPr>
          <w:lang w:val="fr-FR"/>
        </w:rPr>
        <w:t xml:space="preserve">En </w:t>
      </w:r>
      <w:r w:rsidR="00656CD1" w:rsidRPr="00A75061">
        <w:rPr>
          <w:lang w:val="fr-FR"/>
        </w:rPr>
        <w:t xml:space="preserve">particulier, le </w:t>
      </w:r>
      <w:r w:rsidRPr="00A75061">
        <w:rPr>
          <w:lang w:val="fr-FR"/>
        </w:rPr>
        <w:t xml:space="preserve">soutien </w:t>
      </w:r>
      <w:r w:rsidR="00656CD1" w:rsidRPr="00A75061">
        <w:rPr>
          <w:lang w:val="fr-FR"/>
        </w:rPr>
        <w:t>au sous-fonds du Fonds du Patrimoine cul</w:t>
      </w:r>
      <w:r w:rsidR="00E66B37" w:rsidRPr="00A75061">
        <w:rPr>
          <w:lang w:val="fr-FR"/>
        </w:rPr>
        <w:t>tural immatériel pour renforcer</w:t>
      </w:r>
      <w:r w:rsidR="00656CD1" w:rsidRPr="00A75061">
        <w:rPr>
          <w:lang w:val="fr-FR"/>
        </w:rPr>
        <w:t xml:space="preserve"> les ressources humaines du Secrétariat </w:t>
      </w:r>
      <w:r w:rsidRPr="00A75061">
        <w:rPr>
          <w:lang w:val="fr-FR"/>
        </w:rPr>
        <w:t>est loin d</w:t>
      </w:r>
      <w:r w:rsidR="00A73D6D" w:rsidRPr="00A75061">
        <w:rPr>
          <w:lang w:val="fr-FR"/>
        </w:rPr>
        <w:t>’</w:t>
      </w:r>
      <w:r w:rsidRPr="00A75061">
        <w:rPr>
          <w:lang w:val="fr-FR"/>
        </w:rPr>
        <w:t>atteindre l</w:t>
      </w:r>
      <w:r w:rsidR="00A73D6D" w:rsidRPr="00A75061">
        <w:rPr>
          <w:lang w:val="fr-FR"/>
        </w:rPr>
        <w:t>’</w:t>
      </w:r>
      <w:r w:rsidRPr="00A75061">
        <w:rPr>
          <w:lang w:val="fr-FR"/>
        </w:rPr>
        <w:t>objectif annuel de 1,1 million de dollars des États-Unis établi par l</w:t>
      </w:r>
      <w:r w:rsidR="00A73D6D" w:rsidRPr="00A75061">
        <w:rPr>
          <w:lang w:val="fr-FR"/>
        </w:rPr>
        <w:t>’</w:t>
      </w:r>
      <w:r w:rsidRPr="00A75061">
        <w:rPr>
          <w:lang w:val="fr-FR"/>
        </w:rPr>
        <w:t>Assemblée générale (</w:t>
      </w:r>
      <w:hyperlink r:id="rId14">
        <w:r w:rsidRPr="00A75061">
          <w:rPr>
            <w:rStyle w:val="Hyperlink"/>
            <w:lang w:val="fr-FR"/>
          </w:rPr>
          <w:t>résolution 3.GA 9</w:t>
        </w:r>
      </w:hyperlink>
      <w:r w:rsidRPr="00A75061">
        <w:rPr>
          <w:lang w:val="fr-FR"/>
        </w:rPr>
        <w:t xml:space="preserve">). Plus précisément, il convient de noter que, depuis la dixième session du Comité, le sous-fonds a reçu des contributions volontaires </w:t>
      </w:r>
      <w:r w:rsidR="00D6606D" w:rsidRPr="00A75061">
        <w:rPr>
          <w:lang w:val="fr-FR"/>
        </w:rPr>
        <w:t>s</w:t>
      </w:r>
      <w:r w:rsidR="00A73D6D" w:rsidRPr="00A75061">
        <w:rPr>
          <w:lang w:val="fr-FR"/>
        </w:rPr>
        <w:t>’</w:t>
      </w:r>
      <w:r w:rsidR="00D6606D" w:rsidRPr="00A75061">
        <w:rPr>
          <w:lang w:val="fr-FR"/>
        </w:rPr>
        <w:t>élevant à</w:t>
      </w:r>
      <w:r w:rsidRPr="00A75061">
        <w:rPr>
          <w:lang w:val="fr-FR"/>
        </w:rPr>
        <w:t xml:space="preserve"> 114 522 dollars des États-Unis pour la période d</w:t>
      </w:r>
      <w:r w:rsidR="00A73D6D" w:rsidRPr="00A75061">
        <w:rPr>
          <w:lang w:val="fr-FR"/>
        </w:rPr>
        <w:t>’</w:t>
      </w:r>
      <w:r w:rsidRPr="00A75061">
        <w:rPr>
          <w:lang w:val="fr-FR"/>
        </w:rPr>
        <w:t xml:space="preserve">octobre 2015 à octobre 2016, </w:t>
      </w:r>
      <w:r w:rsidR="00D6606D" w:rsidRPr="00A75061">
        <w:rPr>
          <w:lang w:val="fr-FR"/>
        </w:rPr>
        <w:t xml:space="preserve">soit </w:t>
      </w:r>
      <w:r w:rsidRPr="00A75061">
        <w:rPr>
          <w:lang w:val="fr-FR"/>
        </w:rPr>
        <w:t xml:space="preserve">seulement un quart du montant </w:t>
      </w:r>
      <w:r w:rsidR="00D6606D" w:rsidRPr="00A75061">
        <w:rPr>
          <w:lang w:val="fr-FR"/>
        </w:rPr>
        <w:t xml:space="preserve">reçu </w:t>
      </w:r>
      <w:r w:rsidRPr="00A75061">
        <w:rPr>
          <w:lang w:val="fr-FR"/>
        </w:rPr>
        <w:t>au sous</w:t>
      </w:r>
      <w:r w:rsidRPr="00A75061">
        <w:rPr>
          <w:lang w:val="fr-FR"/>
        </w:rPr>
        <w:noBreakHyphen/>
        <w:t>fonds entre sa huitième et sa neuvième session.</w:t>
      </w:r>
    </w:p>
    <w:p w14:paraId="4FA4091A" w14:textId="0842F767" w:rsidR="00EC2A59" w:rsidRPr="00A75061" w:rsidRDefault="001910FF" w:rsidP="00A75061">
      <w:pPr>
        <w:pStyle w:val="Paragraph"/>
        <w:numPr>
          <w:ilvl w:val="0"/>
          <w:numId w:val="0"/>
        </w:numPr>
        <w:tabs>
          <w:tab w:val="clear" w:pos="567"/>
        </w:tabs>
        <w:spacing w:after="0"/>
        <w:ind w:left="567"/>
        <w:rPr>
          <w:lang w:val="fr-FR"/>
        </w:rPr>
      </w:pPr>
      <w:r w:rsidRPr="00A75061">
        <w:rPr>
          <w:noProof/>
          <w:lang w:val="fr-FR" w:eastAsia="ko-KR"/>
        </w:rPr>
        <w:drawing>
          <wp:inline distT="0" distB="0" distL="0" distR="0" wp14:anchorId="121773DA" wp14:editId="146AD7A7">
            <wp:extent cx="5305646" cy="4465674"/>
            <wp:effectExtent l="0" t="0" r="0" b="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FE19DD" w14:textId="6584B0D7" w:rsidR="00EC2A59" w:rsidRPr="00A75061" w:rsidRDefault="00EC2A59" w:rsidP="00A75061">
      <w:pPr>
        <w:pStyle w:val="Caption"/>
        <w:spacing w:before="60" w:after="0"/>
        <w:ind w:left="567"/>
        <w:rPr>
          <w:rFonts w:ascii="Arial" w:hAnsi="Arial" w:cs="Arial"/>
          <w:i w:val="0"/>
          <w:color w:val="auto"/>
        </w:rPr>
      </w:pPr>
      <w:r w:rsidRPr="00A75061">
        <w:rPr>
          <w:rFonts w:ascii="Arial" w:hAnsi="Arial"/>
          <w:b/>
          <w:i w:val="0"/>
          <w:color w:val="auto"/>
        </w:rPr>
        <w:t>Figure</w:t>
      </w:r>
      <w:r w:rsidR="00A75061">
        <w:rPr>
          <w:rFonts w:ascii="Arial" w:hAnsi="Arial"/>
          <w:b/>
          <w:i w:val="0"/>
          <w:color w:val="auto"/>
        </w:rPr>
        <w:t xml:space="preserve"> </w:t>
      </w:r>
      <w:r w:rsidR="00070D4B" w:rsidRPr="00A75061">
        <w:rPr>
          <w:rFonts w:ascii="Arial" w:hAnsi="Arial" w:cs="Arial"/>
          <w:b/>
          <w:i w:val="0"/>
          <w:color w:val="auto"/>
        </w:rPr>
        <w:fldChar w:fldCharType="begin"/>
      </w:r>
      <w:r w:rsidRPr="00A75061">
        <w:rPr>
          <w:rFonts w:ascii="Arial" w:hAnsi="Arial" w:cs="Arial"/>
          <w:b/>
          <w:i w:val="0"/>
          <w:color w:val="auto"/>
        </w:rPr>
        <w:instrText xml:space="preserve"> SEQ Figure \* ARABIC </w:instrText>
      </w:r>
      <w:r w:rsidR="00070D4B" w:rsidRPr="00A75061">
        <w:rPr>
          <w:rFonts w:ascii="Arial" w:hAnsi="Arial" w:cs="Arial"/>
          <w:b/>
          <w:i w:val="0"/>
          <w:color w:val="auto"/>
        </w:rPr>
        <w:fldChar w:fldCharType="separate"/>
      </w:r>
      <w:r w:rsidR="00B2110E">
        <w:rPr>
          <w:rFonts w:ascii="Arial" w:hAnsi="Arial" w:cs="Arial"/>
          <w:b/>
          <w:i w:val="0"/>
          <w:noProof/>
          <w:color w:val="auto"/>
        </w:rPr>
        <w:t>2</w:t>
      </w:r>
      <w:r w:rsidR="00070D4B" w:rsidRPr="00A75061">
        <w:rPr>
          <w:rFonts w:ascii="Arial" w:hAnsi="Arial" w:cs="Arial"/>
          <w:b/>
          <w:i w:val="0"/>
          <w:color w:val="auto"/>
        </w:rPr>
        <w:fldChar w:fldCharType="end"/>
      </w:r>
      <w:r w:rsidRPr="00A75061">
        <w:rPr>
          <w:rFonts w:ascii="Arial" w:hAnsi="Arial"/>
          <w:b/>
          <w:i w:val="0"/>
          <w:color w:val="auto"/>
        </w:rPr>
        <w:t> </w:t>
      </w:r>
      <w:r w:rsidRPr="00A75061">
        <w:rPr>
          <w:rFonts w:ascii="Arial" w:hAnsi="Arial"/>
          <w:i w:val="0"/>
          <w:color w:val="auto"/>
        </w:rPr>
        <w:t xml:space="preserve">: Évolution </w:t>
      </w:r>
      <w:r w:rsidR="00352BCE" w:rsidRPr="00A75061">
        <w:rPr>
          <w:rFonts w:ascii="Arial" w:hAnsi="Arial"/>
          <w:i w:val="0"/>
          <w:color w:val="auto"/>
        </w:rPr>
        <w:t xml:space="preserve">des ressources mobilisées </w:t>
      </w:r>
      <w:r w:rsidR="005947ED" w:rsidRPr="00A75061">
        <w:rPr>
          <w:rFonts w:ascii="Arial" w:hAnsi="Arial"/>
          <w:i w:val="0"/>
          <w:color w:val="auto"/>
        </w:rPr>
        <w:t>en faveur</w:t>
      </w:r>
      <w:r w:rsidR="00352BCE" w:rsidRPr="00A75061">
        <w:rPr>
          <w:rFonts w:ascii="Arial" w:hAnsi="Arial"/>
          <w:i w:val="0"/>
          <w:color w:val="auto"/>
        </w:rPr>
        <w:t xml:space="preserve"> des</w:t>
      </w:r>
      <w:r w:rsidRPr="00A75061">
        <w:rPr>
          <w:rFonts w:ascii="Arial" w:hAnsi="Arial"/>
          <w:i w:val="0"/>
          <w:color w:val="auto"/>
        </w:rPr>
        <w:t xml:space="preserve"> ressources humaines</w:t>
      </w:r>
    </w:p>
    <w:p w14:paraId="493310F2" w14:textId="487B8FAC" w:rsidR="00C31FA0" w:rsidRPr="00A75061" w:rsidRDefault="005E4F5C" w:rsidP="00A75061">
      <w:pPr>
        <w:pStyle w:val="Paragraph"/>
        <w:keepLines/>
        <w:tabs>
          <w:tab w:val="clear" w:pos="360"/>
          <w:tab w:val="num" w:pos="567"/>
        </w:tabs>
        <w:spacing w:after="120"/>
        <w:ind w:left="567" w:hanging="567"/>
        <w:rPr>
          <w:lang w:val="fr-FR"/>
        </w:rPr>
      </w:pPr>
      <w:r w:rsidRPr="00A75061">
        <w:rPr>
          <w:lang w:val="fr-FR"/>
        </w:rPr>
        <w:t>Les deux figures ci-dessus montrent un</w:t>
      </w:r>
      <w:r w:rsidR="00BC3E74" w:rsidRPr="00A75061">
        <w:rPr>
          <w:lang w:val="fr-FR"/>
        </w:rPr>
        <w:t xml:space="preserve">e baisse </w:t>
      </w:r>
      <w:r w:rsidR="005947ED" w:rsidRPr="00A75061">
        <w:rPr>
          <w:lang w:val="fr-FR"/>
        </w:rPr>
        <w:t>incontestable</w:t>
      </w:r>
      <w:r w:rsidRPr="00A75061">
        <w:rPr>
          <w:lang w:val="fr-FR"/>
        </w:rPr>
        <w:t xml:space="preserve"> du soutien à la Convention via le Fonds du patrimoine culturel immatériel, en termes de contributions affectées au programme de renforcement de capacités et de contributions au sous-fonds pour le renforcement des ressources humaines du </w:t>
      </w:r>
      <w:r w:rsidRPr="00A75061">
        <w:rPr>
          <w:color w:val="000000"/>
          <w:lang w:val="fr-FR"/>
        </w:rPr>
        <w:t xml:space="preserve">Secrétariat. </w:t>
      </w:r>
      <w:r w:rsidRPr="00A75061">
        <w:rPr>
          <w:lang w:val="fr-FR"/>
        </w:rPr>
        <w:t xml:space="preserve">Pour les premières, </w:t>
      </w:r>
      <w:r w:rsidRPr="00A75061">
        <w:rPr>
          <w:color w:val="000000"/>
          <w:lang w:val="fr-FR"/>
        </w:rPr>
        <w:t>la sous-utilisation de cette modalité est regrettable car elle s</w:t>
      </w:r>
      <w:r w:rsidR="00A73D6D" w:rsidRPr="00A75061">
        <w:rPr>
          <w:color w:val="000000"/>
          <w:lang w:val="fr-FR"/>
        </w:rPr>
        <w:t>’</w:t>
      </w:r>
      <w:r w:rsidRPr="00A75061">
        <w:rPr>
          <w:color w:val="000000"/>
          <w:lang w:val="fr-FR"/>
        </w:rPr>
        <w:t xml:space="preserve">est avérée particulièrement adaptée </w:t>
      </w:r>
      <w:r w:rsidRPr="00A75061">
        <w:rPr>
          <w:lang w:val="fr-FR"/>
        </w:rPr>
        <w:t>à l</w:t>
      </w:r>
      <w:r w:rsidR="00A73D6D" w:rsidRPr="00A75061">
        <w:rPr>
          <w:lang w:val="fr-FR"/>
        </w:rPr>
        <w:t>’</w:t>
      </w:r>
      <w:r w:rsidRPr="00A75061">
        <w:rPr>
          <w:lang w:val="fr-FR"/>
        </w:rPr>
        <w:t>esprit de la stratégie de renforcement de capacités. En effet, elle favorise une utilisation efficace des ressources par l</w:t>
      </w:r>
      <w:r w:rsidR="00A73D6D" w:rsidRPr="00A75061">
        <w:rPr>
          <w:lang w:val="fr-FR"/>
        </w:rPr>
        <w:t>’</w:t>
      </w:r>
      <w:r w:rsidRPr="00A75061">
        <w:rPr>
          <w:lang w:val="fr-FR"/>
        </w:rPr>
        <w:t>UNESCO, de l</w:t>
      </w:r>
      <w:r w:rsidR="00A73D6D" w:rsidRPr="00A75061">
        <w:rPr>
          <w:lang w:val="fr-FR"/>
        </w:rPr>
        <w:t>’</w:t>
      </w:r>
      <w:r w:rsidRPr="00A75061">
        <w:rPr>
          <w:lang w:val="fr-FR"/>
        </w:rPr>
        <w:t xml:space="preserve">évaluation approfondie des besoins et la consultation des partenaires nationaux à la mise en œuvre des projets. Pour les dernières, cette situation est également regrettable, car, sans vouloir mettre en doute les mérites </w:t>
      </w:r>
      <w:r w:rsidRPr="00A75061">
        <w:rPr>
          <w:rStyle w:val="hps"/>
          <w:lang w:val="fr-FR"/>
        </w:rPr>
        <w:t>des</w:t>
      </w:r>
      <w:r w:rsidRPr="00A75061">
        <w:rPr>
          <w:lang w:val="fr-FR"/>
        </w:rPr>
        <w:t xml:space="preserve"> autres modalités, le sous-fonds est le seul mécanisme permettant de disposer durablement de personnel adapté aux fonctions statutaires du Secrétariat.</w:t>
      </w:r>
    </w:p>
    <w:p w14:paraId="471DEFB3" w14:textId="33D6456A" w:rsidR="008C7C8F" w:rsidRPr="00A75061" w:rsidRDefault="00853FBA" w:rsidP="00BC3488">
      <w:pPr>
        <w:pStyle w:val="Paragraph"/>
        <w:tabs>
          <w:tab w:val="clear" w:pos="360"/>
          <w:tab w:val="num" w:pos="567"/>
        </w:tabs>
        <w:spacing w:after="120"/>
        <w:ind w:left="567" w:hanging="567"/>
        <w:rPr>
          <w:lang w:val="fr-FR"/>
        </w:rPr>
      </w:pPr>
      <w:r w:rsidRPr="00A75061">
        <w:rPr>
          <w:lang w:val="fr-FR"/>
        </w:rPr>
        <w:t>D</w:t>
      </w:r>
      <w:r w:rsidR="00A73D6D" w:rsidRPr="00A75061">
        <w:rPr>
          <w:lang w:val="fr-FR"/>
        </w:rPr>
        <w:t>’</w:t>
      </w:r>
      <w:r w:rsidRPr="00A75061">
        <w:rPr>
          <w:lang w:val="fr-FR"/>
        </w:rPr>
        <w:t>autres circonstances fâcheuses doivent également être portées à l</w:t>
      </w:r>
      <w:r w:rsidR="00A73D6D" w:rsidRPr="00A75061">
        <w:rPr>
          <w:lang w:val="fr-FR"/>
        </w:rPr>
        <w:t>’</w:t>
      </w:r>
      <w:r w:rsidRPr="00A75061">
        <w:rPr>
          <w:lang w:val="fr-FR"/>
        </w:rPr>
        <w:t xml:space="preserve">attention du Comité concernant le soutien volontaire à la Convention. </w:t>
      </w:r>
      <w:r w:rsidRPr="00A75061">
        <w:rPr>
          <w:rStyle w:val="hps"/>
          <w:lang w:val="fr-FR"/>
        </w:rPr>
        <w:t>L</w:t>
      </w:r>
      <w:r w:rsidRPr="00A75061">
        <w:rPr>
          <w:lang w:val="fr-FR"/>
        </w:rPr>
        <w:t xml:space="preserve">ors de sa huitième session, le Comité a approuvé deux projets devant être soutenus par les </w:t>
      </w:r>
      <w:r w:rsidRPr="00A75061">
        <w:rPr>
          <w:rStyle w:val="hps"/>
          <w:lang w:val="fr-FR"/>
        </w:rPr>
        <w:t>contributions</w:t>
      </w:r>
      <w:r w:rsidRPr="00A75061">
        <w:rPr>
          <w:lang w:val="fr-FR"/>
        </w:rPr>
        <w:t xml:space="preserve"> affectées au Fonds du patrimoine culturel immatériel : une contribution du Brésil de 200 000 dollars des États-Unis pour soutenir un programme de deux ans </w:t>
      </w:r>
      <w:r w:rsidR="00E14599" w:rsidRPr="00A75061">
        <w:rPr>
          <w:lang w:val="fr-FR"/>
        </w:rPr>
        <w:t xml:space="preserve">portant sur le </w:t>
      </w:r>
      <w:r w:rsidRPr="00A75061">
        <w:rPr>
          <w:lang w:val="fr-FR"/>
        </w:rPr>
        <w:t>renforcement des capacités nationales pour la sauvegarde du patrimoine culturel immatériel au Paraguay, et une contribution du Viet Nam de 48 469 dollars des États-Unis en soutien d</w:t>
      </w:r>
      <w:r w:rsidR="00A73D6D" w:rsidRPr="00A75061">
        <w:rPr>
          <w:lang w:val="fr-FR"/>
        </w:rPr>
        <w:t>’</w:t>
      </w:r>
      <w:r w:rsidRPr="00A75061">
        <w:rPr>
          <w:lang w:val="fr-FR"/>
        </w:rPr>
        <w:t>une réunion d</w:t>
      </w:r>
      <w:r w:rsidR="00A73D6D" w:rsidRPr="00A75061">
        <w:rPr>
          <w:lang w:val="fr-FR"/>
        </w:rPr>
        <w:t>’</w:t>
      </w:r>
      <w:r w:rsidRPr="00A75061">
        <w:rPr>
          <w:lang w:val="fr-FR"/>
        </w:rPr>
        <w:t xml:space="preserve">experts de </w:t>
      </w:r>
      <w:r w:rsidRPr="00A75061">
        <w:rPr>
          <w:rStyle w:val="hps"/>
          <w:lang w:val="fr-FR"/>
        </w:rPr>
        <w:t>catégorie</w:t>
      </w:r>
      <w:r w:rsidRPr="00A75061">
        <w:rPr>
          <w:lang w:val="fr-FR"/>
        </w:rPr>
        <w:t> VI sur les liens entre le patrimoine culturel immatériel et le changement climatique (</w:t>
      </w:r>
      <w:hyperlink r:id="rId16">
        <w:r w:rsidRPr="00A75061">
          <w:rPr>
            <w:rStyle w:val="Hyperlink"/>
            <w:lang w:val="fr-FR"/>
          </w:rPr>
          <w:t>décision 8.COM 12</w:t>
        </w:r>
      </w:hyperlink>
      <w:r w:rsidRPr="00A75061">
        <w:rPr>
          <w:lang w:val="fr-FR"/>
        </w:rPr>
        <w:t xml:space="preserve">). </w:t>
      </w:r>
      <w:r w:rsidR="007460FF" w:rsidRPr="00A75061">
        <w:rPr>
          <w:lang w:val="fr-FR"/>
        </w:rPr>
        <w:t>Suite à</w:t>
      </w:r>
      <w:r w:rsidRPr="00A75061">
        <w:rPr>
          <w:lang w:val="fr-FR"/>
        </w:rPr>
        <w:t xml:space="preserve"> l</w:t>
      </w:r>
      <w:r w:rsidR="00A73D6D" w:rsidRPr="00A75061">
        <w:rPr>
          <w:lang w:val="fr-FR"/>
        </w:rPr>
        <w:t>’</w:t>
      </w:r>
      <w:r w:rsidRPr="00A75061">
        <w:rPr>
          <w:lang w:val="fr-FR"/>
        </w:rPr>
        <w:t xml:space="preserve">invitation </w:t>
      </w:r>
      <w:r w:rsidR="007460FF" w:rsidRPr="00A75061">
        <w:rPr>
          <w:lang w:val="fr-FR"/>
        </w:rPr>
        <w:t xml:space="preserve">faite par le Comité, à </w:t>
      </w:r>
      <w:r w:rsidRPr="00A75061">
        <w:rPr>
          <w:lang w:val="fr-FR"/>
        </w:rPr>
        <w:t>ces deux pays</w:t>
      </w:r>
      <w:r w:rsidR="007460FF" w:rsidRPr="00A75061">
        <w:rPr>
          <w:lang w:val="fr-FR"/>
        </w:rPr>
        <w:t>, d</w:t>
      </w:r>
      <w:r w:rsidR="00A73D6D" w:rsidRPr="00A75061">
        <w:rPr>
          <w:lang w:val="fr-FR"/>
        </w:rPr>
        <w:t>’</w:t>
      </w:r>
      <w:r w:rsidRPr="00A75061">
        <w:rPr>
          <w:lang w:val="fr-FR"/>
        </w:rPr>
        <w:t>informer le Secrétariat d</w:t>
      </w:r>
      <w:r w:rsidR="001301F5" w:rsidRPr="00A75061">
        <w:rPr>
          <w:lang w:val="fr-FR"/>
        </w:rPr>
        <w:t>e l</w:t>
      </w:r>
      <w:r w:rsidR="00A73D6D" w:rsidRPr="00A75061">
        <w:rPr>
          <w:lang w:val="fr-FR"/>
        </w:rPr>
        <w:t>’</w:t>
      </w:r>
      <w:r w:rsidR="001301F5" w:rsidRPr="00A75061">
        <w:rPr>
          <w:lang w:val="fr-FR"/>
        </w:rPr>
        <w:t xml:space="preserve">état </w:t>
      </w:r>
      <w:r w:rsidRPr="00A75061">
        <w:rPr>
          <w:lang w:val="fr-FR"/>
        </w:rPr>
        <w:t>de leurs contributions</w:t>
      </w:r>
      <w:r w:rsidR="001301F5" w:rsidRPr="00A75061">
        <w:rPr>
          <w:lang w:val="fr-FR"/>
        </w:rPr>
        <w:t xml:space="preserve"> </w:t>
      </w:r>
      <w:r w:rsidRPr="00A75061">
        <w:rPr>
          <w:lang w:val="fr-FR"/>
        </w:rPr>
        <w:t xml:space="preserve">respectives </w:t>
      </w:r>
      <w:r w:rsidR="00BD4A0B" w:rsidRPr="00A75061">
        <w:rPr>
          <w:lang w:val="fr-FR"/>
        </w:rPr>
        <w:t xml:space="preserve">en attente </w:t>
      </w:r>
      <w:r w:rsidRPr="00A75061">
        <w:rPr>
          <w:lang w:val="fr-FR"/>
        </w:rPr>
        <w:t>(</w:t>
      </w:r>
      <w:hyperlink r:id="rId17">
        <w:r w:rsidRPr="00A75061">
          <w:rPr>
            <w:rStyle w:val="Hyperlink"/>
            <w:lang w:val="fr-FR"/>
          </w:rPr>
          <w:t>décision 10.COM 9</w:t>
        </w:r>
      </w:hyperlink>
      <w:r w:rsidRPr="00A75061">
        <w:rPr>
          <w:lang w:val="fr-FR"/>
        </w:rPr>
        <w:t xml:space="preserve">), le Brésil a informé le Secrétariat par note diplomatique, le 22 février 2016, de son incapacité </w:t>
      </w:r>
      <w:r w:rsidR="00BD4A0B" w:rsidRPr="00A75061">
        <w:rPr>
          <w:lang w:val="fr-FR"/>
        </w:rPr>
        <w:t>à se conformer à cette</w:t>
      </w:r>
      <w:r w:rsidRPr="00A75061">
        <w:rPr>
          <w:lang w:val="fr-FR"/>
        </w:rPr>
        <w:t xml:space="preserve"> décision en raison de problèmes juridiques et budgétaires. </w:t>
      </w:r>
      <w:r w:rsidRPr="00A75061">
        <w:rPr>
          <w:rStyle w:val="shorttext"/>
          <w:lang w:val="fr-FR"/>
        </w:rPr>
        <w:t xml:space="preserve">Concernant </w:t>
      </w:r>
      <w:r w:rsidR="00BD4A0B" w:rsidRPr="00A75061">
        <w:rPr>
          <w:rStyle w:val="shorttext"/>
          <w:lang w:val="fr-FR"/>
        </w:rPr>
        <w:t xml:space="preserve">la </w:t>
      </w:r>
      <w:r w:rsidRPr="00A75061">
        <w:rPr>
          <w:rStyle w:val="shorttext"/>
          <w:lang w:val="fr-FR"/>
        </w:rPr>
        <w:t xml:space="preserve">contribution </w:t>
      </w:r>
      <w:r w:rsidR="00BD4A0B" w:rsidRPr="00A75061">
        <w:rPr>
          <w:rStyle w:val="shorttext"/>
          <w:lang w:val="fr-FR"/>
        </w:rPr>
        <w:t xml:space="preserve">en attente </w:t>
      </w:r>
      <w:r w:rsidRPr="00A75061">
        <w:rPr>
          <w:rStyle w:val="shorttext"/>
          <w:lang w:val="fr-FR"/>
        </w:rPr>
        <w:t>du Viet Nam</w:t>
      </w:r>
      <w:r w:rsidRPr="00A75061">
        <w:rPr>
          <w:lang w:val="fr-FR"/>
        </w:rPr>
        <w:t xml:space="preserve">, le Secrétariat </w:t>
      </w:r>
      <w:r w:rsidR="006834CB" w:rsidRPr="00A75061">
        <w:rPr>
          <w:lang w:val="fr-FR"/>
        </w:rPr>
        <w:t xml:space="preserve">a été informé le 18 novembre 2016 </w:t>
      </w:r>
      <w:r w:rsidR="00673917" w:rsidRPr="00A75061">
        <w:rPr>
          <w:lang w:val="fr-FR"/>
        </w:rPr>
        <w:t xml:space="preserve">que le pays ne sera pas en mesure de </w:t>
      </w:r>
      <w:r w:rsidR="006834CB" w:rsidRPr="00A75061">
        <w:rPr>
          <w:lang w:val="fr-FR"/>
        </w:rPr>
        <w:t>payer la contribution volontaire approuvée par le Comité en 2013</w:t>
      </w:r>
      <w:r w:rsidR="00673917" w:rsidRPr="00A75061">
        <w:rPr>
          <w:lang w:val="fr-FR"/>
        </w:rPr>
        <w:t>, en raison de difficultés budgétaires</w:t>
      </w:r>
      <w:r w:rsidRPr="00A75061">
        <w:rPr>
          <w:lang w:val="fr-FR"/>
        </w:rPr>
        <w:t>.</w:t>
      </w:r>
    </w:p>
    <w:p w14:paraId="6281936C" w14:textId="5A8AEFD4" w:rsidR="00BC3488" w:rsidRPr="00A75061" w:rsidRDefault="00062D40" w:rsidP="00AA18F4">
      <w:pPr>
        <w:pStyle w:val="Paragraph"/>
        <w:tabs>
          <w:tab w:val="clear" w:pos="360"/>
          <w:tab w:val="num" w:pos="567"/>
        </w:tabs>
        <w:spacing w:after="120"/>
        <w:ind w:left="567" w:hanging="567"/>
        <w:rPr>
          <w:lang w:val="fr-FR"/>
        </w:rPr>
      </w:pPr>
      <w:r w:rsidRPr="00A75061">
        <w:rPr>
          <w:lang w:val="fr-FR"/>
        </w:rPr>
        <w:t>Les contributions volontaires supplémentaires au Fonds du patrimoine culturel immatériel constituent également la condition posée par le Comité pour couvrir les coûts de l</w:t>
      </w:r>
      <w:r w:rsidR="00A73D6D" w:rsidRPr="00A75061">
        <w:rPr>
          <w:lang w:val="fr-FR"/>
        </w:rPr>
        <w:t>’</w:t>
      </w:r>
      <w:r w:rsidRPr="00A75061">
        <w:rPr>
          <w:lang w:val="fr-FR"/>
        </w:rPr>
        <w:t>organisation de deux groupes de travail intergouvernementaux à composition non limitée sur deux thèmes différents. En effet, à l</w:t>
      </w:r>
      <w:r w:rsidR="00A73D6D" w:rsidRPr="00A75061">
        <w:rPr>
          <w:lang w:val="fr-FR"/>
        </w:rPr>
        <w:t>’</w:t>
      </w:r>
      <w:r w:rsidRPr="00A75061">
        <w:rPr>
          <w:lang w:val="fr-FR"/>
        </w:rPr>
        <w:t>occasion de sa neuvième session, le Comité a décidé de « convoquer un groupe de travail intergouvernemental à composition non limitée courant 2016 afin d</w:t>
      </w:r>
      <w:r w:rsidR="00A73D6D" w:rsidRPr="00A75061">
        <w:rPr>
          <w:lang w:val="fr-FR"/>
        </w:rPr>
        <w:t>’</w:t>
      </w:r>
      <w:r w:rsidRPr="00A75061">
        <w:rPr>
          <w:lang w:val="fr-FR"/>
        </w:rPr>
        <w:t>examiner les recommandations préliminaires relatives à d</w:t>
      </w:r>
      <w:r w:rsidR="00A73D6D" w:rsidRPr="00A75061">
        <w:rPr>
          <w:lang w:val="fr-FR"/>
        </w:rPr>
        <w:t>’</w:t>
      </w:r>
      <w:r w:rsidRPr="00A75061">
        <w:rPr>
          <w:lang w:val="fr-FR"/>
        </w:rPr>
        <w:t>éventuelles directives » (</w:t>
      </w:r>
      <w:hyperlink r:id="rId18">
        <w:r w:rsidRPr="00A75061">
          <w:rPr>
            <w:rStyle w:val="Hyperlink"/>
            <w:lang w:val="fr-FR"/>
          </w:rPr>
          <w:t>décision 9.COM 13.e</w:t>
        </w:r>
      </w:hyperlink>
      <w:r w:rsidRPr="00A75061">
        <w:rPr>
          <w:lang w:val="fr-FR"/>
        </w:rPr>
        <w:t xml:space="preserve">) concernant un cadre global de résultats pour la Convention. Au cours de sa dixième session, il a décidé de convoquer un groupe de travail similaire </w:t>
      </w:r>
      <w:r w:rsidR="00AA18F4" w:rsidRPr="00A75061">
        <w:rPr>
          <w:lang w:val="fr-FR"/>
        </w:rPr>
        <w:t xml:space="preserve">sur le transfert d’un élément d’une liste à l’autre et le retrait d’un élément d’une liste </w:t>
      </w:r>
      <w:r w:rsidRPr="00A75061">
        <w:rPr>
          <w:lang w:val="fr-FR"/>
        </w:rPr>
        <w:t>(</w:t>
      </w:r>
      <w:hyperlink r:id="rId19">
        <w:r w:rsidRPr="00A75061">
          <w:rPr>
            <w:rStyle w:val="Hyperlink"/>
            <w:lang w:val="fr-FR"/>
          </w:rPr>
          <w:t>décision 10.COM 19</w:t>
        </w:r>
      </w:hyperlink>
      <w:r w:rsidRPr="00A75061">
        <w:rPr>
          <w:lang w:val="fr-FR"/>
        </w:rPr>
        <w:t xml:space="preserve">). </w:t>
      </w:r>
      <w:r w:rsidR="003C1B33" w:rsidRPr="00A75061">
        <w:rPr>
          <w:lang w:val="fr-FR"/>
        </w:rPr>
        <w:t>A</w:t>
      </w:r>
      <w:r w:rsidRPr="00A75061">
        <w:rPr>
          <w:lang w:val="fr-FR"/>
        </w:rPr>
        <w:t>u moment de la rédaction, le Secrétariat est en consultation avec un État partie, qui s</w:t>
      </w:r>
      <w:r w:rsidR="00A73D6D" w:rsidRPr="00A75061">
        <w:rPr>
          <w:lang w:val="fr-FR"/>
        </w:rPr>
        <w:t>’</w:t>
      </w:r>
      <w:r w:rsidRPr="00A75061">
        <w:rPr>
          <w:lang w:val="fr-FR"/>
        </w:rPr>
        <w:t>est montré intéressé par l</w:t>
      </w:r>
      <w:r w:rsidR="00A73D6D" w:rsidRPr="00A75061">
        <w:rPr>
          <w:lang w:val="fr-FR"/>
        </w:rPr>
        <w:t>’</w:t>
      </w:r>
      <w:r w:rsidRPr="00A75061">
        <w:rPr>
          <w:lang w:val="fr-FR"/>
        </w:rPr>
        <w:t xml:space="preserve">accueil du groupe de travail à composition non limitée sur le cadre global de résultats. Outre </w:t>
      </w:r>
      <w:r w:rsidR="00E004A1" w:rsidRPr="00A75061">
        <w:rPr>
          <w:lang w:val="fr-FR"/>
        </w:rPr>
        <w:t>l</w:t>
      </w:r>
      <w:r w:rsidR="00A73D6D" w:rsidRPr="00A75061">
        <w:rPr>
          <w:lang w:val="fr-FR"/>
        </w:rPr>
        <w:t>’</w:t>
      </w:r>
      <w:r w:rsidR="00E004A1" w:rsidRPr="00A75061">
        <w:rPr>
          <w:lang w:val="fr-FR"/>
        </w:rPr>
        <w:t>impossibilité</w:t>
      </w:r>
      <w:r w:rsidRPr="00A75061">
        <w:rPr>
          <w:lang w:val="fr-FR"/>
        </w:rPr>
        <w:t xml:space="preserve"> d</w:t>
      </w:r>
      <w:r w:rsidR="00A73D6D" w:rsidRPr="00A75061">
        <w:rPr>
          <w:lang w:val="fr-FR"/>
        </w:rPr>
        <w:t>’</w:t>
      </w:r>
      <w:r w:rsidRPr="00A75061">
        <w:rPr>
          <w:lang w:val="fr-FR"/>
        </w:rPr>
        <w:t>organis</w:t>
      </w:r>
      <w:r w:rsidR="00E004A1" w:rsidRPr="00A75061">
        <w:rPr>
          <w:lang w:val="fr-FR"/>
        </w:rPr>
        <w:t>er</w:t>
      </w:r>
      <w:r w:rsidRPr="00A75061">
        <w:rPr>
          <w:lang w:val="fr-FR"/>
        </w:rPr>
        <w:t xml:space="preserve"> </w:t>
      </w:r>
      <w:r w:rsidR="00E004A1" w:rsidRPr="00A75061">
        <w:rPr>
          <w:lang w:val="fr-FR"/>
        </w:rPr>
        <w:t>l</w:t>
      </w:r>
      <w:r w:rsidRPr="00A75061">
        <w:rPr>
          <w:lang w:val="fr-FR"/>
        </w:rPr>
        <w:t xml:space="preserve">es deux groupes de travail </w:t>
      </w:r>
      <w:r w:rsidR="00E004A1" w:rsidRPr="00A75061">
        <w:rPr>
          <w:lang w:val="fr-FR"/>
        </w:rPr>
        <w:t xml:space="preserve">au cours de </w:t>
      </w:r>
      <w:r w:rsidRPr="00A75061">
        <w:rPr>
          <w:lang w:val="fr-FR"/>
        </w:rPr>
        <w:t xml:space="preserve">la même année, le Secrétariat </w:t>
      </w:r>
      <w:r w:rsidR="00E004A1" w:rsidRPr="00A75061">
        <w:rPr>
          <w:lang w:val="fr-FR"/>
        </w:rPr>
        <w:t xml:space="preserve">ne </w:t>
      </w:r>
      <w:r w:rsidRPr="00A75061">
        <w:rPr>
          <w:lang w:val="fr-FR"/>
        </w:rPr>
        <w:t xml:space="preserve">sera en mesure de les organiser </w:t>
      </w:r>
      <w:r w:rsidR="00E004A1" w:rsidRPr="00A75061">
        <w:rPr>
          <w:lang w:val="fr-FR"/>
        </w:rPr>
        <w:t xml:space="preserve">que </w:t>
      </w:r>
      <w:r w:rsidRPr="00A75061">
        <w:rPr>
          <w:lang w:val="fr-FR"/>
        </w:rPr>
        <w:t>si les contributions respectives sont reçues au moins six mois avant la date éventuelle de leur organisation.</w:t>
      </w:r>
    </w:p>
    <w:p w14:paraId="20017792" w14:textId="77777777" w:rsidR="00D95C4C" w:rsidRPr="00A75061" w:rsidRDefault="000B1C8F" w:rsidP="00EC2A59">
      <w:pPr>
        <w:pStyle w:val="Paragraph"/>
        <w:tabs>
          <w:tab w:val="clear" w:pos="360"/>
          <w:tab w:val="num" w:pos="567"/>
        </w:tabs>
        <w:spacing w:after="120"/>
        <w:ind w:left="567" w:hanging="567"/>
        <w:rPr>
          <w:lang w:val="fr-FR"/>
        </w:rPr>
      </w:pPr>
      <w:r w:rsidRPr="00A75061">
        <w:rPr>
          <w:lang w:val="fr-FR"/>
        </w:rPr>
        <w:t>Le Comité souhaitera peut-être adopter la décision suivante :</w:t>
      </w:r>
    </w:p>
    <w:p w14:paraId="7354CDA4" w14:textId="77777777" w:rsidR="00D95C4C" w:rsidRPr="00A75061" w:rsidRDefault="004A34A0" w:rsidP="00041A66">
      <w:pPr>
        <w:pStyle w:val="COMTitleDecision"/>
        <w:rPr>
          <w:rFonts w:eastAsia="SimSun"/>
          <w:lang w:val="fr-FR"/>
        </w:rPr>
      </w:pPr>
      <w:r w:rsidRPr="00A75061">
        <w:rPr>
          <w:lang w:val="fr-FR"/>
        </w:rPr>
        <w:t>PROJET DE DÉCISION 11.COM 6</w:t>
      </w:r>
    </w:p>
    <w:p w14:paraId="1761EFDC" w14:textId="77777777" w:rsidR="00D95C4C" w:rsidRPr="00A75061" w:rsidRDefault="00285BB4" w:rsidP="00285BB4">
      <w:pPr>
        <w:pStyle w:val="COMPreambulaDecisions"/>
        <w:rPr>
          <w:rFonts w:eastAsia="SimSun"/>
          <w:lang w:val="fr-FR"/>
        </w:rPr>
      </w:pPr>
      <w:r w:rsidRPr="00A75061">
        <w:rPr>
          <w:lang w:val="fr-FR"/>
        </w:rPr>
        <w:t>Le Comité,</w:t>
      </w:r>
    </w:p>
    <w:p w14:paraId="233B9853" w14:textId="01D7E14B" w:rsidR="0057439C" w:rsidRPr="00A75061" w:rsidRDefault="00D95C4C" w:rsidP="00EE21D0">
      <w:pPr>
        <w:pStyle w:val="COMParaDecision"/>
        <w:ind w:left="1134" w:hanging="567"/>
        <w:jc w:val="left"/>
        <w:rPr>
          <w:lang w:val="fr-FR"/>
        </w:rPr>
      </w:pPr>
      <w:r w:rsidRPr="00A75061">
        <w:rPr>
          <w:lang w:val="fr-FR"/>
        </w:rPr>
        <w:t>Ayant examiné</w:t>
      </w:r>
      <w:r w:rsidRPr="00A75061">
        <w:rPr>
          <w:u w:val="none"/>
          <w:lang w:val="fr-FR"/>
        </w:rPr>
        <w:t xml:space="preserve"> le document ITH/16/11.COM/6</w:t>
      </w:r>
      <w:r w:rsidR="00357A88" w:rsidRPr="00A75061">
        <w:rPr>
          <w:u w:val="none"/>
          <w:lang w:val="fr-FR"/>
        </w:rPr>
        <w:t> </w:t>
      </w:r>
      <w:proofErr w:type="spellStart"/>
      <w:r w:rsidR="00357A88" w:rsidRPr="00A75061">
        <w:rPr>
          <w:u w:val="none"/>
          <w:lang w:val="fr-FR"/>
        </w:rPr>
        <w:t>Rev</w:t>
      </w:r>
      <w:proofErr w:type="spellEnd"/>
      <w:r w:rsidR="00357A88" w:rsidRPr="00A75061">
        <w:rPr>
          <w:u w:val="none"/>
          <w:lang w:val="fr-FR"/>
        </w:rPr>
        <w:t>.</w:t>
      </w:r>
      <w:r w:rsidRPr="00A75061">
        <w:rPr>
          <w:u w:val="none"/>
          <w:lang w:val="fr-FR"/>
        </w:rPr>
        <w:t xml:space="preserve"> et ses annexes,</w:t>
      </w:r>
    </w:p>
    <w:p w14:paraId="404F73FB" w14:textId="51AE519E" w:rsidR="00A4292F" w:rsidRPr="00A75061" w:rsidRDefault="0057439C" w:rsidP="00EE21D0">
      <w:pPr>
        <w:pStyle w:val="COMParaDecision"/>
        <w:ind w:left="1134" w:hanging="567"/>
        <w:rPr>
          <w:lang w:val="fr-FR"/>
        </w:rPr>
      </w:pPr>
      <w:r w:rsidRPr="00A75061">
        <w:rPr>
          <w:lang w:val="fr-FR"/>
        </w:rPr>
        <w:t>Rappelant</w:t>
      </w:r>
      <w:r w:rsidRPr="00A75061">
        <w:rPr>
          <w:u w:val="none"/>
          <w:lang w:val="fr-FR"/>
        </w:rPr>
        <w:t xml:space="preserve"> l</w:t>
      </w:r>
      <w:r w:rsidR="00A73D6D" w:rsidRPr="00A75061">
        <w:rPr>
          <w:u w:val="none"/>
          <w:lang w:val="fr-FR"/>
        </w:rPr>
        <w:t>’</w:t>
      </w:r>
      <w:r w:rsidRPr="00A75061">
        <w:rPr>
          <w:u w:val="none"/>
          <w:lang w:val="fr-FR"/>
        </w:rPr>
        <w:t>article 25.5 de la Convention et le chapitre II des Directives opérationnelles,</w:t>
      </w:r>
    </w:p>
    <w:p w14:paraId="43213721" w14:textId="77777777" w:rsidR="0057439C" w:rsidRPr="00A75061" w:rsidRDefault="00A4292F" w:rsidP="00C75E87">
      <w:pPr>
        <w:pStyle w:val="COMParaDecision"/>
        <w:ind w:left="1134" w:hanging="567"/>
        <w:rPr>
          <w:lang w:val="fr-FR"/>
        </w:rPr>
      </w:pPr>
      <w:r w:rsidRPr="00A75061">
        <w:rPr>
          <w:lang w:val="fr-FR"/>
        </w:rPr>
        <w:t>Rappelant également</w:t>
      </w:r>
      <w:r w:rsidRPr="00A75061">
        <w:rPr>
          <w:u w:val="none"/>
          <w:lang w:val="fr-FR"/>
        </w:rPr>
        <w:t xml:space="preserve"> les décisions 8.COM 12, 9.COM 7, 9.COM 13.e et 10.COM 9,</w:t>
      </w:r>
    </w:p>
    <w:p w14:paraId="6C4CC9BF" w14:textId="72D33808" w:rsidR="00EC2A59" w:rsidRPr="00A75061" w:rsidRDefault="00EC2A59" w:rsidP="00EE21D0">
      <w:pPr>
        <w:pStyle w:val="COMParaDecision"/>
        <w:ind w:left="1134" w:hanging="567"/>
        <w:rPr>
          <w:lang w:val="fr-FR"/>
        </w:rPr>
      </w:pPr>
      <w:r w:rsidRPr="00A75061">
        <w:rPr>
          <w:lang w:val="fr-FR"/>
        </w:rPr>
        <w:t>Félicite</w:t>
      </w:r>
      <w:r w:rsidRPr="00A75061">
        <w:rPr>
          <w:u w:val="none"/>
          <w:lang w:val="fr-FR"/>
        </w:rPr>
        <w:t xml:space="preserve"> la </w:t>
      </w:r>
      <w:r w:rsidRPr="00A75061">
        <w:rPr>
          <w:rStyle w:val="hps"/>
          <w:u w:val="none"/>
          <w:lang w:val="fr-FR"/>
        </w:rPr>
        <w:t>République de Corée</w:t>
      </w:r>
      <w:r w:rsidRPr="00A75061">
        <w:rPr>
          <w:u w:val="none"/>
          <w:lang w:val="fr-FR"/>
        </w:rPr>
        <w:t xml:space="preserve"> pour son offre généreuse de contribution volontaire supplémentaire au Fonds du patrimoine culturel immatériel pour l</w:t>
      </w:r>
      <w:r w:rsidR="00A73D6D" w:rsidRPr="00A75061">
        <w:rPr>
          <w:u w:val="none"/>
          <w:lang w:val="fr-FR"/>
        </w:rPr>
        <w:t>’</w:t>
      </w:r>
      <w:r w:rsidRPr="00A75061">
        <w:rPr>
          <w:u w:val="none"/>
          <w:lang w:val="fr-FR"/>
        </w:rPr>
        <w:t xml:space="preserve">amélioration des mécanismes de soumission de rapports périodiques </w:t>
      </w:r>
      <w:r w:rsidR="006943B9" w:rsidRPr="00A75061">
        <w:rPr>
          <w:u w:val="none"/>
          <w:lang w:val="fr-FR"/>
        </w:rPr>
        <w:t>dans le cadre</w:t>
      </w:r>
      <w:r w:rsidRPr="00A75061">
        <w:rPr>
          <w:u w:val="none"/>
          <w:lang w:val="fr-FR"/>
        </w:rPr>
        <w:t xml:space="preserve"> de la Convention ;</w:t>
      </w:r>
    </w:p>
    <w:p w14:paraId="58E49FA4" w14:textId="63388BFF" w:rsidR="00A4292F" w:rsidRPr="00A75061" w:rsidRDefault="00A4292F" w:rsidP="00EE21D0">
      <w:pPr>
        <w:pStyle w:val="COMParaDecision"/>
        <w:ind w:left="1134" w:hanging="567"/>
        <w:rPr>
          <w:lang w:val="fr-FR"/>
        </w:rPr>
      </w:pPr>
      <w:r w:rsidRPr="00A75061">
        <w:rPr>
          <w:lang w:val="fr-FR"/>
        </w:rPr>
        <w:t>Accepte avec gratitude</w:t>
      </w:r>
      <w:r w:rsidRPr="00A75061">
        <w:rPr>
          <w:u w:val="none"/>
          <w:lang w:val="fr-FR"/>
        </w:rPr>
        <w:t xml:space="preserve"> la généreuse </w:t>
      </w:r>
      <w:r w:rsidR="00B23F66" w:rsidRPr="00A75061">
        <w:rPr>
          <w:u w:val="none"/>
          <w:lang w:val="fr-FR"/>
        </w:rPr>
        <w:t xml:space="preserve">contribution </w:t>
      </w:r>
      <w:r w:rsidRPr="00A75061">
        <w:rPr>
          <w:u w:val="none"/>
          <w:lang w:val="fr-FR"/>
        </w:rPr>
        <w:t xml:space="preserve">de la </w:t>
      </w:r>
      <w:r w:rsidRPr="00A75061">
        <w:rPr>
          <w:rStyle w:val="hps"/>
          <w:u w:val="none"/>
          <w:lang w:val="fr-FR"/>
        </w:rPr>
        <w:t>République de Corée</w:t>
      </w:r>
      <w:r w:rsidRPr="00A75061">
        <w:rPr>
          <w:u w:val="none"/>
          <w:lang w:val="fr-FR"/>
        </w:rPr>
        <w:t xml:space="preserve">, </w:t>
      </w:r>
      <w:r w:rsidRPr="00A75061">
        <w:rPr>
          <w:lang w:val="fr-FR"/>
        </w:rPr>
        <w:t>approuve</w:t>
      </w:r>
      <w:r w:rsidRPr="00A75061">
        <w:rPr>
          <w:u w:val="none"/>
          <w:lang w:val="fr-FR"/>
        </w:rPr>
        <w:t xml:space="preserve"> son </w:t>
      </w:r>
      <w:r w:rsidR="00B23F66" w:rsidRPr="00A75061">
        <w:rPr>
          <w:u w:val="none"/>
          <w:lang w:val="fr-FR"/>
        </w:rPr>
        <w:t xml:space="preserve">but </w:t>
      </w:r>
      <w:r w:rsidRPr="00A75061">
        <w:rPr>
          <w:u w:val="none"/>
          <w:lang w:val="fr-FR"/>
        </w:rPr>
        <w:t xml:space="preserve">spécifique et </w:t>
      </w:r>
      <w:r w:rsidRPr="00A75061">
        <w:rPr>
          <w:lang w:val="fr-FR"/>
        </w:rPr>
        <w:t>demande</w:t>
      </w:r>
      <w:r w:rsidRPr="00A75061">
        <w:rPr>
          <w:u w:val="none"/>
          <w:lang w:val="fr-FR"/>
        </w:rPr>
        <w:t xml:space="preserve"> au Secrétariat d</w:t>
      </w:r>
      <w:r w:rsidR="00A73D6D" w:rsidRPr="00A75061">
        <w:rPr>
          <w:u w:val="none"/>
          <w:lang w:val="fr-FR"/>
        </w:rPr>
        <w:t>’</w:t>
      </w:r>
      <w:r w:rsidRPr="00A75061">
        <w:rPr>
          <w:u w:val="none"/>
          <w:lang w:val="fr-FR"/>
        </w:rPr>
        <w:t>en assurer la bonne planification et la bonne mise en œuvre ;</w:t>
      </w:r>
    </w:p>
    <w:p w14:paraId="55CD4F23" w14:textId="05379ED9" w:rsidR="00707F31" w:rsidRPr="00A75061" w:rsidRDefault="00E84CC8" w:rsidP="00C75E87">
      <w:pPr>
        <w:pStyle w:val="COMParaDecision"/>
        <w:ind w:left="1134" w:hanging="567"/>
        <w:rPr>
          <w:u w:val="none"/>
          <w:lang w:val="fr-FR"/>
        </w:rPr>
      </w:pPr>
      <w:r w:rsidRPr="00A75061">
        <w:rPr>
          <w:lang w:val="fr-FR"/>
        </w:rPr>
        <w:t>Exprime sa préoccupation</w:t>
      </w:r>
      <w:r w:rsidRPr="00A75061">
        <w:rPr>
          <w:u w:val="none"/>
          <w:lang w:val="fr-FR"/>
        </w:rPr>
        <w:t xml:space="preserve"> concernant le faible nombre de nouvelles contributions volontaires supplémentaires au Fonds du patrimoine culturel immatériel pour le soutien du cadre programmatique du Programme </w:t>
      </w:r>
      <w:r w:rsidRPr="00A75061">
        <w:rPr>
          <w:rStyle w:val="hps"/>
          <w:u w:val="none"/>
          <w:lang w:val="fr-FR"/>
        </w:rPr>
        <w:t>additionnel</w:t>
      </w:r>
      <w:r w:rsidRPr="00A75061">
        <w:rPr>
          <w:u w:val="none"/>
          <w:lang w:val="fr-FR"/>
        </w:rPr>
        <w:t xml:space="preserve"> complémentaire 2014-2017 intitulé « Renforcement des capacités de sauvegarde du patrimoine culturel immatériel pour le développement durable » depuis sa dernière session;</w:t>
      </w:r>
    </w:p>
    <w:p w14:paraId="4061D585" w14:textId="3F9F6FA4" w:rsidR="00A4292F" w:rsidRPr="00A75061" w:rsidRDefault="00C51020" w:rsidP="00C75E87">
      <w:pPr>
        <w:pStyle w:val="COMParaDecision"/>
        <w:keepLines/>
        <w:ind w:left="1134" w:hanging="567"/>
        <w:rPr>
          <w:u w:val="none"/>
          <w:lang w:val="fr-FR"/>
        </w:rPr>
      </w:pPr>
      <w:r w:rsidRPr="00A75061">
        <w:rPr>
          <w:lang w:val="fr-FR"/>
        </w:rPr>
        <w:t>Remercie</w:t>
      </w:r>
      <w:r w:rsidRPr="00A75061">
        <w:rPr>
          <w:u w:val="none"/>
          <w:lang w:val="fr-FR"/>
        </w:rPr>
        <w:t xml:space="preserve"> le Brésil pour les informations concernant sa contribution volontaire supplémentaire au Fonds du patrimoine culturel immatériel</w:t>
      </w:r>
      <w:r w:rsidR="00B23F66" w:rsidRPr="00A75061">
        <w:rPr>
          <w:u w:val="none"/>
          <w:lang w:val="fr-FR"/>
        </w:rPr>
        <w:t xml:space="preserve"> en attente</w:t>
      </w:r>
      <w:r w:rsidRPr="00A75061">
        <w:rPr>
          <w:u w:val="none"/>
          <w:lang w:val="fr-FR"/>
        </w:rPr>
        <w:t xml:space="preserve">, </w:t>
      </w:r>
      <w:r w:rsidRPr="00A75061">
        <w:rPr>
          <w:lang w:val="fr-FR"/>
        </w:rPr>
        <w:t>regrette</w:t>
      </w:r>
      <w:r w:rsidRPr="00A75061">
        <w:rPr>
          <w:u w:val="none"/>
          <w:lang w:val="fr-FR"/>
        </w:rPr>
        <w:t xml:space="preserve"> que le Brésil ne soit pas en mesure d</w:t>
      </w:r>
      <w:r w:rsidR="00A73D6D" w:rsidRPr="00A75061">
        <w:rPr>
          <w:u w:val="none"/>
          <w:lang w:val="fr-FR"/>
        </w:rPr>
        <w:t>’</w:t>
      </w:r>
      <w:r w:rsidRPr="00A75061">
        <w:rPr>
          <w:u w:val="none"/>
          <w:lang w:val="fr-FR"/>
        </w:rPr>
        <w:t xml:space="preserve">honorer son offre précédente et </w:t>
      </w:r>
      <w:r w:rsidRPr="00A75061">
        <w:rPr>
          <w:lang w:val="fr-FR"/>
        </w:rPr>
        <w:t>invite</w:t>
      </w:r>
      <w:r w:rsidRPr="00A75061">
        <w:rPr>
          <w:u w:val="none"/>
          <w:lang w:val="fr-FR"/>
        </w:rPr>
        <w:t xml:space="preserve"> d</w:t>
      </w:r>
      <w:r w:rsidR="00A73D6D" w:rsidRPr="00A75061">
        <w:rPr>
          <w:u w:val="none"/>
          <w:lang w:val="fr-FR"/>
        </w:rPr>
        <w:t>’</w:t>
      </w:r>
      <w:r w:rsidRPr="00A75061">
        <w:rPr>
          <w:u w:val="none"/>
          <w:lang w:val="fr-FR"/>
        </w:rPr>
        <w:t>autres contributeurs à soutenir le programme de deux ans de renforcement des capacités nationales pour la sauvegarde du patrimoine culturel immatériel au Paraguay, approuvé en 2013 ;</w:t>
      </w:r>
    </w:p>
    <w:p w14:paraId="04492710" w14:textId="67C719F9" w:rsidR="00A4292F" w:rsidRPr="00A75061" w:rsidRDefault="007A434B" w:rsidP="00770938">
      <w:pPr>
        <w:pStyle w:val="COMParaDecision"/>
        <w:keepLines/>
        <w:ind w:left="1134" w:hanging="567"/>
        <w:rPr>
          <w:u w:val="none"/>
          <w:lang w:val="fr-FR"/>
        </w:rPr>
      </w:pPr>
      <w:r w:rsidRPr="00A75061">
        <w:rPr>
          <w:lang w:val="fr-FR"/>
        </w:rPr>
        <w:t>Remercie</w:t>
      </w:r>
      <w:r w:rsidRPr="00A75061" w:rsidDel="007A434B">
        <w:rPr>
          <w:lang w:val="fr-FR"/>
        </w:rPr>
        <w:t xml:space="preserve"> </w:t>
      </w:r>
      <w:r w:rsidRPr="00A75061">
        <w:rPr>
          <w:lang w:val="fr-FR"/>
        </w:rPr>
        <w:t>également</w:t>
      </w:r>
      <w:r w:rsidR="00451613" w:rsidRPr="00A75061">
        <w:rPr>
          <w:u w:val="none"/>
          <w:lang w:val="fr-FR"/>
        </w:rPr>
        <w:t xml:space="preserve"> </w:t>
      </w:r>
      <w:r w:rsidRPr="00A75061">
        <w:rPr>
          <w:u w:val="none"/>
          <w:lang w:val="fr-FR"/>
        </w:rPr>
        <w:t>le</w:t>
      </w:r>
      <w:r w:rsidR="00451613" w:rsidRPr="00A75061">
        <w:rPr>
          <w:u w:val="none"/>
          <w:lang w:val="fr-FR"/>
        </w:rPr>
        <w:t xml:space="preserve"> Viet Nam </w:t>
      </w:r>
      <w:r w:rsidRPr="00A75061">
        <w:rPr>
          <w:u w:val="none"/>
          <w:lang w:val="fr-FR"/>
        </w:rPr>
        <w:t xml:space="preserve">pour les informations concernant sa contribution volontaire supplémentaire au Fonds du patrimoine culturel immatériel en attente, </w:t>
      </w:r>
      <w:r w:rsidRPr="00A75061">
        <w:rPr>
          <w:lang w:val="fr-FR"/>
        </w:rPr>
        <w:t>regrette</w:t>
      </w:r>
      <w:r w:rsidRPr="00A75061">
        <w:rPr>
          <w:u w:val="none"/>
          <w:lang w:val="fr-FR"/>
        </w:rPr>
        <w:t xml:space="preserve"> que le Viet Nam ne soit pas en mesure d’honorer son offre précédente et </w:t>
      </w:r>
      <w:r w:rsidRPr="00A75061">
        <w:rPr>
          <w:lang w:val="fr-FR"/>
        </w:rPr>
        <w:t>invite</w:t>
      </w:r>
      <w:r w:rsidRPr="00A75061">
        <w:rPr>
          <w:u w:val="none"/>
          <w:lang w:val="fr-FR"/>
        </w:rPr>
        <w:t xml:space="preserve"> d’autres donateurs à envisager la possibilité d’appuyer des initiatives visant à explorer davantage les liens entre le patrimoine culturel immatériel et le changement climatique, ainsi que avec d’autres questions liées au développement durable ;</w:t>
      </w:r>
    </w:p>
    <w:p w14:paraId="056C38D4" w14:textId="4D234241" w:rsidR="00EC523D" w:rsidRPr="00A75061" w:rsidRDefault="00451613" w:rsidP="00C75E87">
      <w:pPr>
        <w:pStyle w:val="COMParaDecision"/>
        <w:ind w:left="1134" w:hanging="567"/>
        <w:rPr>
          <w:lang w:val="fr-FR"/>
        </w:rPr>
      </w:pPr>
      <w:r w:rsidRPr="00A75061">
        <w:rPr>
          <w:lang w:val="fr-FR"/>
        </w:rPr>
        <w:t>Prend également note</w:t>
      </w:r>
      <w:r w:rsidRPr="00A75061">
        <w:rPr>
          <w:u w:val="none"/>
          <w:lang w:val="fr-FR"/>
        </w:rPr>
        <w:t xml:space="preserve"> du fait qu</w:t>
      </w:r>
      <w:r w:rsidR="00A73D6D" w:rsidRPr="00A75061">
        <w:rPr>
          <w:u w:val="none"/>
          <w:lang w:val="fr-FR"/>
        </w:rPr>
        <w:t>’</w:t>
      </w:r>
      <w:r w:rsidRPr="00A75061">
        <w:rPr>
          <w:u w:val="none"/>
          <w:lang w:val="fr-FR"/>
        </w:rPr>
        <w:t>aucune contribution volontaire supplémentaire au Fonds du patrimoine culturel immatériel n</w:t>
      </w:r>
      <w:r w:rsidR="00A73D6D" w:rsidRPr="00A75061">
        <w:rPr>
          <w:u w:val="none"/>
          <w:lang w:val="fr-FR"/>
        </w:rPr>
        <w:t>’</w:t>
      </w:r>
      <w:r w:rsidRPr="00A75061">
        <w:rPr>
          <w:u w:val="none"/>
          <w:lang w:val="fr-FR"/>
        </w:rPr>
        <w:t>a encore été reçue pour couvrir l</w:t>
      </w:r>
      <w:r w:rsidR="00A73D6D" w:rsidRPr="00A75061">
        <w:rPr>
          <w:u w:val="none"/>
          <w:lang w:val="fr-FR"/>
        </w:rPr>
        <w:t>’</w:t>
      </w:r>
      <w:r w:rsidRPr="00A75061">
        <w:rPr>
          <w:u w:val="none"/>
          <w:lang w:val="fr-FR"/>
        </w:rPr>
        <w:t>ensemble des coûts de l</w:t>
      </w:r>
      <w:r w:rsidR="00A73D6D" w:rsidRPr="00A75061">
        <w:rPr>
          <w:u w:val="none"/>
          <w:lang w:val="fr-FR"/>
        </w:rPr>
        <w:t>’</w:t>
      </w:r>
      <w:r w:rsidRPr="00A75061">
        <w:rPr>
          <w:u w:val="none"/>
          <w:lang w:val="fr-FR"/>
        </w:rPr>
        <w:t>organisation de deux groupes de travail intergouvernementaux à composition non limitée respectivement dédiés au développement du cadre global de résultats pour la Convention et à la procédure de retrait d</w:t>
      </w:r>
      <w:r w:rsidR="00A73D6D" w:rsidRPr="00A75061">
        <w:rPr>
          <w:u w:val="none"/>
          <w:lang w:val="fr-FR"/>
        </w:rPr>
        <w:t>’</w:t>
      </w:r>
      <w:r w:rsidRPr="00A75061">
        <w:rPr>
          <w:u w:val="none"/>
          <w:lang w:val="fr-FR"/>
        </w:rPr>
        <w:t>un élément d</w:t>
      </w:r>
      <w:r w:rsidR="00A73D6D" w:rsidRPr="00A75061">
        <w:rPr>
          <w:u w:val="none"/>
          <w:lang w:val="fr-FR"/>
        </w:rPr>
        <w:t>’</w:t>
      </w:r>
      <w:r w:rsidRPr="00A75061">
        <w:rPr>
          <w:u w:val="none"/>
          <w:lang w:val="fr-FR"/>
        </w:rPr>
        <w:t>une Liste et de transfert d</w:t>
      </w:r>
      <w:r w:rsidR="00A73D6D" w:rsidRPr="00A75061">
        <w:rPr>
          <w:u w:val="none"/>
          <w:lang w:val="fr-FR"/>
        </w:rPr>
        <w:t>’</w:t>
      </w:r>
      <w:r w:rsidRPr="00A75061">
        <w:rPr>
          <w:u w:val="none"/>
          <w:lang w:val="fr-FR"/>
        </w:rPr>
        <w:t>un élément d</w:t>
      </w:r>
      <w:r w:rsidR="00A73D6D" w:rsidRPr="00A75061">
        <w:rPr>
          <w:u w:val="none"/>
          <w:lang w:val="fr-FR"/>
        </w:rPr>
        <w:t>’</w:t>
      </w:r>
      <w:r w:rsidRPr="00A75061">
        <w:rPr>
          <w:u w:val="none"/>
          <w:lang w:val="fr-FR"/>
        </w:rPr>
        <w:t>une Liste à l</w:t>
      </w:r>
      <w:r w:rsidR="00A73D6D" w:rsidRPr="00A75061">
        <w:rPr>
          <w:u w:val="none"/>
          <w:lang w:val="fr-FR"/>
        </w:rPr>
        <w:t>’</w:t>
      </w:r>
      <w:r w:rsidRPr="00A75061">
        <w:rPr>
          <w:u w:val="none"/>
          <w:lang w:val="fr-FR"/>
        </w:rPr>
        <w:t>autre ;</w:t>
      </w:r>
    </w:p>
    <w:p w14:paraId="23CCD058" w14:textId="14805798" w:rsidR="00A4292F" w:rsidRPr="00A75061" w:rsidRDefault="00A4292F" w:rsidP="00C75E87">
      <w:pPr>
        <w:pStyle w:val="COMParaDecision"/>
        <w:ind w:left="1134" w:hanging="567"/>
        <w:rPr>
          <w:u w:val="none"/>
          <w:lang w:val="fr-FR"/>
        </w:rPr>
      </w:pPr>
      <w:r w:rsidRPr="00A75061">
        <w:rPr>
          <w:lang w:val="fr-FR"/>
        </w:rPr>
        <w:t>Remercie</w:t>
      </w:r>
      <w:r w:rsidRPr="00A75061">
        <w:rPr>
          <w:u w:val="none"/>
          <w:lang w:val="fr-FR"/>
        </w:rPr>
        <w:t xml:space="preserve"> tous les contributeurs qui ont généreusement soutenu la Convention et son Secrétariat depuis sa dernière session, à savoir l</w:t>
      </w:r>
      <w:r w:rsidR="00A73D6D" w:rsidRPr="00A75061">
        <w:rPr>
          <w:u w:val="none"/>
          <w:lang w:val="fr-FR"/>
        </w:rPr>
        <w:t>’</w:t>
      </w:r>
      <w:r w:rsidRPr="00A75061">
        <w:rPr>
          <w:u w:val="none"/>
          <w:lang w:val="fr-FR"/>
        </w:rPr>
        <w:t xml:space="preserve">Azerbaïdjan, </w:t>
      </w:r>
      <w:r w:rsidR="00D53242" w:rsidRPr="00A75061">
        <w:rPr>
          <w:u w:val="none"/>
          <w:lang w:val="fr-FR"/>
        </w:rPr>
        <w:t xml:space="preserve">la Belgique (Flandres), </w:t>
      </w:r>
      <w:r w:rsidRPr="00A75061">
        <w:rPr>
          <w:u w:val="none"/>
          <w:lang w:val="fr-FR"/>
        </w:rPr>
        <w:t xml:space="preserve">la Chine, le Japon, </w:t>
      </w:r>
      <w:r w:rsidR="00D53242" w:rsidRPr="00A75061">
        <w:rPr>
          <w:u w:val="none"/>
          <w:lang w:val="fr-FR"/>
        </w:rPr>
        <w:t>les Pays-Bas,</w:t>
      </w:r>
      <w:r w:rsidR="004E64E9" w:rsidRPr="00A75061">
        <w:rPr>
          <w:u w:val="none"/>
          <w:lang w:val="fr-FR"/>
        </w:rPr>
        <w:t xml:space="preserve"> </w:t>
      </w:r>
      <w:r w:rsidRPr="00A75061">
        <w:rPr>
          <w:u w:val="none"/>
          <w:lang w:val="fr-FR"/>
        </w:rPr>
        <w:t>la Norvège, l</w:t>
      </w:r>
      <w:r w:rsidR="00A73D6D" w:rsidRPr="00A75061">
        <w:rPr>
          <w:u w:val="none"/>
          <w:lang w:val="fr-FR"/>
        </w:rPr>
        <w:t>’</w:t>
      </w:r>
      <w:r w:rsidRPr="00A75061">
        <w:rPr>
          <w:u w:val="none"/>
          <w:lang w:val="fr-FR"/>
        </w:rPr>
        <w:t>Espagne (</w:t>
      </w:r>
      <w:r w:rsidR="00442B22" w:rsidRPr="00A75061">
        <w:rPr>
          <w:u w:val="none"/>
          <w:lang w:val="fr-FR"/>
        </w:rPr>
        <w:t>Gouvernement de la Catalogne</w:t>
      </w:r>
      <w:r w:rsidRPr="00A75061">
        <w:rPr>
          <w:u w:val="none"/>
          <w:lang w:val="fr-FR"/>
        </w:rPr>
        <w:t>) et les Émirats arabes unis (</w:t>
      </w:r>
      <w:r w:rsidR="00347744" w:rsidRPr="00A75061">
        <w:rPr>
          <w:u w:val="none"/>
          <w:lang w:val="fr-FR"/>
        </w:rPr>
        <w:t>l</w:t>
      </w:r>
      <w:r w:rsidR="00A73D6D" w:rsidRPr="00A75061">
        <w:rPr>
          <w:u w:val="none"/>
          <w:lang w:val="fr-FR"/>
        </w:rPr>
        <w:t>’</w:t>
      </w:r>
      <w:r w:rsidRPr="00A75061">
        <w:rPr>
          <w:u w:val="none"/>
          <w:lang w:val="fr-FR"/>
        </w:rPr>
        <w:t>Autorité d</w:t>
      </w:r>
      <w:r w:rsidR="00A73D6D" w:rsidRPr="00A75061">
        <w:rPr>
          <w:u w:val="none"/>
          <w:lang w:val="fr-FR"/>
        </w:rPr>
        <w:t>’</w:t>
      </w:r>
      <w:r w:rsidRPr="00A75061">
        <w:rPr>
          <w:u w:val="none"/>
          <w:lang w:val="fr-FR"/>
        </w:rPr>
        <w:t xml:space="preserve">Abou Dhabi pour le </w:t>
      </w:r>
      <w:r w:rsidR="00950445" w:rsidRPr="00A75061">
        <w:rPr>
          <w:u w:val="none"/>
          <w:lang w:val="fr-FR"/>
        </w:rPr>
        <w:t xml:space="preserve">tourisme </w:t>
      </w:r>
      <w:r w:rsidRPr="00A75061">
        <w:rPr>
          <w:u w:val="none"/>
          <w:lang w:val="fr-FR"/>
        </w:rPr>
        <w:t xml:space="preserve">et la </w:t>
      </w:r>
      <w:r w:rsidR="00950445" w:rsidRPr="00A75061">
        <w:rPr>
          <w:u w:val="none"/>
          <w:lang w:val="fr-FR"/>
        </w:rPr>
        <w:t>c</w:t>
      </w:r>
      <w:r w:rsidRPr="00A75061">
        <w:rPr>
          <w:u w:val="none"/>
          <w:lang w:val="fr-FR"/>
        </w:rPr>
        <w:t xml:space="preserve">ulture et </w:t>
      </w:r>
      <w:r w:rsidR="00347744" w:rsidRPr="00A75061">
        <w:rPr>
          <w:u w:val="none"/>
          <w:lang w:val="fr-FR"/>
        </w:rPr>
        <w:t xml:space="preserve">le </w:t>
      </w:r>
      <w:r w:rsidRPr="00A75061">
        <w:rPr>
          <w:u w:val="none"/>
          <w:lang w:val="fr-FR"/>
        </w:rPr>
        <w:t xml:space="preserve">Centre pour le patrimoine </w:t>
      </w:r>
      <w:proofErr w:type="spellStart"/>
      <w:r w:rsidRPr="00A75061">
        <w:rPr>
          <w:u w:val="none"/>
          <w:lang w:val="fr-FR"/>
        </w:rPr>
        <w:t>Hamdan</w:t>
      </w:r>
      <w:proofErr w:type="spellEnd"/>
      <w:r w:rsidRPr="00A75061">
        <w:rPr>
          <w:u w:val="none"/>
          <w:lang w:val="fr-FR"/>
        </w:rPr>
        <w:t xml:space="preserve"> Bin Mohammed), ainsi que le Centre norvégien de danse et de musique traditionnelles ;</w:t>
      </w:r>
    </w:p>
    <w:p w14:paraId="036183B5" w14:textId="676DF71C" w:rsidR="005F3BFA" w:rsidRPr="00A75061" w:rsidRDefault="00A4292F" w:rsidP="005F3BFA">
      <w:pPr>
        <w:pStyle w:val="COMParaDecision"/>
        <w:ind w:left="1134" w:hanging="567"/>
        <w:rPr>
          <w:u w:val="none"/>
          <w:lang w:val="fr-FR"/>
        </w:rPr>
      </w:pPr>
      <w:r w:rsidRPr="00A75061">
        <w:rPr>
          <w:lang w:val="fr-FR"/>
        </w:rPr>
        <w:t>Encourage</w:t>
      </w:r>
      <w:r w:rsidRPr="00A75061">
        <w:rPr>
          <w:u w:val="none"/>
          <w:lang w:val="fr-FR"/>
        </w:rPr>
        <w:t xml:space="preserve"> d</w:t>
      </w:r>
      <w:r w:rsidR="00A73D6D" w:rsidRPr="00A75061">
        <w:rPr>
          <w:u w:val="none"/>
          <w:lang w:val="fr-FR"/>
        </w:rPr>
        <w:t>’</w:t>
      </w:r>
      <w:r w:rsidRPr="00A75061">
        <w:rPr>
          <w:u w:val="none"/>
          <w:lang w:val="fr-FR"/>
        </w:rPr>
        <w:t>autres contributeurs à envisager la possibilité de soutenir la Convention, en particulier par l</w:t>
      </w:r>
      <w:r w:rsidR="00A73D6D" w:rsidRPr="00A75061">
        <w:rPr>
          <w:u w:val="none"/>
          <w:lang w:val="fr-FR"/>
        </w:rPr>
        <w:t>’</w:t>
      </w:r>
      <w:r w:rsidRPr="00A75061">
        <w:rPr>
          <w:u w:val="none"/>
          <w:lang w:val="fr-FR"/>
        </w:rPr>
        <w:t xml:space="preserve">intermédiaire du Fonds du patrimoine culturel immatériel, tout en les </w:t>
      </w:r>
      <w:r w:rsidRPr="00A75061">
        <w:rPr>
          <w:lang w:val="fr-FR"/>
        </w:rPr>
        <w:t>invitant</w:t>
      </w:r>
      <w:r w:rsidRPr="00A75061">
        <w:rPr>
          <w:u w:val="none"/>
          <w:lang w:val="fr-FR"/>
        </w:rPr>
        <w:t xml:space="preserve"> à verser leur contribution à temps et donc à raccourcir le plus possible le délai entre leur offre et le paiement des contributions annoncées, permettant ainsi la mise en œuvre des activités, sans heurts et sans délais ;</w:t>
      </w:r>
    </w:p>
    <w:p w14:paraId="4F067206" w14:textId="2A7B58EE" w:rsidR="00A4292F" w:rsidRPr="00A75061" w:rsidRDefault="00A4292F" w:rsidP="00C81C1D">
      <w:pPr>
        <w:pStyle w:val="COMParaDecision"/>
        <w:ind w:left="1134" w:hanging="567"/>
        <w:rPr>
          <w:lang w:val="fr-FR"/>
        </w:rPr>
      </w:pPr>
      <w:r w:rsidRPr="00A75061">
        <w:rPr>
          <w:lang w:val="fr-FR"/>
        </w:rPr>
        <w:t>Demande</w:t>
      </w:r>
      <w:r w:rsidRPr="00A75061">
        <w:rPr>
          <w:u w:val="none"/>
          <w:lang w:val="fr-FR"/>
        </w:rPr>
        <w:t xml:space="preserve"> au Secrétariat de lui rendre compte, lors de sa douzième session, de l</w:t>
      </w:r>
      <w:r w:rsidR="00A73D6D" w:rsidRPr="00A75061">
        <w:rPr>
          <w:u w:val="none"/>
          <w:lang w:val="fr-FR"/>
        </w:rPr>
        <w:t>’</w:t>
      </w:r>
      <w:r w:rsidRPr="00A75061">
        <w:rPr>
          <w:u w:val="none"/>
          <w:lang w:val="fr-FR"/>
        </w:rPr>
        <w:t>avancement de la mise en œuvre de toute contribution volontaire supplémentaire qu</w:t>
      </w:r>
      <w:r w:rsidR="00A73D6D" w:rsidRPr="00A75061">
        <w:rPr>
          <w:u w:val="none"/>
          <w:lang w:val="fr-FR"/>
        </w:rPr>
        <w:t>’</w:t>
      </w:r>
      <w:r w:rsidRPr="00A75061">
        <w:rPr>
          <w:u w:val="none"/>
          <w:lang w:val="fr-FR"/>
        </w:rPr>
        <w:t>il aurait reçue depuis sa dernière session.</w:t>
      </w:r>
    </w:p>
    <w:p w14:paraId="45511DA8" w14:textId="77777777" w:rsidR="00E60366" w:rsidRPr="00A75061" w:rsidRDefault="00E60366">
      <w:pPr>
        <w:rPr>
          <w:rFonts w:ascii="Arial" w:eastAsia="SimSun" w:hAnsi="Arial" w:cs="Arial"/>
          <w:sz w:val="22"/>
          <w:szCs w:val="22"/>
        </w:rPr>
      </w:pPr>
      <w:r w:rsidRPr="00A75061">
        <w:br w:type="page"/>
      </w:r>
      <w:bookmarkStart w:id="0" w:name="_GoBack"/>
      <w:bookmarkEnd w:id="0"/>
    </w:p>
    <w:p w14:paraId="75826DC0" w14:textId="77777777" w:rsidR="00424398" w:rsidRPr="00A75061" w:rsidRDefault="00D86198" w:rsidP="00424398">
      <w:pPr>
        <w:pStyle w:val="COMParaDecision"/>
        <w:keepNext/>
        <w:numPr>
          <w:ilvl w:val="0"/>
          <w:numId w:val="0"/>
        </w:numPr>
        <w:jc w:val="center"/>
        <w:rPr>
          <w:b/>
          <w:caps/>
          <w:snapToGrid w:val="0"/>
          <w:u w:val="none"/>
          <w:lang w:val="fr-FR"/>
        </w:rPr>
      </w:pPr>
      <w:r w:rsidRPr="00A75061">
        <w:rPr>
          <w:b/>
          <w:caps/>
          <w:snapToGrid w:val="0"/>
          <w:u w:val="none"/>
          <w:lang w:val="fr-FR"/>
        </w:rPr>
        <w:t>ANNEXE I</w:t>
      </w:r>
    </w:p>
    <w:p w14:paraId="0DECFBD8" w14:textId="49B371C0" w:rsidR="008229FC" w:rsidRPr="00A75061" w:rsidRDefault="00424398" w:rsidP="00E66B37">
      <w:pPr>
        <w:pStyle w:val="COMParaDecision"/>
        <w:keepNext/>
        <w:numPr>
          <w:ilvl w:val="0"/>
          <w:numId w:val="0"/>
        </w:numPr>
        <w:spacing w:after="840"/>
        <w:jc w:val="center"/>
        <w:rPr>
          <w:i/>
          <w:snapToGrid w:val="0"/>
          <w:u w:val="none"/>
          <w:lang w:val="fr-FR"/>
        </w:rPr>
      </w:pPr>
      <w:r w:rsidRPr="00A75061">
        <w:rPr>
          <w:i/>
          <w:caps/>
          <w:snapToGrid w:val="0"/>
          <w:u w:val="none"/>
          <w:lang w:val="fr-FR"/>
        </w:rPr>
        <w:t>T</w:t>
      </w:r>
      <w:r w:rsidRPr="00A75061">
        <w:rPr>
          <w:i/>
          <w:snapToGrid w:val="0"/>
          <w:u w:val="none"/>
          <w:lang w:val="fr-FR"/>
        </w:rPr>
        <w:t>raduction du Secrétariat</w:t>
      </w:r>
      <w:r w:rsidR="001050E0" w:rsidRPr="00A75061">
        <w:rPr>
          <w:noProof/>
          <w:lang w:val="fr-FR" w:eastAsia="ko-KR"/>
        </w:rPr>
        <w:drawing>
          <wp:anchor distT="0" distB="0" distL="114300" distR="114300" simplePos="0" relativeHeight="251658240" behindDoc="0" locked="0" layoutInCell="1" allowOverlap="1" wp14:anchorId="09309A4A" wp14:editId="3D4E537D">
            <wp:simplePos x="0" y="0"/>
            <wp:positionH relativeFrom="column">
              <wp:posOffset>3810</wp:posOffset>
            </wp:positionH>
            <wp:positionV relativeFrom="page">
              <wp:posOffset>1645285</wp:posOffset>
            </wp:positionV>
            <wp:extent cx="410400" cy="392400"/>
            <wp:effectExtent l="0" t="0" r="889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10400" cy="392400"/>
                    </a:xfrm>
                    <a:prstGeom prst="rect">
                      <a:avLst/>
                    </a:prstGeom>
                  </pic:spPr>
                </pic:pic>
              </a:graphicData>
            </a:graphic>
            <wp14:sizeRelH relativeFrom="page">
              <wp14:pctWidth>0</wp14:pctWidth>
            </wp14:sizeRelH>
            <wp14:sizeRelV relativeFrom="page">
              <wp14:pctHeight>0</wp14:pctHeight>
            </wp14:sizeRelV>
          </wp:anchor>
        </w:drawing>
      </w:r>
    </w:p>
    <w:p w14:paraId="5786443D" w14:textId="77777777" w:rsidR="008229FC" w:rsidRPr="00A75061" w:rsidRDefault="008229FC" w:rsidP="00424398">
      <w:pPr>
        <w:spacing w:before="240" w:after="240"/>
        <w:rPr>
          <w:rFonts w:ascii="Arial" w:hAnsi="Arial" w:cs="Arial"/>
          <w:color w:val="AEA038"/>
          <w:sz w:val="22"/>
          <w:szCs w:val="22"/>
        </w:rPr>
      </w:pPr>
      <w:r w:rsidRPr="00A75061">
        <w:rPr>
          <w:rFonts w:ascii="Arial" w:hAnsi="Arial"/>
          <w:color w:val="AEA038"/>
          <w:sz w:val="22"/>
        </w:rPr>
        <w:t>Département du patrimoine culturel, République de Corée</w:t>
      </w:r>
    </w:p>
    <w:p w14:paraId="5F1D593F" w14:textId="6836DB3D" w:rsidR="008229FC" w:rsidRPr="00A75061" w:rsidRDefault="008229FC" w:rsidP="00424398">
      <w:pPr>
        <w:spacing w:before="240" w:after="240"/>
        <w:rPr>
          <w:rFonts w:ascii="Arial" w:hAnsi="Arial" w:cs="Arial"/>
          <w:sz w:val="22"/>
          <w:szCs w:val="22"/>
        </w:rPr>
      </w:pPr>
      <w:r w:rsidRPr="00A75061">
        <w:rPr>
          <w:rFonts w:ascii="Arial" w:hAnsi="Arial"/>
          <w:sz w:val="22"/>
        </w:rPr>
        <w:t>Organisation des Nations Unies pour l</w:t>
      </w:r>
      <w:r w:rsidR="00A73D6D" w:rsidRPr="00A75061">
        <w:rPr>
          <w:rFonts w:ascii="Arial" w:hAnsi="Arial"/>
          <w:sz w:val="22"/>
        </w:rPr>
        <w:t>’</w:t>
      </w:r>
      <w:r w:rsidRPr="00A75061">
        <w:rPr>
          <w:rFonts w:ascii="Arial" w:hAnsi="Arial"/>
          <w:sz w:val="22"/>
        </w:rPr>
        <w:t>éducation, la science et la culture</w:t>
      </w:r>
      <w:r w:rsidR="006943B9" w:rsidRPr="00A75061">
        <w:rPr>
          <w:rFonts w:ascii="Arial" w:hAnsi="Arial"/>
          <w:sz w:val="22"/>
        </w:rPr>
        <w:br/>
      </w:r>
      <w:r w:rsidRPr="00A75061">
        <w:rPr>
          <w:rFonts w:ascii="Arial" w:hAnsi="Arial"/>
          <w:sz w:val="22"/>
        </w:rPr>
        <w:t>UNESCO</w:t>
      </w:r>
    </w:p>
    <w:p w14:paraId="17AFE7E0" w14:textId="6F3C96A0" w:rsidR="008229FC" w:rsidRPr="00A75061" w:rsidRDefault="008229FC" w:rsidP="00424398">
      <w:pPr>
        <w:spacing w:before="240" w:after="240"/>
        <w:rPr>
          <w:rFonts w:ascii="Arial" w:hAnsi="Arial" w:cs="Arial"/>
          <w:sz w:val="22"/>
          <w:szCs w:val="22"/>
        </w:rPr>
      </w:pPr>
      <w:r w:rsidRPr="00A75061">
        <w:rPr>
          <w:rFonts w:ascii="Arial" w:hAnsi="Arial"/>
          <w:sz w:val="22"/>
        </w:rPr>
        <w:t>M. Tim CURTIS</w:t>
      </w:r>
      <w:r w:rsidR="006943B9" w:rsidRPr="00A75061">
        <w:rPr>
          <w:rFonts w:ascii="Arial" w:hAnsi="Arial"/>
          <w:sz w:val="22"/>
        </w:rPr>
        <w:br/>
      </w:r>
      <w:r w:rsidRPr="00A75061">
        <w:rPr>
          <w:rFonts w:ascii="Arial" w:hAnsi="Arial"/>
          <w:sz w:val="22"/>
        </w:rPr>
        <w:t>Chef, Section du patrimoine culturel immatériel</w:t>
      </w:r>
      <w:r w:rsidR="006943B9" w:rsidRPr="00A75061">
        <w:rPr>
          <w:rFonts w:ascii="Arial" w:hAnsi="Arial"/>
          <w:sz w:val="22"/>
        </w:rPr>
        <w:br/>
      </w:r>
      <w:r w:rsidRPr="00A75061">
        <w:rPr>
          <w:rFonts w:ascii="Arial" w:hAnsi="Arial"/>
          <w:sz w:val="22"/>
        </w:rPr>
        <w:t>Secteur de la culture</w:t>
      </w:r>
    </w:p>
    <w:p w14:paraId="2CE8DFC2" w14:textId="7779D1E4" w:rsidR="008229FC" w:rsidRPr="00A75061" w:rsidRDefault="008229FC" w:rsidP="00424398">
      <w:pPr>
        <w:spacing w:before="240" w:after="240"/>
        <w:jc w:val="both"/>
        <w:rPr>
          <w:rFonts w:ascii="Arial" w:hAnsi="Arial" w:cs="Arial"/>
          <w:b/>
          <w:sz w:val="22"/>
          <w:szCs w:val="22"/>
        </w:rPr>
      </w:pPr>
      <w:r w:rsidRPr="00A75061">
        <w:rPr>
          <w:rFonts w:ascii="Arial" w:hAnsi="Arial"/>
          <w:b/>
          <w:sz w:val="22"/>
        </w:rPr>
        <w:t xml:space="preserve">Contribution volontaire supplémentaire de la République de Corée au Fonds du patrimoine culturel immatériel </w:t>
      </w:r>
      <w:r w:rsidR="00396BBD" w:rsidRPr="00A75061">
        <w:rPr>
          <w:rFonts w:ascii="Arial" w:hAnsi="Arial"/>
          <w:b/>
          <w:sz w:val="22"/>
        </w:rPr>
        <w:t>pour soutenir le</w:t>
      </w:r>
      <w:r w:rsidRPr="00A75061">
        <w:rPr>
          <w:rFonts w:ascii="Arial" w:hAnsi="Arial"/>
          <w:b/>
          <w:sz w:val="22"/>
        </w:rPr>
        <w:t xml:space="preserve"> projet provisoirement intitulé « Amélioration du mécanisme de soumission des rapports périodiques de la Convention </w:t>
      </w:r>
      <w:r w:rsidR="00933A0E" w:rsidRPr="00A75061">
        <w:rPr>
          <w:rFonts w:ascii="Arial" w:hAnsi="Arial"/>
          <w:b/>
          <w:sz w:val="22"/>
        </w:rPr>
        <w:t xml:space="preserve">de 2003 </w:t>
      </w:r>
      <w:r w:rsidRPr="00A75061">
        <w:rPr>
          <w:rFonts w:ascii="Arial" w:hAnsi="Arial"/>
          <w:b/>
          <w:sz w:val="22"/>
        </w:rPr>
        <w:t>pour la sauvegarde du patrimoine culturel immatériel</w:t>
      </w:r>
      <w:r w:rsidR="00933A0E" w:rsidRPr="00A75061">
        <w:rPr>
          <w:rFonts w:ascii="Arial" w:hAnsi="Arial"/>
          <w:b/>
          <w:sz w:val="22"/>
        </w:rPr>
        <w:t xml:space="preserve"> </w:t>
      </w:r>
      <w:r w:rsidRPr="00A75061">
        <w:rPr>
          <w:rFonts w:ascii="Arial" w:hAnsi="Arial"/>
          <w:b/>
          <w:sz w:val="22"/>
        </w:rPr>
        <w:t>».</w:t>
      </w:r>
    </w:p>
    <w:p w14:paraId="1B649306" w14:textId="17761795" w:rsidR="008229FC" w:rsidRPr="00A75061" w:rsidRDefault="008229FC" w:rsidP="00424398">
      <w:pPr>
        <w:spacing w:before="1080"/>
        <w:ind w:firstLine="709"/>
        <w:jc w:val="both"/>
        <w:rPr>
          <w:rFonts w:ascii="Arial" w:hAnsi="Arial" w:cs="Arial"/>
          <w:sz w:val="22"/>
          <w:szCs w:val="22"/>
        </w:rPr>
      </w:pPr>
      <w:r w:rsidRPr="00A75061">
        <w:rPr>
          <w:rFonts w:ascii="Arial" w:hAnsi="Arial"/>
          <w:sz w:val="22"/>
        </w:rPr>
        <w:t>Cher M. Curtis,</w:t>
      </w:r>
    </w:p>
    <w:p w14:paraId="654AA7AE" w14:textId="1A3A0D0D" w:rsidR="008229FC" w:rsidRPr="00A75061" w:rsidRDefault="008229FC" w:rsidP="00424398">
      <w:pPr>
        <w:spacing w:before="240"/>
        <w:jc w:val="both"/>
        <w:rPr>
          <w:rFonts w:ascii="Arial" w:hAnsi="Arial" w:cs="Arial"/>
          <w:sz w:val="22"/>
          <w:szCs w:val="22"/>
        </w:rPr>
      </w:pPr>
      <w:r w:rsidRPr="00A75061">
        <w:tab/>
      </w:r>
      <w:r w:rsidRPr="00A75061">
        <w:rPr>
          <w:rFonts w:ascii="Arial" w:hAnsi="Arial"/>
          <w:sz w:val="22"/>
        </w:rPr>
        <w:t>Le Département du patrimoine culturel de la République de Corée souhaite exprimer sa profonde reconnaissance au Secrétariat de l</w:t>
      </w:r>
      <w:r w:rsidR="00A73D6D" w:rsidRPr="00A75061">
        <w:rPr>
          <w:rFonts w:ascii="Arial" w:hAnsi="Arial"/>
          <w:sz w:val="22"/>
        </w:rPr>
        <w:t>’</w:t>
      </w:r>
      <w:r w:rsidRPr="00A75061">
        <w:rPr>
          <w:rFonts w:ascii="Arial" w:hAnsi="Arial"/>
          <w:sz w:val="22"/>
        </w:rPr>
        <w:t>UNESCO pour son travail et le soutien indéfectible qu</w:t>
      </w:r>
      <w:r w:rsidR="00A73D6D" w:rsidRPr="00A75061">
        <w:rPr>
          <w:rFonts w:ascii="Arial" w:hAnsi="Arial"/>
          <w:sz w:val="22"/>
        </w:rPr>
        <w:t>’</w:t>
      </w:r>
      <w:r w:rsidRPr="00A75061">
        <w:rPr>
          <w:rFonts w:ascii="Arial" w:hAnsi="Arial"/>
          <w:sz w:val="22"/>
        </w:rPr>
        <w:t xml:space="preserve">il apporte aux États parties dans la mise en œuvre de la Convention de 2003 pour la sauvegarde du patrimoine culturel immatériel. Il va sans dire que le </w:t>
      </w:r>
      <w:r w:rsidR="006943B9" w:rsidRPr="00A75061">
        <w:rPr>
          <w:rFonts w:ascii="Arial" w:hAnsi="Arial"/>
          <w:sz w:val="22"/>
        </w:rPr>
        <w:t xml:space="preserve">Gouvernement </w:t>
      </w:r>
      <w:r w:rsidRPr="00A75061">
        <w:rPr>
          <w:rFonts w:ascii="Arial" w:hAnsi="Arial"/>
          <w:sz w:val="22"/>
        </w:rPr>
        <w:t>de Corée attache également une grande importance à la sauvegarde du patrimoine culturel immatériel et s</w:t>
      </w:r>
      <w:r w:rsidR="00A73D6D" w:rsidRPr="00A75061">
        <w:rPr>
          <w:rFonts w:ascii="Arial" w:hAnsi="Arial"/>
          <w:sz w:val="22"/>
        </w:rPr>
        <w:t>’</w:t>
      </w:r>
      <w:r w:rsidRPr="00A75061">
        <w:rPr>
          <w:rFonts w:ascii="Arial" w:hAnsi="Arial"/>
          <w:sz w:val="22"/>
        </w:rPr>
        <w:t>engage énergiquement dans la mise en œuvre de la Convention sur son territoire et dans le soutien de sa mise en œuvre à l</w:t>
      </w:r>
      <w:r w:rsidR="00A73D6D" w:rsidRPr="00A75061">
        <w:rPr>
          <w:rFonts w:ascii="Arial" w:hAnsi="Arial"/>
          <w:sz w:val="22"/>
        </w:rPr>
        <w:t>’</w:t>
      </w:r>
      <w:r w:rsidRPr="00A75061">
        <w:rPr>
          <w:rFonts w:ascii="Arial" w:hAnsi="Arial"/>
          <w:sz w:val="22"/>
        </w:rPr>
        <w:t>étranger.</w:t>
      </w:r>
    </w:p>
    <w:p w14:paraId="024542FA" w14:textId="29530B07" w:rsidR="008229FC" w:rsidRPr="00A75061" w:rsidRDefault="008229FC" w:rsidP="00424398">
      <w:pPr>
        <w:spacing w:before="240"/>
        <w:ind w:firstLine="709"/>
        <w:jc w:val="both"/>
        <w:rPr>
          <w:rFonts w:ascii="Arial" w:hAnsi="Arial" w:cs="Arial"/>
          <w:sz w:val="22"/>
          <w:szCs w:val="22"/>
        </w:rPr>
      </w:pPr>
      <w:r w:rsidRPr="00A75061">
        <w:rPr>
          <w:rFonts w:ascii="Arial" w:hAnsi="Arial"/>
          <w:sz w:val="22"/>
        </w:rPr>
        <w:t>Au niveau international, notre engagement sans faille dans la sauvegarde du patrimoine culturel immatériel s</w:t>
      </w:r>
      <w:r w:rsidR="00A73D6D" w:rsidRPr="00A75061">
        <w:rPr>
          <w:rFonts w:ascii="Arial" w:hAnsi="Arial"/>
          <w:sz w:val="22"/>
        </w:rPr>
        <w:t>’</w:t>
      </w:r>
      <w:r w:rsidRPr="00A75061">
        <w:rPr>
          <w:rFonts w:ascii="Arial" w:hAnsi="Arial"/>
          <w:sz w:val="22"/>
        </w:rPr>
        <w:t>illustre également par notre participation active au Comité intergouvernemental de sauvegarde du patrimoine culturel immatériel depuis 2014, et entre 2008 et 2012, ainsi que par la proposition de la République de Corée d</w:t>
      </w:r>
      <w:r w:rsidR="00A73D6D" w:rsidRPr="00A75061">
        <w:rPr>
          <w:rFonts w:ascii="Arial" w:hAnsi="Arial"/>
          <w:sz w:val="22"/>
        </w:rPr>
        <w:t>’</w:t>
      </w:r>
      <w:r w:rsidRPr="00A75061">
        <w:rPr>
          <w:rFonts w:ascii="Arial" w:hAnsi="Arial"/>
          <w:sz w:val="22"/>
        </w:rPr>
        <w:t>accueillir la douzième session du Comité en décembre 2017 à Séoul.</w:t>
      </w:r>
    </w:p>
    <w:p w14:paraId="185D35A1" w14:textId="3A459BF2" w:rsidR="008229FC" w:rsidRPr="00A75061" w:rsidRDefault="008229FC" w:rsidP="00424398">
      <w:pPr>
        <w:spacing w:before="240"/>
        <w:jc w:val="both"/>
        <w:rPr>
          <w:rFonts w:ascii="Arial" w:hAnsi="Arial" w:cs="Arial"/>
          <w:sz w:val="22"/>
          <w:szCs w:val="22"/>
        </w:rPr>
      </w:pPr>
      <w:r w:rsidRPr="00A75061">
        <w:tab/>
      </w:r>
      <w:r w:rsidRPr="00A75061">
        <w:rPr>
          <w:rFonts w:ascii="Arial" w:hAnsi="Arial"/>
          <w:sz w:val="22"/>
        </w:rPr>
        <w:t>En outre, dans le cadre de son engagement à long terme, la République de Corée propose d</w:t>
      </w:r>
      <w:r w:rsidR="00A73D6D" w:rsidRPr="00A75061">
        <w:rPr>
          <w:rFonts w:ascii="Arial" w:hAnsi="Arial"/>
          <w:sz w:val="22"/>
        </w:rPr>
        <w:t>’</w:t>
      </w:r>
      <w:r w:rsidRPr="00A75061">
        <w:rPr>
          <w:rFonts w:ascii="Arial" w:hAnsi="Arial"/>
          <w:sz w:val="22"/>
        </w:rPr>
        <w:t>apporter une contribution volontaire supplémentaire d</w:t>
      </w:r>
      <w:r w:rsidR="00A73D6D" w:rsidRPr="00A75061">
        <w:rPr>
          <w:rFonts w:ascii="Arial" w:hAnsi="Arial"/>
          <w:sz w:val="22"/>
        </w:rPr>
        <w:t>’</w:t>
      </w:r>
      <w:r w:rsidRPr="00A75061">
        <w:rPr>
          <w:rFonts w:ascii="Arial" w:hAnsi="Arial"/>
          <w:sz w:val="22"/>
        </w:rPr>
        <w:t>un montant de 300 000 (trois cent mille) dollars des États-Unis au Fonds du patrimoine culturel immatériel en plus de celle prévue à l</w:t>
      </w:r>
      <w:r w:rsidR="00A73D6D" w:rsidRPr="00A75061">
        <w:rPr>
          <w:rFonts w:ascii="Arial" w:hAnsi="Arial"/>
          <w:sz w:val="22"/>
        </w:rPr>
        <w:t>’</w:t>
      </w:r>
      <w:r w:rsidRPr="00A75061">
        <w:rPr>
          <w:rFonts w:ascii="Arial" w:hAnsi="Arial"/>
          <w:sz w:val="22"/>
        </w:rPr>
        <w:t>article 26 de la Convention pour l</w:t>
      </w:r>
      <w:r w:rsidR="00A73D6D" w:rsidRPr="00A75061">
        <w:rPr>
          <w:rFonts w:ascii="Arial" w:hAnsi="Arial"/>
          <w:sz w:val="22"/>
        </w:rPr>
        <w:t>’</w:t>
      </w:r>
      <w:r w:rsidRPr="00A75061">
        <w:rPr>
          <w:rFonts w:ascii="Arial" w:hAnsi="Arial"/>
          <w:sz w:val="22"/>
        </w:rPr>
        <w:t>amélioration du mécanisme de soumission des rapports périodiques de la Convention de 2003.</w:t>
      </w:r>
    </w:p>
    <w:p w14:paraId="6CB26833" w14:textId="67CDCAE0" w:rsidR="003206D1" w:rsidRPr="00A75061" w:rsidRDefault="008229FC" w:rsidP="00424398">
      <w:pPr>
        <w:spacing w:before="240"/>
        <w:jc w:val="both"/>
        <w:rPr>
          <w:rFonts w:ascii="Arial" w:hAnsi="Arial" w:cs="Arial"/>
          <w:sz w:val="22"/>
          <w:szCs w:val="22"/>
        </w:rPr>
      </w:pPr>
      <w:r w:rsidRPr="00A75061">
        <w:tab/>
      </w:r>
      <w:r w:rsidRPr="00A75061">
        <w:rPr>
          <w:rFonts w:ascii="Arial" w:hAnsi="Arial"/>
          <w:sz w:val="22"/>
        </w:rPr>
        <w:t>Au cours de la sixième session de l</w:t>
      </w:r>
      <w:r w:rsidR="00A73D6D" w:rsidRPr="00A75061">
        <w:rPr>
          <w:rFonts w:ascii="Arial" w:hAnsi="Arial"/>
          <w:sz w:val="22"/>
        </w:rPr>
        <w:t>’</w:t>
      </w:r>
      <w:r w:rsidRPr="00A75061">
        <w:rPr>
          <w:rFonts w:ascii="Arial" w:hAnsi="Arial"/>
          <w:sz w:val="22"/>
        </w:rPr>
        <w:t>Assemblée générale, la République de Corée a noté avec inquiétude le faible taux de soumission de rapports périodiques sur les mesures législatives et réglementaires, entre autres, prises pour la mise en œuvre de cette Convention, par les États parties en vertu de l</w:t>
      </w:r>
      <w:r w:rsidR="00A73D6D" w:rsidRPr="00A75061">
        <w:rPr>
          <w:rFonts w:ascii="Arial" w:hAnsi="Arial"/>
          <w:sz w:val="22"/>
        </w:rPr>
        <w:t>’</w:t>
      </w:r>
      <w:r w:rsidRPr="00A75061">
        <w:rPr>
          <w:rFonts w:ascii="Arial" w:hAnsi="Arial"/>
          <w:sz w:val="22"/>
        </w:rPr>
        <w:t>article 29 de la Convention. La République de Corée, qui a déjà fait l</w:t>
      </w:r>
      <w:r w:rsidR="00A73D6D" w:rsidRPr="00A75061">
        <w:rPr>
          <w:rFonts w:ascii="Arial" w:hAnsi="Arial"/>
          <w:sz w:val="22"/>
        </w:rPr>
        <w:t>’</w:t>
      </w:r>
      <w:r w:rsidRPr="00A75061">
        <w:rPr>
          <w:rFonts w:ascii="Arial" w:hAnsi="Arial"/>
          <w:sz w:val="22"/>
        </w:rPr>
        <w:t xml:space="preserve">expérience du processus de préparation </w:t>
      </w:r>
      <w:r w:rsidR="006943B9" w:rsidRPr="00A75061">
        <w:rPr>
          <w:rFonts w:ascii="Arial" w:hAnsi="Arial"/>
          <w:sz w:val="22"/>
        </w:rPr>
        <w:t xml:space="preserve">du </w:t>
      </w:r>
      <w:r w:rsidRPr="00A75061">
        <w:rPr>
          <w:rFonts w:ascii="Arial" w:hAnsi="Arial"/>
          <w:sz w:val="22"/>
        </w:rPr>
        <w:t xml:space="preserve">rapport périodique </w:t>
      </w:r>
      <w:r w:rsidR="006943B9" w:rsidRPr="00A75061">
        <w:rPr>
          <w:rFonts w:ascii="Arial" w:hAnsi="Arial"/>
          <w:sz w:val="22"/>
        </w:rPr>
        <w:t>en vue</w:t>
      </w:r>
      <w:r w:rsidRPr="00A75061">
        <w:rPr>
          <w:rFonts w:ascii="Arial" w:hAnsi="Arial"/>
          <w:sz w:val="22"/>
        </w:rPr>
        <w:t xml:space="preserve"> de </w:t>
      </w:r>
      <w:r w:rsidR="006943B9" w:rsidRPr="00A75061">
        <w:rPr>
          <w:rFonts w:ascii="Arial" w:hAnsi="Arial"/>
          <w:sz w:val="22"/>
        </w:rPr>
        <w:t xml:space="preserve">sa </w:t>
      </w:r>
      <w:r w:rsidRPr="00A75061">
        <w:rPr>
          <w:rFonts w:ascii="Arial" w:hAnsi="Arial"/>
          <w:sz w:val="22"/>
        </w:rPr>
        <w:t xml:space="preserve">soumission </w:t>
      </w:r>
      <w:r w:rsidR="006943B9" w:rsidRPr="00A75061">
        <w:rPr>
          <w:rFonts w:ascii="Arial" w:hAnsi="Arial"/>
          <w:sz w:val="22"/>
        </w:rPr>
        <w:t>en </w:t>
      </w:r>
      <w:r w:rsidRPr="00A75061">
        <w:rPr>
          <w:rFonts w:ascii="Arial" w:hAnsi="Arial"/>
          <w:sz w:val="22"/>
        </w:rPr>
        <w:t>2011, comprend les difficultés que rencontrent les États dans l</w:t>
      </w:r>
      <w:r w:rsidR="00A73D6D" w:rsidRPr="00A75061">
        <w:rPr>
          <w:rFonts w:ascii="Arial" w:hAnsi="Arial"/>
          <w:sz w:val="22"/>
        </w:rPr>
        <w:t>’</w:t>
      </w:r>
      <w:r w:rsidRPr="00A75061">
        <w:rPr>
          <w:rFonts w:ascii="Arial" w:hAnsi="Arial"/>
          <w:sz w:val="22"/>
        </w:rPr>
        <w:t>accomplissement de cette obligation statutaire. Reconnaissant que le Secrétariat de la Convention de 2003 ne dispose pas des ressources adéquates pour améliorer ce mécanisme de soumission de rapports et soutenir les États à cet égard, je vous saurais gré de porter cette proposition de contribution volontaire supplémentaire au Fonds du patrimoine culturel immatériel à l</w:t>
      </w:r>
      <w:r w:rsidR="00A73D6D" w:rsidRPr="00A75061">
        <w:rPr>
          <w:rFonts w:ascii="Arial" w:hAnsi="Arial"/>
          <w:sz w:val="22"/>
        </w:rPr>
        <w:t>’</w:t>
      </w:r>
      <w:r w:rsidRPr="00A75061">
        <w:rPr>
          <w:rFonts w:ascii="Arial" w:hAnsi="Arial"/>
          <w:sz w:val="22"/>
        </w:rPr>
        <w:t>attention du Comité, conformément à l</w:t>
      </w:r>
      <w:r w:rsidR="00A73D6D" w:rsidRPr="00A75061">
        <w:rPr>
          <w:rFonts w:ascii="Arial" w:hAnsi="Arial"/>
          <w:sz w:val="22"/>
        </w:rPr>
        <w:t>’</w:t>
      </w:r>
      <w:r w:rsidRPr="00A75061">
        <w:rPr>
          <w:rFonts w:ascii="Arial" w:hAnsi="Arial"/>
          <w:sz w:val="22"/>
        </w:rPr>
        <w:t>article 25.5 de la Convention.</w:t>
      </w:r>
    </w:p>
    <w:p w14:paraId="2724478B" w14:textId="725C15D1" w:rsidR="003206D1" w:rsidRPr="00A75061" w:rsidRDefault="003206D1" w:rsidP="00424398">
      <w:pPr>
        <w:spacing w:before="240"/>
        <w:jc w:val="both"/>
        <w:rPr>
          <w:rFonts w:ascii="Arial" w:hAnsi="Arial" w:cs="Arial"/>
          <w:sz w:val="22"/>
          <w:szCs w:val="22"/>
        </w:rPr>
      </w:pPr>
      <w:r w:rsidRPr="00A75061">
        <w:tab/>
      </w:r>
      <w:r w:rsidRPr="00A75061">
        <w:rPr>
          <w:rFonts w:ascii="Arial" w:hAnsi="Arial"/>
          <w:sz w:val="22"/>
        </w:rPr>
        <w:t>Dans le cas d</w:t>
      </w:r>
      <w:r w:rsidR="00A73D6D" w:rsidRPr="00A75061">
        <w:rPr>
          <w:rFonts w:ascii="Arial" w:hAnsi="Arial"/>
          <w:sz w:val="22"/>
        </w:rPr>
        <w:t>’</w:t>
      </w:r>
      <w:r w:rsidRPr="00A75061">
        <w:rPr>
          <w:rFonts w:ascii="Arial" w:hAnsi="Arial"/>
          <w:sz w:val="22"/>
        </w:rPr>
        <w:t>un avis favorable du Comité intergouvernemental de sauvegarde du patrimoine culturel immatériel à l</w:t>
      </w:r>
      <w:r w:rsidR="00A73D6D" w:rsidRPr="00A75061">
        <w:rPr>
          <w:rFonts w:ascii="Arial" w:hAnsi="Arial"/>
          <w:sz w:val="22"/>
        </w:rPr>
        <w:t>’</w:t>
      </w:r>
      <w:r w:rsidRPr="00A75061">
        <w:rPr>
          <w:rFonts w:ascii="Arial" w:hAnsi="Arial"/>
          <w:sz w:val="22"/>
        </w:rPr>
        <w:t>égard de cette contribution, je crois comprendre que le Secrétariat procédera à l</w:t>
      </w:r>
      <w:r w:rsidR="00A73D6D" w:rsidRPr="00A75061">
        <w:rPr>
          <w:rFonts w:ascii="Arial" w:hAnsi="Arial"/>
          <w:sz w:val="22"/>
        </w:rPr>
        <w:t>’</w:t>
      </w:r>
      <w:r w:rsidRPr="00A75061">
        <w:rPr>
          <w:rFonts w:ascii="Arial" w:hAnsi="Arial"/>
          <w:sz w:val="22"/>
        </w:rPr>
        <w:t>élaboration d</w:t>
      </w:r>
      <w:r w:rsidR="00A73D6D" w:rsidRPr="00A75061">
        <w:rPr>
          <w:rFonts w:ascii="Arial" w:hAnsi="Arial"/>
          <w:sz w:val="22"/>
        </w:rPr>
        <w:t>’</w:t>
      </w:r>
      <w:r w:rsidRPr="00A75061">
        <w:rPr>
          <w:rFonts w:ascii="Arial" w:hAnsi="Arial"/>
          <w:sz w:val="22"/>
        </w:rPr>
        <w:t>un plan de travail concret de mise en œuvre de cette initiative dans les meilleurs délais. Je comprends également que la contribution sera créditée au Compte spécial pour la sauvegarde du patrimoine culturel immatériel et régie par son règlement financier, conformément aux dispositions adoptées par le Comité au cours de sa première</w:t>
      </w:r>
      <w:r w:rsidR="00105C1A" w:rsidRPr="00A75061">
        <w:rPr>
          <w:rFonts w:ascii="Arial" w:hAnsi="Arial"/>
          <w:sz w:val="22"/>
        </w:rPr>
        <w:t xml:space="preserve"> session</w:t>
      </w:r>
      <w:r w:rsidRPr="00A75061">
        <w:rPr>
          <w:rFonts w:ascii="Arial" w:hAnsi="Arial"/>
          <w:sz w:val="22"/>
        </w:rPr>
        <w:t xml:space="preserve"> extraordinaire en mai 2007. Bien que le processus officiel de soumission de rapports sur l</w:t>
      </w:r>
      <w:r w:rsidR="00A73D6D" w:rsidRPr="00A75061">
        <w:rPr>
          <w:rFonts w:ascii="Arial" w:hAnsi="Arial"/>
          <w:sz w:val="22"/>
        </w:rPr>
        <w:t>’</w:t>
      </w:r>
      <w:r w:rsidRPr="00A75061">
        <w:rPr>
          <w:rFonts w:ascii="Arial" w:hAnsi="Arial"/>
          <w:sz w:val="22"/>
        </w:rPr>
        <w:t xml:space="preserve">utilisation de ces fonds soit effectué par le Directeur général </w:t>
      </w:r>
      <w:r w:rsidR="00105C1A" w:rsidRPr="00A75061">
        <w:rPr>
          <w:rFonts w:ascii="Arial" w:hAnsi="Arial"/>
          <w:sz w:val="22"/>
        </w:rPr>
        <w:t xml:space="preserve">à </w:t>
      </w:r>
      <w:r w:rsidRPr="00A75061">
        <w:rPr>
          <w:rFonts w:ascii="Arial" w:hAnsi="Arial"/>
          <w:sz w:val="22"/>
        </w:rPr>
        <w:t>l</w:t>
      </w:r>
      <w:r w:rsidR="00A73D6D" w:rsidRPr="00A75061">
        <w:rPr>
          <w:rFonts w:ascii="Arial" w:hAnsi="Arial"/>
          <w:sz w:val="22"/>
        </w:rPr>
        <w:t>’</w:t>
      </w:r>
      <w:r w:rsidRPr="00A75061">
        <w:rPr>
          <w:rFonts w:ascii="Arial" w:hAnsi="Arial"/>
          <w:sz w:val="22"/>
        </w:rPr>
        <w:t>Assemblée générale des États parties, la République de Corée souhaite être tenue régulièrement informée de l</w:t>
      </w:r>
      <w:r w:rsidR="00A73D6D" w:rsidRPr="00A75061">
        <w:rPr>
          <w:rFonts w:ascii="Arial" w:hAnsi="Arial"/>
          <w:sz w:val="22"/>
        </w:rPr>
        <w:t>’</w:t>
      </w:r>
      <w:r w:rsidRPr="00A75061">
        <w:rPr>
          <w:rFonts w:ascii="Arial" w:hAnsi="Arial"/>
          <w:sz w:val="22"/>
        </w:rPr>
        <w:t xml:space="preserve">élaboration et de la mise en œuvre de cette initiative, dans le contexte des comités </w:t>
      </w:r>
      <w:r w:rsidR="006943B9" w:rsidRPr="00A75061">
        <w:rPr>
          <w:rFonts w:ascii="Arial" w:hAnsi="Arial"/>
          <w:sz w:val="22"/>
        </w:rPr>
        <w:t xml:space="preserve">de pilotage </w:t>
      </w:r>
      <w:r w:rsidRPr="00A75061">
        <w:rPr>
          <w:rFonts w:ascii="Arial" w:hAnsi="Arial"/>
          <w:sz w:val="22"/>
        </w:rPr>
        <w:t>entre l</w:t>
      </w:r>
      <w:r w:rsidR="00A73D6D" w:rsidRPr="00A75061">
        <w:rPr>
          <w:rFonts w:ascii="Arial" w:hAnsi="Arial"/>
          <w:sz w:val="22"/>
        </w:rPr>
        <w:t>’</w:t>
      </w:r>
      <w:r w:rsidRPr="00A75061">
        <w:rPr>
          <w:rFonts w:ascii="Arial" w:hAnsi="Arial"/>
          <w:sz w:val="22"/>
        </w:rPr>
        <w:t>UN</w:t>
      </w:r>
      <w:r w:rsidR="00E66B37" w:rsidRPr="00A75061">
        <w:rPr>
          <w:rFonts w:ascii="Arial" w:hAnsi="Arial"/>
          <w:sz w:val="22"/>
        </w:rPr>
        <w:t>ESCO et la République de Corée.</w:t>
      </w:r>
    </w:p>
    <w:p w14:paraId="71D75802" w14:textId="708BAF47" w:rsidR="003206D1" w:rsidRPr="00A75061" w:rsidRDefault="003206D1" w:rsidP="00424398">
      <w:pPr>
        <w:spacing w:before="240"/>
        <w:jc w:val="both"/>
        <w:rPr>
          <w:rFonts w:ascii="Arial" w:hAnsi="Arial" w:cs="Arial"/>
          <w:sz w:val="22"/>
          <w:szCs w:val="22"/>
        </w:rPr>
      </w:pPr>
      <w:r w:rsidRPr="00A75061">
        <w:tab/>
      </w:r>
      <w:r w:rsidRPr="00A75061">
        <w:rPr>
          <w:rFonts w:ascii="Arial" w:hAnsi="Arial"/>
          <w:sz w:val="22"/>
        </w:rPr>
        <w:t>En attendant l</w:t>
      </w:r>
      <w:r w:rsidR="00A73D6D" w:rsidRPr="00A75061">
        <w:rPr>
          <w:rFonts w:ascii="Arial" w:hAnsi="Arial"/>
          <w:sz w:val="22"/>
        </w:rPr>
        <w:t>’</w:t>
      </w:r>
      <w:r w:rsidRPr="00A75061">
        <w:rPr>
          <w:rFonts w:ascii="Arial" w:hAnsi="Arial"/>
          <w:sz w:val="22"/>
        </w:rPr>
        <w:t>approbation du Comité en novembre, je reste à votre disposition au cas où vous auriez besoin de précisions à cet égard.</w:t>
      </w:r>
    </w:p>
    <w:p w14:paraId="6C9BA42D" w14:textId="7698361A" w:rsidR="003206D1" w:rsidRPr="00A75061" w:rsidRDefault="00C5522F" w:rsidP="00424398">
      <w:pPr>
        <w:spacing w:before="240"/>
        <w:jc w:val="both"/>
        <w:rPr>
          <w:rFonts w:ascii="Arial" w:hAnsi="Arial" w:cs="Arial"/>
          <w:sz w:val="22"/>
          <w:szCs w:val="22"/>
        </w:rPr>
      </w:pPr>
      <w:r w:rsidRPr="00A75061">
        <w:tab/>
      </w:r>
      <w:r w:rsidR="003206D1" w:rsidRPr="00A75061">
        <w:rPr>
          <w:rFonts w:ascii="Arial" w:hAnsi="Arial"/>
          <w:sz w:val="22"/>
        </w:rPr>
        <w:t>Veuillez agréer, M. Curtis, l</w:t>
      </w:r>
      <w:r w:rsidR="00A73D6D" w:rsidRPr="00A75061">
        <w:rPr>
          <w:rFonts w:ascii="Arial" w:hAnsi="Arial"/>
          <w:sz w:val="22"/>
        </w:rPr>
        <w:t>’</w:t>
      </w:r>
      <w:r w:rsidR="003206D1" w:rsidRPr="00A75061">
        <w:rPr>
          <w:rFonts w:ascii="Arial" w:hAnsi="Arial"/>
          <w:sz w:val="22"/>
        </w:rPr>
        <w:t>expression de ma considération distinguée.</w:t>
      </w:r>
    </w:p>
    <w:p w14:paraId="67B8D4C3" w14:textId="3F778EE3" w:rsidR="003206D1" w:rsidRPr="00A75061" w:rsidRDefault="003206D1" w:rsidP="00C5522F">
      <w:pPr>
        <w:spacing w:before="240"/>
        <w:ind w:left="5670" w:firstLine="709"/>
        <w:jc w:val="both"/>
        <w:rPr>
          <w:rFonts w:ascii="Arial" w:hAnsi="Arial" w:cs="Arial"/>
          <w:sz w:val="22"/>
          <w:szCs w:val="22"/>
        </w:rPr>
      </w:pPr>
      <w:r w:rsidRPr="00A75061">
        <w:rPr>
          <w:rFonts w:ascii="Arial" w:hAnsi="Arial"/>
          <w:sz w:val="22"/>
        </w:rPr>
        <w:t>Cordialement,</w:t>
      </w:r>
    </w:p>
    <w:p w14:paraId="38C73A92" w14:textId="77777777" w:rsidR="003206D1" w:rsidRPr="00A75061" w:rsidRDefault="003206D1" w:rsidP="00424398">
      <w:pPr>
        <w:spacing w:before="1440"/>
        <w:ind w:left="6379"/>
        <w:jc w:val="both"/>
        <w:rPr>
          <w:rFonts w:ascii="Arial" w:hAnsi="Arial" w:cs="Arial"/>
          <w:sz w:val="22"/>
          <w:szCs w:val="22"/>
        </w:rPr>
      </w:pPr>
      <w:r w:rsidRPr="00A75061">
        <w:rPr>
          <w:rFonts w:ascii="Arial" w:hAnsi="Arial"/>
          <w:sz w:val="22"/>
        </w:rPr>
        <w:t>Kim </w:t>
      </w:r>
      <w:proofErr w:type="spellStart"/>
      <w:r w:rsidRPr="00A75061">
        <w:rPr>
          <w:rFonts w:ascii="Arial" w:hAnsi="Arial"/>
          <w:sz w:val="22"/>
        </w:rPr>
        <w:t>Dae</w:t>
      </w:r>
      <w:proofErr w:type="spellEnd"/>
      <w:r w:rsidRPr="00A75061">
        <w:rPr>
          <w:rFonts w:ascii="Arial" w:hAnsi="Arial"/>
          <w:sz w:val="22"/>
        </w:rPr>
        <w:t> </w:t>
      </w:r>
      <w:proofErr w:type="spellStart"/>
      <w:r w:rsidRPr="00A75061">
        <w:rPr>
          <w:rFonts w:ascii="Arial" w:hAnsi="Arial"/>
          <w:sz w:val="22"/>
        </w:rPr>
        <w:t>Hyun</w:t>
      </w:r>
      <w:proofErr w:type="spellEnd"/>
    </w:p>
    <w:p w14:paraId="4E1EC4EF" w14:textId="77777777" w:rsidR="003206D1" w:rsidRPr="00A75061" w:rsidRDefault="003206D1" w:rsidP="00424398">
      <w:pPr>
        <w:ind w:left="6381"/>
        <w:rPr>
          <w:rFonts w:ascii="Arial" w:hAnsi="Arial" w:cs="Arial"/>
          <w:sz w:val="22"/>
          <w:szCs w:val="22"/>
        </w:rPr>
      </w:pPr>
      <w:r w:rsidRPr="00A75061">
        <w:rPr>
          <w:rFonts w:ascii="Arial" w:hAnsi="Arial"/>
          <w:sz w:val="22"/>
        </w:rPr>
        <w:t>Directeur général</w:t>
      </w:r>
    </w:p>
    <w:p w14:paraId="0D75F31F" w14:textId="77777777" w:rsidR="003206D1" w:rsidRPr="00A75061" w:rsidRDefault="003206D1" w:rsidP="00424398">
      <w:pPr>
        <w:ind w:left="6381"/>
        <w:rPr>
          <w:rFonts w:ascii="Arial" w:hAnsi="Arial" w:cs="Arial"/>
          <w:sz w:val="22"/>
          <w:szCs w:val="22"/>
        </w:rPr>
      </w:pPr>
      <w:r w:rsidRPr="00A75061">
        <w:rPr>
          <w:rFonts w:ascii="Arial" w:hAnsi="Arial"/>
          <w:sz w:val="22"/>
        </w:rPr>
        <w:t>Bureau de promotion du patrimoine</w:t>
      </w:r>
    </w:p>
    <w:p w14:paraId="00FCAE21" w14:textId="77777777" w:rsidR="003206D1" w:rsidRPr="00A75061" w:rsidRDefault="003206D1" w:rsidP="00424398">
      <w:pPr>
        <w:ind w:left="6381"/>
        <w:rPr>
          <w:rFonts w:ascii="Arial" w:hAnsi="Arial" w:cs="Arial"/>
          <w:sz w:val="22"/>
          <w:szCs w:val="22"/>
        </w:rPr>
      </w:pPr>
      <w:r w:rsidRPr="00A75061">
        <w:rPr>
          <w:rFonts w:ascii="Arial" w:hAnsi="Arial"/>
          <w:sz w:val="22"/>
        </w:rPr>
        <w:t>Département du patrimoine culturel</w:t>
      </w:r>
    </w:p>
    <w:p w14:paraId="78B0CE80" w14:textId="77777777" w:rsidR="003206D1" w:rsidRPr="00A75061" w:rsidRDefault="003206D1" w:rsidP="00424398">
      <w:pPr>
        <w:ind w:left="6381"/>
        <w:rPr>
          <w:rFonts w:ascii="Arial" w:hAnsi="Arial" w:cs="Arial"/>
          <w:sz w:val="22"/>
          <w:szCs w:val="22"/>
        </w:rPr>
      </w:pPr>
      <w:r w:rsidRPr="00A75061">
        <w:rPr>
          <w:rFonts w:ascii="Arial" w:hAnsi="Arial"/>
          <w:sz w:val="22"/>
        </w:rPr>
        <w:t>République de Corée</w:t>
      </w:r>
    </w:p>
    <w:p w14:paraId="31EEEC47" w14:textId="10E96535" w:rsidR="00D86198" w:rsidRPr="00A75061" w:rsidRDefault="008229FC" w:rsidP="007E06A5">
      <w:pPr>
        <w:jc w:val="both"/>
        <w:rPr>
          <w:rFonts w:ascii="Arial" w:hAnsi="Arial" w:cs="Arial"/>
          <w:b/>
          <w:caps/>
          <w:snapToGrid w:val="0"/>
        </w:rPr>
      </w:pPr>
      <w:r w:rsidRPr="00A75061">
        <w:br w:type="page"/>
      </w:r>
    </w:p>
    <w:p w14:paraId="35EB34D6" w14:textId="77777777" w:rsidR="00E60366" w:rsidRPr="00A75061" w:rsidRDefault="00E60366" w:rsidP="00E60366">
      <w:pPr>
        <w:pStyle w:val="COMParaDecision"/>
        <w:keepNext/>
        <w:numPr>
          <w:ilvl w:val="0"/>
          <w:numId w:val="0"/>
        </w:numPr>
        <w:jc w:val="center"/>
        <w:rPr>
          <w:lang w:val="fr-FR"/>
        </w:rPr>
      </w:pPr>
      <w:r w:rsidRPr="00A75061">
        <w:rPr>
          <w:b/>
          <w:caps/>
          <w:snapToGrid w:val="0"/>
          <w:u w:val="none"/>
          <w:lang w:val="fr-FR"/>
        </w:rPr>
        <w:t>Annexe II</w:t>
      </w:r>
    </w:p>
    <w:p w14:paraId="1B56D5CE" w14:textId="7FE37FC7" w:rsidR="00D8250F" w:rsidRPr="00A75061" w:rsidRDefault="00E60366" w:rsidP="004B33AC">
      <w:pPr>
        <w:pStyle w:val="COMParaDecision"/>
        <w:numPr>
          <w:ilvl w:val="0"/>
          <w:numId w:val="0"/>
        </w:numPr>
        <w:spacing w:before="240"/>
        <w:jc w:val="center"/>
        <w:rPr>
          <w:b/>
          <w:u w:val="none"/>
          <w:lang w:val="fr-FR"/>
        </w:rPr>
      </w:pPr>
      <w:r w:rsidRPr="00A75061">
        <w:rPr>
          <w:b/>
          <w:u w:val="none"/>
          <w:lang w:val="fr-FR"/>
        </w:rPr>
        <w:t xml:space="preserve">Contributions </w:t>
      </w:r>
      <w:r w:rsidR="00A81DE2" w:rsidRPr="00A75061">
        <w:rPr>
          <w:b/>
          <w:u w:val="none"/>
          <w:lang w:val="fr-FR"/>
        </w:rPr>
        <w:t xml:space="preserve">financières/en nature </w:t>
      </w:r>
      <w:r w:rsidRPr="00A75061">
        <w:rPr>
          <w:b/>
          <w:u w:val="none"/>
          <w:lang w:val="fr-FR"/>
        </w:rPr>
        <w:t>en soutien de la Convention de 2003 pour la</w:t>
      </w:r>
      <w:r w:rsidRPr="00A75061">
        <w:rPr>
          <w:b/>
          <w:u w:val="none"/>
          <w:lang w:val="fr-FR"/>
        </w:rPr>
        <w:br/>
        <w:t>sauvegarde du patrimoine culturel immatériel depuis la neuvième session du Comité</w:t>
      </w:r>
      <w:proofErr w:type="gramStart"/>
      <w:r w:rsidRPr="00A75061">
        <w:rPr>
          <w:b/>
          <w:u w:val="none"/>
          <w:lang w:val="fr-FR"/>
        </w:rPr>
        <w:t>,</w:t>
      </w:r>
      <w:proofErr w:type="gramEnd"/>
      <w:r w:rsidRPr="00A75061">
        <w:rPr>
          <w:b/>
          <w:u w:val="none"/>
          <w:lang w:val="fr-FR"/>
        </w:rPr>
        <w:br/>
        <w:t>pour la période d</w:t>
      </w:r>
      <w:r w:rsidR="00A73D6D" w:rsidRPr="00A75061">
        <w:rPr>
          <w:b/>
          <w:u w:val="none"/>
          <w:lang w:val="fr-FR"/>
        </w:rPr>
        <w:t>’</w:t>
      </w:r>
      <w:r w:rsidRPr="00A75061">
        <w:rPr>
          <w:b/>
          <w:u w:val="none"/>
          <w:lang w:val="fr-FR"/>
        </w:rPr>
        <w:t xml:space="preserve">octobre 2015 à </w:t>
      </w:r>
      <w:r w:rsidR="00950445" w:rsidRPr="00A75061">
        <w:rPr>
          <w:b/>
          <w:u w:val="none"/>
          <w:lang w:val="fr-FR"/>
        </w:rPr>
        <w:t>octobre</w:t>
      </w:r>
      <w:r w:rsidR="00AF0F91" w:rsidRPr="00A75061">
        <w:rPr>
          <w:b/>
          <w:u w:val="none"/>
          <w:lang w:val="fr-FR"/>
        </w:rPr>
        <w:t> </w:t>
      </w:r>
      <w:r w:rsidRPr="00A75061">
        <w:rPr>
          <w:b/>
          <w:u w:val="none"/>
          <w:lang w:val="fr-FR"/>
        </w:rPr>
        <w:t>2016</w:t>
      </w:r>
    </w:p>
    <w:p w14:paraId="6D54EE10" w14:textId="77777777" w:rsidR="002346B5" w:rsidRPr="00A75061" w:rsidRDefault="002346B5" w:rsidP="00C75E87">
      <w:pPr>
        <w:spacing w:before="360" w:after="60"/>
        <w:rPr>
          <w:rFonts w:ascii="Arial" w:hAnsi="Arial" w:cs="Arial"/>
          <w:b/>
          <w:color w:val="000000"/>
          <w:sz w:val="22"/>
          <w:szCs w:val="22"/>
        </w:rPr>
      </w:pPr>
      <w:r w:rsidRPr="00A75061">
        <w:rPr>
          <w:rFonts w:ascii="Arial" w:hAnsi="Arial"/>
          <w:b/>
          <w:smallCaps/>
          <w:color w:val="000000"/>
          <w:sz w:val="22"/>
        </w:rPr>
        <w:t>Contributions volontaires supplémentaires au Fonds du patrimoine culturel immatériel</w:t>
      </w:r>
      <w:r w:rsidR="000C36DF" w:rsidRPr="00A75061">
        <w:rPr>
          <w:rStyle w:val="FootnoteReference"/>
          <w:rFonts w:ascii="Arial" w:hAnsi="Arial"/>
          <w:b/>
          <w:smallCaps/>
          <w:color w:val="000000"/>
          <w:sz w:val="22"/>
        </w:rPr>
        <w:footnoteReference w:id="2"/>
      </w:r>
    </w:p>
    <w:p w14:paraId="6E3DDEC9" w14:textId="79192FFD" w:rsidR="002346B5" w:rsidRPr="00A75061" w:rsidRDefault="002346B5" w:rsidP="00C75E87">
      <w:pPr>
        <w:spacing w:before="120" w:after="120"/>
        <w:ind w:left="709"/>
        <w:rPr>
          <w:rFonts w:ascii="Arial" w:hAnsi="Arial" w:cs="Arial"/>
          <w:b/>
          <w:sz w:val="22"/>
          <w:szCs w:val="22"/>
        </w:rPr>
      </w:pPr>
      <w:r w:rsidRPr="00A75061">
        <w:rPr>
          <w:rFonts w:ascii="Arial" w:hAnsi="Arial"/>
          <w:b/>
          <w:color w:val="000000"/>
          <w:sz w:val="22"/>
        </w:rPr>
        <w:t xml:space="preserve">Affectées </w:t>
      </w:r>
      <w:r w:rsidR="007C7219" w:rsidRPr="00A75061">
        <w:rPr>
          <w:rFonts w:ascii="Arial" w:hAnsi="Arial"/>
          <w:b/>
          <w:color w:val="000000"/>
          <w:sz w:val="22"/>
        </w:rPr>
        <w:t xml:space="preserve">à des </w:t>
      </w:r>
      <w:r w:rsidRPr="00A75061">
        <w:rPr>
          <w:rFonts w:ascii="Arial" w:hAnsi="Arial"/>
          <w:b/>
          <w:color w:val="000000"/>
          <w:sz w:val="22"/>
        </w:rPr>
        <w:t>programmes de renforcement des capacités</w:t>
      </w:r>
    </w:p>
    <w:tbl>
      <w:tblPr>
        <w:tblW w:w="9062" w:type="dxa"/>
        <w:tblInd w:w="709" w:type="dxa"/>
        <w:tblLook w:val="04A0" w:firstRow="1" w:lastRow="0" w:firstColumn="1" w:lastColumn="0" w:noHBand="0" w:noVBand="1"/>
      </w:tblPr>
      <w:tblGrid>
        <w:gridCol w:w="6681"/>
        <w:gridCol w:w="2381"/>
      </w:tblGrid>
      <w:tr w:rsidR="002346B5" w:rsidRPr="00A75061" w14:paraId="529C1F0D" w14:textId="77777777" w:rsidTr="00F10FCA">
        <w:trPr>
          <w:cantSplit/>
        </w:trPr>
        <w:tc>
          <w:tcPr>
            <w:tcW w:w="6681" w:type="dxa"/>
            <w:vAlign w:val="center"/>
          </w:tcPr>
          <w:p w14:paraId="2AF12F7F" w14:textId="01B7D8E2" w:rsidR="004E64E9" w:rsidRPr="00A75061" w:rsidRDefault="004E64E9" w:rsidP="00C75E87">
            <w:pPr>
              <w:spacing w:before="60" w:after="60"/>
              <w:rPr>
                <w:rFonts w:ascii="Arial" w:hAnsi="Arial"/>
                <w:color w:val="000000"/>
                <w:sz w:val="20"/>
              </w:rPr>
            </w:pPr>
            <w:r w:rsidRPr="00A75061">
              <w:rPr>
                <w:rFonts w:ascii="Arial" w:hAnsi="Arial"/>
                <w:color w:val="000000"/>
                <w:sz w:val="20"/>
              </w:rPr>
              <w:t>Pays-Bas</w:t>
            </w:r>
          </w:p>
          <w:p w14:paraId="023DF0E2" w14:textId="72F429A0" w:rsidR="00D53242" w:rsidRPr="00A75061" w:rsidRDefault="002346B5" w:rsidP="004E64E9">
            <w:pPr>
              <w:spacing w:before="60" w:after="60"/>
              <w:rPr>
                <w:rFonts w:ascii="Arial" w:hAnsi="Arial" w:cs="Arial"/>
                <w:color w:val="000000"/>
                <w:sz w:val="20"/>
                <w:szCs w:val="20"/>
              </w:rPr>
            </w:pPr>
            <w:r w:rsidRPr="00A75061">
              <w:rPr>
                <w:rFonts w:ascii="Arial" w:hAnsi="Arial"/>
                <w:color w:val="000000"/>
                <w:sz w:val="20"/>
              </w:rPr>
              <w:t>Espagne (</w:t>
            </w:r>
            <w:r w:rsidR="005B7676" w:rsidRPr="00A75061">
              <w:rPr>
                <w:rFonts w:ascii="Arial" w:hAnsi="Arial"/>
                <w:color w:val="000000"/>
                <w:sz w:val="20"/>
              </w:rPr>
              <w:t>Gouvernement de la Catalogne</w:t>
            </w:r>
            <w:r w:rsidRPr="00A75061">
              <w:rPr>
                <w:rFonts w:ascii="Arial" w:hAnsi="Arial"/>
                <w:color w:val="000000"/>
                <w:sz w:val="20"/>
              </w:rPr>
              <w:t>)</w:t>
            </w:r>
          </w:p>
        </w:tc>
        <w:tc>
          <w:tcPr>
            <w:tcW w:w="2381" w:type="dxa"/>
            <w:vAlign w:val="center"/>
          </w:tcPr>
          <w:p w14:paraId="0507FCFE" w14:textId="43078E33" w:rsidR="004E64E9" w:rsidRPr="00A75061" w:rsidRDefault="004E64E9" w:rsidP="00C75E87">
            <w:pPr>
              <w:spacing w:before="60" w:after="60"/>
              <w:jc w:val="right"/>
              <w:rPr>
                <w:rFonts w:ascii="Arial" w:hAnsi="Arial"/>
                <w:color w:val="000000"/>
                <w:sz w:val="20"/>
              </w:rPr>
            </w:pPr>
            <w:r w:rsidRPr="00A75061">
              <w:rPr>
                <w:rFonts w:ascii="Arial" w:hAnsi="Arial"/>
                <w:color w:val="000000"/>
                <w:sz w:val="20"/>
              </w:rPr>
              <w:t>110 375 USD</w:t>
            </w:r>
          </w:p>
          <w:p w14:paraId="1D4EBB96" w14:textId="0C41F1DC" w:rsidR="00D53242" w:rsidRPr="00A75061" w:rsidRDefault="002346B5" w:rsidP="004E64E9">
            <w:pPr>
              <w:spacing w:before="60" w:after="60"/>
              <w:jc w:val="right"/>
              <w:rPr>
                <w:rFonts w:ascii="Arial" w:hAnsi="Arial" w:cs="Arial"/>
                <w:color w:val="000000"/>
                <w:sz w:val="20"/>
                <w:szCs w:val="20"/>
              </w:rPr>
            </w:pPr>
            <w:r w:rsidRPr="00A75061">
              <w:rPr>
                <w:rFonts w:ascii="Arial" w:hAnsi="Arial"/>
                <w:color w:val="000000"/>
                <w:sz w:val="20"/>
              </w:rPr>
              <w:t>131 868 USD</w:t>
            </w:r>
          </w:p>
        </w:tc>
      </w:tr>
    </w:tbl>
    <w:p w14:paraId="4A601482" w14:textId="48A4C72B" w:rsidR="00B941B4" w:rsidRPr="00A75061" w:rsidRDefault="00B941B4" w:rsidP="00C75E87">
      <w:pPr>
        <w:spacing w:before="120" w:after="120"/>
        <w:ind w:left="709"/>
        <w:rPr>
          <w:rFonts w:ascii="Arial" w:hAnsi="Arial" w:cs="Arial"/>
        </w:rPr>
      </w:pPr>
      <w:r w:rsidRPr="00A75061">
        <w:rPr>
          <w:rFonts w:ascii="Arial" w:hAnsi="Arial"/>
          <w:b/>
          <w:color w:val="000000"/>
          <w:sz w:val="22"/>
        </w:rPr>
        <w:t>Réunion d</w:t>
      </w:r>
      <w:r w:rsidR="00A73D6D" w:rsidRPr="00A75061">
        <w:rPr>
          <w:rFonts w:ascii="Arial" w:hAnsi="Arial"/>
          <w:b/>
          <w:color w:val="000000"/>
          <w:sz w:val="22"/>
        </w:rPr>
        <w:t>’</w:t>
      </w:r>
      <w:r w:rsidRPr="00A75061">
        <w:rPr>
          <w:rFonts w:ascii="Arial" w:hAnsi="Arial"/>
          <w:b/>
          <w:color w:val="000000"/>
          <w:sz w:val="22"/>
        </w:rPr>
        <w:t>experts sur l</w:t>
      </w:r>
      <w:r w:rsidR="00A73D6D" w:rsidRPr="00A75061">
        <w:rPr>
          <w:rFonts w:ascii="Arial" w:hAnsi="Arial"/>
          <w:b/>
          <w:color w:val="000000"/>
          <w:sz w:val="22"/>
        </w:rPr>
        <w:t>’</w:t>
      </w:r>
      <w:r w:rsidRPr="00A75061">
        <w:rPr>
          <w:rFonts w:ascii="Arial" w:hAnsi="Arial"/>
          <w:b/>
          <w:color w:val="000000"/>
          <w:sz w:val="22"/>
        </w:rPr>
        <w:t>élaboration d</w:t>
      </w:r>
      <w:r w:rsidR="00A73D6D" w:rsidRPr="00A75061">
        <w:rPr>
          <w:rFonts w:ascii="Arial" w:hAnsi="Arial"/>
          <w:b/>
          <w:color w:val="000000"/>
          <w:sz w:val="22"/>
        </w:rPr>
        <w:t>’</w:t>
      </w:r>
      <w:r w:rsidRPr="00A75061">
        <w:rPr>
          <w:rFonts w:ascii="Arial" w:hAnsi="Arial"/>
          <w:b/>
          <w:color w:val="000000"/>
          <w:sz w:val="22"/>
        </w:rPr>
        <w:t>un cadre global de résultats pour la Convention</w:t>
      </w:r>
    </w:p>
    <w:tbl>
      <w:tblPr>
        <w:tblW w:w="9062" w:type="dxa"/>
        <w:tblInd w:w="709" w:type="dxa"/>
        <w:tblLook w:val="04A0" w:firstRow="1" w:lastRow="0" w:firstColumn="1" w:lastColumn="0" w:noHBand="0" w:noVBand="1"/>
      </w:tblPr>
      <w:tblGrid>
        <w:gridCol w:w="6681"/>
        <w:gridCol w:w="2381"/>
      </w:tblGrid>
      <w:tr w:rsidR="00543B28" w:rsidRPr="00A75061" w14:paraId="4392B6CC" w14:textId="77777777" w:rsidTr="00F10FCA">
        <w:trPr>
          <w:cantSplit/>
        </w:trPr>
        <w:tc>
          <w:tcPr>
            <w:tcW w:w="6681" w:type="dxa"/>
            <w:vAlign w:val="center"/>
          </w:tcPr>
          <w:p w14:paraId="62FF9072" w14:textId="77777777" w:rsidR="00543B28" w:rsidRPr="00A75061" w:rsidRDefault="00543B28" w:rsidP="00BC3A49">
            <w:pPr>
              <w:spacing w:before="60" w:after="60"/>
              <w:rPr>
                <w:rFonts w:ascii="Arial" w:hAnsi="Arial" w:cs="Arial"/>
                <w:color w:val="000000"/>
                <w:sz w:val="20"/>
                <w:szCs w:val="20"/>
              </w:rPr>
            </w:pPr>
            <w:r w:rsidRPr="00A75061">
              <w:rPr>
                <w:rFonts w:ascii="Arial" w:hAnsi="Arial"/>
                <w:color w:val="000000"/>
                <w:sz w:val="20"/>
              </w:rPr>
              <w:t>Chine</w:t>
            </w:r>
          </w:p>
        </w:tc>
        <w:tc>
          <w:tcPr>
            <w:tcW w:w="2381" w:type="dxa"/>
            <w:vAlign w:val="center"/>
          </w:tcPr>
          <w:p w14:paraId="015561B9" w14:textId="77777777" w:rsidR="00543B28" w:rsidRPr="00A75061" w:rsidRDefault="00543B28" w:rsidP="00543B28">
            <w:pPr>
              <w:spacing w:before="60" w:after="60"/>
              <w:jc w:val="right"/>
              <w:rPr>
                <w:rFonts w:ascii="Arial" w:hAnsi="Arial" w:cs="Arial"/>
                <w:color w:val="000000"/>
                <w:sz w:val="20"/>
                <w:szCs w:val="20"/>
              </w:rPr>
            </w:pPr>
            <w:r w:rsidRPr="00A75061">
              <w:rPr>
                <w:rFonts w:ascii="Arial" w:hAnsi="Arial"/>
                <w:color w:val="000000"/>
                <w:sz w:val="20"/>
              </w:rPr>
              <w:t>50 000 USD</w:t>
            </w:r>
          </w:p>
        </w:tc>
      </w:tr>
    </w:tbl>
    <w:p w14:paraId="6E7B799D" w14:textId="77777777" w:rsidR="00543B28" w:rsidRPr="00A75061" w:rsidRDefault="00B941B4" w:rsidP="00543B28">
      <w:pPr>
        <w:spacing w:before="120" w:after="120"/>
        <w:ind w:left="709"/>
        <w:rPr>
          <w:rFonts w:ascii="Arial" w:hAnsi="Arial" w:cs="Arial"/>
          <w:b/>
          <w:color w:val="000000"/>
          <w:sz w:val="22"/>
          <w:szCs w:val="22"/>
        </w:rPr>
      </w:pPr>
      <w:r w:rsidRPr="00A75061">
        <w:rPr>
          <w:rFonts w:ascii="Arial" w:hAnsi="Arial"/>
          <w:b/>
          <w:color w:val="000000"/>
          <w:sz w:val="22"/>
        </w:rPr>
        <w:t>Sous-fonds pour le renforcement des capacités humaines du Secrétariat</w:t>
      </w:r>
    </w:p>
    <w:tbl>
      <w:tblPr>
        <w:tblW w:w="0" w:type="auto"/>
        <w:tblInd w:w="709" w:type="dxa"/>
        <w:tblLook w:val="04A0" w:firstRow="1" w:lastRow="0" w:firstColumn="1" w:lastColumn="0" w:noHBand="0" w:noVBand="1"/>
      </w:tblPr>
      <w:tblGrid>
        <w:gridCol w:w="6912"/>
        <w:gridCol w:w="2233"/>
      </w:tblGrid>
      <w:tr w:rsidR="00B941B4" w:rsidRPr="00A75061" w14:paraId="32C1A249" w14:textId="77777777" w:rsidTr="00543B28">
        <w:trPr>
          <w:cantSplit/>
        </w:trPr>
        <w:tc>
          <w:tcPr>
            <w:tcW w:w="6912" w:type="dxa"/>
            <w:vAlign w:val="center"/>
          </w:tcPr>
          <w:p w14:paraId="11F5689C" w14:textId="77777777" w:rsidR="00B941B4" w:rsidRPr="00A75061" w:rsidRDefault="00B941B4" w:rsidP="00B941B4">
            <w:pPr>
              <w:spacing w:before="60" w:after="60"/>
              <w:rPr>
                <w:rFonts w:ascii="Arial" w:hAnsi="Arial" w:cs="Arial"/>
                <w:color w:val="000000"/>
                <w:sz w:val="20"/>
                <w:szCs w:val="20"/>
              </w:rPr>
            </w:pPr>
            <w:r w:rsidRPr="00A75061">
              <w:rPr>
                <w:rFonts w:ascii="Arial" w:hAnsi="Arial"/>
                <w:color w:val="000000"/>
                <w:sz w:val="20"/>
              </w:rPr>
              <w:t>Azerbaïdjan</w:t>
            </w:r>
          </w:p>
        </w:tc>
        <w:tc>
          <w:tcPr>
            <w:tcW w:w="2233" w:type="dxa"/>
            <w:vAlign w:val="center"/>
          </w:tcPr>
          <w:p w14:paraId="0EBAE3CB" w14:textId="77777777" w:rsidR="00B941B4" w:rsidRPr="00A75061" w:rsidRDefault="00B941B4" w:rsidP="00B941B4">
            <w:pPr>
              <w:spacing w:before="60" w:after="60"/>
              <w:jc w:val="right"/>
              <w:rPr>
                <w:rFonts w:ascii="Arial" w:hAnsi="Arial" w:cs="Arial"/>
                <w:color w:val="000000"/>
                <w:sz w:val="20"/>
                <w:szCs w:val="20"/>
              </w:rPr>
            </w:pPr>
            <w:r w:rsidRPr="00A75061">
              <w:rPr>
                <w:rFonts w:ascii="Arial" w:hAnsi="Arial"/>
                <w:color w:val="000000"/>
                <w:sz w:val="20"/>
              </w:rPr>
              <w:t>65 000 USD</w:t>
            </w:r>
          </w:p>
        </w:tc>
      </w:tr>
      <w:tr w:rsidR="00B941B4" w:rsidRPr="00A75061" w14:paraId="23C7DBB9" w14:textId="77777777" w:rsidTr="00543B28">
        <w:trPr>
          <w:cantSplit/>
        </w:trPr>
        <w:tc>
          <w:tcPr>
            <w:tcW w:w="6912" w:type="dxa"/>
            <w:vAlign w:val="center"/>
          </w:tcPr>
          <w:p w14:paraId="4A72DCAE" w14:textId="77777777" w:rsidR="00B941B4" w:rsidRPr="00A75061" w:rsidRDefault="00B941B4" w:rsidP="00B941B4">
            <w:pPr>
              <w:spacing w:before="60" w:after="60"/>
              <w:rPr>
                <w:rFonts w:ascii="Arial" w:hAnsi="Arial" w:cs="Arial"/>
                <w:color w:val="000000"/>
                <w:sz w:val="20"/>
                <w:szCs w:val="20"/>
              </w:rPr>
            </w:pPr>
            <w:r w:rsidRPr="00A75061">
              <w:rPr>
                <w:rFonts w:ascii="Arial" w:hAnsi="Arial"/>
                <w:color w:val="000000"/>
                <w:sz w:val="20"/>
              </w:rPr>
              <w:t xml:space="preserve">Centre norvégien de danse et de </w:t>
            </w:r>
            <w:proofErr w:type="gramStart"/>
            <w:r w:rsidRPr="00A75061">
              <w:rPr>
                <w:rFonts w:ascii="Arial" w:hAnsi="Arial"/>
                <w:color w:val="000000"/>
                <w:sz w:val="20"/>
              </w:rPr>
              <w:t>musique traditionnelles</w:t>
            </w:r>
            <w:proofErr w:type="gramEnd"/>
            <w:r w:rsidRPr="00A75061">
              <w:rPr>
                <w:rFonts w:ascii="Arial" w:hAnsi="Arial"/>
                <w:color w:val="000000"/>
                <w:sz w:val="20"/>
              </w:rPr>
              <w:t xml:space="preserve"> (Norvège) </w:t>
            </w:r>
          </w:p>
        </w:tc>
        <w:tc>
          <w:tcPr>
            <w:tcW w:w="2233" w:type="dxa"/>
            <w:vAlign w:val="center"/>
          </w:tcPr>
          <w:p w14:paraId="3388D7B4" w14:textId="77777777" w:rsidR="00B941B4" w:rsidRPr="00A75061" w:rsidRDefault="00B941B4" w:rsidP="00B941B4">
            <w:pPr>
              <w:spacing w:before="60" w:after="60"/>
              <w:jc w:val="right"/>
              <w:rPr>
                <w:rFonts w:ascii="Arial" w:hAnsi="Arial" w:cs="Arial"/>
                <w:color w:val="000000"/>
                <w:sz w:val="20"/>
                <w:szCs w:val="20"/>
              </w:rPr>
            </w:pPr>
            <w:r w:rsidRPr="00A75061">
              <w:rPr>
                <w:rFonts w:ascii="Arial" w:hAnsi="Arial"/>
                <w:color w:val="000000"/>
                <w:sz w:val="20"/>
              </w:rPr>
              <w:t>2 470 USD</w:t>
            </w:r>
          </w:p>
        </w:tc>
      </w:tr>
      <w:tr w:rsidR="00B941B4" w:rsidRPr="00A75061" w14:paraId="2B3298AC" w14:textId="77777777" w:rsidTr="00543B28">
        <w:trPr>
          <w:cantSplit/>
          <w:trHeight w:val="509"/>
        </w:trPr>
        <w:tc>
          <w:tcPr>
            <w:tcW w:w="6912" w:type="dxa"/>
            <w:vAlign w:val="center"/>
          </w:tcPr>
          <w:p w14:paraId="45451F0D" w14:textId="77777777" w:rsidR="00B941B4" w:rsidRPr="00A75061" w:rsidRDefault="00B941B4" w:rsidP="00B941B4">
            <w:pPr>
              <w:spacing w:before="60" w:after="60"/>
              <w:rPr>
                <w:rFonts w:ascii="Arial" w:hAnsi="Arial" w:cs="Arial"/>
                <w:color w:val="000000"/>
                <w:sz w:val="20"/>
                <w:szCs w:val="20"/>
              </w:rPr>
            </w:pPr>
            <w:r w:rsidRPr="00A75061">
              <w:rPr>
                <w:rFonts w:ascii="Arial" w:hAnsi="Arial"/>
                <w:color w:val="000000"/>
                <w:sz w:val="20"/>
              </w:rPr>
              <w:t xml:space="preserve">Émirats arabes unis (Centre pour le patrimoine </w:t>
            </w:r>
            <w:proofErr w:type="spellStart"/>
            <w:r w:rsidRPr="00A75061">
              <w:rPr>
                <w:rFonts w:ascii="Arial" w:hAnsi="Arial"/>
                <w:color w:val="000000"/>
                <w:sz w:val="20"/>
              </w:rPr>
              <w:t>Hamdan</w:t>
            </w:r>
            <w:proofErr w:type="spellEnd"/>
            <w:r w:rsidRPr="00A75061">
              <w:rPr>
                <w:rFonts w:ascii="Arial" w:hAnsi="Arial"/>
                <w:color w:val="000000"/>
                <w:sz w:val="20"/>
              </w:rPr>
              <w:t xml:space="preserve"> Bin Mohammed)</w:t>
            </w:r>
          </w:p>
        </w:tc>
        <w:tc>
          <w:tcPr>
            <w:tcW w:w="2233" w:type="dxa"/>
            <w:vAlign w:val="center"/>
          </w:tcPr>
          <w:p w14:paraId="07C4FD35" w14:textId="77777777" w:rsidR="00B941B4" w:rsidRPr="00A75061" w:rsidRDefault="00B941B4" w:rsidP="00B941B4">
            <w:pPr>
              <w:spacing w:before="60" w:after="60"/>
              <w:jc w:val="right"/>
              <w:rPr>
                <w:rFonts w:ascii="Arial" w:hAnsi="Arial" w:cs="Arial"/>
                <w:color w:val="000000"/>
                <w:sz w:val="20"/>
                <w:szCs w:val="20"/>
              </w:rPr>
            </w:pPr>
            <w:r w:rsidRPr="00A75061">
              <w:rPr>
                <w:rFonts w:ascii="Arial" w:hAnsi="Arial"/>
                <w:color w:val="000000"/>
                <w:sz w:val="20"/>
              </w:rPr>
              <w:t>32 878 USD</w:t>
            </w:r>
          </w:p>
        </w:tc>
      </w:tr>
    </w:tbl>
    <w:p w14:paraId="4F17BDB9" w14:textId="77777777" w:rsidR="00D318B2" w:rsidRPr="00A75061" w:rsidRDefault="00D318B2" w:rsidP="00C75E87">
      <w:pPr>
        <w:spacing w:before="360" w:after="60"/>
        <w:rPr>
          <w:rFonts w:ascii="Arial" w:hAnsi="Arial" w:cs="Arial"/>
          <w:b/>
          <w:smallCaps/>
          <w:color w:val="000000"/>
          <w:sz w:val="22"/>
          <w:szCs w:val="22"/>
        </w:rPr>
      </w:pPr>
      <w:r w:rsidRPr="00A75061">
        <w:rPr>
          <w:rFonts w:ascii="Arial" w:hAnsi="Arial"/>
          <w:b/>
          <w:smallCaps/>
          <w:color w:val="000000"/>
          <w:sz w:val="22"/>
        </w:rPr>
        <w:t>Fonds-en-dépôt</w:t>
      </w:r>
      <w:r w:rsidR="000C36DF" w:rsidRPr="00A75061">
        <w:rPr>
          <w:rStyle w:val="FootnoteReference"/>
          <w:rFonts w:ascii="Arial" w:hAnsi="Arial"/>
          <w:b/>
          <w:smallCaps/>
          <w:color w:val="000000"/>
          <w:sz w:val="22"/>
        </w:rPr>
        <w:footnoteReference w:id="3"/>
      </w:r>
    </w:p>
    <w:tbl>
      <w:tblPr>
        <w:tblW w:w="9062" w:type="dxa"/>
        <w:tblInd w:w="709" w:type="dxa"/>
        <w:tblLook w:val="04A0" w:firstRow="1" w:lastRow="0" w:firstColumn="1" w:lastColumn="0" w:noHBand="0" w:noVBand="1"/>
      </w:tblPr>
      <w:tblGrid>
        <w:gridCol w:w="6681"/>
        <w:gridCol w:w="2381"/>
      </w:tblGrid>
      <w:tr w:rsidR="00D318B2" w:rsidRPr="00A75061" w14:paraId="203B153E" w14:textId="77777777" w:rsidTr="00F10FCA">
        <w:trPr>
          <w:cantSplit/>
        </w:trPr>
        <w:tc>
          <w:tcPr>
            <w:tcW w:w="6681" w:type="dxa"/>
            <w:vAlign w:val="center"/>
          </w:tcPr>
          <w:p w14:paraId="5CD647BC" w14:textId="77777777" w:rsidR="00D318B2" w:rsidRPr="00A75061" w:rsidRDefault="00D318B2" w:rsidP="00D318B2">
            <w:pPr>
              <w:spacing w:before="60" w:after="60"/>
              <w:rPr>
                <w:rFonts w:ascii="Arial" w:hAnsi="Arial" w:cs="Arial"/>
                <w:color w:val="000000"/>
                <w:sz w:val="20"/>
                <w:szCs w:val="20"/>
              </w:rPr>
            </w:pPr>
            <w:r w:rsidRPr="00A75061">
              <w:rPr>
                <w:rFonts w:ascii="Arial" w:hAnsi="Arial"/>
                <w:color w:val="000000"/>
                <w:sz w:val="20"/>
              </w:rPr>
              <w:t>Belgique (Flandre)</w:t>
            </w:r>
          </w:p>
        </w:tc>
        <w:tc>
          <w:tcPr>
            <w:tcW w:w="2381" w:type="dxa"/>
            <w:vAlign w:val="center"/>
          </w:tcPr>
          <w:p w14:paraId="238AD5DC" w14:textId="77777777" w:rsidR="00D318B2" w:rsidRPr="00A75061" w:rsidRDefault="00D318B2" w:rsidP="00966EB0">
            <w:pPr>
              <w:spacing w:before="60" w:after="60"/>
              <w:jc w:val="right"/>
              <w:rPr>
                <w:rFonts w:ascii="Arial" w:hAnsi="Arial" w:cs="Arial"/>
                <w:color w:val="000000"/>
                <w:sz w:val="20"/>
                <w:szCs w:val="20"/>
              </w:rPr>
            </w:pPr>
            <w:r w:rsidRPr="00A75061">
              <w:rPr>
                <w:rFonts w:ascii="Arial" w:hAnsi="Arial"/>
                <w:color w:val="000000"/>
                <w:sz w:val="20"/>
              </w:rPr>
              <w:t>250 000 </w:t>
            </w:r>
            <w:r w:rsidR="00966EB0" w:rsidRPr="00A75061">
              <w:rPr>
                <w:rFonts w:ascii="Arial" w:hAnsi="Arial"/>
                <w:color w:val="000000"/>
                <w:sz w:val="20"/>
              </w:rPr>
              <w:t>USD</w:t>
            </w:r>
          </w:p>
        </w:tc>
      </w:tr>
    </w:tbl>
    <w:p w14:paraId="15AAA778" w14:textId="77777777" w:rsidR="00AB2BA7" w:rsidRPr="00A75061" w:rsidRDefault="00AB2BA7" w:rsidP="00C75E87">
      <w:pPr>
        <w:spacing w:before="360" w:after="60"/>
        <w:rPr>
          <w:rFonts w:ascii="Arial" w:hAnsi="Arial" w:cs="Arial"/>
          <w:b/>
          <w:smallCaps/>
          <w:color w:val="000000"/>
          <w:sz w:val="22"/>
          <w:szCs w:val="22"/>
        </w:rPr>
      </w:pPr>
      <w:r w:rsidRPr="00A75061">
        <w:rPr>
          <w:rFonts w:ascii="Arial" w:hAnsi="Arial"/>
          <w:b/>
          <w:smallCaps/>
          <w:color w:val="000000"/>
          <w:sz w:val="22"/>
        </w:rPr>
        <w:t>Prêts et détachements</w:t>
      </w:r>
    </w:p>
    <w:tbl>
      <w:tblPr>
        <w:tblW w:w="8949" w:type="dxa"/>
        <w:tblInd w:w="709" w:type="dxa"/>
        <w:tblLook w:val="04A0" w:firstRow="1" w:lastRow="0" w:firstColumn="1" w:lastColumn="0" w:noHBand="0" w:noVBand="1"/>
      </w:tblPr>
      <w:tblGrid>
        <w:gridCol w:w="6487"/>
        <w:gridCol w:w="2462"/>
      </w:tblGrid>
      <w:tr w:rsidR="00AB2BA7" w:rsidRPr="00A75061" w14:paraId="1069BD84" w14:textId="77777777" w:rsidTr="00543B28">
        <w:trPr>
          <w:cantSplit/>
        </w:trPr>
        <w:tc>
          <w:tcPr>
            <w:tcW w:w="6487" w:type="dxa"/>
            <w:vAlign w:val="center"/>
            <w:hideMark/>
          </w:tcPr>
          <w:p w14:paraId="4EE7660F" w14:textId="5906E2F2" w:rsidR="00AB2BA7" w:rsidRPr="00A75061" w:rsidRDefault="009426E5" w:rsidP="00770938">
            <w:pPr>
              <w:spacing w:before="60" w:after="60"/>
              <w:rPr>
                <w:rFonts w:ascii="Arial" w:hAnsi="Arial" w:cs="Arial"/>
                <w:color w:val="000000"/>
                <w:sz w:val="20"/>
                <w:szCs w:val="20"/>
              </w:rPr>
            </w:pPr>
            <w:r w:rsidRPr="00A75061">
              <w:rPr>
                <w:rFonts w:ascii="Arial" w:hAnsi="Arial"/>
                <w:color w:val="000000"/>
                <w:sz w:val="20"/>
              </w:rPr>
              <w:t>Émirats arabes unis (Autorité d</w:t>
            </w:r>
            <w:r w:rsidR="00A73D6D" w:rsidRPr="00A75061">
              <w:rPr>
                <w:rFonts w:ascii="Arial" w:hAnsi="Arial"/>
                <w:color w:val="000000"/>
                <w:sz w:val="20"/>
              </w:rPr>
              <w:t>’</w:t>
            </w:r>
            <w:r w:rsidRPr="00A75061">
              <w:rPr>
                <w:rFonts w:ascii="Arial" w:hAnsi="Arial"/>
                <w:color w:val="000000"/>
                <w:sz w:val="20"/>
              </w:rPr>
              <w:t xml:space="preserve">Abou Dhabi pour le </w:t>
            </w:r>
            <w:r w:rsidR="00950445" w:rsidRPr="00A75061">
              <w:rPr>
                <w:rFonts w:ascii="Arial" w:hAnsi="Arial"/>
                <w:color w:val="000000"/>
                <w:sz w:val="20"/>
              </w:rPr>
              <w:t xml:space="preserve">tourisme </w:t>
            </w:r>
            <w:r w:rsidR="00950445" w:rsidRPr="00A75061">
              <w:rPr>
                <w:rFonts w:ascii="Arial" w:hAnsi="Arial"/>
                <w:color w:val="000000"/>
                <w:sz w:val="20"/>
              </w:rPr>
              <w:br/>
              <w:t>et la c</w:t>
            </w:r>
            <w:r w:rsidRPr="00A75061">
              <w:rPr>
                <w:rFonts w:ascii="Arial" w:hAnsi="Arial"/>
                <w:color w:val="000000"/>
                <w:sz w:val="20"/>
              </w:rPr>
              <w:t>ulture)</w:t>
            </w:r>
          </w:p>
        </w:tc>
        <w:tc>
          <w:tcPr>
            <w:tcW w:w="2462" w:type="dxa"/>
            <w:vAlign w:val="center"/>
            <w:hideMark/>
          </w:tcPr>
          <w:p w14:paraId="1E432185" w14:textId="77777777" w:rsidR="00AB2BA7" w:rsidRPr="00A75061" w:rsidRDefault="00AB2BA7" w:rsidP="002C65DD">
            <w:pPr>
              <w:spacing w:before="60" w:after="60"/>
              <w:jc w:val="right"/>
              <w:rPr>
                <w:rFonts w:ascii="Arial" w:hAnsi="Arial" w:cs="Arial"/>
                <w:color w:val="000000"/>
                <w:sz w:val="20"/>
                <w:szCs w:val="20"/>
              </w:rPr>
            </w:pPr>
            <w:r w:rsidRPr="00A75061">
              <w:rPr>
                <w:rFonts w:ascii="Arial" w:hAnsi="Arial"/>
                <w:color w:val="000000"/>
                <w:sz w:val="20"/>
              </w:rPr>
              <w:t>12 mois au niveau P-2</w:t>
            </w:r>
          </w:p>
        </w:tc>
      </w:tr>
      <w:tr w:rsidR="00AB2BA7" w:rsidRPr="00A75061" w14:paraId="59D560B3" w14:textId="77777777" w:rsidTr="00543B28">
        <w:trPr>
          <w:cantSplit/>
        </w:trPr>
        <w:tc>
          <w:tcPr>
            <w:tcW w:w="6487" w:type="dxa"/>
            <w:vAlign w:val="center"/>
            <w:hideMark/>
          </w:tcPr>
          <w:p w14:paraId="43982E65" w14:textId="77777777" w:rsidR="00AB2BA7" w:rsidRPr="00A75061" w:rsidRDefault="00AB2BA7" w:rsidP="002C65DD">
            <w:pPr>
              <w:spacing w:before="60" w:after="60"/>
              <w:rPr>
                <w:rFonts w:ascii="Arial" w:hAnsi="Arial" w:cs="Arial"/>
                <w:color w:val="000000"/>
                <w:sz w:val="20"/>
                <w:szCs w:val="20"/>
              </w:rPr>
            </w:pPr>
            <w:r w:rsidRPr="00A75061">
              <w:rPr>
                <w:rFonts w:ascii="Arial" w:hAnsi="Arial"/>
                <w:color w:val="000000"/>
                <w:sz w:val="20"/>
              </w:rPr>
              <w:t>Chine</w:t>
            </w:r>
          </w:p>
        </w:tc>
        <w:tc>
          <w:tcPr>
            <w:tcW w:w="2462" w:type="dxa"/>
            <w:vAlign w:val="center"/>
            <w:hideMark/>
          </w:tcPr>
          <w:p w14:paraId="4038B06F" w14:textId="77777777" w:rsidR="00AB2BA7" w:rsidRPr="00A75061" w:rsidRDefault="00AB2BA7" w:rsidP="002C65DD">
            <w:pPr>
              <w:spacing w:before="60" w:after="60"/>
              <w:jc w:val="right"/>
              <w:rPr>
                <w:rFonts w:ascii="Arial" w:hAnsi="Arial" w:cs="Arial"/>
                <w:color w:val="000000"/>
                <w:sz w:val="20"/>
                <w:szCs w:val="20"/>
              </w:rPr>
            </w:pPr>
            <w:r w:rsidRPr="00A75061">
              <w:rPr>
                <w:rFonts w:ascii="Arial" w:hAnsi="Arial"/>
                <w:color w:val="000000"/>
                <w:sz w:val="20"/>
              </w:rPr>
              <w:t>12 mois au niveau P-2</w:t>
            </w:r>
          </w:p>
        </w:tc>
      </w:tr>
      <w:tr w:rsidR="00AB2BA7" w:rsidRPr="00A75061" w14:paraId="79DB3965" w14:textId="77777777" w:rsidTr="00543B28">
        <w:trPr>
          <w:cantSplit/>
        </w:trPr>
        <w:tc>
          <w:tcPr>
            <w:tcW w:w="6487" w:type="dxa"/>
            <w:vAlign w:val="center"/>
          </w:tcPr>
          <w:p w14:paraId="69EB8CB7" w14:textId="77777777" w:rsidR="00AB2BA7" w:rsidRPr="00A75061" w:rsidRDefault="00AB2BA7" w:rsidP="002C65DD">
            <w:pPr>
              <w:spacing w:before="60" w:after="60"/>
              <w:rPr>
                <w:rFonts w:ascii="Arial" w:hAnsi="Arial" w:cs="Arial"/>
                <w:color w:val="000000"/>
                <w:sz w:val="20"/>
                <w:szCs w:val="20"/>
              </w:rPr>
            </w:pPr>
            <w:r w:rsidRPr="00A75061">
              <w:rPr>
                <w:rFonts w:ascii="Arial" w:hAnsi="Arial"/>
                <w:color w:val="000000"/>
                <w:sz w:val="20"/>
              </w:rPr>
              <w:t>Japon</w:t>
            </w:r>
          </w:p>
        </w:tc>
        <w:tc>
          <w:tcPr>
            <w:tcW w:w="2462" w:type="dxa"/>
            <w:vAlign w:val="center"/>
          </w:tcPr>
          <w:p w14:paraId="0C823295" w14:textId="77777777" w:rsidR="00AB2BA7" w:rsidRPr="00A75061" w:rsidRDefault="00AB2BA7" w:rsidP="002C65DD">
            <w:pPr>
              <w:spacing w:before="60" w:after="60"/>
              <w:jc w:val="right"/>
              <w:rPr>
                <w:rFonts w:ascii="Arial" w:hAnsi="Arial" w:cs="Arial"/>
                <w:color w:val="000000"/>
                <w:sz w:val="20"/>
                <w:szCs w:val="20"/>
              </w:rPr>
            </w:pPr>
            <w:r w:rsidRPr="00A75061">
              <w:rPr>
                <w:rFonts w:ascii="Arial" w:hAnsi="Arial"/>
                <w:color w:val="000000"/>
                <w:sz w:val="20"/>
              </w:rPr>
              <w:t>12 mois au niveau P-2</w:t>
            </w:r>
          </w:p>
        </w:tc>
      </w:tr>
    </w:tbl>
    <w:p w14:paraId="6A35CB87" w14:textId="77777777" w:rsidR="00AB2BA7" w:rsidRPr="00A75061" w:rsidRDefault="00AB2BA7" w:rsidP="00C75E87">
      <w:pPr>
        <w:rPr>
          <w:rFonts w:ascii="Arial" w:hAnsi="Arial" w:cs="Arial"/>
          <w:sz w:val="20"/>
          <w:szCs w:val="20"/>
        </w:rPr>
      </w:pPr>
    </w:p>
    <w:sectPr w:rsidR="00AB2BA7" w:rsidRPr="00A75061" w:rsidSect="00655736">
      <w:headerReference w:type="even" r:id="rId21"/>
      <w:headerReference w:type="default" r:id="rId22"/>
      <w:headerReference w:type="first" r:id="rId2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8CE5A" w14:textId="77777777" w:rsidR="000F6DDE" w:rsidRDefault="000F6DDE" w:rsidP="00655736">
      <w:r>
        <w:separator/>
      </w:r>
    </w:p>
  </w:endnote>
  <w:endnote w:type="continuationSeparator" w:id="0">
    <w:p w14:paraId="64E6F914" w14:textId="77777777" w:rsidR="000F6DDE" w:rsidRDefault="000F6DDE"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A155E" w14:textId="77777777" w:rsidR="000F6DDE" w:rsidRDefault="000F6DDE" w:rsidP="00655736">
      <w:r>
        <w:separator/>
      </w:r>
    </w:p>
  </w:footnote>
  <w:footnote w:type="continuationSeparator" w:id="0">
    <w:p w14:paraId="30A810B3" w14:textId="77777777" w:rsidR="000F6DDE" w:rsidRDefault="000F6DDE" w:rsidP="00655736">
      <w:r>
        <w:continuationSeparator/>
      </w:r>
    </w:p>
  </w:footnote>
  <w:footnote w:id="1">
    <w:p w14:paraId="7D66C745" w14:textId="77777777" w:rsidR="00C43F2C" w:rsidRPr="00E66B37" w:rsidRDefault="00C43F2C" w:rsidP="008219D8">
      <w:pPr>
        <w:pStyle w:val="FootnoteText"/>
        <w:spacing w:before="60" w:after="60"/>
        <w:ind w:left="567" w:hanging="567"/>
        <w:jc w:val="both"/>
        <w:rPr>
          <w:rFonts w:ascii="Arial" w:hAnsi="Arial" w:cs="Arial"/>
          <w:sz w:val="18"/>
        </w:rPr>
      </w:pPr>
      <w:r w:rsidRPr="00E66B37">
        <w:rPr>
          <w:rStyle w:val="FootnoteReference"/>
          <w:rFonts w:ascii="Arial" w:hAnsi="Arial"/>
          <w:sz w:val="18"/>
          <w:vertAlign w:val="baseline"/>
        </w:rPr>
        <w:footnoteRef/>
      </w:r>
      <w:r w:rsidRPr="00E66B37">
        <w:rPr>
          <w:rFonts w:ascii="Arial" w:hAnsi="Arial"/>
          <w:sz w:val="18"/>
        </w:rPr>
        <w:t>.</w:t>
      </w:r>
      <w:r w:rsidRPr="00E66B37">
        <w:rPr>
          <w:sz w:val="18"/>
        </w:rPr>
        <w:tab/>
      </w:r>
      <w:r w:rsidRPr="00E66B37">
        <w:rPr>
          <w:rFonts w:ascii="Arial" w:hAnsi="Arial"/>
          <w:sz w:val="18"/>
        </w:rPr>
        <w:t>La Note conceptuelle pour le Programme additionnel complémentaire 2014-2017 approuvée par le Comité prévoit un besoin global pour les quatre années de 6 millions de dollars des États-Unis pour mener des activités dans une vingtaine de pays.</w:t>
      </w:r>
    </w:p>
  </w:footnote>
  <w:footnote w:id="2">
    <w:p w14:paraId="6AF79454" w14:textId="2ED9D4DE" w:rsidR="000C36DF" w:rsidRPr="00E66B37" w:rsidRDefault="000C36DF" w:rsidP="00424398">
      <w:pPr>
        <w:pStyle w:val="FootnoteText"/>
        <w:spacing w:before="60" w:after="60"/>
        <w:rPr>
          <w:rFonts w:ascii="Arial" w:hAnsi="Arial" w:cs="Arial"/>
          <w:sz w:val="18"/>
        </w:rPr>
      </w:pPr>
      <w:r w:rsidRPr="00E66B37">
        <w:rPr>
          <w:rStyle w:val="FootnoteReference"/>
          <w:rFonts w:ascii="Arial" w:hAnsi="Arial" w:cs="Arial"/>
          <w:sz w:val="18"/>
          <w:vertAlign w:val="baseline"/>
        </w:rPr>
        <w:footnoteRef/>
      </w:r>
      <w:r w:rsidR="006943B9" w:rsidRPr="00E66B37">
        <w:rPr>
          <w:rFonts w:ascii="Arial" w:hAnsi="Arial" w:cs="Arial"/>
          <w:sz w:val="18"/>
        </w:rPr>
        <w:t>.</w:t>
      </w:r>
      <w:r w:rsidR="006943B9" w:rsidRPr="00E66B37">
        <w:rPr>
          <w:rFonts w:ascii="Arial" w:hAnsi="Arial" w:cs="Arial"/>
          <w:sz w:val="18"/>
        </w:rPr>
        <w:tab/>
      </w:r>
      <w:r w:rsidRPr="00E66B37">
        <w:rPr>
          <w:rFonts w:ascii="Arial" w:hAnsi="Arial" w:cs="Arial"/>
          <w:sz w:val="18"/>
        </w:rPr>
        <w:t>Sur la base de liquidités reçues</w:t>
      </w:r>
      <w:r w:rsidR="00EC083F" w:rsidRPr="00E66B37">
        <w:rPr>
          <w:rFonts w:ascii="Arial" w:hAnsi="Arial" w:cs="Arial"/>
          <w:sz w:val="18"/>
        </w:rPr>
        <w:t>.</w:t>
      </w:r>
    </w:p>
  </w:footnote>
  <w:footnote w:id="3">
    <w:p w14:paraId="37025ADE" w14:textId="75C81898" w:rsidR="000C36DF" w:rsidRPr="00E66B37" w:rsidRDefault="000C36DF" w:rsidP="00424398">
      <w:pPr>
        <w:pStyle w:val="FootnoteText"/>
        <w:spacing w:before="60" w:after="60"/>
        <w:rPr>
          <w:sz w:val="18"/>
        </w:rPr>
      </w:pPr>
      <w:r w:rsidRPr="00E66B37">
        <w:rPr>
          <w:rStyle w:val="FootnoteReference"/>
          <w:rFonts w:ascii="Arial" w:hAnsi="Arial" w:cs="Arial"/>
          <w:sz w:val="18"/>
          <w:vertAlign w:val="baseline"/>
        </w:rPr>
        <w:footnoteRef/>
      </w:r>
      <w:r w:rsidR="006943B9" w:rsidRPr="00E66B37">
        <w:rPr>
          <w:rFonts w:ascii="Arial" w:hAnsi="Arial" w:cs="Arial"/>
          <w:sz w:val="18"/>
        </w:rPr>
        <w:t>.</w:t>
      </w:r>
      <w:r w:rsidR="006943B9" w:rsidRPr="00E66B37">
        <w:rPr>
          <w:rFonts w:ascii="Arial" w:hAnsi="Arial" w:cs="Arial"/>
          <w:sz w:val="18"/>
        </w:rPr>
        <w:tab/>
      </w:r>
      <w:r w:rsidRPr="00E66B37">
        <w:rPr>
          <w:rFonts w:ascii="Arial" w:hAnsi="Arial" w:cs="Arial"/>
          <w:sz w:val="18"/>
        </w:rPr>
        <w:t>Sur la base de projets approuvés</w:t>
      </w:r>
      <w:r w:rsidR="00EC083F" w:rsidRPr="00E66B37">
        <w:rPr>
          <w:rFonts w:ascii="Arial" w:hAnsi="Arial" w:cs="Arial"/>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1483A" w14:textId="49E66CE4" w:rsidR="00C43F2C" w:rsidRPr="00C23A97" w:rsidRDefault="00C43F2C">
    <w:pPr>
      <w:pStyle w:val="Header"/>
      <w:rPr>
        <w:rFonts w:ascii="Arial" w:hAnsi="Arial" w:cs="Arial"/>
      </w:rPr>
    </w:pPr>
    <w:r>
      <w:rPr>
        <w:rFonts w:ascii="Arial" w:hAnsi="Arial"/>
        <w:sz w:val="20"/>
      </w:rPr>
      <w:t>ITH/16/11.COM/6</w:t>
    </w:r>
    <w:r w:rsidR="000926E9">
      <w:rPr>
        <w:rFonts w:ascii="Arial" w:hAnsi="Arial"/>
        <w:sz w:val="20"/>
      </w:rPr>
      <w:t> </w:t>
    </w:r>
    <w:proofErr w:type="spellStart"/>
    <w:r w:rsidR="000926E9">
      <w:rPr>
        <w:rFonts w:ascii="Arial" w:hAnsi="Arial"/>
        <w:sz w:val="20"/>
      </w:rPr>
      <w:t>Rev</w:t>
    </w:r>
    <w:proofErr w:type="spellEnd"/>
    <w:r w:rsidR="000926E9">
      <w:rPr>
        <w:rFonts w:ascii="Arial" w:hAnsi="Arial"/>
        <w:sz w:val="20"/>
      </w:rPr>
      <w:t>.</w:t>
    </w:r>
    <w:r>
      <w:rPr>
        <w:rFonts w:ascii="Arial" w:hAnsi="Arial"/>
        <w:sz w:val="20"/>
      </w:rPr>
      <w:t xml:space="preserve"> – page </w:t>
    </w:r>
    <w:r w:rsidR="00070D4B"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00070D4B" w:rsidRPr="00C23A97">
      <w:rPr>
        <w:rStyle w:val="PageNumber"/>
        <w:rFonts w:ascii="Arial" w:hAnsi="Arial" w:cs="Arial"/>
        <w:sz w:val="20"/>
        <w:szCs w:val="20"/>
      </w:rPr>
      <w:fldChar w:fldCharType="separate"/>
    </w:r>
    <w:r w:rsidR="00B2110E">
      <w:rPr>
        <w:rStyle w:val="PageNumber"/>
        <w:rFonts w:ascii="Arial" w:hAnsi="Arial" w:cs="Arial"/>
        <w:noProof/>
        <w:sz w:val="20"/>
        <w:szCs w:val="20"/>
      </w:rPr>
      <w:t>8</w:t>
    </w:r>
    <w:r w:rsidR="00070D4B"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A1BC6" w14:textId="27EC52F4" w:rsidR="00C43F2C" w:rsidRPr="0063300C" w:rsidRDefault="00883B07" w:rsidP="0063300C">
    <w:pPr>
      <w:pStyle w:val="Header"/>
      <w:jc w:val="right"/>
      <w:rPr>
        <w:rFonts w:ascii="Arial" w:hAnsi="Arial" w:cs="Arial"/>
      </w:rPr>
    </w:pPr>
    <w:r>
      <w:rPr>
        <w:rFonts w:ascii="Arial" w:hAnsi="Arial"/>
        <w:sz w:val="20"/>
      </w:rPr>
      <w:t>ITH/16/11.COM/6</w:t>
    </w:r>
    <w:r w:rsidR="000926E9">
      <w:rPr>
        <w:rFonts w:ascii="Arial" w:hAnsi="Arial"/>
        <w:sz w:val="20"/>
      </w:rPr>
      <w:t> </w:t>
    </w:r>
    <w:proofErr w:type="spellStart"/>
    <w:r w:rsidR="000926E9">
      <w:rPr>
        <w:rFonts w:ascii="Arial" w:hAnsi="Arial"/>
        <w:sz w:val="20"/>
      </w:rPr>
      <w:t>Rev</w:t>
    </w:r>
    <w:proofErr w:type="spellEnd"/>
    <w:r w:rsidR="000926E9">
      <w:rPr>
        <w:rFonts w:ascii="Arial" w:hAnsi="Arial"/>
        <w:sz w:val="20"/>
      </w:rPr>
      <w:t>.</w:t>
    </w:r>
    <w:r>
      <w:rPr>
        <w:rFonts w:ascii="Arial" w:hAnsi="Arial"/>
        <w:sz w:val="20"/>
      </w:rPr>
      <w:t xml:space="preserve"> – page </w:t>
    </w:r>
    <w:r w:rsidR="00070D4B" w:rsidRPr="0063300C">
      <w:rPr>
        <w:rStyle w:val="PageNumber"/>
        <w:rFonts w:ascii="Arial" w:hAnsi="Arial" w:cs="Arial"/>
        <w:sz w:val="20"/>
        <w:szCs w:val="20"/>
      </w:rPr>
      <w:fldChar w:fldCharType="begin"/>
    </w:r>
    <w:r w:rsidR="00C43F2C" w:rsidRPr="0063300C">
      <w:rPr>
        <w:rStyle w:val="PageNumber"/>
        <w:rFonts w:ascii="Arial" w:hAnsi="Arial" w:cs="Arial"/>
        <w:sz w:val="20"/>
        <w:szCs w:val="20"/>
      </w:rPr>
      <w:instrText xml:space="preserve"> PAGE </w:instrText>
    </w:r>
    <w:r w:rsidR="00070D4B" w:rsidRPr="0063300C">
      <w:rPr>
        <w:rStyle w:val="PageNumber"/>
        <w:rFonts w:ascii="Arial" w:hAnsi="Arial" w:cs="Arial"/>
        <w:sz w:val="20"/>
        <w:szCs w:val="20"/>
      </w:rPr>
      <w:fldChar w:fldCharType="separate"/>
    </w:r>
    <w:r w:rsidR="00B2110E">
      <w:rPr>
        <w:rStyle w:val="PageNumber"/>
        <w:rFonts w:ascii="Arial" w:hAnsi="Arial" w:cs="Arial"/>
        <w:noProof/>
        <w:sz w:val="20"/>
        <w:szCs w:val="20"/>
      </w:rPr>
      <w:t>7</w:t>
    </w:r>
    <w:r w:rsidR="00070D4B"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0163" w14:textId="77777777" w:rsidR="00E66B37" w:rsidRPr="00770938" w:rsidRDefault="00E66B37" w:rsidP="00E66B37">
    <w:pPr>
      <w:pStyle w:val="Header"/>
    </w:pPr>
    <w:r w:rsidRPr="00770938">
      <w:rPr>
        <w:noProof/>
        <w:lang w:eastAsia="ko-KR"/>
      </w:rPr>
      <w:drawing>
        <wp:anchor distT="0" distB="0" distL="114300" distR="114300" simplePos="0" relativeHeight="251659264" behindDoc="0" locked="0" layoutInCell="1" allowOverlap="1" wp14:anchorId="5648ACF6" wp14:editId="3D203B4D">
          <wp:simplePos x="0" y="0"/>
          <wp:positionH relativeFrom="column">
            <wp:posOffset>-377190</wp:posOffset>
          </wp:positionH>
          <wp:positionV relativeFrom="paragraph">
            <wp:posOffset>5080</wp:posOffset>
          </wp:positionV>
          <wp:extent cx="2038350" cy="1529080"/>
          <wp:effectExtent l="0" t="0" r="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3FF50" w14:textId="77777777" w:rsidR="00E66B37" w:rsidRPr="00770938" w:rsidRDefault="00E66B37" w:rsidP="00E66B37">
    <w:pPr>
      <w:pStyle w:val="Header"/>
      <w:spacing w:after="520"/>
      <w:jc w:val="right"/>
      <w:rPr>
        <w:rFonts w:ascii="Arial" w:hAnsi="Arial" w:cs="Arial"/>
        <w:b/>
        <w:sz w:val="44"/>
        <w:szCs w:val="44"/>
      </w:rPr>
    </w:pPr>
    <w:r w:rsidRPr="00770938">
      <w:rPr>
        <w:rFonts w:ascii="Arial" w:hAnsi="Arial" w:cs="Arial"/>
        <w:b/>
        <w:sz w:val="44"/>
        <w:szCs w:val="44"/>
      </w:rPr>
      <w:t>11 COM</w:t>
    </w:r>
  </w:p>
  <w:p w14:paraId="3276A3CA" w14:textId="661C5BAF" w:rsidR="00E66B37" w:rsidRPr="00770938" w:rsidRDefault="00E66B37" w:rsidP="00E66B37">
    <w:pPr>
      <w:jc w:val="right"/>
      <w:rPr>
        <w:rFonts w:ascii="Arial" w:hAnsi="Arial" w:cs="Arial"/>
        <w:b/>
        <w:sz w:val="22"/>
        <w:szCs w:val="22"/>
      </w:rPr>
    </w:pPr>
    <w:r w:rsidRPr="00770938">
      <w:rPr>
        <w:rFonts w:ascii="Arial" w:hAnsi="Arial" w:cs="Arial"/>
        <w:b/>
        <w:sz w:val="22"/>
        <w:szCs w:val="22"/>
      </w:rPr>
      <w:t>ITH/16/11.COM/6</w:t>
    </w:r>
    <w:r w:rsidR="000926E9">
      <w:rPr>
        <w:rFonts w:ascii="Arial" w:hAnsi="Arial" w:cs="Arial"/>
        <w:b/>
        <w:sz w:val="22"/>
        <w:szCs w:val="22"/>
      </w:rPr>
      <w:t> </w:t>
    </w:r>
    <w:proofErr w:type="spellStart"/>
    <w:r w:rsidR="000926E9">
      <w:rPr>
        <w:rFonts w:ascii="Arial" w:hAnsi="Arial" w:cs="Arial"/>
        <w:b/>
        <w:sz w:val="22"/>
        <w:szCs w:val="22"/>
      </w:rPr>
      <w:t>Rev</w:t>
    </w:r>
    <w:proofErr w:type="spellEnd"/>
    <w:r w:rsidR="000926E9">
      <w:rPr>
        <w:rFonts w:ascii="Arial" w:hAnsi="Arial" w:cs="Arial"/>
        <w:b/>
        <w:sz w:val="22"/>
        <w:szCs w:val="22"/>
      </w:rPr>
      <w:t>.</w:t>
    </w:r>
  </w:p>
  <w:p w14:paraId="0C763C73" w14:textId="7FB60B99" w:rsidR="00E66B37" w:rsidRPr="00770938" w:rsidRDefault="00E66B37" w:rsidP="00E66B37">
    <w:pPr>
      <w:jc w:val="right"/>
      <w:rPr>
        <w:rFonts w:ascii="Arial" w:hAnsi="Arial" w:cs="Arial"/>
        <w:b/>
        <w:sz w:val="22"/>
        <w:szCs w:val="22"/>
      </w:rPr>
    </w:pPr>
    <w:r w:rsidRPr="00770938">
      <w:rPr>
        <w:rFonts w:ascii="Arial" w:hAnsi="Arial" w:cs="Arial"/>
        <w:b/>
        <w:sz w:val="22"/>
        <w:szCs w:val="22"/>
      </w:rPr>
      <w:t xml:space="preserve">Paris, le </w:t>
    </w:r>
    <w:r w:rsidR="000926E9" w:rsidRPr="00770938">
      <w:rPr>
        <w:rFonts w:ascii="Arial" w:hAnsi="Arial" w:cs="Arial"/>
        <w:b/>
        <w:sz w:val="22"/>
        <w:szCs w:val="22"/>
      </w:rPr>
      <w:t xml:space="preserve">22 </w:t>
    </w:r>
    <w:r w:rsidR="000926E9">
      <w:rPr>
        <w:rFonts w:ascii="Arial" w:hAnsi="Arial" w:cs="Arial"/>
        <w:b/>
        <w:sz w:val="22"/>
        <w:szCs w:val="22"/>
      </w:rPr>
      <w:t>novembre</w:t>
    </w:r>
    <w:r w:rsidR="000926E9" w:rsidRPr="00770938">
      <w:rPr>
        <w:rFonts w:ascii="Arial" w:hAnsi="Arial" w:cs="Arial"/>
        <w:b/>
        <w:sz w:val="22"/>
        <w:szCs w:val="22"/>
      </w:rPr>
      <w:t xml:space="preserve"> </w:t>
    </w:r>
    <w:r w:rsidRPr="00770938">
      <w:rPr>
        <w:rFonts w:ascii="Arial" w:hAnsi="Arial" w:cs="Arial"/>
        <w:b/>
        <w:sz w:val="22"/>
        <w:szCs w:val="22"/>
      </w:rPr>
      <w:t>2016</w:t>
    </w:r>
  </w:p>
  <w:p w14:paraId="6B2ECB01" w14:textId="2A23B249" w:rsidR="00C43F2C" w:rsidRPr="00770938" w:rsidRDefault="00E66B37" w:rsidP="00E66B37">
    <w:pPr>
      <w:jc w:val="right"/>
      <w:rPr>
        <w:rFonts w:ascii="Arial" w:hAnsi="Arial" w:cs="Arial"/>
        <w:b/>
        <w:sz w:val="22"/>
        <w:szCs w:val="22"/>
      </w:rPr>
    </w:pPr>
    <w:r w:rsidRPr="00770938">
      <w:rPr>
        <w:rFonts w:ascii="Arial" w:hAnsi="Arial" w:cs="Arial"/>
        <w:b/>
        <w:sz w:val="22"/>
        <w:szCs w:val="22"/>
      </w:rPr>
      <w:t>Original : anglais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6B9"/>
    <w:multiLevelType w:val="hybridMultilevel"/>
    <w:tmpl w:val="A4F2784A"/>
    <w:lvl w:ilvl="0" w:tplc="3208CFA2">
      <w:start w:val="1"/>
      <w:numFmt w:val="decimal"/>
      <w:pStyle w:val="Paragraph"/>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B37156"/>
    <w:multiLevelType w:val="hybridMultilevel"/>
    <w:tmpl w:val="9B021428"/>
    <w:lvl w:ilvl="0" w:tplc="07DCF292">
      <w:start w:val="1"/>
      <w:numFmt w:val="decimal"/>
      <w:pStyle w:val="Para"/>
      <w:lvlText w:val="%1."/>
      <w:lvlJc w:val="left"/>
      <w:pPr>
        <w:ind w:left="502" w:hanging="360"/>
      </w:pPr>
      <w:rPr>
        <w:rFonts w:hint="default"/>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D6"/>
    <w:rsid w:val="000048ED"/>
    <w:rsid w:val="00004E1C"/>
    <w:rsid w:val="00025F00"/>
    <w:rsid w:val="00027D32"/>
    <w:rsid w:val="00031E76"/>
    <w:rsid w:val="00033737"/>
    <w:rsid w:val="0003484B"/>
    <w:rsid w:val="00041A66"/>
    <w:rsid w:val="0005176E"/>
    <w:rsid w:val="00053503"/>
    <w:rsid w:val="00062D40"/>
    <w:rsid w:val="00063513"/>
    <w:rsid w:val="00063D5A"/>
    <w:rsid w:val="0007094B"/>
    <w:rsid w:val="00070D4B"/>
    <w:rsid w:val="00074F6C"/>
    <w:rsid w:val="00075433"/>
    <w:rsid w:val="000765F7"/>
    <w:rsid w:val="00077AB7"/>
    <w:rsid w:val="000811A4"/>
    <w:rsid w:val="00081CD8"/>
    <w:rsid w:val="00083398"/>
    <w:rsid w:val="000926E9"/>
    <w:rsid w:val="000A0196"/>
    <w:rsid w:val="000A226E"/>
    <w:rsid w:val="000A35AD"/>
    <w:rsid w:val="000A67F3"/>
    <w:rsid w:val="000A7F0E"/>
    <w:rsid w:val="000B0873"/>
    <w:rsid w:val="000B1C8F"/>
    <w:rsid w:val="000C0D61"/>
    <w:rsid w:val="000C36DF"/>
    <w:rsid w:val="000C60CB"/>
    <w:rsid w:val="000D0AE9"/>
    <w:rsid w:val="000D52AD"/>
    <w:rsid w:val="000D61F3"/>
    <w:rsid w:val="000E1943"/>
    <w:rsid w:val="000F3A3F"/>
    <w:rsid w:val="000F6DDE"/>
    <w:rsid w:val="00102557"/>
    <w:rsid w:val="001041C5"/>
    <w:rsid w:val="00104C26"/>
    <w:rsid w:val="001050E0"/>
    <w:rsid w:val="00105C1A"/>
    <w:rsid w:val="001166F2"/>
    <w:rsid w:val="00123244"/>
    <w:rsid w:val="001260F3"/>
    <w:rsid w:val="00126554"/>
    <w:rsid w:val="001301F5"/>
    <w:rsid w:val="00153A2D"/>
    <w:rsid w:val="001648F9"/>
    <w:rsid w:val="00164D56"/>
    <w:rsid w:val="00167B10"/>
    <w:rsid w:val="0017402F"/>
    <w:rsid w:val="00180E9E"/>
    <w:rsid w:val="0018242B"/>
    <w:rsid w:val="001910FF"/>
    <w:rsid w:val="001926AD"/>
    <w:rsid w:val="00196C1B"/>
    <w:rsid w:val="001974E8"/>
    <w:rsid w:val="001A2B7C"/>
    <w:rsid w:val="001B0F73"/>
    <w:rsid w:val="001C1157"/>
    <w:rsid w:val="001C2CB2"/>
    <w:rsid w:val="001C2DB7"/>
    <w:rsid w:val="001C6E03"/>
    <w:rsid w:val="001D31EE"/>
    <w:rsid w:val="001D526B"/>
    <w:rsid w:val="001D5C04"/>
    <w:rsid w:val="001E1B5B"/>
    <w:rsid w:val="001E392E"/>
    <w:rsid w:val="001E725A"/>
    <w:rsid w:val="00204134"/>
    <w:rsid w:val="0020465C"/>
    <w:rsid w:val="00204A76"/>
    <w:rsid w:val="00210D96"/>
    <w:rsid w:val="00220FE6"/>
    <w:rsid w:val="00222A2D"/>
    <w:rsid w:val="00223029"/>
    <w:rsid w:val="002346B5"/>
    <w:rsid w:val="00234745"/>
    <w:rsid w:val="002407AF"/>
    <w:rsid w:val="00243051"/>
    <w:rsid w:val="00246D36"/>
    <w:rsid w:val="00255C23"/>
    <w:rsid w:val="00257D60"/>
    <w:rsid w:val="00260CAC"/>
    <w:rsid w:val="00271D74"/>
    <w:rsid w:val="0027466B"/>
    <w:rsid w:val="00276D20"/>
    <w:rsid w:val="002827DE"/>
    <w:rsid w:val="002838A5"/>
    <w:rsid w:val="00285BB4"/>
    <w:rsid w:val="002A1BA9"/>
    <w:rsid w:val="002A1DFC"/>
    <w:rsid w:val="002A733B"/>
    <w:rsid w:val="002B165F"/>
    <w:rsid w:val="002C09E3"/>
    <w:rsid w:val="002D5CDA"/>
    <w:rsid w:val="002E5734"/>
    <w:rsid w:val="002E5A0A"/>
    <w:rsid w:val="002F1F61"/>
    <w:rsid w:val="002F520C"/>
    <w:rsid w:val="00302083"/>
    <w:rsid w:val="0030556A"/>
    <w:rsid w:val="00307A06"/>
    <w:rsid w:val="00312A11"/>
    <w:rsid w:val="003206D1"/>
    <w:rsid w:val="00331006"/>
    <w:rsid w:val="00344B58"/>
    <w:rsid w:val="00345CB4"/>
    <w:rsid w:val="0034773C"/>
    <w:rsid w:val="00347744"/>
    <w:rsid w:val="00351849"/>
    <w:rsid w:val="00352BCE"/>
    <w:rsid w:val="00357A88"/>
    <w:rsid w:val="003753EE"/>
    <w:rsid w:val="00375D42"/>
    <w:rsid w:val="00376AC9"/>
    <w:rsid w:val="003915D4"/>
    <w:rsid w:val="00396BBD"/>
    <w:rsid w:val="003A134C"/>
    <w:rsid w:val="003B25CA"/>
    <w:rsid w:val="003C02B1"/>
    <w:rsid w:val="003C1B33"/>
    <w:rsid w:val="003C69FD"/>
    <w:rsid w:val="003D069C"/>
    <w:rsid w:val="003D3974"/>
    <w:rsid w:val="003D54A0"/>
    <w:rsid w:val="003D578B"/>
    <w:rsid w:val="003D6DB6"/>
    <w:rsid w:val="003D7646"/>
    <w:rsid w:val="003E281A"/>
    <w:rsid w:val="003F113A"/>
    <w:rsid w:val="003F1C61"/>
    <w:rsid w:val="003F1C8D"/>
    <w:rsid w:val="003F3E63"/>
    <w:rsid w:val="003F6128"/>
    <w:rsid w:val="003F7240"/>
    <w:rsid w:val="00403B4E"/>
    <w:rsid w:val="00407480"/>
    <w:rsid w:val="00410501"/>
    <w:rsid w:val="00414643"/>
    <w:rsid w:val="00420316"/>
    <w:rsid w:val="00423B01"/>
    <w:rsid w:val="00424398"/>
    <w:rsid w:val="00432FC4"/>
    <w:rsid w:val="004421E5"/>
    <w:rsid w:val="00442B22"/>
    <w:rsid w:val="004509EC"/>
    <w:rsid w:val="00451613"/>
    <w:rsid w:val="00452284"/>
    <w:rsid w:val="00453DAC"/>
    <w:rsid w:val="00457C8E"/>
    <w:rsid w:val="004620AF"/>
    <w:rsid w:val="0047461B"/>
    <w:rsid w:val="0048181C"/>
    <w:rsid w:val="004856CA"/>
    <w:rsid w:val="00487E67"/>
    <w:rsid w:val="00491900"/>
    <w:rsid w:val="0049705E"/>
    <w:rsid w:val="004A34A0"/>
    <w:rsid w:val="004A65FE"/>
    <w:rsid w:val="004B33AC"/>
    <w:rsid w:val="004B6CCD"/>
    <w:rsid w:val="004C17C5"/>
    <w:rsid w:val="004C3CF2"/>
    <w:rsid w:val="004C654E"/>
    <w:rsid w:val="004D0E81"/>
    <w:rsid w:val="004D1C9F"/>
    <w:rsid w:val="004E07A0"/>
    <w:rsid w:val="004E1DA7"/>
    <w:rsid w:val="004E3A1A"/>
    <w:rsid w:val="004E4FC5"/>
    <w:rsid w:val="004E64E9"/>
    <w:rsid w:val="004E721A"/>
    <w:rsid w:val="005008A8"/>
    <w:rsid w:val="005076CB"/>
    <w:rsid w:val="00507CA5"/>
    <w:rsid w:val="00511A01"/>
    <w:rsid w:val="005145B5"/>
    <w:rsid w:val="00526A5B"/>
    <w:rsid w:val="00526B7B"/>
    <w:rsid w:val="005308CE"/>
    <w:rsid w:val="0053268A"/>
    <w:rsid w:val="00537311"/>
    <w:rsid w:val="00543B28"/>
    <w:rsid w:val="00546AAE"/>
    <w:rsid w:val="00547F41"/>
    <w:rsid w:val="00551B28"/>
    <w:rsid w:val="00552533"/>
    <w:rsid w:val="00556133"/>
    <w:rsid w:val="0056189E"/>
    <w:rsid w:val="0057439C"/>
    <w:rsid w:val="00575D0E"/>
    <w:rsid w:val="00591C59"/>
    <w:rsid w:val="00592561"/>
    <w:rsid w:val="005947ED"/>
    <w:rsid w:val="005B0127"/>
    <w:rsid w:val="005B1925"/>
    <w:rsid w:val="005B2FB4"/>
    <w:rsid w:val="005B4250"/>
    <w:rsid w:val="005B694B"/>
    <w:rsid w:val="005B7676"/>
    <w:rsid w:val="005B7A35"/>
    <w:rsid w:val="005C307A"/>
    <w:rsid w:val="005C479C"/>
    <w:rsid w:val="005C4B73"/>
    <w:rsid w:val="005D218E"/>
    <w:rsid w:val="005D5487"/>
    <w:rsid w:val="005D7C2A"/>
    <w:rsid w:val="005E1D2B"/>
    <w:rsid w:val="005E3982"/>
    <w:rsid w:val="005E4F5C"/>
    <w:rsid w:val="005E7074"/>
    <w:rsid w:val="005E7606"/>
    <w:rsid w:val="005E77D3"/>
    <w:rsid w:val="005F2BAF"/>
    <w:rsid w:val="005F34C5"/>
    <w:rsid w:val="005F3BCA"/>
    <w:rsid w:val="005F3BFA"/>
    <w:rsid w:val="00600D93"/>
    <w:rsid w:val="0060476D"/>
    <w:rsid w:val="00621678"/>
    <w:rsid w:val="006252F9"/>
    <w:rsid w:val="0063300C"/>
    <w:rsid w:val="00633521"/>
    <w:rsid w:val="00636A86"/>
    <w:rsid w:val="006537C1"/>
    <w:rsid w:val="00653C5E"/>
    <w:rsid w:val="00655736"/>
    <w:rsid w:val="00656983"/>
    <w:rsid w:val="00656CD1"/>
    <w:rsid w:val="006606AC"/>
    <w:rsid w:val="00661C4A"/>
    <w:rsid w:val="00661E5A"/>
    <w:rsid w:val="00663B8D"/>
    <w:rsid w:val="00673917"/>
    <w:rsid w:val="00675CA4"/>
    <w:rsid w:val="00675FF9"/>
    <w:rsid w:val="006834CB"/>
    <w:rsid w:val="00686822"/>
    <w:rsid w:val="00686B27"/>
    <w:rsid w:val="0068720E"/>
    <w:rsid w:val="00687394"/>
    <w:rsid w:val="006943B9"/>
    <w:rsid w:val="00695187"/>
    <w:rsid w:val="00696C8D"/>
    <w:rsid w:val="006A02BD"/>
    <w:rsid w:val="006A092B"/>
    <w:rsid w:val="006A2AC2"/>
    <w:rsid w:val="006A3617"/>
    <w:rsid w:val="006B05BC"/>
    <w:rsid w:val="006C35E5"/>
    <w:rsid w:val="006C720A"/>
    <w:rsid w:val="006C76DD"/>
    <w:rsid w:val="006D026E"/>
    <w:rsid w:val="006D29C9"/>
    <w:rsid w:val="006D2A26"/>
    <w:rsid w:val="006E361C"/>
    <w:rsid w:val="006E46E4"/>
    <w:rsid w:val="0070763A"/>
    <w:rsid w:val="00707F31"/>
    <w:rsid w:val="00717DA5"/>
    <w:rsid w:val="007431B2"/>
    <w:rsid w:val="00744484"/>
    <w:rsid w:val="007455D4"/>
    <w:rsid w:val="007460FF"/>
    <w:rsid w:val="00747566"/>
    <w:rsid w:val="00762CD4"/>
    <w:rsid w:val="007637DB"/>
    <w:rsid w:val="00770938"/>
    <w:rsid w:val="00773188"/>
    <w:rsid w:val="00783782"/>
    <w:rsid w:val="00784B8C"/>
    <w:rsid w:val="007879E1"/>
    <w:rsid w:val="00795C9F"/>
    <w:rsid w:val="007A434B"/>
    <w:rsid w:val="007A6D61"/>
    <w:rsid w:val="007B0F31"/>
    <w:rsid w:val="007B4A33"/>
    <w:rsid w:val="007B7313"/>
    <w:rsid w:val="007C7219"/>
    <w:rsid w:val="007C7B5B"/>
    <w:rsid w:val="007D1F4F"/>
    <w:rsid w:val="007D67AC"/>
    <w:rsid w:val="007E06A5"/>
    <w:rsid w:val="007E1EF8"/>
    <w:rsid w:val="007E3CE3"/>
    <w:rsid w:val="007E435A"/>
    <w:rsid w:val="007E4E81"/>
    <w:rsid w:val="007E53A1"/>
    <w:rsid w:val="007F244D"/>
    <w:rsid w:val="00803D38"/>
    <w:rsid w:val="008058FF"/>
    <w:rsid w:val="008219D8"/>
    <w:rsid w:val="008229FC"/>
    <w:rsid w:val="00823A11"/>
    <w:rsid w:val="008249F8"/>
    <w:rsid w:val="0083048A"/>
    <w:rsid w:val="0084663F"/>
    <w:rsid w:val="00852A9C"/>
    <w:rsid w:val="00853FBA"/>
    <w:rsid w:val="0085405E"/>
    <w:rsid w:val="0085414A"/>
    <w:rsid w:val="00854917"/>
    <w:rsid w:val="00857F21"/>
    <w:rsid w:val="0086269D"/>
    <w:rsid w:val="0086543A"/>
    <w:rsid w:val="00865631"/>
    <w:rsid w:val="00870520"/>
    <w:rsid w:val="00871325"/>
    <w:rsid w:val="0087146D"/>
    <w:rsid w:val="008724E5"/>
    <w:rsid w:val="00877012"/>
    <w:rsid w:val="00877D54"/>
    <w:rsid w:val="008827E2"/>
    <w:rsid w:val="00882F25"/>
    <w:rsid w:val="00883B07"/>
    <w:rsid w:val="00884A9D"/>
    <w:rsid w:val="0088512B"/>
    <w:rsid w:val="00886304"/>
    <w:rsid w:val="00897EDE"/>
    <w:rsid w:val="008A2B2D"/>
    <w:rsid w:val="008A3D1F"/>
    <w:rsid w:val="008A4E1E"/>
    <w:rsid w:val="008A7B0B"/>
    <w:rsid w:val="008B3D1A"/>
    <w:rsid w:val="008C296C"/>
    <w:rsid w:val="008C7C8F"/>
    <w:rsid w:val="008D0FD7"/>
    <w:rsid w:val="008D35AE"/>
    <w:rsid w:val="008D4305"/>
    <w:rsid w:val="008D6586"/>
    <w:rsid w:val="008E1A85"/>
    <w:rsid w:val="008E29A2"/>
    <w:rsid w:val="008E7CEC"/>
    <w:rsid w:val="008F0766"/>
    <w:rsid w:val="008F4BF8"/>
    <w:rsid w:val="008F5A62"/>
    <w:rsid w:val="008F6F9E"/>
    <w:rsid w:val="0090441B"/>
    <w:rsid w:val="009163A7"/>
    <w:rsid w:val="009218C1"/>
    <w:rsid w:val="00927FF3"/>
    <w:rsid w:val="00932B91"/>
    <w:rsid w:val="00933A0E"/>
    <w:rsid w:val="009356F8"/>
    <w:rsid w:val="00940416"/>
    <w:rsid w:val="00940654"/>
    <w:rsid w:val="009426E5"/>
    <w:rsid w:val="00946D0B"/>
    <w:rsid w:val="00947FC7"/>
    <w:rsid w:val="00950445"/>
    <w:rsid w:val="00954A94"/>
    <w:rsid w:val="00955877"/>
    <w:rsid w:val="009564E4"/>
    <w:rsid w:val="00966EB0"/>
    <w:rsid w:val="00984D8E"/>
    <w:rsid w:val="00993A8F"/>
    <w:rsid w:val="009972B9"/>
    <w:rsid w:val="009979CA"/>
    <w:rsid w:val="009A18CD"/>
    <w:rsid w:val="009A3B8C"/>
    <w:rsid w:val="009A53D7"/>
    <w:rsid w:val="009C18EF"/>
    <w:rsid w:val="009C3D10"/>
    <w:rsid w:val="009C44D2"/>
    <w:rsid w:val="009C4D37"/>
    <w:rsid w:val="009C75B1"/>
    <w:rsid w:val="009D2276"/>
    <w:rsid w:val="009D5428"/>
    <w:rsid w:val="009E1502"/>
    <w:rsid w:val="009E43A9"/>
    <w:rsid w:val="009F64AF"/>
    <w:rsid w:val="00A105DC"/>
    <w:rsid w:val="00A12558"/>
    <w:rsid w:val="00A12880"/>
    <w:rsid w:val="00A13903"/>
    <w:rsid w:val="00A1622A"/>
    <w:rsid w:val="00A17C45"/>
    <w:rsid w:val="00A20B96"/>
    <w:rsid w:val="00A22592"/>
    <w:rsid w:val="00A3133B"/>
    <w:rsid w:val="00A3171A"/>
    <w:rsid w:val="00A3350F"/>
    <w:rsid w:val="00A34ED5"/>
    <w:rsid w:val="00A4210C"/>
    <w:rsid w:val="00A4292F"/>
    <w:rsid w:val="00A45DBF"/>
    <w:rsid w:val="00A5307F"/>
    <w:rsid w:val="00A53500"/>
    <w:rsid w:val="00A6365B"/>
    <w:rsid w:val="00A67B38"/>
    <w:rsid w:val="00A72BD0"/>
    <w:rsid w:val="00A73D6D"/>
    <w:rsid w:val="00A75061"/>
    <w:rsid w:val="00A755A2"/>
    <w:rsid w:val="00A81DE2"/>
    <w:rsid w:val="00A83B0C"/>
    <w:rsid w:val="00A8415C"/>
    <w:rsid w:val="00A91612"/>
    <w:rsid w:val="00A94833"/>
    <w:rsid w:val="00A951ED"/>
    <w:rsid w:val="00AA18F4"/>
    <w:rsid w:val="00AA3331"/>
    <w:rsid w:val="00AA487E"/>
    <w:rsid w:val="00AA6660"/>
    <w:rsid w:val="00AB2BA7"/>
    <w:rsid w:val="00AB2C36"/>
    <w:rsid w:val="00AB6DDE"/>
    <w:rsid w:val="00AB70B6"/>
    <w:rsid w:val="00AC0EDE"/>
    <w:rsid w:val="00AC3BC5"/>
    <w:rsid w:val="00AD034A"/>
    <w:rsid w:val="00AD1A86"/>
    <w:rsid w:val="00AE103E"/>
    <w:rsid w:val="00AE2614"/>
    <w:rsid w:val="00AF0A07"/>
    <w:rsid w:val="00AF0F91"/>
    <w:rsid w:val="00AF4AEC"/>
    <w:rsid w:val="00AF625E"/>
    <w:rsid w:val="00B12408"/>
    <w:rsid w:val="00B2110E"/>
    <w:rsid w:val="00B212F4"/>
    <w:rsid w:val="00B22DEE"/>
    <w:rsid w:val="00B23F66"/>
    <w:rsid w:val="00B24D3A"/>
    <w:rsid w:val="00B33634"/>
    <w:rsid w:val="00B45DD6"/>
    <w:rsid w:val="00B57C44"/>
    <w:rsid w:val="00B65A38"/>
    <w:rsid w:val="00B6759A"/>
    <w:rsid w:val="00B804D2"/>
    <w:rsid w:val="00B871B7"/>
    <w:rsid w:val="00B941B4"/>
    <w:rsid w:val="00BB04AF"/>
    <w:rsid w:val="00BB1958"/>
    <w:rsid w:val="00BB2AB7"/>
    <w:rsid w:val="00BB5C94"/>
    <w:rsid w:val="00BB7133"/>
    <w:rsid w:val="00BC1783"/>
    <w:rsid w:val="00BC3488"/>
    <w:rsid w:val="00BC3E74"/>
    <w:rsid w:val="00BC6468"/>
    <w:rsid w:val="00BD02D9"/>
    <w:rsid w:val="00BD3D67"/>
    <w:rsid w:val="00BD468F"/>
    <w:rsid w:val="00BD4A0B"/>
    <w:rsid w:val="00BD52C9"/>
    <w:rsid w:val="00BD7294"/>
    <w:rsid w:val="00BE41FB"/>
    <w:rsid w:val="00BE5499"/>
    <w:rsid w:val="00BE6354"/>
    <w:rsid w:val="00C026C3"/>
    <w:rsid w:val="00C05989"/>
    <w:rsid w:val="00C0711B"/>
    <w:rsid w:val="00C138D1"/>
    <w:rsid w:val="00C23A97"/>
    <w:rsid w:val="00C23D11"/>
    <w:rsid w:val="00C31FA0"/>
    <w:rsid w:val="00C3403E"/>
    <w:rsid w:val="00C34427"/>
    <w:rsid w:val="00C43F2C"/>
    <w:rsid w:val="00C47856"/>
    <w:rsid w:val="00C51020"/>
    <w:rsid w:val="00C51889"/>
    <w:rsid w:val="00C54497"/>
    <w:rsid w:val="00C5522F"/>
    <w:rsid w:val="00C55D28"/>
    <w:rsid w:val="00C64855"/>
    <w:rsid w:val="00C66DE7"/>
    <w:rsid w:val="00C70EA7"/>
    <w:rsid w:val="00C7516E"/>
    <w:rsid w:val="00C75770"/>
    <w:rsid w:val="00C75E87"/>
    <w:rsid w:val="00C81C1D"/>
    <w:rsid w:val="00C91134"/>
    <w:rsid w:val="00CA1FC7"/>
    <w:rsid w:val="00CA56BB"/>
    <w:rsid w:val="00CB1C5D"/>
    <w:rsid w:val="00CC1055"/>
    <w:rsid w:val="00CC51E6"/>
    <w:rsid w:val="00CC7A25"/>
    <w:rsid w:val="00CD2978"/>
    <w:rsid w:val="00CD5DBA"/>
    <w:rsid w:val="00D00B2B"/>
    <w:rsid w:val="00D00CC1"/>
    <w:rsid w:val="00D02F84"/>
    <w:rsid w:val="00D06D0B"/>
    <w:rsid w:val="00D06FFA"/>
    <w:rsid w:val="00D11F8C"/>
    <w:rsid w:val="00D12EDE"/>
    <w:rsid w:val="00D12F71"/>
    <w:rsid w:val="00D20115"/>
    <w:rsid w:val="00D20DE5"/>
    <w:rsid w:val="00D24877"/>
    <w:rsid w:val="00D318B2"/>
    <w:rsid w:val="00D32CBA"/>
    <w:rsid w:val="00D447E9"/>
    <w:rsid w:val="00D51D7F"/>
    <w:rsid w:val="00D53242"/>
    <w:rsid w:val="00D55840"/>
    <w:rsid w:val="00D5742F"/>
    <w:rsid w:val="00D63EAC"/>
    <w:rsid w:val="00D6531A"/>
    <w:rsid w:val="00D6606D"/>
    <w:rsid w:val="00D70E1A"/>
    <w:rsid w:val="00D7236A"/>
    <w:rsid w:val="00D800E3"/>
    <w:rsid w:val="00D820D6"/>
    <w:rsid w:val="00D8250F"/>
    <w:rsid w:val="00D83A74"/>
    <w:rsid w:val="00D853A4"/>
    <w:rsid w:val="00D86198"/>
    <w:rsid w:val="00D901E2"/>
    <w:rsid w:val="00D91ED8"/>
    <w:rsid w:val="00D92571"/>
    <w:rsid w:val="00D934B4"/>
    <w:rsid w:val="00D95C4C"/>
    <w:rsid w:val="00DA36ED"/>
    <w:rsid w:val="00DA5D79"/>
    <w:rsid w:val="00DB29DB"/>
    <w:rsid w:val="00DB4E1A"/>
    <w:rsid w:val="00DB7900"/>
    <w:rsid w:val="00DC4299"/>
    <w:rsid w:val="00DD769C"/>
    <w:rsid w:val="00DE28AB"/>
    <w:rsid w:val="00DE34F1"/>
    <w:rsid w:val="00DE47F7"/>
    <w:rsid w:val="00DE5E54"/>
    <w:rsid w:val="00DE6160"/>
    <w:rsid w:val="00DF4942"/>
    <w:rsid w:val="00DF61FF"/>
    <w:rsid w:val="00E004A1"/>
    <w:rsid w:val="00E14599"/>
    <w:rsid w:val="00E17031"/>
    <w:rsid w:val="00E234B6"/>
    <w:rsid w:val="00E328CA"/>
    <w:rsid w:val="00E4766E"/>
    <w:rsid w:val="00E55F1F"/>
    <w:rsid w:val="00E60366"/>
    <w:rsid w:val="00E627B1"/>
    <w:rsid w:val="00E66B37"/>
    <w:rsid w:val="00E70169"/>
    <w:rsid w:val="00E80FEF"/>
    <w:rsid w:val="00E84CC8"/>
    <w:rsid w:val="00E869A5"/>
    <w:rsid w:val="00E86A08"/>
    <w:rsid w:val="00E90A0B"/>
    <w:rsid w:val="00E9376C"/>
    <w:rsid w:val="00EA0DD3"/>
    <w:rsid w:val="00EA335E"/>
    <w:rsid w:val="00EA528C"/>
    <w:rsid w:val="00EA580C"/>
    <w:rsid w:val="00EA6EAA"/>
    <w:rsid w:val="00EA756C"/>
    <w:rsid w:val="00EA7AED"/>
    <w:rsid w:val="00EB0CD4"/>
    <w:rsid w:val="00EB5C98"/>
    <w:rsid w:val="00EC083F"/>
    <w:rsid w:val="00EC285D"/>
    <w:rsid w:val="00EC2A59"/>
    <w:rsid w:val="00EC3B03"/>
    <w:rsid w:val="00EC523D"/>
    <w:rsid w:val="00EC6F8D"/>
    <w:rsid w:val="00ED679E"/>
    <w:rsid w:val="00EE21D0"/>
    <w:rsid w:val="00EE45E2"/>
    <w:rsid w:val="00EE4EA7"/>
    <w:rsid w:val="00EE6333"/>
    <w:rsid w:val="00EE669A"/>
    <w:rsid w:val="00EE77AD"/>
    <w:rsid w:val="00EF34E2"/>
    <w:rsid w:val="00F06375"/>
    <w:rsid w:val="00F10FCA"/>
    <w:rsid w:val="00F1473A"/>
    <w:rsid w:val="00F17576"/>
    <w:rsid w:val="00F25795"/>
    <w:rsid w:val="00F30DC6"/>
    <w:rsid w:val="00F32C23"/>
    <w:rsid w:val="00F371C5"/>
    <w:rsid w:val="00F41A50"/>
    <w:rsid w:val="00F42C01"/>
    <w:rsid w:val="00F45AEE"/>
    <w:rsid w:val="00F476A2"/>
    <w:rsid w:val="00F47872"/>
    <w:rsid w:val="00F53DE9"/>
    <w:rsid w:val="00F54574"/>
    <w:rsid w:val="00F576CB"/>
    <w:rsid w:val="00F6537D"/>
    <w:rsid w:val="00F66ED2"/>
    <w:rsid w:val="00F7035D"/>
    <w:rsid w:val="00F71A02"/>
    <w:rsid w:val="00F81D3A"/>
    <w:rsid w:val="00F866D7"/>
    <w:rsid w:val="00F9608C"/>
    <w:rsid w:val="00F97199"/>
    <w:rsid w:val="00FA0D63"/>
    <w:rsid w:val="00FB1186"/>
    <w:rsid w:val="00FB1486"/>
    <w:rsid w:val="00FD1226"/>
    <w:rsid w:val="00FD2F00"/>
    <w:rsid w:val="00FD3425"/>
    <w:rsid w:val="00FE76CB"/>
    <w:rsid w:val="00FF0DAE"/>
    <w:rsid w:val="00FF2E7B"/>
    <w:rsid w:val="00FF3F9A"/>
    <w:rsid w:val="00FF4830"/>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314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character" w:customStyle="1" w:styleId="hps">
    <w:name w:val="hps"/>
    <w:rsid w:val="00027D32"/>
  </w:style>
  <w:style w:type="paragraph" w:customStyle="1" w:styleId="Paragraph">
    <w:name w:val="Paragraph"/>
    <w:basedOn w:val="Marge"/>
    <w:link w:val="ParagraphChar"/>
    <w:qFormat/>
    <w:rsid w:val="00027D32"/>
    <w:pPr>
      <w:numPr>
        <w:numId w:val="5"/>
      </w:numPr>
    </w:pPr>
    <w:rPr>
      <w:rFonts w:cs="Arial"/>
      <w:szCs w:val="22"/>
      <w:lang w:val="en-GB"/>
    </w:rPr>
  </w:style>
  <w:style w:type="character" w:customStyle="1" w:styleId="ParagraphChar">
    <w:name w:val="Paragraph Char"/>
    <w:link w:val="Paragraph"/>
    <w:rsid w:val="00027D32"/>
    <w:rPr>
      <w:rFonts w:ascii="Arial" w:eastAsia="Times New Roman" w:hAnsi="Arial" w:cs="Arial"/>
      <w:snapToGrid w:val="0"/>
      <w:sz w:val="22"/>
      <w:szCs w:val="22"/>
      <w:lang w:val="en-GB" w:eastAsia="en-US"/>
    </w:rPr>
  </w:style>
  <w:style w:type="paragraph" w:styleId="CommentText">
    <w:name w:val="annotation text"/>
    <w:basedOn w:val="Normal"/>
    <w:link w:val="CommentTextChar"/>
    <w:uiPriority w:val="99"/>
    <w:semiHidden/>
    <w:unhideWhenUsed/>
    <w:rsid w:val="00D55840"/>
    <w:rPr>
      <w:sz w:val="20"/>
      <w:szCs w:val="20"/>
    </w:rPr>
  </w:style>
  <w:style w:type="character" w:customStyle="1" w:styleId="CommentTextChar">
    <w:name w:val="Comment Text Char"/>
    <w:basedOn w:val="DefaultParagraphFont"/>
    <w:link w:val="CommentText"/>
    <w:uiPriority w:val="99"/>
    <w:semiHidden/>
    <w:rsid w:val="00D55840"/>
    <w:rPr>
      <w:rFonts w:ascii="Times New Roman" w:eastAsia="Times New Roman" w:hAnsi="Times New Roman"/>
    </w:rPr>
  </w:style>
  <w:style w:type="character" w:styleId="CommentReference">
    <w:name w:val="annotation reference"/>
    <w:basedOn w:val="DefaultParagraphFont"/>
    <w:uiPriority w:val="99"/>
    <w:semiHidden/>
    <w:unhideWhenUsed/>
    <w:rsid w:val="00F42C01"/>
    <w:rPr>
      <w:sz w:val="16"/>
      <w:szCs w:val="16"/>
    </w:rPr>
  </w:style>
  <w:style w:type="paragraph" w:styleId="CommentSubject">
    <w:name w:val="annotation subject"/>
    <w:basedOn w:val="CommentText"/>
    <w:next w:val="CommentText"/>
    <w:link w:val="CommentSubjectChar"/>
    <w:uiPriority w:val="99"/>
    <w:semiHidden/>
    <w:unhideWhenUsed/>
    <w:rsid w:val="00F42C01"/>
    <w:rPr>
      <w:b/>
      <w:bCs/>
    </w:rPr>
  </w:style>
  <w:style w:type="character" w:customStyle="1" w:styleId="CommentSubjectChar">
    <w:name w:val="Comment Subject Char"/>
    <w:basedOn w:val="CommentTextChar"/>
    <w:link w:val="CommentSubject"/>
    <w:uiPriority w:val="99"/>
    <w:semiHidden/>
    <w:rsid w:val="00F42C01"/>
    <w:rPr>
      <w:rFonts w:ascii="Times New Roman" w:eastAsia="Times New Roman" w:hAnsi="Times New Roman"/>
      <w:b/>
      <w:bCs/>
    </w:rPr>
  </w:style>
  <w:style w:type="paragraph" w:styleId="FootnoteText">
    <w:name w:val="footnote text"/>
    <w:basedOn w:val="Normal"/>
    <w:link w:val="FootnoteTextChar"/>
    <w:uiPriority w:val="99"/>
    <w:unhideWhenUsed/>
    <w:rsid w:val="007E4E81"/>
    <w:rPr>
      <w:sz w:val="20"/>
      <w:szCs w:val="20"/>
    </w:rPr>
  </w:style>
  <w:style w:type="character" w:customStyle="1" w:styleId="FootnoteTextChar">
    <w:name w:val="Footnote Text Char"/>
    <w:basedOn w:val="DefaultParagraphFont"/>
    <w:link w:val="FootnoteText"/>
    <w:uiPriority w:val="99"/>
    <w:rsid w:val="007E4E81"/>
    <w:rPr>
      <w:rFonts w:ascii="Times New Roman" w:eastAsia="Times New Roman" w:hAnsi="Times New Roman"/>
    </w:rPr>
  </w:style>
  <w:style w:type="character" w:styleId="FootnoteReference">
    <w:name w:val="footnote reference"/>
    <w:basedOn w:val="DefaultParagraphFont"/>
    <w:uiPriority w:val="99"/>
    <w:unhideWhenUsed/>
    <w:rsid w:val="007E4E81"/>
    <w:rPr>
      <w:vertAlign w:val="superscript"/>
    </w:rPr>
  </w:style>
  <w:style w:type="paragraph" w:styleId="Caption">
    <w:name w:val="caption"/>
    <w:basedOn w:val="Normal"/>
    <w:next w:val="Normal"/>
    <w:uiPriority w:val="35"/>
    <w:unhideWhenUsed/>
    <w:qFormat/>
    <w:rsid w:val="005E77D3"/>
    <w:pPr>
      <w:spacing w:after="200"/>
    </w:pPr>
    <w:rPr>
      <w:i/>
      <w:iCs/>
      <w:color w:val="1F497D" w:themeColor="text2"/>
      <w:sz w:val="18"/>
      <w:szCs w:val="18"/>
    </w:rPr>
  </w:style>
  <w:style w:type="paragraph" w:styleId="Revision">
    <w:name w:val="Revision"/>
    <w:hidden/>
    <w:uiPriority w:val="99"/>
    <w:semiHidden/>
    <w:rsid w:val="00556133"/>
    <w:rPr>
      <w:rFonts w:ascii="Times New Roman" w:eastAsia="Times New Roman" w:hAnsi="Times New Roman"/>
      <w:sz w:val="24"/>
      <w:szCs w:val="24"/>
    </w:rPr>
  </w:style>
  <w:style w:type="character" w:styleId="Hyperlink">
    <w:name w:val="Hyperlink"/>
    <w:basedOn w:val="DefaultParagraphFont"/>
    <w:uiPriority w:val="99"/>
    <w:unhideWhenUsed/>
    <w:rsid w:val="001C6E03"/>
    <w:rPr>
      <w:color w:val="0000FF" w:themeColor="hyperlink"/>
      <w:u w:val="single"/>
    </w:rPr>
  </w:style>
  <w:style w:type="character" w:styleId="FollowedHyperlink">
    <w:name w:val="FollowedHyperlink"/>
    <w:basedOn w:val="DefaultParagraphFont"/>
    <w:uiPriority w:val="99"/>
    <w:semiHidden/>
    <w:unhideWhenUsed/>
    <w:rsid w:val="005F34C5"/>
    <w:rPr>
      <w:color w:val="800080" w:themeColor="followedHyperlink"/>
      <w:u w:val="single"/>
    </w:rPr>
  </w:style>
  <w:style w:type="character" w:customStyle="1" w:styleId="ParaChar">
    <w:name w:val="Para Char"/>
    <w:link w:val="Para"/>
    <w:locked/>
    <w:rsid w:val="00260CAC"/>
    <w:rPr>
      <w:rFonts w:ascii="Arial" w:hAnsi="Arial"/>
    </w:rPr>
  </w:style>
  <w:style w:type="paragraph" w:customStyle="1" w:styleId="Para">
    <w:name w:val="Para"/>
    <w:basedOn w:val="Normal"/>
    <w:link w:val="ParaChar"/>
    <w:qFormat/>
    <w:rsid w:val="00260CAC"/>
    <w:pPr>
      <w:numPr>
        <w:numId w:val="6"/>
      </w:numPr>
      <w:spacing w:after="120" w:line="240" w:lineRule="exact"/>
      <w:jc w:val="both"/>
    </w:pPr>
    <w:rPr>
      <w:rFonts w:ascii="Arial" w:eastAsia="SimSun" w:hAnsi="Arial"/>
      <w:sz w:val="20"/>
      <w:szCs w:val="20"/>
    </w:rPr>
  </w:style>
  <w:style w:type="character" w:customStyle="1" w:styleId="shorttext">
    <w:name w:val="short_text"/>
    <w:basedOn w:val="DefaultParagraphFont"/>
    <w:rsid w:val="00E234B6"/>
  </w:style>
  <w:style w:type="character" w:customStyle="1" w:styleId="alt-edited1">
    <w:name w:val="alt-edited1"/>
    <w:basedOn w:val="DefaultParagraphFont"/>
    <w:rsid w:val="00E234B6"/>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character" w:customStyle="1" w:styleId="hps">
    <w:name w:val="hps"/>
    <w:rsid w:val="00027D32"/>
  </w:style>
  <w:style w:type="paragraph" w:customStyle="1" w:styleId="Paragraph">
    <w:name w:val="Paragraph"/>
    <w:basedOn w:val="Marge"/>
    <w:link w:val="ParagraphChar"/>
    <w:qFormat/>
    <w:rsid w:val="00027D32"/>
    <w:pPr>
      <w:numPr>
        <w:numId w:val="5"/>
      </w:numPr>
    </w:pPr>
    <w:rPr>
      <w:rFonts w:cs="Arial"/>
      <w:szCs w:val="22"/>
      <w:lang w:val="en-GB"/>
    </w:rPr>
  </w:style>
  <w:style w:type="character" w:customStyle="1" w:styleId="ParagraphChar">
    <w:name w:val="Paragraph Char"/>
    <w:link w:val="Paragraph"/>
    <w:rsid w:val="00027D32"/>
    <w:rPr>
      <w:rFonts w:ascii="Arial" w:eastAsia="Times New Roman" w:hAnsi="Arial" w:cs="Arial"/>
      <w:snapToGrid w:val="0"/>
      <w:sz w:val="22"/>
      <w:szCs w:val="22"/>
      <w:lang w:val="en-GB" w:eastAsia="en-US"/>
    </w:rPr>
  </w:style>
  <w:style w:type="paragraph" w:styleId="CommentText">
    <w:name w:val="annotation text"/>
    <w:basedOn w:val="Normal"/>
    <w:link w:val="CommentTextChar"/>
    <w:uiPriority w:val="99"/>
    <w:semiHidden/>
    <w:unhideWhenUsed/>
    <w:rsid w:val="00D55840"/>
    <w:rPr>
      <w:sz w:val="20"/>
      <w:szCs w:val="20"/>
    </w:rPr>
  </w:style>
  <w:style w:type="character" w:customStyle="1" w:styleId="CommentTextChar">
    <w:name w:val="Comment Text Char"/>
    <w:basedOn w:val="DefaultParagraphFont"/>
    <w:link w:val="CommentText"/>
    <w:uiPriority w:val="99"/>
    <w:semiHidden/>
    <w:rsid w:val="00D55840"/>
    <w:rPr>
      <w:rFonts w:ascii="Times New Roman" w:eastAsia="Times New Roman" w:hAnsi="Times New Roman"/>
    </w:rPr>
  </w:style>
  <w:style w:type="character" w:styleId="CommentReference">
    <w:name w:val="annotation reference"/>
    <w:basedOn w:val="DefaultParagraphFont"/>
    <w:uiPriority w:val="99"/>
    <w:semiHidden/>
    <w:unhideWhenUsed/>
    <w:rsid w:val="00F42C01"/>
    <w:rPr>
      <w:sz w:val="16"/>
      <w:szCs w:val="16"/>
    </w:rPr>
  </w:style>
  <w:style w:type="paragraph" w:styleId="CommentSubject">
    <w:name w:val="annotation subject"/>
    <w:basedOn w:val="CommentText"/>
    <w:next w:val="CommentText"/>
    <w:link w:val="CommentSubjectChar"/>
    <w:uiPriority w:val="99"/>
    <w:semiHidden/>
    <w:unhideWhenUsed/>
    <w:rsid w:val="00F42C01"/>
    <w:rPr>
      <w:b/>
      <w:bCs/>
    </w:rPr>
  </w:style>
  <w:style w:type="character" w:customStyle="1" w:styleId="CommentSubjectChar">
    <w:name w:val="Comment Subject Char"/>
    <w:basedOn w:val="CommentTextChar"/>
    <w:link w:val="CommentSubject"/>
    <w:uiPriority w:val="99"/>
    <w:semiHidden/>
    <w:rsid w:val="00F42C01"/>
    <w:rPr>
      <w:rFonts w:ascii="Times New Roman" w:eastAsia="Times New Roman" w:hAnsi="Times New Roman"/>
      <w:b/>
      <w:bCs/>
    </w:rPr>
  </w:style>
  <w:style w:type="paragraph" w:styleId="FootnoteText">
    <w:name w:val="footnote text"/>
    <w:basedOn w:val="Normal"/>
    <w:link w:val="FootnoteTextChar"/>
    <w:uiPriority w:val="99"/>
    <w:unhideWhenUsed/>
    <w:rsid w:val="007E4E81"/>
    <w:rPr>
      <w:sz w:val="20"/>
      <w:szCs w:val="20"/>
    </w:rPr>
  </w:style>
  <w:style w:type="character" w:customStyle="1" w:styleId="FootnoteTextChar">
    <w:name w:val="Footnote Text Char"/>
    <w:basedOn w:val="DefaultParagraphFont"/>
    <w:link w:val="FootnoteText"/>
    <w:uiPriority w:val="99"/>
    <w:rsid w:val="007E4E81"/>
    <w:rPr>
      <w:rFonts w:ascii="Times New Roman" w:eastAsia="Times New Roman" w:hAnsi="Times New Roman"/>
    </w:rPr>
  </w:style>
  <w:style w:type="character" w:styleId="FootnoteReference">
    <w:name w:val="footnote reference"/>
    <w:basedOn w:val="DefaultParagraphFont"/>
    <w:uiPriority w:val="99"/>
    <w:unhideWhenUsed/>
    <w:rsid w:val="007E4E81"/>
    <w:rPr>
      <w:vertAlign w:val="superscript"/>
    </w:rPr>
  </w:style>
  <w:style w:type="paragraph" w:styleId="Caption">
    <w:name w:val="caption"/>
    <w:basedOn w:val="Normal"/>
    <w:next w:val="Normal"/>
    <w:uiPriority w:val="35"/>
    <w:unhideWhenUsed/>
    <w:qFormat/>
    <w:rsid w:val="005E77D3"/>
    <w:pPr>
      <w:spacing w:after="200"/>
    </w:pPr>
    <w:rPr>
      <w:i/>
      <w:iCs/>
      <w:color w:val="1F497D" w:themeColor="text2"/>
      <w:sz w:val="18"/>
      <w:szCs w:val="18"/>
    </w:rPr>
  </w:style>
  <w:style w:type="paragraph" w:styleId="Revision">
    <w:name w:val="Revision"/>
    <w:hidden/>
    <w:uiPriority w:val="99"/>
    <w:semiHidden/>
    <w:rsid w:val="00556133"/>
    <w:rPr>
      <w:rFonts w:ascii="Times New Roman" w:eastAsia="Times New Roman" w:hAnsi="Times New Roman"/>
      <w:sz w:val="24"/>
      <w:szCs w:val="24"/>
    </w:rPr>
  </w:style>
  <w:style w:type="character" w:styleId="Hyperlink">
    <w:name w:val="Hyperlink"/>
    <w:basedOn w:val="DefaultParagraphFont"/>
    <w:uiPriority w:val="99"/>
    <w:unhideWhenUsed/>
    <w:rsid w:val="001C6E03"/>
    <w:rPr>
      <w:color w:val="0000FF" w:themeColor="hyperlink"/>
      <w:u w:val="single"/>
    </w:rPr>
  </w:style>
  <w:style w:type="character" w:styleId="FollowedHyperlink">
    <w:name w:val="FollowedHyperlink"/>
    <w:basedOn w:val="DefaultParagraphFont"/>
    <w:uiPriority w:val="99"/>
    <w:semiHidden/>
    <w:unhideWhenUsed/>
    <w:rsid w:val="005F34C5"/>
    <w:rPr>
      <w:color w:val="800080" w:themeColor="followedHyperlink"/>
      <w:u w:val="single"/>
    </w:rPr>
  </w:style>
  <w:style w:type="character" w:customStyle="1" w:styleId="ParaChar">
    <w:name w:val="Para Char"/>
    <w:link w:val="Para"/>
    <w:locked/>
    <w:rsid w:val="00260CAC"/>
    <w:rPr>
      <w:rFonts w:ascii="Arial" w:hAnsi="Arial"/>
    </w:rPr>
  </w:style>
  <w:style w:type="paragraph" w:customStyle="1" w:styleId="Para">
    <w:name w:val="Para"/>
    <w:basedOn w:val="Normal"/>
    <w:link w:val="ParaChar"/>
    <w:qFormat/>
    <w:rsid w:val="00260CAC"/>
    <w:pPr>
      <w:numPr>
        <w:numId w:val="6"/>
      </w:numPr>
      <w:spacing w:after="120" w:line="240" w:lineRule="exact"/>
      <w:jc w:val="both"/>
    </w:pPr>
    <w:rPr>
      <w:rFonts w:ascii="Arial" w:eastAsia="SimSun" w:hAnsi="Arial"/>
      <w:sz w:val="20"/>
      <w:szCs w:val="20"/>
    </w:rPr>
  </w:style>
  <w:style w:type="character" w:customStyle="1" w:styleId="shorttext">
    <w:name w:val="short_text"/>
    <w:basedOn w:val="DefaultParagraphFont"/>
    <w:rsid w:val="00E234B6"/>
  </w:style>
  <w:style w:type="character" w:customStyle="1" w:styleId="alt-edited1">
    <w:name w:val="alt-edited1"/>
    <w:basedOn w:val="DefaultParagraphFont"/>
    <w:rsid w:val="00E234B6"/>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4923">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3113316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3471518">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www.unesco.org/culture/ich/fr/Decisions/9.COM/13.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nesco.org/culture/ich/fr/Decisions/7.COM/20.1" TargetMode="External"/><Relationship Id="rId17" Type="http://schemas.openxmlformats.org/officeDocument/2006/relationships/hyperlink" Target="http://www.unesco.org/culture/ich/fr/Decisions/10.COM/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esco.org/culture/ich/fr/Decisions/8.COM/12"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doc/src/ITH-16-11.COM-9.a-FR.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eader" Target="header3.xml"/><Relationship Id="rId10" Type="http://schemas.openxmlformats.org/officeDocument/2006/relationships/hyperlink" Target="http://www.unesco.org/culture/ich/fr/Decisions/10.COM/9" TargetMode="External"/><Relationship Id="rId19" Type="http://schemas.openxmlformats.org/officeDocument/2006/relationships/hyperlink" Target="http://www.unesco.org/culture/ich/fr/Decisions/10.COM/19" TargetMode="External"/><Relationship Id="rId4" Type="http://schemas.microsoft.com/office/2007/relationships/stylesWithEffects" Target="stylesWithEffects.xml"/><Relationship Id="rId9" Type="http://schemas.openxmlformats.org/officeDocument/2006/relationships/hyperlink" Target="http://www.unesco.org/culture/ich/fr/Decisions/9.COM/7" TargetMode="External"/><Relationship Id="rId14" Type="http://schemas.openxmlformats.org/officeDocument/2006/relationships/hyperlink" Target="http://www.unesco.org/culture/ich/fr/Resolutions/3.GA/9"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hqfs\dfs\clt\CRE\02-ITH\Convention-Statutory%20Meetings\2016_STATUTORY%20MEETINGS\2016-11_11COM\Documents\06_11.COM_Voluntary%20supplementary%20contributions%20to%20the%20Fund\Drafts\Volontary%20Contibutions%20Evolution_20161026_F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qfs\dfs\clt\CRE\02-ITH\Convention-Statutory%20Meetings\2016_STATUTORY%20MEETINGS\2016-11_11COM\Documents\06_11.COM_Voluntary%20supplementary%20contributions%20to%20the%20Fund\Drafts\Volontary%20Contibutions%20Evolution_20161026_F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8.4150957173629942E-2"/>
          <c:y val="3.5471423214955271E-2"/>
          <c:w val="0.62624267431447445"/>
          <c:h val="0.87060324602281858"/>
        </c:manualLayout>
      </c:layout>
      <c:barChart>
        <c:barDir val="col"/>
        <c:grouping val="stacked"/>
        <c:varyColors val="0"/>
        <c:ser>
          <c:idx val="2"/>
          <c:order val="1"/>
          <c:tx>
            <c:strRef>
              <c:f>'arranged table FR'!$E$8</c:f>
              <c:strCache>
                <c:ptCount val="1"/>
                <c:pt idx="0">
                  <c:v>Sous-Fonds</c:v>
                </c:pt>
              </c:strCache>
            </c:strRef>
          </c:tx>
          <c:spPr>
            <a:pattFill prst="wdUpDiag">
              <a:fgClr>
                <a:schemeClr val="accent5">
                  <a:lumMod val="40000"/>
                  <a:lumOff val="60000"/>
                </a:schemeClr>
              </a:fgClr>
              <a:bgClr>
                <a:schemeClr val="bg1"/>
              </a:bgClr>
            </a:pattFill>
            <a:ln>
              <a:solidFill>
                <a:schemeClr val="accent1"/>
              </a:solidFill>
            </a:ln>
          </c:spPr>
          <c:invertIfNegative val="0"/>
          <c:cat>
            <c:multiLvlStrRef>
              <c:f>'arranged table FR'!$A$9:$B$12</c:f>
              <c:multiLvlStrCache>
                <c:ptCount val="4"/>
                <c:lvl>
                  <c:pt idx="0">
                    <c:v>35C/5 2010-11</c:v>
                  </c:pt>
                  <c:pt idx="1">
                    <c:v>36C/5 2012-13</c:v>
                  </c:pt>
                  <c:pt idx="2">
                    <c:v>37C/5 2014-15</c:v>
                  </c:pt>
                  <c:pt idx="3">
                    <c:v>38C/5 2016-17</c:v>
                  </c:pt>
                </c:lvl>
                <c:lvl>
                  <c:pt idx="0">
                    <c:v>Renforcement des capacités</c:v>
                  </c:pt>
                </c:lvl>
              </c:multiLvlStrCache>
            </c:multiLvlStrRef>
          </c:cat>
          <c:val>
            <c:numRef>
              <c:f>'arranged table FR'!$E$9:$E$12</c:f>
              <c:numCache>
                <c:formatCode>\$##0.00,," M"</c:formatCode>
                <c:ptCount val="4"/>
                <c:pt idx="0">
                  <c:v>0</c:v>
                </c:pt>
                <c:pt idx="1">
                  <c:v>0</c:v>
                </c:pt>
                <c:pt idx="2">
                  <c:v>0</c:v>
                </c:pt>
                <c:pt idx="3">
                  <c:v>0</c:v>
                </c:pt>
              </c:numCache>
            </c:numRef>
          </c:val>
        </c:ser>
        <c:ser>
          <c:idx val="3"/>
          <c:order val="2"/>
          <c:tx>
            <c:strRef>
              <c:f>'arranged table FR'!$F$8</c:f>
              <c:strCache>
                <c:ptCount val="1"/>
                <c:pt idx="0">
                  <c:v>Contributions en nature </c:v>
                </c:pt>
              </c:strCache>
            </c:strRef>
          </c:tx>
          <c:spPr>
            <a:pattFill prst="narHorz">
              <a:fgClr>
                <a:schemeClr val="bg1">
                  <a:lumMod val="65000"/>
                </a:schemeClr>
              </a:fgClr>
              <a:bgClr>
                <a:schemeClr val="bg1"/>
              </a:bgClr>
            </a:pattFill>
            <a:ln>
              <a:solidFill>
                <a:schemeClr val="accent1"/>
              </a:solidFill>
            </a:ln>
          </c:spPr>
          <c:invertIfNegative val="0"/>
          <c:cat>
            <c:multiLvlStrRef>
              <c:f>'arranged table FR'!$A$9:$B$12</c:f>
              <c:multiLvlStrCache>
                <c:ptCount val="4"/>
                <c:lvl>
                  <c:pt idx="0">
                    <c:v>35C/5 2010-11</c:v>
                  </c:pt>
                  <c:pt idx="1">
                    <c:v>36C/5 2012-13</c:v>
                  </c:pt>
                  <c:pt idx="2">
                    <c:v>37C/5 2014-15</c:v>
                  </c:pt>
                  <c:pt idx="3">
                    <c:v>38C/5 2016-17</c:v>
                  </c:pt>
                </c:lvl>
                <c:lvl>
                  <c:pt idx="0">
                    <c:v>Renforcement des capacités</c:v>
                  </c:pt>
                </c:lvl>
              </c:multiLvlStrCache>
            </c:multiLvlStrRef>
          </c:cat>
          <c:val>
            <c:numRef>
              <c:f>'arranged table FR'!$F$9:$F$12</c:f>
              <c:numCache>
                <c:formatCode>\$##0.00,," M"</c:formatCode>
                <c:ptCount val="4"/>
                <c:pt idx="0">
                  <c:v>0</c:v>
                </c:pt>
                <c:pt idx="1">
                  <c:v>0</c:v>
                </c:pt>
                <c:pt idx="2">
                  <c:v>0</c:v>
                </c:pt>
                <c:pt idx="3">
                  <c:v>0</c:v>
                </c:pt>
              </c:numCache>
            </c:numRef>
          </c:val>
        </c:ser>
        <c:ser>
          <c:idx val="0"/>
          <c:order val="3"/>
          <c:tx>
            <c:strRef>
              <c:f>'arranged table FR'!$C$8</c:f>
              <c:strCache>
                <c:ptCount val="1"/>
                <c:pt idx="0">
                  <c:v>Contributions affectées à des fins spécifiques</c:v>
                </c:pt>
              </c:strCache>
            </c:strRef>
          </c:tx>
          <c:spPr>
            <a:pattFill prst="pct90">
              <a:fgClr>
                <a:schemeClr val="accent2">
                  <a:lumMod val="60000"/>
                  <a:lumOff val="40000"/>
                </a:schemeClr>
              </a:fgClr>
              <a:bgClr>
                <a:schemeClr val="bg1"/>
              </a:bgClr>
            </a:pattFill>
            <a:ln>
              <a:solidFill>
                <a:schemeClr val="accent1"/>
              </a:solidFill>
            </a:ln>
          </c:spPr>
          <c:invertIfNegative val="0"/>
          <c:dLbls>
            <c:numFmt formatCode="\$##0.00,,&quot; M&quot;" sourceLinked="0"/>
            <c:spPr>
              <a:noFill/>
              <a:ln w="25400">
                <a:noFill/>
              </a:ln>
            </c:spPr>
            <c:txPr>
              <a:bodyPr/>
              <a:lstStyle/>
              <a:p>
                <a:pPr>
                  <a:defRPr sz="900"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'arranged table FR'!$A$9:$B$12</c:f>
              <c:multiLvlStrCache>
                <c:ptCount val="4"/>
                <c:lvl>
                  <c:pt idx="0">
                    <c:v>35C/5 2010-11</c:v>
                  </c:pt>
                  <c:pt idx="1">
                    <c:v>36C/5 2012-13</c:v>
                  </c:pt>
                  <c:pt idx="2">
                    <c:v>37C/5 2014-15</c:v>
                  </c:pt>
                  <c:pt idx="3">
                    <c:v>38C/5 2016-17</c:v>
                  </c:pt>
                </c:lvl>
                <c:lvl>
                  <c:pt idx="0">
                    <c:v>Renforcement des capacités</c:v>
                  </c:pt>
                </c:lvl>
              </c:multiLvlStrCache>
            </c:multiLvlStrRef>
          </c:cat>
          <c:val>
            <c:numRef>
              <c:f>'arranged table FR'!$C$9:$C$12</c:f>
              <c:numCache>
                <c:formatCode>\$##0.00,," M"</c:formatCode>
                <c:ptCount val="4"/>
                <c:pt idx="0">
                  <c:v>857700.49</c:v>
                </c:pt>
                <c:pt idx="1">
                  <c:v>2054561.51</c:v>
                </c:pt>
                <c:pt idx="2">
                  <c:v>1304184.82</c:v>
                </c:pt>
                <c:pt idx="3">
                  <c:v>110375</c:v>
                </c:pt>
              </c:numCache>
            </c:numRef>
          </c:val>
        </c:ser>
        <c:ser>
          <c:idx val="1"/>
          <c:order val="4"/>
          <c:tx>
            <c:strRef>
              <c:f>'arranged table FR'!$D$8</c:f>
              <c:strCache>
                <c:ptCount val="1"/>
                <c:pt idx="0">
                  <c:v>Fonds-en-dépôt</c:v>
                </c:pt>
              </c:strCache>
            </c:strRef>
          </c:tx>
          <c:spPr>
            <a:pattFill prst="pct5">
              <a:fgClr>
                <a:schemeClr val="tx2"/>
              </a:fgClr>
              <a:bgClr>
                <a:schemeClr val="bg1"/>
              </a:bgClr>
            </a:pattFill>
            <a:ln>
              <a:solidFill>
                <a:schemeClr val="accent1"/>
              </a:solidFill>
            </a:ln>
          </c:spPr>
          <c:invertIfNegative val="0"/>
          <c:dLbls>
            <c:numFmt formatCode="\$##0.00,,&quot; M&quot;" sourceLinked="0"/>
            <c:spPr>
              <a:noFill/>
              <a:ln w="25400">
                <a:noFill/>
              </a:ln>
            </c:spPr>
            <c:txPr>
              <a:bodyPr/>
              <a:lstStyle/>
              <a:p>
                <a:pPr>
                  <a:defRPr sz="900"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'arranged table FR'!$A$9:$B$12</c:f>
              <c:multiLvlStrCache>
                <c:ptCount val="4"/>
                <c:lvl>
                  <c:pt idx="0">
                    <c:v>35C/5 2010-11</c:v>
                  </c:pt>
                  <c:pt idx="1">
                    <c:v>36C/5 2012-13</c:v>
                  </c:pt>
                  <c:pt idx="2">
                    <c:v>37C/5 2014-15</c:v>
                  </c:pt>
                  <c:pt idx="3">
                    <c:v>38C/5 2016-17</c:v>
                  </c:pt>
                </c:lvl>
                <c:lvl>
                  <c:pt idx="0">
                    <c:v>Renforcement des capacités</c:v>
                  </c:pt>
                </c:lvl>
              </c:multiLvlStrCache>
            </c:multiLvlStrRef>
          </c:cat>
          <c:val>
            <c:numRef>
              <c:f>'arranged table FR'!$D$9:$D$12</c:f>
              <c:numCache>
                <c:formatCode>\$##0.00,," M"</c:formatCode>
                <c:ptCount val="4"/>
                <c:pt idx="0">
                  <c:v>1891168</c:v>
                </c:pt>
                <c:pt idx="1">
                  <c:v>750000</c:v>
                </c:pt>
                <c:pt idx="2">
                  <c:v>1709254</c:v>
                </c:pt>
                <c:pt idx="3">
                  <c:v>250000</c:v>
                </c:pt>
              </c:numCache>
            </c:numRef>
          </c:val>
        </c:ser>
        <c:dLbls>
          <c:showLegendKey val="0"/>
          <c:showVal val="0"/>
          <c:showCatName val="0"/>
          <c:showSerName val="0"/>
          <c:showPercent val="0"/>
          <c:showBubbleSize val="0"/>
        </c:dLbls>
        <c:gapWidth val="0"/>
        <c:overlap val="100"/>
        <c:axId val="75328000"/>
        <c:axId val="73194816"/>
      </c:barChart>
      <c:lineChart>
        <c:grouping val="standard"/>
        <c:varyColors val="0"/>
        <c:ser>
          <c:idx val="4"/>
          <c:order val="0"/>
          <c:tx>
            <c:strRef>
              <c:f>'arranged table FR'!$G$8</c:f>
              <c:strCache>
                <c:ptCount val="1"/>
                <c:pt idx="0">
                  <c:v>Objectif par exercice biennal</c:v>
                </c:pt>
              </c:strCache>
            </c:strRef>
          </c:tx>
          <c:spPr>
            <a:ln w="19050">
              <a:solidFill>
                <a:srgbClr val="C00000"/>
              </a:solidFill>
            </a:ln>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0.14622989955712903"/>
                  <c:y val="-7.2020793120704224E-2"/>
                </c:manualLayout>
              </c:layout>
              <c:tx>
                <c:rich>
                  <a:bodyPr/>
                  <a:lstStyle/>
                  <a:p>
                    <a:pPr>
                      <a:defRPr sz="800" b="1" i="0" u="none" strike="noStrike" baseline="0">
                        <a:solidFill>
                          <a:srgbClr val="993300"/>
                        </a:solidFill>
                        <a:latin typeface="Arial"/>
                        <a:ea typeface="Arial"/>
                        <a:cs typeface="Arial"/>
                      </a:defRPr>
                    </a:pPr>
                    <a:r>
                      <a:rPr lang="en-US"/>
                      <a:t>Objectif: 3.0 M$
(décision 9.COM 7) </a:t>
                    </a:r>
                  </a:p>
                </c:rich>
              </c:tx>
              <c:spPr/>
              <c:dLblPos val="r"/>
              <c:showLegendKey val="0"/>
              <c:showVal val="0"/>
              <c:showCatName val="0"/>
              <c:showSerName val="0"/>
              <c:showPercent val="0"/>
              <c:showBubbleSize val="0"/>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0.15518367531813654"/>
                  <c:y val="-1.8376726631798762E-2"/>
                </c:manualLayout>
              </c:layout>
              <c:tx>
                <c:rich>
                  <a:bodyPr/>
                  <a:lstStyle/>
                  <a:p>
                    <a:pPr>
                      <a:defRPr sz="800" b="1" i="0" u="none" strike="noStrike" baseline="0">
                        <a:solidFill>
                          <a:srgbClr val="993300"/>
                        </a:solidFill>
                        <a:latin typeface="Arial"/>
                        <a:ea typeface="Arial"/>
                        <a:cs typeface="Arial"/>
                      </a:defRPr>
                    </a:pPr>
                    <a:r>
                      <a:t>$2.0 M (Resolution 3.GA 9)</a:t>
                    </a:r>
                  </a:p>
                </c:rich>
              </c:tx>
              <c:spPr/>
              <c:dLblPos val="r"/>
              <c:showLegendKey val="0"/>
              <c:showVal val="0"/>
              <c:showCatName val="0"/>
              <c:showSerName val="0"/>
              <c:showPercent val="0"/>
              <c:showBubbleSize val="0"/>
              <c:extLst>
                <c:ext xmlns:c15="http://schemas.microsoft.com/office/drawing/2012/chart" uri="{CE6537A1-D6FC-4f65-9D91-7224C49458BB}"/>
              </c:extLst>
            </c:dLbl>
            <c:spPr>
              <a:noFill/>
              <a:ln w="25400">
                <a:noFill/>
              </a:ln>
            </c:spPr>
            <c:txPr>
              <a:bodyPr/>
              <a:lstStyle/>
              <a:p>
                <a:pPr>
                  <a:defRPr sz="800" b="1" i="0" u="none" strike="noStrike" baseline="0">
                    <a:solidFill>
                      <a:srgbClr val="FF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'arranged table FR'!$G$9:$G$12</c:f>
              <c:numCache>
                <c:formatCode>\$##0.00,," M"</c:formatCode>
                <c:ptCount val="4"/>
                <c:pt idx="0">
                  <c:v>3000000</c:v>
                </c:pt>
                <c:pt idx="1">
                  <c:v>3000000</c:v>
                </c:pt>
                <c:pt idx="2">
                  <c:v>3000000</c:v>
                </c:pt>
                <c:pt idx="3">
                  <c:v>3000000</c:v>
                </c:pt>
              </c:numCache>
            </c:numRef>
          </c:val>
          <c:smooth val="0"/>
        </c:ser>
        <c:dLbls>
          <c:showLegendKey val="0"/>
          <c:showVal val="0"/>
          <c:showCatName val="0"/>
          <c:showSerName val="0"/>
          <c:showPercent val="0"/>
          <c:showBubbleSize val="0"/>
        </c:dLbls>
        <c:marker val="1"/>
        <c:smooth val="0"/>
        <c:axId val="75328000"/>
        <c:axId val="73194816"/>
      </c:lineChart>
      <c:catAx>
        <c:axId val="75328000"/>
        <c:scaling>
          <c:orientation val="minMax"/>
        </c:scaling>
        <c:delete val="0"/>
        <c:axPos val="b"/>
        <c:numFmt formatCode="General" sourceLinked="1"/>
        <c:majorTickMark val="out"/>
        <c:minorTickMark val="none"/>
        <c:tickLblPos val="nextTo"/>
        <c:txPr>
          <a:bodyPr rot="0" vert="horz"/>
          <a:lstStyle/>
          <a:p>
            <a:pPr>
              <a:defRPr sz="800" b="1" i="0" u="none" strike="noStrike" baseline="0">
                <a:solidFill>
                  <a:srgbClr val="000000"/>
                </a:solidFill>
                <a:latin typeface="Arial"/>
                <a:ea typeface="Arial"/>
                <a:cs typeface="Arial"/>
              </a:defRPr>
            </a:pPr>
            <a:endParaRPr lang="fr-FR"/>
          </a:p>
        </c:txPr>
        <c:crossAx val="73194816"/>
        <c:crossesAt val="0.1"/>
        <c:auto val="1"/>
        <c:lblAlgn val="ctr"/>
        <c:lblOffset val="100"/>
        <c:tickLblSkip val="1"/>
        <c:tickMarkSkip val="100"/>
        <c:noMultiLvlLbl val="0"/>
      </c:catAx>
      <c:valAx>
        <c:axId val="73194816"/>
        <c:scaling>
          <c:orientation val="minMax"/>
          <c:max val="4500000"/>
          <c:min val="0"/>
        </c:scaling>
        <c:delete val="0"/>
        <c:axPos val="l"/>
        <c:numFmt formatCode="##0.0,,&quot; M&quot;\$" sourceLinked="0"/>
        <c:majorTickMark val="out"/>
        <c:minorTickMark val="none"/>
        <c:tickLblPos val="nextTo"/>
        <c:txPr>
          <a:bodyPr rot="0" vert="horz"/>
          <a:lstStyle/>
          <a:p>
            <a:pPr>
              <a:defRPr sz="800" b="1" i="0" u="none" strike="noStrike" baseline="0">
                <a:solidFill>
                  <a:srgbClr val="000000"/>
                </a:solidFill>
                <a:latin typeface="Arial"/>
                <a:ea typeface="Arial"/>
                <a:cs typeface="Arial"/>
              </a:defRPr>
            </a:pPr>
            <a:endParaRPr lang="fr-FR"/>
          </a:p>
        </c:txPr>
        <c:crossAx val="75328000"/>
        <c:crosses val="autoZero"/>
        <c:crossBetween val="between"/>
        <c:majorUnit val="1000000"/>
        <c:minorUnit val="200000"/>
      </c:valAx>
      <c:spPr>
        <a:ln>
          <a:noFill/>
        </a:ln>
      </c:spPr>
    </c:plotArea>
    <c:legend>
      <c:legendPos val="r"/>
      <c:legendEntry>
        <c:idx val="2"/>
        <c:delete val="1"/>
      </c:legendEntry>
      <c:legendEntry>
        <c:idx val="3"/>
        <c:delete val="1"/>
      </c:legendEntry>
      <c:legendEntry>
        <c:idx val="4"/>
        <c:delete val="1"/>
      </c:legendEntry>
      <c:layout>
        <c:manualLayout>
          <c:xMode val="edge"/>
          <c:yMode val="edge"/>
          <c:x val="0.77472826240973958"/>
          <c:y val="0.64158544207147494"/>
          <c:w val="0.15892442204755222"/>
          <c:h val="0.22666971406380521"/>
        </c:manualLayout>
      </c:layout>
      <c:overlay val="0"/>
      <c:txPr>
        <a:bodyPr/>
        <a:lstStyle/>
        <a:p>
          <a:pPr>
            <a:defRPr sz="825" b="0" i="0" u="none" strike="noStrike" baseline="0">
              <a:solidFill>
                <a:srgbClr val="000000"/>
              </a:solidFill>
              <a:latin typeface="Arial"/>
              <a:ea typeface="Arial"/>
              <a:cs typeface="Arial"/>
            </a:defRPr>
          </a:pPr>
          <a:endParaRPr lang="fr-FR"/>
        </a:p>
      </c:txPr>
    </c:legend>
    <c:plotVisOnly val="1"/>
    <c:dispBlanksAs val="gap"/>
    <c:showDLblsOverMax val="0"/>
  </c:chart>
  <c:spPr>
    <a:ln>
      <a:noFill/>
    </a:ln>
  </c:spPr>
  <c:txPr>
    <a:bodyPr/>
    <a:lstStyle/>
    <a:p>
      <a:pPr>
        <a:defRPr sz="900" b="0" i="0" u="none" strike="noStrike" baseline="0">
          <a:solidFill>
            <a:srgbClr val="000000"/>
          </a:solidFill>
          <a:latin typeface="Arial"/>
          <a:ea typeface="Arial"/>
          <a:cs typeface="Arial"/>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5.9157328415402374E-2"/>
          <c:y val="2.2460438999489536E-2"/>
          <c:w val="0.63427535500370136"/>
          <c:h val="0.90105155691679428"/>
        </c:manualLayout>
      </c:layout>
      <c:barChart>
        <c:barDir val="col"/>
        <c:grouping val="stacked"/>
        <c:varyColors val="0"/>
        <c:ser>
          <c:idx val="2"/>
          <c:order val="0"/>
          <c:tx>
            <c:strRef>
              <c:f>'arranged table FR'!$E$8</c:f>
              <c:strCache>
                <c:ptCount val="1"/>
                <c:pt idx="0">
                  <c:v>Sous-Fonds</c:v>
                </c:pt>
              </c:strCache>
            </c:strRef>
          </c:tx>
          <c:spPr>
            <a:pattFill prst="lgCheck">
              <a:fgClr>
                <a:schemeClr val="accent5">
                  <a:lumMod val="40000"/>
                  <a:lumOff val="60000"/>
                </a:schemeClr>
              </a:fgClr>
              <a:bgClr>
                <a:schemeClr val="bg1"/>
              </a:bgClr>
            </a:pattFill>
            <a:ln>
              <a:solidFill>
                <a:schemeClr val="accent1"/>
              </a:solidFill>
            </a:ln>
          </c:spPr>
          <c:invertIfNegative val="0"/>
          <c:dLbls>
            <c:numFmt formatCode="##0.00,,&quot; M&quot;\$" sourceLinked="0"/>
            <c:spPr>
              <a:noFill/>
              <a:ln w="25400">
                <a:noFill/>
              </a:ln>
            </c:spPr>
            <c:txPr>
              <a:bodyPr/>
              <a:lstStyle/>
              <a:p>
                <a:pPr>
                  <a:defRPr sz="800"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'arranged table FR'!$A$13:$B$16</c:f>
              <c:multiLvlStrCache>
                <c:ptCount val="4"/>
                <c:lvl>
                  <c:pt idx="0">
                    <c:v>35C/5 2010-11</c:v>
                  </c:pt>
                  <c:pt idx="1">
                    <c:v>36C/5 2012-13</c:v>
                  </c:pt>
                  <c:pt idx="2">
                    <c:v>37C/5 2014-15</c:v>
                  </c:pt>
                  <c:pt idx="3">
                    <c:v>38C/5 2016-17</c:v>
                  </c:pt>
                </c:lvl>
                <c:lvl>
                  <c:pt idx="0">
                    <c:v>Ressources humaines</c:v>
                  </c:pt>
                </c:lvl>
              </c:multiLvlStrCache>
            </c:multiLvlStrRef>
          </c:cat>
          <c:val>
            <c:numRef>
              <c:f>'arranged table FR'!$E$13:$E$16</c:f>
              <c:numCache>
                <c:formatCode>\$##0.00,," M"</c:formatCode>
                <c:ptCount val="4"/>
                <c:pt idx="0">
                  <c:v>511885</c:v>
                </c:pt>
                <c:pt idx="1">
                  <c:v>403181</c:v>
                </c:pt>
                <c:pt idx="2">
                  <c:v>409248.63999999996</c:v>
                </c:pt>
                <c:pt idx="3">
                  <c:v>97878</c:v>
                </c:pt>
              </c:numCache>
            </c:numRef>
          </c:val>
          <c:extLst xmlns:c16r2="http://schemas.microsoft.com/office/drawing/2015/06/chart">
            <c:ext xmlns:c16="http://schemas.microsoft.com/office/drawing/2014/chart" uri="{C3380CC4-5D6E-409C-BE32-E72D297353CC}">
              <c16:uniqueId val="{00000000-63D2-4241-9AB9-F8B67D0431EA}"/>
            </c:ext>
          </c:extLst>
        </c:ser>
        <c:ser>
          <c:idx val="3"/>
          <c:order val="1"/>
          <c:tx>
            <c:strRef>
              <c:f>'arranged table FR'!$F$8</c:f>
              <c:strCache>
                <c:ptCount val="1"/>
                <c:pt idx="0">
                  <c:v>Contributions en nature </c:v>
                </c:pt>
              </c:strCache>
            </c:strRef>
          </c:tx>
          <c:spPr>
            <a:pattFill prst="narHorz">
              <a:fgClr>
                <a:schemeClr val="bg1">
                  <a:lumMod val="65000"/>
                </a:schemeClr>
              </a:fgClr>
              <a:bgClr>
                <a:schemeClr val="bg1"/>
              </a:bgClr>
            </a:pattFill>
            <a:ln>
              <a:solidFill>
                <a:schemeClr val="accent1"/>
              </a:solidFill>
            </a:ln>
          </c:spPr>
          <c:invertIfNegative val="0"/>
          <c:dLbls>
            <c:numFmt formatCode="##0.00,,&quot; M&quot;\$" sourceLinked="0"/>
            <c:spPr>
              <a:noFill/>
              <a:ln w="25400">
                <a:noFill/>
              </a:ln>
            </c:spPr>
            <c:txPr>
              <a:bodyPr/>
              <a:lstStyle/>
              <a:p>
                <a:pPr>
                  <a:defRPr sz="800"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'arranged table FR'!$A$13:$B$16</c:f>
              <c:multiLvlStrCache>
                <c:ptCount val="4"/>
                <c:lvl>
                  <c:pt idx="0">
                    <c:v>35C/5 2010-11</c:v>
                  </c:pt>
                  <c:pt idx="1">
                    <c:v>36C/5 2012-13</c:v>
                  </c:pt>
                  <c:pt idx="2">
                    <c:v>37C/5 2014-15</c:v>
                  </c:pt>
                  <c:pt idx="3">
                    <c:v>38C/5 2016-17</c:v>
                  </c:pt>
                </c:lvl>
                <c:lvl>
                  <c:pt idx="0">
                    <c:v>Ressources humaines</c:v>
                  </c:pt>
                </c:lvl>
              </c:multiLvlStrCache>
            </c:multiLvlStrRef>
          </c:cat>
          <c:val>
            <c:numRef>
              <c:f>'arranged table FR'!$F$13:$F$16</c:f>
              <c:numCache>
                <c:formatCode>\$##0.00,," M"</c:formatCode>
                <c:ptCount val="4"/>
                <c:pt idx="0">
                  <c:v>406625</c:v>
                </c:pt>
                <c:pt idx="1">
                  <c:v>369250</c:v>
                </c:pt>
                <c:pt idx="2">
                  <c:v>341640</c:v>
                </c:pt>
                <c:pt idx="3">
                  <c:v>128440</c:v>
                </c:pt>
              </c:numCache>
            </c:numRef>
          </c:val>
          <c:extLst xmlns:c16r2="http://schemas.microsoft.com/office/drawing/2015/06/chart">
            <c:ext xmlns:c16="http://schemas.microsoft.com/office/drawing/2014/chart" uri="{C3380CC4-5D6E-409C-BE32-E72D297353CC}">
              <c16:uniqueId val="{00000001-63D2-4241-9AB9-F8B67D0431EA}"/>
            </c:ext>
          </c:extLst>
        </c:ser>
        <c:ser>
          <c:idx val="0"/>
          <c:order val="3"/>
          <c:tx>
            <c:strRef>
              <c:f>'arranged table FR'!$D$8</c:f>
              <c:strCache>
                <c:ptCount val="1"/>
                <c:pt idx="0">
                  <c:v>Fonds-en-dépôt</c:v>
                </c:pt>
              </c:strCache>
            </c:strRef>
          </c:tx>
          <c:spPr>
            <a:pattFill prst="pct5">
              <a:fgClr>
                <a:schemeClr val="accent1"/>
              </a:fgClr>
              <a:bgClr>
                <a:schemeClr val="bg1"/>
              </a:bgClr>
            </a:pattFill>
            <a:ln>
              <a:solidFill>
                <a:schemeClr val="accent1"/>
              </a:solidFill>
            </a:ln>
          </c:spPr>
          <c:invertIfNegative val="0"/>
          <c:dLbls>
            <c:dLbl>
              <c:idx val="1"/>
              <c:delete val="1"/>
              <c:extLst xmlns:c16r2="http://schemas.microsoft.com/office/drawing/2015/06/chart">
                <c:ext xmlns:c16="http://schemas.microsoft.com/office/drawing/2014/chart" uri="{C3380CC4-5D6E-409C-BE32-E72D297353CC}">
                  <c16:uniqueId val="{00000002-63D2-4241-9AB9-F8B67D0431EA}"/>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63D2-4241-9AB9-F8B67D0431EA}"/>
                </c:ext>
                <c:ext xmlns:c15="http://schemas.microsoft.com/office/drawing/2012/chart" uri="{CE6537A1-D6FC-4f65-9D91-7224C49458BB}"/>
              </c:extLst>
            </c:dLbl>
            <c:numFmt formatCode="##0.00,,&quot; M&quot;\$" sourceLinked="0"/>
            <c:spPr>
              <a:noFill/>
              <a:ln w="25400">
                <a:noFill/>
              </a:ln>
            </c:spPr>
            <c:txPr>
              <a:bodyPr/>
              <a:lstStyle/>
              <a:p>
                <a:pPr>
                  <a:defRPr sz="800"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'arranged table FR'!$D$13:$D$16</c:f>
              <c:numCache>
                <c:formatCode>\$##0.00,," M"</c:formatCode>
                <c:ptCount val="4"/>
                <c:pt idx="0">
                  <c:v>815496</c:v>
                </c:pt>
                <c:pt idx="1">
                  <c:v>0</c:v>
                </c:pt>
                <c:pt idx="2">
                  <c:v>755698</c:v>
                </c:pt>
                <c:pt idx="3">
                  <c:v>0</c:v>
                </c:pt>
              </c:numCache>
            </c:numRef>
          </c:val>
          <c:extLst xmlns:c16r2="http://schemas.microsoft.com/office/drawing/2015/06/chart">
            <c:ext xmlns:c16="http://schemas.microsoft.com/office/drawing/2014/chart" uri="{C3380CC4-5D6E-409C-BE32-E72D297353CC}">
              <c16:uniqueId val="{00000004-63D2-4241-9AB9-F8B67D0431EA}"/>
            </c:ext>
          </c:extLst>
        </c:ser>
        <c:dLbls>
          <c:showLegendKey val="0"/>
          <c:showVal val="0"/>
          <c:showCatName val="0"/>
          <c:showSerName val="0"/>
          <c:showPercent val="0"/>
          <c:showBubbleSize val="0"/>
        </c:dLbls>
        <c:gapWidth val="0"/>
        <c:overlap val="100"/>
        <c:axId val="133227520"/>
        <c:axId val="125117568"/>
      </c:barChart>
      <c:lineChart>
        <c:grouping val="standard"/>
        <c:varyColors val="0"/>
        <c:ser>
          <c:idx val="4"/>
          <c:order val="2"/>
          <c:tx>
            <c:strRef>
              <c:f>'arranged table FR'!$G$8</c:f>
              <c:strCache>
                <c:ptCount val="1"/>
                <c:pt idx="0">
                  <c:v>Objectif par exercice biennal</c:v>
                </c:pt>
              </c:strCache>
            </c:strRef>
          </c:tx>
          <c:spPr>
            <a:ln w="19050">
              <a:solidFill>
                <a:srgbClr val="C00000"/>
              </a:solidFill>
            </a:ln>
          </c:spPr>
          <c:marker>
            <c:symbol val="none"/>
          </c:marker>
          <c:dLbls>
            <c:dLbl>
              <c:idx val="0"/>
              <c:delete val="1"/>
              <c:extLst xmlns:c16r2="http://schemas.microsoft.com/office/drawing/2015/06/chart">
                <c:ext xmlns:c16="http://schemas.microsoft.com/office/drawing/2014/chart" uri="{C3380CC4-5D6E-409C-BE32-E72D297353CC}">
                  <c16:uniqueId val="{00000005-63D2-4241-9AB9-F8B67D0431EA}"/>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6-63D2-4241-9AB9-F8B67D0431EA}"/>
                </c:ext>
                <c:ext xmlns:c15="http://schemas.microsoft.com/office/drawing/2012/chart" uri="{CE6537A1-D6FC-4f65-9D91-7224C49458BB}"/>
              </c:extLst>
            </c:dLbl>
            <c:dLbl>
              <c:idx val="2"/>
              <c:layout>
                <c:manualLayout>
                  <c:x val="-0.15242670711788406"/>
                  <c:y val="-5.9322040978299434E-2"/>
                </c:manualLayout>
              </c:layout>
              <c:tx>
                <c:rich>
                  <a:bodyPr/>
                  <a:lstStyle/>
                  <a:p>
                    <a:pPr>
                      <a:defRPr sz="800" b="1" i="0" u="none" strike="noStrike" baseline="0">
                        <a:solidFill>
                          <a:srgbClr val="993300"/>
                        </a:solidFill>
                        <a:latin typeface="Arial"/>
                        <a:ea typeface="Arial"/>
                        <a:cs typeface="Arial"/>
                      </a:defRPr>
                    </a:pPr>
                    <a:r>
                      <a:rPr lang="en-US"/>
                      <a:t>Objectif: 2.2 M$
(résolution 3.GA 9) </a:t>
                    </a:r>
                  </a:p>
                </c:rich>
              </c:tx>
              <c:numFmt formatCode="\$##0\.0..&quot; M&quot;" sourceLinked="0"/>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63D2-4241-9AB9-F8B67D0431EA}"/>
                </c:ext>
                <c:ext xmlns:c15="http://schemas.microsoft.com/office/drawing/2012/chart" uri="{CE6537A1-D6FC-4f65-9D91-7224C49458BB}">
                  <c15:layout/>
                </c:ext>
              </c:extLst>
            </c:dLbl>
            <c:dLbl>
              <c:idx val="3"/>
              <c:delete val="1"/>
              <c:extLst xmlns:c16r2="http://schemas.microsoft.com/office/drawing/2015/06/chart">
                <c:ext xmlns:c16="http://schemas.microsoft.com/office/drawing/2014/chart" uri="{C3380CC4-5D6E-409C-BE32-E72D297353CC}">
                  <c16:uniqueId val="{00000008-63D2-4241-9AB9-F8B67D0431EA}"/>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9-63D2-4241-9AB9-F8B67D0431EA}"/>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A-63D2-4241-9AB9-F8B67D0431EA}"/>
                </c:ext>
                <c:ext xmlns:c15="http://schemas.microsoft.com/office/drawing/2012/chart" uri="{CE6537A1-D6FC-4f65-9D91-7224C49458BB}"/>
              </c:extLst>
            </c:dLbl>
            <c:dLbl>
              <c:idx val="6"/>
              <c:layout>
                <c:manualLayout>
                  <c:x val="-0.15518367531813654"/>
                  <c:y val="-1.8376726631798762E-2"/>
                </c:manualLayout>
              </c:layout>
              <c:tx>
                <c:rich>
                  <a:bodyPr/>
                  <a:lstStyle/>
                  <a:p>
                    <a:pPr>
                      <a:defRPr sz="800" b="1" i="0" u="none" strike="noStrike" baseline="0">
                        <a:solidFill>
                          <a:srgbClr val="993300"/>
                        </a:solidFill>
                        <a:latin typeface="Arial"/>
                        <a:ea typeface="Arial"/>
                        <a:cs typeface="Arial"/>
                      </a:defRPr>
                    </a:pPr>
                    <a:r>
                      <a:t>$2.0 M (Resolution 3.GA 9)</a:t>
                    </a:r>
                  </a:p>
                </c:rich>
              </c:tx>
              <c:numFmt formatCode="\$##0\.0..&quot; M&quot;" sourceLinked="0"/>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B-63D2-4241-9AB9-F8B67D0431EA}"/>
                </c:ext>
                <c:ext xmlns:c15="http://schemas.microsoft.com/office/drawing/2012/chart" uri="{CE6537A1-D6FC-4f65-9D91-7224C49458BB}"/>
              </c:extLst>
            </c:dLbl>
            <c:numFmt formatCode="\$##0\.0..&quot; M&quot;" sourceLinked="0"/>
            <c:spPr>
              <a:noFill/>
              <a:ln w="25400">
                <a:noFill/>
              </a:ln>
            </c:spPr>
            <c:txPr>
              <a:bodyPr/>
              <a:lstStyle/>
              <a:p>
                <a:pPr>
                  <a:defRPr sz="800" b="1" i="0" u="none" strike="noStrike" baseline="0">
                    <a:solidFill>
                      <a:srgbClr val="FF0000"/>
                    </a:solidFill>
                    <a:latin typeface="Arial"/>
                    <a:ea typeface="Arial"/>
                    <a:cs typeface="Arial"/>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'arranged table FR'!$G$13:$G$16</c:f>
              <c:numCache>
                <c:formatCode>\$##0.00,," M"</c:formatCode>
                <c:ptCount val="4"/>
                <c:pt idx="0">
                  <c:v>2200000</c:v>
                </c:pt>
                <c:pt idx="1">
                  <c:v>2200000</c:v>
                </c:pt>
                <c:pt idx="2">
                  <c:v>2200000</c:v>
                </c:pt>
                <c:pt idx="3">
                  <c:v>2200000</c:v>
                </c:pt>
              </c:numCache>
            </c:numRef>
          </c:val>
          <c:smooth val="0"/>
          <c:extLst xmlns:c16r2="http://schemas.microsoft.com/office/drawing/2015/06/chart">
            <c:ext xmlns:c16="http://schemas.microsoft.com/office/drawing/2014/chart" uri="{C3380CC4-5D6E-409C-BE32-E72D297353CC}">
              <c16:uniqueId val="{0000000C-63D2-4241-9AB9-F8B67D0431EA}"/>
            </c:ext>
          </c:extLst>
        </c:ser>
        <c:dLbls>
          <c:showLegendKey val="0"/>
          <c:showVal val="0"/>
          <c:showCatName val="0"/>
          <c:showSerName val="0"/>
          <c:showPercent val="0"/>
          <c:showBubbleSize val="0"/>
        </c:dLbls>
        <c:marker val="1"/>
        <c:smooth val="0"/>
        <c:axId val="133227520"/>
        <c:axId val="125117568"/>
      </c:lineChart>
      <c:catAx>
        <c:axId val="133227520"/>
        <c:scaling>
          <c:orientation val="minMax"/>
        </c:scaling>
        <c:delete val="0"/>
        <c:axPos val="b"/>
        <c:numFmt formatCode="General" sourceLinked="1"/>
        <c:majorTickMark val="out"/>
        <c:minorTickMark val="none"/>
        <c:tickLblPos val="nextTo"/>
        <c:txPr>
          <a:bodyPr rot="0" vert="horz"/>
          <a:lstStyle/>
          <a:p>
            <a:pPr>
              <a:defRPr sz="800" b="1" i="0" u="none" strike="noStrike" baseline="0">
                <a:solidFill>
                  <a:srgbClr val="000000"/>
                </a:solidFill>
                <a:latin typeface="Arial"/>
                <a:ea typeface="Arial"/>
                <a:cs typeface="Arial"/>
              </a:defRPr>
            </a:pPr>
            <a:endParaRPr lang="fr-FR"/>
          </a:p>
        </c:txPr>
        <c:crossAx val="125117568"/>
        <c:crossesAt val="0.1"/>
        <c:auto val="1"/>
        <c:lblAlgn val="ctr"/>
        <c:lblOffset val="100"/>
        <c:tickLblSkip val="1"/>
        <c:tickMarkSkip val="100"/>
        <c:noMultiLvlLbl val="0"/>
      </c:catAx>
      <c:valAx>
        <c:axId val="125117568"/>
        <c:scaling>
          <c:orientation val="minMax"/>
          <c:max val="3500000"/>
          <c:min val="0"/>
        </c:scaling>
        <c:delete val="0"/>
        <c:axPos val="l"/>
        <c:numFmt formatCode="##0.0,,&quot; M&quot;\$" sourceLinked="0"/>
        <c:majorTickMark val="out"/>
        <c:minorTickMark val="none"/>
        <c:tickLblPos val="nextTo"/>
        <c:txPr>
          <a:bodyPr rot="0" vert="horz"/>
          <a:lstStyle/>
          <a:p>
            <a:pPr>
              <a:defRPr sz="800" b="1" i="0" u="none" strike="noStrike" baseline="0">
                <a:solidFill>
                  <a:srgbClr val="000000"/>
                </a:solidFill>
                <a:latin typeface="Arial"/>
                <a:ea typeface="Arial"/>
                <a:cs typeface="Arial"/>
              </a:defRPr>
            </a:pPr>
            <a:endParaRPr lang="fr-FR"/>
          </a:p>
        </c:txPr>
        <c:crossAx val="133227520"/>
        <c:crosses val="autoZero"/>
        <c:crossBetween val="between"/>
        <c:majorUnit val="1000000"/>
        <c:minorUnit val="200000"/>
      </c:valAx>
    </c:plotArea>
    <c:legend>
      <c:legendPos val="r"/>
      <c:legendEntry>
        <c:idx val="3"/>
        <c:delete val="1"/>
      </c:legendEntry>
      <c:layout>
        <c:manualLayout>
          <c:xMode val="edge"/>
          <c:yMode val="edge"/>
          <c:x val="0.75372753886533417"/>
          <c:y val="0.66932032485838266"/>
          <c:w val="0.17282589676290461"/>
          <c:h val="0.28596339598964271"/>
        </c:manualLayout>
      </c:layout>
      <c:overlay val="0"/>
      <c:txPr>
        <a:bodyPr/>
        <a:lstStyle/>
        <a:p>
          <a:pPr>
            <a:defRPr sz="735" b="0" i="0" u="none" strike="noStrike" baseline="0">
              <a:solidFill>
                <a:srgbClr val="000000"/>
              </a:solidFill>
              <a:latin typeface="Arial"/>
              <a:ea typeface="Arial"/>
              <a:cs typeface="Arial"/>
            </a:defRPr>
          </a:pPr>
          <a:endParaRPr lang="fr-FR"/>
        </a:p>
      </c:txPr>
    </c:legend>
    <c:plotVisOnly val="1"/>
    <c:dispBlanksAs val="gap"/>
    <c:showDLblsOverMax val="0"/>
  </c:chart>
  <c:spPr>
    <a:ln>
      <a:noFill/>
    </a:ln>
  </c:spPr>
  <c:txPr>
    <a:bodyPr/>
    <a:lstStyle/>
    <a:p>
      <a:pPr>
        <a:defRPr sz="800" b="0" i="0" u="none" strike="noStrike" baseline="0">
          <a:solidFill>
            <a:srgbClr val="000000"/>
          </a:solidFill>
          <a:latin typeface="Arial"/>
          <a:ea typeface="Arial"/>
          <a:cs typeface="Arial"/>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4F4DB-C23A-4464-8FC0-32741F96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3425</Words>
  <Characters>18842</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2016-11-22T10:24:00Z</dcterms:created>
  <dcterms:modified xsi:type="dcterms:W3CDTF">2016-11-22T14:32:00Z</dcterms:modified>
</cp:coreProperties>
</file>