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F1B8" w14:textId="77777777" w:rsidR="00750FA0" w:rsidRPr="00A53D78" w:rsidRDefault="00750FA0" w:rsidP="00750FA0">
      <w:pPr>
        <w:spacing w:before="1440"/>
        <w:jc w:val="center"/>
        <w:rPr>
          <w:rFonts w:ascii="Arial" w:hAnsi="Arial" w:cs="Arial"/>
          <w:b/>
          <w:sz w:val="22"/>
          <w:szCs w:val="22"/>
        </w:rPr>
      </w:pPr>
      <w:r w:rsidRPr="00A53D78">
        <w:rPr>
          <w:rFonts w:ascii="Arial" w:hAnsi="Arial" w:cs="Arial"/>
          <w:b/>
          <w:sz w:val="22"/>
          <w:szCs w:val="22"/>
        </w:rPr>
        <w:t>CONVENTION POUR LA SAUVEGARDE</w:t>
      </w:r>
      <w:r>
        <w:rPr>
          <w:rFonts w:ascii="Arial" w:hAnsi="Arial" w:cs="Arial"/>
          <w:b/>
          <w:sz w:val="22"/>
          <w:szCs w:val="22"/>
        </w:rPr>
        <w:t xml:space="preserve"> DU</w:t>
      </w:r>
      <w:r w:rsidRPr="00A53D78">
        <w:rPr>
          <w:rFonts w:ascii="Arial" w:hAnsi="Arial" w:cs="Arial"/>
          <w:b/>
          <w:sz w:val="22"/>
          <w:szCs w:val="22"/>
        </w:rPr>
        <w:br/>
        <w:t>PATRIMOINE CULTUREL IMMATÉRIEL</w:t>
      </w:r>
    </w:p>
    <w:p w14:paraId="28C2F796" w14:textId="77777777" w:rsidR="00750FA0" w:rsidRPr="00A53D78" w:rsidRDefault="00750FA0" w:rsidP="00750FA0">
      <w:pPr>
        <w:spacing w:before="1200"/>
        <w:jc w:val="center"/>
        <w:rPr>
          <w:rFonts w:ascii="Arial" w:hAnsi="Arial" w:cs="Arial"/>
          <w:b/>
          <w:sz w:val="22"/>
          <w:szCs w:val="22"/>
        </w:rPr>
      </w:pPr>
      <w:r w:rsidRPr="00A53D78">
        <w:rPr>
          <w:rFonts w:ascii="Arial" w:hAnsi="Arial" w:cs="Arial"/>
          <w:b/>
          <w:sz w:val="22"/>
          <w:szCs w:val="22"/>
        </w:rPr>
        <w:t>COMITÉ INTERGOUVERNEMENTAL DE SAUVEGARDE</w:t>
      </w:r>
      <w:r w:rsidRPr="00A53D78">
        <w:rPr>
          <w:rFonts w:ascii="Arial" w:hAnsi="Arial" w:cs="Arial"/>
          <w:b/>
          <w:sz w:val="22"/>
          <w:szCs w:val="22"/>
        </w:rPr>
        <w:br/>
        <w:t>DU PATRIMOINE CULTUREL IMMATÉRIEL</w:t>
      </w:r>
    </w:p>
    <w:p w14:paraId="5AA103DE" w14:textId="77777777" w:rsidR="00750FA0" w:rsidRPr="00A53D78" w:rsidRDefault="00750FA0" w:rsidP="00750FA0">
      <w:pPr>
        <w:spacing w:before="840"/>
        <w:jc w:val="center"/>
        <w:rPr>
          <w:rFonts w:ascii="Arial" w:hAnsi="Arial" w:cs="Arial"/>
          <w:b/>
          <w:sz w:val="22"/>
          <w:szCs w:val="22"/>
        </w:rPr>
      </w:pPr>
      <w:r w:rsidRPr="00A53D78">
        <w:rPr>
          <w:rFonts w:ascii="Arial" w:hAnsi="Arial" w:cs="Arial"/>
          <w:b/>
          <w:sz w:val="22"/>
          <w:szCs w:val="22"/>
        </w:rPr>
        <w:t>Douzième session</w:t>
      </w:r>
    </w:p>
    <w:p w14:paraId="6E1E3556" w14:textId="77777777" w:rsidR="00750FA0" w:rsidRPr="00A53D78" w:rsidRDefault="00750FA0" w:rsidP="00750FA0">
      <w:pPr>
        <w:jc w:val="center"/>
        <w:rPr>
          <w:rFonts w:ascii="Arial" w:eastAsiaTheme="minorEastAsia" w:hAnsi="Arial" w:cs="Arial"/>
          <w:b/>
          <w:sz w:val="22"/>
          <w:szCs w:val="22"/>
        </w:rPr>
      </w:pPr>
      <w:r w:rsidRPr="00A53D78">
        <w:rPr>
          <w:rFonts w:ascii="Arial" w:hAnsi="Arial" w:cs="Arial"/>
          <w:b/>
          <w:sz w:val="22"/>
          <w:szCs w:val="22"/>
        </w:rPr>
        <w:t xml:space="preserve">Île de </w:t>
      </w:r>
      <w:proofErr w:type="spellStart"/>
      <w:r w:rsidRPr="00A53D78">
        <w:rPr>
          <w:rFonts w:ascii="Arial" w:hAnsi="Arial" w:cs="Arial"/>
          <w:b/>
          <w:sz w:val="22"/>
          <w:szCs w:val="22"/>
        </w:rPr>
        <w:t>Jeju</w:t>
      </w:r>
      <w:proofErr w:type="spellEnd"/>
      <w:r w:rsidRPr="00A53D78">
        <w:rPr>
          <w:rFonts w:ascii="Arial" w:hAnsi="Arial" w:cs="Arial"/>
          <w:b/>
          <w:sz w:val="22"/>
          <w:szCs w:val="22"/>
        </w:rPr>
        <w:t>, République de Corée</w:t>
      </w:r>
    </w:p>
    <w:p w14:paraId="17F10E58" w14:textId="77777777" w:rsidR="00750FA0" w:rsidRPr="00A53D78" w:rsidRDefault="00750FA0" w:rsidP="00750FA0">
      <w:pPr>
        <w:jc w:val="center"/>
        <w:rPr>
          <w:rFonts w:ascii="Arial" w:eastAsiaTheme="minorEastAsia" w:hAnsi="Arial" w:cs="Arial"/>
          <w:b/>
          <w:sz w:val="22"/>
          <w:szCs w:val="22"/>
        </w:rPr>
      </w:pPr>
      <w:r w:rsidRPr="00A53D78">
        <w:rPr>
          <w:rFonts w:ascii="Arial" w:hAnsi="Arial" w:cs="Arial"/>
          <w:b/>
          <w:sz w:val="22"/>
          <w:szCs w:val="22"/>
        </w:rPr>
        <w:t xml:space="preserve">4 </w:t>
      </w:r>
      <w:r>
        <w:rPr>
          <w:rFonts w:ascii="Arial" w:hAnsi="Arial" w:cs="Arial"/>
          <w:b/>
          <w:sz w:val="22"/>
          <w:szCs w:val="22"/>
        </w:rPr>
        <w:t>–</w:t>
      </w:r>
      <w:r w:rsidRPr="00A53D78">
        <w:rPr>
          <w:rFonts w:ascii="Arial" w:hAnsi="Arial" w:cs="Arial"/>
          <w:b/>
          <w:sz w:val="22"/>
          <w:szCs w:val="22"/>
        </w:rPr>
        <w:t xml:space="preserve"> 9</w:t>
      </w:r>
      <w:r>
        <w:rPr>
          <w:rFonts w:ascii="Arial" w:hAnsi="Arial" w:cs="Arial"/>
          <w:b/>
          <w:sz w:val="22"/>
          <w:szCs w:val="22"/>
        </w:rPr>
        <w:t xml:space="preserve"> </w:t>
      </w:r>
      <w:r w:rsidRPr="00A53D78">
        <w:rPr>
          <w:rFonts w:ascii="Arial" w:hAnsi="Arial" w:cs="Arial"/>
          <w:b/>
          <w:sz w:val="22"/>
          <w:szCs w:val="22"/>
        </w:rPr>
        <w:t>décembre 2017</w:t>
      </w:r>
    </w:p>
    <w:p w14:paraId="15C0013D" w14:textId="77777777" w:rsidR="00750FA0" w:rsidRPr="00A53D78" w:rsidRDefault="00750FA0" w:rsidP="00750FA0">
      <w:pPr>
        <w:pStyle w:val="Sansinterligne2"/>
        <w:spacing w:before="1200"/>
        <w:jc w:val="center"/>
        <w:rPr>
          <w:rFonts w:ascii="Arial" w:hAnsi="Arial" w:cs="Arial"/>
          <w:b/>
          <w:sz w:val="22"/>
          <w:szCs w:val="22"/>
        </w:rPr>
      </w:pPr>
      <w:r w:rsidRPr="00A53D78">
        <w:rPr>
          <w:rFonts w:ascii="Arial" w:hAnsi="Arial" w:cs="Arial"/>
          <w:b/>
          <w:sz w:val="22"/>
          <w:szCs w:val="22"/>
          <w:u w:val="single"/>
        </w:rPr>
        <w:t>Point 11.e de l’ordre du jour provisoire</w:t>
      </w:r>
      <w:r w:rsidRPr="005927E8">
        <w:rPr>
          <w:rFonts w:ascii="Arial" w:hAnsi="Arial" w:cs="Arial"/>
          <w:b/>
          <w:sz w:val="22"/>
          <w:szCs w:val="22"/>
        </w:rPr>
        <w:t> </w:t>
      </w:r>
      <w:r w:rsidRPr="00A53D78">
        <w:rPr>
          <w:rFonts w:ascii="Arial" w:hAnsi="Arial" w:cs="Arial"/>
          <w:b/>
          <w:sz w:val="22"/>
          <w:szCs w:val="22"/>
        </w:rPr>
        <w:t>:</w:t>
      </w:r>
    </w:p>
    <w:p w14:paraId="01FC4EA4" w14:textId="77777777" w:rsidR="00750FA0" w:rsidRPr="00A53D78" w:rsidRDefault="00750FA0" w:rsidP="00750FA0">
      <w:pPr>
        <w:pStyle w:val="Sansinterligne2"/>
        <w:spacing w:after="1200"/>
        <w:jc w:val="center"/>
        <w:rPr>
          <w:rFonts w:ascii="Arial" w:hAnsi="Arial" w:cs="Arial"/>
          <w:b/>
          <w:sz w:val="22"/>
          <w:szCs w:val="22"/>
        </w:rPr>
      </w:pPr>
      <w:r w:rsidRPr="00A53D78">
        <w:rPr>
          <w:rFonts w:ascii="Arial" w:hAnsi="Arial" w:cs="Arial"/>
          <w:b/>
          <w:sz w:val="22"/>
          <w:szCs w:val="22"/>
        </w:rPr>
        <w:t>Examen des propositions au Registre de bonnes pratiques de sauvegarde</w:t>
      </w:r>
    </w:p>
    <w:p w14:paraId="1C0E2F89" w14:textId="77777777" w:rsidR="00750FA0" w:rsidRPr="00750FA0" w:rsidRDefault="00750FA0" w:rsidP="00750FA0">
      <w:pPr>
        <w:spacing w:before="1440"/>
        <w:jc w:val="center"/>
        <w:rPr>
          <w:rFonts w:ascii="Arial" w:hAnsi="Arial" w:cs="Arial"/>
          <w:b/>
          <w:sz w:val="22"/>
          <w:lang w:bidi="fr-FR"/>
        </w:rPr>
      </w:pPr>
      <w:r w:rsidRPr="00750FA0">
        <w:rPr>
          <w:rFonts w:ascii="Arial" w:hAnsi="Arial" w:cs="Arial"/>
          <w:b/>
          <w:sz w:val="22"/>
          <w:lang w:bidi="fr-FR"/>
        </w:rPr>
        <w:t>ADDENDUM</w:t>
      </w:r>
    </w:p>
    <w:p w14:paraId="67424EC5" w14:textId="095083BD" w:rsidR="00750FA0" w:rsidRPr="00750FA0" w:rsidRDefault="00417A55" w:rsidP="00750FA0">
      <w:pPr>
        <w:tabs>
          <w:tab w:val="left" w:pos="567"/>
        </w:tabs>
        <w:snapToGrid w:val="0"/>
        <w:spacing w:before="480" w:after="240"/>
        <w:ind w:left="567"/>
        <w:rPr>
          <w:rFonts w:ascii="Arial" w:hAnsi="Arial" w:cs="Arial"/>
          <w:snapToGrid w:val="0"/>
          <w:sz w:val="22"/>
          <w:lang w:eastAsia="en-US" w:bidi="fr-FR"/>
        </w:rPr>
      </w:pPr>
      <w:r>
        <w:rPr>
          <w:rFonts w:ascii="Arial" w:hAnsi="Arial" w:cs="Arial"/>
          <w:snapToGrid w:val="0"/>
          <w:sz w:val="22"/>
          <w:lang w:eastAsia="en-US" w:bidi="fr-FR"/>
        </w:rPr>
        <w:t>Les</w:t>
      </w:r>
      <w:r w:rsidR="00750FA0" w:rsidRPr="00750FA0">
        <w:rPr>
          <w:rFonts w:ascii="Arial" w:hAnsi="Arial" w:cs="Arial"/>
          <w:snapToGrid w:val="0"/>
          <w:sz w:val="22"/>
          <w:lang w:eastAsia="en-US" w:bidi="fr-FR"/>
        </w:rPr>
        <w:t xml:space="preserve"> </w:t>
      </w:r>
      <w:r w:rsidR="0010352A">
        <w:rPr>
          <w:rFonts w:ascii="Arial" w:hAnsi="Arial" w:cs="Arial"/>
          <w:snapToGrid w:val="0"/>
          <w:sz w:val="22"/>
          <w:lang w:eastAsia="en-US" w:bidi="fr-FR"/>
        </w:rPr>
        <w:t>proposition</w:t>
      </w:r>
      <w:r>
        <w:rPr>
          <w:rFonts w:ascii="Arial" w:hAnsi="Arial" w:cs="Arial"/>
          <w:snapToGrid w:val="0"/>
          <w:sz w:val="22"/>
          <w:lang w:eastAsia="en-US" w:bidi="fr-FR"/>
        </w:rPr>
        <w:t>s</w:t>
      </w:r>
      <w:r w:rsidR="00750FA0" w:rsidRPr="00750FA0">
        <w:rPr>
          <w:rFonts w:ascii="Arial" w:hAnsi="Arial" w:cs="Arial"/>
          <w:snapToGrid w:val="0"/>
          <w:sz w:val="22"/>
          <w:lang w:eastAsia="en-US" w:bidi="fr-FR"/>
        </w:rPr>
        <w:t xml:space="preserve"> suivante</w:t>
      </w:r>
      <w:r>
        <w:rPr>
          <w:rFonts w:ascii="Arial" w:hAnsi="Arial" w:cs="Arial"/>
          <w:snapToGrid w:val="0"/>
          <w:sz w:val="22"/>
          <w:lang w:eastAsia="en-US" w:bidi="fr-FR"/>
        </w:rPr>
        <w:t>s ont</w:t>
      </w:r>
      <w:r w:rsidR="00750FA0" w:rsidRPr="00750FA0">
        <w:rPr>
          <w:rFonts w:ascii="Arial" w:hAnsi="Arial" w:cs="Arial"/>
          <w:snapToGrid w:val="0"/>
          <w:sz w:val="22"/>
          <w:lang w:eastAsia="en-US" w:bidi="fr-FR"/>
        </w:rPr>
        <w:t xml:space="preserve"> été retirée</w:t>
      </w:r>
      <w:r>
        <w:rPr>
          <w:rFonts w:ascii="Arial" w:hAnsi="Arial" w:cs="Arial"/>
          <w:snapToGrid w:val="0"/>
          <w:sz w:val="22"/>
          <w:lang w:eastAsia="en-US" w:bidi="fr-FR"/>
        </w:rPr>
        <w:t>s</w:t>
      </w:r>
      <w:r w:rsidR="00750FA0" w:rsidRPr="00750FA0">
        <w:rPr>
          <w:rFonts w:ascii="Arial" w:hAnsi="Arial" w:cs="Arial"/>
          <w:snapToGrid w:val="0"/>
          <w:sz w:val="22"/>
          <w:lang w:eastAsia="en-US" w:bidi="fr-FR"/>
        </w:rPr>
        <w:t xml:space="preserve"> par l</w:t>
      </w:r>
      <w:r>
        <w:rPr>
          <w:rFonts w:ascii="Arial" w:hAnsi="Arial" w:cs="Arial"/>
          <w:snapToGrid w:val="0"/>
          <w:sz w:val="22"/>
          <w:lang w:eastAsia="en-US" w:bidi="fr-FR"/>
        </w:rPr>
        <w:t xml:space="preserve">es </w:t>
      </w:r>
      <w:r w:rsidR="00750FA0" w:rsidRPr="00750FA0">
        <w:rPr>
          <w:rFonts w:ascii="Arial" w:hAnsi="Arial" w:cs="Arial"/>
          <w:snapToGrid w:val="0"/>
          <w:sz w:val="22"/>
          <w:lang w:eastAsia="en-US" w:bidi="fr-FR"/>
        </w:rPr>
        <w:t>État</w:t>
      </w:r>
      <w:r>
        <w:rPr>
          <w:rFonts w:ascii="Arial" w:hAnsi="Arial" w:cs="Arial"/>
          <w:snapToGrid w:val="0"/>
          <w:sz w:val="22"/>
          <w:lang w:eastAsia="en-US" w:bidi="fr-FR"/>
        </w:rPr>
        <w:t>s</w:t>
      </w:r>
      <w:r w:rsidR="00750FA0" w:rsidRPr="00750FA0">
        <w:rPr>
          <w:rFonts w:ascii="Arial" w:hAnsi="Arial" w:cs="Arial"/>
          <w:snapToGrid w:val="0"/>
          <w:sz w:val="22"/>
          <w:lang w:eastAsia="en-US" w:bidi="fr-FR"/>
        </w:rPr>
        <w:t xml:space="preserve"> partie</w:t>
      </w:r>
      <w:r>
        <w:rPr>
          <w:rFonts w:ascii="Arial" w:hAnsi="Arial" w:cs="Arial"/>
          <w:snapToGrid w:val="0"/>
          <w:sz w:val="22"/>
          <w:lang w:eastAsia="en-US" w:bidi="fr-FR"/>
        </w:rPr>
        <w:t>s</w:t>
      </w:r>
      <w:r w:rsidR="00750FA0" w:rsidRPr="00750FA0">
        <w:rPr>
          <w:rFonts w:ascii="Arial" w:hAnsi="Arial" w:cs="Arial"/>
          <w:snapToGrid w:val="0"/>
          <w:sz w:val="22"/>
          <w:lang w:eastAsia="en-US" w:bidi="fr-FR"/>
        </w:rPr>
        <w:t xml:space="preserve"> soumissionnaire</w:t>
      </w:r>
      <w:r>
        <w:rPr>
          <w:rFonts w:ascii="Arial" w:hAnsi="Arial" w:cs="Arial"/>
          <w:snapToGrid w:val="0"/>
          <w:sz w:val="22"/>
          <w:lang w:eastAsia="en-US" w:bidi="fr-FR"/>
        </w:rPr>
        <w:t>s</w:t>
      </w:r>
      <w:bookmarkStart w:id="0" w:name="_GoBack"/>
      <w:bookmarkEnd w:id="0"/>
      <w:r w:rsidR="00750FA0" w:rsidRPr="00750FA0">
        <w:rPr>
          <w:rFonts w:ascii="Arial" w:hAnsi="Arial" w:cs="Arial"/>
          <w:snapToGrid w:val="0"/>
          <w:sz w:val="22"/>
          <w:lang w:eastAsia="en-US" w:bidi="fr-FR"/>
        </w:rPr>
        <w:t> :</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21"/>
        <w:gridCol w:w="1863"/>
        <w:gridCol w:w="4572"/>
        <w:gridCol w:w="979"/>
      </w:tblGrid>
      <w:tr w:rsidR="00750FA0" w:rsidRPr="00750FA0" w14:paraId="4FD55D8B" w14:textId="77777777" w:rsidTr="009F4D36">
        <w:trPr>
          <w:cantSplit/>
          <w:tblHeader/>
        </w:trPr>
        <w:tc>
          <w:tcPr>
            <w:tcW w:w="897" w:type="pct"/>
            <w:tcBorders>
              <w:right w:val="nil"/>
            </w:tcBorders>
            <w:shd w:val="clear" w:color="auto" w:fill="BFBFBF"/>
            <w:vAlign w:val="center"/>
          </w:tcPr>
          <w:p w14:paraId="75D4B7A6" w14:textId="77777777" w:rsidR="00750FA0" w:rsidRPr="00750FA0" w:rsidRDefault="00750FA0" w:rsidP="00750FA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Projet de</w:t>
            </w:r>
            <w:r w:rsidRPr="00750FA0">
              <w:rPr>
                <w:rFonts w:ascii="Arial" w:hAnsi="Arial" w:cs="Arial"/>
                <w:b/>
                <w:bCs/>
                <w:color w:val="000000"/>
                <w:sz w:val="22"/>
                <w:szCs w:val="22"/>
                <w:lang w:bidi="fr-FR"/>
              </w:rPr>
              <w:br/>
            </w:r>
            <w:r w:rsidRPr="00750FA0">
              <w:rPr>
                <w:rFonts w:ascii="Arial" w:hAnsi="Arial" w:cs="Arial"/>
                <w:b/>
                <w:color w:val="000000"/>
                <w:sz w:val="22"/>
                <w:lang w:bidi="fr-FR"/>
              </w:rPr>
              <w:t>décision</w:t>
            </w:r>
          </w:p>
        </w:tc>
        <w:tc>
          <w:tcPr>
            <w:tcW w:w="1031" w:type="pct"/>
            <w:tcBorders>
              <w:left w:val="nil"/>
              <w:right w:val="nil"/>
            </w:tcBorders>
            <w:shd w:val="clear" w:color="auto" w:fill="BFBFBF"/>
            <w:vAlign w:val="center"/>
          </w:tcPr>
          <w:p w14:paraId="7C966492" w14:textId="77777777" w:rsidR="00750FA0" w:rsidRPr="00750FA0" w:rsidRDefault="00750FA0" w:rsidP="00750FA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État soumissionnaire</w:t>
            </w:r>
          </w:p>
        </w:tc>
        <w:tc>
          <w:tcPr>
            <w:tcW w:w="2530" w:type="pct"/>
            <w:tcBorders>
              <w:left w:val="nil"/>
              <w:right w:val="nil"/>
            </w:tcBorders>
            <w:shd w:val="clear" w:color="auto" w:fill="BFBFBF"/>
            <w:vAlign w:val="center"/>
          </w:tcPr>
          <w:p w14:paraId="309D2C40" w14:textId="3A99B84A" w:rsidR="00750FA0" w:rsidRPr="00750FA0" w:rsidRDefault="0010352A" w:rsidP="00750FA0">
            <w:pPr>
              <w:keepNext/>
              <w:spacing w:before="120" w:after="120"/>
              <w:jc w:val="center"/>
              <w:rPr>
                <w:rFonts w:ascii="Arial" w:hAnsi="Arial" w:cs="Arial"/>
                <w:color w:val="000000"/>
                <w:sz w:val="22"/>
                <w:szCs w:val="22"/>
                <w:lang w:bidi="fr-FR"/>
              </w:rPr>
            </w:pPr>
            <w:r w:rsidRPr="00A53D78">
              <w:rPr>
                <w:rFonts w:ascii="Arial" w:hAnsi="Arial" w:cs="Arial"/>
                <w:b/>
                <w:bCs/>
                <w:sz w:val="22"/>
                <w:szCs w:val="22"/>
              </w:rPr>
              <w:t>Proposition</w:t>
            </w:r>
          </w:p>
        </w:tc>
        <w:tc>
          <w:tcPr>
            <w:tcW w:w="542" w:type="pct"/>
            <w:tcBorders>
              <w:left w:val="nil"/>
            </w:tcBorders>
            <w:shd w:val="clear" w:color="auto" w:fill="BFBFBF"/>
            <w:vAlign w:val="center"/>
          </w:tcPr>
          <w:p w14:paraId="18B76CCB" w14:textId="77777777" w:rsidR="00750FA0" w:rsidRPr="00750FA0" w:rsidRDefault="00750FA0" w:rsidP="00750FA0">
            <w:pPr>
              <w:keepNext/>
              <w:spacing w:before="120" w:after="120"/>
              <w:jc w:val="center"/>
              <w:rPr>
                <w:rFonts w:ascii="Arial" w:hAnsi="Arial" w:cs="Arial"/>
                <w:color w:val="000000"/>
                <w:sz w:val="22"/>
                <w:szCs w:val="22"/>
                <w:lang w:bidi="fr-FR"/>
              </w:rPr>
            </w:pPr>
            <w:r w:rsidRPr="00750FA0">
              <w:rPr>
                <w:rFonts w:ascii="Arial" w:hAnsi="Arial" w:cs="Arial"/>
                <w:b/>
                <w:color w:val="000000"/>
                <w:sz w:val="22"/>
                <w:lang w:bidi="fr-FR"/>
              </w:rPr>
              <w:t>Dossier n°</w:t>
            </w:r>
          </w:p>
        </w:tc>
      </w:tr>
      <w:tr w:rsidR="009F4D36" w:rsidRPr="00750FA0" w14:paraId="3134E014" w14:textId="77777777" w:rsidTr="009F4D36">
        <w:trPr>
          <w:cantSplit/>
          <w:trHeight w:val="409"/>
        </w:trPr>
        <w:tc>
          <w:tcPr>
            <w:tcW w:w="897" w:type="pct"/>
            <w:tcBorders>
              <w:right w:val="nil"/>
            </w:tcBorders>
          </w:tcPr>
          <w:p w14:paraId="52E7F50F" w14:textId="04E174A4" w:rsidR="009F4D36" w:rsidRDefault="00417A55" w:rsidP="009F4D36">
            <w:pPr>
              <w:keepNext/>
              <w:spacing w:before="120" w:after="120"/>
              <w:jc w:val="center"/>
            </w:pPr>
            <w:hyperlink w:anchor="PROJET_DE_DÉCISION_12_COM11_e_1" w:history="1">
              <w:r w:rsidR="009F4D36" w:rsidRPr="00A53D78">
                <w:rPr>
                  <w:rStyle w:val="Hyperlink"/>
                  <w:rFonts w:ascii="Arial" w:hAnsi="Arial" w:cs="Arial"/>
                  <w:sz w:val="22"/>
                  <w:szCs w:val="22"/>
                </w:rPr>
                <w:t>12.COM 11.e.1</w:t>
              </w:r>
            </w:hyperlink>
          </w:p>
        </w:tc>
        <w:tc>
          <w:tcPr>
            <w:tcW w:w="1031" w:type="pct"/>
            <w:tcBorders>
              <w:left w:val="nil"/>
              <w:right w:val="nil"/>
            </w:tcBorders>
          </w:tcPr>
          <w:p w14:paraId="27B12096" w14:textId="584477CA" w:rsidR="009F4D36" w:rsidRPr="00A53D78" w:rsidRDefault="009F4D36" w:rsidP="009F4D36">
            <w:pPr>
              <w:keepNext/>
              <w:spacing w:before="120" w:after="120"/>
              <w:jc w:val="center"/>
              <w:rPr>
                <w:rFonts w:ascii="Arial" w:hAnsi="Arial" w:cs="Arial"/>
                <w:sz w:val="22"/>
                <w:szCs w:val="22"/>
              </w:rPr>
            </w:pPr>
            <w:r w:rsidRPr="00A53D78">
              <w:rPr>
                <w:rFonts w:ascii="Arial" w:hAnsi="Arial" w:cs="Arial"/>
                <w:sz w:val="22"/>
                <w:szCs w:val="22"/>
              </w:rPr>
              <w:t>Belgique</w:t>
            </w:r>
          </w:p>
        </w:tc>
        <w:tc>
          <w:tcPr>
            <w:tcW w:w="2530" w:type="pct"/>
            <w:tcBorders>
              <w:left w:val="nil"/>
              <w:right w:val="nil"/>
            </w:tcBorders>
          </w:tcPr>
          <w:p w14:paraId="513BCFB1" w14:textId="55B473C5" w:rsidR="009F4D36" w:rsidRPr="00A53D78" w:rsidRDefault="009F4D36" w:rsidP="009F4D36">
            <w:pPr>
              <w:keepNext/>
              <w:spacing w:before="120" w:after="120"/>
              <w:rPr>
                <w:rFonts w:ascii="Arial" w:hAnsi="Arial" w:cs="Arial"/>
                <w:sz w:val="22"/>
                <w:szCs w:val="22"/>
              </w:rPr>
            </w:pPr>
            <w:r w:rsidRPr="00A53D78">
              <w:rPr>
                <w:rFonts w:ascii="Arial" w:hAnsi="Arial" w:cs="Arial"/>
                <w:sz w:val="22"/>
                <w:szCs w:val="22"/>
              </w:rPr>
              <w:t>L’enseignement au service de la mémoire et la sauvegarde de la cérémonie du Last Post au mémorial de la Porte de Menin à Ypres, Ville de Paix</w:t>
            </w:r>
          </w:p>
        </w:tc>
        <w:tc>
          <w:tcPr>
            <w:tcW w:w="542" w:type="pct"/>
            <w:tcBorders>
              <w:left w:val="nil"/>
            </w:tcBorders>
          </w:tcPr>
          <w:p w14:paraId="7E9B91CA" w14:textId="06CA4248" w:rsidR="009F4D36" w:rsidRDefault="00417A55" w:rsidP="009F4D36">
            <w:pPr>
              <w:keepNext/>
              <w:spacing w:before="120" w:after="120"/>
              <w:jc w:val="center"/>
            </w:pPr>
            <w:hyperlink r:id="rId8" w:anchor="11.e.1" w:history="1">
              <w:r w:rsidR="009F4D36" w:rsidRPr="002477DB">
                <w:rPr>
                  <w:rStyle w:val="Hyperlink"/>
                  <w:rFonts w:ascii="Arial" w:hAnsi="Arial" w:cs="Arial"/>
                  <w:sz w:val="22"/>
                  <w:szCs w:val="22"/>
                </w:rPr>
                <w:t>00875</w:t>
              </w:r>
            </w:hyperlink>
          </w:p>
        </w:tc>
      </w:tr>
      <w:tr w:rsidR="009F4D36" w:rsidRPr="00750FA0" w14:paraId="32FF5EE0" w14:textId="77777777" w:rsidTr="009F4D36">
        <w:trPr>
          <w:cantSplit/>
          <w:trHeight w:val="409"/>
        </w:trPr>
        <w:tc>
          <w:tcPr>
            <w:tcW w:w="897" w:type="pct"/>
            <w:tcBorders>
              <w:right w:val="nil"/>
            </w:tcBorders>
          </w:tcPr>
          <w:p w14:paraId="4772875F" w14:textId="70F23D84" w:rsidR="009F4D36" w:rsidRPr="00750FA0" w:rsidRDefault="00417A55" w:rsidP="009F4D36">
            <w:pPr>
              <w:keepNext/>
              <w:spacing w:before="120" w:after="120"/>
              <w:jc w:val="center"/>
              <w:rPr>
                <w:rFonts w:ascii="Arial" w:hAnsi="Arial" w:cs="Arial"/>
                <w:bCs/>
                <w:color w:val="000000"/>
                <w:sz w:val="22"/>
                <w:szCs w:val="22"/>
                <w:lang w:bidi="fr-FR"/>
              </w:rPr>
            </w:pPr>
            <w:hyperlink w:anchor="PROJET_DE_DÉCISION_12_COM11_e_3" w:history="1">
              <w:r w:rsidR="009F4D36" w:rsidRPr="00A53D78">
                <w:rPr>
                  <w:rStyle w:val="Hyperlink"/>
                  <w:rFonts w:ascii="Arial" w:hAnsi="Arial" w:cs="Arial"/>
                  <w:bCs/>
                  <w:sz w:val="22"/>
                  <w:szCs w:val="22"/>
                </w:rPr>
                <w:t>12.COM 11.e.3</w:t>
              </w:r>
            </w:hyperlink>
          </w:p>
        </w:tc>
        <w:tc>
          <w:tcPr>
            <w:tcW w:w="1031" w:type="pct"/>
            <w:tcBorders>
              <w:left w:val="nil"/>
              <w:right w:val="nil"/>
            </w:tcBorders>
          </w:tcPr>
          <w:p w14:paraId="0FC0143E" w14:textId="5CCF32BA" w:rsidR="009F4D36" w:rsidRPr="00750FA0" w:rsidRDefault="009F4D36" w:rsidP="009F4D36">
            <w:pPr>
              <w:keepNext/>
              <w:spacing w:before="120" w:after="120"/>
              <w:jc w:val="center"/>
              <w:rPr>
                <w:rFonts w:ascii="Arial" w:hAnsi="Arial" w:cs="Arial"/>
                <w:color w:val="000000"/>
                <w:sz w:val="22"/>
                <w:szCs w:val="22"/>
                <w:lang w:bidi="fr-FR"/>
              </w:rPr>
            </w:pPr>
            <w:r w:rsidRPr="00A53D78">
              <w:rPr>
                <w:rFonts w:ascii="Arial" w:hAnsi="Arial" w:cs="Arial"/>
                <w:sz w:val="22"/>
                <w:szCs w:val="22"/>
              </w:rPr>
              <w:t>Égypte</w:t>
            </w:r>
          </w:p>
        </w:tc>
        <w:tc>
          <w:tcPr>
            <w:tcW w:w="2530" w:type="pct"/>
            <w:tcBorders>
              <w:left w:val="nil"/>
              <w:right w:val="nil"/>
            </w:tcBorders>
          </w:tcPr>
          <w:p w14:paraId="56D54200" w14:textId="2A9C91CF" w:rsidR="009F4D36" w:rsidRPr="00750FA0" w:rsidRDefault="009F4D36" w:rsidP="009F4D36">
            <w:pPr>
              <w:keepNext/>
              <w:spacing w:before="120" w:after="120"/>
              <w:rPr>
                <w:rFonts w:ascii="Arial" w:hAnsi="Arial" w:cs="Arial"/>
                <w:color w:val="000000"/>
                <w:sz w:val="22"/>
                <w:szCs w:val="22"/>
                <w:lang w:bidi="fr-FR"/>
              </w:rPr>
            </w:pPr>
            <w:r w:rsidRPr="00A53D78">
              <w:rPr>
                <w:rFonts w:ascii="Arial" w:hAnsi="Arial" w:cs="Arial"/>
                <w:sz w:val="22"/>
                <w:szCs w:val="22"/>
              </w:rPr>
              <w:t xml:space="preserve">Documentation, préservation, formation et promotion du patrimoine immatériel égyptien lié à l’art du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en Haute-Égypte</w:t>
            </w:r>
          </w:p>
        </w:tc>
        <w:tc>
          <w:tcPr>
            <w:tcW w:w="542" w:type="pct"/>
            <w:tcBorders>
              <w:left w:val="nil"/>
            </w:tcBorders>
          </w:tcPr>
          <w:p w14:paraId="4E51CBAC" w14:textId="3375C275" w:rsidR="009F4D36" w:rsidRPr="00750FA0" w:rsidRDefault="00417A55" w:rsidP="009F4D36">
            <w:pPr>
              <w:keepNext/>
              <w:spacing w:before="120" w:after="120"/>
              <w:jc w:val="center"/>
              <w:rPr>
                <w:rFonts w:ascii="Arial" w:hAnsi="Arial" w:cs="Arial"/>
                <w:color w:val="000000"/>
                <w:sz w:val="22"/>
                <w:szCs w:val="22"/>
                <w:lang w:bidi="fr-FR"/>
              </w:rPr>
            </w:pPr>
            <w:hyperlink r:id="rId9" w:anchor="11.e.3" w:history="1">
              <w:r w:rsidR="009F4D36" w:rsidRPr="002477DB">
                <w:rPr>
                  <w:rStyle w:val="Hyperlink"/>
                  <w:rFonts w:ascii="Arial" w:hAnsi="Arial" w:cs="Arial"/>
                  <w:sz w:val="22"/>
                  <w:szCs w:val="22"/>
                </w:rPr>
                <w:t>00963</w:t>
              </w:r>
            </w:hyperlink>
          </w:p>
        </w:tc>
      </w:tr>
    </w:tbl>
    <w:p w14:paraId="651CED6E" w14:textId="77777777" w:rsidR="00750FA0" w:rsidRDefault="00750FA0" w:rsidP="00750FA0">
      <w:pPr>
        <w:spacing w:before="120"/>
        <w:jc w:val="center"/>
        <w:rPr>
          <w:rFonts w:ascii="Arial" w:hAnsi="Arial" w:cs="Arial"/>
          <w:b/>
          <w:sz w:val="22"/>
          <w:szCs w:val="22"/>
        </w:rPr>
        <w:sectPr w:rsidR="00750FA0"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pPr>
    </w:p>
    <w:p w14:paraId="3D4D7D89" w14:textId="0F19A007" w:rsidR="00EC6F8D" w:rsidRPr="00A53D78" w:rsidRDefault="00EC6F8D" w:rsidP="00EC6F8D">
      <w:pPr>
        <w:spacing w:before="1440"/>
        <w:jc w:val="center"/>
        <w:rPr>
          <w:rFonts w:ascii="Arial" w:hAnsi="Arial" w:cs="Arial"/>
          <w:b/>
          <w:sz w:val="22"/>
          <w:szCs w:val="22"/>
        </w:rPr>
      </w:pPr>
      <w:r w:rsidRPr="00A53D78">
        <w:rPr>
          <w:rFonts w:ascii="Arial" w:hAnsi="Arial" w:cs="Arial"/>
          <w:b/>
          <w:sz w:val="22"/>
          <w:szCs w:val="22"/>
        </w:rPr>
        <w:lastRenderedPageBreak/>
        <w:t>CONVENTION POUR LA SAUVEGARDE</w:t>
      </w:r>
      <w:r w:rsidR="00B96A90">
        <w:rPr>
          <w:rFonts w:ascii="Arial" w:hAnsi="Arial" w:cs="Arial"/>
          <w:b/>
          <w:sz w:val="22"/>
          <w:szCs w:val="22"/>
        </w:rPr>
        <w:t xml:space="preserve"> DU</w:t>
      </w:r>
      <w:r w:rsidRPr="00A53D78">
        <w:rPr>
          <w:rFonts w:ascii="Arial" w:hAnsi="Arial" w:cs="Arial"/>
          <w:b/>
          <w:sz w:val="22"/>
          <w:szCs w:val="22"/>
        </w:rPr>
        <w:br/>
        <w:t>PATRIMOINE CULTUREL IMMATÉRIEL</w:t>
      </w:r>
    </w:p>
    <w:p w14:paraId="60D5C330" w14:textId="77777777" w:rsidR="00EC6F8D" w:rsidRPr="00A53D78" w:rsidRDefault="00EC6F8D" w:rsidP="00EC6F8D">
      <w:pPr>
        <w:spacing w:before="1200"/>
        <w:jc w:val="center"/>
        <w:rPr>
          <w:rFonts w:ascii="Arial" w:hAnsi="Arial" w:cs="Arial"/>
          <w:b/>
          <w:sz w:val="22"/>
          <w:szCs w:val="22"/>
        </w:rPr>
      </w:pPr>
      <w:r w:rsidRPr="00A53D78">
        <w:rPr>
          <w:rFonts w:ascii="Arial" w:hAnsi="Arial" w:cs="Arial"/>
          <w:b/>
          <w:sz w:val="22"/>
          <w:szCs w:val="22"/>
        </w:rPr>
        <w:t>COMITÉ INTERGOUVERNEMENTAL DE SAUVEGARDE</w:t>
      </w:r>
      <w:r w:rsidRPr="00A53D78">
        <w:rPr>
          <w:rFonts w:ascii="Arial" w:hAnsi="Arial" w:cs="Arial"/>
          <w:b/>
          <w:sz w:val="22"/>
          <w:szCs w:val="22"/>
        </w:rPr>
        <w:br/>
        <w:t>DU PATRIMOINE CULTUREL IMMATÉRIEL</w:t>
      </w:r>
    </w:p>
    <w:p w14:paraId="03AE0127" w14:textId="77777777" w:rsidR="00EC6F8D" w:rsidRPr="00A53D78" w:rsidRDefault="00C7433F" w:rsidP="00EC6F8D">
      <w:pPr>
        <w:spacing w:before="840"/>
        <w:jc w:val="center"/>
        <w:rPr>
          <w:rFonts w:ascii="Arial" w:hAnsi="Arial" w:cs="Arial"/>
          <w:b/>
          <w:sz w:val="22"/>
          <w:szCs w:val="22"/>
        </w:rPr>
      </w:pPr>
      <w:r w:rsidRPr="00A53D78">
        <w:rPr>
          <w:rFonts w:ascii="Arial" w:hAnsi="Arial" w:cs="Arial"/>
          <w:b/>
          <w:sz w:val="22"/>
          <w:szCs w:val="22"/>
        </w:rPr>
        <w:t>Douzième session</w:t>
      </w:r>
    </w:p>
    <w:p w14:paraId="456EDA2F" w14:textId="2F22CF9F" w:rsidR="009D5428" w:rsidRPr="00A53D78" w:rsidRDefault="006E0D05" w:rsidP="005E7074">
      <w:pPr>
        <w:jc w:val="center"/>
        <w:rPr>
          <w:rFonts w:ascii="Arial" w:eastAsiaTheme="minorEastAsia" w:hAnsi="Arial" w:cs="Arial"/>
          <w:b/>
          <w:sz w:val="22"/>
          <w:szCs w:val="22"/>
        </w:rPr>
      </w:pPr>
      <w:r w:rsidRPr="00A53D78">
        <w:rPr>
          <w:rFonts w:ascii="Arial" w:hAnsi="Arial" w:cs="Arial"/>
          <w:b/>
          <w:sz w:val="22"/>
          <w:szCs w:val="22"/>
        </w:rPr>
        <w:t>Î</w:t>
      </w:r>
      <w:r w:rsidR="002351A6" w:rsidRPr="00A53D78">
        <w:rPr>
          <w:rFonts w:ascii="Arial" w:hAnsi="Arial" w:cs="Arial"/>
          <w:b/>
          <w:sz w:val="22"/>
          <w:szCs w:val="22"/>
        </w:rPr>
        <w:t xml:space="preserve">le de </w:t>
      </w:r>
      <w:proofErr w:type="spellStart"/>
      <w:r w:rsidR="002351A6" w:rsidRPr="00A53D78">
        <w:rPr>
          <w:rFonts w:ascii="Arial" w:hAnsi="Arial" w:cs="Arial"/>
          <w:b/>
          <w:sz w:val="22"/>
          <w:szCs w:val="22"/>
        </w:rPr>
        <w:t>Jeju</w:t>
      </w:r>
      <w:proofErr w:type="spellEnd"/>
      <w:r w:rsidR="002351A6" w:rsidRPr="00A53D78">
        <w:rPr>
          <w:rFonts w:ascii="Arial" w:hAnsi="Arial" w:cs="Arial"/>
          <w:b/>
          <w:sz w:val="22"/>
          <w:szCs w:val="22"/>
        </w:rPr>
        <w:t>, République de Corée</w:t>
      </w:r>
    </w:p>
    <w:p w14:paraId="48B50C93" w14:textId="77A98A22" w:rsidR="00EC6F8D" w:rsidRPr="00A53D78" w:rsidRDefault="00337CEB" w:rsidP="00EC6F8D">
      <w:pPr>
        <w:jc w:val="center"/>
        <w:rPr>
          <w:rFonts w:ascii="Arial" w:eastAsiaTheme="minorEastAsia" w:hAnsi="Arial" w:cs="Arial"/>
          <w:b/>
          <w:sz w:val="22"/>
          <w:szCs w:val="22"/>
        </w:rPr>
      </w:pPr>
      <w:r w:rsidRPr="00A53D78">
        <w:rPr>
          <w:rFonts w:ascii="Arial" w:hAnsi="Arial" w:cs="Arial"/>
          <w:b/>
          <w:sz w:val="22"/>
          <w:szCs w:val="22"/>
        </w:rPr>
        <w:t xml:space="preserve">4 </w:t>
      </w:r>
      <w:r w:rsidR="0034349F">
        <w:rPr>
          <w:rFonts w:ascii="Arial" w:hAnsi="Arial" w:cs="Arial"/>
          <w:b/>
          <w:sz w:val="22"/>
          <w:szCs w:val="22"/>
        </w:rPr>
        <w:t>–</w:t>
      </w:r>
      <w:r w:rsidRPr="00A53D78">
        <w:rPr>
          <w:rFonts w:ascii="Arial" w:hAnsi="Arial" w:cs="Arial"/>
          <w:b/>
          <w:sz w:val="22"/>
          <w:szCs w:val="22"/>
        </w:rPr>
        <w:t xml:space="preserve"> </w:t>
      </w:r>
      <w:r w:rsidR="00F4153D" w:rsidRPr="00A53D78">
        <w:rPr>
          <w:rFonts w:ascii="Arial" w:hAnsi="Arial" w:cs="Arial"/>
          <w:b/>
          <w:sz w:val="22"/>
          <w:szCs w:val="22"/>
        </w:rPr>
        <w:t>9</w:t>
      </w:r>
      <w:r w:rsidR="0034349F">
        <w:rPr>
          <w:rFonts w:ascii="Arial" w:hAnsi="Arial" w:cs="Arial"/>
          <w:b/>
          <w:sz w:val="22"/>
          <w:szCs w:val="22"/>
        </w:rPr>
        <w:t xml:space="preserve"> </w:t>
      </w:r>
      <w:r w:rsidRPr="00A53D78">
        <w:rPr>
          <w:rFonts w:ascii="Arial" w:hAnsi="Arial" w:cs="Arial"/>
          <w:b/>
          <w:sz w:val="22"/>
          <w:szCs w:val="22"/>
        </w:rPr>
        <w:t>décembre 2017</w:t>
      </w:r>
    </w:p>
    <w:p w14:paraId="64B03286" w14:textId="0B0516E5" w:rsidR="00EC6F8D" w:rsidRPr="00A53D78" w:rsidRDefault="00EC6F8D" w:rsidP="00EC6F8D">
      <w:pPr>
        <w:pStyle w:val="Sansinterligne2"/>
        <w:spacing w:before="1200"/>
        <w:jc w:val="center"/>
        <w:rPr>
          <w:rFonts w:ascii="Arial" w:hAnsi="Arial" w:cs="Arial"/>
          <w:b/>
          <w:sz w:val="22"/>
          <w:szCs w:val="22"/>
        </w:rPr>
      </w:pPr>
      <w:r w:rsidRPr="00A53D78">
        <w:rPr>
          <w:rFonts w:ascii="Arial" w:hAnsi="Arial" w:cs="Arial"/>
          <w:b/>
          <w:sz w:val="22"/>
          <w:szCs w:val="22"/>
          <w:u w:val="single"/>
        </w:rPr>
        <w:t>Point 11.e de l</w:t>
      </w:r>
      <w:r w:rsidR="003F34AE" w:rsidRPr="00A53D78">
        <w:rPr>
          <w:rFonts w:ascii="Arial" w:hAnsi="Arial" w:cs="Arial"/>
          <w:b/>
          <w:sz w:val="22"/>
          <w:szCs w:val="22"/>
          <w:u w:val="single"/>
        </w:rPr>
        <w:t>’</w:t>
      </w:r>
      <w:r w:rsidRPr="00A53D78">
        <w:rPr>
          <w:rFonts w:ascii="Arial" w:hAnsi="Arial" w:cs="Arial"/>
          <w:b/>
          <w:sz w:val="22"/>
          <w:szCs w:val="22"/>
          <w:u w:val="single"/>
        </w:rPr>
        <w:t>ordre du jour provisoire</w:t>
      </w:r>
      <w:r w:rsidRPr="005927E8">
        <w:rPr>
          <w:rFonts w:ascii="Arial" w:hAnsi="Arial" w:cs="Arial"/>
          <w:b/>
          <w:sz w:val="22"/>
          <w:szCs w:val="22"/>
        </w:rPr>
        <w:t> </w:t>
      </w:r>
      <w:r w:rsidRPr="00A53D78">
        <w:rPr>
          <w:rFonts w:ascii="Arial" w:hAnsi="Arial" w:cs="Arial"/>
          <w:b/>
          <w:sz w:val="22"/>
          <w:szCs w:val="22"/>
        </w:rPr>
        <w:t>:</w:t>
      </w:r>
    </w:p>
    <w:p w14:paraId="568F37B0" w14:textId="33DE6839" w:rsidR="00EC6F8D" w:rsidRPr="00A53D78" w:rsidRDefault="0064466C" w:rsidP="0064466C">
      <w:pPr>
        <w:pStyle w:val="Sansinterligne2"/>
        <w:spacing w:after="1200"/>
        <w:jc w:val="center"/>
        <w:rPr>
          <w:rFonts w:ascii="Arial" w:hAnsi="Arial" w:cs="Arial"/>
          <w:b/>
          <w:sz w:val="22"/>
          <w:szCs w:val="22"/>
        </w:rPr>
      </w:pPr>
      <w:r w:rsidRPr="00A53D78">
        <w:rPr>
          <w:rFonts w:ascii="Arial" w:hAnsi="Arial" w:cs="Arial"/>
          <w:b/>
          <w:sz w:val="22"/>
          <w:szCs w:val="22"/>
        </w:rPr>
        <w:t xml:space="preserve">Examen des propositions </w:t>
      </w:r>
      <w:r w:rsidR="00952D6D" w:rsidRPr="00A53D78">
        <w:rPr>
          <w:rFonts w:ascii="Arial" w:hAnsi="Arial" w:cs="Arial"/>
          <w:b/>
          <w:sz w:val="22"/>
          <w:szCs w:val="22"/>
        </w:rPr>
        <w:t>au</w:t>
      </w:r>
      <w:r w:rsidRPr="00A53D78">
        <w:rPr>
          <w:rFonts w:ascii="Arial" w:hAnsi="Arial" w:cs="Arial"/>
          <w:b/>
          <w:sz w:val="22"/>
          <w:szCs w:val="22"/>
        </w:rPr>
        <w:t xml:space="preserve"> Registre de bonnes pratiques de sauvegarde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53D78" w14:paraId="6E82CFC8" w14:textId="77777777" w:rsidTr="00EC6F8D">
        <w:trPr>
          <w:jc w:val="center"/>
        </w:trPr>
        <w:tc>
          <w:tcPr>
            <w:tcW w:w="5670" w:type="dxa"/>
            <w:vAlign w:val="center"/>
          </w:tcPr>
          <w:p w14:paraId="4F584230" w14:textId="77777777" w:rsidR="00EC6F8D" w:rsidRPr="00A53D78" w:rsidRDefault="00EC6F8D" w:rsidP="00CA56BB">
            <w:pPr>
              <w:pStyle w:val="Sansinterligne1"/>
              <w:spacing w:before="200" w:after="200"/>
              <w:jc w:val="center"/>
              <w:rPr>
                <w:rFonts w:ascii="Arial" w:hAnsi="Arial" w:cs="Arial"/>
                <w:b/>
                <w:sz w:val="22"/>
                <w:szCs w:val="22"/>
              </w:rPr>
            </w:pPr>
            <w:r w:rsidRPr="00A53D78">
              <w:rPr>
                <w:rFonts w:ascii="Arial" w:hAnsi="Arial" w:cs="Arial"/>
                <w:b/>
                <w:sz w:val="22"/>
                <w:szCs w:val="22"/>
              </w:rPr>
              <w:t>Résumé</w:t>
            </w:r>
          </w:p>
          <w:p w14:paraId="07F010D2" w14:textId="0F008221" w:rsidR="0064466C" w:rsidRPr="00A53D78" w:rsidRDefault="0064466C" w:rsidP="0064466C">
            <w:pPr>
              <w:pStyle w:val="Sansinterligne1"/>
              <w:spacing w:before="200" w:after="200"/>
              <w:jc w:val="both"/>
              <w:rPr>
                <w:rFonts w:ascii="Arial" w:hAnsi="Arial" w:cs="Arial"/>
                <w:b/>
                <w:sz w:val="22"/>
                <w:szCs w:val="22"/>
              </w:rPr>
            </w:pPr>
            <w:r w:rsidRPr="00A53D78">
              <w:rPr>
                <w:rFonts w:ascii="Arial" w:hAnsi="Arial" w:cs="Arial"/>
                <w:sz w:val="22"/>
                <w:szCs w:val="22"/>
              </w:rPr>
              <w:t>Le présent document contient les recommandations de l</w:t>
            </w:r>
            <w:r w:rsidR="003F34AE" w:rsidRPr="00A53D78">
              <w:rPr>
                <w:rFonts w:ascii="Arial" w:hAnsi="Arial" w:cs="Arial"/>
                <w:sz w:val="22"/>
                <w:szCs w:val="22"/>
              </w:rPr>
              <w:t>’</w:t>
            </w:r>
            <w:r w:rsidRPr="00A53D78">
              <w:rPr>
                <w:rFonts w:ascii="Arial" w:hAnsi="Arial" w:cs="Arial"/>
                <w:sz w:val="22"/>
                <w:szCs w:val="22"/>
              </w:rPr>
              <w:t>Organe d</w:t>
            </w:r>
            <w:r w:rsidR="003F34AE" w:rsidRPr="00A53D78">
              <w:rPr>
                <w:rFonts w:ascii="Arial" w:hAnsi="Arial" w:cs="Arial"/>
                <w:sz w:val="22"/>
                <w:szCs w:val="22"/>
              </w:rPr>
              <w:t>’</w:t>
            </w:r>
            <w:r w:rsidRPr="00A53D78">
              <w:rPr>
                <w:rFonts w:ascii="Arial" w:hAnsi="Arial" w:cs="Arial"/>
                <w:sz w:val="22"/>
                <w:szCs w:val="22"/>
              </w:rPr>
              <w:t xml:space="preserve">évaluation concernant les propositions </w:t>
            </w:r>
            <w:r w:rsidR="006E0D05" w:rsidRPr="00A53D78">
              <w:rPr>
                <w:rFonts w:ascii="Arial" w:hAnsi="Arial" w:cs="Arial"/>
                <w:sz w:val="22"/>
                <w:szCs w:val="22"/>
              </w:rPr>
              <w:t>pour</w:t>
            </w:r>
            <w:r w:rsidRPr="00A53D78">
              <w:rPr>
                <w:rFonts w:ascii="Arial" w:hAnsi="Arial" w:cs="Arial"/>
                <w:sz w:val="22"/>
                <w:szCs w:val="22"/>
              </w:rPr>
              <w:t xml:space="preserve"> le Registre de bonnes pratiques de sauvegarde (partie A) ainsi qu</w:t>
            </w:r>
            <w:r w:rsidR="003F34AE" w:rsidRPr="00A53D78">
              <w:rPr>
                <w:rFonts w:ascii="Arial" w:hAnsi="Arial" w:cs="Arial"/>
                <w:sz w:val="22"/>
                <w:szCs w:val="22"/>
              </w:rPr>
              <w:t>’</w:t>
            </w:r>
            <w:r w:rsidRPr="00A53D78">
              <w:rPr>
                <w:rFonts w:ascii="Arial" w:hAnsi="Arial" w:cs="Arial"/>
                <w:sz w:val="22"/>
                <w:szCs w:val="22"/>
              </w:rPr>
              <w:t>un ensemble de projets de décision</w:t>
            </w:r>
            <w:r w:rsidR="005927E8">
              <w:rPr>
                <w:rFonts w:ascii="Arial" w:hAnsi="Arial" w:cs="Arial"/>
                <w:sz w:val="22"/>
                <w:szCs w:val="22"/>
              </w:rPr>
              <w:t>s</w:t>
            </w:r>
            <w:r w:rsidRPr="00A53D78">
              <w:rPr>
                <w:rFonts w:ascii="Arial" w:hAnsi="Arial" w:cs="Arial"/>
                <w:sz w:val="22"/>
                <w:szCs w:val="22"/>
              </w:rPr>
              <w:t xml:space="preserve"> pour examen par le Comité (partie B). Un aperçu des dossiers de 2017 et </w:t>
            </w:r>
            <w:r w:rsidR="006E0D05" w:rsidRPr="00A53D78">
              <w:rPr>
                <w:rFonts w:ascii="Arial" w:hAnsi="Arial" w:cs="Arial"/>
                <w:sz w:val="22"/>
                <w:szCs w:val="22"/>
              </w:rPr>
              <w:t>l</w:t>
            </w:r>
            <w:r w:rsidRPr="00A53D78">
              <w:rPr>
                <w:rFonts w:ascii="Arial" w:hAnsi="Arial" w:cs="Arial"/>
                <w:sz w:val="22"/>
                <w:szCs w:val="22"/>
              </w:rPr>
              <w:t>es méthodes de travail de l</w:t>
            </w:r>
            <w:r w:rsidR="003F34AE" w:rsidRPr="00A53D78">
              <w:rPr>
                <w:rFonts w:ascii="Arial" w:hAnsi="Arial" w:cs="Arial"/>
                <w:sz w:val="22"/>
                <w:szCs w:val="22"/>
              </w:rPr>
              <w:t>’</w:t>
            </w:r>
            <w:r w:rsidRPr="00A53D78">
              <w:rPr>
                <w:rFonts w:ascii="Arial" w:hAnsi="Arial" w:cs="Arial"/>
                <w:sz w:val="22"/>
                <w:szCs w:val="22"/>
              </w:rPr>
              <w:t>Organe d</w:t>
            </w:r>
            <w:r w:rsidR="003F34AE" w:rsidRPr="00A53D78">
              <w:rPr>
                <w:rFonts w:ascii="Arial" w:hAnsi="Arial" w:cs="Arial"/>
                <w:sz w:val="22"/>
                <w:szCs w:val="22"/>
              </w:rPr>
              <w:t>’</w:t>
            </w:r>
            <w:r w:rsidRPr="00A53D78">
              <w:rPr>
                <w:rFonts w:ascii="Arial" w:hAnsi="Arial" w:cs="Arial"/>
                <w:sz w:val="22"/>
                <w:szCs w:val="22"/>
              </w:rPr>
              <w:t xml:space="preserve">évaluation </w:t>
            </w:r>
            <w:r w:rsidR="006E0D05" w:rsidRPr="00A53D78">
              <w:rPr>
                <w:rFonts w:ascii="Arial" w:hAnsi="Arial" w:cs="Arial"/>
                <w:sz w:val="22"/>
                <w:szCs w:val="22"/>
              </w:rPr>
              <w:t>sont</w:t>
            </w:r>
            <w:r w:rsidRPr="00A53D78">
              <w:rPr>
                <w:rFonts w:ascii="Arial" w:hAnsi="Arial" w:cs="Arial"/>
                <w:sz w:val="22"/>
                <w:szCs w:val="22"/>
              </w:rPr>
              <w:t xml:space="preserve"> présenté</w:t>
            </w:r>
            <w:r w:rsidR="006E0D05" w:rsidRPr="00A53D78">
              <w:rPr>
                <w:rFonts w:ascii="Arial" w:hAnsi="Arial" w:cs="Arial"/>
                <w:sz w:val="22"/>
                <w:szCs w:val="22"/>
              </w:rPr>
              <w:t>s</w:t>
            </w:r>
            <w:r w:rsidRPr="00A53D78">
              <w:rPr>
                <w:rFonts w:ascii="Arial" w:hAnsi="Arial" w:cs="Arial"/>
                <w:sz w:val="22"/>
                <w:szCs w:val="22"/>
              </w:rPr>
              <w:t xml:space="preserve"> dans le document </w:t>
            </w:r>
            <w:hyperlink r:id="rId13" w:history="1">
              <w:r w:rsidRPr="00B96A90">
                <w:rPr>
                  <w:rStyle w:val="Hyperlink"/>
                  <w:rFonts w:ascii="Arial" w:hAnsi="Arial" w:cs="Arial"/>
                  <w:sz w:val="22"/>
                  <w:szCs w:val="22"/>
                </w:rPr>
                <w:t>ITH/17/12.COM/11</w:t>
              </w:r>
            </w:hyperlink>
            <w:r w:rsidRPr="00A53D78">
              <w:rPr>
                <w:rFonts w:ascii="Arial" w:hAnsi="Arial" w:cs="Arial"/>
                <w:sz w:val="22"/>
                <w:szCs w:val="22"/>
              </w:rPr>
              <w:t>.</w:t>
            </w:r>
          </w:p>
          <w:p w14:paraId="1FC1F28D" w14:textId="77777777" w:rsidR="00EC6F8D" w:rsidRPr="00A53D78" w:rsidRDefault="00EC6F8D" w:rsidP="008C4377">
            <w:pPr>
              <w:pStyle w:val="Sansinterligne2"/>
              <w:spacing w:before="200" w:after="200"/>
              <w:jc w:val="both"/>
              <w:rPr>
                <w:rFonts w:ascii="Arial" w:hAnsi="Arial" w:cs="Arial"/>
                <w:b/>
                <w:sz w:val="22"/>
                <w:szCs w:val="22"/>
              </w:rPr>
            </w:pPr>
            <w:r w:rsidRPr="00A53D78">
              <w:rPr>
                <w:rFonts w:ascii="Arial" w:hAnsi="Arial" w:cs="Arial"/>
                <w:b/>
                <w:sz w:val="22"/>
                <w:szCs w:val="22"/>
              </w:rPr>
              <w:t xml:space="preserve">Décision requise : </w:t>
            </w:r>
            <w:r w:rsidRPr="00A53D78">
              <w:rPr>
                <w:rFonts w:ascii="Arial" w:hAnsi="Arial" w:cs="Arial"/>
                <w:bCs/>
                <w:sz w:val="22"/>
                <w:szCs w:val="22"/>
              </w:rPr>
              <w:t>paragraphe 3</w:t>
            </w:r>
          </w:p>
        </w:tc>
      </w:tr>
    </w:tbl>
    <w:p w14:paraId="3F7F4390" w14:textId="77777777" w:rsidR="005927E8" w:rsidRDefault="005927E8">
      <w:pPr>
        <w:rPr>
          <w:rFonts w:ascii="Arial" w:eastAsia="SimSun" w:hAnsi="Arial" w:cs="Arial"/>
          <w:b/>
          <w:sz w:val="22"/>
          <w:szCs w:val="22"/>
          <w:lang w:eastAsia="zh-CN"/>
        </w:rPr>
      </w:pPr>
      <w:r>
        <w:rPr>
          <w:rFonts w:ascii="Arial" w:hAnsi="Arial" w:cs="Arial"/>
          <w:b/>
        </w:rPr>
        <w:br w:type="page"/>
      </w:r>
    </w:p>
    <w:p w14:paraId="2B6A0D37" w14:textId="16F13B5E" w:rsidR="007708AF" w:rsidRPr="00A53D78" w:rsidRDefault="007708AF" w:rsidP="005927E8">
      <w:pPr>
        <w:pStyle w:val="NoSpacing1"/>
        <w:keepNext/>
        <w:numPr>
          <w:ilvl w:val="0"/>
          <w:numId w:val="15"/>
        </w:numPr>
        <w:tabs>
          <w:tab w:val="left" w:pos="567"/>
        </w:tabs>
        <w:spacing w:before="360" w:after="240"/>
        <w:ind w:hanging="930"/>
        <w:jc w:val="both"/>
        <w:rPr>
          <w:rFonts w:ascii="Arial" w:hAnsi="Arial" w:cs="Arial"/>
          <w:b/>
        </w:rPr>
      </w:pPr>
      <w:r w:rsidRPr="00A53D78">
        <w:rPr>
          <w:rFonts w:ascii="Arial" w:hAnsi="Arial" w:cs="Arial"/>
          <w:b/>
        </w:rPr>
        <w:lastRenderedPageBreak/>
        <w:t>Recommandations</w:t>
      </w:r>
    </w:p>
    <w:p w14:paraId="1E89BDA4" w14:textId="1E574B7D" w:rsidR="0064466C" w:rsidRPr="00A53D78" w:rsidRDefault="0064466C" w:rsidP="0064466C">
      <w:pPr>
        <w:pStyle w:val="COMPara"/>
        <w:jc w:val="both"/>
      </w:pPr>
      <w:bookmarkStart w:id="1" w:name="Recommande_le_comité_de_sélectionner"/>
      <w:bookmarkEnd w:id="1"/>
      <w:r w:rsidRPr="00A53D78">
        <w:t>L</w:t>
      </w:r>
      <w:r w:rsidR="003F34AE" w:rsidRPr="00A53D78">
        <w:t>’</w:t>
      </w:r>
      <w:r w:rsidRPr="00A53D78">
        <w:t>Organe d</w:t>
      </w:r>
      <w:r w:rsidR="003F34AE" w:rsidRPr="00A53D78">
        <w:t>’</w:t>
      </w:r>
      <w:r w:rsidRPr="00A53D78">
        <w:t xml:space="preserve">évaluation recommande au Comité de sélectionner les programmes suivants, qui </w:t>
      </w:r>
      <w:r w:rsidR="006E0D05" w:rsidRPr="00A53D78">
        <w:t xml:space="preserve">reflètent </w:t>
      </w:r>
      <w:r w:rsidRPr="00A53D78">
        <w:t>le mieux les principes et les objectifs de la Convention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C4377" w:rsidRPr="00A53D78" w14:paraId="32C5975F" w14:textId="77777777" w:rsidTr="004C67FA">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53CFB12" w14:textId="77777777" w:rsidR="0064466C" w:rsidRPr="00A53D78" w:rsidRDefault="0057439C" w:rsidP="003F34AE">
            <w:pPr>
              <w:spacing w:before="120" w:after="120"/>
              <w:jc w:val="center"/>
              <w:rPr>
                <w:rFonts w:ascii="Arial" w:hAnsi="Arial" w:cs="Arial"/>
                <w:sz w:val="22"/>
                <w:szCs w:val="22"/>
              </w:rPr>
            </w:pPr>
            <w:r w:rsidRPr="00A53D78">
              <w:rPr>
                <w:rFonts w:ascii="Arial" w:hAnsi="Arial" w:cs="Arial"/>
                <w:sz w:val="22"/>
                <w:szCs w:val="22"/>
              </w:rPr>
              <w:t xml:space="preserve"> </w:t>
            </w:r>
            <w:r w:rsidRPr="00A53D78">
              <w:rPr>
                <w:rFonts w:ascii="Arial" w:hAnsi="Arial" w:cs="Arial"/>
                <w:b/>
                <w:bCs/>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2F78A7C0" w14:textId="77777777" w:rsidR="0064466C" w:rsidRPr="00A53D78" w:rsidRDefault="0064466C" w:rsidP="003F34AE">
            <w:pPr>
              <w:spacing w:before="120" w:after="120"/>
              <w:jc w:val="center"/>
              <w:rPr>
                <w:rFonts w:ascii="Arial" w:hAnsi="Arial" w:cs="Arial"/>
                <w:sz w:val="22"/>
                <w:szCs w:val="22"/>
              </w:rPr>
            </w:pPr>
            <w:r w:rsidRPr="00A53D78">
              <w:rPr>
                <w:rFonts w:ascii="Arial" w:hAnsi="Arial" w:cs="Arial"/>
                <w:b/>
                <w:bCs/>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42C82BCB" w14:textId="77777777" w:rsidR="0064466C" w:rsidRPr="00A53D78" w:rsidRDefault="0064466C" w:rsidP="003F34AE">
            <w:pPr>
              <w:spacing w:before="120" w:after="120"/>
              <w:jc w:val="center"/>
              <w:rPr>
                <w:rFonts w:ascii="Arial" w:hAnsi="Arial" w:cs="Arial"/>
                <w:sz w:val="22"/>
                <w:szCs w:val="22"/>
              </w:rPr>
            </w:pPr>
            <w:r w:rsidRPr="00A53D78">
              <w:rPr>
                <w:rFonts w:ascii="Arial" w:hAnsi="Arial" w:cs="Arial"/>
                <w:b/>
                <w:bCs/>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1444E9AF" w14:textId="77777777" w:rsidR="0064466C" w:rsidRPr="00A53D78" w:rsidRDefault="0064466C" w:rsidP="003F34AE">
            <w:pPr>
              <w:spacing w:before="120" w:after="120"/>
              <w:jc w:val="center"/>
              <w:rPr>
                <w:rFonts w:ascii="Arial" w:hAnsi="Arial" w:cs="Arial"/>
                <w:sz w:val="22"/>
                <w:szCs w:val="22"/>
              </w:rPr>
            </w:pPr>
            <w:r w:rsidRPr="00A53D78">
              <w:rPr>
                <w:rFonts w:ascii="Arial" w:hAnsi="Arial" w:cs="Arial"/>
                <w:b/>
                <w:bCs/>
                <w:sz w:val="22"/>
                <w:szCs w:val="22"/>
              </w:rPr>
              <w:t>Dossier n°</w:t>
            </w:r>
          </w:p>
        </w:tc>
      </w:tr>
      <w:tr w:rsidR="008C4377" w:rsidRPr="00A53D78" w14:paraId="1BB84566" w14:textId="77777777" w:rsidTr="004C67FA">
        <w:trPr>
          <w:cantSplit/>
        </w:trPr>
        <w:tc>
          <w:tcPr>
            <w:tcW w:w="953" w:type="pct"/>
            <w:tcBorders>
              <w:top w:val="single" w:sz="4" w:space="0" w:color="auto"/>
              <w:left w:val="single" w:sz="4" w:space="0" w:color="auto"/>
              <w:bottom w:val="single" w:sz="4" w:space="0" w:color="auto"/>
              <w:right w:val="nil"/>
            </w:tcBorders>
          </w:tcPr>
          <w:p w14:paraId="614CE536" w14:textId="15F7ABDE" w:rsidR="0064466C" w:rsidRPr="00A53D78" w:rsidRDefault="00417A55">
            <w:pPr>
              <w:spacing w:before="120" w:after="120"/>
              <w:jc w:val="center"/>
              <w:rPr>
                <w:rFonts w:ascii="Arial" w:hAnsi="Arial" w:cs="Arial"/>
                <w:bCs/>
                <w:sz w:val="22"/>
                <w:szCs w:val="22"/>
              </w:rPr>
            </w:pPr>
            <w:hyperlink w:anchor="PROJET_DE_DÉCISION_12_COM11_e_2" w:history="1">
              <w:r w:rsidR="00F4153D" w:rsidRPr="00A53D78">
                <w:rPr>
                  <w:rStyle w:val="Hyperlink"/>
                  <w:rFonts w:ascii="Arial" w:hAnsi="Arial" w:cs="Arial"/>
                  <w:sz w:val="22"/>
                  <w:szCs w:val="22"/>
                </w:rPr>
                <w:t>12</w:t>
              </w:r>
              <w:r w:rsidR="00926620" w:rsidRPr="00A53D78">
                <w:rPr>
                  <w:rStyle w:val="Hyperlink"/>
                  <w:rFonts w:ascii="Arial" w:hAnsi="Arial" w:cs="Arial"/>
                  <w:bCs/>
                  <w:sz w:val="22"/>
                  <w:szCs w:val="22"/>
                </w:rPr>
                <w:t>.COM 11.e.2</w:t>
              </w:r>
            </w:hyperlink>
          </w:p>
        </w:tc>
        <w:tc>
          <w:tcPr>
            <w:tcW w:w="1102" w:type="pct"/>
            <w:tcBorders>
              <w:top w:val="single" w:sz="4" w:space="0" w:color="auto"/>
              <w:left w:val="nil"/>
              <w:bottom w:val="single" w:sz="4" w:space="0" w:color="auto"/>
              <w:right w:val="nil"/>
            </w:tcBorders>
          </w:tcPr>
          <w:p w14:paraId="5E023051" w14:textId="77777777" w:rsidR="0064466C" w:rsidRPr="00A53D78" w:rsidRDefault="00083D2C" w:rsidP="003F34AE">
            <w:pPr>
              <w:spacing w:before="120" w:after="120"/>
              <w:jc w:val="center"/>
              <w:rPr>
                <w:rFonts w:ascii="Arial" w:hAnsi="Arial" w:cs="Arial"/>
                <w:sz w:val="22"/>
                <w:szCs w:val="22"/>
              </w:rPr>
            </w:pPr>
            <w:r w:rsidRPr="00A53D78">
              <w:rPr>
                <w:rFonts w:ascii="Arial" w:hAnsi="Arial" w:cs="Arial"/>
                <w:sz w:val="22"/>
                <w:szCs w:val="22"/>
              </w:rPr>
              <w:t>Bulgarie</w:t>
            </w:r>
          </w:p>
        </w:tc>
        <w:tc>
          <w:tcPr>
            <w:tcW w:w="2311" w:type="pct"/>
            <w:tcBorders>
              <w:top w:val="single" w:sz="4" w:space="0" w:color="auto"/>
              <w:left w:val="nil"/>
              <w:bottom w:val="single" w:sz="4" w:space="0" w:color="auto"/>
              <w:right w:val="nil"/>
            </w:tcBorders>
          </w:tcPr>
          <w:p w14:paraId="15047C41" w14:textId="77777777" w:rsidR="0064466C" w:rsidRPr="00A53D78" w:rsidRDefault="00083D2C" w:rsidP="00BD615E">
            <w:pPr>
              <w:spacing w:before="120" w:after="120"/>
              <w:rPr>
                <w:rFonts w:ascii="Arial" w:hAnsi="Arial" w:cs="Arial"/>
                <w:sz w:val="22"/>
                <w:szCs w:val="22"/>
              </w:rPr>
            </w:pPr>
            <w:r w:rsidRPr="00A53D78">
              <w:rPr>
                <w:rFonts w:ascii="Arial" w:hAnsi="Arial" w:cs="Arial"/>
                <w:sz w:val="22"/>
                <w:szCs w:val="22"/>
              </w:rPr>
              <w:t xml:space="preserve">La </w:t>
            </w:r>
            <w:proofErr w:type="spellStart"/>
            <w:r w:rsidRPr="00A53D78">
              <w:rPr>
                <w:rFonts w:ascii="Arial" w:hAnsi="Arial" w:cs="Arial"/>
                <w:sz w:val="22"/>
                <w:szCs w:val="22"/>
              </w:rPr>
              <w:t>chitalishte</w:t>
            </w:r>
            <w:proofErr w:type="spellEnd"/>
            <w:r w:rsidRPr="00A53D78">
              <w:rPr>
                <w:rFonts w:ascii="Arial" w:hAnsi="Arial" w:cs="Arial"/>
                <w:sz w:val="22"/>
                <w:szCs w:val="22"/>
              </w:rPr>
              <w:t xml:space="preserve"> bulgare (centre culturel communautaire), expérience pratique de préservation de la vitalité du patrimoine culturel immatériel</w:t>
            </w:r>
          </w:p>
        </w:tc>
        <w:tc>
          <w:tcPr>
            <w:tcW w:w="634" w:type="pct"/>
            <w:tcBorders>
              <w:top w:val="single" w:sz="4" w:space="0" w:color="auto"/>
              <w:left w:val="nil"/>
              <w:bottom w:val="single" w:sz="4" w:space="0" w:color="auto"/>
              <w:right w:val="single" w:sz="4" w:space="0" w:color="auto"/>
            </w:tcBorders>
          </w:tcPr>
          <w:p w14:paraId="681F8182" w14:textId="147D7585" w:rsidR="0064466C" w:rsidRPr="00A53D78" w:rsidRDefault="00417A55" w:rsidP="003F34AE">
            <w:pPr>
              <w:spacing w:before="120" w:after="120"/>
              <w:jc w:val="center"/>
              <w:rPr>
                <w:rFonts w:ascii="Arial" w:hAnsi="Arial" w:cs="Arial"/>
                <w:sz w:val="22"/>
                <w:szCs w:val="22"/>
              </w:rPr>
            </w:pPr>
            <w:hyperlink r:id="rId14" w:anchor="11.e.2" w:history="1">
              <w:r w:rsidR="003F34AE" w:rsidRPr="002477DB">
                <w:rPr>
                  <w:rStyle w:val="Hyperlink"/>
                  <w:rFonts w:ascii="Arial" w:hAnsi="Arial" w:cs="Arial"/>
                  <w:sz w:val="22"/>
                  <w:szCs w:val="22"/>
                </w:rPr>
                <w:t>0</w:t>
              </w:r>
              <w:r w:rsidR="00083D2C" w:rsidRPr="002477DB">
                <w:rPr>
                  <w:rStyle w:val="Hyperlink"/>
                  <w:rFonts w:ascii="Arial" w:hAnsi="Arial" w:cs="Arial"/>
                  <w:sz w:val="22"/>
                  <w:szCs w:val="22"/>
                </w:rPr>
                <w:t>0969</w:t>
              </w:r>
            </w:hyperlink>
          </w:p>
        </w:tc>
      </w:tr>
      <w:tr w:rsidR="008C4377" w:rsidRPr="00A53D78" w14:paraId="1B44389B" w14:textId="77777777" w:rsidTr="004C67FA">
        <w:trPr>
          <w:cantSplit/>
        </w:trPr>
        <w:tc>
          <w:tcPr>
            <w:tcW w:w="953" w:type="pct"/>
            <w:tcBorders>
              <w:top w:val="single" w:sz="4" w:space="0" w:color="auto"/>
              <w:left w:val="single" w:sz="4" w:space="0" w:color="auto"/>
              <w:bottom w:val="single" w:sz="4" w:space="0" w:color="auto"/>
              <w:right w:val="nil"/>
            </w:tcBorders>
          </w:tcPr>
          <w:p w14:paraId="074B267C" w14:textId="24805E09" w:rsidR="008C4377" w:rsidRPr="00A53D78" w:rsidRDefault="00417A55" w:rsidP="008C4377">
            <w:pPr>
              <w:spacing w:before="120" w:after="120"/>
              <w:jc w:val="center"/>
              <w:rPr>
                <w:rFonts w:ascii="Arial" w:hAnsi="Arial" w:cs="Arial"/>
                <w:bCs/>
                <w:sz w:val="22"/>
                <w:szCs w:val="22"/>
              </w:rPr>
            </w:pPr>
            <w:hyperlink w:anchor="PROJET_DE_DÉCISION_12_COM11_e_4" w:history="1">
              <w:r w:rsidR="008C4377" w:rsidRPr="00A53D78">
                <w:rPr>
                  <w:rStyle w:val="Hyperlink"/>
                  <w:rFonts w:ascii="Arial" w:hAnsi="Arial" w:cs="Arial"/>
                  <w:sz w:val="22"/>
                  <w:szCs w:val="22"/>
                </w:rPr>
                <w:t>12.COM 11.e.4</w:t>
              </w:r>
            </w:hyperlink>
          </w:p>
        </w:tc>
        <w:tc>
          <w:tcPr>
            <w:tcW w:w="1102" w:type="pct"/>
            <w:tcBorders>
              <w:top w:val="single" w:sz="4" w:space="0" w:color="auto"/>
              <w:left w:val="nil"/>
              <w:bottom w:val="single" w:sz="4" w:space="0" w:color="auto"/>
              <w:right w:val="nil"/>
            </w:tcBorders>
          </w:tcPr>
          <w:p w14:paraId="69102103" w14:textId="77777777" w:rsidR="008C4377" w:rsidRPr="00A53D78" w:rsidRDefault="008C4377" w:rsidP="003F34AE">
            <w:pPr>
              <w:spacing w:before="120" w:after="120"/>
              <w:jc w:val="center"/>
              <w:rPr>
                <w:rFonts w:ascii="Arial" w:hAnsi="Arial" w:cs="Arial"/>
                <w:sz w:val="22"/>
                <w:szCs w:val="22"/>
              </w:rPr>
            </w:pPr>
            <w:r w:rsidRPr="00A53D78">
              <w:rPr>
                <w:rFonts w:ascii="Arial" w:hAnsi="Arial" w:cs="Arial"/>
                <w:sz w:val="22"/>
                <w:szCs w:val="22"/>
              </w:rPr>
              <w:t>Ouzbékistan</w:t>
            </w:r>
          </w:p>
        </w:tc>
        <w:tc>
          <w:tcPr>
            <w:tcW w:w="2311" w:type="pct"/>
            <w:tcBorders>
              <w:top w:val="single" w:sz="4" w:space="0" w:color="auto"/>
              <w:left w:val="nil"/>
              <w:bottom w:val="single" w:sz="4" w:space="0" w:color="auto"/>
              <w:right w:val="nil"/>
            </w:tcBorders>
          </w:tcPr>
          <w:p w14:paraId="2ACF523F" w14:textId="7A9C800E" w:rsidR="008C4377" w:rsidRPr="00A53D78" w:rsidRDefault="008C4377" w:rsidP="00BD615E">
            <w:pPr>
              <w:spacing w:before="120" w:after="120"/>
              <w:rPr>
                <w:rFonts w:ascii="Arial" w:hAnsi="Arial" w:cs="Arial"/>
                <w:sz w:val="22"/>
                <w:szCs w:val="22"/>
              </w:rPr>
            </w:pPr>
            <w:r w:rsidRPr="00A53D78">
              <w:rPr>
                <w:rFonts w:ascii="Arial" w:hAnsi="Arial" w:cs="Arial"/>
                <w:sz w:val="22"/>
                <w:szCs w:val="22"/>
              </w:rPr>
              <w:t>Le Centre de développement artisanal de Marguilan, sauvegarde des technologies traditionnelles de fabrication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p>
        </w:tc>
        <w:tc>
          <w:tcPr>
            <w:tcW w:w="634" w:type="pct"/>
            <w:tcBorders>
              <w:top w:val="single" w:sz="4" w:space="0" w:color="auto"/>
              <w:left w:val="nil"/>
              <w:bottom w:val="single" w:sz="4" w:space="0" w:color="auto"/>
              <w:right w:val="single" w:sz="4" w:space="0" w:color="auto"/>
            </w:tcBorders>
          </w:tcPr>
          <w:p w14:paraId="6E9312C6" w14:textId="43517156" w:rsidR="008C4377" w:rsidRPr="00A53D78" w:rsidRDefault="00417A55" w:rsidP="003F34AE">
            <w:pPr>
              <w:spacing w:before="120" w:after="120"/>
              <w:jc w:val="center"/>
              <w:rPr>
                <w:rFonts w:ascii="Arial" w:hAnsi="Arial" w:cs="Arial"/>
                <w:sz w:val="22"/>
                <w:szCs w:val="22"/>
              </w:rPr>
            </w:pPr>
            <w:hyperlink r:id="rId15" w:anchor="11.e.4" w:history="1">
              <w:r w:rsidR="00F4153D" w:rsidRPr="002477DB">
                <w:rPr>
                  <w:rStyle w:val="Hyperlink"/>
                  <w:rFonts w:ascii="Arial" w:hAnsi="Arial" w:cs="Arial"/>
                  <w:sz w:val="22"/>
                  <w:szCs w:val="22"/>
                </w:rPr>
                <w:t>0</w:t>
              </w:r>
              <w:r w:rsidR="00926620" w:rsidRPr="002477DB">
                <w:rPr>
                  <w:rStyle w:val="Hyperlink"/>
                  <w:rFonts w:ascii="Arial" w:hAnsi="Arial" w:cs="Arial"/>
                  <w:sz w:val="22"/>
                  <w:szCs w:val="22"/>
                </w:rPr>
                <w:t>1254</w:t>
              </w:r>
            </w:hyperlink>
          </w:p>
        </w:tc>
      </w:tr>
    </w:tbl>
    <w:p w14:paraId="233C63C2" w14:textId="7968E322" w:rsidR="007708AF" w:rsidRPr="00A53D78" w:rsidRDefault="00083D2C" w:rsidP="004C67FA">
      <w:pPr>
        <w:pStyle w:val="COMPara"/>
        <w:spacing w:before="240"/>
        <w:jc w:val="both"/>
      </w:pPr>
      <w:bookmarkStart w:id="2" w:name="Recommande_le_comité_de_ne_pas_sélection"/>
      <w:bookmarkEnd w:id="2"/>
      <w:r w:rsidRPr="00A53D78">
        <w:t>L</w:t>
      </w:r>
      <w:r w:rsidR="003F34AE" w:rsidRPr="00A53D78">
        <w:t>’</w:t>
      </w:r>
      <w:r w:rsidRPr="00A53D78">
        <w:t>Organe d</w:t>
      </w:r>
      <w:r w:rsidR="003F34AE" w:rsidRPr="00A53D78">
        <w:t>’</w:t>
      </w:r>
      <w:r w:rsidRPr="00A53D78">
        <w:t>évaluation recommande au Comité de ne pas sélectionner les programmes suivants pour le moment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C4377" w:rsidRPr="00A53D78" w14:paraId="56CEB6A9" w14:textId="77777777" w:rsidTr="004C67FA">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5ECBCDF6" w14:textId="77777777" w:rsidR="007708AF" w:rsidRPr="00A53D78" w:rsidRDefault="007708AF" w:rsidP="007708AF">
            <w:pPr>
              <w:spacing w:before="120" w:after="120"/>
              <w:jc w:val="center"/>
              <w:rPr>
                <w:rFonts w:ascii="Arial" w:hAnsi="Arial" w:cs="Arial"/>
                <w:sz w:val="22"/>
                <w:szCs w:val="22"/>
              </w:rPr>
            </w:pPr>
            <w:r w:rsidRPr="00A53D78">
              <w:rPr>
                <w:rFonts w:ascii="Arial" w:hAnsi="Arial" w:cs="Arial"/>
                <w:b/>
                <w:bCs/>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4BA930F5" w14:textId="77777777" w:rsidR="007708AF" w:rsidRPr="00A53D78" w:rsidRDefault="007708AF" w:rsidP="007708AF">
            <w:pPr>
              <w:spacing w:before="120" w:after="120"/>
              <w:jc w:val="center"/>
              <w:rPr>
                <w:rFonts w:ascii="Arial" w:hAnsi="Arial" w:cs="Arial"/>
                <w:sz w:val="22"/>
                <w:szCs w:val="22"/>
              </w:rPr>
            </w:pPr>
            <w:r w:rsidRPr="00A53D78">
              <w:rPr>
                <w:rFonts w:ascii="Arial" w:hAnsi="Arial" w:cs="Arial"/>
                <w:b/>
                <w:bCs/>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34C7F1A2" w14:textId="77777777" w:rsidR="007708AF" w:rsidRPr="00A53D78" w:rsidRDefault="007708AF" w:rsidP="007708AF">
            <w:pPr>
              <w:spacing w:before="120" w:after="120"/>
              <w:jc w:val="center"/>
              <w:rPr>
                <w:rFonts w:ascii="Arial" w:hAnsi="Arial" w:cs="Arial"/>
                <w:sz w:val="22"/>
                <w:szCs w:val="22"/>
              </w:rPr>
            </w:pPr>
            <w:r w:rsidRPr="00A53D78">
              <w:rPr>
                <w:rFonts w:ascii="Arial" w:hAnsi="Arial" w:cs="Arial"/>
                <w:b/>
                <w:bCs/>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758DAA64" w14:textId="77777777" w:rsidR="007708AF" w:rsidRPr="00A53D78" w:rsidRDefault="007708AF" w:rsidP="007708AF">
            <w:pPr>
              <w:spacing w:before="120" w:after="120"/>
              <w:jc w:val="center"/>
              <w:rPr>
                <w:rFonts w:ascii="Arial" w:hAnsi="Arial" w:cs="Arial"/>
                <w:sz w:val="22"/>
                <w:szCs w:val="22"/>
              </w:rPr>
            </w:pPr>
            <w:r w:rsidRPr="00A53D78">
              <w:rPr>
                <w:rFonts w:ascii="Arial" w:hAnsi="Arial" w:cs="Arial"/>
                <w:b/>
                <w:bCs/>
                <w:sz w:val="22"/>
                <w:szCs w:val="22"/>
              </w:rPr>
              <w:t>Dossier n°</w:t>
            </w:r>
          </w:p>
        </w:tc>
      </w:tr>
      <w:bookmarkStart w:id="3" w:name="PROJET_DE_DÉCISION_12_COM11_e_1" w:colFirst="0" w:colLast="0"/>
      <w:tr w:rsidR="008C4377" w:rsidRPr="00A53D78" w14:paraId="726E7678" w14:textId="77777777" w:rsidTr="004C67FA">
        <w:trPr>
          <w:cantSplit/>
        </w:trPr>
        <w:tc>
          <w:tcPr>
            <w:tcW w:w="953" w:type="pct"/>
            <w:tcBorders>
              <w:top w:val="single" w:sz="4" w:space="0" w:color="auto"/>
              <w:left w:val="single" w:sz="4" w:space="0" w:color="auto"/>
              <w:bottom w:val="single" w:sz="4" w:space="0" w:color="auto"/>
              <w:right w:val="nil"/>
            </w:tcBorders>
          </w:tcPr>
          <w:p w14:paraId="534266CE" w14:textId="1799683E" w:rsidR="007708AF" w:rsidRPr="00A53D78" w:rsidRDefault="00FD33A1" w:rsidP="00A01C4D">
            <w:pPr>
              <w:spacing w:before="120" w:after="120"/>
              <w:rPr>
                <w:rFonts w:ascii="Arial" w:hAnsi="Arial" w:cs="Arial"/>
                <w:bCs/>
                <w:sz w:val="22"/>
                <w:szCs w:val="22"/>
              </w:rPr>
            </w:pPr>
            <w:r w:rsidRPr="00A53D78">
              <w:rPr>
                <w:rFonts w:ascii="Arial" w:hAnsi="Arial" w:cs="Arial"/>
                <w:bCs/>
                <w:sz w:val="22"/>
                <w:szCs w:val="22"/>
              </w:rPr>
              <w:fldChar w:fldCharType="begin"/>
            </w:r>
            <w:r w:rsidRPr="00A53D78">
              <w:rPr>
                <w:rFonts w:ascii="Arial" w:hAnsi="Arial" w:cs="Arial"/>
                <w:bCs/>
                <w:sz w:val="22"/>
                <w:szCs w:val="22"/>
              </w:rPr>
              <w:instrText xml:space="preserve"> HYPERLINK  \l "PROJET_DE_DÉCISION_12_COM11_e_1" </w:instrText>
            </w:r>
            <w:r w:rsidRPr="00A53D78">
              <w:rPr>
                <w:rFonts w:ascii="Arial" w:hAnsi="Arial" w:cs="Arial"/>
                <w:bCs/>
                <w:sz w:val="22"/>
                <w:szCs w:val="22"/>
              </w:rPr>
              <w:fldChar w:fldCharType="separate"/>
            </w:r>
            <w:r w:rsidRPr="00A53D78">
              <w:rPr>
                <w:rStyle w:val="Hyperlink"/>
                <w:rFonts w:ascii="Arial" w:hAnsi="Arial" w:cs="Arial"/>
                <w:sz w:val="22"/>
                <w:szCs w:val="22"/>
              </w:rPr>
              <w:t>12.COM 11.e.1</w:t>
            </w:r>
            <w:r w:rsidRPr="00A53D78">
              <w:rPr>
                <w:rFonts w:ascii="Arial" w:hAnsi="Arial" w:cs="Arial"/>
                <w:bCs/>
                <w:sz w:val="22"/>
                <w:szCs w:val="22"/>
              </w:rPr>
              <w:fldChar w:fldCharType="end"/>
            </w:r>
          </w:p>
        </w:tc>
        <w:tc>
          <w:tcPr>
            <w:tcW w:w="1102" w:type="pct"/>
            <w:tcBorders>
              <w:top w:val="single" w:sz="4" w:space="0" w:color="auto"/>
              <w:left w:val="nil"/>
              <w:bottom w:val="single" w:sz="4" w:space="0" w:color="auto"/>
              <w:right w:val="nil"/>
            </w:tcBorders>
          </w:tcPr>
          <w:p w14:paraId="356EDEE1" w14:textId="77777777" w:rsidR="007708AF" w:rsidRPr="00A53D78" w:rsidRDefault="007708AF" w:rsidP="007708AF">
            <w:pPr>
              <w:spacing w:before="120" w:after="120"/>
              <w:jc w:val="center"/>
              <w:rPr>
                <w:rFonts w:ascii="Arial" w:hAnsi="Arial" w:cs="Arial"/>
                <w:sz w:val="22"/>
                <w:szCs w:val="22"/>
              </w:rPr>
            </w:pPr>
            <w:r w:rsidRPr="00A53D78">
              <w:rPr>
                <w:rFonts w:ascii="Arial" w:hAnsi="Arial" w:cs="Arial"/>
                <w:sz w:val="22"/>
                <w:szCs w:val="22"/>
              </w:rPr>
              <w:t>Belgique</w:t>
            </w:r>
          </w:p>
        </w:tc>
        <w:tc>
          <w:tcPr>
            <w:tcW w:w="2311" w:type="pct"/>
            <w:tcBorders>
              <w:top w:val="single" w:sz="4" w:space="0" w:color="auto"/>
              <w:left w:val="nil"/>
              <w:bottom w:val="single" w:sz="4" w:space="0" w:color="auto"/>
              <w:right w:val="nil"/>
            </w:tcBorders>
          </w:tcPr>
          <w:p w14:paraId="796922BE" w14:textId="47DE758E" w:rsidR="007708AF" w:rsidRPr="00A53D78" w:rsidRDefault="007708AF" w:rsidP="00BD615E">
            <w:pPr>
              <w:spacing w:before="120" w:after="120"/>
              <w:rPr>
                <w:rFonts w:ascii="Arial" w:hAnsi="Arial" w:cs="Arial"/>
                <w:sz w:val="22"/>
                <w:szCs w:val="22"/>
              </w:rPr>
            </w:pPr>
            <w:r w:rsidRPr="00A53D78">
              <w:rPr>
                <w:rFonts w:ascii="Arial" w:hAnsi="Arial" w:cs="Arial"/>
                <w:sz w:val="22"/>
                <w:szCs w:val="22"/>
              </w:rPr>
              <w:t>L</w:t>
            </w:r>
            <w:r w:rsidR="003F34AE" w:rsidRPr="00A53D78">
              <w:rPr>
                <w:rFonts w:ascii="Arial" w:hAnsi="Arial" w:cs="Arial"/>
                <w:sz w:val="22"/>
                <w:szCs w:val="22"/>
              </w:rPr>
              <w:t>’</w:t>
            </w:r>
            <w:r w:rsidRPr="00A53D78">
              <w:rPr>
                <w:rFonts w:ascii="Arial" w:hAnsi="Arial" w:cs="Arial"/>
                <w:sz w:val="22"/>
                <w:szCs w:val="22"/>
              </w:rPr>
              <w:t>enseignement au service de la mémoire et la sauvegarde de la cérémonie du Last Post au mémorial de la Porte de Menin à Ypres, Ville de Paix</w:t>
            </w:r>
          </w:p>
        </w:tc>
        <w:tc>
          <w:tcPr>
            <w:tcW w:w="634" w:type="pct"/>
            <w:tcBorders>
              <w:top w:val="single" w:sz="4" w:space="0" w:color="auto"/>
              <w:left w:val="nil"/>
              <w:bottom w:val="single" w:sz="4" w:space="0" w:color="auto"/>
              <w:right w:val="single" w:sz="4" w:space="0" w:color="auto"/>
            </w:tcBorders>
          </w:tcPr>
          <w:p w14:paraId="5166DE64" w14:textId="7CB497E0" w:rsidR="007708AF" w:rsidRPr="00A53D78" w:rsidRDefault="00417A55" w:rsidP="007708AF">
            <w:pPr>
              <w:spacing w:before="120" w:after="120"/>
              <w:jc w:val="center"/>
              <w:rPr>
                <w:rFonts w:ascii="Arial" w:hAnsi="Arial" w:cs="Arial"/>
                <w:sz w:val="22"/>
                <w:szCs w:val="22"/>
              </w:rPr>
            </w:pPr>
            <w:hyperlink r:id="rId16" w:anchor="11.e.1" w:history="1">
              <w:r w:rsidR="003F34AE" w:rsidRPr="002477DB">
                <w:rPr>
                  <w:rStyle w:val="Hyperlink"/>
                  <w:rFonts w:ascii="Arial" w:hAnsi="Arial" w:cs="Arial"/>
                  <w:sz w:val="22"/>
                  <w:szCs w:val="22"/>
                </w:rPr>
                <w:t>0</w:t>
              </w:r>
              <w:r w:rsidR="00926620" w:rsidRPr="002477DB">
                <w:rPr>
                  <w:rStyle w:val="Hyperlink"/>
                  <w:rFonts w:ascii="Arial" w:hAnsi="Arial" w:cs="Arial"/>
                  <w:sz w:val="22"/>
                  <w:szCs w:val="22"/>
                </w:rPr>
                <w:t>0875</w:t>
              </w:r>
            </w:hyperlink>
          </w:p>
        </w:tc>
      </w:tr>
      <w:bookmarkEnd w:id="3"/>
      <w:tr w:rsidR="008C4377" w:rsidRPr="00A53D78" w14:paraId="49510012" w14:textId="77777777" w:rsidTr="004C67FA">
        <w:trPr>
          <w:cantSplit/>
        </w:trPr>
        <w:tc>
          <w:tcPr>
            <w:tcW w:w="953" w:type="pct"/>
            <w:tcBorders>
              <w:top w:val="single" w:sz="4" w:space="0" w:color="auto"/>
              <w:left w:val="single" w:sz="4" w:space="0" w:color="auto"/>
              <w:bottom w:val="single" w:sz="4" w:space="0" w:color="auto"/>
              <w:right w:val="nil"/>
            </w:tcBorders>
          </w:tcPr>
          <w:p w14:paraId="12C3D920" w14:textId="1B822F45" w:rsidR="008C4377" w:rsidRPr="00A53D78" w:rsidRDefault="00F859EB" w:rsidP="008C4377">
            <w:pPr>
              <w:spacing w:before="120" w:after="120"/>
              <w:jc w:val="center"/>
              <w:rPr>
                <w:rStyle w:val="Hyperlink"/>
                <w:rFonts w:ascii="Arial" w:hAnsi="Arial" w:cs="Arial"/>
                <w:bCs/>
                <w:color w:val="auto"/>
                <w:sz w:val="22"/>
                <w:szCs w:val="22"/>
                <w:u w:val="none"/>
              </w:rPr>
            </w:pPr>
            <w:r w:rsidRPr="00A53D78">
              <w:rPr>
                <w:rFonts w:ascii="Arial" w:hAnsi="Arial" w:cs="Arial"/>
                <w:bCs/>
                <w:sz w:val="22"/>
                <w:szCs w:val="22"/>
              </w:rPr>
              <w:fldChar w:fldCharType="begin"/>
            </w:r>
            <w:r w:rsidR="00260E35" w:rsidRPr="00A53D78">
              <w:rPr>
                <w:rFonts w:ascii="Arial" w:hAnsi="Arial" w:cs="Arial"/>
                <w:bCs/>
                <w:sz w:val="22"/>
                <w:szCs w:val="22"/>
              </w:rPr>
              <w:instrText>HYPERLINK  \l "PROJET_DE_DÉCISION_12_COM11_e_3"</w:instrText>
            </w:r>
            <w:r w:rsidRPr="00A53D78">
              <w:rPr>
                <w:rFonts w:ascii="Arial" w:hAnsi="Arial" w:cs="Arial"/>
                <w:bCs/>
                <w:sz w:val="22"/>
                <w:szCs w:val="22"/>
              </w:rPr>
              <w:fldChar w:fldCharType="separate"/>
            </w:r>
            <w:r w:rsidR="00926620" w:rsidRPr="00A53D78">
              <w:rPr>
                <w:rStyle w:val="Hyperlink"/>
                <w:rFonts w:ascii="Arial" w:hAnsi="Arial" w:cs="Arial"/>
                <w:bCs/>
                <w:sz w:val="22"/>
                <w:szCs w:val="22"/>
              </w:rPr>
              <w:t>12.COM 11.e.3</w:t>
            </w:r>
            <w:r w:rsidRPr="00A53D78">
              <w:rPr>
                <w:rFonts w:ascii="Arial" w:hAnsi="Arial" w:cs="Arial"/>
                <w:bCs/>
                <w:sz w:val="22"/>
                <w:szCs w:val="22"/>
              </w:rPr>
              <w:fldChar w:fldCharType="end"/>
            </w:r>
          </w:p>
        </w:tc>
        <w:tc>
          <w:tcPr>
            <w:tcW w:w="1102" w:type="pct"/>
            <w:tcBorders>
              <w:top w:val="single" w:sz="4" w:space="0" w:color="auto"/>
              <w:left w:val="nil"/>
              <w:bottom w:val="single" w:sz="4" w:space="0" w:color="auto"/>
              <w:right w:val="nil"/>
            </w:tcBorders>
          </w:tcPr>
          <w:p w14:paraId="7E6D5A17" w14:textId="77777777" w:rsidR="008C4377" w:rsidRPr="00A53D78" w:rsidDel="00183706" w:rsidRDefault="008C4377" w:rsidP="003F34AE">
            <w:pPr>
              <w:spacing w:before="120" w:after="120"/>
              <w:jc w:val="center"/>
              <w:rPr>
                <w:rFonts w:ascii="Arial" w:hAnsi="Arial" w:cs="Arial"/>
                <w:sz w:val="22"/>
                <w:szCs w:val="22"/>
              </w:rPr>
            </w:pPr>
            <w:r w:rsidRPr="00A53D78">
              <w:rPr>
                <w:rFonts w:ascii="Arial" w:hAnsi="Arial" w:cs="Arial"/>
                <w:sz w:val="22"/>
                <w:szCs w:val="22"/>
              </w:rPr>
              <w:t>Égypte</w:t>
            </w:r>
          </w:p>
        </w:tc>
        <w:tc>
          <w:tcPr>
            <w:tcW w:w="2311" w:type="pct"/>
            <w:tcBorders>
              <w:top w:val="single" w:sz="4" w:space="0" w:color="auto"/>
              <w:left w:val="nil"/>
              <w:bottom w:val="single" w:sz="4" w:space="0" w:color="auto"/>
              <w:right w:val="nil"/>
            </w:tcBorders>
          </w:tcPr>
          <w:p w14:paraId="442630C5" w14:textId="6585B6A9" w:rsidR="008C4377" w:rsidRPr="00A53D78" w:rsidRDefault="008C4377" w:rsidP="00BD615E">
            <w:pPr>
              <w:spacing w:before="120" w:after="120"/>
              <w:rPr>
                <w:rFonts w:ascii="Arial" w:hAnsi="Arial" w:cs="Arial"/>
                <w:sz w:val="22"/>
                <w:szCs w:val="22"/>
              </w:rPr>
            </w:pPr>
            <w:r w:rsidRPr="00A53D78">
              <w:rPr>
                <w:rFonts w:ascii="Arial" w:hAnsi="Arial" w:cs="Arial"/>
                <w:sz w:val="22"/>
                <w:szCs w:val="22"/>
              </w:rPr>
              <w:t>Documentation, préservation, formation et promotion du patrimoine immatériel égyptien lié à l</w:t>
            </w:r>
            <w:r w:rsidR="003F34AE" w:rsidRPr="00A53D78">
              <w:rPr>
                <w:rFonts w:ascii="Arial" w:hAnsi="Arial" w:cs="Arial"/>
                <w:sz w:val="22"/>
                <w:szCs w:val="22"/>
              </w:rPr>
              <w:t>’</w:t>
            </w:r>
            <w:r w:rsidRPr="00A53D78">
              <w:rPr>
                <w:rFonts w:ascii="Arial" w:hAnsi="Arial" w:cs="Arial"/>
                <w:sz w:val="22"/>
                <w:szCs w:val="22"/>
              </w:rPr>
              <w:t xml:space="preserve">art du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en Haute-Égypte</w:t>
            </w:r>
          </w:p>
        </w:tc>
        <w:tc>
          <w:tcPr>
            <w:tcW w:w="634" w:type="pct"/>
            <w:tcBorders>
              <w:top w:val="single" w:sz="4" w:space="0" w:color="auto"/>
              <w:left w:val="nil"/>
              <w:bottom w:val="single" w:sz="4" w:space="0" w:color="auto"/>
              <w:right w:val="single" w:sz="4" w:space="0" w:color="auto"/>
            </w:tcBorders>
          </w:tcPr>
          <w:p w14:paraId="0829DEB2" w14:textId="70A9A064" w:rsidR="008C4377" w:rsidRPr="00A53D78" w:rsidDel="00183706" w:rsidRDefault="00417A55" w:rsidP="003F34AE">
            <w:pPr>
              <w:spacing w:before="120" w:after="120"/>
              <w:jc w:val="center"/>
              <w:rPr>
                <w:rFonts w:ascii="Arial" w:hAnsi="Arial" w:cs="Arial"/>
                <w:sz w:val="22"/>
                <w:szCs w:val="22"/>
              </w:rPr>
            </w:pPr>
            <w:hyperlink r:id="rId17" w:anchor="11.e.3" w:history="1">
              <w:r w:rsidR="003F34AE" w:rsidRPr="002477DB">
                <w:rPr>
                  <w:rStyle w:val="Hyperlink"/>
                  <w:rFonts w:ascii="Arial" w:hAnsi="Arial" w:cs="Arial"/>
                  <w:sz w:val="22"/>
                  <w:szCs w:val="22"/>
                </w:rPr>
                <w:t>0</w:t>
              </w:r>
              <w:r w:rsidR="008C4377" w:rsidRPr="002477DB">
                <w:rPr>
                  <w:rStyle w:val="Hyperlink"/>
                  <w:rFonts w:ascii="Arial" w:hAnsi="Arial" w:cs="Arial"/>
                  <w:sz w:val="22"/>
                  <w:szCs w:val="22"/>
                </w:rPr>
                <w:t>0963</w:t>
              </w:r>
            </w:hyperlink>
          </w:p>
        </w:tc>
      </w:tr>
    </w:tbl>
    <w:p w14:paraId="1C8F7200" w14:textId="3C6969E6" w:rsidR="0057439C" w:rsidRPr="00A53D78" w:rsidRDefault="007708AF" w:rsidP="00B96A90">
      <w:pPr>
        <w:pStyle w:val="COMPara"/>
        <w:numPr>
          <w:ilvl w:val="0"/>
          <w:numId w:val="0"/>
        </w:numPr>
        <w:spacing w:before="240"/>
        <w:ind w:left="567" w:hanging="567"/>
        <w:rPr>
          <w:b/>
        </w:rPr>
      </w:pPr>
      <w:r w:rsidRPr="00A53D78">
        <w:rPr>
          <w:b/>
        </w:rPr>
        <w:t>B.</w:t>
      </w:r>
      <w:r w:rsidRPr="00A53D78">
        <w:rPr>
          <w:b/>
        </w:rPr>
        <w:tab/>
        <w:t>Projets de décision</w:t>
      </w:r>
      <w:r w:rsidR="005927E8">
        <w:rPr>
          <w:b/>
        </w:rPr>
        <w:t>s</w:t>
      </w:r>
    </w:p>
    <w:p w14:paraId="461519E1" w14:textId="77777777" w:rsidR="007708AF" w:rsidRPr="00A53D78" w:rsidRDefault="007708AF" w:rsidP="007708AF">
      <w:pPr>
        <w:pStyle w:val="COMPara"/>
      </w:pPr>
      <w:r w:rsidRPr="00A53D78">
        <w:t>Le Comité souhaitera peut-être adopter les décisions suivantes :</w:t>
      </w:r>
    </w:p>
    <w:p w14:paraId="328EA933" w14:textId="5D068AD3" w:rsidR="00325E34" w:rsidRPr="00A53D78" w:rsidRDefault="00325E34" w:rsidP="00B96A90">
      <w:pPr>
        <w:pStyle w:val="NormalWeb"/>
        <w:keepNext/>
        <w:tabs>
          <w:tab w:val="left" w:pos="567"/>
          <w:tab w:val="left" w:pos="1134"/>
          <w:tab w:val="left" w:pos="1701"/>
          <w:tab w:val="left" w:pos="2268"/>
        </w:tabs>
        <w:spacing w:before="360" w:beforeAutospacing="0" w:after="120" w:afterAutospacing="0"/>
        <w:ind w:left="567"/>
        <w:jc w:val="both"/>
        <w:rPr>
          <w:rFonts w:ascii="Arial" w:hAnsi="Arial" w:cs="Arial"/>
          <w:sz w:val="22"/>
          <w:szCs w:val="22"/>
        </w:rPr>
      </w:pPr>
      <w:r w:rsidRPr="00A53D78">
        <w:rPr>
          <w:rFonts w:ascii="Arial" w:hAnsi="Arial" w:cs="Arial"/>
          <w:b/>
          <w:sz w:val="22"/>
          <w:szCs w:val="22"/>
        </w:rPr>
        <w:t>PROJET DE DÉCISION 12.COM 11.e.1</w:t>
      </w:r>
      <w:r w:rsidR="009E2556" w:rsidRPr="00A53D78">
        <w:rPr>
          <w:rFonts w:ascii="Arial" w:hAnsi="Arial" w:cs="Arial"/>
          <w:b/>
          <w:sz w:val="22"/>
          <w:szCs w:val="22"/>
        </w:rPr>
        <w:tab/>
      </w:r>
      <w:r w:rsidR="009E2556" w:rsidRPr="00A53D78">
        <w:rPr>
          <w:rFonts w:ascii="Arial" w:hAnsi="Arial" w:cs="Arial"/>
          <w:noProof/>
          <w:sz w:val="22"/>
          <w:szCs w:val="22"/>
          <w:lang w:val="en-US" w:eastAsia="ko-KR"/>
        </w:rPr>
        <w:drawing>
          <wp:inline distT="0" distB="0" distL="0" distR="0" wp14:anchorId="5F7892C6" wp14:editId="41EAC713">
            <wp:extent cx="104775" cy="104775"/>
            <wp:effectExtent l="0" t="0" r="9525" b="9525"/>
            <wp:docPr id="1" name="Picture 3" descr="Return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FDE8EA" w14:textId="5F08B70A" w:rsidR="00325E34" w:rsidRPr="00A53D78" w:rsidRDefault="00325E34" w:rsidP="00B96A90">
      <w:pPr>
        <w:pStyle w:val="NoSpacing"/>
        <w:keepNext/>
        <w:tabs>
          <w:tab w:val="left" w:pos="567"/>
          <w:tab w:val="left" w:pos="1134"/>
          <w:tab w:val="left" w:pos="1701"/>
          <w:tab w:val="left" w:pos="2268"/>
        </w:tabs>
        <w:spacing w:before="120" w:after="120"/>
        <w:ind w:left="567"/>
        <w:jc w:val="both"/>
        <w:rPr>
          <w:rFonts w:ascii="Arial" w:hAnsi="Arial" w:cs="Arial"/>
        </w:rPr>
      </w:pPr>
      <w:r w:rsidRPr="00A53D78">
        <w:rPr>
          <w:rFonts w:ascii="Arial" w:hAnsi="Arial" w:cs="Arial"/>
        </w:rPr>
        <w:t>Le Comité</w:t>
      </w:r>
    </w:p>
    <w:p w14:paraId="18DD1541" w14:textId="5B1E6168" w:rsidR="00325E34" w:rsidRPr="00A53D78" w:rsidRDefault="00325E34" w:rsidP="00325E34">
      <w:pPr>
        <w:numPr>
          <w:ilvl w:val="0"/>
          <w:numId w:val="16"/>
        </w:numPr>
        <w:tabs>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la Belgique a proposé </w:t>
      </w:r>
      <w:r w:rsidRPr="00A53D78">
        <w:rPr>
          <w:rFonts w:ascii="Arial" w:hAnsi="Arial" w:cs="Arial"/>
          <w:b/>
          <w:sz w:val="22"/>
          <w:szCs w:val="22"/>
        </w:rPr>
        <w:t>l</w:t>
      </w:r>
      <w:r w:rsidR="003F34AE" w:rsidRPr="00A53D78">
        <w:rPr>
          <w:rFonts w:ascii="Arial" w:hAnsi="Arial" w:cs="Arial"/>
          <w:b/>
          <w:sz w:val="22"/>
          <w:szCs w:val="22"/>
        </w:rPr>
        <w:t>’</w:t>
      </w:r>
      <w:r w:rsidRPr="00A53D78">
        <w:rPr>
          <w:rFonts w:ascii="Arial" w:hAnsi="Arial" w:cs="Arial"/>
          <w:b/>
          <w:sz w:val="22"/>
          <w:szCs w:val="22"/>
        </w:rPr>
        <w:t>enseignement au service de la mémoire et la sauvegarde de la cérémonie du Last Post au mémorial de la Porte de Menin à Ypres, Ville de Paix</w:t>
      </w:r>
      <w:r w:rsidRPr="00A53D78">
        <w:rPr>
          <w:rFonts w:ascii="Arial" w:hAnsi="Arial" w:cs="Arial"/>
          <w:sz w:val="22"/>
          <w:szCs w:val="22"/>
        </w:rPr>
        <w:t xml:space="preserve"> (n° 00875) pour sélection et promotion par le Comité comme programme, projet ou activité reflétant le mieux les principes et les objectifs de la Convention :</w:t>
      </w:r>
    </w:p>
    <w:p w14:paraId="74851396" w14:textId="406DB47D" w:rsidR="00325E34" w:rsidRPr="00A53D78" w:rsidRDefault="00325E34" w:rsidP="00325E34">
      <w:pPr>
        <w:tabs>
          <w:tab w:val="left" w:pos="1134"/>
          <w:tab w:val="left" w:pos="1701"/>
          <w:tab w:val="left" w:pos="2268"/>
        </w:tabs>
        <w:spacing w:before="120" w:after="120"/>
        <w:ind w:left="1134"/>
        <w:jc w:val="both"/>
        <w:rPr>
          <w:rFonts w:ascii="Arial" w:hAnsi="Arial" w:cs="Arial"/>
          <w:sz w:val="22"/>
          <w:szCs w:val="22"/>
        </w:rPr>
      </w:pPr>
      <w:r w:rsidRPr="00A53D78">
        <w:rPr>
          <w:rFonts w:ascii="Arial" w:hAnsi="Arial" w:cs="Arial"/>
          <w:sz w:val="22"/>
          <w:szCs w:val="22"/>
        </w:rPr>
        <w:t>La cérémonie du Last Post est une pratique qui a lieu chaque jour depuis 1928 pour commémorer les événements historiques survenus au Saillant d</w:t>
      </w:r>
      <w:r w:rsidR="003F34AE" w:rsidRPr="00A53D78">
        <w:rPr>
          <w:rFonts w:ascii="Arial" w:hAnsi="Arial" w:cs="Arial"/>
          <w:sz w:val="22"/>
          <w:szCs w:val="22"/>
        </w:rPr>
        <w:t>’</w:t>
      </w:r>
      <w:r w:rsidRPr="00A53D78">
        <w:rPr>
          <w:rFonts w:ascii="Arial" w:hAnsi="Arial" w:cs="Arial"/>
          <w:sz w:val="22"/>
          <w:szCs w:val="22"/>
        </w:rPr>
        <w:t>Ypres pendant la Première Guerre mondiale. La commémoration de la Première Guerre mondiale est un événement mondial, dont la ville d</w:t>
      </w:r>
      <w:r w:rsidR="003F34AE" w:rsidRPr="00A53D78">
        <w:rPr>
          <w:rFonts w:ascii="Arial" w:hAnsi="Arial" w:cs="Arial"/>
          <w:sz w:val="22"/>
          <w:szCs w:val="22"/>
        </w:rPr>
        <w:t>’</w:t>
      </w:r>
      <w:r w:rsidRPr="00A53D78">
        <w:rPr>
          <w:rFonts w:ascii="Arial" w:hAnsi="Arial" w:cs="Arial"/>
          <w:sz w:val="22"/>
          <w:szCs w:val="22"/>
        </w:rPr>
        <w:t>Ypres et sa population ont pris la responsabilité dès le départ. Les visites de commémoration ont débuté en 1919 et le mémorial de la Porte de Menin a été érigé en 1927. Le Last Post (le dernier appel) a été joué pour la première fois lors de l</w:t>
      </w:r>
      <w:r w:rsidR="003F34AE" w:rsidRPr="00A53D78">
        <w:rPr>
          <w:rFonts w:ascii="Arial" w:hAnsi="Arial" w:cs="Arial"/>
          <w:sz w:val="22"/>
          <w:szCs w:val="22"/>
        </w:rPr>
        <w:t>’</w:t>
      </w:r>
      <w:r w:rsidRPr="00A53D78">
        <w:rPr>
          <w:rFonts w:ascii="Arial" w:hAnsi="Arial" w:cs="Arial"/>
          <w:sz w:val="22"/>
          <w:szCs w:val="22"/>
        </w:rPr>
        <w:t>inauguration de ce monument. Le fait que les commémorations de la Première Guerre mondiale soient plus vivantes que jamais démontre l</w:t>
      </w:r>
      <w:r w:rsidR="003F34AE" w:rsidRPr="00A53D78">
        <w:rPr>
          <w:rFonts w:ascii="Arial" w:hAnsi="Arial" w:cs="Arial"/>
          <w:sz w:val="22"/>
          <w:szCs w:val="22"/>
        </w:rPr>
        <w:t>’</w:t>
      </w:r>
      <w:r w:rsidRPr="00A53D78">
        <w:rPr>
          <w:rFonts w:ascii="Arial" w:hAnsi="Arial" w:cs="Arial"/>
          <w:sz w:val="22"/>
          <w:szCs w:val="22"/>
        </w:rPr>
        <w:t>implication d</w:t>
      </w:r>
      <w:r w:rsidR="003F34AE" w:rsidRPr="00A53D78">
        <w:rPr>
          <w:rFonts w:ascii="Arial" w:hAnsi="Arial" w:cs="Arial"/>
          <w:sz w:val="22"/>
          <w:szCs w:val="22"/>
        </w:rPr>
        <w:t>’</w:t>
      </w:r>
      <w:r w:rsidRPr="00A53D78">
        <w:rPr>
          <w:rFonts w:ascii="Arial" w:hAnsi="Arial" w:cs="Arial"/>
          <w:sz w:val="22"/>
          <w:szCs w:val="22"/>
        </w:rPr>
        <w:t>un réseau local très actif. Le musée In </w:t>
      </w:r>
      <w:proofErr w:type="spellStart"/>
      <w:r w:rsidRPr="00A53D78">
        <w:rPr>
          <w:rFonts w:ascii="Arial" w:hAnsi="Arial" w:cs="Arial"/>
          <w:sz w:val="22"/>
          <w:szCs w:val="22"/>
        </w:rPr>
        <w:t>Flanders</w:t>
      </w:r>
      <w:proofErr w:type="spellEnd"/>
      <w:r w:rsidRPr="00A53D78">
        <w:rPr>
          <w:rFonts w:ascii="Arial" w:hAnsi="Arial" w:cs="Arial"/>
          <w:sz w:val="22"/>
          <w:szCs w:val="22"/>
        </w:rPr>
        <w:t> Field, l</w:t>
      </w:r>
      <w:r w:rsidR="003F34AE" w:rsidRPr="00A53D78">
        <w:rPr>
          <w:rFonts w:ascii="Arial" w:hAnsi="Arial" w:cs="Arial"/>
          <w:sz w:val="22"/>
          <w:szCs w:val="22"/>
        </w:rPr>
        <w:t>’</w:t>
      </w:r>
      <w:r w:rsidRPr="00A53D78">
        <w:rPr>
          <w:rFonts w:ascii="Arial" w:hAnsi="Arial" w:cs="Arial"/>
          <w:sz w:val="22"/>
          <w:szCs w:val="22"/>
        </w:rPr>
        <w:t xml:space="preserve">association Last Post, le </w:t>
      </w:r>
      <w:r w:rsidRPr="00A53D78">
        <w:rPr>
          <w:rFonts w:ascii="Arial" w:hAnsi="Arial" w:cs="Arial"/>
          <w:sz w:val="22"/>
          <w:szCs w:val="22"/>
        </w:rPr>
        <w:lastRenderedPageBreak/>
        <w:t>département de la paix de la ville d</w:t>
      </w:r>
      <w:r w:rsidR="003F34AE" w:rsidRPr="00A53D78">
        <w:rPr>
          <w:rFonts w:ascii="Arial" w:hAnsi="Arial" w:cs="Arial"/>
          <w:sz w:val="22"/>
          <w:szCs w:val="22"/>
        </w:rPr>
        <w:t>’</w:t>
      </w:r>
      <w:r w:rsidRPr="00A53D78">
        <w:rPr>
          <w:rFonts w:ascii="Arial" w:hAnsi="Arial" w:cs="Arial"/>
          <w:sz w:val="22"/>
          <w:szCs w:val="22"/>
        </w:rPr>
        <w:t xml:space="preserve">Ypres et de nombreuses autres organisations ont mis en place des activités afin de </w:t>
      </w:r>
      <w:r w:rsidR="008C7A73" w:rsidRPr="00A53D78">
        <w:rPr>
          <w:rFonts w:ascii="Arial" w:hAnsi="Arial" w:cs="Arial"/>
          <w:sz w:val="22"/>
          <w:szCs w:val="22"/>
        </w:rPr>
        <w:t xml:space="preserve">sauvegarder </w:t>
      </w:r>
      <w:r w:rsidRPr="00A53D78">
        <w:rPr>
          <w:rFonts w:ascii="Arial" w:hAnsi="Arial" w:cs="Arial"/>
          <w:sz w:val="22"/>
          <w:szCs w:val="22"/>
        </w:rPr>
        <w:t xml:space="preserve">cette pratique. Un concert de commémoration de la Grande Guerre (Great </w:t>
      </w:r>
      <w:proofErr w:type="spellStart"/>
      <w:r w:rsidRPr="00A53D78">
        <w:rPr>
          <w:rFonts w:ascii="Arial" w:hAnsi="Arial" w:cs="Arial"/>
          <w:sz w:val="22"/>
          <w:szCs w:val="22"/>
        </w:rPr>
        <w:t>War</w:t>
      </w:r>
      <w:proofErr w:type="spellEnd"/>
      <w:r w:rsidRPr="00A53D78">
        <w:rPr>
          <w:rFonts w:ascii="Arial" w:hAnsi="Arial" w:cs="Arial"/>
          <w:sz w:val="22"/>
          <w:szCs w:val="22"/>
        </w:rPr>
        <w:t xml:space="preserve"> </w:t>
      </w:r>
      <w:proofErr w:type="spellStart"/>
      <w:r w:rsidRPr="00A53D78">
        <w:rPr>
          <w:rFonts w:ascii="Arial" w:hAnsi="Arial" w:cs="Arial"/>
          <w:sz w:val="22"/>
          <w:szCs w:val="22"/>
        </w:rPr>
        <w:t>Remembered</w:t>
      </w:r>
      <w:proofErr w:type="spellEnd"/>
      <w:r w:rsidRPr="00A53D78">
        <w:rPr>
          <w:rFonts w:ascii="Arial" w:hAnsi="Arial" w:cs="Arial"/>
          <w:sz w:val="22"/>
          <w:szCs w:val="22"/>
        </w:rPr>
        <w:t>) est également organisé chaque année depuis 2004, dans la cathédrale, et d</w:t>
      </w:r>
      <w:r w:rsidR="003F34AE" w:rsidRPr="00A53D78">
        <w:rPr>
          <w:rFonts w:ascii="Arial" w:hAnsi="Arial" w:cs="Arial"/>
          <w:sz w:val="22"/>
          <w:szCs w:val="22"/>
        </w:rPr>
        <w:t>’</w:t>
      </w:r>
      <w:r w:rsidRPr="00A53D78">
        <w:rPr>
          <w:rFonts w:ascii="Arial" w:hAnsi="Arial" w:cs="Arial"/>
          <w:sz w:val="22"/>
          <w:szCs w:val="22"/>
        </w:rPr>
        <w:t>autres initiatives ont vu le jour ces dernières années pour assurer la continuité de cette pratique et y sensibiliser le public, par exemple un site Internet, des applications et des pages sur les réseaux sociaux. Une plateforme de coopération a aussi été créée récemment afin de coordonner les différentes initiatives, et une attention particulière est portée à l</w:t>
      </w:r>
      <w:r w:rsidR="003F34AE" w:rsidRPr="00A53D78">
        <w:rPr>
          <w:rFonts w:ascii="Arial" w:hAnsi="Arial" w:cs="Arial"/>
          <w:sz w:val="22"/>
          <w:szCs w:val="22"/>
        </w:rPr>
        <w:t>’</w:t>
      </w:r>
      <w:r w:rsidRPr="00A53D78">
        <w:rPr>
          <w:rFonts w:ascii="Arial" w:hAnsi="Arial" w:cs="Arial"/>
          <w:sz w:val="22"/>
          <w:szCs w:val="22"/>
        </w:rPr>
        <w:t xml:space="preserve">élaboration de programmes informatifs et éducatifs, à la réflexion sur la gestion du tourisme durable et au dialogue concernant les implications des approches du </w:t>
      </w:r>
      <w:r w:rsidR="003F34AE" w:rsidRPr="00A53D78">
        <w:rPr>
          <w:rFonts w:ascii="Arial" w:hAnsi="Arial" w:cs="Arial"/>
          <w:sz w:val="22"/>
          <w:szCs w:val="22"/>
        </w:rPr>
        <w:t>patrimoine culturel immatériel</w:t>
      </w:r>
      <w:r w:rsidRPr="00A53D78">
        <w:rPr>
          <w:rFonts w:ascii="Arial" w:hAnsi="Arial" w:cs="Arial"/>
          <w:sz w:val="22"/>
          <w:szCs w:val="22"/>
        </w:rPr>
        <w:t>.</w:t>
      </w:r>
    </w:p>
    <w:p w14:paraId="16F024A7" w14:textId="21872C5F" w:rsidR="00B91169" w:rsidRPr="00A53D78" w:rsidRDefault="00B91169" w:rsidP="00B91169">
      <w:pPr>
        <w:keepNext/>
        <w:numPr>
          <w:ilvl w:val="0"/>
          <w:numId w:val="16"/>
        </w:numPr>
        <w:tabs>
          <w:tab w:val="left" w:pos="567"/>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Décide</w:t>
      </w:r>
      <w:r w:rsidR="003F34AE" w:rsidRPr="00A53D78">
        <w:rPr>
          <w:rFonts w:ascii="Arial" w:hAnsi="Arial" w:cs="Arial"/>
          <w:sz w:val="22"/>
          <w:szCs w:val="22"/>
        </w:rPr>
        <w:t xml:space="preserve"> que</w:t>
      </w:r>
      <w:r w:rsidRPr="00A53D78">
        <w:rPr>
          <w:rFonts w:ascii="Arial" w:hAnsi="Arial" w:cs="Arial"/>
          <w:sz w:val="22"/>
          <w:szCs w:val="22"/>
        </w:rPr>
        <w:t>, d</w:t>
      </w:r>
      <w:r w:rsidR="003F34AE" w:rsidRPr="00A53D78">
        <w:rPr>
          <w:rFonts w:ascii="Arial" w:hAnsi="Arial" w:cs="Arial"/>
          <w:sz w:val="22"/>
          <w:szCs w:val="22"/>
        </w:rPr>
        <w:t>’</w:t>
      </w:r>
      <w:r w:rsidRPr="00A53D78">
        <w:rPr>
          <w:rFonts w:ascii="Arial" w:hAnsi="Arial" w:cs="Arial"/>
          <w:sz w:val="22"/>
          <w:szCs w:val="22"/>
        </w:rPr>
        <w:t>après l</w:t>
      </w:r>
      <w:r w:rsidR="003F34AE" w:rsidRPr="00A53D78">
        <w:rPr>
          <w:rFonts w:ascii="Arial" w:hAnsi="Arial" w:cs="Arial"/>
          <w:sz w:val="22"/>
          <w:szCs w:val="22"/>
        </w:rPr>
        <w:t>’</w:t>
      </w:r>
      <w:r w:rsidRPr="00A53D78">
        <w:rPr>
          <w:rFonts w:ascii="Arial" w:hAnsi="Arial" w:cs="Arial"/>
          <w:sz w:val="22"/>
          <w:szCs w:val="22"/>
        </w:rPr>
        <w:t>information contenue dans le dossier, le programme répond comme suit aux critères énoncés au paragraphe 7 des Directives opérationnelles concernant la sélection en tant que bonne pratique de sauvegarde :</w:t>
      </w:r>
    </w:p>
    <w:p w14:paraId="15BACADA" w14:textId="10601AFD"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P.1 :</w:t>
      </w:r>
      <w:r w:rsidRPr="00A53D78">
        <w:rPr>
          <w:rFonts w:ascii="Arial" w:hAnsi="Arial" w:cs="Arial"/>
          <w:sz w:val="22"/>
          <w:szCs w:val="22"/>
        </w:rPr>
        <w:tab/>
        <w:t>Le dossier décrit un programme mis en œuvre par le musée In </w:t>
      </w:r>
      <w:proofErr w:type="spellStart"/>
      <w:r w:rsidRPr="00A53D78">
        <w:rPr>
          <w:rFonts w:ascii="Arial" w:hAnsi="Arial" w:cs="Arial"/>
          <w:sz w:val="22"/>
          <w:szCs w:val="22"/>
        </w:rPr>
        <w:t>Flanders</w:t>
      </w:r>
      <w:proofErr w:type="spellEnd"/>
      <w:r w:rsidRPr="00A53D78">
        <w:rPr>
          <w:rFonts w:ascii="Arial" w:hAnsi="Arial" w:cs="Arial"/>
          <w:sz w:val="22"/>
          <w:szCs w:val="22"/>
        </w:rPr>
        <w:t> Fields, l</w:t>
      </w:r>
      <w:r w:rsidR="003F34AE" w:rsidRPr="00A53D78">
        <w:rPr>
          <w:rFonts w:ascii="Arial" w:hAnsi="Arial" w:cs="Arial"/>
          <w:sz w:val="22"/>
          <w:szCs w:val="22"/>
        </w:rPr>
        <w:t>’</w:t>
      </w:r>
      <w:r w:rsidRPr="00A53D78">
        <w:rPr>
          <w:rFonts w:ascii="Arial" w:hAnsi="Arial" w:cs="Arial"/>
          <w:sz w:val="22"/>
          <w:szCs w:val="22"/>
        </w:rPr>
        <w:t>association Last Post et d</w:t>
      </w:r>
      <w:r w:rsidR="003F34AE" w:rsidRPr="00A53D78">
        <w:rPr>
          <w:rFonts w:ascii="Arial" w:hAnsi="Arial" w:cs="Arial"/>
          <w:sz w:val="22"/>
          <w:szCs w:val="22"/>
        </w:rPr>
        <w:t>’</w:t>
      </w:r>
      <w:r w:rsidRPr="00A53D78">
        <w:rPr>
          <w:rFonts w:ascii="Arial" w:hAnsi="Arial" w:cs="Arial"/>
          <w:sz w:val="22"/>
          <w:szCs w:val="22"/>
        </w:rPr>
        <w:t>autres associations et organisations qui a pour but d</w:t>
      </w:r>
      <w:r w:rsidR="003F34AE" w:rsidRPr="00A53D78">
        <w:rPr>
          <w:rFonts w:ascii="Arial" w:hAnsi="Arial" w:cs="Arial"/>
          <w:sz w:val="22"/>
          <w:szCs w:val="22"/>
        </w:rPr>
        <w:t>’</w:t>
      </w:r>
      <w:r w:rsidRPr="00A53D78">
        <w:rPr>
          <w:rFonts w:ascii="Arial" w:hAnsi="Arial" w:cs="Arial"/>
          <w:sz w:val="22"/>
          <w:szCs w:val="22"/>
        </w:rPr>
        <w:t>honorer la mémoire des soldats tombés et inconnus de la Première Guerre mondiale. Il décrit une série d</w:t>
      </w:r>
      <w:r w:rsidR="003F34AE" w:rsidRPr="00A53D78">
        <w:rPr>
          <w:rFonts w:ascii="Arial" w:hAnsi="Arial" w:cs="Arial"/>
          <w:sz w:val="22"/>
          <w:szCs w:val="22"/>
        </w:rPr>
        <w:t>’</w:t>
      </w:r>
      <w:r w:rsidRPr="00A53D78">
        <w:rPr>
          <w:rFonts w:ascii="Arial" w:hAnsi="Arial" w:cs="Arial"/>
          <w:sz w:val="22"/>
          <w:szCs w:val="22"/>
        </w:rPr>
        <w:t>actions et de mesures axées sur la commémoration</w:t>
      </w:r>
      <w:r w:rsidR="00FF3EA3">
        <w:rPr>
          <w:rFonts w:ascii="Arial" w:hAnsi="Arial" w:cs="Arial"/>
          <w:sz w:val="22"/>
          <w:szCs w:val="22"/>
        </w:rPr>
        <w:t xml:space="preserve"> de la guerre, telles que</w:t>
      </w:r>
      <w:r w:rsidRPr="00A53D78">
        <w:rPr>
          <w:rFonts w:ascii="Arial" w:hAnsi="Arial" w:cs="Arial"/>
          <w:sz w:val="22"/>
          <w:szCs w:val="22"/>
        </w:rPr>
        <w:t xml:space="preserve"> </w:t>
      </w:r>
      <w:r w:rsidR="00FF3EA3">
        <w:rPr>
          <w:rFonts w:ascii="Arial" w:hAnsi="Arial" w:cs="Arial"/>
          <w:sz w:val="22"/>
          <w:szCs w:val="22"/>
        </w:rPr>
        <w:t>d</w:t>
      </w:r>
      <w:r w:rsidRPr="00A53D78">
        <w:rPr>
          <w:rFonts w:ascii="Arial" w:hAnsi="Arial" w:cs="Arial"/>
          <w:sz w:val="22"/>
          <w:szCs w:val="22"/>
        </w:rPr>
        <w:t>es initiatives d</w:t>
      </w:r>
      <w:r w:rsidR="003F34AE" w:rsidRPr="00A53D78">
        <w:rPr>
          <w:rFonts w:ascii="Arial" w:hAnsi="Arial" w:cs="Arial"/>
          <w:sz w:val="22"/>
          <w:szCs w:val="22"/>
        </w:rPr>
        <w:t>’</w:t>
      </w:r>
      <w:r w:rsidRPr="00A53D78">
        <w:rPr>
          <w:rFonts w:ascii="Arial" w:hAnsi="Arial" w:cs="Arial"/>
          <w:sz w:val="22"/>
          <w:szCs w:val="22"/>
        </w:rPr>
        <w:t>éducation à la paix</w:t>
      </w:r>
      <w:r w:rsidR="00FF3EA3">
        <w:rPr>
          <w:rFonts w:ascii="Arial" w:hAnsi="Arial" w:cs="Arial"/>
          <w:sz w:val="22"/>
          <w:szCs w:val="22"/>
        </w:rPr>
        <w:t>,</w:t>
      </w:r>
      <w:r w:rsidRPr="00A53D78">
        <w:rPr>
          <w:rFonts w:ascii="Arial" w:hAnsi="Arial" w:cs="Arial"/>
          <w:sz w:val="22"/>
          <w:szCs w:val="22"/>
        </w:rPr>
        <w:t xml:space="preserve"> des activités de recherche, de documentation, de transmission et de sensibilisation. </w:t>
      </w:r>
      <w:r w:rsidRPr="00463787">
        <w:rPr>
          <w:rFonts w:ascii="Arial" w:hAnsi="Arial" w:cs="Arial"/>
          <w:sz w:val="22"/>
          <w:szCs w:val="22"/>
        </w:rPr>
        <w:t xml:space="preserve">Cependant, </w:t>
      </w:r>
      <w:r w:rsidR="00463787" w:rsidRPr="00463787">
        <w:rPr>
          <w:rFonts w:ascii="Arial" w:hAnsi="Arial" w:cs="Arial"/>
          <w:sz w:val="22"/>
          <w:szCs w:val="22"/>
        </w:rPr>
        <w:t>le dossier n’indique pas clairement si</w:t>
      </w:r>
      <w:r w:rsidR="00FF3EA3" w:rsidRPr="00463787">
        <w:rPr>
          <w:rFonts w:ascii="Arial" w:hAnsi="Arial" w:cs="Arial"/>
          <w:sz w:val="22"/>
          <w:szCs w:val="22"/>
        </w:rPr>
        <w:t xml:space="preserve"> ces mesures de sauvegarde correspondent à la définition d</w:t>
      </w:r>
      <w:r w:rsidR="00690892" w:rsidRPr="00463787">
        <w:rPr>
          <w:rFonts w:ascii="Arial" w:hAnsi="Arial" w:cs="Arial"/>
          <w:sz w:val="22"/>
          <w:szCs w:val="22"/>
        </w:rPr>
        <w:t>onnée à l’article 2.3</w:t>
      </w:r>
      <w:r w:rsidR="00FF3EA3" w:rsidRPr="00463787">
        <w:rPr>
          <w:rFonts w:ascii="Arial" w:hAnsi="Arial" w:cs="Arial"/>
          <w:sz w:val="22"/>
          <w:szCs w:val="22"/>
        </w:rPr>
        <w:t xml:space="preserve"> </w:t>
      </w:r>
      <w:r w:rsidR="00690892" w:rsidRPr="00463787">
        <w:rPr>
          <w:rFonts w:ascii="Arial" w:hAnsi="Arial" w:cs="Arial"/>
          <w:sz w:val="22"/>
          <w:szCs w:val="22"/>
        </w:rPr>
        <w:t xml:space="preserve">de </w:t>
      </w:r>
      <w:r w:rsidR="00FF3EA3" w:rsidRPr="00463787">
        <w:rPr>
          <w:rFonts w:ascii="Arial" w:hAnsi="Arial" w:cs="Arial"/>
          <w:sz w:val="22"/>
          <w:szCs w:val="22"/>
        </w:rPr>
        <w:t>la Convention et quel élément est sauvegardé.</w:t>
      </w:r>
      <w:r w:rsidR="00FF3EA3">
        <w:rPr>
          <w:rFonts w:ascii="Arial" w:hAnsi="Arial" w:cs="Arial"/>
          <w:sz w:val="22"/>
          <w:szCs w:val="22"/>
        </w:rPr>
        <w:t xml:space="preserve"> </w:t>
      </w:r>
      <w:r w:rsidRPr="00A53D78">
        <w:rPr>
          <w:rFonts w:ascii="Arial" w:hAnsi="Arial" w:cs="Arial"/>
          <w:sz w:val="22"/>
          <w:szCs w:val="22"/>
        </w:rPr>
        <w:t>La définition des besoins de sauvegarde</w:t>
      </w:r>
      <w:r w:rsidR="000C3417">
        <w:rPr>
          <w:rFonts w:ascii="Arial" w:hAnsi="Arial" w:cs="Arial"/>
          <w:sz w:val="22"/>
          <w:szCs w:val="22"/>
        </w:rPr>
        <w:t xml:space="preserve"> </w:t>
      </w:r>
      <w:r w:rsidRPr="00A53D78">
        <w:rPr>
          <w:rFonts w:ascii="Arial" w:hAnsi="Arial" w:cs="Arial"/>
          <w:sz w:val="22"/>
          <w:szCs w:val="22"/>
        </w:rPr>
        <w:t xml:space="preserve">et les modalités de mise en œuvre des mesures de sauvegarde </w:t>
      </w:r>
      <w:r w:rsidR="000662EB">
        <w:rPr>
          <w:rFonts w:ascii="Arial" w:hAnsi="Arial" w:cs="Arial"/>
          <w:sz w:val="22"/>
          <w:szCs w:val="22"/>
        </w:rPr>
        <w:t>ne sont pas spécifiées</w:t>
      </w:r>
      <w:r w:rsidRPr="00A53D78">
        <w:rPr>
          <w:rFonts w:ascii="Arial" w:hAnsi="Arial" w:cs="Arial"/>
          <w:sz w:val="22"/>
          <w:szCs w:val="22"/>
        </w:rPr>
        <w:t xml:space="preserve">. </w:t>
      </w:r>
      <w:r w:rsidR="000C3417" w:rsidRPr="003E71E8">
        <w:rPr>
          <w:rFonts w:ascii="Arial" w:hAnsi="Arial" w:cs="Arial"/>
          <w:sz w:val="22"/>
          <w:szCs w:val="22"/>
        </w:rPr>
        <w:t xml:space="preserve">L’identification du Last Post comme élément du patrimoine culturel immatériel aurait </w:t>
      </w:r>
      <w:r w:rsidR="003E71E8" w:rsidRPr="003E71E8">
        <w:rPr>
          <w:rFonts w:ascii="Arial" w:hAnsi="Arial" w:cs="Arial"/>
          <w:sz w:val="22"/>
          <w:szCs w:val="22"/>
        </w:rPr>
        <w:t>pu</w:t>
      </w:r>
      <w:r w:rsidR="000C3417" w:rsidRPr="003E71E8">
        <w:rPr>
          <w:rFonts w:ascii="Arial" w:hAnsi="Arial" w:cs="Arial"/>
          <w:sz w:val="22"/>
          <w:szCs w:val="22"/>
        </w:rPr>
        <w:t xml:space="preserve"> être présentée de façon plus claire.</w:t>
      </w:r>
    </w:p>
    <w:p w14:paraId="3A04B8CE" w14:textId="65656164"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P.2 :</w:t>
      </w:r>
      <w:r w:rsidRPr="00A53D78">
        <w:rPr>
          <w:rFonts w:ascii="Arial" w:hAnsi="Arial" w:cs="Arial"/>
          <w:sz w:val="22"/>
          <w:szCs w:val="22"/>
        </w:rPr>
        <w:tab/>
        <w:t xml:space="preserve">Le programme encourage la coordination des efforts aux niveaux régional, </w:t>
      </w:r>
      <w:proofErr w:type="spellStart"/>
      <w:r w:rsidRPr="00A53D78">
        <w:rPr>
          <w:rFonts w:ascii="Arial" w:hAnsi="Arial" w:cs="Arial"/>
          <w:sz w:val="22"/>
          <w:szCs w:val="22"/>
        </w:rPr>
        <w:t>sous-régional</w:t>
      </w:r>
      <w:proofErr w:type="spellEnd"/>
      <w:r w:rsidRPr="00A53D78">
        <w:rPr>
          <w:rFonts w:ascii="Arial" w:hAnsi="Arial" w:cs="Arial"/>
          <w:sz w:val="22"/>
          <w:szCs w:val="22"/>
        </w:rPr>
        <w:t xml:space="preserve"> et international, et </w:t>
      </w:r>
      <w:r w:rsidR="000662EB">
        <w:rPr>
          <w:rFonts w:ascii="Arial" w:hAnsi="Arial" w:cs="Arial"/>
          <w:sz w:val="22"/>
          <w:szCs w:val="22"/>
        </w:rPr>
        <w:t>établit un lien entre un grand nombre de</w:t>
      </w:r>
      <w:r w:rsidRPr="00A53D78">
        <w:rPr>
          <w:rFonts w:ascii="Arial" w:hAnsi="Arial" w:cs="Arial"/>
          <w:sz w:val="22"/>
          <w:szCs w:val="22"/>
        </w:rPr>
        <w:t xml:space="preserve"> visiteurs. Le dossier apporte </w:t>
      </w:r>
      <w:r w:rsidR="000662EB">
        <w:rPr>
          <w:rFonts w:ascii="Arial" w:hAnsi="Arial" w:cs="Arial"/>
          <w:sz w:val="22"/>
          <w:szCs w:val="22"/>
        </w:rPr>
        <w:t>des informations attestant</w:t>
      </w:r>
      <w:r w:rsidRPr="00A53D78">
        <w:rPr>
          <w:rFonts w:ascii="Arial" w:hAnsi="Arial" w:cs="Arial"/>
          <w:sz w:val="22"/>
          <w:szCs w:val="22"/>
        </w:rPr>
        <w:t xml:space="preserve"> d</w:t>
      </w:r>
      <w:r w:rsidR="003F34AE" w:rsidRPr="00A53D78">
        <w:rPr>
          <w:rFonts w:ascii="Arial" w:hAnsi="Arial" w:cs="Arial"/>
          <w:sz w:val="22"/>
          <w:szCs w:val="22"/>
        </w:rPr>
        <w:t>’</w:t>
      </w:r>
      <w:r w:rsidRPr="00A53D78">
        <w:rPr>
          <w:rFonts w:ascii="Arial" w:hAnsi="Arial" w:cs="Arial"/>
          <w:sz w:val="22"/>
          <w:szCs w:val="22"/>
        </w:rPr>
        <w:t xml:space="preserve">un contact actif et régulier entre des </w:t>
      </w:r>
      <w:r w:rsidR="000662EB">
        <w:rPr>
          <w:rFonts w:ascii="Arial" w:hAnsi="Arial" w:cs="Arial"/>
          <w:sz w:val="22"/>
          <w:szCs w:val="22"/>
        </w:rPr>
        <w:t xml:space="preserve">institutions </w:t>
      </w:r>
      <w:r w:rsidRPr="00A53D78">
        <w:rPr>
          <w:rFonts w:ascii="Arial" w:hAnsi="Arial" w:cs="Arial"/>
          <w:sz w:val="22"/>
          <w:szCs w:val="22"/>
        </w:rPr>
        <w:t>qui font partie d</w:t>
      </w:r>
      <w:r w:rsidR="003F34AE" w:rsidRPr="00A53D78">
        <w:rPr>
          <w:rFonts w:ascii="Arial" w:hAnsi="Arial" w:cs="Arial"/>
          <w:sz w:val="22"/>
          <w:szCs w:val="22"/>
        </w:rPr>
        <w:t>’</w:t>
      </w:r>
      <w:r w:rsidRPr="00A53D78">
        <w:rPr>
          <w:rFonts w:ascii="Arial" w:hAnsi="Arial" w:cs="Arial"/>
          <w:sz w:val="22"/>
          <w:szCs w:val="22"/>
        </w:rPr>
        <w:t>un réseau mondial. La ville d</w:t>
      </w:r>
      <w:r w:rsidR="003F34AE" w:rsidRPr="00A53D78">
        <w:rPr>
          <w:rFonts w:ascii="Arial" w:hAnsi="Arial" w:cs="Arial"/>
          <w:sz w:val="22"/>
          <w:szCs w:val="22"/>
        </w:rPr>
        <w:t>’</w:t>
      </w:r>
      <w:r w:rsidRPr="00A53D78">
        <w:rPr>
          <w:rFonts w:ascii="Arial" w:hAnsi="Arial" w:cs="Arial"/>
          <w:sz w:val="22"/>
          <w:szCs w:val="22"/>
        </w:rPr>
        <w:t xml:space="preserve">Ypres est </w:t>
      </w:r>
      <w:r w:rsidR="000662EB">
        <w:rPr>
          <w:rFonts w:ascii="Arial" w:hAnsi="Arial" w:cs="Arial"/>
          <w:sz w:val="22"/>
          <w:szCs w:val="22"/>
        </w:rPr>
        <w:t>impliquée dans les</w:t>
      </w:r>
      <w:r w:rsidRPr="00A53D78">
        <w:rPr>
          <w:rFonts w:ascii="Arial" w:hAnsi="Arial" w:cs="Arial"/>
          <w:sz w:val="22"/>
          <w:szCs w:val="22"/>
        </w:rPr>
        <w:t xml:space="preserve"> politiques régionales belges pour le patrimoine culturel et le développement, et elle participe à ce programme à travers différentes coopérations.</w:t>
      </w:r>
    </w:p>
    <w:p w14:paraId="3EF2516B" w14:textId="475E2519" w:rsidR="000649CF"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P.3 :</w:t>
      </w:r>
      <w:r w:rsidRPr="00A53D78">
        <w:rPr>
          <w:rFonts w:ascii="Arial" w:hAnsi="Arial" w:cs="Arial"/>
          <w:sz w:val="22"/>
          <w:szCs w:val="22"/>
        </w:rPr>
        <w:tab/>
      </w:r>
      <w:r w:rsidR="000649CF">
        <w:rPr>
          <w:rFonts w:ascii="Arial" w:hAnsi="Arial" w:cs="Arial"/>
          <w:sz w:val="22"/>
          <w:szCs w:val="22"/>
        </w:rPr>
        <w:t xml:space="preserve">Bien que le dossier démontre </w:t>
      </w:r>
      <w:r w:rsidR="00254851">
        <w:rPr>
          <w:rFonts w:ascii="Arial" w:hAnsi="Arial" w:cs="Arial"/>
          <w:sz w:val="22"/>
          <w:szCs w:val="22"/>
        </w:rPr>
        <w:t xml:space="preserve">de différentes façons </w:t>
      </w:r>
      <w:r w:rsidR="000649CF">
        <w:rPr>
          <w:rFonts w:ascii="Arial" w:hAnsi="Arial" w:cs="Arial"/>
          <w:sz w:val="22"/>
          <w:szCs w:val="22"/>
        </w:rPr>
        <w:t xml:space="preserve">comment les activités sont </w:t>
      </w:r>
      <w:r w:rsidR="00254851">
        <w:rPr>
          <w:rFonts w:ascii="Arial" w:hAnsi="Arial" w:cs="Arial"/>
          <w:sz w:val="22"/>
          <w:szCs w:val="22"/>
        </w:rPr>
        <w:t>en ligne</w:t>
      </w:r>
      <w:r w:rsidR="000649CF">
        <w:rPr>
          <w:rFonts w:ascii="Arial" w:hAnsi="Arial" w:cs="Arial"/>
          <w:sz w:val="22"/>
          <w:szCs w:val="22"/>
        </w:rPr>
        <w:t xml:space="preserve"> avec les principes et les objectifs de la Convention et </w:t>
      </w:r>
      <w:r w:rsidR="00045F3E">
        <w:rPr>
          <w:rFonts w:ascii="Arial" w:hAnsi="Arial" w:cs="Arial"/>
          <w:sz w:val="22"/>
          <w:szCs w:val="22"/>
        </w:rPr>
        <w:t>s</w:t>
      </w:r>
      <w:r w:rsidR="000649CF">
        <w:rPr>
          <w:rFonts w:ascii="Arial" w:hAnsi="Arial" w:cs="Arial"/>
          <w:sz w:val="22"/>
          <w:szCs w:val="22"/>
        </w:rPr>
        <w:t xml:space="preserve">es </w:t>
      </w:r>
      <w:r w:rsidR="000649CF" w:rsidRPr="00580596">
        <w:rPr>
          <w:rFonts w:ascii="Arial" w:hAnsi="Arial" w:cs="Arial"/>
          <w:sz w:val="22"/>
          <w:szCs w:val="22"/>
        </w:rPr>
        <w:t>Directives opérationnelles</w:t>
      </w:r>
      <w:r w:rsidR="00254851">
        <w:rPr>
          <w:rFonts w:ascii="Arial" w:hAnsi="Arial" w:cs="Arial"/>
          <w:sz w:val="22"/>
          <w:szCs w:val="22"/>
        </w:rPr>
        <w:t>,</w:t>
      </w:r>
      <w:r w:rsidR="000649CF">
        <w:rPr>
          <w:rFonts w:ascii="Arial" w:hAnsi="Arial" w:cs="Arial"/>
          <w:sz w:val="22"/>
          <w:szCs w:val="22"/>
        </w:rPr>
        <w:t xml:space="preserve"> puisque les mesures</w:t>
      </w:r>
      <w:r w:rsidR="00045F3E">
        <w:rPr>
          <w:rFonts w:ascii="Arial" w:hAnsi="Arial" w:cs="Arial"/>
          <w:sz w:val="22"/>
          <w:szCs w:val="22"/>
        </w:rPr>
        <w:t xml:space="preserve"> générales</w:t>
      </w:r>
      <w:r w:rsidR="000649CF">
        <w:rPr>
          <w:rFonts w:ascii="Arial" w:hAnsi="Arial" w:cs="Arial"/>
          <w:sz w:val="22"/>
          <w:szCs w:val="22"/>
        </w:rPr>
        <w:t xml:space="preserve"> de sauvegarde ne sont pas identifiables</w:t>
      </w:r>
      <w:r w:rsidR="00C072C5">
        <w:rPr>
          <w:rFonts w:ascii="Arial" w:hAnsi="Arial" w:cs="Arial"/>
          <w:sz w:val="22"/>
          <w:szCs w:val="22"/>
        </w:rPr>
        <w:t xml:space="preserve"> (comme mentionné sous P.1)</w:t>
      </w:r>
      <w:r w:rsidR="000649CF">
        <w:rPr>
          <w:rFonts w:ascii="Arial" w:hAnsi="Arial" w:cs="Arial"/>
          <w:sz w:val="22"/>
          <w:szCs w:val="22"/>
        </w:rPr>
        <w:t>, il ne démontre pas la relation entre le programme et l’objectif principal de la Convention qui est la sauvegarde du patrimoine culturel immatériel.</w:t>
      </w:r>
    </w:p>
    <w:p w14:paraId="47416167" w14:textId="36F3761F"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P.4 :</w:t>
      </w:r>
      <w:r w:rsidRPr="00A53D78">
        <w:rPr>
          <w:rFonts w:ascii="Arial" w:hAnsi="Arial" w:cs="Arial"/>
          <w:sz w:val="22"/>
          <w:szCs w:val="22"/>
        </w:rPr>
        <w:tab/>
        <w:t>Des activités sont régulièrement menées pour préserver la mémoire de la Première Guerre mondiale. Ypres est reconnue comme un lieu central de la réflexion historique, comme en témoigne son titre de « Ville de Paix ». Dans ce cadre, les programmes destinés aux enfants et aux jeunes sont particulièrement importants. Le rôle d</w:t>
      </w:r>
      <w:r w:rsidR="003F34AE" w:rsidRPr="00A53D78">
        <w:rPr>
          <w:rFonts w:ascii="Arial" w:hAnsi="Arial" w:cs="Arial"/>
          <w:sz w:val="22"/>
          <w:szCs w:val="22"/>
        </w:rPr>
        <w:t>’</w:t>
      </w:r>
      <w:r w:rsidRPr="00A53D78">
        <w:rPr>
          <w:rFonts w:ascii="Arial" w:hAnsi="Arial" w:cs="Arial"/>
          <w:sz w:val="22"/>
          <w:szCs w:val="22"/>
        </w:rPr>
        <w:t>Ypres dans la sauvegarde de la mémoire et des connaissances relatives à la Première Guerre mondiale, notamment les batailles du Saillant d</w:t>
      </w:r>
      <w:r w:rsidR="003F34AE" w:rsidRPr="00A53D78">
        <w:rPr>
          <w:rFonts w:ascii="Arial" w:hAnsi="Arial" w:cs="Arial"/>
          <w:sz w:val="22"/>
          <w:szCs w:val="22"/>
        </w:rPr>
        <w:t>’</w:t>
      </w:r>
      <w:r w:rsidRPr="00A53D78">
        <w:rPr>
          <w:rFonts w:ascii="Arial" w:hAnsi="Arial" w:cs="Arial"/>
          <w:sz w:val="22"/>
          <w:szCs w:val="22"/>
        </w:rPr>
        <w:t>Ypres, occupe une partie structurelle des processus de planification politique de la ville. Cependant, le dossier n</w:t>
      </w:r>
      <w:r w:rsidR="003F34AE" w:rsidRPr="00A53D78">
        <w:rPr>
          <w:rFonts w:ascii="Arial" w:hAnsi="Arial" w:cs="Arial"/>
          <w:sz w:val="22"/>
          <w:szCs w:val="22"/>
        </w:rPr>
        <w:t>’</w:t>
      </w:r>
      <w:r w:rsidRPr="00A53D78">
        <w:rPr>
          <w:rFonts w:ascii="Arial" w:hAnsi="Arial" w:cs="Arial"/>
          <w:sz w:val="22"/>
          <w:szCs w:val="22"/>
        </w:rPr>
        <w:t>indique pas clairement de quelle manière le programme contribue à assurer la viabilité de l</w:t>
      </w:r>
      <w:r w:rsidR="003F34AE" w:rsidRPr="00A53D78">
        <w:rPr>
          <w:rFonts w:ascii="Arial" w:hAnsi="Arial" w:cs="Arial"/>
          <w:sz w:val="22"/>
          <w:szCs w:val="22"/>
        </w:rPr>
        <w:t>’</w:t>
      </w:r>
      <w:r w:rsidRPr="00A53D78">
        <w:rPr>
          <w:rFonts w:ascii="Arial" w:hAnsi="Arial" w:cs="Arial"/>
          <w:sz w:val="22"/>
          <w:szCs w:val="22"/>
        </w:rPr>
        <w:t>élément. Il présente une certaine confusion quant à savoir si le programme renforce la viabilité de l</w:t>
      </w:r>
      <w:r w:rsidR="003F34AE" w:rsidRPr="00A53D78">
        <w:rPr>
          <w:rFonts w:ascii="Arial" w:hAnsi="Arial" w:cs="Arial"/>
          <w:sz w:val="22"/>
          <w:szCs w:val="22"/>
        </w:rPr>
        <w:t>’</w:t>
      </w:r>
      <w:r w:rsidRPr="00A53D78">
        <w:rPr>
          <w:rFonts w:ascii="Arial" w:hAnsi="Arial" w:cs="Arial"/>
          <w:sz w:val="22"/>
          <w:szCs w:val="22"/>
        </w:rPr>
        <w:t>élément lui-même ou la vitalité d</w:t>
      </w:r>
      <w:r w:rsidR="003F34AE" w:rsidRPr="00A53D78">
        <w:rPr>
          <w:rFonts w:ascii="Arial" w:hAnsi="Arial" w:cs="Arial"/>
          <w:sz w:val="22"/>
          <w:szCs w:val="22"/>
        </w:rPr>
        <w:t>’</w:t>
      </w:r>
      <w:r w:rsidRPr="00A53D78">
        <w:rPr>
          <w:rFonts w:ascii="Arial" w:hAnsi="Arial" w:cs="Arial"/>
          <w:sz w:val="22"/>
          <w:szCs w:val="22"/>
        </w:rPr>
        <w:t>une pratique de sauvegarde.</w:t>
      </w:r>
    </w:p>
    <w:p w14:paraId="324279AC" w14:textId="08A2C9A7" w:rsidR="00B91169" w:rsidRPr="00A53D78" w:rsidRDefault="00B91169" w:rsidP="0031347D">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P.5 :</w:t>
      </w:r>
      <w:r w:rsidRPr="00A53D78">
        <w:rPr>
          <w:rFonts w:ascii="Arial" w:hAnsi="Arial" w:cs="Arial"/>
          <w:sz w:val="22"/>
          <w:szCs w:val="22"/>
        </w:rPr>
        <w:tab/>
        <w:t>Il est indiqué que la participation de la communauté locale à cette pratique a été très importante dès le départ. Les habitants d</w:t>
      </w:r>
      <w:r w:rsidR="003F34AE" w:rsidRPr="00A53D78">
        <w:rPr>
          <w:rFonts w:ascii="Arial" w:hAnsi="Arial" w:cs="Arial"/>
          <w:sz w:val="22"/>
          <w:szCs w:val="22"/>
        </w:rPr>
        <w:t>’</w:t>
      </w:r>
      <w:r w:rsidRPr="00A53D78">
        <w:rPr>
          <w:rFonts w:ascii="Arial" w:hAnsi="Arial" w:cs="Arial"/>
          <w:sz w:val="22"/>
          <w:szCs w:val="22"/>
        </w:rPr>
        <w:t>Ypres ont été profondément émus par les événements de la Première Guerre mondiale et ont donc apporté leur soutien à l</w:t>
      </w:r>
      <w:r w:rsidR="003F34AE" w:rsidRPr="00A53D78">
        <w:rPr>
          <w:rFonts w:ascii="Arial" w:hAnsi="Arial" w:cs="Arial"/>
          <w:sz w:val="22"/>
          <w:szCs w:val="22"/>
        </w:rPr>
        <w:t>’</w:t>
      </w:r>
      <w:r w:rsidRPr="00A53D78">
        <w:rPr>
          <w:rFonts w:ascii="Arial" w:hAnsi="Arial" w:cs="Arial"/>
          <w:sz w:val="22"/>
          <w:szCs w:val="22"/>
        </w:rPr>
        <w:t>organisation de cérémonies de commémoration. L</w:t>
      </w:r>
      <w:r w:rsidR="003F34AE" w:rsidRPr="00A53D78">
        <w:rPr>
          <w:rFonts w:ascii="Arial" w:hAnsi="Arial" w:cs="Arial"/>
          <w:sz w:val="22"/>
          <w:szCs w:val="22"/>
        </w:rPr>
        <w:t>’</w:t>
      </w:r>
      <w:r w:rsidRPr="00A53D78">
        <w:rPr>
          <w:rFonts w:ascii="Arial" w:hAnsi="Arial" w:cs="Arial"/>
          <w:sz w:val="22"/>
          <w:szCs w:val="22"/>
        </w:rPr>
        <w:t xml:space="preserve">implication de différentes parties prenantes et leur consentement à la préparation de cette </w:t>
      </w:r>
      <w:r w:rsidRPr="00A53D78">
        <w:rPr>
          <w:rFonts w:ascii="Arial" w:hAnsi="Arial" w:cs="Arial"/>
          <w:sz w:val="22"/>
          <w:szCs w:val="22"/>
        </w:rPr>
        <w:lastRenderedPageBreak/>
        <w:t>proposition ont été exprimés lors de nombreuses réunions locales. Il aurait cependant été préférable d</w:t>
      </w:r>
      <w:r w:rsidR="003F34AE" w:rsidRPr="00A53D78">
        <w:rPr>
          <w:rFonts w:ascii="Arial" w:hAnsi="Arial" w:cs="Arial"/>
          <w:sz w:val="22"/>
          <w:szCs w:val="22"/>
        </w:rPr>
        <w:t>’</w:t>
      </w:r>
      <w:r w:rsidRPr="00A53D78">
        <w:rPr>
          <w:rFonts w:ascii="Arial" w:hAnsi="Arial" w:cs="Arial"/>
          <w:sz w:val="22"/>
          <w:szCs w:val="22"/>
        </w:rPr>
        <w:t>obtenir le consentement de membres de la communauté plutôt que de représentants d</w:t>
      </w:r>
      <w:r w:rsidR="003F34AE" w:rsidRPr="00A53D78">
        <w:rPr>
          <w:rFonts w:ascii="Arial" w:hAnsi="Arial" w:cs="Arial"/>
          <w:sz w:val="22"/>
          <w:szCs w:val="22"/>
        </w:rPr>
        <w:t>’</w:t>
      </w:r>
      <w:r w:rsidRPr="00A53D78">
        <w:rPr>
          <w:rFonts w:ascii="Arial" w:hAnsi="Arial" w:cs="Arial"/>
          <w:sz w:val="22"/>
          <w:szCs w:val="22"/>
        </w:rPr>
        <w:t>organisations et d</w:t>
      </w:r>
      <w:r w:rsidR="003F34AE" w:rsidRPr="00A53D78">
        <w:rPr>
          <w:rFonts w:ascii="Arial" w:hAnsi="Arial" w:cs="Arial"/>
          <w:sz w:val="22"/>
          <w:szCs w:val="22"/>
        </w:rPr>
        <w:t>’</w:t>
      </w:r>
      <w:r w:rsidRPr="00A53D78">
        <w:rPr>
          <w:rFonts w:ascii="Arial" w:hAnsi="Arial" w:cs="Arial"/>
          <w:sz w:val="22"/>
          <w:szCs w:val="22"/>
        </w:rPr>
        <w:t>institutions. L</w:t>
      </w:r>
      <w:r w:rsidR="003F34AE" w:rsidRPr="00A53D78">
        <w:rPr>
          <w:rFonts w:ascii="Arial" w:hAnsi="Arial" w:cs="Arial"/>
          <w:sz w:val="22"/>
          <w:szCs w:val="22"/>
        </w:rPr>
        <w:t>’</w:t>
      </w:r>
      <w:r w:rsidRPr="00A53D78">
        <w:rPr>
          <w:rFonts w:ascii="Arial" w:hAnsi="Arial" w:cs="Arial"/>
          <w:sz w:val="22"/>
          <w:szCs w:val="22"/>
        </w:rPr>
        <w:t xml:space="preserve">initiative de la proposition semble </w:t>
      </w:r>
      <w:r w:rsidR="002236D5" w:rsidRPr="00A53D78">
        <w:rPr>
          <w:rFonts w:ascii="Arial" w:hAnsi="Arial" w:cs="Arial"/>
          <w:sz w:val="22"/>
          <w:szCs w:val="22"/>
        </w:rPr>
        <w:t xml:space="preserve">plutôt </w:t>
      </w:r>
      <w:r w:rsidRPr="00A53D78">
        <w:rPr>
          <w:rFonts w:ascii="Arial" w:hAnsi="Arial" w:cs="Arial"/>
          <w:sz w:val="22"/>
          <w:szCs w:val="22"/>
        </w:rPr>
        <w:t>institutionnelle</w:t>
      </w:r>
      <w:r w:rsidR="00345AF8">
        <w:rPr>
          <w:rFonts w:ascii="Arial" w:hAnsi="Arial" w:cs="Arial"/>
          <w:sz w:val="22"/>
          <w:szCs w:val="22"/>
        </w:rPr>
        <w:t xml:space="preserve"> et le programme semble être dirigé davantage par les institutions que par les détenteurs et les membres de la communauté</w:t>
      </w:r>
      <w:r w:rsidRPr="00A53D78">
        <w:rPr>
          <w:rFonts w:ascii="Arial" w:hAnsi="Arial" w:cs="Arial"/>
          <w:sz w:val="22"/>
          <w:szCs w:val="22"/>
        </w:rPr>
        <w:t>.</w:t>
      </w:r>
    </w:p>
    <w:p w14:paraId="3B427960" w14:textId="24E2E88A"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P.6 :</w:t>
      </w:r>
      <w:r w:rsidRPr="00A53D78">
        <w:rPr>
          <w:rFonts w:ascii="Arial" w:hAnsi="Arial" w:cs="Arial"/>
          <w:sz w:val="22"/>
          <w:szCs w:val="22"/>
        </w:rPr>
        <w:tab/>
      </w:r>
      <w:r w:rsidR="000F198C">
        <w:rPr>
          <w:rFonts w:ascii="Arial" w:hAnsi="Arial" w:cs="Arial"/>
          <w:sz w:val="22"/>
          <w:szCs w:val="22"/>
        </w:rPr>
        <w:t>Bien que les activités décrites dans le dossier aient pu inspirer des pratiques semblables dans d’autres pays, l</w:t>
      </w:r>
      <w:r w:rsidRPr="00A53D78">
        <w:rPr>
          <w:rFonts w:ascii="Arial" w:hAnsi="Arial" w:cs="Arial"/>
          <w:sz w:val="22"/>
          <w:szCs w:val="22"/>
        </w:rPr>
        <w:t>e dossier ne démontre pas suffisamment que le programme</w:t>
      </w:r>
      <w:r w:rsidR="00F259D4">
        <w:rPr>
          <w:rFonts w:ascii="Arial" w:hAnsi="Arial" w:cs="Arial"/>
          <w:sz w:val="22"/>
          <w:szCs w:val="22"/>
        </w:rPr>
        <w:t xml:space="preserve"> </w:t>
      </w:r>
      <w:r w:rsidRPr="00A53D78">
        <w:rPr>
          <w:rFonts w:ascii="Arial" w:hAnsi="Arial" w:cs="Arial"/>
          <w:sz w:val="22"/>
          <w:szCs w:val="22"/>
        </w:rPr>
        <w:t>pourrait servir de modèle à des activités de sauvegarde dans d</w:t>
      </w:r>
      <w:r w:rsidR="003F34AE" w:rsidRPr="00A53D78">
        <w:rPr>
          <w:rFonts w:ascii="Arial" w:hAnsi="Arial" w:cs="Arial"/>
          <w:sz w:val="22"/>
          <w:szCs w:val="22"/>
        </w:rPr>
        <w:t>’</w:t>
      </w:r>
      <w:r w:rsidRPr="00A53D78">
        <w:rPr>
          <w:rFonts w:ascii="Arial" w:hAnsi="Arial" w:cs="Arial"/>
          <w:sz w:val="22"/>
          <w:szCs w:val="22"/>
        </w:rPr>
        <w:t xml:space="preserve">autres </w:t>
      </w:r>
      <w:r w:rsidR="000F198C">
        <w:rPr>
          <w:rFonts w:ascii="Arial" w:hAnsi="Arial" w:cs="Arial"/>
          <w:sz w:val="22"/>
          <w:szCs w:val="22"/>
        </w:rPr>
        <w:t>lieux et communautés</w:t>
      </w:r>
      <w:r w:rsidRPr="00A53D78">
        <w:rPr>
          <w:rFonts w:ascii="Arial" w:hAnsi="Arial" w:cs="Arial"/>
          <w:sz w:val="22"/>
          <w:szCs w:val="22"/>
        </w:rPr>
        <w:t>, et n</w:t>
      </w:r>
      <w:r w:rsidR="003F34AE" w:rsidRPr="00A53D78">
        <w:rPr>
          <w:rFonts w:ascii="Arial" w:hAnsi="Arial" w:cs="Arial"/>
          <w:sz w:val="22"/>
          <w:szCs w:val="22"/>
        </w:rPr>
        <w:t>’</w:t>
      </w:r>
      <w:r w:rsidRPr="00A53D78">
        <w:rPr>
          <w:rFonts w:ascii="Arial" w:hAnsi="Arial" w:cs="Arial"/>
          <w:sz w:val="22"/>
          <w:szCs w:val="22"/>
        </w:rPr>
        <w:t>identifie pas les différents composant</w:t>
      </w:r>
      <w:r w:rsidR="002236D5" w:rsidRPr="00A53D78">
        <w:rPr>
          <w:rFonts w:ascii="Arial" w:hAnsi="Arial" w:cs="Arial"/>
          <w:sz w:val="22"/>
          <w:szCs w:val="22"/>
        </w:rPr>
        <w:t>e</w:t>
      </w:r>
      <w:r w:rsidRPr="00A53D78">
        <w:rPr>
          <w:rFonts w:ascii="Arial" w:hAnsi="Arial" w:cs="Arial"/>
          <w:sz w:val="22"/>
          <w:szCs w:val="22"/>
        </w:rPr>
        <w:t>s, fonctions et méthodes qui pourraient être appliqué</w:t>
      </w:r>
      <w:r w:rsidR="002236D5" w:rsidRPr="00A53D78">
        <w:rPr>
          <w:rFonts w:ascii="Arial" w:hAnsi="Arial" w:cs="Arial"/>
          <w:sz w:val="22"/>
          <w:szCs w:val="22"/>
        </w:rPr>
        <w:t>e</w:t>
      </w:r>
      <w:r w:rsidRPr="00A53D78">
        <w:rPr>
          <w:rFonts w:ascii="Arial" w:hAnsi="Arial" w:cs="Arial"/>
          <w:sz w:val="22"/>
          <w:szCs w:val="22"/>
        </w:rPr>
        <w:t>s dans d</w:t>
      </w:r>
      <w:r w:rsidR="003F34AE" w:rsidRPr="00A53D78">
        <w:rPr>
          <w:rFonts w:ascii="Arial" w:hAnsi="Arial" w:cs="Arial"/>
          <w:sz w:val="22"/>
          <w:szCs w:val="22"/>
        </w:rPr>
        <w:t>’</w:t>
      </w:r>
      <w:r w:rsidRPr="00A53D78">
        <w:rPr>
          <w:rFonts w:ascii="Arial" w:hAnsi="Arial" w:cs="Arial"/>
          <w:sz w:val="22"/>
          <w:szCs w:val="22"/>
        </w:rPr>
        <w:t xml:space="preserve">autres contextes. </w:t>
      </w:r>
      <w:r w:rsidR="000F198C">
        <w:rPr>
          <w:rFonts w:ascii="Arial" w:hAnsi="Arial" w:cs="Arial"/>
          <w:sz w:val="22"/>
          <w:szCs w:val="22"/>
        </w:rPr>
        <w:t>En l’absence d’un modèle identifiable de sauvegarde</w:t>
      </w:r>
      <w:r w:rsidR="000F198C" w:rsidRPr="000F198C">
        <w:rPr>
          <w:rFonts w:ascii="Arial" w:hAnsi="Arial" w:cs="Arial"/>
          <w:sz w:val="22"/>
          <w:szCs w:val="22"/>
        </w:rPr>
        <w:t xml:space="preserve"> </w:t>
      </w:r>
      <w:r w:rsidR="000F198C">
        <w:rPr>
          <w:rFonts w:ascii="Arial" w:hAnsi="Arial" w:cs="Arial"/>
          <w:sz w:val="22"/>
          <w:szCs w:val="22"/>
        </w:rPr>
        <w:t xml:space="preserve">comme l’exige le formulaire, il n’est pas possible de recommander </w:t>
      </w:r>
      <w:r w:rsidR="00F259D4">
        <w:rPr>
          <w:rFonts w:ascii="Arial" w:hAnsi="Arial" w:cs="Arial"/>
          <w:sz w:val="22"/>
          <w:szCs w:val="22"/>
        </w:rPr>
        <w:t>le programme</w:t>
      </w:r>
      <w:r w:rsidR="000F198C">
        <w:rPr>
          <w:rFonts w:ascii="Arial" w:hAnsi="Arial" w:cs="Arial"/>
          <w:sz w:val="22"/>
          <w:szCs w:val="22"/>
        </w:rPr>
        <w:t xml:space="preserve"> </w:t>
      </w:r>
      <w:r w:rsidR="00F259D4">
        <w:rPr>
          <w:rFonts w:ascii="Arial" w:hAnsi="Arial" w:cs="Arial"/>
          <w:sz w:val="22"/>
          <w:szCs w:val="22"/>
        </w:rPr>
        <w:t xml:space="preserve">à partager </w:t>
      </w:r>
      <w:r w:rsidR="000F198C">
        <w:rPr>
          <w:rFonts w:ascii="Arial" w:hAnsi="Arial" w:cs="Arial"/>
          <w:sz w:val="22"/>
          <w:szCs w:val="22"/>
        </w:rPr>
        <w:t>comme un</w:t>
      </w:r>
      <w:r w:rsidR="00F259D4">
        <w:rPr>
          <w:rFonts w:ascii="Arial" w:hAnsi="Arial" w:cs="Arial"/>
          <w:sz w:val="22"/>
          <w:szCs w:val="22"/>
        </w:rPr>
        <w:t>e bonne pratique de sauvegarde</w:t>
      </w:r>
      <w:r w:rsidR="000F198C">
        <w:rPr>
          <w:rFonts w:ascii="Arial" w:hAnsi="Arial" w:cs="Arial"/>
          <w:sz w:val="22"/>
          <w:szCs w:val="22"/>
        </w:rPr>
        <w:t>.</w:t>
      </w:r>
    </w:p>
    <w:p w14:paraId="00373311" w14:textId="2FFFC110"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P.7 :</w:t>
      </w:r>
      <w:r w:rsidRPr="00A53D78">
        <w:rPr>
          <w:rFonts w:ascii="Arial" w:hAnsi="Arial" w:cs="Arial"/>
          <w:sz w:val="22"/>
          <w:szCs w:val="22"/>
        </w:rPr>
        <w:tab/>
        <w:t>Le dossier fait part de mesures de diffusion telles que des cérémonies de commémoration, des séminaires, des ateliers, des publications, des festivals et des expositions. Il décrit clairement les efforts de diffusion mais ne contient pas de preuve de la volonté des communautés de coopérer dans ce but. Les exemples présentés dans le dossier ont plus trait à la diffusion de l</w:t>
      </w:r>
      <w:r w:rsidR="003F34AE" w:rsidRPr="00A53D78">
        <w:rPr>
          <w:rFonts w:ascii="Arial" w:hAnsi="Arial" w:cs="Arial"/>
          <w:sz w:val="22"/>
          <w:szCs w:val="22"/>
        </w:rPr>
        <w:t>’</w:t>
      </w:r>
      <w:r w:rsidRPr="00A53D78">
        <w:rPr>
          <w:rFonts w:ascii="Arial" w:hAnsi="Arial" w:cs="Arial"/>
          <w:sz w:val="22"/>
          <w:szCs w:val="22"/>
        </w:rPr>
        <w:t>élément et à la sensibilisation à la mémoire de la guerre qu</w:t>
      </w:r>
      <w:r w:rsidR="003F34AE" w:rsidRPr="00A53D78">
        <w:rPr>
          <w:rFonts w:ascii="Arial" w:hAnsi="Arial" w:cs="Arial"/>
          <w:sz w:val="22"/>
          <w:szCs w:val="22"/>
        </w:rPr>
        <w:t>’</w:t>
      </w:r>
      <w:r w:rsidRPr="00A53D78">
        <w:rPr>
          <w:rFonts w:ascii="Arial" w:hAnsi="Arial" w:cs="Arial"/>
          <w:sz w:val="22"/>
          <w:szCs w:val="22"/>
        </w:rPr>
        <w:t>à la volonté des communautés de coopérer à la diffusion du programme ou au soutien apporté à d</w:t>
      </w:r>
      <w:r w:rsidR="003F34AE" w:rsidRPr="00A53D78">
        <w:rPr>
          <w:rFonts w:ascii="Arial" w:hAnsi="Arial" w:cs="Arial"/>
          <w:sz w:val="22"/>
          <w:szCs w:val="22"/>
        </w:rPr>
        <w:t>’</w:t>
      </w:r>
      <w:r w:rsidRPr="00A53D78">
        <w:rPr>
          <w:rFonts w:ascii="Arial" w:hAnsi="Arial" w:cs="Arial"/>
          <w:sz w:val="22"/>
          <w:szCs w:val="22"/>
        </w:rPr>
        <w:t xml:space="preserve">autres </w:t>
      </w:r>
      <w:r w:rsidR="00F259D4">
        <w:rPr>
          <w:rFonts w:ascii="Arial" w:hAnsi="Arial" w:cs="Arial"/>
          <w:sz w:val="22"/>
          <w:szCs w:val="22"/>
        </w:rPr>
        <w:t>institutions</w:t>
      </w:r>
      <w:r w:rsidR="00F259D4" w:rsidRPr="00A53D78">
        <w:rPr>
          <w:rFonts w:ascii="Arial" w:hAnsi="Arial" w:cs="Arial"/>
          <w:sz w:val="22"/>
          <w:szCs w:val="22"/>
        </w:rPr>
        <w:t xml:space="preserve"> </w:t>
      </w:r>
      <w:r w:rsidRPr="00A53D78">
        <w:rPr>
          <w:rFonts w:ascii="Arial" w:hAnsi="Arial" w:cs="Arial"/>
          <w:sz w:val="22"/>
          <w:szCs w:val="22"/>
        </w:rPr>
        <w:t>pour organiser des activités similaires.</w:t>
      </w:r>
    </w:p>
    <w:p w14:paraId="60AEC8D3" w14:textId="31445C23" w:rsidR="00B91169" w:rsidRPr="00A53D78"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P.8 :</w:t>
      </w:r>
      <w:r w:rsidRPr="00A53D78">
        <w:rPr>
          <w:rFonts w:ascii="Arial" w:hAnsi="Arial" w:cs="Arial"/>
          <w:sz w:val="22"/>
          <w:szCs w:val="22"/>
        </w:rPr>
        <w:tab/>
        <w:t>La proposition présente une série de mesures destinées au suivi et à l</w:t>
      </w:r>
      <w:r w:rsidR="003F34AE" w:rsidRPr="00A53D78">
        <w:rPr>
          <w:rFonts w:ascii="Arial" w:hAnsi="Arial" w:cs="Arial"/>
          <w:sz w:val="22"/>
          <w:szCs w:val="22"/>
        </w:rPr>
        <w:t>’</w:t>
      </w:r>
      <w:r w:rsidRPr="00A53D78">
        <w:rPr>
          <w:rFonts w:ascii="Arial" w:hAnsi="Arial" w:cs="Arial"/>
          <w:sz w:val="22"/>
          <w:szCs w:val="22"/>
        </w:rPr>
        <w:t>évaluation des activités des parties prenantes</w:t>
      </w:r>
      <w:r w:rsidR="002236D5" w:rsidRPr="00A53D78">
        <w:rPr>
          <w:rFonts w:ascii="Arial" w:hAnsi="Arial" w:cs="Arial"/>
          <w:sz w:val="22"/>
          <w:szCs w:val="22"/>
        </w:rPr>
        <w:t xml:space="preserve"> principales</w:t>
      </w:r>
      <w:r w:rsidRPr="00A53D78">
        <w:rPr>
          <w:rFonts w:ascii="Arial" w:hAnsi="Arial" w:cs="Arial"/>
          <w:sz w:val="22"/>
          <w:szCs w:val="22"/>
        </w:rPr>
        <w:t xml:space="preserve">. </w:t>
      </w:r>
      <w:r w:rsidR="00937F4D">
        <w:rPr>
          <w:rFonts w:ascii="Arial" w:hAnsi="Arial" w:cs="Arial"/>
          <w:sz w:val="22"/>
          <w:szCs w:val="22"/>
        </w:rPr>
        <w:t>Le dossier indique que l</w:t>
      </w:r>
      <w:r w:rsidRPr="00A53D78">
        <w:rPr>
          <w:rFonts w:ascii="Arial" w:hAnsi="Arial" w:cs="Arial"/>
          <w:sz w:val="22"/>
          <w:szCs w:val="22"/>
        </w:rPr>
        <w:t>es résultats du projet sont intégrés au plan pluriannuel de la ville d</w:t>
      </w:r>
      <w:r w:rsidR="003F34AE" w:rsidRPr="00A53D78">
        <w:rPr>
          <w:rFonts w:ascii="Arial" w:hAnsi="Arial" w:cs="Arial"/>
          <w:sz w:val="22"/>
          <w:szCs w:val="22"/>
        </w:rPr>
        <w:t>’</w:t>
      </w:r>
      <w:r w:rsidRPr="00A53D78">
        <w:rPr>
          <w:rFonts w:ascii="Arial" w:hAnsi="Arial" w:cs="Arial"/>
          <w:sz w:val="22"/>
          <w:szCs w:val="22"/>
        </w:rPr>
        <w:t xml:space="preserve">Ypres. Les actions sont contrôlées au moyen de rapports réguliers, comme les rapports </w:t>
      </w:r>
      <w:r w:rsidR="002236D5" w:rsidRPr="00A53D78">
        <w:rPr>
          <w:rFonts w:ascii="Arial" w:hAnsi="Arial" w:cs="Arial"/>
          <w:sz w:val="22"/>
          <w:szCs w:val="22"/>
        </w:rPr>
        <w:t>intérimaires</w:t>
      </w:r>
      <w:r w:rsidRPr="00A53D78">
        <w:rPr>
          <w:rFonts w:ascii="Arial" w:hAnsi="Arial" w:cs="Arial"/>
          <w:sz w:val="22"/>
          <w:szCs w:val="22"/>
        </w:rPr>
        <w:t xml:space="preserve"> annuels qui sont présentés dans le cadre de l</w:t>
      </w:r>
      <w:r w:rsidR="003F34AE" w:rsidRPr="00A53D78">
        <w:rPr>
          <w:rFonts w:ascii="Arial" w:hAnsi="Arial" w:cs="Arial"/>
          <w:sz w:val="22"/>
          <w:szCs w:val="22"/>
        </w:rPr>
        <w:t>’</w:t>
      </w:r>
      <w:r w:rsidRPr="00A53D78">
        <w:rPr>
          <w:rFonts w:ascii="Arial" w:hAnsi="Arial" w:cs="Arial"/>
          <w:sz w:val="22"/>
          <w:szCs w:val="22"/>
        </w:rPr>
        <w:t>inventaire national sur lequel est inscrite la cérémonie du Last Post.</w:t>
      </w:r>
    </w:p>
    <w:p w14:paraId="2C5B2298" w14:textId="30CC7EAA" w:rsidR="00B91169" w:rsidRDefault="00B91169" w:rsidP="00B91169">
      <w:pPr>
        <w:tabs>
          <w:tab w:val="left" w:pos="567"/>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P.9 :</w:t>
      </w:r>
      <w:r w:rsidRPr="00A53D78">
        <w:rPr>
          <w:rFonts w:ascii="Arial" w:hAnsi="Arial" w:cs="Arial"/>
          <w:sz w:val="22"/>
          <w:szCs w:val="22"/>
        </w:rPr>
        <w:tab/>
        <w:t>Le programme est axé sur la réalisation des objectifs du Programme de développement durable à l</w:t>
      </w:r>
      <w:r w:rsidR="003F34AE" w:rsidRPr="00A53D78">
        <w:rPr>
          <w:rFonts w:ascii="Arial" w:hAnsi="Arial" w:cs="Arial"/>
          <w:sz w:val="22"/>
          <w:szCs w:val="22"/>
        </w:rPr>
        <w:t>’</w:t>
      </w:r>
      <w:r w:rsidRPr="00A53D78">
        <w:rPr>
          <w:rFonts w:ascii="Arial" w:hAnsi="Arial" w:cs="Arial"/>
          <w:sz w:val="22"/>
          <w:szCs w:val="22"/>
        </w:rPr>
        <w:t>horizon 2030 des Nations Unies, étant donné qu</w:t>
      </w:r>
      <w:r w:rsidR="003F34AE" w:rsidRPr="00A53D78">
        <w:rPr>
          <w:rFonts w:ascii="Arial" w:hAnsi="Arial" w:cs="Arial"/>
          <w:sz w:val="22"/>
          <w:szCs w:val="22"/>
        </w:rPr>
        <w:t>’</w:t>
      </w:r>
      <w:r w:rsidRPr="00A53D78">
        <w:rPr>
          <w:rFonts w:ascii="Arial" w:hAnsi="Arial" w:cs="Arial"/>
          <w:sz w:val="22"/>
          <w:szCs w:val="22"/>
        </w:rPr>
        <w:t xml:space="preserve">il ne peut y avoir de développement durable sans paix, ni de paix sans développement durable. </w:t>
      </w:r>
      <w:r w:rsidR="003E71E8">
        <w:rPr>
          <w:rFonts w:ascii="Arial" w:hAnsi="Arial" w:cs="Arial"/>
          <w:sz w:val="22"/>
          <w:szCs w:val="22"/>
        </w:rPr>
        <w:t>Cependant, l</w:t>
      </w:r>
      <w:r w:rsidRPr="00A53D78">
        <w:rPr>
          <w:rFonts w:ascii="Arial" w:hAnsi="Arial" w:cs="Arial"/>
          <w:sz w:val="22"/>
          <w:szCs w:val="22"/>
        </w:rPr>
        <w:t>es composant</w:t>
      </w:r>
      <w:r w:rsidR="0053778E">
        <w:rPr>
          <w:rFonts w:ascii="Arial" w:hAnsi="Arial" w:cs="Arial"/>
          <w:sz w:val="22"/>
          <w:szCs w:val="22"/>
        </w:rPr>
        <w:t>e</w:t>
      </w:r>
      <w:r w:rsidRPr="00A53D78">
        <w:rPr>
          <w:rFonts w:ascii="Arial" w:hAnsi="Arial" w:cs="Arial"/>
          <w:sz w:val="22"/>
          <w:szCs w:val="22"/>
        </w:rPr>
        <w:t xml:space="preserve">s et méthodes </w:t>
      </w:r>
      <w:r w:rsidR="0053778E" w:rsidRPr="00A53D78">
        <w:rPr>
          <w:rFonts w:ascii="Arial" w:hAnsi="Arial" w:cs="Arial"/>
          <w:sz w:val="22"/>
          <w:szCs w:val="22"/>
        </w:rPr>
        <w:t>particuli</w:t>
      </w:r>
      <w:r w:rsidR="0053778E">
        <w:rPr>
          <w:rFonts w:ascii="Arial" w:hAnsi="Arial" w:cs="Arial"/>
          <w:sz w:val="22"/>
          <w:szCs w:val="22"/>
        </w:rPr>
        <w:t>è</w:t>
      </w:r>
      <w:r w:rsidR="0053778E" w:rsidRPr="00A53D78">
        <w:rPr>
          <w:rFonts w:ascii="Arial" w:hAnsi="Arial" w:cs="Arial"/>
          <w:sz w:val="22"/>
          <w:szCs w:val="22"/>
        </w:rPr>
        <w:t>r</w:t>
      </w:r>
      <w:r w:rsidR="0053778E">
        <w:rPr>
          <w:rFonts w:ascii="Arial" w:hAnsi="Arial" w:cs="Arial"/>
          <w:sz w:val="22"/>
          <w:szCs w:val="22"/>
        </w:rPr>
        <w:t>e</w:t>
      </w:r>
      <w:r w:rsidR="0053778E" w:rsidRPr="00A53D78">
        <w:rPr>
          <w:rFonts w:ascii="Arial" w:hAnsi="Arial" w:cs="Arial"/>
          <w:sz w:val="22"/>
          <w:szCs w:val="22"/>
        </w:rPr>
        <w:t xml:space="preserve">s </w:t>
      </w:r>
      <w:r w:rsidRPr="00A53D78">
        <w:rPr>
          <w:rFonts w:ascii="Arial" w:hAnsi="Arial" w:cs="Arial"/>
          <w:sz w:val="22"/>
          <w:szCs w:val="22"/>
        </w:rPr>
        <w:t>de ce programme qui pourraient répondre aux besoins des pays en développement ne sont pas identifié</w:t>
      </w:r>
      <w:r w:rsidR="002063B5">
        <w:rPr>
          <w:rFonts w:ascii="Arial" w:hAnsi="Arial" w:cs="Arial"/>
          <w:sz w:val="22"/>
          <w:szCs w:val="22"/>
        </w:rPr>
        <w:t>e</w:t>
      </w:r>
      <w:r w:rsidRPr="00A53D78">
        <w:rPr>
          <w:rFonts w:ascii="Arial" w:hAnsi="Arial" w:cs="Arial"/>
          <w:sz w:val="22"/>
          <w:szCs w:val="22"/>
        </w:rPr>
        <w:t xml:space="preserve">s. </w:t>
      </w:r>
      <w:r w:rsidR="00690892">
        <w:rPr>
          <w:rFonts w:ascii="Arial" w:hAnsi="Arial" w:cs="Arial"/>
          <w:sz w:val="22"/>
          <w:szCs w:val="22"/>
        </w:rPr>
        <w:t>S</w:t>
      </w:r>
      <w:r w:rsidR="003E71E8">
        <w:rPr>
          <w:rFonts w:ascii="Arial" w:hAnsi="Arial" w:cs="Arial"/>
          <w:sz w:val="22"/>
          <w:szCs w:val="22"/>
        </w:rPr>
        <w:t xml:space="preserve">i </w:t>
      </w:r>
      <w:r w:rsidRPr="00A53D78">
        <w:rPr>
          <w:rFonts w:ascii="Arial" w:hAnsi="Arial" w:cs="Arial"/>
          <w:sz w:val="22"/>
          <w:szCs w:val="22"/>
        </w:rPr>
        <w:t>l</w:t>
      </w:r>
      <w:r w:rsidR="003F34AE" w:rsidRPr="00A53D78">
        <w:rPr>
          <w:rFonts w:ascii="Arial" w:hAnsi="Arial" w:cs="Arial"/>
          <w:sz w:val="22"/>
          <w:szCs w:val="22"/>
        </w:rPr>
        <w:t>’</w:t>
      </w:r>
      <w:r w:rsidRPr="00A53D78">
        <w:rPr>
          <w:rFonts w:ascii="Arial" w:hAnsi="Arial" w:cs="Arial"/>
          <w:sz w:val="22"/>
          <w:szCs w:val="22"/>
        </w:rPr>
        <w:t xml:space="preserve">accent </w:t>
      </w:r>
      <w:r w:rsidR="003E71E8">
        <w:rPr>
          <w:rFonts w:ascii="Arial" w:hAnsi="Arial" w:cs="Arial"/>
          <w:sz w:val="22"/>
          <w:szCs w:val="22"/>
        </w:rPr>
        <w:t>mis sur</w:t>
      </w:r>
      <w:r w:rsidRPr="00A53D78">
        <w:rPr>
          <w:rFonts w:ascii="Arial" w:hAnsi="Arial" w:cs="Arial"/>
          <w:sz w:val="22"/>
          <w:szCs w:val="22"/>
        </w:rPr>
        <w:t xml:space="preserve"> le développement durable et la paix</w:t>
      </w:r>
      <w:r w:rsidR="003E71E8">
        <w:rPr>
          <w:rFonts w:ascii="Arial" w:hAnsi="Arial" w:cs="Arial"/>
          <w:sz w:val="22"/>
          <w:szCs w:val="22"/>
        </w:rPr>
        <w:t xml:space="preserve"> est pertinent </w:t>
      </w:r>
      <w:r w:rsidR="00087E49">
        <w:rPr>
          <w:rFonts w:ascii="Arial" w:hAnsi="Arial" w:cs="Arial"/>
          <w:sz w:val="22"/>
          <w:szCs w:val="22"/>
        </w:rPr>
        <w:t>pour les</w:t>
      </w:r>
      <w:r w:rsidR="003E71E8">
        <w:rPr>
          <w:rFonts w:ascii="Arial" w:hAnsi="Arial" w:cs="Arial"/>
          <w:sz w:val="22"/>
          <w:szCs w:val="22"/>
        </w:rPr>
        <w:t xml:space="preserve"> préoccupations des pays en développement</w:t>
      </w:r>
      <w:r w:rsidRPr="00A53D78">
        <w:rPr>
          <w:rFonts w:ascii="Arial" w:hAnsi="Arial" w:cs="Arial"/>
          <w:sz w:val="22"/>
          <w:szCs w:val="22"/>
        </w:rPr>
        <w:t>, le dossier n</w:t>
      </w:r>
      <w:r w:rsidR="003F34AE" w:rsidRPr="00A53D78">
        <w:rPr>
          <w:rFonts w:ascii="Arial" w:hAnsi="Arial" w:cs="Arial"/>
          <w:sz w:val="22"/>
          <w:szCs w:val="22"/>
        </w:rPr>
        <w:t>’</w:t>
      </w:r>
      <w:r w:rsidRPr="00A53D78">
        <w:rPr>
          <w:rFonts w:ascii="Arial" w:hAnsi="Arial" w:cs="Arial"/>
          <w:sz w:val="22"/>
          <w:szCs w:val="22"/>
        </w:rPr>
        <w:t>indique pas clairement de quelle manière le programme pourrait être appl</w:t>
      </w:r>
      <w:r w:rsidR="0034349F">
        <w:rPr>
          <w:rFonts w:ascii="Arial" w:hAnsi="Arial" w:cs="Arial"/>
          <w:sz w:val="22"/>
          <w:szCs w:val="22"/>
        </w:rPr>
        <w:t xml:space="preserve">iqué </w:t>
      </w:r>
      <w:r w:rsidR="002063B5">
        <w:rPr>
          <w:rFonts w:ascii="Arial" w:hAnsi="Arial" w:cs="Arial"/>
          <w:sz w:val="22"/>
          <w:szCs w:val="22"/>
        </w:rPr>
        <w:t xml:space="preserve">à la sauvegarde </w:t>
      </w:r>
      <w:r w:rsidR="003E71E8">
        <w:rPr>
          <w:rFonts w:ascii="Arial" w:hAnsi="Arial" w:cs="Arial"/>
          <w:sz w:val="22"/>
          <w:szCs w:val="22"/>
        </w:rPr>
        <w:t>de leur</w:t>
      </w:r>
      <w:r w:rsidR="002063B5">
        <w:rPr>
          <w:rFonts w:ascii="Arial" w:hAnsi="Arial" w:cs="Arial"/>
          <w:sz w:val="22"/>
          <w:szCs w:val="22"/>
        </w:rPr>
        <w:t xml:space="preserve"> patrimoine culturel immatériel</w:t>
      </w:r>
      <w:r w:rsidR="0034349F">
        <w:rPr>
          <w:rFonts w:ascii="Arial" w:hAnsi="Arial" w:cs="Arial"/>
          <w:sz w:val="22"/>
          <w:szCs w:val="22"/>
        </w:rPr>
        <w:t>.</w:t>
      </w:r>
    </w:p>
    <w:p w14:paraId="089B0B31" w14:textId="715072C6" w:rsidR="00CB2E9B" w:rsidRDefault="00B91169" w:rsidP="00B96A90">
      <w:pPr>
        <w:tabs>
          <w:tab w:val="left" w:pos="567"/>
          <w:tab w:val="left" w:pos="1134"/>
          <w:tab w:val="left" w:pos="2268"/>
        </w:tabs>
        <w:spacing w:before="120" w:after="120"/>
        <w:ind w:left="1134" w:hanging="567"/>
        <w:jc w:val="both"/>
        <w:rPr>
          <w:rFonts w:ascii="Arial" w:hAnsi="Arial" w:cs="Arial"/>
          <w:b/>
          <w:sz w:val="22"/>
          <w:szCs w:val="22"/>
        </w:rPr>
      </w:pPr>
      <w:r w:rsidRPr="00A53D78">
        <w:rPr>
          <w:rFonts w:ascii="Arial" w:hAnsi="Arial" w:cs="Arial"/>
          <w:sz w:val="22"/>
          <w:szCs w:val="22"/>
        </w:rPr>
        <w:t>3.</w:t>
      </w:r>
      <w:r w:rsidRPr="00A53D78">
        <w:rPr>
          <w:rFonts w:ascii="Arial" w:hAnsi="Arial" w:cs="Arial"/>
          <w:sz w:val="22"/>
          <w:szCs w:val="22"/>
        </w:rPr>
        <w:tab/>
      </w:r>
      <w:r w:rsidRPr="00A53D78">
        <w:rPr>
          <w:rFonts w:ascii="Arial" w:hAnsi="Arial" w:cs="Arial"/>
          <w:sz w:val="22"/>
          <w:szCs w:val="22"/>
          <w:u w:val="single"/>
        </w:rPr>
        <w:t>Décide de ne pas sélectionner</w:t>
      </w:r>
      <w:r w:rsidRPr="00A53D78">
        <w:rPr>
          <w:rFonts w:ascii="Arial" w:hAnsi="Arial" w:cs="Arial"/>
          <w:sz w:val="22"/>
          <w:szCs w:val="22"/>
        </w:rPr>
        <w:t xml:space="preserve"> </w:t>
      </w:r>
      <w:r w:rsidRPr="00A53D78">
        <w:rPr>
          <w:rFonts w:ascii="Arial" w:hAnsi="Arial" w:cs="Arial"/>
          <w:b/>
          <w:sz w:val="22"/>
          <w:szCs w:val="22"/>
        </w:rPr>
        <w:t>l</w:t>
      </w:r>
      <w:r w:rsidR="003F34AE" w:rsidRPr="00A53D78">
        <w:rPr>
          <w:rFonts w:ascii="Arial" w:hAnsi="Arial" w:cs="Arial"/>
          <w:b/>
          <w:sz w:val="22"/>
          <w:szCs w:val="22"/>
        </w:rPr>
        <w:t>’</w:t>
      </w:r>
      <w:r w:rsidRPr="00A53D78">
        <w:rPr>
          <w:rFonts w:ascii="Arial" w:hAnsi="Arial" w:cs="Arial"/>
          <w:b/>
          <w:sz w:val="22"/>
          <w:szCs w:val="22"/>
        </w:rPr>
        <w:t>enseignement au service de la mémoire et la sauvegarde de la cérémonie du Last Post au mémorial de la Porte de Menin à Ypres, Ville de Paix</w:t>
      </w:r>
      <w:r w:rsidRPr="00A53D78">
        <w:rPr>
          <w:rFonts w:ascii="Arial" w:hAnsi="Arial" w:cs="Arial"/>
          <w:sz w:val="22"/>
          <w:szCs w:val="22"/>
        </w:rPr>
        <w:t xml:space="preserve"> comme programme, projet ou activité reflétant le mieux les principes et objectifs de la Convention.</w:t>
      </w:r>
      <w:bookmarkStart w:id="4" w:name="PROJET_DE_DÉCISION_12_COM11_e_2"/>
      <w:bookmarkEnd w:id="4"/>
    </w:p>
    <w:p w14:paraId="327664F9" w14:textId="401BE132" w:rsidR="00516853" w:rsidRPr="00A53D78" w:rsidRDefault="00516853" w:rsidP="004C67FA">
      <w:pPr>
        <w:keepNext/>
        <w:tabs>
          <w:tab w:val="left" w:pos="567"/>
          <w:tab w:val="left" w:pos="1134"/>
          <w:tab w:val="left" w:pos="1701"/>
          <w:tab w:val="left" w:pos="2268"/>
        </w:tabs>
        <w:spacing w:before="360" w:after="120"/>
        <w:ind w:left="567"/>
        <w:jc w:val="both"/>
        <w:rPr>
          <w:rFonts w:ascii="Arial" w:hAnsi="Arial" w:cs="Arial"/>
          <w:sz w:val="22"/>
          <w:szCs w:val="22"/>
        </w:rPr>
      </w:pPr>
      <w:r w:rsidRPr="00A53D78">
        <w:rPr>
          <w:rFonts w:ascii="Arial" w:hAnsi="Arial" w:cs="Arial"/>
          <w:b/>
          <w:sz w:val="22"/>
          <w:szCs w:val="22"/>
        </w:rPr>
        <w:t>PROJET DE DÉCISION 12.COM 11.e.2</w:t>
      </w:r>
      <w:r w:rsidR="009E2556" w:rsidRPr="00A53D78">
        <w:rPr>
          <w:rFonts w:ascii="Arial" w:hAnsi="Arial" w:cs="Arial"/>
          <w:b/>
          <w:sz w:val="22"/>
          <w:szCs w:val="22"/>
        </w:rPr>
        <w:tab/>
      </w:r>
      <w:r w:rsidR="009E2556" w:rsidRPr="00A53D78">
        <w:rPr>
          <w:rFonts w:ascii="Arial" w:hAnsi="Arial" w:cs="Arial"/>
          <w:noProof/>
          <w:sz w:val="22"/>
          <w:szCs w:val="22"/>
          <w:lang w:val="en-US" w:eastAsia="ko-KR"/>
        </w:rPr>
        <w:drawing>
          <wp:inline distT="0" distB="0" distL="0" distR="0" wp14:anchorId="03865BEC" wp14:editId="3A0E661D">
            <wp:extent cx="104775" cy="104775"/>
            <wp:effectExtent l="0" t="0" r="9525" b="9525"/>
            <wp:docPr id="3" name="Picture 3" descr="Return to 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0C6EF1" w14:textId="77777777" w:rsidR="00516853" w:rsidRPr="00A53D78"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A53D78">
        <w:rPr>
          <w:rFonts w:ascii="Arial" w:hAnsi="Arial" w:cs="Arial"/>
          <w:sz w:val="22"/>
          <w:szCs w:val="22"/>
        </w:rPr>
        <w:t>Le Comité</w:t>
      </w:r>
    </w:p>
    <w:p w14:paraId="0F08B5CC" w14:textId="77777777" w:rsidR="00516853" w:rsidRPr="00A53D78" w:rsidRDefault="00516853" w:rsidP="00516853">
      <w:pPr>
        <w:numPr>
          <w:ilvl w:val="0"/>
          <w:numId w:val="37"/>
        </w:numPr>
        <w:tabs>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la Bulgarie a proposé </w:t>
      </w:r>
      <w:r w:rsidRPr="00A53D78">
        <w:rPr>
          <w:rFonts w:ascii="Arial" w:hAnsi="Arial" w:cs="Arial"/>
          <w:b/>
          <w:sz w:val="22"/>
          <w:szCs w:val="22"/>
        </w:rPr>
        <w:t>la</w:t>
      </w:r>
      <w:r w:rsidRPr="00A53D78">
        <w:rPr>
          <w:rFonts w:ascii="Arial" w:hAnsi="Arial" w:cs="Arial"/>
          <w:sz w:val="22"/>
          <w:szCs w:val="22"/>
        </w:rPr>
        <w:t xml:space="preserve"> </w:t>
      </w:r>
      <w:proofErr w:type="spellStart"/>
      <w:r w:rsidRPr="00A53D78">
        <w:rPr>
          <w:rFonts w:ascii="Arial" w:hAnsi="Arial" w:cs="Arial"/>
          <w:b/>
          <w:sz w:val="22"/>
          <w:szCs w:val="22"/>
        </w:rPr>
        <w:t>chitalishte</w:t>
      </w:r>
      <w:proofErr w:type="spellEnd"/>
      <w:r w:rsidRPr="00A53D78">
        <w:rPr>
          <w:rFonts w:ascii="Arial" w:hAnsi="Arial" w:cs="Arial"/>
          <w:b/>
          <w:sz w:val="22"/>
          <w:szCs w:val="22"/>
        </w:rPr>
        <w:t xml:space="preserve"> bulgare (centre culturel communautaire), expérience pratique de préservation de la vitalité du patrimoine culturel immatériel</w:t>
      </w:r>
      <w:r w:rsidRPr="00A53D78">
        <w:rPr>
          <w:rFonts w:ascii="Arial" w:hAnsi="Arial" w:cs="Arial"/>
          <w:sz w:val="22"/>
          <w:szCs w:val="22"/>
        </w:rPr>
        <w:t xml:space="preserve"> (n° 00969) pour sélection et promotion par le Comité comme programme, projet ou activité reflétant le mieux les principes et les objectifs de la Convention :</w:t>
      </w:r>
    </w:p>
    <w:p w14:paraId="5C3306F6" w14:textId="4AC6CC3A" w:rsidR="00516853" w:rsidRPr="00A53D78" w:rsidRDefault="00516853" w:rsidP="00516853">
      <w:pPr>
        <w:tabs>
          <w:tab w:val="left" w:pos="1134"/>
          <w:tab w:val="left" w:pos="1701"/>
          <w:tab w:val="left" w:pos="2268"/>
        </w:tabs>
        <w:spacing w:before="120" w:after="120"/>
        <w:ind w:left="1134"/>
        <w:jc w:val="both"/>
        <w:rPr>
          <w:rFonts w:ascii="Arial" w:hAnsi="Arial" w:cs="Arial"/>
          <w:sz w:val="22"/>
          <w:szCs w:val="22"/>
        </w:rPr>
      </w:pPr>
      <w:r w:rsidRPr="00A53D78">
        <w:rPr>
          <w:rFonts w:ascii="Arial" w:hAnsi="Arial" w:cs="Arial"/>
          <w:sz w:val="22"/>
          <w:szCs w:val="22"/>
        </w:rPr>
        <w:t xml:space="preserve">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(centres culturels communautaires) sont uniformément réparties sur l</w:t>
      </w:r>
      <w:r w:rsidR="003F34AE" w:rsidRPr="00A53D78">
        <w:rPr>
          <w:rFonts w:ascii="Arial" w:hAnsi="Arial" w:cs="Arial"/>
          <w:sz w:val="22"/>
          <w:szCs w:val="22"/>
        </w:rPr>
        <w:t>’</w:t>
      </w:r>
      <w:r w:rsidRPr="00A53D78">
        <w:rPr>
          <w:rFonts w:ascii="Arial" w:hAnsi="Arial" w:cs="Arial"/>
          <w:sz w:val="22"/>
          <w:szCs w:val="22"/>
        </w:rPr>
        <w:t>ensemble du territoire bulgare. Elles sont établies par les communautés elles-mêmes et sont ouvertes à tous, indépendamment de l</w:t>
      </w:r>
      <w:r w:rsidR="003F34AE" w:rsidRPr="00A53D78">
        <w:rPr>
          <w:rFonts w:ascii="Arial" w:hAnsi="Arial" w:cs="Arial"/>
          <w:sz w:val="22"/>
          <w:szCs w:val="22"/>
        </w:rPr>
        <w:t>’</w:t>
      </w:r>
      <w:r w:rsidRPr="00A53D78">
        <w:rPr>
          <w:rFonts w:ascii="Arial" w:hAnsi="Arial" w:cs="Arial"/>
          <w:sz w:val="22"/>
          <w:szCs w:val="22"/>
        </w:rPr>
        <w:t xml:space="preserve">âge, du sexe et des opinions politiques ou </w:t>
      </w:r>
      <w:r w:rsidRPr="00A53D78">
        <w:rPr>
          <w:rFonts w:ascii="Arial" w:hAnsi="Arial" w:cs="Arial"/>
          <w:sz w:val="22"/>
          <w:szCs w:val="22"/>
        </w:rPr>
        <w:lastRenderedPageBreak/>
        <w:t xml:space="preserve">religieuses. Les premières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ont été créées en 1856 et ont dès lors été reconnues comme des unités organisationnelles fondamentales de la société bulgare. D</w:t>
      </w:r>
      <w:r w:rsidR="003F34AE" w:rsidRPr="00A53D78">
        <w:rPr>
          <w:rFonts w:ascii="Arial" w:hAnsi="Arial" w:cs="Arial"/>
          <w:sz w:val="22"/>
          <w:szCs w:val="22"/>
        </w:rPr>
        <w:t>’</w:t>
      </w:r>
      <w:r w:rsidRPr="00A53D78">
        <w:rPr>
          <w:rFonts w:ascii="Arial" w:hAnsi="Arial" w:cs="Arial"/>
          <w:sz w:val="22"/>
          <w:szCs w:val="22"/>
        </w:rPr>
        <w:t xml:space="preserve">après la Loi sur 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de 1996, il s</w:t>
      </w:r>
      <w:r w:rsidR="003F34AE" w:rsidRPr="00A53D78">
        <w:rPr>
          <w:rFonts w:ascii="Arial" w:hAnsi="Arial" w:cs="Arial"/>
          <w:sz w:val="22"/>
          <w:szCs w:val="22"/>
        </w:rPr>
        <w:t>’</w:t>
      </w:r>
      <w:r w:rsidRPr="00A53D78">
        <w:rPr>
          <w:rFonts w:ascii="Arial" w:hAnsi="Arial" w:cs="Arial"/>
          <w:sz w:val="22"/>
          <w:szCs w:val="22"/>
        </w:rPr>
        <w:t>agit d</w:t>
      </w:r>
      <w:r w:rsidR="003F34AE" w:rsidRPr="00A53D78">
        <w:rPr>
          <w:rFonts w:ascii="Arial" w:hAnsi="Arial" w:cs="Arial"/>
          <w:sz w:val="22"/>
          <w:szCs w:val="22"/>
        </w:rPr>
        <w:t>’</w:t>
      </w:r>
      <w:r w:rsidRPr="00A53D78">
        <w:rPr>
          <w:rFonts w:ascii="Arial" w:hAnsi="Arial" w:cs="Arial"/>
          <w:sz w:val="22"/>
          <w:szCs w:val="22"/>
        </w:rPr>
        <w:t xml:space="preserve">organisations non gouvernementales auto-réglementées. Conformément à cette loi, elles mènent des activités culturelles et éducatives qui visent à </w:t>
      </w:r>
      <w:r w:rsidR="00825B7B" w:rsidRPr="00A53D78">
        <w:rPr>
          <w:rFonts w:ascii="Arial" w:hAnsi="Arial" w:cs="Arial"/>
          <w:sz w:val="22"/>
          <w:szCs w:val="22"/>
        </w:rPr>
        <w:t xml:space="preserve">sauvegarder </w:t>
      </w:r>
      <w:r w:rsidRPr="00A53D78">
        <w:rPr>
          <w:rFonts w:ascii="Arial" w:hAnsi="Arial" w:cs="Arial"/>
          <w:sz w:val="22"/>
          <w:szCs w:val="22"/>
        </w:rPr>
        <w:t>les coutumes et les traditions du peuple bulgare, à garantir l</w:t>
      </w:r>
      <w:r w:rsidR="003F34AE" w:rsidRPr="00A53D78">
        <w:rPr>
          <w:rFonts w:ascii="Arial" w:hAnsi="Arial" w:cs="Arial"/>
          <w:sz w:val="22"/>
          <w:szCs w:val="22"/>
        </w:rPr>
        <w:t>’</w:t>
      </w:r>
      <w:r w:rsidRPr="00A53D78">
        <w:rPr>
          <w:rFonts w:ascii="Arial" w:hAnsi="Arial" w:cs="Arial"/>
          <w:sz w:val="22"/>
          <w:szCs w:val="22"/>
        </w:rPr>
        <w:t>accès à l</w:t>
      </w:r>
      <w:r w:rsidR="003F34AE" w:rsidRPr="00A53D78">
        <w:rPr>
          <w:rFonts w:ascii="Arial" w:hAnsi="Arial" w:cs="Arial"/>
          <w:sz w:val="22"/>
          <w:szCs w:val="22"/>
        </w:rPr>
        <w:t>’</w:t>
      </w:r>
      <w:r w:rsidRPr="00A53D78">
        <w:rPr>
          <w:rFonts w:ascii="Arial" w:hAnsi="Arial" w:cs="Arial"/>
          <w:sz w:val="22"/>
          <w:szCs w:val="22"/>
        </w:rPr>
        <w:t xml:space="preserve">information, à diffuser des connaissances et à familiariser les citoyens avec les valeurs et les avancées de la science, des arts et de la culture. 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sont essentielles à la transmission du </w:t>
      </w:r>
      <w:r w:rsidR="00825B7B" w:rsidRPr="00A53D78">
        <w:rPr>
          <w:rFonts w:ascii="Arial" w:hAnsi="Arial" w:cs="Arial"/>
          <w:sz w:val="22"/>
          <w:szCs w:val="22"/>
        </w:rPr>
        <w:t xml:space="preserve">patrimoine culturel immatériel </w:t>
      </w:r>
      <w:r w:rsidRPr="00A53D78">
        <w:rPr>
          <w:rFonts w:ascii="Arial" w:hAnsi="Arial" w:cs="Arial"/>
          <w:sz w:val="22"/>
          <w:szCs w:val="22"/>
        </w:rPr>
        <w:t xml:space="preserve">dans le pays, et les membres âgés jouent un rôle important, en encourageant les jeunes à y participer. Le nombre croissant de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et de participants à leurs activités, issus de tous les groupes de population et de toutes les tranches d</w:t>
      </w:r>
      <w:r w:rsidR="003F34AE" w:rsidRPr="00A53D78">
        <w:rPr>
          <w:rFonts w:ascii="Arial" w:hAnsi="Arial" w:cs="Arial"/>
          <w:sz w:val="22"/>
          <w:szCs w:val="22"/>
        </w:rPr>
        <w:t>’</w:t>
      </w:r>
      <w:r w:rsidRPr="00A53D78">
        <w:rPr>
          <w:rFonts w:ascii="Arial" w:hAnsi="Arial" w:cs="Arial"/>
          <w:sz w:val="22"/>
          <w:szCs w:val="22"/>
        </w:rPr>
        <w:t>âge, témoigne de l</w:t>
      </w:r>
      <w:r w:rsidR="003F34AE" w:rsidRPr="00A53D78">
        <w:rPr>
          <w:rFonts w:ascii="Arial" w:hAnsi="Arial" w:cs="Arial"/>
          <w:sz w:val="22"/>
          <w:szCs w:val="22"/>
        </w:rPr>
        <w:t>’</w:t>
      </w:r>
      <w:r w:rsidRPr="00A53D78">
        <w:rPr>
          <w:rFonts w:ascii="Arial" w:hAnsi="Arial" w:cs="Arial"/>
          <w:sz w:val="22"/>
          <w:szCs w:val="22"/>
        </w:rPr>
        <w:t xml:space="preserve">efficacité des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Afin de faire connaître et de populariser le </w:t>
      </w:r>
      <w:r w:rsidR="00825B7B" w:rsidRPr="00A53D78">
        <w:rPr>
          <w:rFonts w:ascii="Arial" w:hAnsi="Arial" w:cs="Arial"/>
          <w:sz w:val="22"/>
          <w:szCs w:val="22"/>
        </w:rPr>
        <w:t>patrimoine culturel immatériel</w:t>
      </w:r>
      <w:r w:rsidRPr="00A53D78">
        <w:rPr>
          <w:rFonts w:ascii="Arial" w:hAnsi="Arial" w:cs="Arial"/>
          <w:sz w:val="22"/>
          <w:szCs w:val="22"/>
        </w:rPr>
        <w:t xml:space="preserve">, 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organisent des festivals, des célébrations, des rassemblements, des expositions et bien d</w:t>
      </w:r>
      <w:r w:rsidR="003F34AE" w:rsidRPr="00A53D78">
        <w:rPr>
          <w:rFonts w:ascii="Arial" w:hAnsi="Arial" w:cs="Arial"/>
          <w:sz w:val="22"/>
          <w:szCs w:val="22"/>
        </w:rPr>
        <w:t>’</w:t>
      </w:r>
      <w:r w:rsidRPr="00A53D78">
        <w:rPr>
          <w:rFonts w:ascii="Arial" w:hAnsi="Arial" w:cs="Arial"/>
          <w:sz w:val="22"/>
          <w:szCs w:val="22"/>
        </w:rPr>
        <w:t>autres manifestations. La création de centres locaux chargés de documenter, d</w:t>
      </w:r>
      <w:r w:rsidR="003F34AE" w:rsidRPr="00A53D78">
        <w:rPr>
          <w:rFonts w:ascii="Arial" w:hAnsi="Arial" w:cs="Arial"/>
          <w:sz w:val="22"/>
          <w:szCs w:val="22"/>
        </w:rPr>
        <w:t>’</w:t>
      </w:r>
      <w:r w:rsidRPr="00A53D78">
        <w:rPr>
          <w:rFonts w:ascii="Arial" w:hAnsi="Arial" w:cs="Arial"/>
          <w:sz w:val="22"/>
          <w:szCs w:val="22"/>
        </w:rPr>
        <w:t xml:space="preserve">archiver et de transmettre les connaissances et les compétences est un moyen novateur de développer les </w:t>
      </w:r>
      <w:proofErr w:type="spellStart"/>
      <w:r w:rsidRPr="00A53D78">
        <w:rPr>
          <w:rFonts w:ascii="Arial" w:hAnsi="Arial" w:cs="Arial"/>
          <w:sz w:val="22"/>
          <w:szCs w:val="22"/>
        </w:rPr>
        <w:t>chitalishta</w:t>
      </w:r>
      <w:proofErr w:type="spellEnd"/>
      <w:r w:rsidRPr="00A53D78">
        <w:rPr>
          <w:rFonts w:ascii="Arial" w:hAnsi="Arial" w:cs="Arial"/>
          <w:sz w:val="22"/>
          <w:szCs w:val="22"/>
        </w:rPr>
        <w:t>.</w:t>
      </w:r>
    </w:p>
    <w:p w14:paraId="2C9EF086" w14:textId="1DB885A0" w:rsidR="00516853" w:rsidRPr="00A53D78" w:rsidRDefault="005C6030" w:rsidP="00516853">
      <w:pPr>
        <w:keepNext/>
        <w:numPr>
          <w:ilvl w:val="0"/>
          <w:numId w:val="37"/>
        </w:numPr>
        <w:tabs>
          <w:tab w:val="left" w:pos="567"/>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Décide</w:t>
      </w:r>
      <w:r w:rsidRPr="00A53D78">
        <w:rPr>
          <w:rFonts w:ascii="Arial" w:hAnsi="Arial" w:cs="Arial"/>
          <w:sz w:val="22"/>
          <w:szCs w:val="22"/>
        </w:rPr>
        <w:t xml:space="preserve"> que, d</w:t>
      </w:r>
      <w:r w:rsidR="003F34AE" w:rsidRPr="00A53D78">
        <w:rPr>
          <w:rFonts w:ascii="Arial" w:hAnsi="Arial" w:cs="Arial"/>
          <w:sz w:val="22"/>
          <w:szCs w:val="22"/>
        </w:rPr>
        <w:t>’</w:t>
      </w:r>
      <w:r w:rsidRPr="00A53D78">
        <w:rPr>
          <w:rFonts w:ascii="Arial" w:hAnsi="Arial" w:cs="Arial"/>
          <w:sz w:val="22"/>
          <w:szCs w:val="22"/>
        </w:rPr>
        <w:t>après l</w:t>
      </w:r>
      <w:r w:rsidR="003F34AE" w:rsidRPr="00A53D78">
        <w:rPr>
          <w:rFonts w:ascii="Arial" w:hAnsi="Arial" w:cs="Arial"/>
          <w:sz w:val="22"/>
          <w:szCs w:val="22"/>
        </w:rPr>
        <w:t>’</w:t>
      </w:r>
      <w:r w:rsidRPr="00A53D78">
        <w:rPr>
          <w:rFonts w:ascii="Arial" w:hAnsi="Arial" w:cs="Arial"/>
          <w:sz w:val="22"/>
          <w:szCs w:val="22"/>
        </w:rPr>
        <w:t xml:space="preserve">information contenue dans le dossier, </w:t>
      </w:r>
      <w:r w:rsidR="00825B7B" w:rsidRPr="00A53D78">
        <w:rPr>
          <w:rFonts w:ascii="Arial" w:hAnsi="Arial" w:cs="Arial"/>
          <w:sz w:val="22"/>
          <w:szCs w:val="22"/>
        </w:rPr>
        <w:t>le programme répond comme suit aux critères énoncés au paragraphe 7 des Directives opérationnelles concernant la sélection en tant que bonne pratique de sauvegarde</w:t>
      </w:r>
      <w:r w:rsidR="00825B7B" w:rsidRPr="00A53D78" w:rsidDel="00825B7B">
        <w:rPr>
          <w:rFonts w:ascii="Arial" w:hAnsi="Arial" w:cs="Arial"/>
          <w:sz w:val="22"/>
          <w:szCs w:val="22"/>
        </w:rPr>
        <w:t xml:space="preserve"> </w:t>
      </w:r>
      <w:r w:rsidR="00516853" w:rsidRPr="00A53D78">
        <w:rPr>
          <w:rFonts w:ascii="Arial" w:hAnsi="Arial" w:cs="Arial"/>
          <w:sz w:val="22"/>
          <w:szCs w:val="22"/>
        </w:rPr>
        <w:t>:</w:t>
      </w:r>
    </w:p>
    <w:p w14:paraId="687E0065" w14:textId="2F761866"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P.1 :</w:t>
      </w:r>
      <w:r w:rsidRPr="00A53D78">
        <w:rPr>
          <w:rFonts w:ascii="Arial" w:hAnsi="Arial" w:cs="Arial"/>
          <w:sz w:val="22"/>
          <w:szCs w:val="22"/>
        </w:rPr>
        <w:tab/>
        <w:t>Bien qu</w:t>
      </w:r>
      <w:r w:rsidR="003F34AE" w:rsidRPr="00A53D78">
        <w:rPr>
          <w:rFonts w:ascii="Arial" w:hAnsi="Arial" w:cs="Arial"/>
          <w:sz w:val="22"/>
          <w:szCs w:val="22"/>
        </w:rPr>
        <w:t>’</w:t>
      </w:r>
      <w:r w:rsidRPr="00A53D78">
        <w:rPr>
          <w:rFonts w:ascii="Arial" w:hAnsi="Arial" w:cs="Arial"/>
          <w:sz w:val="22"/>
          <w:szCs w:val="22"/>
        </w:rPr>
        <w:t xml:space="preserve">elles aient été créées au </w:t>
      </w:r>
      <w:r w:rsidR="00081880" w:rsidRPr="00A53D78">
        <w:rPr>
          <w:rFonts w:ascii="Arial" w:hAnsi="Arial" w:cs="Arial"/>
          <w:sz w:val="22"/>
          <w:szCs w:val="22"/>
        </w:rPr>
        <w:t>XIX</w:t>
      </w:r>
      <w:r w:rsidR="00081880">
        <w:rPr>
          <w:rFonts w:ascii="Arial" w:hAnsi="Arial" w:cs="Arial"/>
          <w:sz w:val="22"/>
          <w:szCs w:val="22"/>
        </w:rPr>
        <w:t>e</w:t>
      </w:r>
      <w:r w:rsidR="00081880" w:rsidRPr="00A53D78">
        <w:rPr>
          <w:rFonts w:ascii="Arial" w:hAnsi="Arial" w:cs="Arial"/>
          <w:sz w:val="22"/>
          <w:szCs w:val="22"/>
        </w:rPr>
        <w:t xml:space="preserve"> </w:t>
      </w:r>
      <w:r w:rsidRPr="00A53D78">
        <w:rPr>
          <w:rFonts w:ascii="Arial" w:hAnsi="Arial" w:cs="Arial"/>
          <w:sz w:val="22"/>
          <w:szCs w:val="22"/>
        </w:rPr>
        <w:t xml:space="preserve">siècle pour </w:t>
      </w:r>
      <w:r w:rsidR="00825B7B" w:rsidRPr="00A53D78">
        <w:rPr>
          <w:rFonts w:ascii="Arial" w:hAnsi="Arial" w:cs="Arial"/>
          <w:sz w:val="22"/>
          <w:szCs w:val="22"/>
        </w:rPr>
        <w:t xml:space="preserve">célébrer </w:t>
      </w:r>
      <w:r w:rsidRPr="00A53D78">
        <w:rPr>
          <w:rFonts w:ascii="Arial" w:hAnsi="Arial" w:cs="Arial"/>
          <w:sz w:val="22"/>
          <w:szCs w:val="22"/>
        </w:rPr>
        <w:t xml:space="preserve">la culture traditionnelle et les coutumes locales, 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ont adapté leurs activités actuelles afin d</w:t>
      </w:r>
      <w:r w:rsidR="003F34AE" w:rsidRPr="00A53D78">
        <w:rPr>
          <w:rFonts w:ascii="Arial" w:hAnsi="Arial" w:cs="Arial"/>
          <w:sz w:val="22"/>
          <w:szCs w:val="22"/>
        </w:rPr>
        <w:t>’</w:t>
      </w:r>
      <w:r w:rsidRPr="00A53D78">
        <w:rPr>
          <w:rFonts w:ascii="Arial" w:hAnsi="Arial" w:cs="Arial"/>
          <w:sz w:val="22"/>
          <w:szCs w:val="22"/>
        </w:rPr>
        <w:t>appliquer des méthodes de sauvegarde pertinentes pour le patrimoine culturel immatériel. Les membres de la communauté</w:t>
      </w:r>
      <w:r w:rsidR="00825B7B" w:rsidRPr="00A53D78">
        <w:rPr>
          <w:rFonts w:ascii="Arial" w:hAnsi="Arial" w:cs="Arial"/>
          <w:sz w:val="22"/>
          <w:szCs w:val="22"/>
        </w:rPr>
        <w:t>, toute génération confondue,</w:t>
      </w:r>
      <w:r w:rsidRPr="00A53D78">
        <w:rPr>
          <w:rFonts w:ascii="Arial" w:hAnsi="Arial" w:cs="Arial"/>
          <w:sz w:val="22"/>
          <w:szCs w:val="22"/>
        </w:rPr>
        <w:t xml:space="preserve"> partagent des valeurs communes, </w:t>
      </w:r>
      <w:r w:rsidR="00825B7B" w:rsidRPr="00A53D78">
        <w:rPr>
          <w:rFonts w:ascii="Arial" w:hAnsi="Arial" w:cs="Arial"/>
          <w:sz w:val="22"/>
          <w:szCs w:val="22"/>
        </w:rPr>
        <w:t>et</w:t>
      </w:r>
      <w:r w:rsidRPr="00A53D78">
        <w:rPr>
          <w:rFonts w:ascii="Arial" w:hAnsi="Arial" w:cs="Arial"/>
          <w:sz w:val="22"/>
          <w:szCs w:val="22"/>
        </w:rPr>
        <w:t xml:space="preserve"> m</w:t>
      </w:r>
      <w:r w:rsidR="00825B7B" w:rsidRPr="00A53D78">
        <w:rPr>
          <w:rFonts w:ascii="Arial" w:hAnsi="Arial" w:cs="Arial"/>
          <w:sz w:val="22"/>
          <w:szCs w:val="22"/>
        </w:rPr>
        <w:t>è</w:t>
      </w:r>
      <w:r w:rsidRPr="00A53D78">
        <w:rPr>
          <w:rFonts w:ascii="Arial" w:hAnsi="Arial" w:cs="Arial"/>
          <w:sz w:val="22"/>
          <w:szCs w:val="22"/>
        </w:rPr>
        <w:t>n</w:t>
      </w:r>
      <w:r w:rsidR="00825B7B" w:rsidRPr="00A53D78">
        <w:rPr>
          <w:rFonts w:ascii="Arial" w:hAnsi="Arial" w:cs="Arial"/>
          <w:sz w:val="22"/>
          <w:szCs w:val="22"/>
        </w:rPr>
        <w:t>e</w:t>
      </w:r>
      <w:r w:rsidRPr="00A53D78">
        <w:rPr>
          <w:rFonts w:ascii="Arial" w:hAnsi="Arial" w:cs="Arial"/>
          <w:sz w:val="22"/>
          <w:szCs w:val="22"/>
        </w:rPr>
        <w:t>nt des activités sociales et éducatives telles que l</w:t>
      </w:r>
      <w:r w:rsidR="003F34AE" w:rsidRPr="00A53D78">
        <w:rPr>
          <w:rFonts w:ascii="Arial" w:hAnsi="Arial" w:cs="Arial"/>
          <w:sz w:val="22"/>
          <w:szCs w:val="22"/>
        </w:rPr>
        <w:t>’</w:t>
      </w:r>
      <w:r w:rsidRPr="00A53D78">
        <w:rPr>
          <w:rFonts w:ascii="Arial" w:hAnsi="Arial" w:cs="Arial"/>
          <w:sz w:val="22"/>
          <w:szCs w:val="22"/>
        </w:rPr>
        <w:t>organisation de célébrations culturelles, de festivals et d</w:t>
      </w:r>
      <w:r w:rsidR="003F34AE" w:rsidRPr="00A53D78">
        <w:rPr>
          <w:rFonts w:ascii="Arial" w:hAnsi="Arial" w:cs="Arial"/>
          <w:sz w:val="22"/>
          <w:szCs w:val="22"/>
        </w:rPr>
        <w:t>’</w:t>
      </w:r>
      <w:r w:rsidRPr="00A53D78">
        <w:rPr>
          <w:rFonts w:ascii="Arial" w:hAnsi="Arial" w:cs="Arial"/>
          <w:sz w:val="22"/>
          <w:szCs w:val="22"/>
        </w:rPr>
        <w:t>expositions, la création de centres locaux de documentation et d</w:t>
      </w:r>
      <w:r w:rsidR="003F34AE" w:rsidRPr="00A53D78">
        <w:rPr>
          <w:rFonts w:ascii="Arial" w:hAnsi="Arial" w:cs="Arial"/>
          <w:sz w:val="22"/>
          <w:szCs w:val="22"/>
        </w:rPr>
        <w:t>’</w:t>
      </w:r>
      <w:r w:rsidRPr="00A53D78">
        <w:rPr>
          <w:rFonts w:ascii="Arial" w:hAnsi="Arial" w:cs="Arial"/>
          <w:sz w:val="22"/>
          <w:szCs w:val="22"/>
        </w:rPr>
        <w:t>archivage, et la sensibilisation à des éléments spécifiques du patrimoine culturel immatériel.</w:t>
      </w:r>
    </w:p>
    <w:p w14:paraId="44E219FA" w14:textId="1279EB7A" w:rsidR="00516853" w:rsidRPr="0034349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P.2 :</w:t>
      </w:r>
      <w:r w:rsidRPr="00A53D78">
        <w:rPr>
          <w:rFonts w:ascii="Arial" w:hAnsi="Arial" w:cs="Arial"/>
          <w:sz w:val="22"/>
          <w:szCs w:val="22"/>
        </w:rPr>
        <w:tab/>
        <w:t xml:space="preserve">Si 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opèrent en tant </w:t>
      </w:r>
      <w:r w:rsidR="00081880" w:rsidRPr="00A53D78">
        <w:rPr>
          <w:rFonts w:ascii="Arial" w:hAnsi="Arial" w:cs="Arial"/>
          <w:sz w:val="22"/>
          <w:szCs w:val="22"/>
        </w:rPr>
        <w:t>qu’</w:t>
      </w:r>
      <w:r w:rsidR="00081880">
        <w:rPr>
          <w:rFonts w:ascii="Arial" w:hAnsi="Arial" w:cs="Arial"/>
          <w:sz w:val="22"/>
          <w:szCs w:val="22"/>
        </w:rPr>
        <w:t>organisation non gouvernementale</w:t>
      </w:r>
      <w:r w:rsidRPr="00A53D78">
        <w:rPr>
          <w:rFonts w:ascii="Arial" w:hAnsi="Arial" w:cs="Arial"/>
          <w:sz w:val="22"/>
          <w:szCs w:val="22"/>
        </w:rPr>
        <w:t>, essentiellement aux niveaux local et national, elles sont également en mesure d</w:t>
      </w:r>
      <w:r w:rsidR="003F34AE" w:rsidRPr="00A53D78">
        <w:rPr>
          <w:rFonts w:ascii="Arial" w:hAnsi="Arial" w:cs="Arial"/>
          <w:sz w:val="22"/>
          <w:szCs w:val="22"/>
        </w:rPr>
        <w:t>’</w:t>
      </w:r>
      <w:r w:rsidRPr="00A53D78">
        <w:rPr>
          <w:rFonts w:ascii="Arial" w:hAnsi="Arial" w:cs="Arial"/>
          <w:sz w:val="22"/>
          <w:szCs w:val="22"/>
        </w:rPr>
        <w:t>intervenir aux niveaux régional et international. Le formulaire mentionne une coopération avec des organismes de pays voisins ainsi qu</w:t>
      </w:r>
      <w:r w:rsidR="003F34AE" w:rsidRPr="00A53D78">
        <w:rPr>
          <w:rFonts w:ascii="Arial" w:hAnsi="Arial" w:cs="Arial"/>
          <w:sz w:val="22"/>
          <w:szCs w:val="22"/>
        </w:rPr>
        <w:t>’</w:t>
      </w:r>
      <w:r w:rsidRPr="00A53D78">
        <w:rPr>
          <w:rFonts w:ascii="Arial" w:hAnsi="Arial" w:cs="Arial"/>
          <w:sz w:val="22"/>
          <w:szCs w:val="22"/>
        </w:rPr>
        <w:t xml:space="preserve">avec le centre de catégorie 2 </w:t>
      </w:r>
      <w:r w:rsidR="00081880">
        <w:rPr>
          <w:rFonts w:ascii="Arial" w:hAnsi="Arial" w:cs="Arial"/>
          <w:sz w:val="22"/>
          <w:szCs w:val="22"/>
        </w:rPr>
        <w:t xml:space="preserve">sous les auspices </w:t>
      </w:r>
      <w:r w:rsidRPr="00A53D78">
        <w:rPr>
          <w:rFonts w:ascii="Arial" w:hAnsi="Arial" w:cs="Arial"/>
          <w:sz w:val="22"/>
          <w:szCs w:val="22"/>
        </w:rPr>
        <w:t>de l</w:t>
      </w:r>
      <w:r w:rsidR="003F34AE" w:rsidRPr="00A53D78">
        <w:rPr>
          <w:rFonts w:ascii="Arial" w:hAnsi="Arial" w:cs="Arial"/>
          <w:sz w:val="22"/>
          <w:szCs w:val="22"/>
        </w:rPr>
        <w:t>’</w:t>
      </w:r>
      <w:r w:rsidRPr="00A53D78">
        <w:rPr>
          <w:rFonts w:ascii="Arial" w:hAnsi="Arial" w:cs="Arial"/>
          <w:sz w:val="22"/>
          <w:szCs w:val="22"/>
        </w:rPr>
        <w:t>UNESCO basé à Sofia</w:t>
      </w:r>
      <w:r w:rsidR="00081880">
        <w:rPr>
          <w:rFonts w:ascii="Arial" w:hAnsi="Arial" w:cs="Arial"/>
          <w:sz w:val="22"/>
          <w:szCs w:val="22"/>
        </w:rPr>
        <w:t xml:space="preserve"> (</w:t>
      </w:r>
      <w:r w:rsidR="00081880" w:rsidRPr="00081880">
        <w:rPr>
          <w:rFonts w:ascii="Arial" w:hAnsi="Arial" w:cs="Arial"/>
          <w:sz w:val="22"/>
          <w:szCs w:val="22"/>
        </w:rPr>
        <w:t>Centre régional pour la sauvegarde du patrimoine cultur</w:t>
      </w:r>
      <w:r w:rsidR="00D65405">
        <w:rPr>
          <w:rFonts w:ascii="Arial" w:hAnsi="Arial" w:cs="Arial"/>
          <w:sz w:val="22"/>
          <w:szCs w:val="22"/>
        </w:rPr>
        <w:t>el immatériel en Europe du Sud-e</w:t>
      </w:r>
      <w:r w:rsidR="00081880" w:rsidRPr="00081880">
        <w:rPr>
          <w:rFonts w:ascii="Arial" w:hAnsi="Arial" w:cs="Arial"/>
          <w:sz w:val="22"/>
          <w:szCs w:val="22"/>
        </w:rPr>
        <w:t>st</w:t>
      </w:r>
      <w:r w:rsidR="00081880">
        <w:rPr>
          <w:rFonts w:ascii="Arial" w:hAnsi="Arial" w:cs="Arial"/>
          <w:sz w:val="22"/>
          <w:szCs w:val="22"/>
        </w:rPr>
        <w:t>)</w:t>
      </w:r>
      <w:r w:rsidRPr="00A53D78">
        <w:rPr>
          <w:rFonts w:ascii="Arial" w:hAnsi="Arial" w:cs="Arial"/>
          <w:sz w:val="22"/>
          <w:szCs w:val="22"/>
        </w:rPr>
        <w:t>, de portée régionale.</w:t>
      </w:r>
    </w:p>
    <w:p w14:paraId="310B6C41" w14:textId="3AFBE044"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P.3 :</w:t>
      </w:r>
      <w:r w:rsidRPr="00A53D78">
        <w:rPr>
          <w:rFonts w:ascii="Arial" w:hAnsi="Arial" w:cs="Arial"/>
          <w:sz w:val="22"/>
          <w:szCs w:val="22"/>
        </w:rPr>
        <w:tab/>
        <w:t xml:space="preserve">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sont des structures inclusives et auto-réglementées. Elles sont créées par les communautés et interviennent principalement à l</w:t>
      </w:r>
      <w:r w:rsidR="003F34AE" w:rsidRPr="00A53D78">
        <w:rPr>
          <w:rFonts w:ascii="Arial" w:hAnsi="Arial" w:cs="Arial"/>
          <w:sz w:val="22"/>
          <w:szCs w:val="22"/>
        </w:rPr>
        <w:t>’</w:t>
      </w:r>
      <w:r w:rsidRPr="00A53D78">
        <w:rPr>
          <w:rFonts w:ascii="Arial" w:hAnsi="Arial" w:cs="Arial"/>
          <w:sz w:val="22"/>
          <w:szCs w:val="22"/>
        </w:rPr>
        <w:t>échelle locale. Leurs objectifs et leurs missions sont, entre autres, de sauvegarder les traditions locales et de satisfaire les besoins culturels par le biais d</w:t>
      </w:r>
      <w:r w:rsidR="003F34AE" w:rsidRPr="00A53D78">
        <w:rPr>
          <w:rFonts w:ascii="Arial" w:hAnsi="Arial" w:cs="Arial"/>
          <w:sz w:val="22"/>
          <w:szCs w:val="22"/>
        </w:rPr>
        <w:t>’</w:t>
      </w:r>
      <w:r w:rsidRPr="00A53D78">
        <w:rPr>
          <w:rFonts w:ascii="Arial" w:hAnsi="Arial" w:cs="Arial"/>
          <w:sz w:val="22"/>
          <w:szCs w:val="22"/>
        </w:rPr>
        <w:t>activités de sensibilisation et d</w:t>
      </w:r>
      <w:r w:rsidR="003F34AE" w:rsidRPr="00A53D78">
        <w:rPr>
          <w:rFonts w:ascii="Arial" w:hAnsi="Arial" w:cs="Arial"/>
          <w:sz w:val="22"/>
          <w:szCs w:val="22"/>
        </w:rPr>
        <w:t>’</w:t>
      </w:r>
      <w:r w:rsidRPr="00A53D78">
        <w:rPr>
          <w:rFonts w:ascii="Arial" w:hAnsi="Arial" w:cs="Arial"/>
          <w:sz w:val="22"/>
          <w:szCs w:val="22"/>
        </w:rPr>
        <w:t>éducation, de diffuser les valeurs culturelles qui y sont associées, d</w:t>
      </w:r>
      <w:r w:rsidR="003F34AE" w:rsidRPr="00A53D78">
        <w:rPr>
          <w:rFonts w:ascii="Arial" w:hAnsi="Arial" w:cs="Arial"/>
          <w:sz w:val="22"/>
          <w:szCs w:val="22"/>
        </w:rPr>
        <w:t>’</w:t>
      </w:r>
      <w:r w:rsidRPr="00A53D78">
        <w:rPr>
          <w:rFonts w:ascii="Arial" w:hAnsi="Arial" w:cs="Arial"/>
          <w:sz w:val="22"/>
          <w:szCs w:val="22"/>
        </w:rPr>
        <w:t>encourager le respect de la diversité culturelle de différentes traditions locales et de participer activement à la coopération internationale. Les activités destinées aux enfants contribuent également</w:t>
      </w:r>
      <w:r w:rsidR="0034349F">
        <w:rPr>
          <w:rFonts w:ascii="Arial" w:hAnsi="Arial" w:cs="Arial"/>
          <w:sz w:val="22"/>
          <w:szCs w:val="22"/>
        </w:rPr>
        <w:t xml:space="preserve"> aux processus de transmission.</w:t>
      </w:r>
    </w:p>
    <w:p w14:paraId="1E44CAB0" w14:textId="1716C531" w:rsidR="00516853" w:rsidRPr="00A53D78" w:rsidRDefault="00F4153D"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w:t>
      </w:r>
      <w:r w:rsidR="00516853" w:rsidRPr="00A53D78">
        <w:rPr>
          <w:rFonts w:ascii="Arial" w:hAnsi="Arial" w:cs="Arial"/>
          <w:sz w:val="22"/>
          <w:szCs w:val="22"/>
        </w:rPr>
        <w:t>.4 :</w:t>
      </w:r>
      <w:r w:rsidR="00516853" w:rsidRPr="00A53D78">
        <w:rPr>
          <w:rFonts w:ascii="Arial" w:hAnsi="Arial" w:cs="Arial"/>
          <w:sz w:val="22"/>
          <w:szCs w:val="22"/>
        </w:rPr>
        <w:tab/>
        <w:t>Ces centres bénéficient d</w:t>
      </w:r>
      <w:r w:rsidR="003F34AE" w:rsidRPr="00A53D78">
        <w:rPr>
          <w:rFonts w:ascii="Arial" w:hAnsi="Arial" w:cs="Arial"/>
          <w:sz w:val="22"/>
          <w:szCs w:val="22"/>
        </w:rPr>
        <w:t>’</w:t>
      </w:r>
      <w:r w:rsidR="00516853" w:rsidRPr="00A53D78">
        <w:rPr>
          <w:rFonts w:ascii="Arial" w:hAnsi="Arial" w:cs="Arial"/>
          <w:sz w:val="22"/>
          <w:szCs w:val="22"/>
        </w:rPr>
        <w:t>un large soutien des pouvoirs publics, d</w:t>
      </w:r>
      <w:r w:rsidR="003F34AE" w:rsidRPr="00A53D78">
        <w:rPr>
          <w:rFonts w:ascii="Arial" w:hAnsi="Arial" w:cs="Arial"/>
          <w:sz w:val="22"/>
          <w:szCs w:val="22"/>
        </w:rPr>
        <w:t>’</w:t>
      </w:r>
      <w:r w:rsidR="00516853" w:rsidRPr="00A53D78">
        <w:rPr>
          <w:rFonts w:ascii="Arial" w:hAnsi="Arial" w:cs="Arial"/>
          <w:sz w:val="22"/>
          <w:szCs w:val="22"/>
        </w:rPr>
        <w:t>organismes et de différents publics dans l</w:t>
      </w:r>
      <w:r w:rsidR="003F34AE" w:rsidRPr="00A53D78">
        <w:rPr>
          <w:rFonts w:ascii="Arial" w:hAnsi="Arial" w:cs="Arial"/>
          <w:sz w:val="22"/>
          <w:szCs w:val="22"/>
        </w:rPr>
        <w:t>’</w:t>
      </w:r>
      <w:r w:rsidR="00516853" w:rsidRPr="00A53D78">
        <w:rPr>
          <w:rFonts w:ascii="Arial" w:hAnsi="Arial" w:cs="Arial"/>
          <w:sz w:val="22"/>
          <w:szCs w:val="22"/>
        </w:rPr>
        <w:t xml:space="preserve">ensemble du pays. Au fil du temps, les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xml:space="preserve"> ont contribué à la sauvegarde et à la transmission du patrimoine culturel immatériel à travers différents programmes éducatifs ainsi qu</w:t>
      </w:r>
      <w:r w:rsidR="003F34AE" w:rsidRPr="00A53D78">
        <w:rPr>
          <w:rFonts w:ascii="Arial" w:hAnsi="Arial" w:cs="Arial"/>
          <w:sz w:val="22"/>
          <w:szCs w:val="22"/>
        </w:rPr>
        <w:t>’</w:t>
      </w:r>
      <w:r w:rsidR="00516853" w:rsidRPr="00A53D78">
        <w:rPr>
          <w:rFonts w:ascii="Arial" w:hAnsi="Arial" w:cs="Arial"/>
          <w:sz w:val="22"/>
          <w:szCs w:val="22"/>
        </w:rPr>
        <w:t xml:space="preserve">à la documentation et à la promotion des traditions locales. Les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xml:space="preserve"> ont comme responsabilités spécifiques de soutenir les détenteurs de traditions et d</w:t>
      </w:r>
      <w:r w:rsidR="003F34AE" w:rsidRPr="00A53D78">
        <w:rPr>
          <w:rFonts w:ascii="Arial" w:hAnsi="Arial" w:cs="Arial"/>
          <w:sz w:val="22"/>
          <w:szCs w:val="22"/>
        </w:rPr>
        <w:t>’</w:t>
      </w:r>
      <w:r w:rsidR="00516853" w:rsidRPr="00A53D78">
        <w:rPr>
          <w:rFonts w:ascii="Arial" w:hAnsi="Arial" w:cs="Arial"/>
          <w:sz w:val="22"/>
          <w:szCs w:val="22"/>
        </w:rPr>
        <w:t>actualiser le système national des « Trésors huma</w:t>
      </w:r>
      <w:r w:rsidR="0034349F">
        <w:rPr>
          <w:rFonts w:ascii="Arial" w:hAnsi="Arial" w:cs="Arial"/>
          <w:sz w:val="22"/>
          <w:szCs w:val="22"/>
        </w:rPr>
        <w:t>ins vivants ».</w:t>
      </w:r>
    </w:p>
    <w:p w14:paraId="502089F1" w14:textId="465372C2" w:rsidR="00516853" w:rsidRPr="00A53D78" w:rsidRDefault="00F4153D"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w:t>
      </w:r>
      <w:r w:rsidR="00516853" w:rsidRPr="00A53D78">
        <w:rPr>
          <w:rFonts w:ascii="Arial" w:hAnsi="Arial" w:cs="Arial"/>
          <w:sz w:val="22"/>
          <w:szCs w:val="22"/>
        </w:rPr>
        <w:t>.5 :</w:t>
      </w:r>
      <w:r w:rsidR="00516853" w:rsidRPr="00A53D78">
        <w:rPr>
          <w:rFonts w:ascii="Arial" w:hAnsi="Arial" w:cs="Arial"/>
          <w:sz w:val="22"/>
          <w:szCs w:val="22"/>
        </w:rPr>
        <w:tab/>
        <w:t xml:space="preserve">De vastes consultations publiques ont précédé la </w:t>
      </w:r>
      <w:r w:rsidR="005D4523" w:rsidRPr="00A53D78">
        <w:rPr>
          <w:rFonts w:ascii="Arial" w:hAnsi="Arial" w:cs="Arial"/>
          <w:sz w:val="22"/>
          <w:szCs w:val="22"/>
        </w:rPr>
        <w:t xml:space="preserve">proposition </w:t>
      </w:r>
      <w:r w:rsidR="00516853" w:rsidRPr="00A53D78">
        <w:rPr>
          <w:rFonts w:ascii="Arial" w:hAnsi="Arial" w:cs="Arial"/>
          <w:sz w:val="22"/>
          <w:szCs w:val="22"/>
        </w:rPr>
        <w:t xml:space="preserve">et des documents attestant du consentement de vingt-neuf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xml:space="preserve"> et organisations partenaires sont fournis.</w:t>
      </w:r>
      <w:r w:rsidR="005D4523" w:rsidRPr="00A53D78">
        <w:rPr>
          <w:rFonts w:ascii="Arial" w:hAnsi="Arial" w:cs="Arial"/>
          <w:sz w:val="22"/>
          <w:szCs w:val="22"/>
        </w:rPr>
        <w:t xml:space="preserve"> </w:t>
      </w:r>
      <w:r w:rsidR="00516853" w:rsidRPr="00A53D78">
        <w:rPr>
          <w:rFonts w:ascii="Arial" w:hAnsi="Arial" w:cs="Arial"/>
          <w:sz w:val="22"/>
          <w:szCs w:val="22"/>
        </w:rPr>
        <w:t>La participation de la communauté est à la base de l</w:t>
      </w:r>
      <w:r w:rsidR="003F34AE" w:rsidRPr="00A53D78">
        <w:rPr>
          <w:rFonts w:ascii="Arial" w:hAnsi="Arial" w:cs="Arial"/>
          <w:sz w:val="22"/>
          <w:szCs w:val="22"/>
        </w:rPr>
        <w:t>’</w:t>
      </w:r>
      <w:r w:rsidR="00516853" w:rsidRPr="00A53D78">
        <w:rPr>
          <w:rFonts w:ascii="Arial" w:hAnsi="Arial" w:cs="Arial"/>
          <w:sz w:val="22"/>
          <w:szCs w:val="22"/>
        </w:rPr>
        <w:t>organisation et des activités de ces centres communautaires locaux. Les membres de la communauté interviennent volontairement en tant qu</w:t>
      </w:r>
      <w:r w:rsidR="003F34AE" w:rsidRPr="00A53D78">
        <w:rPr>
          <w:rFonts w:ascii="Arial" w:hAnsi="Arial" w:cs="Arial"/>
          <w:sz w:val="22"/>
          <w:szCs w:val="22"/>
        </w:rPr>
        <w:t>’</w:t>
      </w:r>
      <w:r w:rsidR="00516853" w:rsidRPr="00A53D78">
        <w:rPr>
          <w:rFonts w:ascii="Arial" w:hAnsi="Arial" w:cs="Arial"/>
          <w:sz w:val="22"/>
          <w:szCs w:val="22"/>
        </w:rPr>
        <w:t>organisateurs, participants (pour transmettre le patrimoine culturel immatériel ou découvrir des traditions vivantes) ou membres du public, souvent dès leur plus jeune âge. Cependant, le dossier ne décrit pas spécifiquement la manière dont les membres de la communauté son</w:t>
      </w:r>
      <w:r w:rsidR="0034349F">
        <w:rPr>
          <w:rFonts w:ascii="Arial" w:hAnsi="Arial" w:cs="Arial"/>
          <w:sz w:val="22"/>
          <w:szCs w:val="22"/>
        </w:rPr>
        <w:t>t impliqués dans les activités.</w:t>
      </w:r>
    </w:p>
    <w:p w14:paraId="0B58D1BF" w14:textId="0A5FB857" w:rsidR="00516853" w:rsidRPr="00A53D78" w:rsidRDefault="00F4153D"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w:t>
      </w:r>
      <w:r w:rsidR="00516853" w:rsidRPr="00A53D78">
        <w:rPr>
          <w:rFonts w:ascii="Arial" w:hAnsi="Arial" w:cs="Arial"/>
          <w:sz w:val="22"/>
          <w:szCs w:val="22"/>
        </w:rPr>
        <w:t>.6 :</w:t>
      </w:r>
      <w:r w:rsidR="00516853" w:rsidRPr="00A53D78">
        <w:rPr>
          <w:rFonts w:ascii="Arial" w:hAnsi="Arial" w:cs="Arial"/>
          <w:sz w:val="22"/>
          <w:szCs w:val="22"/>
        </w:rPr>
        <w:tab/>
        <w:t xml:space="preserve">Le modèle des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xml:space="preserve"> pourrait être appliqué à différentes situations locales. Leur système et leur structure organisationnelle sont tout à fait adaptables, comme l</w:t>
      </w:r>
      <w:r w:rsidR="003F34AE" w:rsidRPr="00A53D78">
        <w:rPr>
          <w:rFonts w:ascii="Arial" w:hAnsi="Arial" w:cs="Arial"/>
          <w:sz w:val="22"/>
          <w:szCs w:val="22"/>
        </w:rPr>
        <w:t>’</w:t>
      </w:r>
      <w:r w:rsidR="00516853" w:rsidRPr="00A53D78">
        <w:rPr>
          <w:rFonts w:ascii="Arial" w:hAnsi="Arial" w:cs="Arial"/>
          <w:sz w:val="22"/>
          <w:szCs w:val="22"/>
        </w:rPr>
        <w:t>ont prouvé leurs nombreux centres avec des programmes et des activités conçus selon les aspirations et l</w:t>
      </w:r>
      <w:r w:rsidR="003F34AE" w:rsidRPr="00A53D78">
        <w:rPr>
          <w:rFonts w:ascii="Arial" w:hAnsi="Arial" w:cs="Arial"/>
          <w:sz w:val="22"/>
          <w:szCs w:val="22"/>
        </w:rPr>
        <w:t>’</w:t>
      </w:r>
      <w:r w:rsidR="00516853" w:rsidRPr="00A53D78">
        <w:rPr>
          <w:rFonts w:ascii="Arial" w:hAnsi="Arial" w:cs="Arial"/>
          <w:sz w:val="22"/>
          <w:szCs w:val="22"/>
        </w:rPr>
        <w:t>implication des différentes communautés locales qui les dirigent. Ces centres sont ainsi en mesure de répondre aux besoins de la communauté, tout en restant guidés par la réglementation nationale et en bénéficiant d</w:t>
      </w:r>
      <w:r w:rsidR="003F34AE" w:rsidRPr="00A53D78">
        <w:rPr>
          <w:rFonts w:ascii="Arial" w:hAnsi="Arial" w:cs="Arial"/>
          <w:sz w:val="22"/>
          <w:szCs w:val="22"/>
        </w:rPr>
        <w:t>’</w:t>
      </w:r>
      <w:r w:rsidR="00516853" w:rsidRPr="00A53D78">
        <w:rPr>
          <w:rFonts w:ascii="Arial" w:hAnsi="Arial" w:cs="Arial"/>
          <w:sz w:val="22"/>
          <w:szCs w:val="22"/>
        </w:rPr>
        <w:t xml:space="preserve">un large soutien des pouvoirs publics. Les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xml:space="preserve"> offrent un environnement naturel pour l</w:t>
      </w:r>
      <w:r w:rsidR="003F34AE" w:rsidRPr="00A53D78">
        <w:rPr>
          <w:rFonts w:ascii="Arial" w:hAnsi="Arial" w:cs="Arial"/>
          <w:sz w:val="22"/>
          <w:szCs w:val="22"/>
        </w:rPr>
        <w:t>’</w:t>
      </w:r>
      <w:r w:rsidR="00516853" w:rsidRPr="00A53D78">
        <w:rPr>
          <w:rFonts w:ascii="Arial" w:hAnsi="Arial" w:cs="Arial"/>
          <w:sz w:val="22"/>
          <w:szCs w:val="22"/>
        </w:rPr>
        <w:t>éducation informelle et les projets locaux, et se caractérisent par la tolérance à l</w:t>
      </w:r>
      <w:r w:rsidR="003F34AE" w:rsidRPr="00A53D78">
        <w:rPr>
          <w:rFonts w:ascii="Arial" w:hAnsi="Arial" w:cs="Arial"/>
          <w:sz w:val="22"/>
          <w:szCs w:val="22"/>
        </w:rPr>
        <w:t>’</w:t>
      </w:r>
      <w:r w:rsidR="00516853" w:rsidRPr="00A53D78">
        <w:rPr>
          <w:rFonts w:ascii="Arial" w:hAnsi="Arial" w:cs="Arial"/>
          <w:sz w:val="22"/>
          <w:szCs w:val="22"/>
        </w:rPr>
        <w:t xml:space="preserve">égard de différentes traditions culturelles, garantissant ainsi le respect de la diversité culturelle aux niveaux régional, </w:t>
      </w:r>
      <w:proofErr w:type="spellStart"/>
      <w:r w:rsidR="0034349F">
        <w:rPr>
          <w:rFonts w:ascii="Arial" w:hAnsi="Arial" w:cs="Arial"/>
          <w:sz w:val="22"/>
          <w:szCs w:val="22"/>
        </w:rPr>
        <w:t>sous-régional</w:t>
      </w:r>
      <w:proofErr w:type="spellEnd"/>
      <w:r w:rsidR="0034349F">
        <w:rPr>
          <w:rFonts w:ascii="Arial" w:hAnsi="Arial" w:cs="Arial"/>
          <w:sz w:val="22"/>
          <w:szCs w:val="22"/>
        </w:rPr>
        <w:t xml:space="preserve"> et international.</w:t>
      </w:r>
    </w:p>
    <w:p w14:paraId="69735524" w14:textId="07960EF5"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P.7 :</w:t>
      </w:r>
      <w:r w:rsidRPr="00A53D78">
        <w:rPr>
          <w:rFonts w:ascii="Arial" w:hAnsi="Arial" w:cs="Arial"/>
          <w:sz w:val="22"/>
          <w:szCs w:val="22"/>
        </w:rPr>
        <w:tab/>
        <w:t xml:space="preserve">Le dossier montre la détermination des différentes parties prenantes des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à contribuer à la diffusion de ses pratiques et des enseignements reçus. Les partenariats et la collaboration avec différentes institutions en attestent, par exemple avec le </w:t>
      </w:r>
      <w:r w:rsidR="00D65405" w:rsidRPr="00D65405">
        <w:rPr>
          <w:rFonts w:ascii="Arial" w:hAnsi="Arial" w:cs="Arial"/>
          <w:sz w:val="22"/>
          <w:szCs w:val="22"/>
        </w:rPr>
        <w:t>Centre régional pour la sauvegarde du patrimoine cultur</w:t>
      </w:r>
      <w:r w:rsidR="00D65405">
        <w:rPr>
          <w:rFonts w:ascii="Arial" w:hAnsi="Arial" w:cs="Arial"/>
          <w:sz w:val="22"/>
          <w:szCs w:val="22"/>
        </w:rPr>
        <w:t>el immatériel en Europe du Sud-e</w:t>
      </w:r>
      <w:r w:rsidR="00D65405" w:rsidRPr="00D65405">
        <w:rPr>
          <w:rFonts w:ascii="Arial" w:hAnsi="Arial" w:cs="Arial"/>
          <w:sz w:val="22"/>
          <w:szCs w:val="22"/>
        </w:rPr>
        <w:t>st</w:t>
      </w:r>
      <w:r w:rsidR="00D65405" w:rsidRPr="00D65405" w:rsidDel="00D65405">
        <w:rPr>
          <w:rFonts w:ascii="Arial" w:hAnsi="Arial" w:cs="Arial"/>
          <w:sz w:val="22"/>
          <w:szCs w:val="22"/>
        </w:rPr>
        <w:t xml:space="preserve"> </w:t>
      </w:r>
      <w:r w:rsidRPr="00A53D78">
        <w:rPr>
          <w:rFonts w:ascii="Arial" w:hAnsi="Arial" w:cs="Arial"/>
          <w:sz w:val="22"/>
          <w:szCs w:val="22"/>
        </w:rPr>
        <w:t>à Sofia, le Musée ethnographique, l</w:t>
      </w:r>
      <w:r w:rsidR="003F34AE" w:rsidRPr="00A53D78">
        <w:rPr>
          <w:rFonts w:ascii="Arial" w:hAnsi="Arial" w:cs="Arial"/>
          <w:sz w:val="22"/>
          <w:szCs w:val="22"/>
        </w:rPr>
        <w:t>’</w:t>
      </w:r>
      <w:r w:rsidRPr="00A53D78">
        <w:rPr>
          <w:rFonts w:ascii="Arial" w:hAnsi="Arial" w:cs="Arial"/>
          <w:sz w:val="22"/>
          <w:szCs w:val="22"/>
        </w:rPr>
        <w:t>Institut d</w:t>
      </w:r>
      <w:r w:rsidR="003F34AE" w:rsidRPr="00A53D78">
        <w:rPr>
          <w:rFonts w:ascii="Arial" w:hAnsi="Arial" w:cs="Arial"/>
          <w:sz w:val="22"/>
          <w:szCs w:val="22"/>
        </w:rPr>
        <w:t>’</w:t>
      </w:r>
      <w:r w:rsidRPr="00A53D78">
        <w:rPr>
          <w:rFonts w:ascii="Arial" w:hAnsi="Arial" w:cs="Arial"/>
          <w:sz w:val="22"/>
          <w:szCs w:val="22"/>
        </w:rPr>
        <w:t>ethnologie et d</w:t>
      </w:r>
      <w:r w:rsidR="003F34AE" w:rsidRPr="00A53D78">
        <w:rPr>
          <w:rFonts w:ascii="Arial" w:hAnsi="Arial" w:cs="Arial"/>
          <w:sz w:val="22"/>
          <w:szCs w:val="22"/>
        </w:rPr>
        <w:t>’</w:t>
      </w:r>
      <w:r w:rsidRPr="00A53D78">
        <w:rPr>
          <w:rFonts w:ascii="Arial" w:hAnsi="Arial" w:cs="Arial"/>
          <w:sz w:val="22"/>
          <w:szCs w:val="22"/>
        </w:rPr>
        <w:t xml:space="preserve">études du folklore et le Centre national du patrimoine culturel immatériel. Un site Internet </w:t>
      </w:r>
      <w:r w:rsidR="005D4523" w:rsidRPr="00A53D78">
        <w:rPr>
          <w:rFonts w:ascii="Arial" w:hAnsi="Arial" w:cs="Arial"/>
          <w:sz w:val="22"/>
          <w:szCs w:val="22"/>
        </w:rPr>
        <w:t xml:space="preserve">dédié </w:t>
      </w:r>
      <w:r w:rsidRPr="00A53D78">
        <w:rPr>
          <w:rFonts w:ascii="Arial" w:hAnsi="Arial" w:cs="Arial"/>
          <w:sz w:val="22"/>
          <w:szCs w:val="22"/>
        </w:rPr>
        <w:t>a été créé a</w:t>
      </w:r>
      <w:r w:rsidR="0034349F">
        <w:rPr>
          <w:rFonts w:ascii="Arial" w:hAnsi="Arial" w:cs="Arial"/>
          <w:sz w:val="22"/>
          <w:szCs w:val="22"/>
        </w:rPr>
        <w:t>fin de promouvoir le programme.</w:t>
      </w:r>
    </w:p>
    <w:p w14:paraId="08962E3B" w14:textId="4CDE0658" w:rsidR="00516853" w:rsidRPr="00A53D78" w:rsidRDefault="00F4153D"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w:t>
      </w:r>
      <w:r w:rsidR="00516853" w:rsidRPr="00A53D78">
        <w:rPr>
          <w:rFonts w:ascii="Arial" w:hAnsi="Arial" w:cs="Arial"/>
          <w:sz w:val="22"/>
          <w:szCs w:val="22"/>
        </w:rPr>
        <w:t>.8 :</w:t>
      </w:r>
      <w:r w:rsidR="00516853" w:rsidRPr="00A53D78">
        <w:rPr>
          <w:rFonts w:ascii="Arial" w:hAnsi="Arial" w:cs="Arial"/>
          <w:sz w:val="22"/>
          <w:szCs w:val="22"/>
        </w:rPr>
        <w:tab/>
        <w:t xml:space="preserve">Dans chaque </w:t>
      </w:r>
      <w:proofErr w:type="spellStart"/>
      <w:r w:rsidR="00516853" w:rsidRPr="00A53D78">
        <w:rPr>
          <w:rFonts w:ascii="Arial" w:hAnsi="Arial" w:cs="Arial"/>
          <w:sz w:val="22"/>
          <w:szCs w:val="22"/>
        </w:rPr>
        <w:t>chitalishte</w:t>
      </w:r>
      <w:proofErr w:type="spellEnd"/>
      <w:r w:rsidR="00516853" w:rsidRPr="00A53D78">
        <w:rPr>
          <w:rFonts w:ascii="Arial" w:hAnsi="Arial" w:cs="Arial"/>
          <w:sz w:val="22"/>
          <w:szCs w:val="22"/>
        </w:rPr>
        <w:t xml:space="preserve">, la commission de contrôle, un organe interne auto-réglementé, réalise une évaluation des activités. Conformément à la législation nationale relative aux </w:t>
      </w:r>
      <w:proofErr w:type="spellStart"/>
      <w:r w:rsidR="00516853" w:rsidRPr="00A53D78">
        <w:rPr>
          <w:rFonts w:ascii="Arial" w:hAnsi="Arial" w:cs="Arial"/>
          <w:sz w:val="22"/>
          <w:szCs w:val="22"/>
        </w:rPr>
        <w:t>chitalishta</w:t>
      </w:r>
      <w:proofErr w:type="spellEnd"/>
      <w:r w:rsidR="00516853" w:rsidRPr="00A53D78">
        <w:rPr>
          <w:rFonts w:ascii="Arial" w:hAnsi="Arial" w:cs="Arial"/>
          <w:sz w:val="22"/>
          <w:szCs w:val="22"/>
        </w:rPr>
        <w:t>, l</w:t>
      </w:r>
      <w:r w:rsidR="003F34AE" w:rsidRPr="00A53D78">
        <w:rPr>
          <w:rFonts w:ascii="Arial" w:hAnsi="Arial" w:cs="Arial"/>
          <w:sz w:val="22"/>
          <w:szCs w:val="22"/>
        </w:rPr>
        <w:t>’</w:t>
      </w:r>
      <w:r w:rsidR="00516853" w:rsidRPr="00A53D78">
        <w:rPr>
          <w:rFonts w:ascii="Arial" w:hAnsi="Arial" w:cs="Arial"/>
          <w:sz w:val="22"/>
          <w:szCs w:val="22"/>
        </w:rPr>
        <w:t>assemblée générale de chaque centre soumet le programme qu</w:t>
      </w:r>
      <w:r w:rsidR="003F34AE" w:rsidRPr="00A53D78">
        <w:rPr>
          <w:rFonts w:ascii="Arial" w:hAnsi="Arial" w:cs="Arial"/>
          <w:sz w:val="22"/>
          <w:szCs w:val="22"/>
        </w:rPr>
        <w:t>’</w:t>
      </w:r>
      <w:r w:rsidR="00516853" w:rsidRPr="00A53D78">
        <w:rPr>
          <w:rFonts w:ascii="Arial" w:hAnsi="Arial" w:cs="Arial"/>
          <w:sz w:val="22"/>
          <w:szCs w:val="22"/>
        </w:rPr>
        <w:t xml:space="preserve">elle a adopté aux autorités municipales. Elles sont également soumises à des cycles continus de contrôle interne et externe, et chaque </w:t>
      </w:r>
      <w:proofErr w:type="spellStart"/>
      <w:r w:rsidR="00516853" w:rsidRPr="00A53D78">
        <w:rPr>
          <w:rFonts w:ascii="Arial" w:hAnsi="Arial" w:cs="Arial"/>
          <w:sz w:val="22"/>
          <w:szCs w:val="22"/>
        </w:rPr>
        <w:t>chitalishte</w:t>
      </w:r>
      <w:proofErr w:type="spellEnd"/>
      <w:r w:rsidR="00516853" w:rsidRPr="00A53D78">
        <w:rPr>
          <w:rFonts w:ascii="Arial" w:hAnsi="Arial" w:cs="Arial"/>
          <w:sz w:val="22"/>
          <w:szCs w:val="22"/>
        </w:rPr>
        <w:t xml:space="preserve"> est tenue de remplir un questionnaire du </w:t>
      </w:r>
      <w:r w:rsidR="00A87B27">
        <w:rPr>
          <w:rFonts w:ascii="Arial" w:hAnsi="Arial" w:cs="Arial"/>
          <w:sz w:val="22"/>
          <w:szCs w:val="22"/>
        </w:rPr>
        <w:t>M</w:t>
      </w:r>
      <w:r w:rsidR="00516853" w:rsidRPr="00A53D78">
        <w:rPr>
          <w:rFonts w:ascii="Arial" w:hAnsi="Arial" w:cs="Arial"/>
          <w:sz w:val="22"/>
          <w:szCs w:val="22"/>
        </w:rPr>
        <w:t xml:space="preserve">inistère de la </w:t>
      </w:r>
      <w:r w:rsidR="00A87B27">
        <w:rPr>
          <w:rFonts w:ascii="Arial" w:hAnsi="Arial" w:cs="Arial"/>
          <w:sz w:val="22"/>
          <w:szCs w:val="22"/>
        </w:rPr>
        <w:t>c</w:t>
      </w:r>
      <w:r w:rsidR="00516853" w:rsidRPr="00A53D78">
        <w:rPr>
          <w:rFonts w:ascii="Arial" w:hAnsi="Arial" w:cs="Arial"/>
          <w:sz w:val="22"/>
          <w:szCs w:val="22"/>
        </w:rPr>
        <w:t>ulture à ce</w:t>
      </w:r>
      <w:r w:rsidR="0034349F">
        <w:rPr>
          <w:rFonts w:ascii="Arial" w:hAnsi="Arial" w:cs="Arial"/>
          <w:sz w:val="22"/>
          <w:szCs w:val="22"/>
        </w:rPr>
        <w:t>t effet.</w:t>
      </w:r>
    </w:p>
    <w:p w14:paraId="04785358" w14:textId="473BF0C9"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P.9 :</w:t>
      </w:r>
      <w:r w:rsidRPr="00A53D78">
        <w:rPr>
          <w:rFonts w:ascii="Arial" w:hAnsi="Arial" w:cs="Arial"/>
          <w:sz w:val="22"/>
          <w:szCs w:val="22"/>
        </w:rPr>
        <w:tab/>
        <w:t xml:space="preserve">Les </w:t>
      </w:r>
      <w:proofErr w:type="spellStart"/>
      <w:r w:rsidRPr="00A53D78">
        <w:rPr>
          <w:rFonts w:ascii="Arial" w:hAnsi="Arial" w:cs="Arial"/>
          <w:sz w:val="22"/>
          <w:szCs w:val="22"/>
        </w:rPr>
        <w:t>chitalishta</w:t>
      </w:r>
      <w:proofErr w:type="spellEnd"/>
      <w:r w:rsidRPr="00A53D78">
        <w:rPr>
          <w:rFonts w:ascii="Arial" w:hAnsi="Arial" w:cs="Arial"/>
          <w:sz w:val="22"/>
          <w:szCs w:val="22"/>
        </w:rPr>
        <w:t xml:space="preserve"> ne servent pas uniquement de centres du patrimoine culturel immatériel mais s</w:t>
      </w:r>
      <w:r w:rsidR="003F34AE" w:rsidRPr="00A53D78">
        <w:rPr>
          <w:rFonts w:ascii="Arial" w:hAnsi="Arial" w:cs="Arial"/>
          <w:sz w:val="22"/>
          <w:szCs w:val="22"/>
        </w:rPr>
        <w:t>’</w:t>
      </w:r>
      <w:r w:rsidRPr="00A53D78">
        <w:rPr>
          <w:rFonts w:ascii="Arial" w:hAnsi="Arial" w:cs="Arial"/>
          <w:sz w:val="22"/>
          <w:szCs w:val="22"/>
        </w:rPr>
        <w:t>intéressent aussi à un grand nombre de sujets et de problèmes locaux. Elles contribuent à coordonner les ressources et les politiques locales et nationales en matière de patrimoine culturel, et collaborent également en continu avec les écoles, ce qui élargit considérablement les possibilités d</w:t>
      </w:r>
      <w:r w:rsidR="003F34AE" w:rsidRPr="00A53D78">
        <w:rPr>
          <w:rFonts w:ascii="Arial" w:hAnsi="Arial" w:cs="Arial"/>
          <w:sz w:val="22"/>
          <w:szCs w:val="22"/>
        </w:rPr>
        <w:t>’</w:t>
      </w:r>
      <w:r w:rsidRPr="00A53D78">
        <w:rPr>
          <w:rFonts w:ascii="Arial" w:hAnsi="Arial" w:cs="Arial"/>
          <w:sz w:val="22"/>
          <w:szCs w:val="22"/>
        </w:rPr>
        <w:t>associer des méthodes d</w:t>
      </w:r>
      <w:r w:rsidR="003F34AE" w:rsidRPr="00A53D78">
        <w:rPr>
          <w:rFonts w:ascii="Arial" w:hAnsi="Arial" w:cs="Arial"/>
          <w:sz w:val="22"/>
          <w:szCs w:val="22"/>
        </w:rPr>
        <w:t>’</w:t>
      </w:r>
      <w:r w:rsidRPr="00A53D78">
        <w:rPr>
          <w:rFonts w:ascii="Arial" w:hAnsi="Arial" w:cs="Arial"/>
          <w:sz w:val="22"/>
          <w:szCs w:val="22"/>
        </w:rPr>
        <w:t>e</w:t>
      </w:r>
      <w:r w:rsidR="0034349F">
        <w:rPr>
          <w:rFonts w:ascii="Arial" w:hAnsi="Arial" w:cs="Arial"/>
          <w:sz w:val="22"/>
          <w:szCs w:val="22"/>
        </w:rPr>
        <w:t>nseignement formel et informel.</w:t>
      </w:r>
    </w:p>
    <w:p w14:paraId="17221C81" w14:textId="5CF89FD2" w:rsidR="00516853" w:rsidRPr="00A53D78" w:rsidRDefault="00516853" w:rsidP="004C67FA">
      <w:pPr>
        <w:keepLines/>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A53D78">
        <w:rPr>
          <w:rFonts w:ascii="Arial" w:hAnsi="Arial" w:cs="Arial"/>
          <w:bCs/>
          <w:sz w:val="22"/>
          <w:szCs w:val="22"/>
          <w:u w:val="single"/>
        </w:rPr>
        <w:t>Sélectionne</w:t>
      </w:r>
      <w:r w:rsidRPr="00A53D78">
        <w:rPr>
          <w:rFonts w:ascii="Arial" w:hAnsi="Arial" w:cs="Arial"/>
          <w:bCs/>
          <w:sz w:val="22"/>
          <w:szCs w:val="22"/>
        </w:rPr>
        <w:t xml:space="preserve"> </w:t>
      </w:r>
      <w:r w:rsidRPr="00A53D78">
        <w:rPr>
          <w:rFonts w:ascii="Arial" w:hAnsi="Arial" w:cs="Arial"/>
          <w:b/>
          <w:bCs/>
          <w:sz w:val="22"/>
          <w:szCs w:val="22"/>
        </w:rPr>
        <w:t xml:space="preserve">la </w:t>
      </w:r>
      <w:proofErr w:type="spellStart"/>
      <w:r w:rsidRPr="00A53D78">
        <w:rPr>
          <w:rFonts w:ascii="Arial" w:hAnsi="Arial" w:cs="Arial"/>
          <w:b/>
          <w:bCs/>
          <w:sz w:val="22"/>
          <w:szCs w:val="22"/>
        </w:rPr>
        <w:t>chitalishte</w:t>
      </w:r>
      <w:proofErr w:type="spellEnd"/>
      <w:r w:rsidRPr="00A53D78">
        <w:rPr>
          <w:rFonts w:ascii="Arial" w:hAnsi="Arial" w:cs="Arial"/>
          <w:b/>
          <w:bCs/>
          <w:sz w:val="22"/>
          <w:szCs w:val="22"/>
        </w:rPr>
        <w:t xml:space="preserve"> bulgare (centre culturel communautaire), expérience pratique de préservation de la vitalité du patrimoine culturel immatériel </w:t>
      </w:r>
      <w:r w:rsidRPr="00A53D78">
        <w:rPr>
          <w:rFonts w:ascii="Arial" w:hAnsi="Arial" w:cs="Arial"/>
          <w:bCs/>
          <w:sz w:val="22"/>
          <w:szCs w:val="22"/>
        </w:rPr>
        <w:t>comme programme, projet ou activité reflétant le mieux les principes et objectifs de la Convention</w:t>
      </w:r>
      <w:r w:rsidR="00F8088D" w:rsidRPr="00A53D78">
        <w:rPr>
          <w:rFonts w:ascii="Arial" w:hAnsi="Arial" w:cs="Arial"/>
          <w:bCs/>
          <w:sz w:val="22"/>
          <w:szCs w:val="22"/>
        </w:rPr>
        <w:t> ;</w:t>
      </w:r>
    </w:p>
    <w:p w14:paraId="12AC49EC" w14:textId="3F36BEE6" w:rsidR="00516853" w:rsidRPr="00A53D78" w:rsidRDefault="00516853" w:rsidP="00516853">
      <w:pPr>
        <w:numPr>
          <w:ilvl w:val="0"/>
          <w:numId w:val="37"/>
        </w:numPr>
        <w:tabs>
          <w:tab w:val="left" w:pos="567"/>
          <w:tab w:val="left" w:pos="1134"/>
          <w:tab w:val="left" w:pos="1701"/>
          <w:tab w:val="left" w:pos="2268"/>
        </w:tabs>
        <w:spacing w:before="120" w:after="120"/>
        <w:ind w:left="1134" w:hanging="567"/>
        <w:jc w:val="both"/>
        <w:rPr>
          <w:rFonts w:ascii="Arial" w:hAnsi="Arial" w:cs="Arial"/>
          <w:bCs/>
          <w:sz w:val="22"/>
          <w:szCs w:val="22"/>
        </w:rPr>
      </w:pPr>
      <w:r w:rsidRPr="00A53D78">
        <w:rPr>
          <w:rFonts w:ascii="Arial" w:hAnsi="Arial" w:cs="Arial"/>
          <w:bCs/>
          <w:sz w:val="22"/>
          <w:szCs w:val="22"/>
          <w:u w:val="single"/>
        </w:rPr>
        <w:t>Encourage</w:t>
      </w:r>
      <w:r w:rsidRPr="00A53D78">
        <w:rPr>
          <w:rFonts w:ascii="Arial" w:hAnsi="Arial" w:cs="Arial"/>
          <w:bCs/>
          <w:sz w:val="22"/>
          <w:szCs w:val="22"/>
        </w:rPr>
        <w:t xml:space="preserve"> l</w:t>
      </w:r>
      <w:r w:rsidR="003F34AE" w:rsidRPr="00A53D78">
        <w:rPr>
          <w:rFonts w:ascii="Arial" w:hAnsi="Arial" w:cs="Arial"/>
          <w:bCs/>
          <w:sz w:val="22"/>
          <w:szCs w:val="22"/>
        </w:rPr>
        <w:t>’</w:t>
      </w:r>
      <w:r w:rsidRPr="00A53D78">
        <w:rPr>
          <w:rFonts w:ascii="Arial" w:hAnsi="Arial" w:cs="Arial"/>
          <w:bCs/>
          <w:sz w:val="22"/>
          <w:szCs w:val="22"/>
        </w:rPr>
        <w:t xml:space="preserve">État </w:t>
      </w:r>
      <w:r w:rsidR="00F8088D" w:rsidRPr="00A53D78">
        <w:rPr>
          <w:rFonts w:ascii="Arial" w:hAnsi="Arial" w:cs="Arial"/>
          <w:bCs/>
          <w:sz w:val="22"/>
          <w:szCs w:val="22"/>
        </w:rPr>
        <w:t xml:space="preserve">partie </w:t>
      </w:r>
      <w:r w:rsidRPr="00A53D78">
        <w:rPr>
          <w:rFonts w:ascii="Arial" w:hAnsi="Arial" w:cs="Arial"/>
          <w:bCs/>
          <w:sz w:val="22"/>
          <w:szCs w:val="22"/>
        </w:rPr>
        <w:t xml:space="preserve">à partager, via des plateformes régionales et internationales, son expérience vis-à-vis des programmes et des activités des </w:t>
      </w:r>
      <w:proofErr w:type="spellStart"/>
      <w:r w:rsidRPr="00A53D78">
        <w:rPr>
          <w:rFonts w:ascii="Arial" w:hAnsi="Arial" w:cs="Arial"/>
          <w:bCs/>
          <w:sz w:val="22"/>
          <w:szCs w:val="22"/>
        </w:rPr>
        <w:t>chitalishta</w:t>
      </w:r>
      <w:proofErr w:type="spellEnd"/>
      <w:r w:rsidRPr="00A53D78">
        <w:rPr>
          <w:rFonts w:ascii="Arial" w:hAnsi="Arial" w:cs="Arial"/>
          <w:bCs/>
          <w:sz w:val="22"/>
          <w:szCs w:val="22"/>
        </w:rPr>
        <w:t>, notamment en ce qui concerne la participation des communautés, en fournissant des exemples de méthodologies et de mesures de sauvegarde spécifiques.</w:t>
      </w:r>
    </w:p>
    <w:p w14:paraId="70CE00B1" w14:textId="4CC3C387" w:rsidR="00516853" w:rsidRPr="00A53D78" w:rsidRDefault="00516853" w:rsidP="004C67FA">
      <w:pPr>
        <w:keepNext/>
        <w:tabs>
          <w:tab w:val="left" w:pos="567"/>
          <w:tab w:val="left" w:pos="1134"/>
          <w:tab w:val="left" w:pos="1701"/>
          <w:tab w:val="left" w:pos="2268"/>
        </w:tabs>
        <w:spacing w:before="360" w:after="120"/>
        <w:ind w:left="567"/>
        <w:jc w:val="both"/>
        <w:rPr>
          <w:rFonts w:ascii="Arial" w:hAnsi="Arial" w:cs="Arial"/>
          <w:sz w:val="22"/>
          <w:szCs w:val="22"/>
        </w:rPr>
      </w:pPr>
      <w:bookmarkStart w:id="5" w:name="PROJET_DE_DÉCISION_12_COM11_e_3"/>
      <w:bookmarkEnd w:id="5"/>
      <w:r w:rsidRPr="00A53D78">
        <w:rPr>
          <w:rFonts w:ascii="Arial" w:hAnsi="Arial" w:cs="Arial"/>
          <w:b/>
          <w:sz w:val="22"/>
          <w:szCs w:val="22"/>
        </w:rPr>
        <w:t>PROJET DE DÉCISION 12.COM 11.e.3</w:t>
      </w:r>
      <w:r w:rsidR="009E2556" w:rsidRPr="00A53D78">
        <w:rPr>
          <w:rFonts w:ascii="Arial" w:hAnsi="Arial" w:cs="Arial"/>
          <w:b/>
          <w:sz w:val="22"/>
          <w:szCs w:val="22"/>
        </w:rPr>
        <w:tab/>
      </w:r>
      <w:r w:rsidR="009E2556" w:rsidRPr="00A53D78">
        <w:rPr>
          <w:rFonts w:ascii="Arial" w:hAnsi="Arial" w:cs="Arial"/>
          <w:noProof/>
          <w:sz w:val="22"/>
          <w:szCs w:val="22"/>
          <w:lang w:val="en-US" w:eastAsia="ko-KR"/>
        </w:rPr>
        <w:drawing>
          <wp:inline distT="0" distB="0" distL="0" distR="0" wp14:anchorId="103C2C67" wp14:editId="1B7AF00E">
            <wp:extent cx="104775" cy="104775"/>
            <wp:effectExtent l="0" t="0" r="9525" b="9525"/>
            <wp:docPr id="4" name="Picture 3" descr="Return to 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9FD73C6" w14:textId="77777777" w:rsidR="00516853" w:rsidRPr="00A53D78"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A53D78">
        <w:rPr>
          <w:rFonts w:ascii="Arial" w:hAnsi="Arial" w:cs="Arial"/>
          <w:sz w:val="22"/>
          <w:szCs w:val="22"/>
        </w:rPr>
        <w:t>Le Comité</w:t>
      </w:r>
    </w:p>
    <w:p w14:paraId="7B4F34F0" w14:textId="4D65E874" w:rsidR="00516853" w:rsidRPr="00A53D78" w:rsidRDefault="00516853" w:rsidP="00516853">
      <w:pPr>
        <w:numPr>
          <w:ilvl w:val="0"/>
          <w:numId w:val="38"/>
        </w:numPr>
        <w:tabs>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w:t>
      </w:r>
      <w:r w:rsidR="003F34AE" w:rsidRPr="00A53D78">
        <w:rPr>
          <w:rFonts w:ascii="Arial" w:hAnsi="Arial" w:cs="Arial"/>
          <w:sz w:val="22"/>
          <w:szCs w:val="22"/>
        </w:rPr>
        <w:t>’</w:t>
      </w:r>
      <w:r w:rsidRPr="00A53D78">
        <w:rPr>
          <w:rFonts w:ascii="Arial" w:hAnsi="Arial" w:cs="Arial"/>
          <w:sz w:val="22"/>
          <w:szCs w:val="22"/>
        </w:rPr>
        <w:t xml:space="preserve">Égypte a proposé la </w:t>
      </w:r>
      <w:r w:rsidRPr="00A53D78">
        <w:rPr>
          <w:rFonts w:ascii="Arial" w:hAnsi="Arial" w:cs="Arial"/>
          <w:b/>
          <w:sz w:val="22"/>
          <w:szCs w:val="22"/>
        </w:rPr>
        <w:t>documentation, préservation, formation et promotion du patrimoine immatériel égyptien lié à l</w:t>
      </w:r>
      <w:r w:rsidR="003F34AE" w:rsidRPr="00A53D78">
        <w:rPr>
          <w:rFonts w:ascii="Arial" w:hAnsi="Arial" w:cs="Arial"/>
          <w:b/>
          <w:sz w:val="22"/>
          <w:szCs w:val="22"/>
        </w:rPr>
        <w:t>’</w:t>
      </w:r>
      <w:r w:rsidRPr="00A53D78">
        <w:rPr>
          <w:rFonts w:ascii="Arial" w:hAnsi="Arial" w:cs="Arial"/>
          <w:b/>
          <w:sz w:val="22"/>
          <w:szCs w:val="22"/>
        </w:rPr>
        <w:t xml:space="preserve">art du </w:t>
      </w:r>
      <w:proofErr w:type="spellStart"/>
      <w:r w:rsidRPr="00A53D78">
        <w:rPr>
          <w:rFonts w:ascii="Arial" w:hAnsi="Arial" w:cs="Arial"/>
          <w:b/>
          <w:sz w:val="22"/>
          <w:szCs w:val="22"/>
        </w:rPr>
        <w:t>tally</w:t>
      </w:r>
      <w:proofErr w:type="spellEnd"/>
      <w:r w:rsidRPr="00A53D78">
        <w:rPr>
          <w:rFonts w:ascii="Arial" w:hAnsi="Arial" w:cs="Arial"/>
          <w:b/>
          <w:sz w:val="22"/>
          <w:szCs w:val="22"/>
        </w:rPr>
        <w:t xml:space="preserve"> en Haute-Égypte</w:t>
      </w:r>
      <w:r w:rsidRPr="00A53D78">
        <w:rPr>
          <w:rFonts w:ascii="Arial" w:hAnsi="Arial" w:cs="Arial"/>
          <w:sz w:val="22"/>
          <w:szCs w:val="22"/>
        </w:rPr>
        <w:t xml:space="preserve"> (n° 00963) pour sélection et promotion par le Comité comme programme, projet ou activité reflétant le mieux les principes et objectifs de la Convention :</w:t>
      </w:r>
    </w:p>
    <w:p w14:paraId="28AEDC5E" w14:textId="59730325" w:rsidR="00516853" w:rsidRPr="00A53D78" w:rsidRDefault="00516853" w:rsidP="00516853">
      <w:pPr>
        <w:tabs>
          <w:tab w:val="left" w:pos="1134"/>
          <w:tab w:val="left" w:pos="1701"/>
          <w:tab w:val="left" w:pos="2268"/>
        </w:tabs>
        <w:spacing w:before="120" w:after="120"/>
        <w:ind w:left="1134"/>
        <w:jc w:val="both"/>
        <w:rPr>
          <w:rFonts w:ascii="Arial" w:hAnsi="Arial" w:cs="Arial"/>
          <w:sz w:val="22"/>
          <w:szCs w:val="22"/>
        </w:rPr>
      </w:pPr>
      <w:r w:rsidRPr="00A53D78">
        <w:rPr>
          <w:rFonts w:ascii="Arial" w:hAnsi="Arial" w:cs="Arial"/>
          <w:sz w:val="22"/>
          <w:szCs w:val="22"/>
        </w:rPr>
        <w:t xml:space="preserve">Le terme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désigne un type de broderie égyptien en forme de guirlande </w:t>
      </w:r>
      <w:r w:rsidR="001E0C7C" w:rsidRPr="00A53D78">
        <w:rPr>
          <w:rFonts w:ascii="Arial" w:hAnsi="Arial" w:cs="Arial"/>
          <w:sz w:val="22"/>
          <w:szCs w:val="22"/>
        </w:rPr>
        <w:t xml:space="preserve">créé </w:t>
      </w:r>
      <w:r w:rsidRPr="00A53D78">
        <w:rPr>
          <w:rFonts w:ascii="Arial" w:hAnsi="Arial" w:cs="Arial"/>
          <w:sz w:val="22"/>
          <w:szCs w:val="22"/>
        </w:rPr>
        <w:t>par les femmes de la Haute-Égypte et traditionnellement utilisé pour décorer les robes et les voiles. Pendant des siècles, cet art s</w:t>
      </w:r>
      <w:r w:rsidR="003F34AE" w:rsidRPr="00A53D78">
        <w:rPr>
          <w:rFonts w:ascii="Arial" w:hAnsi="Arial" w:cs="Arial"/>
          <w:sz w:val="22"/>
          <w:szCs w:val="22"/>
        </w:rPr>
        <w:t>’</w:t>
      </w:r>
      <w:r w:rsidRPr="00A53D78">
        <w:rPr>
          <w:rFonts w:ascii="Arial" w:hAnsi="Arial" w:cs="Arial"/>
          <w:sz w:val="22"/>
          <w:szCs w:val="22"/>
        </w:rPr>
        <w:t>est transmis de génération en génération et il est aujourd</w:t>
      </w:r>
      <w:r w:rsidR="003F34AE" w:rsidRPr="00A53D78">
        <w:rPr>
          <w:rFonts w:ascii="Arial" w:hAnsi="Arial" w:cs="Arial"/>
          <w:sz w:val="22"/>
          <w:szCs w:val="22"/>
        </w:rPr>
        <w:t>’</w:t>
      </w:r>
      <w:r w:rsidRPr="00A53D78">
        <w:rPr>
          <w:rFonts w:ascii="Arial" w:hAnsi="Arial" w:cs="Arial"/>
          <w:sz w:val="22"/>
          <w:szCs w:val="22"/>
        </w:rPr>
        <w:t>hui incontournable pour comprendre les modes de comportement traditionnels dans la communauté, ses motifs traditionnels reflétant la continuité du patrimoine culturel égyptien. L</w:t>
      </w:r>
      <w:r w:rsidR="003F34AE" w:rsidRPr="00A53D78">
        <w:rPr>
          <w:rFonts w:ascii="Arial" w:hAnsi="Arial" w:cs="Arial"/>
          <w:sz w:val="22"/>
          <w:szCs w:val="22"/>
        </w:rPr>
        <w:t>’</w:t>
      </w:r>
      <w:r w:rsidRPr="00A53D78">
        <w:rPr>
          <w:rFonts w:ascii="Arial" w:hAnsi="Arial" w:cs="Arial"/>
          <w:sz w:val="22"/>
          <w:szCs w:val="22"/>
        </w:rPr>
        <w:t xml:space="preserve">art du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est une activité majeure qui a influencé la structure des communautés villageoises et a permis </w:t>
      </w:r>
      <w:r w:rsidR="001F3F1C" w:rsidRPr="00A53D78">
        <w:rPr>
          <w:rFonts w:ascii="Arial" w:hAnsi="Arial" w:cs="Arial"/>
          <w:sz w:val="22"/>
          <w:szCs w:val="22"/>
        </w:rPr>
        <w:t>aux femmes</w:t>
      </w:r>
      <w:r w:rsidRPr="00A53D78">
        <w:rPr>
          <w:rFonts w:ascii="Arial" w:hAnsi="Arial" w:cs="Arial"/>
          <w:sz w:val="22"/>
          <w:szCs w:val="22"/>
        </w:rPr>
        <w:t xml:space="preserve"> de ces communautés de devenir autonome</w:t>
      </w:r>
      <w:r w:rsidR="001F3F1C" w:rsidRPr="00A53D78">
        <w:rPr>
          <w:rFonts w:ascii="Arial" w:hAnsi="Arial" w:cs="Arial"/>
          <w:sz w:val="22"/>
          <w:szCs w:val="22"/>
        </w:rPr>
        <w:t>s</w:t>
      </w:r>
      <w:r w:rsidRPr="00A53D78">
        <w:rPr>
          <w:rFonts w:ascii="Arial" w:hAnsi="Arial" w:cs="Arial"/>
          <w:sz w:val="22"/>
          <w:szCs w:val="22"/>
        </w:rPr>
        <w:t xml:space="preserve">. Cet art a toutefois connu de nombreuses fluctuations et a failli disparaître dans les années 1980. En 2002, un programme a été lancé afin de revitaliser cet art. Il consistait à former et à encourager davantage de femmes à pratiquer cette activité, en créant des perspectives d’emploi pour les villageoises. Ce projet comprenait quatre étapes : interroger les femmes qui connaissaient les secrets de cet art et cibler celles qui souhaitaient le découvrir ; mettre en œuvre deux programmes de formation ; réaliser une étude approfondie de la population du village de </w:t>
      </w:r>
      <w:proofErr w:type="spellStart"/>
      <w:r w:rsidRPr="00A53D78">
        <w:rPr>
          <w:rFonts w:ascii="Arial" w:hAnsi="Arial" w:cs="Arial"/>
          <w:sz w:val="22"/>
          <w:szCs w:val="22"/>
        </w:rPr>
        <w:t>Gazieret</w:t>
      </w:r>
      <w:proofErr w:type="spellEnd"/>
      <w:r w:rsidRPr="00A53D78">
        <w:rPr>
          <w:rFonts w:ascii="Arial" w:hAnsi="Arial" w:cs="Arial"/>
          <w:sz w:val="22"/>
          <w:szCs w:val="22"/>
        </w:rPr>
        <w:t xml:space="preserve"> </w:t>
      </w:r>
      <w:proofErr w:type="spellStart"/>
      <w:r w:rsidRPr="00A53D78">
        <w:rPr>
          <w:rFonts w:ascii="Arial" w:hAnsi="Arial" w:cs="Arial"/>
          <w:sz w:val="22"/>
          <w:szCs w:val="22"/>
        </w:rPr>
        <w:t>Shandaweel</w:t>
      </w:r>
      <w:proofErr w:type="spellEnd"/>
      <w:r w:rsidRPr="00A53D78">
        <w:rPr>
          <w:rFonts w:ascii="Arial" w:hAnsi="Arial" w:cs="Arial"/>
          <w:sz w:val="22"/>
          <w:szCs w:val="22"/>
        </w:rPr>
        <w:t> ; et promouvoir cet art à l</w:t>
      </w:r>
      <w:r w:rsidR="003F34AE" w:rsidRPr="00A53D78">
        <w:rPr>
          <w:rFonts w:ascii="Arial" w:hAnsi="Arial" w:cs="Arial"/>
          <w:sz w:val="22"/>
          <w:szCs w:val="22"/>
        </w:rPr>
        <w:t>’</w:t>
      </w:r>
      <w:r w:rsidRPr="00A53D78">
        <w:rPr>
          <w:rFonts w:ascii="Arial" w:hAnsi="Arial" w:cs="Arial"/>
          <w:sz w:val="22"/>
          <w:szCs w:val="22"/>
        </w:rPr>
        <w:t xml:space="preserve">échelle nationale et internationale. Au niveau national, le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est désormais visible dans de nombreuses boutiques et galeries, et il commence à se forger une renommée internationale.</w:t>
      </w:r>
    </w:p>
    <w:p w14:paraId="5748BB51" w14:textId="22808F13" w:rsidR="00516853" w:rsidRPr="00A53D78" w:rsidRDefault="00516853" w:rsidP="00516853">
      <w:pPr>
        <w:keepNext/>
        <w:numPr>
          <w:ilvl w:val="0"/>
          <w:numId w:val="38"/>
        </w:numPr>
        <w:tabs>
          <w:tab w:val="left" w:pos="567"/>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Décide</w:t>
      </w:r>
      <w:r w:rsidR="00825B7B" w:rsidRPr="00A53D78">
        <w:rPr>
          <w:rFonts w:ascii="Arial" w:hAnsi="Arial" w:cs="Arial"/>
          <w:sz w:val="22"/>
          <w:szCs w:val="22"/>
        </w:rPr>
        <w:t xml:space="preserve"> que</w:t>
      </w:r>
      <w:r w:rsidRPr="00A53D78">
        <w:rPr>
          <w:rFonts w:ascii="Arial" w:hAnsi="Arial" w:cs="Arial"/>
          <w:sz w:val="22"/>
          <w:szCs w:val="22"/>
        </w:rPr>
        <w:t xml:space="preserve">, </w:t>
      </w:r>
      <w:r w:rsidR="00BA0EDD" w:rsidRPr="00A53D78">
        <w:rPr>
          <w:rFonts w:ascii="Arial" w:hAnsi="Arial" w:cs="Arial"/>
          <w:sz w:val="22"/>
          <w:szCs w:val="22"/>
        </w:rPr>
        <w:t>d</w:t>
      </w:r>
      <w:r w:rsidR="003F34AE" w:rsidRPr="00A53D78">
        <w:rPr>
          <w:rFonts w:ascii="Arial" w:hAnsi="Arial" w:cs="Arial"/>
          <w:sz w:val="22"/>
          <w:szCs w:val="22"/>
        </w:rPr>
        <w:t>’</w:t>
      </w:r>
      <w:r w:rsidR="00BA0EDD" w:rsidRPr="00A53D78">
        <w:rPr>
          <w:rFonts w:ascii="Arial" w:hAnsi="Arial" w:cs="Arial"/>
          <w:sz w:val="22"/>
          <w:szCs w:val="22"/>
        </w:rPr>
        <w:t>après l</w:t>
      </w:r>
      <w:r w:rsidR="003F34AE" w:rsidRPr="00A53D78">
        <w:rPr>
          <w:rFonts w:ascii="Arial" w:hAnsi="Arial" w:cs="Arial"/>
          <w:sz w:val="22"/>
          <w:szCs w:val="22"/>
        </w:rPr>
        <w:t>’</w:t>
      </w:r>
      <w:r w:rsidR="00BA0EDD" w:rsidRPr="00A53D78">
        <w:rPr>
          <w:rFonts w:ascii="Arial" w:hAnsi="Arial" w:cs="Arial"/>
          <w:sz w:val="22"/>
          <w:szCs w:val="22"/>
        </w:rPr>
        <w:t xml:space="preserve">information contenue dans le dossier, </w:t>
      </w:r>
      <w:r w:rsidR="00825B7B" w:rsidRPr="00A53D78">
        <w:rPr>
          <w:rFonts w:ascii="Arial" w:hAnsi="Arial" w:cs="Arial"/>
          <w:sz w:val="22"/>
          <w:szCs w:val="22"/>
        </w:rPr>
        <w:t>le programme répond comme suit aux critères énoncés au paragraphe 7 des Directives opérationnelles concernant la sélection en tant que bonne pratique de sauvegarde</w:t>
      </w:r>
      <w:r w:rsidR="00825B7B" w:rsidRPr="00A53D78" w:rsidDel="00825B7B">
        <w:rPr>
          <w:rFonts w:ascii="Arial" w:hAnsi="Arial" w:cs="Arial"/>
          <w:sz w:val="22"/>
          <w:szCs w:val="22"/>
        </w:rPr>
        <w:t xml:space="preserve"> </w:t>
      </w:r>
      <w:r w:rsidRPr="00A53D78">
        <w:rPr>
          <w:rFonts w:ascii="Arial" w:hAnsi="Arial" w:cs="Arial"/>
          <w:sz w:val="22"/>
          <w:szCs w:val="22"/>
        </w:rPr>
        <w:t>:</w:t>
      </w:r>
    </w:p>
    <w:p w14:paraId="6B49B730" w14:textId="07C4592B" w:rsidR="00516853" w:rsidRPr="00A53D78" w:rsidRDefault="00F4153D"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w:t>
      </w:r>
      <w:r w:rsidR="00516853" w:rsidRPr="00A53D78">
        <w:rPr>
          <w:rFonts w:ascii="Arial" w:hAnsi="Arial" w:cs="Arial"/>
          <w:sz w:val="22"/>
          <w:szCs w:val="22"/>
        </w:rPr>
        <w:t>.1 :</w:t>
      </w:r>
      <w:r w:rsidR="00516853" w:rsidRPr="00A53D78">
        <w:rPr>
          <w:rFonts w:ascii="Arial" w:hAnsi="Arial" w:cs="Arial"/>
          <w:sz w:val="22"/>
          <w:szCs w:val="22"/>
        </w:rPr>
        <w:tab/>
        <w:t>Les mesures de sauvegarde décrites – qui ont fait suite à une étude anthropologique approfondie – consistent à documenter les traditions associées à cet art, à former les membres de la communauté afin qu</w:t>
      </w:r>
      <w:r w:rsidR="003F34AE" w:rsidRPr="00A53D78">
        <w:rPr>
          <w:rFonts w:ascii="Arial" w:hAnsi="Arial" w:cs="Arial"/>
          <w:sz w:val="22"/>
          <w:szCs w:val="22"/>
        </w:rPr>
        <w:t>’</w:t>
      </w:r>
      <w:r w:rsidR="00516853" w:rsidRPr="00A53D78">
        <w:rPr>
          <w:rFonts w:ascii="Arial" w:hAnsi="Arial" w:cs="Arial"/>
          <w:sz w:val="22"/>
          <w:szCs w:val="22"/>
        </w:rPr>
        <w:t>ils puissent poursuivre cette pratique et à promouvoir le projet aux niveaux national et international. Cependant, le dossier ne décrit pas clairement les méthodes de sauvegarde, emploie des termes qui sont contraires à l</w:t>
      </w:r>
      <w:r w:rsidR="003F34AE" w:rsidRPr="00A53D78">
        <w:rPr>
          <w:rFonts w:ascii="Arial" w:hAnsi="Arial" w:cs="Arial"/>
          <w:sz w:val="22"/>
          <w:szCs w:val="22"/>
        </w:rPr>
        <w:t>’</w:t>
      </w:r>
      <w:r w:rsidR="00516853" w:rsidRPr="00A53D78">
        <w:rPr>
          <w:rFonts w:ascii="Arial" w:hAnsi="Arial" w:cs="Arial"/>
          <w:sz w:val="22"/>
          <w:szCs w:val="22"/>
        </w:rPr>
        <w:t>esprit de la Convention, comme « le désir de vengeance », et suscite une certaine confusion entre l</w:t>
      </w:r>
      <w:r w:rsidR="003F34AE" w:rsidRPr="00A53D78">
        <w:rPr>
          <w:rFonts w:ascii="Arial" w:hAnsi="Arial" w:cs="Arial"/>
          <w:sz w:val="22"/>
          <w:szCs w:val="22"/>
        </w:rPr>
        <w:t>’</w:t>
      </w:r>
      <w:r w:rsidR="0034349F">
        <w:rPr>
          <w:rFonts w:ascii="Arial" w:hAnsi="Arial" w:cs="Arial"/>
          <w:sz w:val="22"/>
          <w:szCs w:val="22"/>
        </w:rPr>
        <w:t>élément et le projet lui-même.</w:t>
      </w:r>
    </w:p>
    <w:p w14:paraId="06059724" w14:textId="79B081D2"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P.2 :</w:t>
      </w:r>
      <w:r w:rsidRPr="00A53D78">
        <w:rPr>
          <w:rFonts w:ascii="Arial" w:hAnsi="Arial" w:cs="Arial"/>
          <w:sz w:val="22"/>
          <w:szCs w:val="22"/>
        </w:rPr>
        <w:tab/>
        <w:t>C</w:t>
      </w:r>
      <w:r w:rsidR="003F34AE" w:rsidRPr="00A53D78">
        <w:rPr>
          <w:rFonts w:ascii="Arial" w:hAnsi="Arial" w:cs="Arial"/>
          <w:sz w:val="22"/>
          <w:szCs w:val="22"/>
        </w:rPr>
        <w:t>’</w:t>
      </w:r>
      <w:r w:rsidRPr="00A53D78">
        <w:rPr>
          <w:rFonts w:ascii="Arial" w:hAnsi="Arial" w:cs="Arial"/>
          <w:sz w:val="22"/>
          <w:szCs w:val="22"/>
        </w:rPr>
        <w:t>est un exemple de collaboration réussie, aux niveaux national et international, entre des institutions, le secteur privé et la société civile. Les différents partenariats et efforts conjoints, comme celui établi avec l</w:t>
      </w:r>
      <w:r w:rsidR="003F34AE" w:rsidRPr="00A53D78">
        <w:rPr>
          <w:rFonts w:ascii="Arial" w:hAnsi="Arial" w:cs="Arial"/>
          <w:sz w:val="22"/>
          <w:szCs w:val="22"/>
        </w:rPr>
        <w:t>’</w:t>
      </w:r>
      <w:r w:rsidRPr="00A53D78">
        <w:rPr>
          <w:rFonts w:ascii="Arial" w:hAnsi="Arial" w:cs="Arial"/>
          <w:sz w:val="22"/>
          <w:szCs w:val="22"/>
        </w:rPr>
        <w:t>UNESCO, et la coopération internationale instaurée lors de salons de l</w:t>
      </w:r>
      <w:r w:rsidR="003F34AE" w:rsidRPr="00A53D78">
        <w:rPr>
          <w:rFonts w:ascii="Arial" w:hAnsi="Arial" w:cs="Arial"/>
          <w:sz w:val="22"/>
          <w:szCs w:val="22"/>
        </w:rPr>
        <w:t>’</w:t>
      </w:r>
      <w:r w:rsidRPr="00A53D78">
        <w:rPr>
          <w:rFonts w:ascii="Arial" w:hAnsi="Arial" w:cs="Arial"/>
          <w:sz w:val="22"/>
          <w:szCs w:val="22"/>
        </w:rPr>
        <w:t>artisanat, montrent les efforts de coordination déployés par ce projet. La mise en œuvre du projet a contribué à revitaliser l</w:t>
      </w:r>
      <w:r w:rsidR="003F34AE" w:rsidRPr="00A53D78">
        <w:rPr>
          <w:rFonts w:ascii="Arial" w:hAnsi="Arial" w:cs="Arial"/>
          <w:sz w:val="22"/>
          <w:szCs w:val="22"/>
        </w:rPr>
        <w:t>’</w:t>
      </w:r>
      <w:r w:rsidRPr="00A53D78">
        <w:rPr>
          <w:rFonts w:ascii="Arial" w:hAnsi="Arial" w:cs="Arial"/>
          <w:sz w:val="22"/>
          <w:szCs w:val="22"/>
        </w:rPr>
        <w:t>élément et a témoigné d</w:t>
      </w:r>
      <w:r w:rsidR="003F34AE" w:rsidRPr="00A53D78">
        <w:rPr>
          <w:rFonts w:ascii="Arial" w:hAnsi="Arial" w:cs="Arial"/>
          <w:sz w:val="22"/>
          <w:szCs w:val="22"/>
        </w:rPr>
        <w:t>’</w:t>
      </w:r>
      <w:r w:rsidRPr="00A53D78">
        <w:rPr>
          <w:rFonts w:ascii="Arial" w:hAnsi="Arial" w:cs="Arial"/>
          <w:sz w:val="22"/>
          <w:szCs w:val="22"/>
        </w:rPr>
        <w:t>une bonne collaboration entre des agences internationales et des organismes nationaux, pour le bien des détenteurs de traditions. Le projet a gagné en visibilité internationale et a également vu sa clientèle se développer avec la présentation des produits dans des sal</w:t>
      </w:r>
      <w:r w:rsidR="0034349F">
        <w:rPr>
          <w:rFonts w:ascii="Arial" w:hAnsi="Arial" w:cs="Arial"/>
          <w:sz w:val="22"/>
          <w:szCs w:val="22"/>
        </w:rPr>
        <w:t>ons internationaux.</w:t>
      </w:r>
    </w:p>
    <w:p w14:paraId="1F83E65E" w14:textId="066F4C83"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P.3 :</w:t>
      </w:r>
      <w:r w:rsidRPr="00A53D78">
        <w:rPr>
          <w:rFonts w:ascii="Arial" w:hAnsi="Arial" w:cs="Arial"/>
          <w:sz w:val="22"/>
          <w:szCs w:val="22"/>
        </w:rPr>
        <w:tab/>
        <w:t>Ce projet reflète l</w:t>
      </w:r>
      <w:r w:rsidR="003F34AE" w:rsidRPr="00A53D78">
        <w:rPr>
          <w:rFonts w:ascii="Arial" w:hAnsi="Arial" w:cs="Arial"/>
          <w:sz w:val="22"/>
          <w:szCs w:val="22"/>
        </w:rPr>
        <w:t>’</w:t>
      </w:r>
      <w:r w:rsidRPr="00A53D78">
        <w:rPr>
          <w:rFonts w:ascii="Arial" w:hAnsi="Arial" w:cs="Arial"/>
          <w:sz w:val="22"/>
          <w:szCs w:val="22"/>
        </w:rPr>
        <w:t xml:space="preserve">importance de la sauvegarde du patrimoine culturel immatériel pour la reconnaissance des communautés et il compte parmi ses résultats la sensibilisation des communautés au patrimoine culturel immatériel ainsi que leur participation à la coopération internationale. Il favorise également le respect envers les femmes de par leur participation </w:t>
      </w:r>
      <w:r w:rsidR="007E266F" w:rsidRPr="00A53D78">
        <w:rPr>
          <w:rFonts w:ascii="Arial" w:hAnsi="Arial" w:cs="Arial"/>
          <w:sz w:val="22"/>
          <w:szCs w:val="22"/>
        </w:rPr>
        <w:t xml:space="preserve">réussie </w:t>
      </w:r>
      <w:r w:rsidRPr="00A53D78">
        <w:rPr>
          <w:rFonts w:ascii="Arial" w:hAnsi="Arial" w:cs="Arial"/>
          <w:sz w:val="22"/>
          <w:szCs w:val="22"/>
        </w:rPr>
        <w:t>à la vie économique. Cependant, la vision conservatrice du rôle des femmes qui est adoptée dans les communautés concernées reste préoccupante et, malgré certaines répercussions positives sur l</w:t>
      </w:r>
      <w:r w:rsidR="003F34AE" w:rsidRPr="00A53D78">
        <w:rPr>
          <w:rFonts w:ascii="Arial" w:hAnsi="Arial" w:cs="Arial"/>
          <w:sz w:val="22"/>
          <w:szCs w:val="22"/>
        </w:rPr>
        <w:t>’</w:t>
      </w:r>
      <w:r w:rsidRPr="00A53D78">
        <w:rPr>
          <w:rFonts w:ascii="Arial" w:hAnsi="Arial" w:cs="Arial"/>
          <w:sz w:val="22"/>
          <w:szCs w:val="22"/>
        </w:rPr>
        <w:t>autonomisation des femmes dans la société, les répercussions sociales ne sont pas abordées, notamment le r</w:t>
      </w:r>
      <w:r w:rsidR="0034349F">
        <w:rPr>
          <w:rFonts w:ascii="Arial" w:hAnsi="Arial" w:cs="Arial"/>
          <w:sz w:val="22"/>
          <w:szCs w:val="22"/>
        </w:rPr>
        <w:t>ôle des femmes dans la famille.</w:t>
      </w:r>
    </w:p>
    <w:p w14:paraId="22297705" w14:textId="7D25E9F3"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P.4 :</w:t>
      </w:r>
      <w:r w:rsidRPr="00A53D78">
        <w:rPr>
          <w:rFonts w:ascii="Arial" w:hAnsi="Arial" w:cs="Arial"/>
          <w:sz w:val="22"/>
          <w:szCs w:val="22"/>
        </w:rPr>
        <w:tab/>
        <w:t xml:space="preserve">Ce projet a procuré du travail aux habitants des régions les plus </w:t>
      </w:r>
      <w:r w:rsidR="00B8330D" w:rsidRPr="00A53D78">
        <w:rPr>
          <w:rFonts w:ascii="Arial" w:hAnsi="Arial" w:cs="Arial"/>
          <w:sz w:val="22"/>
          <w:szCs w:val="22"/>
        </w:rPr>
        <w:t xml:space="preserve">pauvres </w:t>
      </w:r>
      <w:r w:rsidRPr="00A53D78">
        <w:rPr>
          <w:rFonts w:ascii="Arial" w:hAnsi="Arial" w:cs="Arial"/>
          <w:sz w:val="22"/>
          <w:szCs w:val="22"/>
        </w:rPr>
        <w:t>de l</w:t>
      </w:r>
      <w:r w:rsidR="003F34AE" w:rsidRPr="00A53D78">
        <w:rPr>
          <w:rFonts w:ascii="Arial" w:hAnsi="Arial" w:cs="Arial"/>
          <w:sz w:val="22"/>
          <w:szCs w:val="22"/>
        </w:rPr>
        <w:t>’</w:t>
      </w:r>
      <w:r w:rsidRPr="00A53D78">
        <w:rPr>
          <w:rFonts w:ascii="Arial" w:hAnsi="Arial" w:cs="Arial"/>
          <w:sz w:val="22"/>
          <w:szCs w:val="22"/>
        </w:rPr>
        <w:t>État partie. Il a commencé avec 60 personnes et compte aujourd</w:t>
      </w:r>
      <w:r w:rsidR="003F34AE" w:rsidRPr="00A53D78">
        <w:rPr>
          <w:rFonts w:ascii="Arial" w:hAnsi="Arial" w:cs="Arial"/>
          <w:sz w:val="22"/>
          <w:szCs w:val="22"/>
        </w:rPr>
        <w:t>’</w:t>
      </w:r>
      <w:r w:rsidRPr="00A53D78">
        <w:rPr>
          <w:rFonts w:ascii="Arial" w:hAnsi="Arial" w:cs="Arial"/>
          <w:sz w:val="22"/>
          <w:szCs w:val="22"/>
        </w:rPr>
        <w:t>hui près de 1</w:t>
      </w:r>
      <w:r w:rsidR="00B8330D" w:rsidRPr="00A53D78">
        <w:rPr>
          <w:rFonts w:ascii="Arial" w:hAnsi="Arial" w:cs="Arial"/>
          <w:sz w:val="22"/>
          <w:szCs w:val="22"/>
        </w:rPr>
        <w:t> </w:t>
      </w:r>
      <w:r w:rsidRPr="00A53D78">
        <w:rPr>
          <w:rFonts w:ascii="Arial" w:hAnsi="Arial" w:cs="Arial"/>
          <w:sz w:val="22"/>
          <w:szCs w:val="22"/>
        </w:rPr>
        <w:t>000 femmes qui maîtrisent l</w:t>
      </w:r>
      <w:r w:rsidR="003F34AE" w:rsidRPr="00A53D78">
        <w:rPr>
          <w:rFonts w:ascii="Arial" w:hAnsi="Arial" w:cs="Arial"/>
          <w:sz w:val="22"/>
          <w:szCs w:val="22"/>
        </w:rPr>
        <w:t>’</w:t>
      </w:r>
      <w:r w:rsidRPr="00A53D78">
        <w:rPr>
          <w:rFonts w:ascii="Arial" w:hAnsi="Arial" w:cs="Arial"/>
          <w:sz w:val="22"/>
          <w:szCs w:val="22"/>
        </w:rPr>
        <w:t xml:space="preserve">art de la broderie </w:t>
      </w:r>
      <w:proofErr w:type="spellStart"/>
      <w:r w:rsidRPr="00A53D78">
        <w:rPr>
          <w:rFonts w:ascii="Arial" w:hAnsi="Arial" w:cs="Arial"/>
          <w:sz w:val="22"/>
          <w:szCs w:val="22"/>
        </w:rPr>
        <w:t>tally</w:t>
      </w:r>
      <w:proofErr w:type="spellEnd"/>
      <w:r w:rsidRPr="00A53D78">
        <w:rPr>
          <w:rFonts w:ascii="Arial" w:hAnsi="Arial" w:cs="Arial"/>
          <w:sz w:val="22"/>
          <w:szCs w:val="22"/>
        </w:rPr>
        <w:t>, en fournissant un revenu aux familles et en faisant naître un sentiment d</w:t>
      </w:r>
      <w:r w:rsidR="003F34AE" w:rsidRPr="00A53D78">
        <w:rPr>
          <w:rFonts w:ascii="Arial" w:hAnsi="Arial" w:cs="Arial"/>
          <w:sz w:val="22"/>
          <w:szCs w:val="22"/>
        </w:rPr>
        <w:t>’</w:t>
      </w:r>
      <w:r w:rsidRPr="00A53D78">
        <w:rPr>
          <w:rFonts w:ascii="Arial" w:hAnsi="Arial" w:cs="Arial"/>
          <w:sz w:val="22"/>
          <w:szCs w:val="22"/>
        </w:rPr>
        <w:t>identité commune. L</w:t>
      </w:r>
      <w:r w:rsidR="003F34AE" w:rsidRPr="00A53D78">
        <w:rPr>
          <w:rFonts w:ascii="Arial" w:hAnsi="Arial" w:cs="Arial"/>
          <w:sz w:val="22"/>
          <w:szCs w:val="22"/>
        </w:rPr>
        <w:t>’</w:t>
      </w:r>
      <w:r w:rsidRPr="00A53D78">
        <w:rPr>
          <w:rFonts w:ascii="Arial" w:hAnsi="Arial" w:cs="Arial"/>
          <w:sz w:val="22"/>
          <w:szCs w:val="22"/>
        </w:rPr>
        <w:t>augmentation du nombre de praticiennes et de la production d</w:t>
      </w:r>
      <w:r w:rsidR="003F34AE" w:rsidRPr="00A53D78">
        <w:rPr>
          <w:rFonts w:ascii="Arial" w:hAnsi="Arial" w:cs="Arial"/>
          <w:sz w:val="22"/>
          <w:szCs w:val="22"/>
        </w:rPr>
        <w:t>’</w:t>
      </w:r>
      <w:r w:rsidRPr="00A53D78">
        <w:rPr>
          <w:rFonts w:ascii="Arial" w:hAnsi="Arial" w:cs="Arial"/>
          <w:sz w:val="22"/>
          <w:szCs w:val="22"/>
        </w:rPr>
        <w:t xml:space="preserve">objets ornés de broderies </w:t>
      </w:r>
      <w:proofErr w:type="spellStart"/>
      <w:r w:rsidRPr="00A53D78">
        <w:rPr>
          <w:rFonts w:ascii="Arial" w:hAnsi="Arial" w:cs="Arial"/>
          <w:sz w:val="22"/>
          <w:szCs w:val="22"/>
        </w:rPr>
        <w:t>tally</w:t>
      </w:r>
      <w:proofErr w:type="spellEnd"/>
      <w:r w:rsidRPr="00A53D78">
        <w:rPr>
          <w:rFonts w:ascii="Arial" w:hAnsi="Arial" w:cs="Arial"/>
          <w:sz w:val="22"/>
          <w:szCs w:val="22"/>
        </w:rPr>
        <w:t xml:space="preserve"> a favorisé la continuité et la transmission de cette tradition. Du point de vue économique, les informations quantitatives fournies montrent l</w:t>
      </w:r>
      <w:r w:rsidR="003F34AE" w:rsidRPr="00A53D78">
        <w:rPr>
          <w:rFonts w:ascii="Arial" w:hAnsi="Arial" w:cs="Arial"/>
          <w:sz w:val="22"/>
          <w:szCs w:val="22"/>
        </w:rPr>
        <w:t>’</w:t>
      </w:r>
      <w:r w:rsidRPr="00A53D78">
        <w:rPr>
          <w:rFonts w:ascii="Arial" w:hAnsi="Arial" w:cs="Arial"/>
          <w:sz w:val="22"/>
          <w:szCs w:val="22"/>
        </w:rPr>
        <w:t>efficacité de ce projet. Cependant, le dossier n</w:t>
      </w:r>
      <w:r w:rsidR="003F34AE" w:rsidRPr="00A53D78">
        <w:rPr>
          <w:rFonts w:ascii="Arial" w:hAnsi="Arial" w:cs="Arial"/>
          <w:sz w:val="22"/>
          <w:szCs w:val="22"/>
        </w:rPr>
        <w:t>’</w:t>
      </w:r>
      <w:r w:rsidRPr="00A53D78">
        <w:rPr>
          <w:rFonts w:ascii="Arial" w:hAnsi="Arial" w:cs="Arial"/>
          <w:sz w:val="22"/>
          <w:szCs w:val="22"/>
        </w:rPr>
        <w:t>aborde pas suffisamment la question des avantages, hormis les gains économiques, qu</w:t>
      </w:r>
      <w:r w:rsidR="003F34AE" w:rsidRPr="00A53D78">
        <w:rPr>
          <w:rFonts w:ascii="Arial" w:hAnsi="Arial" w:cs="Arial"/>
          <w:sz w:val="22"/>
          <w:szCs w:val="22"/>
        </w:rPr>
        <w:t>’</w:t>
      </w:r>
      <w:r w:rsidRPr="00A53D78">
        <w:rPr>
          <w:rFonts w:ascii="Arial" w:hAnsi="Arial" w:cs="Arial"/>
          <w:sz w:val="22"/>
          <w:szCs w:val="22"/>
        </w:rPr>
        <w:t>a pu retirer de ce projet le nombre croissant de femmes qui pratiquent cet art. Les éventuels avantages sociaux ne sont pas décrits.</w:t>
      </w:r>
    </w:p>
    <w:p w14:paraId="2BC7D09C" w14:textId="284CD44D"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P.5 :</w:t>
      </w:r>
      <w:r w:rsidRPr="00A53D78">
        <w:rPr>
          <w:rFonts w:ascii="Arial" w:hAnsi="Arial" w:cs="Arial"/>
          <w:sz w:val="22"/>
          <w:szCs w:val="22"/>
        </w:rPr>
        <w:tab/>
        <w:t>Les chercheurs ont été attentifs aux communautés. Cependant, le dossier n</w:t>
      </w:r>
      <w:r w:rsidR="003F34AE" w:rsidRPr="00A53D78">
        <w:rPr>
          <w:rFonts w:ascii="Arial" w:hAnsi="Arial" w:cs="Arial"/>
          <w:sz w:val="22"/>
          <w:szCs w:val="22"/>
        </w:rPr>
        <w:t>’</w:t>
      </w:r>
      <w:r w:rsidRPr="00A53D78">
        <w:rPr>
          <w:rFonts w:ascii="Arial" w:hAnsi="Arial" w:cs="Arial"/>
          <w:sz w:val="22"/>
          <w:szCs w:val="22"/>
        </w:rPr>
        <w:t>indique pas si les communautés ont compris les objectifs du projet et le but de cette initiative. L</w:t>
      </w:r>
      <w:r w:rsidR="003F34AE" w:rsidRPr="00A53D78">
        <w:rPr>
          <w:rFonts w:ascii="Arial" w:hAnsi="Arial" w:cs="Arial"/>
          <w:sz w:val="22"/>
          <w:szCs w:val="22"/>
        </w:rPr>
        <w:t>’</w:t>
      </w:r>
      <w:r w:rsidRPr="00A53D78">
        <w:rPr>
          <w:rFonts w:ascii="Arial" w:hAnsi="Arial" w:cs="Arial"/>
          <w:sz w:val="22"/>
          <w:szCs w:val="22"/>
        </w:rPr>
        <w:t>approche adoptée vis-à-vis des activités semble trop descendante et ne reflète donc pas les principes et objectifs de la Convention. Le dossier n</w:t>
      </w:r>
      <w:r w:rsidR="003F34AE" w:rsidRPr="00A53D78">
        <w:rPr>
          <w:rFonts w:ascii="Arial" w:hAnsi="Arial" w:cs="Arial"/>
          <w:sz w:val="22"/>
          <w:szCs w:val="22"/>
        </w:rPr>
        <w:t>’</w:t>
      </w:r>
      <w:r w:rsidRPr="00A53D78">
        <w:rPr>
          <w:rFonts w:ascii="Arial" w:hAnsi="Arial" w:cs="Arial"/>
          <w:sz w:val="22"/>
          <w:szCs w:val="22"/>
        </w:rPr>
        <w:t>indique pas clairement si les communautés ont participé à la planification et à l</w:t>
      </w:r>
      <w:r w:rsidR="003F34AE" w:rsidRPr="00A53D78">
        <w:rPr>
          <w:rFonts w:ascii="Arial" w:hAnsi="Arial" w:cs="Arial"/>
          <w:sz w:val="22"/>
          <w:szCs w:val="22"/>
        </w:rPr>
        <w:t>’</w:t>
      </w:r>
      <w:r w:rsidRPr="00A53D78">
        <w:rPr>
          <w:rFonts w:ascii="Arial" w:hAnsi="Arial" w:cs="Arial"/>
          <w:sz w:val="22"/>
          <w:szCs w:val="22"/>
        </w:rPr>
        <w:t xml:space="preserve">exécution globale du projet et, si tel a été le cas, de quelle manière. Seuls deux organismes ont donné leur consentement à la </w:t>
      </w:r>
      <w:r w:rsidR="007E266F" w:rsidRPr="00A53D78">
        <w:rPr>
          <w:rFonts w:ascii="Arial" w:hAnsi="Arial" w:cs="Arial"/>
          <w:sz w:val="22"/>
          <w:szCs w:val="22"/>
        </w:rPr>
        <w:t>proposition</w:t>
      </w:r>
      <w:r w:rsidRPr="00A53D78">
        <w:rPr>
          <w:rFonts w:ascii="Arial" w:hAnsi="Arial" w:cs="Arial"/>
          <w:sz w:val="22"/>
          <w:szCs w:val="22"/>
        </w:rPr>
        <w:t>, mais le dossier n</w:t>
      </w:r>
      <w:r w:rsidR="003F34AE" w:rsidRPr="00A53D78">
        <w:rPr>
          <w:rFonts w:ascii="Arial" w:hAnsi="Arial" w:cs="Arial"/>
          <w:sz w:val="22"/>
          <w:szCs w:val="22"/>
        </w:rPr>
        <w:t>’</w:t>
      </w:r>
      <w:r w:rsidRPr="00A53D78">
        <w:rPr>
          <w:rFonts w:ascii="Arial" w:hAnsi="Arial" w:cs="Arial"/>
          <w:sz w:val="22"/>
          <w:szCs w:val="22"/>
        </w:rPr>
        <w:t>indique pas clairement qui ils représentent, pas plus qu</w:t>
      </w:r>
      <w:r w:rsidR="003F34AE" w:rsidRPr="00A53D78">
        <w:rPr>
          <w:rFonts w:ascii="Arial" w:hAnsi="Arial" w:cs="Arial"/>
          <w:sz w:val="22"/>
          <w:szCs w:val="22"/>
        </w:rPr>
        <w:t>’</w:t>
      </w:r>
      <w:r w:rsidRPr="00A53D78">
        <w:rPr>
          <w:rFonts w:ascii="Arial" w:hAnsi="Arial" w:cs="Arial"/>
          <w:sz w:val="22"/>
          <w:szCs w:val="22"/>
        </w:rPr>
        <w:t xml:space="preserve">il ne contient de témoignages individuels </w:t>
      </w:r>
      <w:r w:rsidR="0034349F">
        <w:rPr>
          <w:rFonts w:ascii="Arial" w:hAnsi="Arial" w:cs="Arial"/>
          <w:sz w:val="22"/>
          <w:szCs w:val="22"/>
        </w:rPr>
        <w:t>de détenteurs de la communauté.</w:t>
      </w:r>
    </w:p>
    <w:p w14:paraId="2B9AC9B0" w14:textId="7DA05E57" w:rsidR="00516853" w:rsidRPr="0034349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P.6 :</w:t>
      </w:r>
      <w:r w:rsidRPr="00A53D78">
        <w:rPr>
          <w:rFonts w:ascii="Arial" w:hAnsi="Arial" w:cs="Arial"/>
          <w:sz w:val="22"/>
          <w:szCs w:val="22"/>
        </w:rPr>
        <w:tab/>
        <w:t>Au-delà des répercussions économiques manifestes, le dossier indique que le projet contribue à l</w:t>
      </w:r>
      <w:r w:rsidR="003F34AE" w:rsidRPr="00A53D78">
        <w:rPr>
          <w:rFonts w:ascii="Arial" w:hAnsi="Arial" w:cs="Arial"/>
          <w:sz w:val="22"/>
          <w:szCs w:val="22"/>
        </w:rPr>
        <w:t>’</w:t>
      </w:r>
      <w:r w:rsidRPr="00A53D78">
        <w:rPr>
          <w:rFonts w:ascii="Arial" w:hAnsi="Arial" w:cs="Arial"/>
          <w:sz w:val="22"/>
          <w:szCs w:val="22"/>
        </w:rPr>
        <w:t>égalité des genres et à l</w:t>
      </w:r>
      <w:r w:rsidR="003F34AE" w:rsidRPr="00A53D78">
        <w:rPr>
          <w:rFonts w:ascii="Arial" w:hAnsi="Arial" w:cs="Arial"/>
          <w:sz w:val="22"/>
          <w:szCs w:val="22"/>
        </w:rPr>
        <w:t>’</w:t>
      </w:r>
      <w:r w:rsidRPr="00A53D78">
        <w:rPr>
          <w:rFonts w:ascii="Arial" w:hAnsi="Arial" w:cs="Arial"/>
          <w:sz w:val="22"/>
          <w:szCs w:val="22"/>
        </w:rPr>
        <w:t>autonomisation des femmes, ce qui ne ressort pas clairement de la description fournie. Il n</w:t>
      </w:r>
      <w:r w:rsidR="003F34AE" w:rsidRPr="00A53D78">
        <w:rPr>
          <w:rFonts w:ascii="Arial" w:hAnsi="Arial" w:cs="Arial"/>
          <w:sz w:val="22"/>
          <w:szCs w:val="22"/>
        </w:rPr>
        <w:t>’</w:t>
      </w:r>
      <w:r w:rsidRPr="00A53D78">
        <w:rPr>
          <w:rFonts w:ascii="Arial" w:hAnsi="Arial" w:cs="Arial"/>
          <w:sz w:val="22"/>
          <w:szCs w:val="22"/>
        </w:rPr>
        <w:t xml:space="preserve">est donc pas certain que cette pratique puisse servir de modèle pour la sauvegarde du patrimoine </w:t>
      </w:r>
      <w:r w:rsidR="0034349F">
        <w:rPr>
          <w:rFonts w:ascii="Arial" w:hAnsi="Arial" w:cs="Arial"/>
          <w:sz w:val="22"/>
          <w:szCs w:val="22"/>
        </w:rPr>
        <w:t>culturel immatériel.</w:t>
      </w:r>
    </w:p>
    <w:p w14:paraId="6C3836AF" w14:textId="0BE5F677"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P.7 :</w:t>
      </w:r>
      <w:r w:rsidRPr="00A53D78">
        <w:rPr>
          <w:rFonts w:ascii="Arial" w:hAnsi="Arial" w:cs="Arial"/>
          <w:sz w:val="22"/>
          <w:szCs w:val="22"/>
        </w:rPr>
        <w:tab/>
        <w:t>Il règne une certaine confusion dans le dossier quant à savoir si la diffusion concerne l</w:t>
      </w:r>
      <w:r w:rsidR="003F34AE" w:rsidRPr="00A53D78">
        <w:rPr>
          <w:rFonts w:ascii="Arial" w:hAnsi="Arial" w:cs="Arial"/>
          <w:sz w:val="22"/>
          <w:szCs w:val="22"/>
        </w:rPr>
        <w:t>’</w:t>
      </w:r>
      <w:r w:rsidRPr="00A53D78">
        <w:rPr>
          <w:rFonts w:ascii="Arial" w:hAnsi="Arial" w:cs="Arial"/>
          <w:sz w:val="22"/>
          <w:szCs w:val="22"/>
        </w:rPr>
        <w:t>élément lui-même, à savoir l</w:t>
      </w:r>
      <w:r w:rsidR="003F34AE" w:rsidRPr="00A53D78">
        <w:rPr>
          <w:rFonts w:ascii="Arial" w:hAnsi="Arial" w:cs="Arial"/>
          <w:sz w:val="22"/>
          <w:szCs w:val="22"/>
        </w:rPr>
        <w:t>’</w:t>
      </w:r>
      <w:r w:rsidRPr="00A53D78">
        <w:rPr>
          <w:rFonts w:ascii="Arial" w:hAnsi="Arial" w:cs="Arial"/>
          <w:sz w:val="22"/>
          <w:szCs w:val="22"/>
        </w:rPr>
        <w:t xml:space="preserve">art du </w:t>
      </w:r>
      <w:proofErr w:type="spellStart"/>
      <w:r w:rsidRPr="00A53D78">
        <w:rPr>
          <w:rFonts w:ascii="Arial" w:hAnsi="Arial" w:cs="Arial"/>
          <w:sz w:val="22"/>
          <w:szCs w:val="22"/>
        </w:rPr>
        <w:t>tally</w:t>
      </w:r>
      <w:proofErr w:type="spellEnd"/>
      <w:r w:rsidRPr="00A53D78">
        <w:rPr>
          <w:rFonts w:ascii="Arial" w:hAnsi="Arial" w:cs="Arial"/>
          <w:sz w:val="22"/>
          <w:szCs w:val="22"/>
        </w:rPr>
        <w:t>, ou le programme de sauvegarde. Le dossier ne démontre pas non plus de volonté d</w:t>
      </w:r>
      <w:r w:rsidR="003F34AE" w:rsidRPr="00A53D78">
        <w:rPr>
          <w:rFonts w:ascii="Arial" w:hAnsi="Arial" w:cs="Arial"/>
          <w:sz w:val="22"/>
          <w:szCs w:val="22"/>
        </w:rPr>
        <w:t>’</w:t>
      </w:r>
      <w:r w:rsidRPr="00A53D78">
        <w:rPr>
          <w:rFonts w:ascii="Arial" w:hAnsi="Arial" w:cs="Arial"/>
          <w:sz w:val="22"/>
          <w:szCs w:val="22"/>
        </w:rPr>
        <w:t xml:space="preserve">assurer cette diffusion au-delà du niveau local, alors que la diffusion des pratiques à plus large échelle – à savoir </w:t>
      </w:r>
      <w:proofErr w:type="spellStart"/>
      <w:r w:rsidRPr="00A53D78">
        <w:rPr>
          <w:rFonts w:ascii="Arial" w:hAnsi="Arial" w:cs="Arial"/>
          <w:sz w:val="22"/>
          <w:szCs w:val="22"/>
        </w:rPr>
        <w:t>sous-régionale</w:t>
      </w:r>
      <w:proofErr w:type="spellEnd"/>
      <w:r w:rsidRPr="00A53D78">
        <w:rPr>
          <w:rFonts w:ascii="Arial" w:hAnsi="Arial" w:cs="Arial"/>
          <w:sz w:val="22"/>
          <w:szCs w:val="22"/>
        </w:rPr>
        <w:t>, régionale et internationale – est l</w:t>
      </w:r>
      <w:r w:rsidR="003F34AE" w:rsidRPr="00A53D78">
        <w:rPr>
          <w:rFonts w:ascii="Arial" w:hAnsi="Arial" w:cs="Arial"/>
          <w:sz w:val="22"/>
          <w:szCs w:val="22"/>
        </w:rPr>
        <w:t>’</w:t>
      </w:r>
      <w:r w:rsidRPr="00A53D78">
        <w:rPr>
          <w:rFonts w:ascii="Arial" w:hAnsi="Arial" w:cs="Arial"/>
          <w:sz w:val="22"/>
          <w:szCs w:val="22"/>
        </w:rPr>
        <w:t>un des principaux objectifs d</w:t>
      </w:r>
      <w:r w:rsidR="007E266F" w:rsidRPr="00A53D78">
        <w:rPr>
          <w:rFonts w:ascii="Arial" w:hAnsi="Arial" w:cs="Arial"/>
          <w:sz w:val="22"/>
          <w:szCs w:val="22"/>
        </w:rPr>
        <w:t>ans</w:t>
      </w:r>
      <w:r w:rsidRPr="00A53D78">
        <w:rPr>
          <w:rFonts w:ascii="Arial" w:hAnsi="Arial" w:cs="Arial"/>
          <w:sz w:val="22"/>
          <w:szCs w:val="22"/>
        </w:rPr>
        <w:t xml:space="preserve"> </w:t>
      </w:r>
      <w:r w:rsidR="007E266F" w:rsidRPr="00A53D78">
        <w:rPr>
          <w:rFonts w:ascii="Arial" w:hAnsi="Arial" w:cs="Arial"/>
          <w:sz w:val="22"/>
          <w:szCs w:val="22"/>
        </w:rPr>
        <w:t>la</w:t>
      </w:r>
      <w:r w:rsidRPr="00A53D78">
        <w:rPr>
          <w:rFonts w:ascii="Arial" w:hAnsi="Arial" w:cs="Arial"/>
          <w:sz w:val="22"/>
          <w:szCs w:val="22"/>
        </w:rPr>
        <w:t xml:space="preserve"> </w:t>
      </w:r>
      <w:r w:rsidR="007E266F" w:rsidRPr="00A53D78">
        <w:rPr>
          <w:rFonts w:ascii="Arial" w:hAnsi="Arial" w:cs="Arial"/>
          <w:sz w:val="22"/>
          <w:szCs w:val="22"/>
        </w:rPr>
        <w:t xml:space="preserve">promotion </w:t>
      </w:r>
      <w:r w:rsidRPr="00A53D78">
        <w:rPr>
          <w:rFonts w:ascii="Arial" w:hAnsi="Arial" w:cs="Arial"/>
          <w:sz w:val="22"/>
          <w:szCs w:val="22"/>
        </w:rPr>
        <w:t>de</w:t>
      </w:r>
      <w:r w:rsidR="007E266F" w:rsidRPr="00A53D78">
        <w:rPr>
          <w:rFonts w:ascii="Arial" w:hAnsi="Arial" w:cs="Arial"/>
          <w:sz w:val="22"/>
          <w:szCs w:val="22"/>
        </w:rPr>
        <w:t>s</w:t>
      </w:r>
      <w:r w:rsidRPr="00A53D78">
        <w:rPr>
          <w:rFonts w:ascii="Arial" w:hAnsi="Arial" w:cs="Arial"/>
          <w:sz w:val="22"/>
          <w:szCs w:val="22"/>
        </w:rPr>
        <w:t xml:space="preserve"> programmes </w:t>
      </w:r>
      <w:r w:rsidR="007E266F" w:rsidRPr="00A53D78">
        <w:rPr>
          <w:rFonts w:ascii="Arial" w:hAnsi="Arial" w:cs="Arial"/>
          <w:sz w:val="22"/>
          <w:szCs w:val="22"/>
        </w:rPr>
        <w:t xml:space="preserve">sélectionnés pour </w:t>
      </w:r>
      <w:r w:rsidRPr="00A53D78">
        <w:rPr>
          <w:rFonts w:ascii="Arial" w:hAnsi="Arial" w:cs="Arial"/>
          <w:sz w:val="22"/>
          <w:szCs w:val="22"/>
        </w:rPr>
        <w:t>le Registre de bonnes pratiques de sauvegarde.</w:t>
      </w:r>
    </w:p>
    <w:p w14:paraId="4396B7EF" w14:textId="53603F8E" w:rsidR="00516853" w:rsidRPr="0034349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P.8 :</w:t>
      </w:r>
      <w:r w:rsidRPr="00A53D78">
        <w:rPr>
          <w:rFonts w:ascii="Arial" w:hAnsi="Arial" w:cs="Arial"/>
          <w:sz w:val="22"/>
          <w:szCs w:val="22"/>
        </w:rPr>
        <w:tab/>
        <w:t>La proposition décrit les effets quantitatifs du projet, comme l</w:t>
      </w:r>
      <w:r w:rsidR="003F34AE" w:rsidRPr="00A53D78">
        <w:rPr>
          <w:rFonts w:ascii="Arial" w:hAnsi="Arial" w:cs="Arial"/>
          <w:sz w:val="22"/>
          <w:szCs w:val="22"/>
        </w:rPr>
        <w:t>’</w:t>
      </w:r>
      <w:r w:rsidRPr="00A53D78">
        <w:rPr>
          <w:rFonts w:ascii="Arial" w:hAnsi="Arial" w:cs="Arial"/>
          <w:sz w:val="22"/>
          <w:szCs w:val="22"/>
        </w:rPr>
        <w:t xml:space="preserve">augmentation du nombre de praticiennes et de </w:t>
      </w:r>
      <w:r w:rsidR="007E266F" w:rsidRPr="00A53D78">
        <w:rPr>
          <w:rFonts w:ascii="Arial" w:hAnsi="Arial" w:cs="Arial"/>
          <w:sz w:val="22"/>
          <w:szCs w:val="22"/>
        </w:rPr>
        <w:t>décideuses</w:t>
      </w:r>
      <w:r w:rsidRPr="00A53D78">
        <w:rPr>
          <w:rFonts w:ascii="Arial" w:hAnsi="Arial" w:cs="Arial"/>
          <w:sz w:val="22"/>
          <w:szCs w:val="22"/>
        </w:rPr>
        <w:t>, la quantité plus importante de matériel utilisé et la hausse de la demande. Ses effets qualitatifs sont cependant peu abordés, comme par exemple l</w:t>
      </w:r>
      <w:r w:rsidR="003F34AE" w:rsidRPr="00A53D78">
        <w:rPr>
          <w:rFonts w:ascii="Arial" w:hAnsi="Arial" w:cs="Arial"/>
          <w:sz w:val="22"/>
          <w:szCs w:val="22"/>
        </w:rPr>
        <w:t>’</w:t>
      </w:r>
      <w:r w:rsidRPr="00A53D78">
        <w:rPr>
          <w:rFonts w:ascii="Arial" w:hAnsi="Arial" w:cs="Arial"/>
          <w:sz w:val="22"/>
          <w:szCs w:val="22"/>
        </w:rPr>
        <w:t>intérêt porté par les jeunes à l</w:t>
      </w:r>
      <w:r w:rsidR="003F34AE" w:rsidRPr="00A53D78">
        <w:rPr>
          <w:rFonts w:ascii="Arial" w:hAnsi="Arial" w:cs="Arial"/>
          <w:sz w:val="22"/>
          <w:szCs w:val="22"/>
        </w:rPr>
        <w:t>’</w:t>
      </w:r>
      <w:r w:rsidRPr="00A53D78">
        <w:rPr>
          <w:rFonts w:ascii="Arial" w:hAnsi="Arial" w:cs="Arial"/>
          <w:sz w:val="22"/>
          <w:szCs w:val="22"/>
        </w:rPr>
        <w:t>apprentissage de cette tradition.</w:t>
      </w:r>
    </w:p>
    <w:p w14:paraId="081B1615" w14:textId="5CF9F468"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P.9 :</w:t>
      </w:r>
      <w:r w:rsidRPr="00A53D78">
        <w:rPr>
          <w:rFonts w:ascii="Arial" w:hAnsi="Arial" w:cs="Arial"/>
          <w:sz w:val="22"/>
          <w:szCs w:val="22"/>
        </w:rPr>
        <w:tab/>
        <w:t xml:space="preserve">La capacité du projet à servir de modèle pour les pays en développement peut être estimée </w:t>
      </w:r>
      <w:r w:rsidR="00CB5662" w:rsidRPr="00A53D78">
        <w:rPr>
          <w:rFonts w:ascii="Arial" w:hAnsi="Arial" w:cs="Arial"/>
          <w:sz w:val="22"/>
          <w:szCs w:val="22"/>
        </w:rPr>
        <w:t>d</w:t>
      </w:r>
      <w:r w:rsidR="003F34AE" w:rsidRPr="00A53D78">
        <w:rPr>
          <w:rFonts w:ascii="Arial" w:hAnsi="Arial" w:cs="Arial"/>
          <w:sz w:val="22"/>
          <w:szCs w:val="22"/>
        </w:rPr>
        <w:t>’</w:t>
      </w:r>
      <w:r w:rsidR="00CB5662" w:rsidRPr="00A53D78">
        <w:rPr>
          <w:rFonts w:ascii="Arial" w:hAnsi="Arial" w:cs="Arial"/>
          <w:sz w:val="22"/>
          <w:szCs w:val="22"/>
        </w:rPr>
        <w:t>après</w:t>
      </w:r>
      <w:r w:rsidRPr="00A53D78">
        <w:rPr>
          <w:rFonts w:ascii="Arial" w:hAnsi="Arial" w:cs="Arial"/>
          <w:sz w:val="22"/>
          <w:szCs w:val="22"/>
        </w:rPr>
        <w:t xml:space="preserve"> l</w:t>
      </w:r>
      <w:r w:rsidR="003F34AE" w:rsidRPr="00A53D78">
        <w:rPr>
          <w:rFonts w:ascii="Arial" w:hAnsi="Arial" w:cs="Arial"/>
          <w:sz w:val="22"/>
          <w:szCs w:val="22"/>
        </w:rPr>
        <w:t>’</w:t>
      </w:r>
      <w:r w:rsidRPr="00A53D78">
        <w:rPr>
          <w:rFonts w:ascii="Arial" w:hAnsi="Arial" w:cs="Arial"/>
          <w:sz w:val="22"/>
          <w:szCs w:val="22"/>
        </w:rPr>
        <w:t>évaluation du critère P.6, et les renseignements fournis à la rubrique P.9 reprennent intégralement ceux de la rubrique P.6. L</w:t>
      </w:r>
      <w:r w:rsidR="003F34AE" w:rsidRPr="00A53D78">
        <w:rPr>
          <w:rFonts w:ascii="Arial" w:hAnsi="Arial" w:cs="Arial"/>
          <w:sz w:val="22"/>
          <w:szCs w:val="22"/>
        </w:rPr>
        <w:t>’</w:t>
      </w:r>
      <w:r w:rsidRPr="00A53D78">
        <w:rPr>
          <w:rFonts w:ascii="Arial" w:hAnsi="Arial" w:cs="Arial"/>
          <w:sz w:val="22"/>
          <w:szCs w:val="22"/>
        </w:rPr>
        <w:t>État soumissionnaire n</w:t>
      </w:r>
      <w:r w:rsidR="003F34AE" w:rsidRPr="00A53D78">
        <w:rPr>
          <w:rFonts w:ascii="Arial" w:hAnsi="Arial" w:cs="Arial"/>
          <w:sz w:val="22"/>
          <w:szCs w:val="22"/>
        </w:rPr>
        <w:t>’</w:t>
      </w:r>
      <w:r w:rsidRPr="00A53D78">
        <w:rPr>
          <w:rFonts w:ascii="Arial" w:hAnsi="Arial" w:cs="Arial"/>
          <w:sz w:val="22"/>
          <w:szCs w:val="22"/>
        </w:rPr>
        <w:t>a fourni aucun exemple ni explication concrets de la manière dont ce projet pourrait répondre aux besoins particuliers des pays en développement. Une forte réserve est en outre exprimée à l</w:t>
      </w:r>
      <w:r w:rsidR="003F34AE" w:rsidRPr="00A53D78">
        <w:rPr>
          <w:rFonts w:ascii="Arial" w:hAnsi="Arial" w:cs="Arial"/>
          <w:sz w:val="22"/>
          <w:szCs w:val="22"/>
        </w:rPr>
        <w:t>’</w:t>
      </w:r>
      <w:r w:rsidRPr="00A53D78">
        <w:rPr>
          <w:rFonts w:ascii="Arial" w:hAnsi="Arial" w:cs="Arial"/>
          <w:sz w:val="22"/>
          <w:szCs w:val="22"/>
        </w:rPr>
        <w:t>égard des effets réels du projet sur l</w:t>
      </w:r>
      <w:r w:rsidR="003F34AE" w:rsidRPr="00A53D78">
        <w:rPr>
          <w:rFonts w:ascii="Arial" w:hAnsi="Arial" w:cs="Arial"/>
          <w:sz w:val="22"/>
          <w:szCs w:val="22"/>
        </w:rPr>
        <w:t>’</w:t>
      </w:r>
      <w:r w:rsidRPr="00A53D78">
        <w:rPr>
          <w:rFonts w:ascii="Arial" w:hAnsi="Arial" w:cs="Arial"/>
          <w:sz w:val="22"/>
          <w:szCs w:val="22"/>
        </w:rPr>
        <w:t>émancipation des femmes dans la communauté concernée, en raison des incidences potentiellement négatives sur leur statut, notamm</w:t>
      </w:r>
      <w:r w:rsidR="0034349F">
        <w:rPr>
          <w:rFonts w:ascii="Arial" w:hAnsi="Arial" w:cs="Arial"/>
          <w:sz w:val="22"/>
          <w:szCs w:val="22"/>
        </w:rPr>
        <w:t>ent sur leur charge de travail.</w:t>
      </w:r>
    </w:p>
    <w:p w14:paraId="122AD755" w14:textId="3EF40590" w:rsidR="00516853" w:rsidRPr="00A53D78" w:rsidRDefault="00516853" w:rsidP="0031347D">
      <w:pPr>
        <w:numPr>
          <w:ilvl w:val="0"/>
          <w:numId w:val="38"/>
        </w:numPr>
        <w:tabs>
          <w:tab w:val="left" w:pos="567"/>
          <w:tab w:val="left" w:pos="1134"/>
          <w:tab w:val="left" w:pos="1701"/>
          <w:tab w:val="left" w:pos="2268"/>
        </w:tabs>
        <w:spacing w:before="120" w:after="120"/>
        <w:ind w:left="1134" w:hanging="567"/>
        <w:jc w:val="both"/>
        <w:rPr>
          <w:rFonts w:ascii="Arial" w:hAnsi="Arial" w:cs="Arial"/>
          <w:bCs/>
          <w:noProof/>
          <w:sz w:val="22"/>
          <w:szCs w:val="22"/>
        </w:rPr>
      </w:pPr>
      <w:r w:rsidRPr="00A53D78">
        <w:rPr>
          <w:rFonts w:ascii="Arial" w:hAnsi="Arial" w:cs="Arial"/>
          <w:bCs/>
          <w:sz w:val="22"/>
          <w:szCs w:val="22"/>
          <w:u w:val="single"/>
        </w:rPr>
        <w:t>Décide de ne pas sélectionner</w:t>
      </w:r>
      <w:r w:rsidRPr="00A53D78">
        <w:rPr>
          <w:rFonts w:ascii="Arial" w:hAnsi="Arial" w:cs="Arial"/>
          <w:bCs/>
          <w:sz w:val="22"/>
          <w:szCs w:val="22"/>
        </w:rPr>
        <w:t xml:space="preserve"> la </w:t>
      </w:r>
      <w:r w:rsidRPr="00A53D78">
        <w:rPr>
          <w:rFonts w:ascii="Arial" w:hAnsi="Arial" w:cs="Arial"/>
          <w:b/>
          <w:bCs/>
          <w:sz w:val="22"/>
          <w:szCs w:val="22"/>
        </w:rPr>
        <w:t>documentation, préservation, formation et promotion du patrimoine immatériel égyptien lié à l</w:t>
      </w:r>
      <w:r w:rsidR="003F34AE" w:rsidRPr="00A53D78">
        <w:rPr>
          <w:rFonts w:ascii="Arial" w:hAnsi="Arial" w:cs="Arial"/>
          <w:b/>
          <w:bCs/>
          <w:sz w:val="22"/>
          <w:szCs w:val="22"/>
        </w:rPr>
        <w:t>’</w:t>
      </w:r>
      <w:r w:rsidRPr="00A53D78">
        <w:rPr>
          <w:rFonts w:ascii="Arial" w:hAnsi="Arial" w:cs="Arial"/>
          <w:b/>
          <w:bCs/>
          <w:sz w:val="22"/>
          <w:szCs w:val="22"/>
        </w:rPr>
        <w:t xml:space="preserve">art du </w:t>
      </w:r>
      <w:proofErr w:type="spellStart"/>
      <w:r w:rsidRPr="00A53D78">
        <w:rPr>
          <w:rFonts w:ascii="Arial" w:hAnsi="Arial" w:cs="Arial"/>
          <w:b/>
          <w:bCs/>
          <w:sz w:val="22"/>
          <w:szCs w:val="22"/>
        </w:rPr>
        <w:t>tally</w:t>
      </w:r>
      <w:proofErr w:type="spellEnd"/>
      <w:r w:rsidRPr="00A53D78">
        <w:rPr>
          <w:rFonts w:ascii="Arial" w:hAnsi="Arial" w:cs="Arial"/>
          <w:b/>
          <w:bCs/>
          <w:sz w:val="22"/>
          <w:szCs w:val="22"/>
        </w:rPr>
        <w:t xml:space="preserve"> en Haute-Égypte</w:t>
      </w:r>
      <w:r w:rsidRPr="00A53D78">
        <w:rPr>
          <w:rFonts w:ascii="Arial" w:hAnsi="Arial" w:cs="Arial"/>
          <w:bCs/>
          <w:sz w:val="22"/>
          <w:szCs w:val="22"/>
        </w:rPr>
        <w:t xml:space="preserve"> comme programme, projet ou activité reflétant le mieux les principes et objectifs de la Convention ;</w:t>
      </w:r>
    </w:p>
    <w:p w14:paraId="093E9DC0" w14:textId="5A800CA3" w:rsidR="00516853" w:rsidRPr="00A53D78" w:rsidRDefault="00516853" w:rsidP="0031347D">
      <w:pPr>
        <w:numPr>
          <w:ilvl w:val="0"/>
          <w:numId w:val="38"/>
        </w:numPr>
        <w:tabs>
          <w:tab w:val="left" w:pos="567"/>
          <w:tab w:val="left" w:pos="1134"/>
          <w:tab w:val="left" w:pos="1701"/>
          <w:tab w:val="left" w:pos="2268"/>
        </w:tabs>
        <w:spacing w:before="120" w:after="120"/>
        <w:ind w:left="1134" w:hanging="567"/>
        <w:jc w:val="both"/>
        <w:rPr>
          <w:rFonts w:ascii="Arial" w:hAnsi="Arial" w:cs="Arial"/>
          <w:bCs/>
          <w:sz w:val="22"/>
          <w:szCs w:val="22"/>
        </w:rPr>
      </w:pPr>
      <w:r w:rsidRPr="00A53D78">
        <w:rPr>
          <w:rFonts w:ascii="Arial" w:hAnsi="Arial" w:cs="Arial"/>
          <w:bCs/>
          <w:sz w:val="22"/>
          <w:szCs w:val="22"/>
          <w:u w:val="single"/>
        </w:rPr>
        <w:t>Recommande</w:t>
      </w:r>
      <w:r w:rsidRPr="00A53D78">
        <w:rPr>
          <w:rFonts w:ascii="Arial" w:hAnsi="Arial" w:cs="Arial"/>
          <w:bCs/>
          <w:sz w:val="22"/>
          <w:szCs w:val="22"/>
        </w:rPr>
        <w:t xml:space="preserve"> à l</w:t>
      </w:r>
      <w:r w:rsidR="003F34AE" w:rsidRPr="00A53D78">
        <w:rPr>
          <w:rFonts w:ascii="Arial" w:hAnsi="Arial" w:cs="Arial"/>
          <w:bCs/>
          <w:sz w:val="22"/>
          <w:szCs w:val="22"/>
        </w:rPr>
        <w:t>’</w:t>
      </w:r>
      <w:r w:rsidRPr="00A53D78">
        <w:rPr>
          <w:rFonts w:ascii="Arial" w:hAnsi="Arial" w:cs="Arial"/>
          <w:bCs/>
          <w:sz w:val="22"/>
          <w:szCs w:val="22"/>
        </w:rPr>
        <w:t>État partie de rester vigilant quant à la nécessité d</w:t>
      </w:r>
      <w:r w:rsidR="003F34AE" w:rsidRPr="00A53D78">
        <w:rPr>
          <w:rFonts w:ascii="Arial" w:hAnsi="Arial" w:cs="Arial"/>
          <w:bCs/>
          <w:sz w:val="22"/>
          <w:szCs w:val="22"/>
        </w:rPr>
        <w:t>’</w:t>
      </w:r>
      <w:r w:rsidRPr="00A53D78">
        <w:rPr>
          <w:rFonts w:ascii="Arial" w:hAnsi="Arial" w:cs="Arial"/>
          <w:bCs/>
          <w:sz w:val="22"/>
          <w:szCs w:val="22"/>
        </w:rPr>
        <w:t>impliquer continuellement les communautés concernées dans la conception, la mise en œuvre et l</w:t>
      </w:r>
      <w:r w:rsidR="003F34AE" w:rsidRPr="00A53D78">
        <w:rPr>
          <w:rFonts w:ascii="Arial" w:hAnsi="Arial" w:cs="Arial"/>
          <w:bCs/>
          <w:sz w:val="22"/>
          <w:szCs w:val="22"/>
        </w:rPr>
        <w:t>’</w:t>
      </w:r>
      <w:r w:rsidRPr="00A53D78">
        <w:rPr>
          <w:rFonts w:ascii="Arial" w:hAnsi="Arial" w:cs="Arial"/>
          <w:bCs/>
          <w:sz w:val="22"/>
          <w:szCs w:val="22"/>
        </w:rPr>
        <w:t>évaluation du programme, ce qui permettra d</w:t>
      </w:r>
      <w:r w:rsidR="003F34AE" w:rsidRPr="00A53D78">
        <w:rPr>
          <w:rFonts w:ascii="Arial" w:hAnsi="Arial" w:cs="Arial"/>
          <w:bCs/>
          <w:sz w:val="22"/>
          <w:szCs w:val="22"/>
        </w:rPr>
        <w:t>’</w:t>
      </w:r>
      <w:r w:rsidRPr="00A53D78">
        <w:rPr>
          <w:rFonts w:ascii="Arial" w:hAnsi="Arial" w:cs="Arial"/>
          <w:bCs/>
          <w:sz w:val="22"/>
          <w:szCs w:val="22"/>
        </w:rPr>
        <w:t>éviter les effets négatifs d</w:t>
      </w:r>
      <w:r w:rsidR="003F34AE" w:rsidRPr="00A53D78">
        <w:rPr>
          <w:rFonts w:ascii="Arial" w:hAnsi="Arial" w:cs="Arial"/>
          <w:bCs/>
          <w:sz w:val="22"/>
          <w:szCs w:val="22"/>
        </w:rPr>
        <w:t>’</w:t>
      </w:r>
      <w:r w:rsidRPr="00A53D78">
        <w:rPr>
          <w:rFonts w:ascii="Arial" w:hAnsi="Arial" w:cs="Arial"/>
          <w:bCs/>
          <w:sz w:val="22"/>
          <w:szCs w:val="22"/>
        </w:rPr>
        <w:t>une éventuelle approche descendante</w:t>
      </w:r>
      <w:r w:rsidR="00E45521" w:rsidRPr="00A53D78">
        <w:rPr>
          <w:rFonts w:ascii="Arial" w:hAnsi="Arial" w:cs="Arial"/>
          <w:bCs/>
          <w:sz w:val="22"/>
          <w:szCs w:val="22"/>
        </w:rPr>
        <w:t>, ainsi qu’à la représentation du</w:t>
      </w:r>
      <w:r w:rsidRPr="00A53D78">
        <w:rPr>
          <w:rFonts w:ascii="Arial" w:hAnsi="Arial" w:cs="Arial"/>
          <w:bCs/>
          <w:sz w:val="22"/>
          <w:szCs w:val="22"/>
        </w:rPr>
        <w:t xml:space="preserve"> rôle des femmes </w:t>
      </w:r>
      <w:r w:rsidR="00E45521" w:rsidRPr="00A53D78">
        <w:rPr>
          <w:rFonts w:ascii="Arial" w:hAnsi="Arial" w:cs="Arial"/>
          <w:bCs/>
          <w:sz w:val="22"/>
          <w:szCs w:val="22"/>
        </w:rPr>
        <w:t>dans le r</w:t>
      </w:r>
      <w:r w:rsidRPr="00A53D78">
        <w:rPr>
          <w:rFonts w:ascii="Arial" w:hAnsi="Arial" w:cs="Arial"/>
          <w:bCs/>
          <w:sz w:val="22"/>
          <w:szCs w:val="22"/>
        </w:rPr>
        <w:t xml:space="preserve">espect </w:t>
      </w:r>
      <w:r w:rsidR="00E45521" w:rsidRPr="00A53D78">
        <w:rPr>
          <w:rFonts w:ascii="Arial" w:hAnsi="Arial" w:cs="Arial"/>
          <w:bCs/>
          <w:sz w:val="22"/>
          <w:szCs w:val="22"/>
        </w:rPr>
        <w:t>d</w:t>
      </w:r>
      <w:r w:rsidRPr="00A53D78">
        <w:rPr>
          <w:rFonts w:ascii="Arial" w:hAnsi="Arial" w:cs="Arial"/>
          <w:bCs/>
          <w:sz w:val="22"/>
          <w:szCs w:val="22"/>
        </w:rPr>
        <w:t>es principes d</w:t>
      </w:r>
      <w:r w:rsidR="003F34AE" w:rsidRPr="00A53D78">
        <w:rPr>
          <w:rFonts w:ascii="Arial" w:hAnsi="Arial" w:cs="Arial"/>
          <w:bCs/>
          <w:sz w:val="22"/>
          <w:szCs w:val="22"/>
        </w:rPr>
        <w:t>’</w:t>
      </w:r>
      <w:r w:rsidRPr="00A53D78">
        <w:rPr>
          <w:rFonts w:ascii="Arial" w:hAnsi="Arial" w:cs="Arial"/>
          <w:bCs/>
          <w:sz w:val="22"/>
          <w:szCs w:val="22"/>
        </w:rPr>
        <w:t>égalité des genres énoncés dans la Convention.</w:t>
      </w:r>
    </w:p>
    <w:p w14:paraId="423677BC" w14:textId="5F384AC9" w:rsidR="00516853" w:rsidRPr="00A53D78" w:rsidRDefault="00516853" w:rsidP="004C67FA">
      <w:pPr>
        <w:keepNext/>
        <w:tabs>
          <w:tab w:val="left" w:pos="567"/>
          <w:tab w:val="left" w:pos="1134"/>
          <w:tab w:val="left" w:pos="1701"/>
          <w:tab w:val="left" w:pos="2268"/>
        </w:tabs>
        <w:spacing w:before="360" w:after="120"/>
        <w:ind w:left="567"/>
        <w:jc w:val="both"/>
        <w:rPr>
          <w:rFonts w:ascii="Arial" w:hAnsi="Arial" w:cs="Arial"/>
          <w:sz w:val="22"/>
          <w:szCs w:val="22"/>
        </w:rPr>
      </w:pPr>
      <w:bookmarkStart w:id="6" w:name="PROJET_DE_DÉCISION_12_COM11_e_4"/>
      <w:bookmarkEnd w:id="6"/>
      <w:r w:rsidRPr="00A53D78">
        <w:rPr>
          <w:rFonts w:ascii="Arial" w:hAnsi="Arial" w:cs="Arial"/>
          <w:b/>
          <w:sz w:val="22"/>
          <w:szCs w:val="22"/>
        </w:rPr>
        <w:t>PROJET DE DÉCISION 12.COM 11.e.4</w:t>
      </w:r>
      <w:r w:rsidR="009E2556" w:rsidRPr="00A53D78">
        <w:rPr>
          <w:rFonts w:ascii="Arial" w:hAnsi="Arial" w:cs="Arial"/>
          <w:b/>
          <w:sz w:val="22"/>
          <w:szCs w:val="22"/>
        </w:rPr>
        <w:tab/>
      </w:r>
      <w:r w:rsidR="009E2556" w:rsidRPr="00A53D78">
        <w:rPr>
          <w:rFonts w:ascii="Arial" w:hAnsi="Arial" w:cs="Arial"/>
          <w:noProof/>
          <w:sz w:val="22"/>
          <w:szCs w:val="22"/>
          <w:lang w:val="en-US" w:eastAsia="ko-KR"/>
        </w:rPr>
        <w:drawing>
          <wp:inline distT="0" distB="0" distL="0" distR="0" wp14:anchorId="0ED9046E" wp14:editId="6D461346">
            <wp:extent cx="104775" cy="104775"/>
            <wp:effectExtent l="0" t="0" r="9525" b="9525"/>
            <wp:docPr id="5" name="Picture 3" descr="Return to 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E9C4ED9" w14:textId="77777777" w:rsidR="00516853" w:rsidRPr="00A53D78" w:rsidRDefault="00516853" w:rsidP="00516853">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A53D78">
        <w:rPr>
          <w:rFonts w:ascii="Arial" w:hAnsi="Arial" w:cs="Arial"/>
          <w:sz w:val="22"/>
          <w:szCs w:val="22"/>
        </w:rPr>
        <w:t>Le Comité</w:t>
      </w:r>
    </w:p>
    <w:p w14:paraId="0D89B5B9" w14:textId="1B395646" w:rsidR="00516853" w:rsidRPr="00A53D78" w:rsidRDefault="00516853" w:rsidP="00516853">
      <w:pPr>
        <w:numPr>
          <w:ilvl w:val="0"/>
          <w:numId w:val="39"/>
        </w:numPr>
        <w:tabs>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Prend note</w:t>
      </w:r>
      <w:r w:rsidRPr="00A53D78">
        <w:rPr>
          <w:rFonts w:ascii="Arial" w:hAnsi="Arial" w:cs="Arial"/>
          <w:sz w:val="22"/>
          <w:szCs w:val="22"/>
        </w:rPr>
        <w:t xml:space="preserve"> que l</w:t>
      </w:r>
      <w:r w:rsidR="003F34AE" w:rsidRPr="00A53D78">
        <w:rPr>
          <w:rFonts w:ascii="Arial" w:hAnsi="Arial" w:cs="Arial"/>
          <w:sz w:val="22"/>
          <w:szCs w:val="22"/>
        </w:rPr>
        <w:t>’</w:t>
      </w:r>
      <w:r w:rsidRPr="00A53D78">
        <w:rPr>
          <w:rFonts w:ascii="Arial" w:hAnsi="Arial" w:cs="Arial"/>
          <w:sz w:val="22"/>
          <w:szCs w:val="22"/>
        </w:rPr>
        <w:t xml:space="preserve">Ouzbékistan a proposé </w:t>
      </w:r>
      <w:r w:rsidRPr="00A53D78">
        <w:rPr>
          <w:rFonts w:ascii="Arial" w:hAnsi="Arial" w:cs="Arial"/>
          <w:b/>
          <w:sz w:val="22"/>
          <w:szCs w:val="22"/>
        </w:rPr>
        <w:t>le Centre de développement artisanal de Marguilan, sauvegarde des technologies traditionnelles de fabrication d</w:t>
      </w:r>
      <w:r w:rsidR="003F34AE" w:rsidRPr="00A53D78">
        <w:rPr>
          <w:rFonts w:ascii="Arial" w:hAnsi="Arial" w:cs="Arial"/>
          <w:b/>
          <w:sz w:val="22"/>
          <w:szCs w:val="22"/>
        </w:rPr>
        <w:t>’</w:t>
      </w:r>
      <w:r w:rsidRPr="00A53D78">
        <w:rPr>
          <w:rFonts w:ascii="Arial" w:hAnsi="Arial" w:cs="Arial"/>
          <w:b/>
          <w:sz w:val="22"/>
          <w:szCs w:val="22"/>
        </w:rPr>
        <w:t>atlas et d</w:t>
      </w:r>
      <w:r w:rsidR="003F34AE" w:rsidRPr="00A53D78">
        <w:rPr>
          <w:rFonts w:ascii="Arial" w:hAnsi="Arial" w:cs="Arial"/>
          <w:b/>
          <w:sz w:val="22"/>
          <w:szCs w:val="22"/>
        </w:rPr>
        <w:t>’</w:t>
      </w:r>
      <w:proofErr w:type="spellStart"/>
      <w:r w:rsidRPr="00A53D78">
        <w:rPr>
          <w:rFonts w:ascii="Arial" w:hAnsi="Arial" w:cs="Arial"/>
          <w:b/>
          <w:sz w:val="22"/>
          <w:szCs w:val="22"/>
        </w:rPr>
        <w:t>adras</w:t>
      </w:r>
      <w:proofErr w:type="spellEnd"/>
      <w:r w:rsidRPr="00A53D78">
        <w:rPr>
          <w:rFonts w:ascii="Arial" w:hAnsi="Arial" w:cs="Arial"/>
          <w:sz w:val="22"/>
          <w:szCs w:val="22"/>
        </w:rPr>
        <w:t xml:space="preserve"> (n° 01254) pour sélection et promotion par le Comité comme programme, projet ou activité reflétant le mieux les principes et objectifs de la Convention :</w:t>
      </w:r>
    </w:p>
    <w:p w14:paraId="770D3A58" w14:textId="299446C9" w:rsidR="00516853" w:rsidRPr="00A53D78" w:rsidRDefault="00516853" w:rsidP="00516853">
      <w:pPr>
        <w:tabs>
          <w:tab w:val="left" w:pos="1134"/>
          <w:tab w:val="left" w:pos="1701"/>
          <w:tab w:val="left" w:pos="2268"/>
        </w:tabs>
        <w:spacing w:before="120" w:after="120"/>
        <w:ind w:left="1134"/>
        <w:jc w:val="both"/>
        <w:rPr>
          <w:rFonts w:ascii="Arial" w:hAnsi="Arial" w:cs="Arial"/>
          <w:sz w:val="22"/>
          <w:szCs w:val="22"/>
        </w:rPr>
      </w:pPr>
      <w:r w:rsidRPr="00A53D78">
        <w:rPr>
          <w:rFonts w:ascii="Arial" w:hAnsi="Arial" w:cs="Arial"/>
          <w:sz w:val="22"/>
          <w:szCs w:val="22"/>
        </w:rPr>
        <w:t>L</w:t>
      </w:r>
      <w:r w:rsidR="003F34AE" w:rsidRPr="00A53D78">
        <w:rPr>
          <w:rFonts w:ascii="Arial" w:hAnsi="Arial" w:cs="Arial"/>
          <w:sz w:val="22"/>
          <w:szCs w:val="22"/>
        </w:rPr>
        <w:t>’</w:t>
      </w:r>
      <w:r w:rsidRPr="00A53D78">
        <w:rPr>
          <w:rFonts w:ascii="Arial" w:hAnsi="Arial" w:cs="Arial"/>
          <w:sz w:val="22"/>
          <w:szCs w:val="22"/>
        </w:rPr>
        <w:t>histoire de la fabrication d</w:t>
      </w:r>
      <w:r w:rsidR="003F34AE" w:rsidRPr="00A53D78">
        <w:rPr>
          <w:rFonts w:ascii="Arial" w:hAnsi="Arial" w:cs="Arial"/>
          <w:sz w:val="22"/>
          <w:szCs w:val="22"/>
        </w:rPr>
        <w:t>’</w:t>
      </w:r>
      <w:proofErr w:type="spellStart"/>
      <w:r w:rsidRPr="00A53D78">
        <w:rPr>
          <w:rFonts w:ascii="Arial" w:hAnsi="Arial" w:cs="Arial"/>
          <w:sz w:val="22"/>
          <w:szCs w:val="22"/>
        </w:rPr>
        <w:t>ikat</w:t>
      </w:r>
      <w:proofErr w:type="spellEnd"/>
      <w:r w:rsidRPr="00A53D78">
        <w:rPr>
          <w:rFonts w:ascii="Arial" w:hAnsi="Arial" w:cs="Arial"/>
          <w:sz w:val="22"/>
          <w:szCs w:val="22"/>
        </w:rPr>
        <w:t xml:space="preserve">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xml:space="preserve"> sur le territoire de l</w:t>
      </w:r>
      <w:r w:rsidR="003F34AE" w:rsidRPr="00A53D78">
        <w:rPr>
          <w:rFonts w:ascii="Arial" w:hAnsi="Arial" w:cs="Arial"/>
          <w:sz w:val="22"/>
          <w:szCs w:val="22"/>
        </w:rPr>
        <w:t>’</w:t>
      </w:r>
      <w:r w:rsidRPr="00A53D78">
        <w:rPr>
          <w:rFonts w:ascii="Arial" w:hAnsi="Arial" w:cs="Arial"/>
          <w:sz w:val="22"/>
          <w:szCs w:val="22"/>
        </w:rPr>
        <w:t>Ouzbékistan actuel remonte à l</w:t>
      </w:r>
      <w:r w:rsidR="003F34AE" w:rsidRPr="00A53D78">
        <w:rPr>
          <w:rFonts w:ascii="Arial" w:hAnsi="Arial" w:cs="Arial"/>
          <w:sz w:val="22"/>
          <w:szCs w:val="22"/>
        </w:rPr>
        <w:t>’</w:t>
      </w:r>
      <w:r w:rsidRPr="00A53D78">
        <w:rPr>
          <w:rFonts w:ascii="Arial" w:hAnsi="Arial" w:cs="Arial"/>
          <w:sz w:val="22"/>
          <w:szCs w:val="22"/>
        </w:rPr>
        <w:t>Antiquité. Historiquement, c</w:t>
      </w:r>
      <w:r w:rsidR="003F34AE" w:rsidRPr="00A53D78">
        <w:rPr>
          <w:rFonts w:ascii="Arial" w:hAnsi="Arial" w:cs="Arial"/>
          <w:sz w:val="22"/>
          <w:szCs w:val="22"/>
        </w:rPr>
        <w:t>’</w:t>
      </w:r>
      <w:r w:rsidRPr="00A53D78">
        <w:rPr>
          <w:rFonts w:ascii="Arial" w:hAnsi="Arial" w:cs="Arial"/>
          <w:sz w:val="22"/>
          <w:szCs w:val="22"/>
        </w:rPr>
        <w:t>est à Marguilan qu</w:t>
      </w:r>
      <w:r w:rsidR="003F34AE" w:rsidRPr="00A53D78">
        <w:rPr>
          <w:rFonts w:ascii="Arial" w:hAnsi="Arial" w:cs="Arial"/>
          <w:sz w:val="22"/>
          <w:szCs w:val="22"/>
        </w:rPr>
        <w:t>’</w:t>
      </w:r>
      <w:r w:rsidRPr="00A53D78">
        <w:rPr>
          <w:rFonts w:ascii="Arial" w:hAnsi="Arial" w:cs="Arial"/>
          <w:sz w:val="22"/>
          <w:szCs w:val="22"/>
        </w:rPr>
        <w:t>étaient fabriqués l</w:t>
      </w:r>
      <w:r w:rsidR="003F34AE" w:rsidRPr="00A53D78">
        <w:rPr>
          <w:rFonts w:ascii="Arial" w:hAnsi="Arial" w:cs="Arial"/>
          <w:sz w:val="22"/>
          <w:szCs w:val="22"/>
        </w:rPr>
        <w:t>’</w:t>
      </w:r>
      <w:r w:rsidRPr="00A53D78">
        <w:rPr>
          <w:rFonts w:ascii="Arial" w:hAnsi="Arial" w:cs="Arial"/>
          <w:sz w:val="22"/>
          <w:szCs w:val="22"/>
        </w:rPr>
        <w:t>atlas et l</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des tissus traditionnels fins et colorés. L</w:t>
      </w:r>
      <w:r w:rsidR="003F34AE" w:rsidRPr="00A53D78">
        <w:rPr>
          <w:rFonts w:ascii="Arial" w:hAnsi="Arial" w:cs="Arial"/>
          <w:sz w:val="22"/>
          <w:szCs w:val="22"/>
        </w:rPr>
        <w:t>’</w:t>
      </w:r>
      <w:r w:rsidRPr="00A53D78">
        <w:rPr>
          <w:rFonts w:ascii="Arial" w:hAnsi="Arial" w:cs="Arial"/>
          <w:sz w:val="22"/>
          <w:szCs w:val="22"/>
        </w:rPr>
        <w:t>artisanat traditionnel a connu des moments difficiles pendant l</w:t>
      </w:r>
      <w:r w:rsidR="003F34AE" w:rsidRPr="00A53D78">
        <w:rPr>
          <w:rFonts w:ascii="Arial" w:hAnsi="Arial" w:cs="Arial"/>
          <w:sz w:val="22"/>
          <w:szCs w:val="22"/>
        </w:rPr>
        <w:t>’</w:t>
      </w:r>
      <w:r w:rsidRPr="00A53D78">
        <w:rPr>
          <w:rFonts w:ascii="Arial" w:hAnsi="Arial" w:cs="Arial"/>
          <w:sz w:val="22"/>
          <w:szCs w:val="22"/>
        </w:rPr>
        <w:t>ère soviétique et certaines techniques anciennes de production artisanale ont failli disparaître. Au vu de l</w:t>
      </w:r>
      <w:r w:rsidR="003F34AE" w:rsidRPr="00A53D78">
        <w:rPr>
          <w:rFonts w:ascii="Arial" w:hAnsi="Arial" w:cs="Arial"/>
          <w:sz w:val="22"/>
          <w:szCs w:val="22"/>
        </w:rPr>
        <w:t>’</w:t>
      </w:r>
      <w:r w:rsidRPr="00A53D78">
        <w:rPr>
          <w:rFonts w:ascii="Arial" w:hAnsi="Arial" w:cs="Arial"/>
          <w:sz w:val="22"/>
          <w:szCs w:val="22"/>
        </w:rPr>
        <w:t>urgence de revitaliser et de sauvegarder les traditions menacées de disparition, en 2007, la communauté locale a lancé une initiative visant à créer un Centre de développement artisanal (CDC). L</w:t>
      </w:r>
      <w:r w:rsidR="003F34AE" w:rsidRPr="00A53D78">
        <w:rPr>
          <w:rFonts w:ascii="Arial" w:hAnsi="Arial" w:cs="Arial"/>
          <w:sz w:val="22"/>
          <w:szCs w:val="22"/>
        </w:rPr>
        <w:t>’</w:t>
      </w:r>
      <w:r w:rsidRPr="00A53D78">
        <w:rPr>
          <w:rFonts w:ascii="Arial" w:hAnsi="Arial" w:cs="Arial"/>
          <w:sz w:val="22"/>
          <w:szCs w:val="22"/>
        </w:rPr>
        <w:t>objectif de ce Centre est de sauvegarder, développer et promouvoir les méthodes traditionnelles ouzbèkes de fabrication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xml:space="preserve"> grâce à des formations innovantes, à des </w:t>
      </w:r>
      <w:r w:rsidR="00EE6AF5" w:rsidRPr="00A53D78">
        <w:rPr>
          <w:rFonts w:ascii="Arial" w:hAnsi="Arial" w:cs="Arial"/>
          <w:sz w:val="22"/>
          <w:szCs w:val="22"/>
        </w:rPr>
        <w:t xml:space="preserve">expositions </w:t>
      </w:r>
      <w:r w:rsidRPr="00A53D78">
        <w:rPr>
          <w:rFonts w:ascii="Arial" w:hAnsi="Arial" w:cs="Arial"/>
          <w:sz w:val="22"/>
          <w:szCs w:val="22"/>
        </w:rPr>
        <w:t>et des salons de l</w:t>
      </w:r>
      <w:r w:rsidR="003F34AE" w:rsidRPr="00A53D78">
        <w:rPr>
          <w:rFonts w:ascii="Arial" w:hAnsi="Arial" w:cs="Arial"/>
          <w:sz w:val="22"/>
          <w:szCs w:val="22"/>
        </w:rPr>
        <w:t>’</w:t>
      </w:r>
      <w:r w:rsidRPr="00A53D78">
        <w:rPr>
          <w:rFonts w:ascii="Arial" w:hAnsi="Arial" w:cs="Arial"/>
          <w:sz w:val="22"/>
          <w:szCs w:val="22"/>
        </w:rPr>
        <w:t>artisanat, à des festivals sur les textiles traditionnels et à la publication de différents outils et manuels de sauvegarde. Il encourage également l</w:t>
      </w:r>
      <w:r w:rsidR="003F34AE" w:rsidRPr="00A53D78">
        <w:rPr>
          <w:rFonts w:ascii="Arial" w:hAnsi="Arial" w:cs="Arial"/>
          <w:sz w:val="22"/>
          <w:szCs w:val="22"/>
        </w:rPr>
        <w:t>’</w:t>
      </w:r>
      <w:r w:rsidRPr="00A53D78">
        <w:rPr>
          <w:rFonts w:ascii="Arial" w:hAnsi="Arial" w:cs="Arial"/>
          <w:sz w:val="22"/>
          <w:szCs w:val="22"/>
        </w:rPr>
        <w:t>utilisation de matériaux naturels et contribue à la transmission des connaissances et des savoir-faire relatifs à la nature et à l</w:t>
      </w:r>
      <w:r w:rsidR="003F34AE" w:rsidRPr="00A53D78">
        <w:rPr>
          <w:rFonts w:ascii="Arial" w:hAnsi="Arial" w:cs="Arial"/>
          <w:sz w:val="22"/>
          <w:szCs w:val="22"/>
        </w:rPr>
        <w:t>’</w:t>
      </w:r>
      <w:r w:rsidRPr="00A53D78">
        <w:rPr>
          <w:rFonts w:ascii="Arial" w:hAnsi="Arial" w:cs="Arial"/>
          <w:sz w:val="22"/>
          <w:szCs w:val="22"/>
        </w:rPr>
        <w:t>univers ainsi qu</w:t>
      </w:r>
      <w:r w:rsidR="003F34AE" w:rsidRPr="00A53D78">
        <w:rPr>
          <w:rFonts w:ascii="Arial" w:hAnsi="Arial" w:cs="Arial"/>
          <w:sz w:val="22"/>
          <w:szCs w:val="22"/>
        </w:rPr>
        <w:t>’</w:t>
      </w:r>
      <w:r w:rsidRPr="00A53D78">
        <w:rPr>
          <w:rFonts w:ascii="Arial" w:hAnsi="Arial" w:cs="Arial"/>
          <w:sz w:val="22"/>
          <w:szCs w:val="22"/>
        </w:rPr>
        <w:t>à leur importance pour la santé et le bien-être des personnes. Le succès du CDC est lié à son fort esprit de partenariat, et les communautés locales jouent un rôle important dans la mise en œuvre de ses initiatives de par le sentiment commun que les tissus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xml:space="preserve"> sont au cœur de l</w:t>
      </w:r>
      <w:r w:rsidR="003F34AE" w:rsidRPr="00A53D78">
        <w:rPr>
          <w:rFonts w:ascii="Arial" w:hAnsi="Arial" w:cs="Arial"/>
          <w:sz w:val="22"/>
          <w:szCs w:val="22"/>
        </w:rPr>
        <w:t>’</w:t>
      </w:r>
      <w:r w:rsidRPr="00A53D78">
        <w:rPr>
          <w:rFonts w:ascii="Arial" w:hAnsi="Arial" w:cs="Arial"/>
          <w:sz w:val="22"/>
          <w:szCs w:val="22"/>
        </w:rPr>
        <w:t>identité.</w:t>
      </w:r>
    </w:p>
    <w:p w14:paraId="405B28F1" w14:textId="3A3236F3" w:rsidR="003B3EA1" w:rsidRPr="00A53D78" w:rsidRDefault="00516853" w:rsidP="004C67FA">
      <w:pPr>
        <w:numPr>
          <w:ilvl w:val="0"/>
          <w:numId w:val="39"/>
        </w:numPr>
        <w:tabs>
          <w:tab w:val="left" w:pos="1134"/>
          <w:tab w:val="left" w:pos="1701"/>
          <w:tab w:val="left" w:pos="2268"/>
        </w:tabs>
        <w:spacing w:before="120" w:after="120"/>
        <w:ind w:left="1134" w:hanging="567"/>
        <w:jc w:val="both"/>
        <w:rPr>
          <w:rFonts w:ascii="Arial" w:hAnsi="Arial" w:cs="Arial"/>
          <w:sz w:val="22"/>
          <w:szCs w:val="22"/>
        </w:rPr>
      </w:pPr>
      <w:r w:rsidRPr="00A53D78">
        <w:rPr>
          <w:rFonts w:ascii="Arial" w:hAnsi="Arial" w:cs="Arial"/>
          <w:sz w:val="22"/>
          <w:szCs w:val="22"/>
          <w:u w:val="single"/>
        </w:rPr>
        <w:t>Décide</w:t>
      </w:r>
      <w:r w:rsidR="003B3EA1" w:rsidRPr="00A53D78">
        <w:rPr>
          <w:rFonts w:ascii="Arial" w:hAnsi="Arial" w:cs="Arial"/>
          <w:sz w:val="22"/>
          <w:szCs w:val="22"/>
        </w:rPr>
        <w:t xml:space="preserve"> que, d</w:t>
      </w:r>
      <w:r w:rsidR="003F34AE" w:rsidRPr="00A53D78">
        <w:rPr>
          <w:rFonts w:ascii="Arial" w:hAnsi="Arial" w:cs="Arial"/>
          <w:sz w:val="22"/>
          <w:szCs w:val="22"/>
        </w:rPr>
        <w:t>’</w:t>
      </w:r>
      <w:r w:rsidR="003B3EA1" w:rsidRPr="00A53D78">
        <w:rPr>
          <w:rFonts w:ascii="Arial" w:hAnsi="Arial" w:cs="Arial"/>
          <w:sz w:val="22"/>
          <w:szCs w:val="22"/>
        </w:rPr>
        <w:t>après l</w:t>
      </w:r>
      <w:r w:rsidR="003F34AE" w:rsidRPr="00A53D78">
        <w:rPr>
          <w:rFonts w:ascii="Arial" w:hAnsi="Arial" w:cs="Arial"/>
          <w:sz w:val="22"/>
          <w:szCs w:val="22"/>
        </w:rPr>
        <w:t>’</w:t>
      </w:r>
      <w:r w:rsidR="003B3EA1" w:rsidRPr="00A53D78">
        <w:rPr>
          <w:rFonts w:ascii="Arial" w:hAnsi="Arial" w:cs="Arial"/>
          <w:sz w:val="22"/>
          <w:szCs w:val="22"/>
        </w:rPr>
        <w:t xml:space="preserve">information contenue dans le dossier, </w:t>
      </w:r>
      <w:r w:rsidR="00825B7B" w:rsidRPr="00A53D78">
        <w:rPr>
          <w:rFonts w:ascii="Arial" w:hAnsi="Arial" w:cs="Arial"/>
          <w:sz w:val="22"/>
          <w:szCs w:val="22"/>
        </w:rPr>
        <w:t>le programme répond comme suit aux critères énoncés au paragraphe 7 des Directives opérationnelles concernant la sélection en tant que bonne pratique de sauvegarde</w:t>
      </w:r>
      <w:r w:rsidR="003B3EA1" w:rsidRPr="00A53D78">
        <w:rPr>
          <w:rFonts w:ascii="Arial" w:hAnsi="Arial" w:cs="Arial"/>
          <w:sz w:val="22"/>
          <w:szCs w:val="22"/>
        </w:rPr>
        <w:t> :</w:t>
      </w:r>
    </w:p>
    <w:p w14:paraId="56F485DF" w14:textId="71BBC42E" w:rsidR="00516853" w:rsidRPr="0034349F"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P.1 :</w:t>
      </w:r>
      <w:r w:rsidRPr="00A53D78">
        <w:rPr>
          <w:rFonts w:ascii="Arial" w:hAnsi="Arial" w:cs="Arial"/>
          <w:sz w:val="22"/>
          <w:szCs w:val="22"/>
        </w:rPr>
        <w:tab/>
        <w:t>Le programme est né de l</w:t>
      </w:r>
      <w:r w:rsidR="003F34AE" w:rsidRPr="00A53D78">
        <w:rPr>
          <w:rFonts w:ascii="Arial" w:hAnsi="Arial" w:cs="Arial"/>
          <w:sz w:val="22"/>
          <w:szCs w:val="22"/>
        </w:rPr>
        <w:t>’</w:t>
      </w:r>
      <w:r w:rsidRPr="00A53D78">
        <w:rPr>
          <w:rFonts w:ascii="Arial" w:hAnsi="Arial" w:cs="Arial"/>
          <w:sz w:val="22"/>
          <w:szCs w:val="22"/>
        </w:rPr>
        <w:t>urgence de revitaliser les techniques et les pratiques artisanales. Il comprend aujourd</w:t>
      </w:r>
      <w:r w:rsidR="003F34AE" w:rsidRPr="00A53D78">
        <w:rPr>
          <w:rFonts w:ascii="Arial" w:hAnsi="Arial" w:cs="Arial"/>
          <w:sz w:val="22"/>
          <w:szCs w:val="22"/>
        </w:rPr>
        <w:t>’</w:t>
      </w:r>
      <w:r w:rsidRPr="00A53D78">
        <w:rPr>
          <w:rFonts w:ascii="Arial" w:hAnsi="Arial" w:cs="Arial"/>
          <w:sz w:val="22"/>
          <w:szCs w:val="22"/>
        </w:rPr>
        <w:t>hui des activités de sensibilisation et de transmission à différents niveaux, et suit une démarche d</w:t>
      </w:r>
      <w:r w:rsidR="003F34AE" w:rsidRPr="00A53D78">
        <w:rPr>
          <w:rFonts w:ascii="Arial" w:hAnsi="Arial" w:cs="Arial"/>
          <w:sz w:val="22"/>
          <w:szCs w:val="22"/>
        </w:rPr>
        <w:t>’</w:t>
      </w:r>
      <w:r w:rsidRPr="00A53D78">
        <w:rPr>
          <w:rFonts w:ascii="Arial" w:hAnsi="Arial" w:cs="Arial"/>
          <w:sz w:val="22"/>
          <w:szCs w:val="22"/>
        </w:rPr>
        <w:t>inclusion de différents groupes sociaux. Il encourage notamment la transmission intergénérationnelle et la transmission par des formations non formelles, et s</w:t>
      </w:r>
      <w:r w:rsidR="003F34AE" w:rsidRPr="00A53D78">
        <w:rPr>
          <w:rFonts w:ascii="Arial" w:hAnsi="Arial" w:cs="Arial"/>
          <w:sz w:val="22"/>
          <w:szCs w:val="22"/>
        </w:rPr>
        <w:t>’</w:t>
      </w:r>
      <w:r w:rsidRPr="00A53D78">
        <w:rPr>
          <w:rFonts w:ascii="Arial" w:hAnsi="Arial" w:cs="Arial"/>
          <w:sz w:val="22"/>
          <w:szCs w:val="22"/>
        </w:rPr>
        <w:t>attache à faire participer les jeunes et à promouvoir la production durable avec l</w:t>
      </w:r>
      <w:r w:rsidR="003F34AE" w:rsidRPr="00A53D78">
        <w:rPr>
          <w:rFonts w:ascii="Arial" w:hAnsi="Arial" w:cs="Arial"/>
          <w:sz w:val="22"/>
          <w:szCs w:val="22"/>
        </w:rPr>
        <w:t>’</w:t>
      </w:r>
      <w:r w:rsidRPr="00A53D78">
        <w:rPr>
          <w:rFonts w:ascii="Arial" w:hAnsi="Arial" w:cs="Arial"/>
          <w:sz w:val="22"/>
          <w:szCs w:val="22"/>
        </w:rPr>
        <w:t>utilisation de tissus et de colorants naturels plut</w:t>
      </w:r>
      <w:r w:rsidR="0034349F">
        <w:rPr>
          <w:rFonts w:ascii="Arial" w:hAnsi="Arial" w:cs="Arial"/>
          <w:sz w:val="22"/>
          <w:szCs w:val="22"/>
        </w:rPr>
        <w:t>ôt que de produits industriels.</w:t>
      </w:r>
    </w:p>
    <w:p w14:paraId="7DC0AA27" w14:textId="725BE7CE"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P.2 :</w:t>
      </w:r>
      <w:r w:rsidRPr="00A53D78">
        <w:rPr>
          <w:rFonts w:ascii="Arial" w:hAnsi="Arial" w:cs="Arial"/>
          <w:sz w:val="22"/>
          <w:szCs w:val="22"/>
        </w:rPr>
        <w:tab/>
        <w:t xml:space="preserve">Si le Centre de développement artisanal de Marguilan est surtout actif au niveau national, les activités telles que les </w:t>
      </w:r>
      <w:r w:rsidR="00EE6AF5" w:rsidRPr="00A53D78">
        <w:rPr>
          <w:rFonts w:ascii="Arial" w:hAnsi="Arial" w:cs="Arial"/>
          <w:sz w:val="22"/>
          <w:szCs w:val="22"/>
        </w:rPr>
        <w:t>expositions</w:t>
      </w:r>
      <w:r w:rsidRPr="00A53D78">
        <w:rPr>
          <w:rFonts w:ascii="Arial" w:hAnsi="Arial" w:cs="Arial"/>
          <w:sz w:val="22"/>
          <w:szCs w:val="22"/>
        </w:rPr>
        <w:t>, les salons de l</w:t>
      </w:r>
      <w:r w:rsidR="003F34AE" w:rsidRPr="00A53D78">
        <w:rPr>
          <w:rFonts w:ascii="Arial" w:hAnsi="Arial" w:cs="Arial"/>
          <w:sz w:val="22"/>
          <w:szCs w:val="22"/>
        </w:rPr>
        <w:t>’</w:t>
      </w:r>
      <w:r w:rsidRPr="00A53D78">
        <w:rPr>
          <w:rFonts w:ascii="Arial" w:hAnsi="Arial" w:cs="Arial"/>
          <w:sz w:val="22"/>
          <w:szCs w:val="22"/>
        </w:rPr>
        <w:t>artisanat et les festivals internationaux font connaître l</w:t>
      </w:r>
      <w:r w:rsidR="003F34AE" w:rsidRPr="00A53D78">
        <w:rPr>
          <w:rFonts w:ascii="Arial" w:hAnsi="Arial" w:cs="Arial"/>
          <w:sz w:val="22"/>
          <w:szCs w:val="22"/>
        </w:rPr>
        <w:t>’</w:t>
      </w:r>
      <w:r w:rsidRPr="00A53D78">
        <w:rPr>
          <w:rFonts w:ascii="Arial" w:hAnsi="Arial" w:cs="Arial"/>
          <w:sz w:val="22"/>
          <w:szCs w:val="22"/>
        </w:rPr>
        <w:t>artisanat de l</w:t>
      </w:r>
      <w:r w:rsidR="003F34AE" w:rsidRPr="00A53D78">
        <w:rPr>
          <w:rFonts w:ascii="Arial" w:hAnsi="Arial" w:cs="Arial"/>
          <w:sz w:val="22"/>
          <w:szCs w:val="22"/>
        </w:rPr>
        <w:t>’</w:t>
      </w:r>
      <w:proofErr w:type="spellStart"/>
      <w:r w:rsidRPr="00A53D78">
        <w:rPr>
          <w:rFonts w:ascii="Arial" w:hAnsi="Arial" w:cs="Arial"/>
          <w:sz w:val="22"/>
          <w:szCs w:val="22"/>
        </w:rPr>
        <w:t>ikat</w:t>
      </w:r>
      <w:proofErr w:type="spellEnd"/>
      <w:r w:rsidRPr="00A53D78">
        <w:rPr>
          <w:rFonts w:ascii="Arial" w:hAnsi="Arial" w:cs="Arial"/>
          <w:sz w:val="22"/>
          <w:szCs w:val="22"/>
        </w:rPr>
        <w:t xml:space="preserve"> à l</w:t>
      </w:r>
      <w:r w:rsidR="003F34AE" w:rsidRPr="00A53D78">
        <w:rPr>
          <w:rFonts w:ascii="Arial" w:hAnsi="Arial" w:cs="Arial"/>
          <w:sz w:val="22"/>
          <w:szCs w:val="22"/>
        </w:rPr>
        <w:t>’</w:t>
      </w:r>
      <w:r w:rsidRPr="00A53D78">
        <w:rPr>
          <w:rFonts w:ascii="Arial" w:hAnsi="Arial" w:cs="Arial"/>
          <w:sz w:val="22"/>
          <w:szCs w:val="22"/>
        </w:rPr>
        <w:t>échelle internationale. Le Centre met également en contact les artisans avec des amateurs d</w:t>
      </w:r>
      <w:r w:rsidR="003F34AE" w:rsidRPr="00A53D78">
        <w:rPr>
          <w:rFonts w:ascii="Arial" w:hAnsi="Arial" w:cs="Arial"/>
          <w:sz w:val="22"/>
          <w:szCs w:val="22"/>
        </w:rPr>
        <w:t>’</w:t>
      </w:r>
      <w:r w:rsidRPr="00A53D78">
        <w:rPr>
          <w:rFonts w:ascii="Arial" w:hAnsi="Arial" w:cs="Arial"/>
          <w:sz w:val="22"/>
          <w:szCs w:val="22"/>
        </w:rPr>
        <w:t>art, des créateurs de mode et des marchés en général, en les faisant ainsi connaître aux niveau national et international.</w:t>
      </w:r>
    </w:p>
    <w:p w14:paraId="634C9AD1" w14:textId="1F3B98CF"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P.3 :</w:t>
      </w:r>
      <w:r w:rsidRPr="00A53D78">
        <w:rPr>
          <w:rFonts w:ascii="Arial" w:hAnsi="Arial" w:cs="Arial"/>
          <w:sz w:val="22"/>
          <w:szCs w:val="22"/>
        </w:rPr>
        <w:tab/>
        <w:t>Le Centre a pour missions de : sauvegarder les techniques traditionnelles de fabrication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des pratiques qui relèvent du patrimoine culturel immatériel ; veiller au respect de cet élément du patrimoine culturel et de ses détenteurs ; sensibiliser à son importance ; et promouvoir le respect de la diversité et de la créativité humaine. Il encourage également le développement durable fondé sur des valeurs propices à l</w:t>
      </w:r>
      <w:r w:rsidR="003F34AE" w:rsidRPr="00A53D78">
        <w:rPr>
          <w:rFonts w:ascii="Arial" w:hAnsi="Arial" w:cs="Arial"/>
          <w:sz w:val="22"/>
          <w:szCs w:val="22"/>
        </w:rPr>
        <w:t>’</w:t>
      </w:r>
      <w:r w:rsidRPr="00A53D78">
        <w:rPr>
          <w:rFonts w:ascii="Arial" w:hAnsi="Arial" w:cs="Arial"/>
          <w:sz w:val="22"/>
          <w:szCs w:val="22"/>
        </w:rPr>
        <w:t xml:space="preserve">emploi et à la </w:t>
      </w:r>
      <w:r w:rsidR="00EE6AF5" w:rsidRPr="00A53D78">
        <w:rPr>
          <w:rFonts w:ascii="Arial" w:hAnsi="Arial" w:cs="Arial"/>
          <w:sz w:val="22"/>
          <w:szCs w:val="22"/>
        </w:rPr>
        <w:t xml:space="preserve">génération </w:t>
      </w:r>
      <w:r w:rsidRPr="00A53D78">
        <w:rPr>
          <w:rFonts w:ascii="Arial" w:hAnsi="Arial" w:cs="Arial"/>
          <w:sz w:val="22"/>
          <w:szCs w:val="22"/>
        </w:rPr>
        <w:t>de revenus, ainsi que l</w:t>
      </w:r>
      <w:r w:rsidR="003F34AE" w:rsidRPr="00A53D78">
        <w:rPr>
          <w:rFonts w:ascii="Arial" w:hAnsi="Arial" w:cs="Arial"/>
          <w:sz w:val="22"/>
          <w:szCs w:val="22"/>
        </w:rPr>
        <w:t>’</w:t>
      </w:r>
      <w:r w:rsidR="0034349F">
        <w:rPr>
          <w:rFonts w:ascii="Arial" w:hAnsi="Arial" w:cs="Arial"/>
          <w:sz w:val="22"/>
          <w:szCs w:val="22"/>
        </w:rPr>
        <w:t>inclusion des jeunes.</w:t>
      </w:r>
    </w:p>
    <w:p w14:paraId="0CDC3F7C" w14:textId="39E55455"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P.4 :</w:t>
      </w:r>
      <w:r w:rsidRPr="00A53D78">
        <w:rPr>
          <w:rFonts w:ascii="Arial" w:hAnsi="Arial" w:cs="Arial"/>
          <w:sz w:val="22"/>
          <w:szCs w:val="22"/>
        </w:rPr>
        <w:tab/>
        <w:t>Le Centre a fortement contribué à plusieurs mesures de sauvegarde, qui ont toutes un impact social important. De nombreux jeunes ont participé aux sessions de formation et ces traditions comptent aujourd</w:t>
      </w:r>
      <w:r w:rsidR="003F34AE" w:rsidRPr="00A53D78">
        <w:rPr>
          <w:rFonts w:ascii="Arial" w:hAnsi="Arial" w:cs="Arial"/>
          <w:sz w:val="22"/>
          <w:szCs w:val="22"/>
        </w:rPr>
        <w:t>’</w:t>
      </w:r>
      <w:r w:rsidRPr="00A53D78">
        <w:rPr>
          <w:rFonts w:ascii="Arial" w:hAnsi="Arial" w:cs="Arial"/>
          <w:sz w:val="22"/>
          <w:szCs w:val="22"/>
        </w:rPr>
        <w:t>hui de plus en plus de participants ainsi que de nouveaux détenteurs. Les produits ont acquis une meilleure place sur le marché et l</w:t>
      </w:r>
      <w:r w:rsidR="003F34AE" w:rsidRPr="00A53D78">
        <w:rPr>
          <w:rFonts w:ascii="Arial" w:hAnsi="Arial" w:cs="Arial"/>
          <w:sz w:val="22"/>
          <w:szCs w:val="22"/>
        </w:rPr>
        <w:t>’</w:t>
      </w:r>
      <w:r w:rsidRPr="00A53D78">
        <w:rPr>
          <w:rFonts w:ascii="Arial" w:hAnsi="Arial" w:cs="Arial"/>
          <w:sz w:val="22"/>
          <w:szCs w:val="22"/>
        </w:rPr>
        <w:t>association d</w:t>
      </w:r>
      <w:r w:rsidR="003F34AE" w:rsidRPr="00A53D78">
        <w:rPr>
          <w:rFonts w:ascii="Arial" w:hAnsi="Arial" w:cs="Arial"/>
          <w:sz w:val="22"/>
          <w:szCs w:val="22"/>
        </w:rPr>
        <w:t>’</w:t>
      </w:r>
      <w:r w:rsidRPr="00A53D78">
        <w:rPr>
          <w:rFonts w:ascii="Arial" w:hAnsi="Arial" w:cs="Arial"/>
          <w:sz w:val="22"/>
          <w:szCs w:val="22"/>
        </w:rPr>
        <w:t>anciens savoir-faire et de création moderne a permis de développer plus de cinquante nouveaux produits. Des actions de coopération ont également été mises en place avec des associations caritatives et le projet a ciblé les catégories les plus vulnérables de la population. Le CDC se charge également de revitaliser les procédés traditionnels de production et de teinture de la soie et d</w:t>
      </w:r>
      <w:r w:rsidR="003F34AE" w:rsidRPr="00A53D78">
        <w:rPr>
          <w:rFonts w:ascii="Arial" w:hAnsi="Arial" w:cs="Arial"/>
          <w:sz w:val="22"/>
          <w:szCs w:val="22"/>
        </w:rPr>
        <w:t>’</w:t>
      </w:r>
      <w:r w:rsidRPr="00A53D78">
        <w:rPr>
          <w:rFonts w:ascii="Arial" w:hAnsi="Arial" w:cs="Arial"/>
          <w:sz w:val="22"/>
          <w:szCs w:val="22"/>
        </w:rPr>
        <w:t>autres aspects de la production d</w:t>
      </w:r>
      <w:r w:rsidR="003F34AE" w:rsidRPr="00A53D78">
        <w:rPr>
          <w:rFonts w:ascii="Arial" w:hAnsi="Arial" w:cs="Arial"/>
          <w:sz w:val="22"/>
          <w:szCs w:val="22"/>
        </w:rPr>
        <w:t>’</w:t>
      </w:r>
      <w:r w:rsidRPr="00A53D78">
        <w:rPr>
          <w:rFonts w:ascii="Arial" w:hAnsi="Arial" w:cs="Arial"/>
          <w:sz w:val="22"/>
          <w:szCs w:val="22"/>
        </w:rPr>
        <w:t>atlas et d</w:t>
      </w:r>
      <w:r w:rsidR="003F34AE" w:rsidRPr="00A53D78">
        <w:rPr>
          <w:rFonts w:ascii="Arial" w:hAnsi="Arial" w:cs="Arial"/>
          <w:sz w:val="22"/>
          <w:szCs w:val="22"/>
        </w:rPr>
        <w:t>’</w:t>
      </w:r>
      <w:proofErr w:type="spellStart"/>
      <w:r w:rsidRPr="00A53D78">
        <w:rPr>
          <w:rFonts w:ascii="Arial" w:hAnsi="Arial" w:cs="Arial"/>
          <w:sz w:val="22"/>
          <w:szCs w:val="22"/>
        </w:rPr>
        <w:t>adras</w:t>
      </w:r>
      <w:proofErr w:type="spellEnd"/>
      <w:r w:rsidRPr="00A53D78">
        <w:rPr>
          <w:rFonts w:ascii="Arial" w:hAnsi="Arial" w:cs="Arial"/>
          <w:sz w:val="22"/>
          <w:szCs w:val="22"/>
        </w:rPr>
        <w:t>, d</w:t>
      </w:r>
      <w:r w:rsidR="003F34AE" w:rsidRPr="00A53D78">
        <w:rPr>
          <w:rFonts w:ascii="Arial" w:hAnsi="Arial" w:cs="Arial"/>
          <w:sz w:val="22"/>
          <w:szCs w:val="22"/>
        </w:rPr>
        <w:t>’</w:t>
      </w:r>
      <w:r w:rsidRPr="00A53D78">
        <w:rPr>
          <w:rFonts w:ascii="Arial" w:hAnsi="Arial" w:cs="Arial"/>
          <w:sz w:val="22"/>
          <w:szCs w:val="22"/>
        </w:rPr>
        <w:t>organiser des formations non formelles de type maître-apprenti ainsi que des master classes et de produire des outils pédagogiques.</w:t>
      </w:r>
    </w:p>
    <w:p w14:paraId="787C3FAD" w14:textId="05E7B41E"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P.5 :</w:t>
      </w:r>
      <w:r w:rsidRPr="00A53D78">
        <w:rPr>
          <w:rFonts w:ascii="Arial" w:hAnsi="Arial" w:cs="Arial"/>
          <w:sz w:val="22"/>
          <w:szCs w:val="22"/>
        </w:rPr>
        <w:tab/>
        <w:t>La communauté locale a été à l</w:t>
      </w:r>
      <w:r w:rsidR="003F34AE" w:rsidRPr="00A53D78">
        <w:rPr>
          <w:rFonts w:ascii="Arial" w:hAnsi="Arial" w:cs="Arial"/>
          <w:sz w:val="22"/>
          <w:szCs w:val="22"/>
        </w:rPr>
        <w:t>’</w:t>
      </w:r>
      <w:r w:rsidRPr="00A53D78">
        <w:rPr>
          <w:rFonts w:ascii="Arial" w:hAnsi="Arial" w:cs="Arial"/>
          <w:sz w:val="22"/>
          <w:szCs w:val="22"/>
        </w:rPr>
        <w:t>initiative de la fondation du CDC, avec l</w:t>
      </w:r>
      <w:r w:rsidR="003F34AE" w:rsidRPr="00A53D78">
        <w:rPr>
          <w:rFonts w:ascii="Arial" w:hAnsi="Arial" w:cs="Arial"/>
          <w:sz w:val="22"/>
          <w:szCs w:val="22"/>
        </w:rPr>
        <w:t>’</w:t>
      </w:r>
      <w:r w:rsidRPr="00A53D78">
        <w:rPr>
          <w:rFonts w:ascii="Arial" w:hAnsi="Arial" w:cs="Arial"/>
          <w:sz w:val="22"/>
          <w:szCs w:val="22"/>
        </w:rPr>
        <w:t>appui du gouvernement et d</w:t>
      </w:r>
      <w:r w:rsidR="003F34AE" w:rsidRPr="00A53D78">
        <w:rPr>
          <w:rFonts w:ascii="Arial" w:hAnsi="Arial" w:cs="Arial"/>
          <w:sz w:val="22"/>
          <w:szCs w:val="22"/>
        </w:rPr>
        <w:t>’</w:t>
      </w:r>
      <w:r w:rsidRPr="00A53D78">
        <w:rPr>
          <w:rFonts w:ascii="Arial" w:hAnsi="Arial" w:cs="Arial"/>
          <w:sz w:val="22"/>
          <w:szCs w:val="22"/>
        </w:rPr>
        <w:t>organisations de la société civile. Les communautés concernées ont également participé à toutes les étapes de la préparation de cette proposition, en particulier l</w:t>
      </w:r>
      <w:r w:rsidR="003F34AE" w:rsidRPr="00A53D78">
        <w:rPr>
          <w:rFonts w:ascii="Arial" w:hAnsi="Arial" w:cs="Arial"/>
          <w:sz w:val="22"/>
          <w:szCs w:val="22"/>
        </w:rPr>
        <w:t>’</w:t>
      </w:r>
      <w:r w:rsidRPr="00A53D78">
        <w:rPr>
          <w:rFonts w:ascii="Arial" w:hAnsi="Arial" w:cs="Arial"/>
          <w:sz w:val="22"/>
          <w:szCs w:val="22"/>
        </w:rPr>
        <w:t>Association des artisans et la communauté des tisserands d</w:t>
      </w:r>
      <w:r w:rsidR="003F34AE" w:rsidRPr="00A53D78">
        <w:rPr>
          <w:rFonts w:ascii="Arial" w:hAnsi="Arial" w:cs="Arial"/>
          <w:sz w:val="22"/>
          <w:szCs w:val="22"/>
        </w:rPr>
        <w:t>’</w:t>
      </w:r>
      <w:proofErr w:type="spellStart"/>
      <w:r w:rsidRPr="00A53D78">
        <w:rPr>
          <w:rFonts w:ascii="Arial" w:hAnsi="Arial" w:cs="Arial"/>
          <w:sz w:val="22"/>
          <w:szCs w:val="22"/>
        </w:rPr>
        <w:t>ikat</w:t>
      </w:r>
      <w:proofErr w:type="spellEnd"/>
      <w:r w:rsidRPr="00A53D78">
        <w:rPr>
          <w:rFonts w:ascii="Arial" w:hAnsi="Arial" w:cs="Arial"/>
          <w:sz w:val="22"/>
          <w:szCs w:val="22"/>
        </w:rPr>
        <w:t>. Le dossier contient un grand nombre de documents qui sont la preuve du consentement libre, préalable et éclairé donné par les détenteurs et d</w:t>
      </w:r>
      <w:r w:rsidR="003F34AE" w:rsidRPr="00A53D78">
        <w:rPr>
          <w:rFonts w:ascii="Arial" w:hAnsi="Arial" w:cs="Arial"/>
          <w:sz w:val="22"/>
          <w:szCs w:val="22"/>
        </w:rPr>
        <w:t>’</w:t>
      </w:r>
      <w:r w:rsidR="0034349F">
        <w:rPr>
          <w:rFonts w:ascii="Arial" w:hAnsi="Arial" w:cs="Arial"/>
          <w:sz w:val="22"/>
          <w:szCs w:val="22"/>
        </w:rPr>
        <w:t>autres parties prenantes.</w:t>
      </w:r>
    </w:p>
    <w:p w14:paraId="51A3C290" w14:textId="0460FCBF"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P.6 :</w:t>
      </w:r>
      <w:r w:rsidRPr="00A53D78">
        <w:rPr>
          <w:rFonts w:ascii="Arial" w:hAnsi="Arial" w:cs="Arial"/>
          <w:sz w:val="22"/>
          <w:szCs w:val="22"/>
        </w:rPr>
        <w:tab/>
        <w:t xml:space="preserve">Le dossier montre la manière dont un partenariat public-privé efficace peut être établi pour sauvegarder le patrimoine culturel. Ce projet, qui est une initiative </w:t>
      </w:r>
      <w:r w:rsidR="00EE6AF5" w:rsidRPr="00A53D78">
        <w:rPr>
          <w:rFonts w:ascii="Arial" w:hAnsi="Arial" w:cs="Arial"/>
          <w:sz w:val="22"/>
          <w:szCs w:val="22"/>
        </w:rPr>
        <w:t xml:space="preserve">lancée par une communauté et </w:t>
      </w:r>
      <w:r w:rsidRPr="00A53D78">
        <w:rPr>
          <w:rFonts w:ascii="Arial" w:hAnsi="Arial" w:cs="Arial"/>
          <w:sz w:val="22"/>
          <w:szCs w:val="22"/>
        </w:rPr>
        <w:t>soutenue par l</w:t>
      </w:r>
      <w:r w:rsidR="003F34AE" w:rsidRPr="00A53D78">
        <w:rPr>
          <w:rFonts w:ascii="Arial" w:hAnsi="Arial" w:cs="Arial"/>
          <w:sz w:val="22"/>
          <w:szCs w:val="22"/>
        </w:rPr>
        <w:t>’</w:t>
      </w:r>
      <w:r w:rsidRPr="00A53D78">
        <w:rPr>
          <w:rFonts w:ascii="Arial" w:hAnsi="Arial" w:cs="Arial"/>
          <w:sz w:val="22"/>
          <w:szCs w:val="22"/>
        </w:rPr>
        <w:t>État et d</w:t>
      </w:r>
      <w:r w:rsidR="003F34AE" w:rsidRPr="00A53D78">
        <w:rPr>
          <w:rFonts w:ascii="Arial" w:hAnsi="Arial" w:cs="Arial"/>
          <w:sz w:val="22"/>
          <w:szCs w:val="22"/>
        </w:rPr>
        <w:t>’</w:t>
      </w:r>
      <w:r w:rsidRPr="00A53D78">
        <w:rPr>
          <w:rFonts w:ascii="Arial" w:hAnsi="Arial" w:cs="Arial"/>
          <w:sz w:val="22"/>
          <w:szCs w:val="22"/>
        </w:rPr>
        <w:t>autres partenaires, a permis de revitaliser un système de transmission intergénérationnel fondé sur une relation maître-apprenti. Les activités destinées à générer des revenus et à garantir un développement durable pourraient en particulier servir de modèle en dehors de l</w:t>
      </w:r>
      <w:r w:rsidR="003F34AE" w:rsidRPr="00A53D78">
        <w:rPr>
          <w:rFonts w:ascii="Arial" w:hAnsi="Arial" w:cs="Arial"/>
          <w:sz w:val="22"/>
          <w:szCs w:val="22"/>
        </w:rPr>
        <w:t>’</w:t>
      </w:r>
      <w:r w:rsidRPr="00A53D78">
        <w:rPr>
          <w:rFonts w:ascii="Arial" w:hAnsi="Arial" w:cs="Arial"/>
          <w:sz w:val="22"/>
          <w:szCs w:val="22"/>
        </w:rPr>
        <w:t>Ouzbékistan. Une question se pose toutefois concernant la nature hiérarchique des relations de travail entre les différents intervenants du CDC.</w:t>
      </w:r>
    </w:p>
    <w:p w14:paraId="126BEBC0" w14:textId="1F0B3899"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P.7 :</w:t>
      </w:r>
      <w:r w:rsidRPr="00A53D78">
        <w:rPr>
          <w:rFonts w:ascii="Arial" w:hAnsi="Arial" w:cs="Arial"/>
          <w:sz w:val="22"/>
          <w:szCs w:val="22"/>
        </w:rPr>
        <w:tab/>
        <w:t>Le CDC a noué des relations professionnelles avec des ateliers d</w:t>
      </w:r>
      <w:r w:rsidR="003F34AE" w:rsidRPr="00A53D78">
        <w:rPr>
          <w:rFonts w:ascii="Arial" w:hAnsi="Arial" w:cs="Arial"/>
          <w:sz w:val="22"/>
          <w:szCs w:val="22"/>
        </w:rPr>
        <w:t>’</w:t>
      </w:r>
      <w:r w:rsidRPr="00A53D78">
        <w:rPr>
          <w:rFonts w:ascii="Arial" w:hAnsi="Arial" w:cs="Arial"/>
          <w:sz w:val="22"/>
          <w:szCs w:val="22"/>
        </w:rPr>
        <w:t>artisanat de tout le pays. Par ailleurs, les professionnels du CDC se rendent à l</w:t>
      </w:r>
      <w:r w:rsidR="003F34AE" w:rsidRPr="00A53D78">
        <w:rPr>
          <w:rFonts w:ascii="Arial" w:hAnsi="Arial" w:cs="Arial"/>
          <w:sz w:val="22"/>
          <w:szCs w:val="22"/>
        </w:rPr>
        <w:t>’</w:t>
      </w:r>
      <w:r w:rsidRPr="00A53D78">
        <w:rPr>
          <w:rFonts w:ascii="Arial" w:hAnsi="Arial" w:cs="Arial"/>
          <w:sz w:val="22"/>
          <w:szCs w:val="22"/>
        </w:rPr>
        <w:t xml:space="preserve">étranger, où ils transmettent volontiers leurs connaissances et organisent des master classes et des activités de formation, comme les ateliers qui ont eu lieu à Kaboul et à </w:t>
      </w:r>
      <w:proofErr w:type="spellStart"/>
      <w:r w:rsidRPr="00A53D78">
        <w:rPr>
          <w:rFonts w:ascii="Arial" w:hAnsi="Arial" w:cs="Arial"/>
          <w:sz w:val="22"/>
          <w:szCs w:val="22"/>
        </w:rPr>
        <w:t>Issikyl</w:t>
      </w:r>
      <w:proofErr w:type="spellEnd"/>
      <w:r w:rsidRPr="00A53D78">
        <w:rPr>
          <w:rFonts w:ascii="Arial" w:hAnsi="Arial" w:cs="Arial"/>
          <w:sz w:val="22"/>
          <w:szCs w:val="22"/>
        </w:rPr>
        <w:t xml:space="preserve"> et les autres manifestations organisées en Inde, aux États-Unis, en Corée du Sud, en Afghanistan, au Tadjikistan et au Kirghizistan. La pratique est également diffusée par le biais de festivals, </w:t>
      </w:r>
      <w:r w:rsidR="00EE6AF5" w:rsidRPr="00A53D78">
        <w:rPr>
          <w:rFonts w:ascii="Arial" w:hAnsi="Arial" w:cs="Arial"/>
          <w:sz w:val="22"/>
          <w:szCs w:val="22"/>
        </w:rPr>
        <w:t>d’expositions et</w:t>
      </w:r>
      <w:r w:rsidRPr="00A53D78">
        <w:rPr>
          <w:rFonts w:ascii="Arial" w:hAnsi="Arial" w:cs="Arial"/>
          <w:sz w:val="22"/>
          <w:szCs w:val="22"/>
        </w:rPr>
        <w:t xml:space="preserve"> de salons de l</w:t>
      </w:r>
      <w:r w:rsidR="003F34AE" w:rsidRPr="00A53D78">
        <w:rPr>
          <w:rFonts w:ascii="Arial" w:hAnsi="Arial" w:cs="Arial"/>
          <w:sz w:val="22"/>
          <w:szCs w:val="22"/>
        </w:rPr>
        <w:t>’</w:t>
      </w:r>
      <w:r w:rsidR="0034349F">
        <w:rPr>
          <w:rFonts w:ascii="Arial" w:hAnsi="Arial" w:cs="Arial"/>
          <w:sz w:val="22"/>
          <w:szCs w:val="22"/>
        </w:rPr>
        <w:t>artisanat.</w:t>
      </w:r>
    </w:p>
    <w:p w14:paraId="513FEBA2" w14:textId="1E69E755"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noProof/>
          <w:sz w:val="22"/>
          <w:szCs w:val="22"/>
        </w:rPr>
      </w:pPr>
      <w:r w:rsidRPr="00A53D78">
        <w:rPr>
          <w:rFonts w:ascii="Arial" w:hAnsi="Arial" w:cs="Arial"/>
          <w:sz w:val="22"/>
          <w:szCs w:val="22"/>
        </w:rPr>
        <w:t>P.8 :</w:t>
      </w:r>
      <w:r w:rsidRPr="00A53D78">
        <w:rPr>
          <w:rFonts w:ascii="Arial" w:hAnsi="Arial" w:cs="Arial"/>
          <w:sz w:val="22"/>
          <w:szCs w:val="22"/>
        </w:rPr>
        <w:tab/>
        <w:t>Les évaluations qui sont régulièrement menées s</w:t>
      </w:r>
      <w:r w:rsidR="003F34AE" w:rsidRPr="00A53D78">
        <w:rPr>
          <w:rFonts w:ascii="Arial" w:hAnsi="Arial" w:cs="Arial"/>
          <w:sz w:val="22"/>
          <w:szCs w:val="22"/>
        </w:rPr>
        <w:t>’</w:t>
      </w:r>
      <w:r w:rsidRPr="00A53D78">
        <w:rPr>
          <w:rFonts w:ascii="Arial" w:hAnsi="Arial" w:cs="Arial"/>
          <w:sz w:val="22"/>
          <w:szCs w:val="22"/>
        </w:rPr>
        <w:t>appuient sur des données qualitatives et quantitatives et reposent sur un suivi interne, sur un rapport annuel adressé aux organismes publics et associations spécialisées et sur les évaluations d</w:t>
      </w:r>
      <w:r w:rsidR="003F34AE" w:rsidRPr="00A53D78">
        <w:rPr>
          <w:rFonts w:ascii="Arial" w:hAnsi="Arial" w:cs="Arial"/>
          <w:sz w:val="22"/>
          <w:szCs w:val="22"/>
        </w:rPr>
        <w:t>’</w:t>
      </w:r>
      <w:r w:rsidRPr="00A53D78">
        <w:rPr>
          <w:rFonts w:ascii="Arial" w:hAnsi="Arial" w:cs="Arial"/>
          <w:sz w:val="22"/>
          <w:szCs w:val="22"/>
        </w:rPr>
        <w:t>organismes partenaires. Ces évaluations se font par exemple dans le cadre du projet mené avec la Commission nationale coréenne pour l</w:t>
      </w:r>
      <w:r w:rsidR="003F34AE" w:rsidRPr="00A53D78">
        <w:rPr>
          <w:rFonts w:ascii="Arial" w:hAnsi="Arial" w:cs="Arial"/>
          <w:sz w:val="22"/>
          <w:szCs w:val="22"/>
        </w:rPr>
        <w:t>’</w:t>
      </w:r>
      <w:r w:rsidRPr="00A53D78">
        <w:rPr>
          <w:rFonts w:ascii="Arial" w:hAnsi="Arial" w:cs="Arial"/>
          <w:sz w:val="22"/>
          <w:szCs w:val="22"/>
        </w:rPr>
        <w:t>UNESCO ou des questionnaires distribués périodiquement par l</w:t>
      </w:r>
      <w:r w:rsidR="003F34AE" w:rsidRPr="00A53D78">
        <w:rPr>
          <w:rFonts w:ascii="Arial" w:hAnsi="Arial" w:cs="Arial"/>
          <w:sz w:val="22"/>
          <w:szCs w:val="22"/>
        </w:rPr>
        <w:t>’</w:t>
      </w:r>
      <w:r w:rsidRPr="00A53D78">
        <w:rPr>
          <w:rFonts w:ascii="Arial" w:hAnsi="Arial" w:cs="Arial"/>
          <w:sz w:val="22"/>
          <w:szCs w:val="22"/>
        </w:rPr>
        <w:t>Association des artisans. Les produits du CDC sont également soumis à des normes de contrôle qualité permanentes.</w:t>
      </w:r>
    </w:p>
    <w:p w14:paraId="1C3F7940" w14:textId="05851682" w:rsidR="00516853" w:rsidRPr="00A53D78" w:rsidRDefault="00516853" w:rsidP="00516853">
      <w:pPr>
        <w:tabs>
          <w:tab w:val="left" w:pos="567"/>
          <w:tab w:val="left" w:pos="1134"/>
          <w:tab w:val="left" w:pos="1701"/>
          <w:tab w:val="left" w:pos="2268"/>
        </w:tabs>
        <w:spacing w:before="120" w:after="120"/>
        <w:ind w:left="1701" w:hanging="567"/>
        <w:jc w:val="both"/>
        <w:rPr>
          <w:rFonts w:ascii="Arial" w:hAnsi="Arial" w:cs="Arial"/>
          <w:sz w:val="22"/>
          <w:szCs w:val="22"/>
        </w:rPr>
      </w:pPr>
      <w:r w:rsidRPr="00A53D78">
        <w:rPr>
          <w:rFonts w:ascii="Arial" w:hAnsi="Arial" w:cs="Arial"/>
          <w:sz w:val="22"/>
          <w:szCs w:val="22"/>
        </w:rPr>
        <w:t>P.9 :</w:t>
      </w:r>
      <w:r w:rsidRPr="00A53D78">
        <w:rPr>
          <w:rFonts w:ascii="Arial" w:hAnsi="Arial" w:cs="Arial"/>
          <w:sz w:val="22"/>
          <w:szCs w:val="22"/>
        </w:rPr>
        <w:tab/>
        <w:t>Le CDC s</w:t>
      </w:r>
      <w:r w:rsidR="003F34AE" w:rsidRPr="00A53D78">
        <w:rPr>
          <w:rFonts w:ascii="Arial" w:hAnsi="Arial" w:cs="Arial"/>
          <w:sz w:val="22"/>
          <w:szCs w:val="22"/>
        </w:rPr>
        <w:t>’</w:t>
      </w:r>
      <w:r w:rsidRPr="00A53D78">
        <w:rPr>
          <w:rFonts w:ascii="Arial" w:hAnsi="Arial" w:cs="Arial"/>
          <w:sz w:val="22"/>
          <w:szCs w:val="22"/>
        </w:rPr>
        <w:t>est développé dans un contexte de transition sociale et a fait face à de nombreux obstacles auxquels sont souvent confrontés les pays en développement. Ce projet peut être considéré comme un modèle d</w:t>
      </w:r>
      <w:r w:rsidR="003F34AE" w:rsidRPr="00A53D78">
        <w:rPr>
          <w:rFonts w:ascii="Arial" w:hAnsi="Arial" w:cs="Arial"/>
          <w:sz w:val="22"/>
          <w:szCs w:val="22"/>
        </w:rPr>
        <w:t>’</w:t>
      </w:r>
      <w:r w:rsidRPr="00A53D78">
        <w:rPr>
          <w:rFonts w:ascii="Arial" w:hAnsi="Arial" w:cs="Arial"/>
          <w:sz w:val="22"/>
          <w:szCs w:val="22"/>
        </w:rPr>
        <w:t>entrepreneuriat social de par l</w:t>
      </w:r>
      <w:r w:rsidR="003F34AE" w:rsidRPr="00A53D78">
        <w:rPr>
          <w:rFonts w:ascii="Arial" w:hAnsi="Arial" w:cs="Arial"/>
          <w:sz w:val="22"/>
          <w:szCs w:val="22"/>
        </w:rPr>
        <w:t>’</w:t>
      </w:r>
      <w:r w:rsidRPr="00A53D78">
        <w:rPr>
          <w:rFonts w:ascii="Arial" w:hAnsi="Arial" w:cs="Arial"/>
          <w:sz w:val="22"/>
          <w:szCs w:val="22"/>
        </w:rPr>
        <w:t>inclusion des jeunes, l</w:t>
      </w:r>
      <w:r w:rsidR="003F34AE" w:rsidRPr="00A53D78">
        <w:rPr>
          <w:rFonts w:ascii="Arial" w:hAnsi="Arial" w:cs="Arial"/>
          <w:sz w:val="22"/>
          <w:szCs w:val="22"/>
        </w:rPr>
        <w:t>’</w:t>
      </w:r>
      <w:r w:rsidRPr="00A53D78">
        <w:rPr>
          <w:rFonts w:ascii="Arial" w:hAnsi="Arial" w:cs="Arial"/>
          <w:sz w:val="22"/>
          <w:szCs w:val="22"/>
        </w:rPr>
        <w:t>aide apportée aux groupes vulnérables, la revitalisation du patrimoine cultur</w:t>
      </w:r>
      <w:r w:rsidR="0034349F">
        <w:rPr>
          <w:rFonts w:ascii="Arial" w:hAnsi="Arial" w:cs="Arial"/>
          <w:sz w:val="22"/>
          <w:szCs w:val="22"/>
        </w:rPr>
        <w:t>el et le développement durable.</w:t>
      </w:r>
    </w:p>
    <w:p w14:paraId="4A1B4618" w14:textId="25218236" w:rsidR="00516853" w:rsidRPr="00A53D78" w:rsidRDefault="00516853" w:rsidP="00516853">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A53D78">
        <w:rPr>
          <w:rFonts w:ascii="Arial" w:hAnsi="Arial" w:cs="Arial"/>
          <w:bCs/>
          <w:sz w:val="22"/>
          <w:szCs w:val="22"/>
          <w:u w:val="single"/>
        </w:rPr>
        <w:t>Sélectionne</w:t>
      </w:r>
      <w:r w:rsidRPr="00A53D78">
        <w:rPr>
          <w:rFonts w:ascii="Arial" w:hAnsi="Arial" w:cs="Arial"/>
          <w:bCs/>
          <w:sz w:val="22"/>
          <w:szCs w:val="22"/>
        </w:rPr>
        <w:t xml:space="preserve"> </w:t>
      </w:r>
      <w:r w:rsidRPr="00A53D78">
        <w:rPr>
          <w:rFonts w:ascii="Arial" w:hAnsi="Arial" w:cs="Arial"/>
          <w:b/>
          <w:bCs/>
          <w:sz w:val="22"/>
          <w:szCs w:val="22"/>
        </w:rPr>
        <w:t>le Centre de développement artisanal de Marguilan, sauvegarde des technologies traditionnelles de fabrication d</w:t>
      </w:r>
      <w:r w:rsidR="003F34AE" w:rsidRPr="00A53D78">
        <w:rPr>
          <w:rFonts w:ascii="Arial" w:hAnsi="Arial" w:cs="Arial"/>
          <w:b/>
          <w:bCs/>
          <w:sz w:val="22"/>
          <w:szCs w:val="22"/>
        </w:rPr>
        <w:t>’</w:t>
      </w:r>
      <w:r w:rsidRPr="00A53D78">
        <w:rPr>
          <w:rFonts w:ascii="Arial" w:hAnsi="Arial" w:cs="Arial"/>
          <w:b/>
          <w:bCs/>
          <w:sz w:val="22"/>
          <w:szCs w:val="22"/>
        </w:rPr>
        <w:t>atlas et d</w:t>
      </w:r>
      <w:r w:rsidR="003F34AE" w:rsidRPr="00A53D78">
        <w:rPr>
          <w:rFonts w:ascii="Arial" w:hAnsi="Arial" w:cs="Arial"/>
          <w:b/>
          <w:bCs/>
          <w:sz w:val="22"/>
          <w:szCs w:val="22"/>
        </w:rPr>
        <w:t>’</w:t>
      </w:r>
      <w:proofErr w:type="spellStart"/>
      <w:r w:rsidRPr="00A53D78">
        <w:rPr>
          <w:rFonts w:ascii="Arial" w:hAnsi="Arial" w:cs="Arial"/>
          <w:b/>
          <w:bCs/>
          <w:sz w:val="22"/>
          <w:szCs w:val="22"/>
        </w:rPr>
        <w:t>adras</w:t>
      </w:r>
      <w:proofErr w:type="spellEnd"/>
      <w:r w:rsidRPr="00A53D78">
        <w:rPr>
          <w:rFonts w:ascii="Arial" w:hAnsi="Arial" w:cs="Arial"/>
          <w:bCs/>
          <w:sz w:val="22"/>
          <w:szCs w:val="22"/>
        </w:rPr>
        <w:t xml:space="preserve"> comme programme, projet ou activité reflétant le mieux les principes et objectifs de la Convention ;</w:t>
      </w:r>
    </w:p>
    <w:p w14:paraId="135CE941" w14:textId="3AA5D843" w:rsidR="00516853" w:rsidRPr="00A53D78" w:rsidRDefault="00516853" w:rsidP="00516853">
      <w:pPr>
        <w:numPr>
          <w:ilvl w:val="0"/>
          <w:numId w:val="39"/>
        </w:numPr>
        <w:tabs>
          <w:tab w:val="left" w:pos="567"/>
          <w:tab w:val="left" w:pos="1134"/>
          <w:tab w:val="left" w:pos="1701"/>
          <w:tab w:val="left" w:pos="2268"/>
        </w:tabs>
        <w:spacing w:before="120" w:after="120"/>
        <w:ind w:left="1134" w:hanging="567"/>
        <w:jc w:val="both"/>
        <w:rPr>
          <w:rFonts w:ascii="Arial" w:hAnsi="Arial" w:cs="Arial"/>
          <w:bCs/>
          <w:sz w:val="22"/>
          <w:szCs w:val="22"/>
        </w:rPr>
      </w:pPr>
      <w:r w:rsidRPr="00A53D78">
        <w:rPr>
          <w:rFonts w:ascii="Arial" w:hAnsi="Arial" w:cs="Arial"/>
          <w:bCs/>
          <w:sz w:val="22"/>
          <w:szCs w:val="22"/>
          <w:u w:val="single"/>
        </w:rPr>
        <w:t>Invite</w:t>
      </w:r>
      <w:r w:rsidRPr="00A53D78">
        <w:rPr>
          <w:rFonts w:ascii="Arial" w:hAnsi="Arial" w:cs="Arial"/>
          <w:bCs/>
          <w:sz w:val="22"/>
          <w:szCs w:val="22"/>
        </w:rPr>
        <w:t xml:space="preserve"> l</w:t>
      </w:r>
      <w:r w:rsidR="003F34AE" w:rsidRPr="00A53D78">
        <w:rPr>
          <w:rFonts w:ascii="Arial" w:hAnsi="Arial" w:cs="Arial"/>
          <w:bCs/>
          <w:sz w:val="22"/>
          <w:szCs w:val="22"/>
        </w:rPr>
        <w:t>’</w:t>
      </w:r>
      <w:r w:rsidRPr="00A53D78">
        <w:rPr>
          <w:rFonts w:ascii="Arial" w:hAnsi="Arial" w:cs="Arial"/>
          <w:bCs/>
          <w:sz w:val="22"/>
          <w:szCs w:val="22"/>
        </w:rPr>
        <w:t xml:space="preserve">État </w:t>
      </w:r>
      <w:r w:rsidR="00EE6AF5" w:rsidRPr="00A53D78">
        <w:rPr>
          <w:rFonts w:ascii="Arial" w:hAnsi="Arial" w:cs="Arial"/>
          <w:bCs/>
          <w:sz w:val="22"/>
          <w:szCs w:val="22"/>
        </w:rPr>
        <w:t xml:space="preserve">partie </w:t>
      </w:r>
      <w:r w:rsidRPr="00A53D78">
        <w:rPr>
          <w:rFonts w:ascii="Arial" w:hAnsi="Arial" w:cs="Arial"/>
          <w:bCs/>
          <w:sz w:val="22"/>
          <w:szCs w:val="22"/>
        </w:rPr>
        <w:t>à s</w:t>
      </w:r>
      <w:r w:rsidR="003F34AE" w:rsidRPr="00A53D78">
        <w:rPr>
          <w:rFonts w:ascii="Arial" w:hAnsi="Arial" w:cs="Arial"/>
          <w:bCs/>
          <w:sz w:val="22"/>
          <w:szCs w:val="22"/>
        </w:rPr>
        <w:t>’</w:t>
      </w:r>
      <w:r w:rsidRPr="00A53D78">
        <w:rPr>
          <w:rFonts w:ascii="Arial" w:hAnsi="Arial" w:cs="Arial"/>
          <w:bCs/>
          <w:sz w:val="22"/>
          <w:szCs w:val="22"/>
        </w:rPr>
        <w:t xml:space="preserve">assurer que les relations et conditions de travail du Centre de développement artisanal de Marguilan respectent pleinement </w:t>
      </w:r>
      <w:r w:rsidR="0034349F">
        <w:rPr>
          <w:rFonts w:ascii="Arial" w:hAnsi="Arial" w:cs="Arial"/>
          <w:bCs/>
          <w:sz w:val="22"/>
          <w:szCs w:val="22"/>
        </w:rPr>
        <w:t xml:space="preserve">les principes </w:t>
      </w:r>
      <w:r w:rsidR="00CA4BF6" w:rsidRPr="00CA4BF6">
        <w:rPr>
          <w:rFonts w:ascii="Arial" w:hAnsi="Arial" w:cs="Arial"/>
          <w:bCs/>
          <w:sz w:val="22"/>
          <w:szCs w:val="22"/>
        </w:rPr>
        <w:t>éthiques pour la sauvegarde du patrimoine culturel immatériel</w:t>
      </w:r>
      <w:r w:rsidR="0034349F">
        <w:rPr>
          <w:rFonts w:ascii="Arial" w:hAnsi="Arial" w:cs="Arial"/>
          <w:bCs/>
          <w:sz w:val="22"/>
          <w:szCs w:val="22"/>
        </w:rPr>
        <w:t>.</w:t>
      </w:r>
    </w:p>
    <w:sectPr w:rsidR="00516853" w:rsidRPr="00A53D78" w:rsidSect="00655736">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9DEF" w14:textId="77777777" w:rsidR="003F34AE" w:rsidRDefault="003F34AE" w:rsidP="00655736">
      <w:r>
        <w:separator/>
      </w:r>
    </w:p>
  </w:endnote>
  <w:endnote w:type="continuationSeparator" w:id="0">
    <w:p w14:paraId="119BE381" w14:textId="77777777" w:rsidR="003F34AE" w:rsidRDefault="003F34A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FE63" w14:textId="77777777" w:rsidR="003F34AE" w:rsidRDefault="003F34AE" w:rsidP="00655736">
      <w:r>
        <w:separator/>
      </w:r>
    </w:p>
  </w:footnote>
  <w:footnote w:type="continuationSeparator" w:id="0">
    <w:p w14:paraId="3C3899B6" w14:textId="77777777" w:rsidR="003F34AE" w:rsidRDefault="003F34A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3327" w14:textId="01028E54" w:rsidR="003F34AE" w:rsidRPr="00C23A97" w:rsidRDefault="003F34AE">
    <w:pPr>
      <w:pStyle w:val="Header"/>
      <w:rPr>
        <w:rFonts w:ascii="Arial" w:hAnsi="Arial" w:cs="Arial"/>
      </w:rPr>
    </w:pPr>
    <w:r>
      <w:rPr>
        <w:rFonts w:ascii="Arial" w:hAnsi="Arial"/>
        <w:sz w:val="20"/>
        <w:szCs w:val="20"/>
      </w:rPr>
      <w:t xml:space="preserve">ITH/17/12.COM/11.e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417A55">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A1CF" w14:textId="1C4FF2D9" w:rsidR="003F34AE" w:rsidRPr="0063300C" w:rsidRDefault="003F34AE" w:rsidP="0063300C">
    <w:pPr>
      <w:pStyle w:val="Header"/>
      <w:jc w:val="right"/>
      <w:rPr>
        <w:rFonts w:ascii="Arial" w:hAnsi="Arial" w:cs="Arial"/>
      </w:rPr>
    </w:pPr>
    <w:r>
      <w:rPr>
        <w:rFonts w:ascii="Arial" w:hAnsi="Arial"/>
        <w:sz w:val="20"/>
        <w:szCs w:val="20"/>
      </w:rPr>
      <w:t xml:space="preserve">ITH/17/12.COM/11.e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417A55">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8056" w14:textId="0C7D35BA" w:rsidR="003F34AE" w:rsidRPr="00952D6D" w:rsidRDefault="0034349F">
    <w:pPr>
      <w:pStyle w:val="Header"/>
    </w:pPr>
    <w:r>
      <w:rPr>
        <w:noProof/>
        <w:lang w:val="en-US" w:eastAsia="ko-KR"/>
      </w:rPr>
      <w:drawing>
        <wp:anchor distT="0" distB="0" distL="114300" distR="114300" simplePos="0" relativeHeight="251659264" behindDoc="0" locked="0" layoutInCell="1" allowOverlap="1" wp14:anchorId="3A82D612" wp14:editId="0FFE2E65">
          <wp:simplePos x="0" y="0"/>
          <wp:positionH relativeFrom="page">
            <wp:posOffset>342265</wp:posOffset>
          </wp:positionH>
          <wp:positionV relativeFrom="page">
            <wp:posOffset>255905</wp:posOffset>
          </wp:positionV>
          <wp:extent cx="2037600" cy="1530000"/>
          <wp:effectExtent l="0" t="0" r="1270" b="0"/>
          <wp:wrapNone/>
          <wp:docPr id="6"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24EFD" w14:textId="77777777" w:rsidR="003F34AE" w:rsidRPr="00952D6D" w:rsidRDefault="003F34AE" w:rsidP="00655736">
    <w:pPr>
      <w:pStyle w:val="Header"/>
      <w:spacing w:after="520"/>
      <w:jc w:val="right"/>
      <w:rPr>
        <w:rFonts w:ascii="Arial" w:hAnsi="Arial" w:cs="Arial"/>
        <w:b/>
        <w:sz w:val="44"/>
        <w:szCs w:val="44"/>
      </w:rPr>
    </w:pPr>
    <w:r w:rsidRPr="00952D6D">
      <w:rPr>
        <w:rFonts w:ascii="Arial" w:hAnsi="Arial"/>
        <w:b/>
        <w:sz w:val="44"/>
        <w:szCs w:val="44"/>
      </w:rPr>
      <w:t>12 COM</w:t>
    </w:r>
  </w:p>
  <w:p w14:paraId="45AD2164" w14:textId="43130CBF" w:rsidR="003F34AE" w:rsidRPr="00952D6D" w:rsidRDefault="003F34AE" w:rsidP="00655736">
    <w:pPr>
      <w:jc w:val="right"/>
      <w:rPr>
        <w:rFonts w:ascii="Arial" w:hAnsi="Arial" w:cs="Arial"/>
        <w:b/>
        <w:sz w:val="22"/>
        <w:szCs w:val="22"/>
      </w:rPr>
    </w:pPr>
    <w:r w:rsidRPr="00952D6D">
      <w:rPr>
        <w:rFonts w:ascii="Arial" w:hAnsi="Arial"/>
        <w:b/>
        <w:sz w:val="22"/>
        <w:szCs w:val="22"/>
      </w:rPr>
      <w:t>ITH/17/12.COM/</w:t>
    </w:r>
    <w:proofErr w:type="gramStart"/>
    <w:r w:rsidRPr="004C67FA">
      <w:rPr>
        <w:rFonts w:ascii="Arial" w:hAnsi="Arial"/>
        <w:b/>
        <w:sz w:val="22"/>
        <w:szCs w:val="22"/>
      </w:rPr>
      <w:t>11.e</w:t>
    </w:r>
    <w:proofErr w:type="gramEnd"/>
    <w:r w:rsidR="00750FA0">
      <w:rPr>
        <w:rFonts w:ascii="Arial" w:hAnsi="Arial"/>
        <w:b/>
        <w:sz w:val="22"/>
        <w:szCs w:val="22"/>
      </w:rPr>
      <w:t xml:space="preserve"> Add.</w:t>
    </w:r>
    <w:r w:rsidR="009F4D36">
      <w:rPr>
        <w:rFonts w:ascii="Arial" w:hAnsi="Arial"/>
        <w:b/>
        <w:sz w:val="22"/>
        <w:szCs w:val="22"/>
      </w:rPr>
      <w:t>2</w:t>
    </w:r>
  </w:p>
  <w:p w14:paraId="1DE6DF3C" w14:textId="0958243B" w:rsidR="003F34AE" w:rsidRPr="00952D6D" w:rsidRDefault="009F4D36" w:rsidP="00655736">
    <w:pPr>
      <w:jc w:val="right"/>
      <w:rPr>
        <w:rFonts w:ascii="Arial" w:eastAsiaTheme="minorEastAsia" w:hAnsi="Arial" w:cs="Arial"/>
        <w:b/>
        <w:sz w:val="22"/>
        <w:szCs w:val="22"/>
      </w:rPr>
    </w:pPr>
    <w:r w:rsidRPr="00A53D78">
      <w:rPr>
        <w:rFonts w:ascii="Arial" w:hAnsi="Arial" w:cs="Arial"/>
        <w:b/>
        <w:sz w:val="22"/>
        <w:szCs w:val="22"/>
      </w:rPr>
      <w:t xml:space="preserve">Île de </w:t>
    </w:r>
    <w:proofErr w:type="spellStart"/>
    <w:r w:rsidRPr="00A53D78">
      <w:rPr>
        <w:rFonts w:ascii="Arial" w:hAnsi="Arial" w:cs="Arial"/>
        <w:b/>
        <w:sz w:val="22"/>
        <w:szCs w:val="22"/>
      </w:rPr>
      <w:t>Jeju</w:t>
    </w:r>
    <w:proofErr w:type="spellEnd"/>
    <w:r w:rsidR="003F34AE" w:rsidRPr="00952D6D">
      <w:rPr>
        <w:rFonts w:ascii="Arial" w:hAnsi="Arial"/>
        <w:b/>
        <w:sz w:val="22"/>
        <w:szCs w:val="22"/>
      </w:rPr>
      <w:t xml:space="preserve">, le </w:t>
    </w:r>
    <w:r>
      <w:rPr>
        <w:rFonts w:ascii="Arial" w:hAnsi="Arial"/>
        <w:b/>
        <w:sz w:val="22"/>
        <w:szCs w:val="22"/>
      </w:rPr>
      <w:t>2</w:t>
    </w:r>
    <w:r w:rsidR="00B96A90" w:rsidRPr="00E915E1">
      <w:rPr>
        <w:rFonts w:ascii="Arial" w:hAnsi="Arial"/>
        <w:b/>
        <w:sz w:val="22"/>
        <w:szCs w:val="22"/>
      </w:rPr>
      <w:t xml:space="preserve"> </w:t>
    </w:r>
    <w:r>
      <w:rPr>
        <w:rFonts w:ascii="Arial" w:hAnsi="Arial"/>
        <w:b/>
        <w:sz w:val="22"/>
        <w:szCs w:val="22"/>
      </w:rPr>
      <w:t>déc</w:t>
    </w:r>
    <w:r w:rsidRPr="00E915E1">
      <w:rPr>
        <w:rFonts w:ascii="Arial" w:hAnsi="Arial"/>
        <w:b/>
        <w:sz w:val="22"/>
        <w:szCs w:val="22"/>
      </w:rPr>
      <w:t>embre</w:t>
    </w:r>
    <w:r w:rsidR="003F34AE" w:rsidRPr="00952D6D">
      <w:rPr>
        <w:rFonts w:ascii="Arial" w:hAnsi="Arial"/>
        <w:b/>
        <w:sz w:val="22"/>
        <w:szCs w:val="22"/>
      </w:rPr>
      <w:t> 2017</w:t>
    </w:r>
  </w:p>
  <w:p w14:paraId="3D0EB579" w14:textId="77777777" w:rsidR="003F34AE" w:rsidRPr="00F32C23" w:rsidRDefault="003F34AE" w:rsidP="000048ED">
    <w:pPr>
      <w:jc w:val="right"/>
      <w:rPr>
        <w:rFonts w:ascii="Arial" w:hAnsi="Arial" w:cs="Arial"/>
        <w:b/>
        <w:sz w:val="22"/>
        <w:szCs w:val="22"/>
      </w:rPr>
    </w:pPr>
    <w:r w:rsidRPr="00952D6D">
      <w:rPr>
        <w:rFonts w:ascii="Arial" w:hAnsi="Arial"/>
        <w:b/>
        <w:sz w:val="22"/>
        <w:szCs w:val="22"/>
      </w:rPr>
      <w:t>Original : anglais</w:t>
    </w:r>
  </w:p>
  <w:p w14:paraId="7854B107" w14:textId="77777777" w:rsidR="003F34AE" w:rsidRPr="00B96A90" w:rsidRDefault="003F3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5BF5" w14:textId="77777777" w:rsidR="00750FA0" w:rsidRPr="00952D6D" w:rsidRDefault="00750FA0">
    <w:pPr>
      <w:pStyle w:val="Header"/>
    </w:pPr>
    <w:r>
      <w:rPr>
        <w:noProof/>
        <w:lang w:val="en-US" w:eastAsia="ko-KR"/>
      </w:rPr>
      <w:drawing>
        <wp:anchor distT="0" distB="0" distL="114300" distR="114300" simplePos="0" relativeHeight="251661312" behindDoc="0" locked="0" layoutInCell="1" allowOverlap="1" wp14:anchorId="1A45120D" wp14:editId="66D23F68">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E8611" w14:textId="77777777" w:rsidR="00750FA0" w:rsidRPr="00952D6D" w:rsidRDefault="00750FA0" w:rsidP="00655736">
    <w:pPr>
      <w:pStyle w:val="Header"/>
      <w:spacing w:after="520"/>
      <w:jc w:val="right"/>
      <w:rPr>
        <w:rFonts w:ascii="Arial" w:hAnsi="Arial" w:cs="Arial"/>
        <w:b/>
        <w:sz w:val="44"/>
        <w:szCs w:val="44"/>
      </w:rPr>
    </w:pPr>
    <w:r w:rsidRPr="00952D6D">
      <w:rPr>
        <w:rFonts w:ascii="Arial" w:hAnsi="Arial"/>
        <w:b/>
        <w:sz w:val="44"/>
        <w:szCs w:val="44"/>
      </w:rPr>
      <w:t>12 COM</w:t>
    </w:r>
  </w:p>
  <w:p w14:paraId="778A1FA0" w14:textId="77777777" w:rsidR="00750FA0" w:rsidRPr="00952D6D" w:rsidRDefault="00750FA0" w:rsidP="00655736">
    <w:pPr>
      <w:jc w:val="right"/>
      <w:rPr>
        <w:rFonts w:ascii="Arial" w:hAnsi="Arial" w:cs="Arial"/>
        <w:b/>
        <w:sz w:val="22"/>
        <w:szCs w:val="22"/>
      </w:rPr>
    </w:pPr>
    <w:r w:rsidRPr="00952D6D">
      <w:rPr>
        <w:rFonts w:ascii="Arial" w:hAnsi="Arial"/>
        <w:b/>
        <w:sz w:val="22"/>
        <w:szCs w:val="22"/>
      </w:rPr>
      <w:t>ITH/17/12.COM/</w:t>
    </w:r>
    <w:proofErr w:type="gramStart"/>
    <w:r w:rsidRPr="004C67FA">
      <w:rPr>
        <w:rFonts w:ascii="Arial" w:hAnsi="Arial"/>
        <w:b/>
        <w:sz w:val="22"/>
        <w:szCs w:val="22"/>
      </w:rPr>
      <w:t>11.e</w:t>
    </w:r>
    <w:proofErr w:type="gramEnd"/>
  </w:p>
  <w:p w14:paraId="08EC3B15" w14:textId="77777777" w:rsidR="00750FA0" w:rsidRPr="00952D6D" w:rsidRDefault="00750FA0" w:rsidP="00655736">
    <w:pPr>
      <w:jc w:val="right"/>
      <w:rPr>
        <w:rFonts w:ascii="Arial" w:eastAsiaTheme="minorEastAsia" w:hAnsi="Arial" w:cs="Arial"/>
        <w:b/>
        <w:sz w:val="22"/>
        <w:szCs w:val="22"/>
      </w:rPr>
    </w:pPr>
    <w:r w:rsidRPr="00952D6D">
      <w:rPr>
        <w:rFonts w:ascii="Arial" w:hAnsi="Arial"/>
        <w:b/>
        <w:sz w:val="22"/>
        <w:szCs w:val="22"/>
      </w:rPr>
      <w:t xml:space="preserve">Paris, le </w:t>
    </w:r>
    <w:r>
      <w:rPr>
        <w:rFonts w:ascii="Arial" w:hAnsi="Arial"/>
        <w:b/>
        <w:sz w:val="22"/>
        <w:szCs w:val="22"/>
      </w:rPr>
      <w:t>27 octobre</w:t>
    </w:r>
    <w:r w:rsidRPr="00952D6D">
      <w:rPr>
        <w:rFonts w:ascii="Arial" w:hAnsi="Arial"/>
        <w:b/>
        <w:sz w:val="22"/>
        <w:szCs w:val="22"/>
      </w:rPr>
      <w:t> 2017</w:t>
    </w:r>
  </w:p>
  <w:p w14:paraId="69A35524" w14:textId="77777777" w:rsidR="00750FA0" w:rsidRPr="00F32C23" w:rsidRDefault="00750FA0" w:rsidP="000048ED">
    <w:pPr>
      <w:jc w:val="right"/>
      <w:rPr>
        <w:rFonts w:ascii="Arial" w:hAnsi="Arial" w:cs="Arial"/>
        <w:b/>
        <w:sz w:val="22"/>
        <w:szCs w:val="22"/>
      </w:rPr>
    </w:pPr>
    <w:r w:rsidRPr="00952D6D">
      <w:rPr>
        <w:rFonts w:ascii="Arial" w:hAnsi="Arial"/>
        <w:b/>
        <w:sz w:val="22"/>
        <w:szCs w:val="22"/>
      </w:rPr>
      <w:t>Original : anglais</w:t>
    </w:r>
  </w:p>
  <w:p w14:paraId="3A062EFA" w14:textId="77777777" w:rsidR="00750FA0" w:rsidRPr="00B96A90" w:rsidRDefault="0075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70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DF7D3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67258"/>
    <w:multiLevelType w:val="hybridMultilevel"/>
    <w:tmpl w:val="C1709B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437FC"/>
    <w:multiLevelType w:val="hybridMultilevel"/>
    <w:tmpl w:val="2CF053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519EC"/>
    <w:multiLevelType w:val="hybridMultilevel"/>
    <w:tmpl w:val="5DCA7C8C"/>
    <w:lvl w:ilvl="0" w:tplc="6572240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DF1C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8B004D3"/>
    <w:multiLevelType w:val="hybridMultilevel"/>
    <w:tmpl w:val="6C06C1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5C714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3C4C14"/>
    <w:multiLevelType w:val="hybridMultilevel"/>
    <w:tmpl w:val="57F6D5C4"/>
    <w:lvl w:ilvl="0" w:tplc="29D88F6A">
      <w:start w:val="16"/>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8"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674275"/>
    <w:multiLevelType w:val="hybridMultilevel"/>
    <w:tmpl w:val="1B0282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0D4D0E"/>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AF7507"/>
    <w:multiLevelType w:val="hybridMultilevel"/>
    <w:tmpl w:val="0AF48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4"/>
  </w:num>
  <w:num w:numId="3">
    <w:abstractNumId w:val="7"/>
  </w:num>
  <w:num w:numId="4">
    <w:abstractNumId w:val="43"/>
  </w:num>
  <w:num w:numId="5">
    <w:abstractNumId w:val="39"/>
  </w:num>
  <w:num w:numId="6">
    <w:abstractNumId w:val="1"/>
  </w:num>
  <w:num w:numId="7">
    <w:abstractNumId w:val="8"/>
  </w:num>
  <w:num w:numId="8">
    <w:abstractNumId w:val="23"/>
  </w:num>
  <w:num w:numId="9">
    <w:abstractNumId w:val="13"/>
  </w:num>
  <w:num w:numId="10">
    <w:abstractNumId w:val="16"/>
  </w:num>
  <w:num w:numId="11">
    <w:abstractNumId w:val="21"/>
  </w:num>
  <w:num w:numId="12">
    <w:abstractNumId w:val="17"/>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5"/>
  </w:num>
  <w:num w:numId="18">
    <w:abstractNumId w:val="40"/>
  </w:num>
  <w:num w:numId="19">
    <w:abstractNumId w:val="33"/>
  </w:num>
  <w:num w:numId="20">
    <w:abstractNumId w:val="9"/>
  </w:num>
  <w:num w:numId="21">
    <w:abstractNumId w:val="44"/>
  </w:num>
  <w:num w:numId="22">
    <w:abstractNumId w:val="12"/>
  </w:num>
  <w:num w:numId="23">
    <w:abstractNumId w:val="10"/>
  </w:num>
  <w:num w:numId="24">
    <w:abstractNumId w:val="19"/>
  </w:num>
  <w:num w:numId="25">
    <w:abstractNumId w:val="37"/>
  </w:num>
  <w:num w:numId="26">
    <w:abstractNumId w:val="6"/>
  </w:num>
  <w:num w:numId="27">
    <w:abstractNumId w:val="25"/>
  </w:num>
  <w:num w:numId="28">
    <w:abstractNumId w:val="29"/>
  </w:num>
  <w:num w:numId="29">
    <w:abstractNumId w:val="24"/>
  </w:num>
  <w:num w:numId="30">
    <w:abstractNumId w:val="30"/>
  </w:num>
  <w:num w:numId="31">
    <w:abstractNumId w:val="32"/>
  </w:num>
  <w:num w:numId="32">
    <w:abstractNumId w:val="31"/>
  </w:num>
  <w:num w:numId="33">
    <w:abstractNumId w:val="27"/>
  </w:num>
  <w:num w:numId="34">
    <w:abstractNumId w:val="38"/>
  </w:num>
  <w:num w:numId="35">
    <w:abstractNumId w:val="20"/>
  </w:num>
  <w:num w:numId="36">
    <w:abstractNumId w:val="26"/>
  </w:num>
  <w:num w:numId="37">
    <w:abstractNumId w:val="0"/>
  </w:num>
  <w:num w:numId="38">
    <w:abstractNumId w:val="18"/>
  </w:num>
  <w:num w:numId="39">
    <w:abstractNumId w:val="2"/>
  </w:num>
  <w:num w:numId="40">
    <w:abstractNumId w:val="3"/>
  </w:num>
  <w:num w:numId="41">
    <w:abstractNumId w:val="5"/>
  </w:num>
  <w:num w:numId="42">
    <w:abstractNumId w:val="36"/>
  </w:num>
  <w:num w:numId="43">
    <w:abstractNumId w:val="42"/>
  </w:num>
  <w:num w:numId="44">
    <w:abstractNumId w:val="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853"/>
    <w:rsid w:val="000048ED"/>
    <w:rsid w:val="00041A66"/>
    <w:rsid w:val="00045F3E"/>
    <w:rsid w:val="0005176E"/>
    <w:rsid w:val="000649CF"/>
    <w:rsid w:val="00065104"/>
    <w:rsid w:val="000662EB"/>
    <w:rsid w:val="000765F7"/>
    <w:rsid w:val="00077AB7"/>
    <w:rsid w:val="00081880"/>
    <w:rsid w:val="00081CD8"/>
    <w:rsid w:val="00083D2C"/>
    <w:rsid w:val="00087E49"/>
    <w:rsid w:val="000A7F0E"/>
    <w:rsid w:val="000B1C8F"/>
    <w:rsid w:val="000C0D61"/>
    <w:rsid w:val="000C3417"/>
    <w:rsid w:val="000D4E68"/>
    <w:rsid w:val="000F198C"/>
    <w:rsid w:val="000F3A3F"/>
    <w:rsid w:val="00102557"/>
    <w:rsid w:val="0010352A"/>
    <w:rsid w:val="0012577A"/>
    <w:rsid w:val="00153304"/>
    <w:rsid w:val="00164D56"/>
    <w:rsid w:val="00167B10"/>
    <w:rsid w:val="0017402F"/>
    <w:rsid w:val="00196C1B"/>
    <w:rsid w:val="001B0F73"/>
    <w:rsid w:val="001C2DB7"/>
    <w:rsid w:val="001D5C04"/>
    <w:rsid w:val="001E0C7C"/>
    <w:rsid w:val="001E756B"/>
    <w:rsid w:val="001F26CF"/>
    <w:rsid w:val="001F3F1C"/>
    <w:rsid w:val="002063B5"/>
    <w:rsid w:val="00222A2D"/>
    <w:rsid w:val="00223029"/>
    <w:rsid w:val="002236D5"/>
    <w:rsid w:val="00234745"/>
    <w:rsid w:val="002351A6"/>
    <w:rsid w:val="002407AF"/>
    <w:rsid w:val="002477DB"/>
    <w:rsid w:val="00254851"/>
    <w:rsid w:val="00260E35"/>
    <w:rsid w:val="0027466B"/>
    <w:rsid w:val="002838A5"/>
    <w:rsid w:val="00285BB4"/>
    <w:rsid w:val="002B1781"/>
    <w:rsid w:val="002C09E3"/>
    <w:rsid w:val="002D69E6"/>
    <w:rsid w:val="0031347D"/>
    <w:rsid w:val="00325E34"/>
    <w:rsid w:val="00337CEB"/>
    <w:rsid w:val="0034349F"/>
    <w:rsid w:val="0034463D"/>
    <w:rsid w:val="00344B58"/>
    <w:rsid w:val="0034539A"/>
    <w:rsid w:val="00345AF8"/>
    <w:rsid w:val="00345CB4"/>
    <w:rsid w:val="00375D42"/>
    <w:rsid w:val="003A4C1C"/>
    <w:rsid w:val="003B3EA1"/>
    <w:rsid w:val="003D069C"/>
    <w:rsid w:val="003D7646"/>
    <w:rsid w:val="003E71E8"/>
    <w:rsid w:val="003F113A"/>
    <w:rsid w:val="003F34AE"/>
    <w:rsid w:val="003F3E63"/>
    <w:rsid w:val="00407480"/>
    <w:rsid w:val="00414643"/>
    <w:rsid w:val="00417A55"/>
    <w:rsid w:val="004421E5"/>
    <w:rsid w:val="00452284"/>
    <w:rsid w:val="00457C8E"/>
    <w:rsid w:val="00463787"/>
    <w:rsid w:val="00482E29"/>
    <w:rsid w:val="004856CA"/>
    <w:rsid w:val="00487E67"/>
    <w:rsid w:val="0049213C"/>
    <w:rsid w:val="0049705E"/>
    <w:rsid w:val="004A34A0"/>
    <w:rsid w:val="004B7ECA"/>
    <w:rsid w:val="004C02D7"/>
    <w:rsid w:val="004C67FA"/>
    <w:rsid w:val="005008A8"/>
    <w:rsid w:val="00516853"/>
    <w:rsid w:val="00526B7B"/>
    <w:rsid w:val="005308CE"/>
    <w:rsid w:val="0053318C"/>
    <w:rsid w:val="0053778E"/>
    <w:rsid w:val="0057439C"/>
    <w:rsid w:val="00580596"/>
    <w:rsid w:val="005927E8"/>
    <w:rsid w:val="005B0127"/>
    <w:rsid w:val="005B7A35"/>
    <w:rsid w:val="005C4B73"/>
    <w:rsid w:val="005C6030"/>
    <w:rsid w:val="005D4523"/>
    <w:rsid w:val="005E1D2B"/>
    <w:rsid w:val="005E7074"/>
    <w:rsid w:val="005F2BAF"/>
    <w:rsid w:val="00600D93"/>
    <w:rsid w:val="0063300C"/>
    <w:rsid w:val="0064466C"/>
    <w:rsid w:val="00655736"/>
    <w:rsid w:val="00663B8D"/>
    <w:rsid w:val="00690892"/>
    <w:rsid w:val="00696C8D"/>
    <w:rsid w:val="006A2AC2"/>
    <w:rsid w:val="006A3617"/>
    <w:rsid w:val="006C2E6A"/>
    <w:rsid w:val="006E0D05"/>
    <w:rsid w:val="006E46E4"/>
    <w:rsid w:val="006F0A64"/>
    <w:rsid w:val="00717DA5"/>
    <w:rsid w:val="00735AC2"/>
    <w:rsid w:val="0073792E"/>
    <w:rsid w:val="00744484"/>
    <w:rsid w:val="00747566"/>
    <w:rsid w:val="00750FA0"/>
    <w:rsid w:val="00753148"/>
    <w:rsid w:val="00756E4E"/>
    <w:rsid w:val="007708AF"/>
    <w:rsid w:val="00773188"/>
    <w:rsid w:val="00783782"/>
    <w:rsid w:val="00784B8C"/>
    <w:rsid w:val="007859C0"/>
    <w:rsid w:val="007879E1"/>
    <w:rsid w:val="007A1611"/>
    <w:rsid w:val="007A6797"/>
    <w:rsid w:val="007B7B0B"/>
    <w:rsid w:val="007E266F"/>
    <w:rsid w:val="00823A11"/>
    <w:rsid w:val="00825B7B"/>
    <w:rsid w:val="008328B4"/>
    <w:rsid w:val="0085405E"/>
    <w:rsid w:val="0085414A"/>
    <w:rsid w:val="0086269D"/>
    <w:rsid w:val="0086543A"/>
    <w:rsid w:val="008724E5"/>
    <w:rsid w:val="00884A9D"/>
    <w:rsid w:val="0088512B"/>
    <w:rsid w:val="008A2B2D"/>
    <w:rsid w:val="008A4E1E"/>
    <w:rsid w:val="008C296C"/>
    <w:rsid w:val="008C4377"/>
    <w:rsid w:val="008C7A73"/>
    <w:rsid w:val="008D4305"/>
    <w:rsid w:val="008E1A85"/>
    <w:rsid w:val="009163A7"/>
    <w:rsid w:val="00926620"/>
    <w:rsid w:val="00937F4D"/>
    <w:rsid w:val="00946D0B"/>
    <w:rsid w:val="009529A9"/>
    <w:rsid w:val="00952D6D"/>
    <w:rsid w:val="00955877"/>
    <w:rsid w:val="0096257C"/>
    <w:rsid w:val="009A18CD"/>
    <w:rsid w:val="009B0C57"/>
    <w:rsid w:val="009D4ACC"/>
    <w:rsid w:val="009D5428"/>
    <w:rsid w:val="009E2556"/>
    <w:rsid w:val="009F4D36"/>
    <w:rsid w:val="00A01C4D"/>
    <w:rsid w:val="00A12558"/>
    <w:rsid w:val="00A13903"/>
    <w:rsid w:val="00A1597B"/>
    <w:rsid w:val="00A34ED5"/>
    <w:rsid w:val="00A45DBF"/>
    <w:rsid w:val="00A53D78"/>
    <w:rsid w:val="00A755A2"/>
    <w:rsid w:val="00A87B27"/>
    <w:rsid w:val="00AA6660"/>
    <w:rsid w:val="00AB2C36"/>
    <w:rsid w:val="00AB6DDE"/>
    <w:rsid w:val="00AB70B6"/>
    <w:rsid w:val="00AD1A86"/>
    <w:rsid w:val="00AE103E"/>
    <w:rsid w:val="00AF0A07"/>
    <w:rsid w:val="00AF4AEC"/>
    <w:rsid w:val="00AF625E"/>
    <w:rsid w:val="00B8330D"/>
    <w:rsid w:val="00B91169"/>
    <w:rsid w:val="00B96A90"/>
    <w:rsid w:val="00BA0EDD"/>
    <w:rsid w:val="00BB04AF"/>
    <w:rsid w:val="00BD52C9"/>
    <w:rsid w:val="00BD615E"/>
    <w:rsid w:val="00BE6354"/>
    <w:rsid w:val="00C072C5"/>
    <w:rsid w:val="00C138D1"/>
    <w:rsid w:val="00C1445F"/>
    <w:rsid w:val="00C23A97"/>
    <w:rsid w:val="00C64855"/>
    <w:rsid w:val="00C70EA7"/>
    <w:rsid w:val="00C7433F"/>
    <w:rsid w:val="00C7516E"/>
    <w:rsid w:val="00C75770"/>
    <w:rsid w:val="00CA30A5"/>
    <w:rsid w:val="00CA4BF6"/>
    <w:rsid w:val="00CA56BB"/>
    <w:rsid w:val="00CB0542"/>
    <w:rsid w:val="00CB2E9B"/>
    <w:rsid w:val="00CB5662"/>
    <w:rsid w:val="00CE523D"/>
    <w:rsid w:val="00D00B2B"/>
    <w:rsid w:val="00D24877"/>
    <w:rsid w:val="00D65405"/>
    <w:rsid w:val="00D75F35"/>
    <w:rsid w:val="00D8250F"/>
    <w:rsid w:val="00D95C4C"/>
    <w:rsid w:val="00DA36ED"/>
    <w:rsid w:val="00DE34F1"/>
    <w:rsid w:val="00DE6160"/>
    <w:rsid w:val="00DF4942"/>
    <w:rsid w:val="00E244E1"/>
    <w:rsid w:val="00E45521"/>
    <w:rsid w:val="00E627B1"/>
    <w:rsid w:val="00E70169"/>
    <w:rsid w:val="00E7777D"/>
    <w:rsid w:val="00E915E1"/>
    <w:rsid w:val="00E9376C"/>
    <w:rsid w:val="00E93777"/>
    <w:rsid w:val="00E93E72"/>
    <w:rsid w:val="00EA335E"/>
    <w:rsid w:val="00EA528C"/>
    <w:rsid w:val="00EA580C"/>
    <w:rsid w:val="00EC0215"/>
    <w:rsid w:val="00EC6F8D"/>
    <w:rsid w:val="00EE49F4"/>
    <w:rsid w:val="00EE6AF5"/>
    <w:rsid w:val="00EF34E2"/>
    <w:rsid w:val="00F00177"/>
    <w:rsid w:val="00F259D4"/>
    <w:rsid w:val="00F30DC6"/>
    <w:rsid w:val="00F32C23"/>
    <w:rsid w:val="00F4153D"/>
    <w:rsid w:val="00F53DE9"/>
    <w:rsid w:val="00F576CB"/>
    <w:rsid w:val="00F7035D"/>
    <w:rsid w:val="00F71A02"/>
    <w:rsid w:val="00F8088D"/>
    <w:rsid w:val="00F859EB"/>
    <w:rsid w:val="00FA0D63"/>
    <w:rsid w:val="00FD1226"/>
    <w:rsid w:val="00FD33A1"/>
    <w:rsid w:val="00FF3EA3"/>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C5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NormalWeb">
    <w:name w:val="Normal (Web)"/>
    <w:basedOn w:val="Normal"/>
    <w:uiPriority w:val="99"/>
    <w:unhideWhenUsed/>
    <w:rsid w:val="0064466C"/>
    <w:pPr>
      <w:spacing w:before="100" w:beforeAutospacing="1" w:after="100" w:afterAutospacing="1"/>
    </w:pPr>
  </w:style>
  <w:style w:type="character" w:styleId="Hyperlink">
    <w:name w:val="Hyperlink"/>
    <w:basedOn w:val="DefaultParagraphFont"/>
    <w:uiPriority w:val="99"/>
    <w:unhideWhenUsed/>
    <w:rsid w:val="0064466C"/>
    <w:rPr>
      <w:color w:val="0000FF"/>
      <w:u w:val="single"/>
    </w:rPr>
  </w:style>
  <w:style w:type="paragraph" w:customStyle="1" w:styleId="DocMain">
    <w:name w:val="Doc_Main"/>
    <w:basedOn w:val="Normal"/>
    <w:uiPriority w:val="99"/>
    <w:qFormat/>
    <w:rsid w:val="00083D2C"/>
    <w:pPr>
      <w:spacing w:before="240" w:after="240"/>
      <w:ind w:left="720" w:hanging="360"/>
      <w:jc w:val="both"/>
    </w:pPr>
    <w:rPr>
      <w:rFonts w:ascii="Arial" w:eastAsia="SimSun" w:hAnsi="Arial" w:cs="Arial"/>
      <w:sz w:val="22"/>
      <w:szCs w:val="22"/>
      <w:lang w:eastAsia="zh-CN"/>
    </w:rPr>
  </w:style>
  <w:style w:type="paragraph" w:customStyle="1" w:styleId="NoSpacing1">
    <w:name w:val="No Spacing1"/>
    <w:qFormat/>
    <w:rsid w:val="007708AF"/>
    <w:rPr>
      <w:sz w:val="22"/>
      <w:szCs w:val="22"/>
      <w:lang w:eastAsia="zh-CN"/>
    </w:rPr>
  </w:style>
  <w:style w:type="character" w:styleId="CommentReference">
    <w:name w:val="annotation reference"/>
    <w:basedOn w:val="DefaultParagraphFont"/>
    <w:uiPriority w:val="99"/>
    <w:semiHidden/>
    <w:unhideWhenUsed/>
    <w:rsid w:val="00325E34"/>
    <w:rPr>
      <w:sz w:val="16"/>
      <w:szCs w:val="16"/>
    </w:rPr>
  </w:style>
  <w:style w:type="paragraph" w:styleId="CommentText">
    <w:name w:val="annotation text"/>
    <w:basedOn w:val="Normal"/>
    <w:link w:val="CommentTextChar"/>
    <w:uiPriority w:val="99"/>
    <w:unhideWhenUsed/>
    <w:rsid w:val="00325E34"/>
    <w:rPr>
      <w:rFonts w:ascii="Arial" w:hAnsi="Arial"/>
      <w:sz w:val="20"/>
      <w:szCs w:val="20"/>
    </w:rPr>
  </w:style>
  <w:style w:type="character" w:customStyle="1" w:styleId="CommentTextChar">
    <w:name w:val="Comment Text Char"/>
    <w:basedOn w:val="DefaultParagraphFont"/>
    <w:link w:val="CommentText"/>
    <w:uiPriority w:val="99"/>
    <w:rsid w:val="00325E34"/>
    <w:rPr>
      <w:rFonts w:ascii="Arial" w:eastAsia="Times New Roman" w:hAnsi="Arial"/>
      <w:lang w:val="fr-FR"/>
    </w:rPr>
  </w:style>
  <w:style w:type="paragraph" w:styleId="NoSpacing">
    <w:name w:val="No Spacing"/>
    <w:uiPriority w:val="1"/>
    <w:qFormat/>
    <w:rsid w:val="00325E34"/>
    <w:rPr>
      <w:sz w:val="22"/>
      <w:szCs w:val="22"/>
      <w:lang w:eastAsia="zh-CN"/>
    </w:rPr>
  </w:style>
  <w:style w:type="numbering" w:customStyle="1" w:styleId="NoList1">
    <w:name w:val="No List1"/>
    <w:next w:val="NoList"/>
    <w:uiPriority w:val="99"/>
    <w:semiHidden/>
    <w:unhideWhenUsed/>
    <w:rsid w:val="00516853"/>
  </w:style>
  <w:style w:type="paragraph" w:customStyle="1" w:styleId="Default">
    <w:name w:val="Default"/>
    <w:rsid w:val="00516853"/>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516853"/>
    <w:pPr>
      <w:ind w:left="708"/>
    </w:pPr>
    <w:rPr>
      <w:lang w:eastAsia="en-US"/>
    </w:rPr>
  </w:style>
  <w:style w:type="paragraph" w:styleId="CommentSubject">
    <w:name w:val="annotation subject"/>
    <w:basedOn w:val="CommentText"/>
    <w:next w:val="CommentText"/>
    <w:link w:val="CommentSubjectChar"/>
    <w:uiPriority w:val="99"/>
    <w:semiHidden/>
    <w:unhideWhenUsed/>
    <w:rsid w:val="00516853"/>
    <w:rPr>
      <w:b/>
      <w:bCs/>
    </w:rPr>
  </w:style>
  <w:style w:type="character" w:customStyle="1" w:styleId="CommentSubjectChar">
    <w:name w:val="Comment Subject Char"/>
    <w:basedOn w:val="CommentTextChar"/>
    <w:link w:val="CommentSubject"/>
    <w:uiPriority w:val="99"/>
    <w:semiHidden/>
    <w:rsid w:val="00516853"/>
    <w:rPr>
      <w:rFonts w:ascii="Arial" w:eastAsia="Times New Roman" w:hAnsi="Arial"/>
      <w:b/>
      <w:bCs/>
      <w:lang w:val="fr-FR"/>
    </w:rPr>
  </w:style>
  <w:style w:type="paragraph" w:styleId="Revision">
    <w:name w:val="Revision"/>
    <w:hidden/>
    <w:uiPriority w:val="99"/>
    <w:semiHidden/>
    <w:rsid w:val="00516853"/>
    <w:rPr>
      <w:rFonts w:ascii="Arial" w:eastAsia="Times New Roman" w:hAnsi="Arial"/>
      <w:sz w:val="24"/>
      <w:szCs w:val="24"/>
    </w:rPr>
  </w:style>
  <w:style w:type="character" w:styleId="FollowedHyperlink">
    <w:name w:val="FollowedHyperlink"/>
    <w:basedOn w:val="DefaultParagraphFont"/>
    <w:uiPriority w:val="99"/>
    <w:semiHidden/>
    <w:unhideWhenUsed/>
    <w:rsid w:val="00260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1e-registre-00940" TargetMode="External"/><Relationship Id="rId13" Type="http://schemas.openxmlformats.org/officeDocument/2006/relationships/hyperlink" Target="https://ich.unesco.org/doc/src/ITH-17-12.COM-11-FR.docx" TargetMode="External"/><Relationship Id="rId18" Type="http://schemas.openxmlformats.org/officeDocument/2006/relationships/hyperlink" Target="#Recommande_le_comit&#233;_de_ne_pas_s&#233;lectio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h.unesco.org/fr/11e-registre-00940" TargetMode="External"/><Relationship Id="rId2" Type="http://schemas.openxmlformats.org/officeDocument/2006/relationships/numbering" Target="numbering.xml"/><Relationship Id="rId16" Type="http://schemas.openxmlformats.org/officeDocument/2006/relationships/hyperlink" Target="https://ich.unesco.org/fr/11e-registre-00940" TargetMode="External"/><Relationship Id="rId20" Type="http://schemas.openxmlformats.org/officeDocument/2006/relationships/hyperlink" Target="#Recommande_le_comit&#233;_de_s&#233;lectionner"/><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fr/11e-registre-009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h.unesco.org/fr/11e-registre-00940" TargetMode="External"/><Relationship Id="rId14" Type="http://schemas.openxmlformats.org/officeDocument/2006/relationships/hyperlink" Target="https://ich.unesco.org/fr/11e-registre-009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5858-8252-492B-8691-C61780F4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5285</Words>
  <Characters>30126</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2017-12-02T02:03:00Z</dcterms:created>
  <dcterms:modified xsi:type="dcterms:W3CDTF">2017-12-02T08:25:00Z</dcterms:modified>
</cp:coreProperties>
</file>