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FF93" w14:textId="725D19B1"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ADE5D80"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FB5F30E"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23A4E28"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01D527EE"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69698F4E"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A2875">
        <w:rPr>
          <w:rFonts w:ascii="Arial" w:hAnsi="Arial" w:cs="Arial"/>
          <w:b/>
          <w:sz w:val="22"/>
          <w:szCs w:val="22"/>
          <w:u w:val="single"/>
          <w:lang w:val="en-GB"/>
        </w:rPr>
        <w:t>9.a</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11AB85DF" w14:textId="77777777" w:rsidR="004A2875" w:rsidRPr="00293C60" w:rsidRDefault="004A2875" w:rsidP="004A2875">
      <w:pPr>
        <w:pStyle w:val="Sansinterligne2"/>
        <w:spacing w:after="960"/>
        <w:jc w:val="center"/>
        <w:rPr>
          <w:rFonts w:ascii="Arial" w:hAnsi="Arial" w:cs="Arial"/>
          <w:b/>
          <w:sz w:val="22"/>
          <w:szCs w:val="22"/>
          <w:lang w:val="en-GB"/>
        </w:rPr>
      </w:pPr>
      <w:r w:rsidRPr="002E373B">
        <w:rPr>
          <w:rFonts w:ascii="Arial" w:hAnsi="Arial" w:cs="Arial"/>
          <w:b/>
          <w:sz w:val="22"/>
          <w:szCs w:val="22"/>
          <w:lang w:val="en-GB"/>
        </w:rPr>
        <w:t>Examination of the reports of States Parties on the current status of elements</w:t>
      </w:r>
      <w:r w:rsidRPr="002E373B">
        <w:rPr>
          <w:rFonts w:ascii="Arial" w:hAnsi="Arial" w:cs="Arial"/>
          <w:b/>
          <w:sz w:val="22"/>
          <w:szCs w:val="22"/>
          <w:lang w:val="en-GB"/>
        </w:rPr>
        <w:br/>
        <w:t>inscribed on the 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A2875" w14:paraId="7638607C" w14:textId="77777777" w:rsidTr="00EC6F8D">
        <w:trPr>
          <w:jc w:val="center"/>
        </w:trPr>
        <w:tc>
          <w:tcPr>
            <w:tcW w:w="5670" w:type="dxa"/>
            <w:vAlign w:val="center"/>
          </w:tcPr>
          <w:p w14:paraId="7C3B8104" w14:textId="77777777" w:rsidR="00EC6F8D" w:rsidRPr="00293C60" w:rsidRDefault="00EC6F8D" w:rsidP="001417C7">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11D181D3" w14:textId="0919002F" w:rsidR="004A2875" w:rsidRPr="00851CF8" w:rsidRDefault="004A2875" w:rsidP="001A7686">
            <w:pPr>
              <w:pStyle w:val="Sansinterligne2"/>
              <w:spacing w:before="200" w:after="200"/>
              <w:jc w:val="both"/>
              <w:rPr>
                <w:rFonts w:ascii="Arial" w:hAnsi="Arial" w:cs="Arial"/>
                <w:sz w:val="22"/>
                <w:szCs w:val="22"/>
                <w:lang w:val="en-GB"/>
              </w:rPr>
            </w:pPr>
            <w:r w:rsidRPr="002E373B">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w:t>
            </w:r>
            <w:r w:rsidR="001A7686">
              <w:rPr>
                <w:rFonts w:ascii="Arial" w:hAnsi="Arial" w:cs="Arial"/>
                <w:sz w:val="22"/>
                <w:szCs w:val="22"/>
                <w:lang w:val="en-GB"/>
              </w:rPr>
              <w:t xml:space="preserve">This document covers </w:t>
            </w:r>
            <w:r w:rsidR="006A27C9">
              <w:rPr>
                <w:rFonts w:ascii="Arial" w:hAnsi="Arial" w:cs="Arial"/>
                <w:sz w:val="22"/>
                <w:szCs w:val="22"/>
                <w:lang w:val="en-GB"/>
              </w:rPr>
              <w:t xml:space="preserve">the </w:t>
            </w:r>
            <w:r w:rsidR="001A7686">
              <w:rPr>
                <w:rFonts w:ascii="Arial" w:hAnsi="Arial" w:cs="Arial"/>
                <w:sz w:val="22"/>
                <w:szCs w:val="22"/>
                <w:lang w:val="en-GB"/>
              </w:rPr>
              <w:t xml:space="preserve">reporting on four inscribed elements, </w:t>
            </w:r>
            <w:r w:rsidR="007E6560">
              <w:rPr>
                <w:rFonts w:ascii="Arial" w:hAnsi="Arial" w:cs="Arial"/>
                <w:sz w:val="22"/>
                <w:szCs w:val="22"/>
                <w:lang w:val="en-GB"/>
              </w:rPr>
              <w:t xml:space="preserve">one </w:t>
            </w:r>
            <w:r w:rsidR="001A7686">
              <w:rPr>
                <w:rFonts w:ascii="Arial" w:hAnsi="Arial" w:cs="Arial"/>
                <w:sz w:val="22"/>
                <w:szCs w:val="22"/>
                <w:lang w:val="en-GB"/>
              </w:rPr>
              <w:t xml:space="preserve">of which </w:t>
            </w:r>
            <w:r w:rsidR="007E6560">
              <w:rPr>
                <w:rFonts w:ascii="Arial" w:hAnsi="Arial" w:cs="Arial"/>
                <w:sz w:val="22"/>
                <w:szCs w:val="22"/>
                <w:lang w:val="en-GB"/>
              </w:rPr>
              <w:t xml:space="preserve">was </w:t>
            </w:r>
            <w:r w:rsidR="001A7686">
              <w:rPr>
                <w:rFonts w:ascii="Arial" w:hAnsi="Arial" w:cs="Arial"/>
                <w:sz w:val="22"/>
                <w:szCs w:val="22"/>
                <w:lang w:val="en-GB"/>
              </w:rPr>
              <w:t xml:space="preserve">inscribed in </w:t>
            </w:r>
            <w:r w:rsidR="007E6560">
              <w:rPr>
                <w:rFonts w:ascii="Arial" w:hAnsi="Arial" w:cs="Arial"/>
                <w:sz w:val="22"/>
                <w:szCs w:val="22"/>
                <w:lang w:val="en-GB"/>
              </w:rPr>
              <w:t xml:space="preserve">2010 </w:t>
            </w:r>
            <w:r w:rsidR="001A7686">
              <w:rPr>
                <w:rFonts w:ascii="Arial" w:hAnsi="Arial" w:cs="Arial"/>
                <w:sz w:val="22"/>
                <w:szCs w:val="22"/>
                <w:lang w:val="en-GB"/>
              </w:rPr>
              <w:t xml:space="preserve">and </w:t>
            </w:r>
            <w:r w:rsidR="007E6560">
              <w:rPr>
                <w:rFonts w:ascii="Arial" w:hAnsi="Arial" w:cs="Arial"/>
                <w:sz w:val="22"/>
                <w:szCs w:val="22"/>
                <w:lang w:val="en-GB"/>
              </w:rPr>
              <w:t xml:space="preserve">three </w:t>
            </w:r>
            <w:r w:rsidR="001A7686">
              <w:rPr>
                <w:rFonts w:ascii="Arial" w:hAnsi="Arial" w:cs="Arial"/>
                <w:sz w:val="22"/>
                <w:szCs w:val="22"/>
                <w:lang w:val="en-GB"/>
              </w:rPr>
              <w:t xml:space="preserve">in </w:t>
            </w:r>
            <w:r w:rsidR="007E6560">
              <w:rPr>
                <w:rFonts w:ascii="Arial" w:hAnsi="Arial" w:cs="Arial"/>
                <w:sz w:val="22"/>
                <w:szCs w:val="22"/>
                <w:lang w:val="en-GB"/>
              </w:rPr>
              <w:t>2014</w:t>
            </w:r>
            <w:r w:rsidR="001A7686">
              <w:rPr>
                <w:rFonts w:ascii="Arial" w:hAnsi="Arial" w:cs="Arial"/>
                <w:sz w:val="22"/>
                <w:szCs w:val="22"/>
                <w:lang w:val="en-GB"/>
              </w:rPr>
              <w:t>. The four reports submitted by the States are available online</w:t>
            </w:r>
            <w:r w:rsidR="007E6560">
              <w:rPr>
                <w:rFonts w:ascii="Arial" w:hAnsi="Arial" w:cs="Arial"/>
                <w:sz w:val="22"/>
                <w:szCs w:val="22"/>
                <w:lang w:val="en-GB"/>
              </w:rPr>
              <w:t>.</w:t>
            </w:r>
            <w:r w:rsidR="001A7686">
              <w:rPr>
                <w:rFonts w:ascii="Arial" w:hAnsi="Arial" w:cs="Arial"/>
                <w:sz w:val="22"/>
                <w:szCs w:val="22"/>
                <w:lang w:val="en-GB"/>
              </w:rPr>
              <w:t xml:space="preserve"> The present document includes </w:t>
            </w:r>
            <w:r w:rsidR="009453CB">
              <w:rPr>
                <w:rFonts w:ascii="Arial" w:hAnsi="Arial" w:cs="Arial"/>
                <w:sz w:val="22"/>
                <w:szCs w:val="22"/>
                <w:lang w:val="en-GB"/>
              </w:rPr>
              <w:t>background information (Part A)</w:t>
            </w:r>
            <w:r w:rsidR="006A27C9">
              <w:rPr>
                <w:rFonts w:ascii="Arial" w:hAnsi="Arial" w:cs="Arial"/>
                <w:sz w:val="22"/>
                <w:szCs w:val="22"/>
                <w:lang w:val="en-GB"/>
              </w:rPr>
              <w:t>,</w:t>
            </w:r>
            <w:r w:rsidR="009453CB">
              <w:rPr>
                <w:rFonts w:ascii="Arial" w:hAnsi="Arial" w:cs="Arial"/>
                <w:sz w:val="22"/>
                <w:szCs w:val="22"/>
                <w:lang w:val="en-GB"/>
              </w:rPr>
              <w:t xml:space="preserve"> </w:t>
            </w:r>
            <w:r w:rsidR="001A7686">
              <w:rPr>
                <w:rFonts w:ascii="Arial" w:hAnsi="Arial" w:cs="Arial"/>
                <w:sz w:val="22"/>
                <w:szCs w:val="22"/>
                <w:lang w:val="en-GB"/>
              </w:rPr>
              <w:t xml:space="preserve">a set of </w:t>
            </w:r>
            <w:r w:rsidR="009453CB">
              <w:rPr>
                <w:rFonts w:ascii="Arial" w:hAnsi="Arial" w:cs="Arial"/>
                <w:sz w:val="22"/>
                <w:szCs w:val="22"/>
                <w:lang w:val="en-GB"/>
              </w:rPr>
              <w:t>assessments</w:t>
            </w:r>
            <w:r w:rsidR="001A7686">
              <w:rPr>
                <w:rFonts w:ascii="Arial" w:hAnsi="Arial" w:cs="Arial"/>
                <w:sz w:val="22"/>
                <w:szCs w:val="22"/>
                <w:lang w:val="en-GB"/>
              </w:rPr>
              <w:t xml:space="preserve"> and </w:t>
            </w:r>
            <w:r w:rsidR="006A27C9">
              <w:rPr>
                <w:rFonts w:ascii="Arial" w:hAnsi="Arial" w:cs="Arial"/>
                <w:sz w:val="22"/>
                <w:szCs w:val="22"/>
                <w:lang w:val="en-GB"/>
              </w:rPr>
              <w:t xml:space="preserve">a </w:t>
            </w:r>
            <w:r w:rsidR="001A7686">
              <w:rPr>
                <w:rFonts w:ascii="Arial" w:hAnsi="Arial" w:cs="Arial"/>
                <w:sz w:val="22"/>
                <w:szCs w:val="22"/>
                <w:lang w:val="en-GB"/>
              </w:rPr>
              <w:t xml:space="preserve">draft decision </w:t>
            </w:r>
            <w:r w:rsidR="009453CB">
              <w:rPr>
                <w:rFonts w:ascii="Arial" w:hAnsi="Arial" w:cs="Arial"/>
                <w:sz w:val="22"/>
                <w:szCs w:val="22"/>
                <w:lang w:val="en-GB"/>
              </w:rPr>
              <w:t>for each report for the Committee’s consideration</w:t>
            </w:r>
            <w:r w:rsidR="007E6560">
              <w:rPr>
                <w:rFonts w:ascii="Arial" w:hAnsi="Arial" w:cs="Arial"/>
                <w:sz w:val="22"/>
                <w:szCs w:val="22"/>
                <w:lang w:val="en-GB"/>
              </w:rPr>
              <w:t xml:space="preserve"> </w:t>
            </w:r>
            <w:r w:rsidR="009453CB">
              <w:rPr>
                <w:rFonts w:ascii="Arial" w:hAnsi="Arial" w:cs="Arial"/>
                <w:sz w:val="22"/>
                <w:szCs w:val="22"/>
                <w:lang w:val="en-GB"/>
              </w:rPr>
              <w:t>(Part B)</w:t>
            </w:r>
            <w:r w:rsidR="007E6560">
              <w:rPr>
                <w:rFonts w:ascii="Arial" w:hAnsi="Arial" w:cs="Arial"/>
                <w:sz w:val="22"/>
                <w:szCs w:val="22"/>
                <w:lang w:val="en-GB"/>
              </w:rPr>
              <w:t>.</w:t>
            </w:r>
          </w:p>
          <w:p w14:paraId="2D6E296F" w14:textId="5D353FA7" w:rsidR="00EC6F8D" w:rsidRPr="00293C60" w:rsidRDefault="00EC6F8D" w:rsidP="00F33CC7">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Decision</w:t>
            </w:r>
            <w:r w:rsidR="00E01419">
              <w:rPr>
                <w:rFonts w:ascii="Arial" w:hAnsi="Arial" w:cs="Arial"/>
                <w:b/>
                <w:sz w:val="22"/>
                <w:szCs w:val="22"/>
                <w:lang w:val="en-GB"/>
              </w:rPr>
              <w:t>s</w:t>
            </w:r>
            <w:r w:rsidRPr="00293C60">
              <w:rPr>
                <w:rFonts w:ascii="Arial" w:hAnsi="Arial" w:cs="Arial"/>
                <w:b/>
                <w:sz w:val="22"/>
                <w:szCs w:val="22"/>
                <w:lang w:val="en-GB"/>
              </w:rPr>
              <w:t xml:space="preserve"> required: </w:t>
            </w:r>
            <w:r w:rsidRPr="00293C60">
              <w:rPr>
                <w:rFonts w:ascii="Arial" w:hAnsi="Arial" w:cs="Arial"/>
                <w:bCs/>
                <w:sz w:val="22"/>
                <w:szCs w:val="22"/>
                <w:lang w:val="en-GB"/>
              </w:rPr>
              <w:t>paragraph</w:t>
            </w:r>
            <w:r w:rsidR="00E01419">
              <w:rPr>
                <w:rFonts w:ascii="Arial" w:hAnsi="Arial" w:cs="Arial"/>
                <w:bCs/>
                <w:sz w:val="22"/>
                <w:szCs w:val="22"/>
                <w:lang w:val="en-GB"/>
              </w:rPr>
              <w:t>s</w:t>
            </w:r>
            <w:r w:rsidRPr="00293C60">
              <w:rPr>
                <w:rFonts w:ascii="Arial" w:hAnsi="Arial" w:cs="Arial"/>
                <w:bCs/>
                <w:sz w:val="22"/>
                <w:szCs w:val="22"/>
                <w:lang w:val="en-GB"/>
              </w:rPr>
              <w:t xml:space="preserve"> </w:t>
            </w:r>
            <w:r w:rsidR="00F33CC7" w:rsidRPr="00B11970">
              <w:rPr>
                <w:rFonts w:ascii="Arial" w:hAnsi="Arial" w:cs="Arial"/>
                <w:bCs/>
                <w:sz w:val="22"/>
                <w:szCs w:val="22"/>
                <w:lang w:val="en-GB"/>
              </w:rPr>
              <w:t>9</w:t>
            </w:r>
            <w:r w:rsidR="00631D20" w:rsidRPr="00B11970">
              <w:rPr>
                <w:rFonts w:ascii="Arial" w:hAnsi="Arial" w:cs="Arial"/>
                <w:bCs/>
                <w:sz w:val="22"/>
                <w:szCs w:val="22"/>
                <w:lang w:val="en-GB"/>
              </w:rPr>
              <w:t>, 1</w:t>
            </w:r>
            <w:r w:rsidR="00F33CC7" w:rsidRPr="00B11970">
              <w:rPr>
                <w:rFonts w:ascii="Arial" w:hAnsi="Arial" w:cs="Arial"/>
                <w:bCs/>
                <w:sz w:val="22"/>
                <w:szCs w:val="22"/>
                <w:lang w:val="en-GB"/>
              </w:rPr>
              <w:t>5</w:t>
            </w:r>
            <w:r w:rsidR="00631D20" w:rsidRPr="00B11970">
              <w:rPr>
                <w:rFonts w:ascii="Arial" w:hAnsi="Arial" w:cs="Arial"/>
                <w:bCs/>
                <w:sz w:val="22"/>
                <w:szCs w:val="22"/>
                <w:lang w:val="en-GB"/>
              </w:rPr>
              <w:t xml:space="preserve">, </w:t>
            </w:r>
            <w:r w:rsidR="00F33CC7" w:rsidRPr="00B11970">
              <w:rPr>
                <w:rFonts w:ascii="Arial" w:hAnsi="Arial" w:cs="Arial"/>
                <w:bCs/>
                <w:sz w:val="22"/>
                <w:szCs w:val="22"/>
                <w:lang w:val="en-GB"/>
              </w:rPr>
              <w:t>21</w:t>
            </w:r>
            <w:r w:rsidR="00631D20" w:rsidRPr="00B11970">
              <w:rPr>
                <w:rFonts w:ascii="Arial" w:hAnsi="Arial" w:cs="Arial"/>
                <w:bCs/>
                <w:sz w:val="22"/>
                <w:szCs w:val="22"/>
                <w:lang w:val="en-GB"/>
              </w:rPr>
              <w:t>, 2</w:t>
            </w:r>
            <w:r w:rsidR="00F33CC7" w:rsidRPr="00B11970">
              <w:rPr>
                <w:rFonts w:ascii="Arial" w:hAnsi="Arial" w:cs="Arial"/>
                <w:bCs/>
                <w:sz w:val="22"/>
                <w:szCs w:val="22"/>
                <w:lang w:val="en-GB"/>
              </w:rPr>
              <w:t>7</w:t>
            </w:r>
            <w:r w:rsidR="00C705DF">
              <w:rPr>
                <w:rFonts w:ascii="Arial" w:hAnsi="Arial" w:cs="Arial"/>
                <w:bCs/>
                <w:sz w:val="22"/>
                <w:szCs w:val="22"/>
                <w:lang w:val="en-GB"/>
              </w:rPr>
              <w:t xml:space="preserve"> and</w:t>
            </w:r>
            <w:r w:rsidR="00631D20" w:rsidRPr="00B11970">
              <w:rPr>
                <w:rFonts w:ascii="Arial" w:hAnsi="Arial" w:cs="Arial"/>
                <w:bCs/>
                <w:sz w:val="22"/>
                <w:szCs w:val="22"/>
                <w:lang w:val="en-GB"/>
              </w:rPr>
              <w:t xml:space="preserve"> 3</w:t>
            </w:r>
            <w:r w:rsidR="00F33CC7" w:rsidRPr="00B11970">
              <w:rPr>
                <w:rFonts w:ascii="Arial" w:hAnsi="Arial" w:cs="Arial"/>
                <w:bCs/>
                <w:sz w:val="22"/>
                <w:szCs w:val="22"/>
                <w:lang w:val="en-GB"/>
              </w:rPr>
              <w:t>3</w:t>
            </w:r>
          </w:p>
        </w:tc>
      </w:tr>
    </w:tbl>
    <w:p w14:paraId="6BDA7B17"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414643">
        <w:br w:type="page"/>
      </w:r>
      <w:r w:rsidR="004A2875">
        <w:rPr>
          <w:rFonts w:ascii="Arial" w:hAnsi="Arial" w:cs="Arial"/>
          <w:b/>
          <w:snapToGrid w:val="0"/>
          <w:sz w:val="22"/>
          <w:szCs w:val="22"/>
          <w:lang w:val="en-GB" w:eastAsia="en-US"/>
        </w:rPr>
        <w:lastRenderedPageBreak/>
        <w:t>B</w:t>
      </w:r>
      <w:r w:rsidR="004A2875" w:rsidRPr="009B4638">
        <w:rPr>
          <w:rFonts w:ascii="Arial" w:hAnsi="Arial" w:cs="Arial"/>
          <w:b/>
          <w:snapToGrid w:val="0"/>
          <w:sz w:val="22"/>
          <w:szCs w:val="22"/>
          <w:lang w:val="en-GB" w:eastAsia="en-US"/>
        </w:rPr>
        <w:t>ackground information</w:t>
      </w:r>
    </w:p>
    <w:p w14:paraId="37B11FE9" w14:textId="49095E02" w:rsidR="00EF3E78" w:rsidRPr="005C4EC7" w:rsidRDefault="00EF3E78" w:rsidP="00EF3E78">
      <w:pPr>
        <w:pStyle w:val="COMPara"/>
        <w:numPr>
          <w:ilvl w:val="0"/>
          <w:numId w:val="14"/>
        </w:numPr>
        <w:ind w:left="567" w:hanging="567"/>
        <w:jc w:val="both"/>
      </w:pPr>
      <w:r>
        <w:t>In accordance with paragraph</w:t>
      </w:r>
      <w:r w:rsidR="006A27C9">
        <w:t>s</w:t>
      </w:r>
      <w:r>
        <w:t xml:space="preserve"> 160 to 164 of the Operational Directives, each State Party </w:t>
      </w:r>
      <w:r w:rsidR="006A27C9">
        <w:t xml:space="preserve">with </w:t>
      </w:r>
      <w:r>
        <w:t xml:space="preserve">an element inscribed on the List of Intangible Cultural Heritage in Need of Urgent Safeguarding </w:t>
      </w:r>
      <w:r w:rsidR="00A41602">
        <w:t xml:space="preserve">(hereafter, ‘the Urgent Safeguarding List’) </w:t>
      </w:r>
      <w:r>
        <w:t>shall submit to the Committee regular reports on</w:t>
      </w:r>
      <w:r w:rsidR="006A27C9">
        <w:t xml:space="preserve"> the</w:t>
      </w:r>
      <w:r>
        <w:t xml:space="preserve"> status</w:t>
      </w:r>
      <w:r w:rsidR="006A27C9">
        <w:t xml:space="preserve"> of the element in question</w:t>
      </w:r>
      <w:r>
        <w:t xml:space="preserve">. These reports are normally submitted by 15 December of the fourth year following the year in which the element was inscribed, and every fourth year thereafter. </w:t>
      </w:r>
      <w:r w:rsidR="006A27C9">
        <w:t>Upon submission, t</w:t>
      </w:r>
      <w:r>
        <w:t>he receipt and processing of the reports are carried o</w:t>
      </w:r>
      <w:r w:rsidR="006A27C9">
        <w:t>ut</w:t>
      </w:r>
      <w:r>
        <w:t xml:space="preserve"> by the Secretariat</w:t>
      </w:r>
      <w:r w:rsidR="00FD4331">
        <w:t>,</w:t>
      </w:r>
      <w:r>
        <w:t xml:space="preserve"> as described in paragraph</w:t>
      </w:r>
      <w:r w:rsidR="006A27C9">
        <w:t>s</w:t>
      </w:r>
      <w:r>
        <w:t xml:space="preserve"> </w:t>
      </w:r>
      <w:r w:rsidRPr="000C6F3A">
        <w:t xml:space="preserve">165 </w:t>
      </w:r>
      <w:r w:rsidR="00694057" w:rsidRPr="000C6F3A">
        <w:t xml:space="preserve">and </w:t>
      </w:r>
      <w:r w:rsidRPr="000C6F3A">
        <w:t>16</w:t>
      </w:r>
      <w:r w:rsidR="00694057" w:rsidRPr="000C6F3A">
        <w:t>6</w:t>
      </w:r>
      <w:r>
        <w:t xml:space="preserve"> of the Operational Directives.</w:t>
      </w:r>
    </w:p>
    <w:p w14:paraId="2121FF8B" w14:textId="625A05E9" w:rsidR="00EA4C53" w:rsidRDefault="007E6560" w:rsidP="00EA4C53">
      <w:pPr>
        <w:pStyle w:val="COMPara"/>
        <w:numPr>
          <w:ilvl w:val="0"/>
          <w:numId w:val="14"/>
        </w:numPr>
        <w:ind w:left="567" w:hanging="567"/>
        <w:jc w:val="both"/>
      </w:pPr>
      <w:r>
        <w:t xml:space="preserve">Among </w:t>
      </w:r>
      <w:r w:rsidR="0000201B">
        <w:t>the Committee’s duties</w:t>
      </w:r>
      <w:r w:rsidR="00FD4331">
        <w:t>, as</w:t>
      </w:r>
      <w:r w:rsidR="0000201B">
        <w:t xml:space="preserve"> </w:t>
      </w:r>
      <w:r>
        <w:t>identified in Article 7(f) of the Convention</w:t>
      </w:r>
      <w:r w:rsidR="00FD4331">
        <w:t>,</w:t>
      </w:r>
      <w:r>
        <w:t xml:space="preserve"> </w:t>
      </w:r>
      <w:r w:rsidR="00FD4331">
        <w:t>is the duty to</w:t>
      </w:r>
      <w:r w:rsidR="0000201B">
        <w:t xml:space="preserve"> </w:t>
      </w:r>
      <w:r w:rsidR="0000201B" w:rsidRPr="000D474B">
        <w:t>‘examine, in accordance with Article 29, the reports submitted by States Parties, and to summarize them for the General Assembly’</w:t>
      </w:r>
      <w:r w:rsidR="0000201B">
        <w:t>. Furthermore,</w:t>
      </w:r>
      <w:r w:rsidR="00A310F3">
        <w:t xml:space="preserve"> in accordance with</w:t>
      </w:r>
      <w:r w:rsidR="0000201B">
        <w:t xml:space="preserve"> Article 29</w:t>
      </w:r>
      <w:r w:rsidR="006A27C9">
        <w:t>,</w:t>
      </w:r>
      <w:r w:rsidR="0000201B">
        <w:t xml:space="preserve"> ‘</w:t>
      </w:r>
      <w:r w:rsidR="0000201B" w:rsidRPr="002E373B">
        <w:t xml:space="preserve">the States Parties shall submit to the Committee […] reports on the legislative, regulatory and other measures taken for the implementation of this Convention’. </w:t>
      </w:r>
      <w:r>
        <w:t>In conformity with Article </w:t>
      </w:r>
      <w:r w:rsidRPr="002E373B">
        <w:t>30</w:t>
      </w:r>
      <w:r>
        <w:t xml:space="preserve">, </w:t>
      </w:r>
      <w:r w:rsidR="0000201B" w:rsidRPr="002E373B">
        <w:t xml:space="preserve">the Committee then submits its </w:t>
      </w:r>
      <w:r w:rsidR="0000201B">
        <w:t xml:space="preserve">own </w:t>
      </w:r>
      <w:r w:rsidR="0000201B" w:rsidRPr="002E373B">
        <w:t>report</w:t>
      </w:r>
      <w:r>
        <w:t>, based in part on these</w:t>
      </w:r>
      <w:r w:rsidRPr="002E373B">
        <w:t xml:space="preserve"> reports, </w:t>
      </w:r>
      <w:r w:rsidR="0000201B" w:rsidRPr="002E373B">
        <w:t>to the General Assembly</w:t>
      </w:r>
      <w:r w:rsidR="0000201B">
        <w:t>.</w:t>
      </w:r>
    </w:p>
    <w:p w14:paraId="30553F6E" w14:textId="49D59C94" w:rsidR="0057439C" w:rsidRPr="00041A66" w:rsidRDefault="007E17B3" w:rsidP="00F85447">
      <w:pPr>
        <w:pStyle w:val="COMPara"/>
        <w:numPr>
          <w:ilvl w:val="0"/>
          <w:numId w:val="14"/>
        </w:numPr>
        <w:ind w:left="567" w:hanging="567"/>
        <w:jc w:val="both"/>
      </w:pPr>
      <w:r>
        <w:t xml:space="preserve">The present document concerns the sixth cycle of ordinary reporting, covering the period from the date of inscription or the date of the previous report until December 2018. </w:t>
      </w:r>
      <w:r w:rsidR="008E00D2">
        <w:t xml:space="preserve">Ten </w:t>
      </w:r>
      <w:r>
        <w:t xml:space="preserve">reports were expected to be examined by the Committee at its present session. These include </w:t>
      </w:r>
      <w:r w:rsidR="008E00D2">
        <w:t>four</w:t>
      </w:r>
      <w:r>
        <w:t xml:space="preserve"> repo</w:t>
      </w:r>
      <w:r w:rsidR="008E00D2">
        <w:t xml:space="preserve">rts on elements inscribed in 2010 (second ordinary cycle), three on elements inscribed in 2014 (first ordinary cycle), and three overdue reports on elements inscribed in 2009, </w:t>
      </w:r>
      <w:r w:rsidR="006A27C9">
        <w:t xml:space="preserve">which </w:t>
      </w:r>
      <w:r w:rsidR="008E00D2">
        <w:t xml:space="preserve">were expected </w:t>
      </w:r>
      <w:r w:rsidR="00EF3E78">
        <w:t xml:space="preserve">to be examined </w:t>
      </w:r>
      <w:r w:rsidR="008E00D2">
        <w:t>during the fifth cycle of ordinary reporting</w:t>
      </w:r>
      <w:r w:rsidR="00EF3E78">
        <w:t xml:space="preserve"> in 2018</w:t>
      </w:r>
      <w:r w:rsidR="008E00D2">
        <w:t>, but were not submitted.</w:t>
      </w:r>
    </w:p>
    <w:p w14:paraId="516F20D2" w14:textId="025C39B4" w:rsidR="0057439C" w:rsidRDefault="008E00D2" w:rsidP="00F85447">
      <w:pPr>
        <w:pStyle w:val="COMPara"/>
        <w:numPr>
          <w:ilvl w:val="0"/>
          <w:numId w:val="14"/>
        </w:numPr>
        <w:ind w:left="567" w:hanging="567"/>
        <w:jc w:val="both"/>
      </w:pPr>
      <w:r>
        <w:t xml:space="preserve">The reports expected on </w:t>
      </w:r>
      <w:r w:rsidR="00EF3E78">
        <w:t xml:space="preserve">all three </w:t>
      </w:r>
      <w:r>
        <w:t xml:space="preserve">elements inscribed </w:t>
      </w:r>
      <w:r w:rsidR="00135091">
        <w:t xml:space="preserve">in 2014 (first </w:t>
      </w:r>
      <w:r w:rsidR="006A27C9">
        <w:t xml:space="preserve">ever </w:t>
      </w:r>
      <w:r w:rsidR="00135091">
        <w:t xml:space="preserve">report) were submitted on time by Kenya, Uganda and </w:t>
      </w:r>
      <w:r w:rsidR="00EF3E78">
        <w:t xml:space="preserve">the </w:t>
      </w:r>
      <w:r w:rsidR="00135091">
        <w:t>Bolivarian Republic of</w:t>
      </w:r>
      <w:r w:rsidR="00EF3E78">
        <w:t xml:space="preserve"> Venezuela</w:t>
      </w:r>
      <w:r w:rsidR="00135091">
        <w:t xml:space="preserve">. Of the </w:t>
      </w:r>
      <w:r w:rsidR="0005055F">
        <w:t xml:space="preserve">four reports </w:t>
      </w:r>
      <w:r w:rsidR="00EF3E78">
        <w:t xml:space="preserve">expected </w:t>
      </w:r>
      <w:r w:rsidR="0005055F">
        <w:t>on element</w:t>
      </w:r>
      <w:r w:rsidR="00EF3E78">
        <w:t>s</w:t>
      </w:r>
      <w:r w:rsidR="0005055F">
        <w:t xml:space="preserve"> inscribed in 2010, </w:t>
      </w:r>
      <w:r w:rsidR="00EF3E78">
        <w:t xml:space="preserve">only </w:t>
      </w:r>
      <w:r w:rsidR="0005055F">
        <w:t xml:space="preserve">Croatia submitted its second report on time. </w:t>
      </w:r>
      <w:r w:rsidR="00EF3E78">
        <w:t>T</w:t>
      </w:r>
      <w:r w:rsidR="0005055F">
        <w:t xml:space="preserve">he </w:t>
      </w:r>
      <w:r w:rsidR="00EF3E78">
        <w:t xml:space="preserve">three </w:t>
      </w:r>
      <w:r w:rsidR="00F73389">
        <w:t xml:space="preserve">other </w:t>
      </w:r>
      <w:r w:rsidR="0005055F">
        <w:t>reports</w:t>
      </w:r>
      <w:r w:rsidR="006A27C9">
        <w:t>,</w:t>
      </w:r>
      <w:r w:rsidR="0005055F">
        <w:t xml:space="preserve"> </w:t>
      </w:r>
      <w:r w:rsidR="00EF3E78">
        <w:t xml:space="preserve">together with the three </w:t>
      </w:r>
      <w:r w:rsidR="00970D45">
        <w:t xml:space="preserve">overdue </w:t>
      </w:r>
      <w:r w:rsidR="00EF3E78">
        <w:t>reports expected last year</w:t>
      </w:r>
      <w:r w:rsidR="006A27C9">
        <w:t>,</w:t>
      </w:r>
      <w:r w:rsidR="00EF3E78">
        <w:t xml:space="preserve"> </w:t>
      </w:r>
      <w:r w:rsidR="006A27C9">
        <w:t xml:space="preserve">were </w:t>
      </w:r>
      <w:r w:rsidR="00EF3E78">
        <w:t>to be submitted by China</w:t>
      </w:r>
      <w:r w:rsidR="006E7478">
        <w:t xml:space="preserve">. It </w:t>
      </w:r>
      <w:r w:rsidR="006A27C9">
        <w:t>should</w:t>
      </w:r>
      <w:r w:rsidR="006E7478">
        <w:t xml:space="preserve"> be noted that the Committee examined the first report on </w:t>
      </w:r>
      <w:r w:rsidR="00970D45">
        <w:t xml:space="preserve">all </w:t>
      </w:r>
      <w:r w:rsidR="006E7478">
        <w:t>the</w:t>
      </w:r>
      <w:r w:rsidR="00970D45">
        <w:t xml:space="preserve"> six </w:t>
      </w:r>
      <w:r w:rsidR="006E7478">
        <w:t xml:space="preserve">elements </w:t>
      </w:r>
      <w:r w:rsidR="00F73389">
        <w:t xml:space="preserve">inscribed by </w:t>
      </w:r>
      <w:r w:rsidR="00970D45">
        <w:t xml:space="preserve">China </w:t>
      </w:r>
      <w:r w:rsidR="006E7478">
        <w:t xml:space="preserve">at its </w:t>
      </w:r>
      <w:r w:rsidR="009A0C0B">
        <w:t>twelfth</w:t>
      </w:r>
      <w:r w:rsidR="006E7478">
        <w:t xml:space="preserve"> session in </w:t>
      </w:r>
      <w:r w:rsidR="009A0C0B">
        <w:t>2017.</w:t>
      </w:r>
      <w:r w:rsidR="00960EDF">
        <w:t xml:space="preserve"> </w:t>
      </w:r>
      <w:r w:rsidR="00970D45" w:rsidRPr="00F73389">
        <w:t>T</w:t>
      </w:r>
      <w:r w:rsidR="00F85447" w:rsidRPr="00F73389">
        <w:t xml:space="preserve">he second report on the </w:t>
      </w:r>
      <w:r w:rsidR="00970D45" w:rsidRPr="00F73389">
        <w:t xml:space="preserve">six </w:t>
      </w:r>
      <w:r w:rsidR="00F85447" w:rsidRPr="00F73389">
        <w:t xml:space="preserve">elements indicated in the table </w:t>
      </w:r>
      <w:r w:rsidR="006A27C9" w:rsidRPr="00F73389">
        <w:t xml:space="preserve">below </w:t>
      </w:r>
      <w:r w:rsidR="006A27C9">
        <w:t>is</w:t>
      </w:r>
      <w:r w:rsidR="00F85447" w:rsidRPr="00F73389">
        <w:t xml:space="preserve"> expected in December 2019 at the latest</w:t>
      </w:r>
      <w:r w:rsidR="006A27C9">
        <w:t>,</w:t>
      </w:r>
      <w:r w:rsidR="00F85447" w:rsidRPr="00F73389">
        <w:t xml:space="preserve"> </w:t>
      </w:r>
      <w:r w:rsidR="006A27C9">
        <w:t xml:space="preserve">for examination </w:t>
      </w:r>
      <w:r w:rsidR="00F85447" w:rsidRPr="00F73389">
        <w:t>by the Committee during its fifteenth session in 2020</w:t>
      </w:r>
      <w:r w:rsidR="006A27C9">
        <w:t>.</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159"/>
        <w:gridCol w:w="5599"/>
        <w:gridCol w:w="1138"/>
        <w:gridCol w:w="1176"/>
      </w:tblGrid>
      <w:tr w:rsidR="00F85447" w:rsidRPr="002E373B" w14:paraId="178C74BB" w14:textId="77777777" w:rsidTr="00F85447">
        <w:trPr>
          <w:cantSplit/>
          <w:tblHeader/>
        </w:trPr>
        <w:tc>
          <w:tcPr>
            <w:tcW w:w="639" w:type="pct"/>
            <w:shd w:val="clear" w:color="auto" w:fill="BFBFBF"/>
            <w:vAlign w:val="center"/>
            <w:hideMark/>
          </w:tcPr>
          <w:p w14:paraId="2F4B0B88"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3086" w:type="pct"/>
            <w:shd w:val="clear" w:color="auto" w:fill="BFBFBF"/>
            <w:vAlign w:val="center"/>
            <w:hideMark/>
          </w:tcPr>
          <w:p w14:paraId="6D0621D1"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627" w:type="pct"/>
            <w:shd w:val="clear" w:color="auto" w:fill="BFBFBF"/>
          </w:tcPr>
          <w:p w14:paraId="1F4C3EB9" w14:textId="77777777" w:rsidR="00F85447" w:rsidRPr="002A7211" w:rsidRDefault="00F85447" w:rsidP="004A319E">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 xml:space="preserve">Year of inscription </w:t>
            </w:r>
          </w:p>
        </w:tc>
        <w:tc>
          <w:tcPr>
            <w:tcW w:w="648" w:type="pct"/>
            <w:shd w:val="clear" w:color="auto" w:fill="BFBFBF"/>
            <w:vAlign w:val="center"/>
            <w:hideMark/>
          </w:tcPr>
          <w:p w14:paraId="4B0EF2FB"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F85447" w:rsidRPr="002E373B" w14:paraId="1E276441" w14:textId="77777777" w:rsidTr="00F85447">
        <w:trPr>
          <w:cantSplit/>
        </w:trPr>
        <w:tc>
          <w:tcPr>
            <w:tcW w:w="639" w:type="pct"/>
          </w:tcPr>
          <w:p w14:paraId="0266F2D8"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427EF1D4"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Traditional Li textile techniques: spinning, dyeing, weaving and embroidering</w:t>
            </w:r>
          </w:p>
        </w:tc>
        <w:tc>
          <w:tcPr>
            <w:tcW w:w="627" w:type="pct"/>
          </w:tcPr>
          <w:p w14:paraId="1B10360D"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57F647A5" w14:textId="77777777" w:rsidR="00F85447" w:rsidRPr="002A7211" w:rsidRDefault="00147168" w:rsidP="004A319E">
            <w:pPr>
              <w:spacing w:before="120" w:after="120"/>
              <w:jc w:val="center"/>
              <w:rPr>
                <w:rFonts w:ascii="Arial" w:hAnsi="Arial" w:cs="Arial"/>
                <w:sz w:val="20"/>
                <w:szCs w:val="20"/>
                <w:lang w:val="en-GB"/>
              </w:rPr>
            </w:pPr>
            <w:hyperlink r:id="rId8" w:history="1">
              <w:r w:rsidR="00F85447" w:rsidRPr="002A7211">
                <w:rPr>
                  <w:rStyle w:val="Hyperlink"/>
                  <w:rFonts w:ascii="Arial" w:hAnsi="Arial" w:cs="Arial"/>
                  <w:sz w:val="20"/>
                  <w:szCs w:val="20"/>
                  <w:lang w:val="en-GB"/>
                </w:rPr>
                <w:t>00302</w:t>
              </w:r>
            </w:hyperlink>
          </w:p>
        </w:tc>
      </w:tr>
      <w:tr w:rsidR="00F85447" w:rsidRPr="002E373B" w14:paraId="0A82A856" w14:textId="77777777" w:rsidTr="00F85447">
        <w:trPr>
          <w:cantSplit/>
        </w:trPr>
        <w:tc>
          <w:tcPr>
            <w:tcW w:w="639" w:type="pct"/>
          </w:tcPr>
          <w:p w14:paraId="683DC6E3"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2503D1ED" w14:textId="77777777" w:rsidR="00F85447" w:rsidRPr="002A7211" w:rsidRDefault="00F85447" w:rsidP="004A319E">
            <w:pPr>
              <w:spacing w:before="120" w:after="120"/>
              <w:rPr>
                <w:rFonts w:ascii="Arial" w:hAnsi="Arial" w:cs="Arial"/>
                <w:color w:val="000000"/>
                <w:sz w:val="20"/>
                <w:szCs w:val="20"/>
                <w:lang w:val="en-US"/>
              </w:rPr>
            </w:pPr>
            <w:r w:rsidRPr="002A7211">
              <w:rPr>
                <w:rFonts w:ascii="Arial" w:hAnsi="Arial" w:cs="Arial"/>
                <w:color w:val="000000"/>
                <w:sz w:val="20"/>
                <w:szCs w:val="20"/>
                <w:lang w:val="en-GB"/>
              </w:rPr>
              <w:t>Traditional design and practices for building Chinese wooden arch bridges</w:t>
            </w:r>
          </w:p>
        </w:tc>
        <w:tc>
          <w:tcPr>
            <w:tcW w:w="627" w:type="pct"/>
          </w:tcPr>
          <w:p w14:paraId="1E993450"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767891EA" w14:textId="77777777" w:rsidR="00F85447" w:rsidRPr="002A7211" w:rsidRDefault="00147168" w:rsidP="004A319E">
            <w:pPr>
              <w:spacing w:before="120" w:after="120"/>
              <w:jc w:val="center"/>
              <w:rPr>
                <w:rFonts w:ascii="Arial" w:hAnsi="Arial" w:cs="Arial"/>
                <w:sz w:val="20"/>
                <w:szCs w:val="20"/>
                <w:lang w:val="en-GB"/>
              </w:rPr>
            </w:pPr>
            <w:hyperlink r:id="rId9" w:history="1">
              <w:r w:rsidR="00F85447" w:rsidRPr="002A7211">
                <w:rPr>
                  <w:rStyle w:val="Hyperlink"/>
                  <w:rFonts w:ascii="Arial" w:hAnsi="Arial" w:cs="Arial"/>
                  <w:sz w:val="20"/>
                  <w:szCs w:val="20"/>
                  <w:lang w:val="en-GB"/>
                </w:rPr>
                <w:t>00303</w:t>
              </w:r>
            </w:hyperlink>
          </w:p>
        </w:tc>
      </w:tr>
      <w:tr w:rsidR="00F85447" w:rsidRPr="002E373B" w14:paraId="0CC63BB0" w14:textId="77777777" w:rsidTr="00F85447">
        <w:trPr>
          <w:cantSplit/>
        </w:trPr>
        <w:tc>
          <w:tcPr>
            <w:tcW w:w="639" w:type="pct"/>
          </w:tcPr>
          <w:p w14:paraId="51809520" w14:textId="77777777" w:rsidR="00F85447" w:rsidRPr="002A7211" w:rsidRDefault="00F85447" w:rsidP="004A319E">
            <w:pPr>
              <w:spacing w:before="120" w:after="120"/>
              <w:rPr>
                <w:rFonts w:ascii="Arial" w:hAnsi="Arial" w:cs="Arial"/>
                <w:color w:val="000000"/>
                <w:sz w:val="20"/>
                <w:szCs w:val="20"/>
                <w:lang w:val="en-GB"/>
              </w:rPr>
            </w:pPr>
            <w:r w:rsidRPr="002A7211">
              <w:rPr>
                <w:rFonts w:ascii="Arial" w:hAnsi="Arial" w:cs="Arial"/>
                <w:color w:val="000000"/>
                <w:sz w:val="20"/>
                <w:szCs w:val="20"/>
                <w:lang w:val="en-GB"/>
              </w:rPr>
              <w:t>China</w:t>
            </w:r>
          </w:p>
        </w:tc>
        <w:tc>
          <w:tcPr>
            <w:tcW w:w="3086" w:type="pct"/>
          </w:tcPr>
          <w:p w14:paraId="4CE5DB12" w14:textId="77777777" w:rsidR="00F85447" w:rsidRPr="002A7211" w:rsidRDefault="00F85447" w:rsidP="004A319E">
            <w:pPr>
              <w:spacing w:before="120" w:after="120"/>
              <w:rPr>
                <w:rFonts w:ascii="Arial" w:hAnsi="Arial" w:cs="Arial"/>
                <w:color w:val="000000"/>
                <w:sz w:val="20"/>
                <w:szCs w:val="20"/>
                <w:lang w:val="en-US"/>
              </w:rPr>
            </w:pPr>
            <w:proofErr w:type="spellStart"/>
            <w:r w:rsidRPr="002A7211">
              <w:rPr>
                <w:rFonts w:ascii="Arial" w:hAnsi="Arial" w:cs="Arial"/>
                <w:color w:val="000000"/>
                <w:sz w:val="20"/>
                <w:szCs w:val="20"/>
                <w:lang w:val="en-GB"/>
              </w:rPr>
              <w:t>Qiang</w:t>
            </w:r>
            <w:proofErr w:type="spellEnd"/>
            <w:r w:rsidRPr="002A7211">
              <w:rPr>
                <w:rFonts w:ascii="Arial" w:hAnsi="Arial" w:cs="Arial"/>
                <w:color w:val="000000"/>
                <w:sz w:val="20"/>
                <w:szCs w:val="20"/>
                <w:lang w:val="en-GB"/>
              </w:rPr>
              <w:t xml:space="preserve"> New Year festival</w:t>
            </w:r>
          </w:p>
        </w:tc>
        <w:tc>
          <w:tcPr>
            <w:tcW w:w="627" w:type="pct"/>
          </w:tcPr>
          <w:p w14:paraId="29121157" w14:textId="77777777" w:rsidR="00F85447" w:rsidRPr="002A7211" w:rsidRDefault="00F85447" w:rsidP="004A319E">
            <w:pPr>
              <w:spacing w:before="120" w:after="120"/>
              <w:jc w:val="center"/>
              <w:rPr>
                <w:rFonts w:ascii="Arial" w:hAnsi="Arial" w:cs="Arial"/>
                <w:color w:val="000000"/>
                <w:sz w:val="20"/>
                <w:szCs w:val="20"/>
                <w:lang w:val="en-GB"/>
              </w:rPr>
            </w:pPr>
            <w:r w:rsidRPr="002A7211">
              <w:rPr>
                <w:rFonts w:ascii="Arial" w:hAnsi="Arial" w:cs="Arial"/>
                <w:color w:val="000000"/>
                <w:sz w:val="20"/>
                <w:szCs w:val="20"/>
                <w:lang w:val="en-GB"/>
              </w:rPr>
              <w:t>2009</w:t>
            </w:r>
          </w:p>
        </w:tc>
        <w:tc>
          <w:tcPr>
            <w:tcW w:w="648" w:type="pct"/>
          </w:tcPr>
          <w:p w14:paraId="352FFB3E" w14:textId="77777777" w:rsidR="00F85447" w:rsidRPr="002A7211" w:rsidRDefault="00147168" w:rsidP="004A319E">
            <w:pPr>
              <w:spacing w:before="120" w:after="120"/>
              <w:jc w:val="center"/>
              <w:rPr>
                <w:rFonts w:ascii="Arial" w:hAnsi="Arial" w:cs="Arial"/>
                <w:sz w:val="20"/>
                <w:szCs w:val="20"/>
                <w:lang w:val="en-GB"/>
              </w:rPr>
            </w:pPr>
            <w:hyperlink r:id="rId10" w:history="1">
              <w:r w:rsidR="00F85447" w:rsidRPr="002A7211">
                <w:rPr>
                  <w:rStyle w:val="Hyperlink"/>
                  <w:rFonts w:ascii="Arial" w:hAnsi="Arial" w:cs="Arial"/>
                  <w:sz w:val="20"/>
                  <w:szCs w:val="20"/>
                  <w:lang w:val="en-GB"/>
                </w:rPr>
                <w:t>00305</w:t>
              </w:r>
            </w:hyperlink>
          </w:p>
        </w:tc>
      </w:tr>
      <w:tr w:rsidR="00F85447" w:rsidRPr="002E373B" w14:paraId="3E2AD7AB" w14:textId="77777777" w:rsidTr="00F85447">
        <w:trPr>
          <w:cantSplit/>
        </w:trPr>
        <w:tc>
          <w:tcPr>
            <w:tcW w:w="639" w:type="pct"/>
          </w:tcPr>
          <w:p w14:paraId="2BEC9153"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2D8FF472" w14:textId="77777777" w:rsidR="00F85447" w:rsidRPr="002E373B" w:rsidRDefault="00F85447" w:rsidP="00F85447">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Meshrep</w:t>
            </w:r>
            <w:proofErr w:type="spellEnd"/>
          </w:p>
        </w:tc>
        <w:tc>
          <w:tcPr>
            <w:tcW w:w="627" w:type="pct"/>
          </w:tcPr>
          <w:p w14:paraId="06A18459"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7D5EF004" w14:textId="77777777" w:rsidR="00F85447" w:rsidRPr="002E373B" w:rsidRDefault="00147168" w:rsidP="00F85447">
            <w:pPr>
              <w:spacing w:before="120" w:after="120"/>
              <w:jc w:val="center"/>
              <w:rPr>
                <w:rFonts w:ascii="Arial" w:hAnsi="Arial" w:cs="Arial"/>
                <w:color w:val="000000"/>
                <w:sz w:val="20"/>
                <w:szCs w:val="20"/>
                <w:lang w:val="en-GB"/>
              </w:rPr>
            </w:pPr>
            <w:hyperlink r:id="rId11" w:history="1">
              <w:r w:rsidR="00F85447" w:rsidRPr="002E373B">
                <w:rPr>
                  <w:rStyle w:val="Hyperlink"/>
                  <w:rFonts w:ascii="Arial" w:hAnsi="Arial" w:cs="Arial"/>
                  <w:sz w:val="20"/>
                  <w:szCs w:val="20"/>
                  <w:lang w:val="en-GB"/>
                </w:rPr>
                <w:t>00304</w:t>
              </w:r>
            </w:hyperlink>
          </w:p>
        </w:tc>
      </w:tr>
      <w:tr w:rsidR="00F85447" w:rsidRPr="002E373B" w14:paraId="7F3493C6" w14:textId="77777777" w:rsidTr="00F85447">
        <w:trPr>
          <w:cantSplit/>
        </w:trPr>
        <w:tc>
          <w:tcPr>
            <w:tcW w:w="639" w:type="pct"/>
          </w:tcPr>
          <w:p w14:paraId="0CA08BAC"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061B0314"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Watertight-bulkhead technology of Chinese junks</w:t>
            </w:r>
          </w:p>
        </w:tc>
        <w:tc>
          <w:tcPr>
            <w:tcW w:w="627" w:type="pct"/>
          </w:tcPr>
          <w:p w14:paraId="5551D594"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3F7B7B43" w14:textId="77777777" w:rsidR="00F85447" w:rsidRPr="002E373B" w:rsidRDefault="00147168" w:rsidP="00F85447">
            <w:pPr>
              <w:spacing w:before="120" w:after="120"/>
              <w:jc w:val="center"/>
              <w:rPr>
                <w:rFonts w:ascii="Arial" w:hAnsi="Arial" w:cs="Arial"/>
                <w:color w:val="000000"/>
                <w:sz w:val="20"/>
                <w:szCs w:val="20"/>
                <w:lang w:val="en-GB"/>
              </w:rPr>
            </w:pPr>
            <w:hyperlink r:id="rId12" w:history="1">
              <w:r w:rsidR="00F85447" w:rsidRPr="002E373B">
                <w:rPr>
                  <w:rStyle w:val="Hyperlink"/>
                  <w:rFonts w:ascii="Arial" w:hAnsi="Arial" w:cs="Arial"/>
                  <w:sz w:val="20"/>
                  <w:szCs w:val="20"/>
                  <w:lang w:val="en-GB"/>
                </w:rPr>
                <w:t>00321</w:t>
              </w:r>
            </w:hyperlink>
          </w:p>
        </w:tc>
      </w:tr>
      <w:tr w:rsidR="00F85447" w:rsidRPr="002E373B" w14:paraId="3E2CB653" w14:textId="77777777" w:rsidTr="00F85447">
        <w:trPr>
          <w:cantSplit/>
        </w:trPr>
        <w:tc>
          <w:tcPr>
            <w:tcW w:w="639" w:type="pct"/>
          </w:tcPr>
          <w:p w14:paraId="1F161C5A"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China</w:t>
            </w:r>
          </w:p>
        </w:tc>
        <w:tc>
          <w:tcPr>
            <w:tcW w:w="3086" w:type="pct"/>
          </w:tcPr>
          <w:p w14:paraId="2E4A6145" w14:textId="77777777" w:rsidR="00F85447" w:rsidRPr="002E373B" w:rsidRDefault="00F85447" w:rsidP="00F85447">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Wooden movable-type printing of China</w:t>
            </w:r>
          </w:p>
        </w:tc>
        <w:tc>
          <w:tcPr>
            <w:tcW w:w="627" w:type="pct"/>
          </w:tcPr>
          <w:p w14:paraId="76824CDC" w14:textId="77777777" w:rsidR="00F85447" w:rsidRPr="002E373B" w:rsidRDefault="00F85447" w:rsidP="00F85447">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648" w:type="pct"/>
          </w:tcPr>
          <w:p w14:paraId="7FCB87FB" w14:textId="77777777" w:rsidR="00F85447" w:rsidRPr="002E373B" w:rsidRDefault="00147168" w:rsidP="00F85447">
            <w:pPr>
              <w:spacing w:before="120" w:after="120"/>
              <w:jc w:val="center"/>
              <w:rPr>
                <w:rFonts w:ascii="Arial" w:hAnsi="Arial" w:cs="Arial"/>
                <w:color w:val="000000"/>
                <w:sz w:val="20"/>
                <w:szCs w:val="20"/>
                <w:lang w:val="en-GB"/>
              </w:rPr>
            </w:pPr>
            <w:hyperlink r:id="rId13" w:history="1">
              <w:r w:rsidR="00F85447" w:rsidRPr="002E373B">
                <w:rPr>
                  <w:rStyle w:val="Hyperlink"/>
                  <w:rFonts w:ascii="Arial" w:hAnsi="Arial" w:cs="Arial"/>
                  <w:sz w:val="20"/>
                  <w:szCs w:val="20"/>
                  <w:lang w:val="en-GB"/>
                </w:rPr>
                <w:t>00322</w:t>
              </w:r>
            </w:hyperlink>
          </w:p>
        </w:tc>
      </w:tr>
    </w:tbl>
    <w:p w14:paraId="545B57A8" w14:textId="2D9C011D" w:rsidR="00783782" w:rsidRDefault="00907146" w:rsidP="00716963">
      <w:pPr>
        <w:pStyle w:val="COMPara"/>
        <w:numPr>
          <w:ilvl w:val="0"/>
          <w:numId w:val="9"/>
        </w:numPr>
        <w:spacing w:before="120"/>
        <w:ind w:left="567" w:hanging="567"/>
        <w:jc w:val="both"/>
      </w:pPr>
      <w:r>
        <w:t xml:space="preserve">The Secretariat registered and acknowledged receipt of </w:t>
      </w:r>
      <w:r w:rsidR="008F66E6">
        <w:t xml:space="preserve">the four reports duly submitted by the deadline of 15 December 2018, in compliance with paragraph 165 of the Operational Directives. The final reports are available at: </w:t>
      </w:r>
      <w:hyperlink r:id="rId14" w:history="1">
        <w:r w:rsidR="008F66E6" w:rsidRPr="00BF6340">
          <w:rPr>
            <w:rStyle w:val="Hyperlink"/>
          </w:rPr>
          <w:t>https://ich.unesco.org/en/9a-periodic-reporting-usl-01076</w:t>
        </w:r>
      </w:hyperlink>
      <w:r w:rsidR="00A82520">
        <w:t xml:space="preserve">. </w:t>
      </w:r>
      <w:r w:rsidR="00A82520" w:rsidRPr="002E373B">
        <w:t xml:space="preserve">The present document includes an overview of the reports received and a set of draft decisions for the Committee’s consideration, </w:t>
      </w:r>
      <w:r w:rsidR="006A27C9">
        <w:t xml:space="preserve">with </w:t>
      </w:r>
      <w:r w:rsidR="00A82520" w:rsidRPr="002E373B">
        <w:t>one for each report as follows:</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14"/>
        <w:gridCol w:w="2126"/>
        <w:gridCol w:w="3723"/>
        <w:gridCol w:w="1138"/>
        <w:gridCol w:w="671"/>
      </w:tblGrid>
      <w:tr w:rsidR="00A82520" w:rsidRPr="002E373B" w14:paraId="4C88EE61" w14:textId="77777777" w:rsidTr="00A82520">
        <w:trPr>
          <w:cantSplit/>
          <w:tblHeader/>
        </w:trPr>
        <w:tc>
          <w:tcPr>
            <w:tcW w:w="779" w:type="pct"/>
            <w:tcBorders>
              <w:top w:val="single" w:sz="4" w:space="0" w:color="auto"/>
              <w:left w:val="single" w:sz="4" w:space="0" w:color="auto"/>
              <w:bottom w:val="single" w:sz="4" w:space="0" w:color="auto"/>
              <w:right w:val="nil"/>
            </w:tcBorders>
            <w:shd w:val="clear" w:color="auto" w:fill="BFBFBF"/>
            <w:vAlign w:val="center"/>
            <w:hideMark/>
          </w:tcPr>
          <w:p w14:paraId="4F3EA923" w14:textId="77777777" w:rsidR="00A82520" w:rsidRPr="002A7211" w:rsidRDefault="00A82520" w:rsidP="004A319E">
            <w:pPr>
              <w:spacing w:before="120" w:after="120"/>
              <w:jc w:val="center"/>
              <w:rPr>
                <w:rFonts w:ascii="Arial" w:hAnsi="Arial" w:cs="Arial"/>
                <w:color w:val="000000"/>
                <w:sz w:val="20"/>
                <w:szCs w:val="20"/>
                <w:lang w:val="en-GB"/>
              </w:rPr>
            </w:pPr>
            <w:bookmarkStart w:id="0" w:name="Draftdecision"/>
            <w:r w:rsidRPr="002A7211">
              <w:rPr>
                <w:rFonts w:ascii="Arial" w:hAnsi="Arial" w:cs="Arial"/>
                <w:b/>
                <w:bCs/>
                <w:color w:val="000000"/>
                <w:sz w:val="20"/>
                <w:szCs w:val="20"/>
                <w:lang w:val="en-GB" w:eastAsia="en-GB"/>
              </w:rPr>
              <w:lastRenderedPageBreak/>
              <w:t>Draft Decision</w:t>
            </w:r>
            <w:bookmarkEnd w:id="0"/>
          </w:p>
        </w:tc>
        <w:tc>
          <w:tcPr>
            <w:tcW w:w="1172" w:type="pct"/>
            <w:tcBorders>
              <w:top w:val="single" w:sz="4" w:space="0" w:color="auto"/>
              <w:left w:val="nil"/>
              <w:bottom w:val="single" w:sz="4" w:space="0" w:color="auto"/>
              <w:right w:val="nil"/>
            </w:tcBorders>
            <w:shd w:val="clear" w:color="auto" w:fill="BFBFBF"/>
            <w:vAlign w:val="center"/>
            <w:hideMark/>
          </w:tcPr>
          <w:p w14:paraId="31EB8D24"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Submitting State</w:t>
            </w:r>
          </w:p>
        </w:tc>
        <w:tc>
          <w:tcPr>
            <w:tcW w:w="2052" w:type="pct"/>
            <w:tcBorders>
              <w:top w:val="single" w:sz="4" w:space="0" w:color="auto"/>
              <w:left w:val="nil"/>
              <w:bottom w:val="single" w:sz="4" w:space="0" w:color="auto"/>
              <w:right w:val="nil"/>
            </w:tcBorders>
            <w:shd w:val="clear" w:color="auto" w:fill="BFBFBF"/>
            <w:vAlign w:val="center"/>
            <w:hideMark/>
          </w:tcPr>
          <w:p w14:paraId="3492675C"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Element</w:t>
            </w:r>
          </w:p>
        </w:tc>
        <w:tc>
          <w:tcPr>
            <w:tcW w:w="627" w:type="pct"/>
            <w:tcBorders>
              <w:top w:val="single" w:sz="4" w:space="0" w:color="auto"/>
              <w:left w:val="nil"/>
              <w:bottom w:val="single" w:sz="4" w:space="0" w:color="auto"/>
              <w:right w:val="nil"/>
            </w:tcBorders>
            <w:shd w:val="clear" w:color="auto" w:fill="BFBFBF"/>
          </w:tcPr>
          <w:p w14:paraId="6F94009F" w14:textId="77777777" w:rsidR="00A82520" w:rsidRPr="002A7211" w:rsidRDefault="00A82520" w:rsidP="004A319E">
            <w:pPr>
              <w:spacing w:before="120" w:after="120"/>
              <w:jc w:val="center"/>
              <w:rPr>
                <w:rFonts w:ascii="Arial" w:hAnsi="Arial" w:cs="Arial"/>
                <w:b/>
                <w:bCs/>
                <w:color w:val="000000"/>
                <w:sz w:val="20"/>
                <w:szCs w:val="20"/>
                <w:lang w:val="en-GB" w:eastAsia="en-GB"/>
              </w:rPr>
            </w:pPr>
            <w:r w:rsidRPr="002A7211">
              <w:rPr>
                <w:rFonts w:ascii="Arial" w:hAnsi="Arial" w:cs="Arial"/>
                <w:b/>
                <w:bCs/>
                <w:color w:val="000000"/>
                <w:sz w:val="20"/>
                <w:szCs w:val="20"/>
                <w:lang w:val="en-GB" w:eastAsia="en-GB"/>
              </w:rPr>
              <w:t>Year of inscription</w:t>
            </w:r>
          </w:p>
        </w:tc>
        <w:tc>
          <w:tcPr>
            <w:tcW w:w="370" w:type="pct"/>
            <w:tcBorders>
              <w:top w:val="single" w:sz="4" w:space="0" w:color="auto"/>
              <w:left w:val="nil"/>
              <w:bottom w:val="single" w:sz="4" w:space="0" w:color="auto"/>
              <w:right w:val="single" w:sz="4" w:space="0" w:color="auto"/>
            </w:tcBorders>
            <w:shd w:val="clear" w:color="auto" w:fill="BFBFBF"/>
            <w:vAlign w:val="center"/>
            <w:hideMark/>
          </w:tcPr>
          <w:p w14:paraId="1BE8C98D" w14:textId="77777777" w:rsidR="00A82520" w:rsidRPr="002A7211" w:rsidRDefault="00A82520" w:rsidP="004A319E">
            <w:pPr>
              <w:spacing w:before="120" w:after="120"/>
              <w:jc w:val="center"/>
              <w:rPr>
                <w:rFonts w:ascii="Arial" w:hAnsi="Arial" w:cs="Arial"/>
                <w:color w:val="000000"/>
                <w:sz w:val="20"/>
                <w:szCs w:val="20"/>
                <w:lang w:val="en-GB"/>
              </w:rPr>
            </w:pPr>
            <w:r w:rsidRPr="002A7211">
              <w:rPr>
                <w:rFonts w:ascii="Arial" w:hAnsi="Arial" w:cs="Arial"/>
                <w:b/>
                <w:bCs/>
                <w:color w:val="000000"/>
                <w:sz w:val="20"/>
                <w:szCs w:val="20"/>
                <w:lang w:val="en-GB" w:eastAsia="en-GB"/>
              </w:rPr>
              <w:t>File No.</w:t>
            </w:r>
          </w:p>
        </w:tc>
      </w:tr>
      <w:tr w:rsidR="00A82520" w:rsidRPr="002E373B" w14:paraId="466FE55B"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3C2DD601" w14:textId="2CC3AA05" w:rsidR="00A82520" w:rsidRPr="00BF6340" w:rsidRDefault="00147168" w:rsidP="004A319E">
            <w:pPr>
              <w:spacing w:before="120" w:after="120"/>
              <w:rPr>
                <w:rFonts w:ascii="Arial" w:hAnsi="Arial" w:cs="Arial"/>
                <w:bCs/>
                <w:color w:val="000000"/>
                <w:sz w:val="20"/>
                <w:szCs w:val="20"/>
                <w:lang w:val="en-GB" w:eastAsia="en-GB"/>
              </w:rPr>
            </w:pPr>
            <w:hyperlink w:anchor="_DRAFT_DECISION_14.COM" w:history="1">
              <w:r w:rsidR="00A82520" w:rsidRPr="00BF6340">
                <w:rPr>
                  <w:rStyle w:val="Hyperlink"/>
                  <w:rFonts w:ascii="Arial" w:hAnsi="Arial" w:cs="Arial"/>
                  <w:bCs/>
                  <w:sz w:val="20"/>
                  <w:szCs w:val="20"/>
                  <w:lang w:val="en-GB" w:eastAsia="en-GB"/>
                </w:rPr>
                <w:t>14.COM 9.a.1</w:t>
              </w:r>
            </w:hyperlink>
          </w:p>
        </w:tc>
        <w:tc>
          <w:tcPr>
            <w:tcW w:w="1172" w:type="pct"/>
            <w:tcBorders>
              <w:top w:val="single" w:sz="4" w:space="0" w:color="auto"/>
              <w:left w:val="nil"/>
              <w:bottom w:val="single" w:sz="4" w:space="0" w:color="auto"/>
              <w:right w:val="nil"/>
            </w:tcBorders>
          </w:tcPr>
          <w:p w14:paraId="4577CB3D"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Croatia</w:t>
            </w:r>
          </w:p>
        </w:tc>
        <w:tc>
          <w:tcPr>
            <w:tcW w:w="2052" w:type="pct"/>
            <w:tcBorders>
              <w:top w:val="single" w:sz="4" w:space="0" w:color="auto"/>
              <w:left w:val="nil"/>
              <w:bottom w:val="single" w:sz="4" w:space="0" w:color="auto"/>
              <w:right w:val="nil"/>
            </w:tcBorders>
          </w:tcPr>
          <w:p w14:paraId="1FBCCC10" w14:textId="77777777" w:rsidR="00A82520" w:rsidRPr="00153C24" w:rsidRDefault="00A82520" w:rsidP="004A319E">
            <w:pPr>
              <w:spacing w:before="120" w:after="120"/>
              <w:rPr>
                <w:rFonts w:ascii="Arial" w:hAnsi="Arial" w:cs="Arial"/>
                <w:color w:val="000000"/>
                <w:sz w:val="20"/>
                <w:szCs w:val="20"/>
                <w:lang w:val="en-US"/>
              </w:rPr>
            </w:pPr>
            <w:proofErr w:type="spellStart"/>
            <w:r w:rsidRPr="00A82520">
              <w:rPr>
                <w:rFonts w:ascii="Arial" w:hAnsi="Arial" w:cs="Arial"/>
                <w:color w:val="000000"/>
                <w:sz w:val="20"/>
                <w:szCs w:val="20"/>
                <w:lang w:val="en-GB"/>
              </w:rPr>
              <w:t>Ojkanje</w:t>
            </w:r>
            <w:proofErr w:type="spellEnd"/>
            <w:r w:rsidRPr="00A82520">
              <w:rPr>
                <w:rFonts w:ascii="Arial" w:hAnsi="Arial" w:cs="Arial"/>
                <w:color w:val="000000"/>
                <w:sz w:val="20"/>
                <w:szCs w:val="20"/>
                <w:lang w:val="en-GB"/>
              </w:rPr>
              <w:t xml:space="preserve"> singing</w:t>
            </w:r>
          </w:p>
        </w:tc>
        <w:tc>
          <w:tcPr>
            <w:tcW w:w="627" w:type="pct"/>
            <w:tcBorders>
              <w:top w:val="single" w:sz="4" w:space="0" w:color="auto"/>
              <w:left w:val="nil"/>
              <w:bottom w:val="single" w:sz="4" w:space="0" w:color="auto"/>
              <w:right w:val="nil"/>
            </w:tcBorders>
          </w:tcPr>
          <w:p w14:paraId="28ED40AE"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2010</w:t>
            </w:r>
          </w:p>
        </w:tc>
        <w:tc>
          <w:tcPr>
            <w:tcW w:w="370" w:type="pct"/>
            <w:tcBorders>
              <w:top w:val="single" w:sz="4" w:space="0" w:color="auto"/>
              <w:left w:val="nil"/>
              <w:bottom w:val="single" w:sz="4" w:space="0" w:color="auto"/>
              <w:right w:val="single" w:sz="4" w:space="0" w:color="auto"/>
            </w:tcBorders>
          </w:tcPr>
          <w:p w14:paraId="30D715E6" w14:textId="77777777" w:rsidR="00A82520" w:rsidRPr="00153C24" w:rsidRDefault="00147168" w:rsidP="00A82520">
            <w:pPr>
              <w:spacing w:before="120" w:after="120"/>
              <w:jc w:val="center"/>
              <w:rPr>
                <w:rFonts w:ascii="Arial" w:hAnsi="Arial" w:cs="Arial"/>
                <w:color w:val="000000"/>
                <w:sz w:val="20"/>
                <w:szCs w:val="20"/>
                <w:lang w:val="en-GB"/>
              </w:rPr>
            </w:pPr>
            <w:hyperlink r:id="rId15" w:history="1">
              <w:r w:rsidR="00A82520" w:rsidRPr="00A82520">
                <w:rPr>
                  <w:rStyle w:val="Hyperlink"/>
                  <w:rFonts w:ascii="Arial" w:hAnsi="Arial" w:cs="Arial"/>
                  <w:sz w:val="20"/>
                  <w:szCs w:val="20"/>
                  <w:lang w:val="en-GB"/>
                </w:rPr>
                <w:t>00320</w:t>
              </w:r>
            </w:hyperlink>
          </w:p>
        </w:tc>
      </w:tr>
      <w:tr w:rsidR="00A82520" w:rsidRPr="002E373B" w14:paraId="4415091B"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4DBEB4DE" w14:textId="45A20815" w:rsidR="00A82520" w:rsidRPr="00BF6340" w:rsidRDefault="00147168" w:rsidP="00A82520">
            <w:pPr>
              <w:spacing w:before="120" w:after="120"/>
              <w:rPr>
                <w:rFonts w:ascii="Arial" w:hAnsi="Arial" w:cs="Arial"/>
                <w:bCs/>
                <w:color w:val="000000"/>
                <w:sz w:val="20"/>
                <w:szCs w:val="20"/>
                <w:lang w:val="en-GB" w:eastAsia="en-GB"/>
              </w:rPr>
            </w:pPr>
            <w:hyperlink w:anchor="_DRAFT_DECISION_14.COM_1" w:history="1">
              <w:r w:rsidR="00A82520" w:rsidRPr="00BF6340">
                <w:rPr>
                  <w:rStyle w:val="Hyperlink"/>
                  <w:rFonts w:ascii="Arial" w:hAnsi="Arial" w:cs="Arial"/>
                  <w:bCs/>
                  <w:sz w:val="20"/>
                  <w:szCs w:val="20"/>
                  <w:lang w:val="en-GB" w:eastAsia="en-GB"/>
                </w:rPr>
                <w:t>14.COM 9.a.2</w:t>
              </w:r>
            </w:hyperlink>
          </w:p>
        </w:tc>
        <w:tc>
          <w:tcPr>
            <w:tcW w:w="1172" w:type="pct"/>
            <w:tcBorders>
              <w:top w:val="single" w:sz="4" w:space="0" w:color="auto"/>
              <w:left w:val="nil"/>
              <w:bottom w:val="single" w:sz="4" w:space="0" w:color="auto"/>
              <w:right w:val="nil"/>
            </w:tcBorders>
          </w:tcPr>
          <w:p w14:paraId="282D7633"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Kenya</w:t>
            </w:r>
          </w:p>
        </w:tc>
        <w:tc>
          <w:tcPr>
            <w:tcW w:w="2052" w:type="pct"/>
            <w:tcBorders>
              <w:top w:val="single" w:sz="4" w:space="0" w:color="auto"/>
              <w:left w:val="nil"/>
              <w:bottom w:val="single" w:sz="4" w:space="0" w:color="auto"/>
              <w:right w:val="nil"/>
            </w:tcBorders>
          </w:tcPr>
          <w:p w14:paraId="731C5C4A" w14:textId="77777777" w:rsidR="00A82520" w:rsidRPr="00153C24" w:rsidRDefault="00A82520" w:rsidP="004A319E">
            <w:pPr>
              <w:spacing w:before="120" w:after="120"/>
              <w:rPr>
                <w:rFonts w:ascii="Arial" w:hAnsi="Arial" w:cs="Arial"/>
                <w:color w:val="000000"/>
                <w:sz w:val="20"/>
                <w:szCs w:val="20"/>
                <w:lang w:val="en-GB"/>
              </w:rPr>
            </w:pPr>
            <w:proofErr w:type="spellStart"/>
            <w:r w:rsidRPr="00A82520">
              <w:rPr>
                <w:rFonts w:ascii="Arial" w:hAnsi="Arial" w:cs="Arial"/>
                <w:color w:val="000000"/>
                <w:sz w:val="20"/>
                <w:szCs w:val="20"/>
                <w:lang w:val="en-GB"/>
              </w:rPr>
              <w:t>Isukuti</w:t>
            </w:r>
            <w:proofErr w:type="spellEnd"/>
            <w:r w:rsidRPr="00A82520">
              <w:rPr>
                <w:rFonts w:ascii="Arial" w:hAnsi="Arial" w:cs="Arial"/>
                <w:color w:val="000000"/>
                <w:sz w:val="20"/>
                <w:szCs w:val="20"/>
                <w:lang w:val="en-GB"/>
              </w:rPr>
              <w:t xml:space="preserve"> dance of </w:t>
            </w:r>
            <w:proofErr w:type="spellStart"/>
            <w:r w:rsidRPr="00A82520">
              <w:rPr>
                <w:rFonts w:ascii="Arial" w:hAnsi="Arial" w:cs="Arial"/>
                <w:color w:val="000000"/>
                <w:sz w:val="20"/>
                <w:szCs w:val="20"/>
                <w:lang w:val="en-GB"/>
              </w:rPr>
              <w:t>Isukha</w:t>
            </w:r>
            <w:proofErr w:type="spellEnd"/>
            <w:r w:rsidRPr="00A82520">
              <w:rPr>
                <w:rFonts w:ascii="Arial" w:hAnsi="Arial" w:cs="Arial"/>
                <w:color w:val="000000"/>
                <w:sz w:val="20"/>
                <w:szCs w:val="20"/>
                <w:lang w:val="en-GB"/>
              </w:rPr>
              <w:t xml:space="preserve"> and </w:t>
            </w:r>
            <w:proofErr w:type="spellStart"/>
            <w:r w:rsidRPr="00A82520">
              <w:rPr>
                <w:rFonts w:ascii="Arial" w:hAnsi="Arial" w:cs="Arial"/>
                <w:color w:val="000000"/>
                <w:sz w:val="20"/>
                <w:szCs w:val="20"/>
                <w:lang w:val="en-GB"/>
              </w:rPr>
              <w:t>Idakho</w:t>
            </w:r>
            <w:proofErr w:type="spellEnd"/>
            <w:r w:rsidRPr="00A82520">
              <w:rPr>
                <w:rFonts w:ascii="Arial" w:hAnsi="Arial" w:cs="Arial"/>
                <w:color w:val="000000"/>
                <w:sz w:val="20"/>
                <w:szCs w:val="20"/>
                <w:lang w:val="en-GB"/>
              </w:rPr>
              <w:t xml:space="preserve"> communities of Western Kenya</w:t>
            </w:r>
          </w:p>
        </w:tc>
        <w:tc>
          <w:tcPr>
            <w:tcW w:w="627" w:type="pct"/>
            <w:tcBorders>
              <w:top w:val="single" w:sz="4" w:space="0" w:color="auto"/>
              <w:left w:val="nil"/>
              <w:bottom w:val="single" w:sz="4" w:space="0" w:color="auto"/>
              <w:right w:val="nil"/>
            </w:tcBorders>
          </w:tcPr>
          <w:p w14:paraId="220D73F4"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79260EDC" w14:textId="77777777" w:rsidR="00A82520" w:rsidRPr="00153C24" w:rsidRDefault="00147168" w:rsidP="00A82520">
            <w:pPr>
              <w:spacing w:before="120" w:after="120"/>
              <w:jc w:val="center"/>
              <w:rPr>
                <w:rFonts w:ascii="Arial" w:hAnsi="Arial" w:cs="Arial"/>
                <w:color w:val="000000"/>
                <w:sz w:val="20"/>
                <w:szCs w:val="20"/>
                <w:lang w:val="en-GB"/>
              </w:rPr>
            </w:pPr>
            <w:hyperlink r:id="rId16" w:history="1">
              <w:r w:rsidR="00A82520" w:rsidRPr="00A82520">
                <w:rPr>
                  <w:rStyle w:val="Hyperlink"/>
                  <w:rFonts w:ascii="Arial" w:hAnsi="Arial" w:cs="Arial"/>
                  <w:sz w:val="20"/>
                  <w:szCs w:val="20"/>
                  <w:lang w:val="en-GB"/>
                </w:rPr>
                <w:t>00981</w:t>
              </w:r>
            </w:hyperlink>
          </w:p>
        </w:tc>
      </w:tr>
      <w:tr w:rsidR="00A82520" w:rsidRPr="002E373B" w14:paraId="1425BF6E"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760B1BF5" w14:textId="3FB09963" w:rsidR="00A82520" w:rsidRPr="00BF6340" w:rsidRDefault="00147168" w:rsidP="004A319E">
            <w:pPr>
              <w:spacing w:before="120" w:after="120"/>
              <w:rPr>
                <w:rFonts w:ascii="Arial" w:hAnsi="Arial" w:cs="Arial"/>
                <w:bCs/>
                <w:color w:val="000000"/>
                <w:sz w:val="20"/>
                <w:szCs w:val="20"/>
                <w:lang w:val="en-GB" w:eastAsia="en-GB"/>
              </w:rPr>
            </w:pPr>
            <w:hyperlink w:anchor="_DRAFT_DECISION_14.COM_2" w:history="1">
              <w:r w:rsidR="00A82520" w:rsidRPr="00BF6340">
                <w:rPr>
                  <w:rStyle w:val="Hyperlink"/>
                  <w:rFonts w:ascii="Arial" w:hAnsi="Arial" w:cs="Arial"/>
                  <w:bCs/>
                  <w:sz w:val="20"/>
                  <w:szCs w:val="20"/>
                  <w:lang w:val="en-GB" w:eastAsia="en-GB"/>
                </w:rPr>
                <w:t>14.COM 9.a.3</w:t>
              </w:r>
            </w:hyperlink>
          </w:p>
        </w:tc>
        <w:tc>
          <w:tcPr>
            <w:tcW w:w="1172" w:type="pct"/>
            <w:tcBorders>
              <w:top w:val="single" w:sz="4" w:space="0" w:color="auto"/>
              <w:left w:val="nil"/>
              <w:bottom w:val="single" w:sz="4" w:space="0" w:color="auto"/>
              <w:right w:val="nil"/>
            </w:tcBorders>
          </w:tcPr>
          <w:p w14:paraId="233C8D54" w14:textId="77777777" w:rsidR="00A82520" w:rsidRPr="00153C24" w:rsidRDefault="00A82520" w:rsidP="004A319E">
            <w:pPr>
              <w:spacing w:before="120" w:after="120"/>
              <w:jc w:val="center"/>
              <w:rPr>
                <w:rFonts w:ascii="Arial" w:hAnsi="Arial" w:cs="Arial"/>
                <w:color w:val="000000"/>
                <w:sz w:val="20"/>
                <w:szCs w:val="20"/>
                <w:lang w:val="en-GB"/>
              </w:rPr>
            </w:pPr>
            <w:r w:rsidRPr="00A82520">
              <w:rPr>
                <w:rFonts w:ascii="Arial" w:hAnsi="Arial" w:cs="Arial"/>
                <w:color w:val="000000"/>
                <w:sz w:val="20"/>
                <w:szCs w:val="20"/>
                <w:lang w:val="en-GB"/>
              </w:rPr>
              <w:t>Uganda</w:t>
            </w:r>
          </w:p>
        </w:tc>
        <w:tc>
          <w:tcPr>
            <w:tcW w:w="2052" w:type="pct"/>
            <w:tcBorders>
              <w:top w:val="single" w:sz="4" w:space="0" w:color="auto"/>
              <w:left w:val="nil"/>
              <w:bottom w:val="single" w:sz="4" w:space="0" w:color="auto"/>
              <w:right w:val="nil"/>
            </w:tcBorders>
          </w:tcPr>
          <w:p w14:paraId="650684CA" w14:textId="77777777" w:rsidR="00A82520" w:rsidRPr="00153C24" w:rsidRDefault="00A82520" w:rsidP="004A319E">
            <w:pPr>
              <w:spacing w:before="120" w:after="120"/>
              <w:rPr>
                <w:rFonts w:ascii="Arial" w:hAnsi="Arial" w:cs="Arial"/>
                <w:color w:val="000000"/>
                <w:sz w:val="20"/>
                <w:szCs w:val="20"/>
                <w:lang w:val="en-GB"/>
              </w:rPr>
            </w:pPr>
            <w:r w:rsidRPr="00A82520">
              <w:rPr>
                <w:rFonts w:ascii="Arial" w:hAnsi="Arial" w:cs="Arial"/>
                <w:color w:val="000000"/>
                <w:sz w:val="20"/>
                <w:szCs w:val="20"/>
                <w:lang w:val="en-GB"/>
              </w:rPr>
              <w:t xml:space="preserve">Male-child cleansing ceremony of the </w:t>
            </w:r>
            <w:proofErr w:type="spellStart"/>
            <w:r w:rsidRPr="00A82520">
              <w:rPr>
                <w:rFonts w:ascii="Arial" w:hAnsi="Arial" w:cs="Arial"/>
                <w:color w:val="000000"/>
                <w:sz w:val="20"/>
                <w:szCs w:val="20"/>
                <w:lang w:val="en-GB"/>
              </w:rPr>
              <w:t>Lango</w:t>
            </w:r>
            <w:proofErr w:type="spellEnd"/>
            <w:r w:rsidRPr="00A82520">
              <w:rPr>
                <w:rFonts w:ascii="Arial" w:hAnsi="Arial" w:cs="Arial"/>
                <w:color w:val="000000"/>
                <w:sz w:val="20"/>
                <w:szCs w:val="20"/>
                <w:lang w:val="en-GB"/>
              </w:rPr>
              <w:t xml:space="preserve"> of central northern Uganda</w:t>
            </w:r>
          </w:p>
        </w:tc>
        <w:tc>
          <w:tcPr>
            <w:tcW w:w="627" w:type="pct"/>
            <w:tcBorders>
              <w:top w:val="single" w:sz="4" w:space="0" w:color="auto"/>
              <w:left w:val="nil"/>
              <w:bottom w:val="single" w:sz="4" w:space="0" w:color="auto"/>
              <w:right w:val="nil"/>
            </w:tcBorders>
          </w:tcPr>
          <w:p w14:paraId="462118D7"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7EC2D9AD" w14:textId="77777777" w:rsidR="00A82520" w:rsidRPr="00153C24" w:rsidRDefault="00147168" w:rsidP="00A82520">
            <w:pPr>
              <w:spacing w:before="120" w:after="120"/>
              <w:jc w:val="center"/>
              <w:rPr>
                <w:rFonts w:ascii="Arial" w:hAnsi="Arial" w:cs="Arial"/>
                <w:color w:val="000000"/>
                <w:sz w:val="20"/>
                <w:szCs w:val="20"/>
                <w:lang w:val="en-GB"/>
              </w:rPr>
            </w:pPr>
            <w:hyperlink r:id="rId17" w:history="1">
              <w:r w:rsidR="00A82520" w:rsidRPr="00153C24">
                <w:rPr>
                  <w:rStyle w:val="Hyperlink"/>
                  <w:rFonts w:ascii="Arial" w:hAnsi="Arial" w:cs="Arial"/>
                  <w:sz w:val="20"/>
                  <w:szCs w:val="20"/>
                  <w:lang w:val="en-GB"/>
                </w:rPr>
                <w:t>00</w:t>
              </w:r>
              <w:r w:rsidR="00A82520">
                <w:rPr>
                  <w:rStyle w:val="Hyperlink"/>
                  <w:rFonts w:ascii="Arial" w:hAnsi="Arial" w:cs="Arial"/>
                  <w:sz w:val="20"/>
                  <w:szCs w:val="20"/>
                  <w:lang w:val="en-GB"/>
                </w:rPr>
                <w:t>982</w:t>
              </w:r>
            </w:hyperlink>
          </w:p>
        </w:tc>
      </w:tr>
      <w:tr w:rsidR="00A82520" w:rsidRPr="002E373B" w14:paraId="185EB001" w14:textId="77777777" w:rsidTr="00BF6340">
        <w:trPr>
          <w:cantSplit/>
        </w:trPr>
        <w:tc>
          <w:tcPr>
            <w:tcW w:w="779" w:type="pct"/>
            <w:tcBorders>
              <w:top w:val="single" w:sz="4" w:space="0" w:color="auto"/>
              <w:left w:val="single" w:sz="4" w:space="0" w:color="auto"/>
              <w:bottom w:val="single" w:sz="4" w:space="0" w:color="auto"/>
              <w:right w:val="nil"/>
            </w:tcBorders>
            <w:shd w:val="clear" w:color="auto" w:fill="auto"/>
          </w:tcPr>
          <w:p w14:paraId="072DA2ED" w14:textId="669EBF3C" w:rsidR="00A82520" w:rsidRPr="00BF6340" w:rsidRDefault="00147168" w:rsidP="00A82520">
            <w:pPr>
              <w:spacing w:before="120" w:after="120"/>
              <w:rPr>
                <w:rFonts w:ascii="Arial" w:hAnsi="Arial" w:cs="Arial"/>
                <w:bCs/>
                <w:color w:val="000000"/>
                <w:sz w:val="20"/>
                <w:szCs w:val="20"/>
                <w:lang w:val="en-GB" w:eastAsia="en-GB"/>
              </w:rPr>
            </w:pPr>
            <w:hyperlink w:anchor="_DRAFT_DECISION_14.COM_3" w:history="1">
              <w:r w:rsidR="00A82520" w:rsidRPr="00BF6340">
                <w:rPr>
                  <w:rStyle w:val="Hyperlink"/>
                  <w:rFonts w:ascii="Arial" w:hAnsi="Arial" w:cs="Arial"/>
                  <w:bCs/>
                  <w:sz w:val="20"/>
                  <w:szCs w:val="20"/>
                  <w:lang w:val="en-GB" w:eastAsia="en-GB"/>
                </w:rPr>
                <w:t>14.COM 9.a.4</w:t>
              </w:r>
            </w:hyperlink>
          </w:p>
        </w:tc>
        <w:tc>
          <w:tcPr>
            <w:tcW w:w="1172" w:type="pct"/>
            <w:tcBorders>
              <w:top w:val="single" w:sz="4" w:space="0" w:color="auto"/>
              <w:left w:val="nil"/>
              <w:bottom w:val="single" w:sz="4" w:space="0" w:color="auto"/>
              <w:right w:val="nil"/>
            </w:tcBorders>
          </w:tcPr>
          <w:p w14:paraId="7CD007E7" w14:textId="77777777" w:rsidR="00A82520" w:rsidRPr="00153C24" w:rsidRDefault="00A82520" w:rsidP="004A319E">
            <w:pPr>
              <w:spacing w:before="120" w:after="120"/>
              <w:jc w:val="center"/>
              <w:rPr>
                <w:rFonts w:ascii="Arial" w:hAnsi="Arial" w:cs="Arial"/>
                <w:color w:val="000000"/>
                <w:sz w:val="20"/>
                <w:szCs w:val="20"/>
                <w:lang w:val="en-GB"/>
              </w:rPr>
            </w:pPr>
            <w:r w:rsidRPr="00A82520">
              <w:rPr>
                <w:rFonts w:ascii="Arial" w:hAnsi="Arial" w:cs="Arial"/>
                <w:color w:val="000000"/>
                <w:sz w:val="20"/>
                <w:szCs w:val="20"/>
                <w:lang w:val="en-GB"/>
              </w:rPr>
              <w:t>Venezuela (</w:t>
            </w:r>
            <w:proofErr w:type="spellStart"/>
            <w:r w:rsidRPr="00A82520">
              <w:rPr>
                <w:rFonts w:ascii="Arial" w:hAnsi="Arial" w:cs="Arial"/>
                <w:color w:val="000000"/>
                <w:sz w:val="20"/>
                <w:szCs w:val="20"/>
                <w:lang w:val="en-GB"/>
              </w:rPr>
              <w:t>BolivarianRepublic</w:t>
            </w:r>
            <w:proofErr w:type="spellEnd"/>
            <w:r w:rsidRPr="00A82520">
              <w:rPr>
                <w:rFonts w:ascii="Arial" w:hAnsi="Arial" w:cs="Arial"/>
                <w:color w:val="000000"/>
                <w:sz w:val="20"/>
                <w:szCs w:val="20"/>
                <w:lang w:val="en-GB"/>
              </w:rPr>
              <w:t xml:space="preserve"> of)</w:t>
            </w:r>
          </w:p>
        </w:tc>
        <w:tc>
          <w:tcPr>
            <w:tcW w:w="2052" w:type="pct"/>
            <w:tcBorders>
              <w:top w:val="single" w:sz="4" w:space="0" w:color="auto"/>
              <w:left w:val="nil"/>
              <w:bottom w:val="single" w:sz="4" w:space="0" w:color="auto"/>
              <w:right w:val="nil"/>
            </w:tcBorders>
          </w:tcPr>
          <w:p w14:paraId="53CC36C2" w14:textId="77777777" w:rsidR="00A82520" w:rsidRPr="00153C24" w:rsidRDefault="00A82520" w:rsidP="004A319E">
            <w:pPr>
              <w:spacing w:before="120" w:after="120"/>
              <w:rPr>
                <w:rFonts w:ascii="Arial" w:hAnsi="Arial" w:cs="Arial"/>
                <w:color w:val="000000"/>
                <w:sz w:val="20"/>
                <w:szCs w:val="20"/>
                <w:lang w:val="en-GB"/>
              </w:rPr>
            </w:pPr>
            <w:proofErr w:type="spellStart"/>
            <w:r w:rsidRPr="00A82520">
              <w:rPr>
                <w:rFonts w:ascii="Arial" w:hAnsi="Arial" w:cs="Arial"/>
                <w:color w:val="000000"/>
                <w:sz w:val="20"/>
                <w:szCs w:val="20"/>
                <w:lang w:val="en-GB"/>
              </w:rPr>
              <w:t>Mapoyo</w:t>
            </w:r>
            <w:proofErr w:type="spellEnd"/>
            <w:r w:rsidRPr="00A82520">
              <w:rPr>
                <w:rFonts w:ascii="Arial" w:hAnsi="Arial" w:cs="Arial"/>
                <w:color w:val="000000"/>
                <w:sz w:val="20"/>
                <w:szCs w:val="20"/>
                <w:lang w:val="en-GB"/>
              </w:rPr>
              <w:t xml:space="preserve"> oral tradition and its symbolic reference points within their ancestral territory</w:t>
            </w:r>
          </w:p>
        </w:tc>
        <w:tc>
          <w:tcPr>
            <w:tcW w:w="627" w:type="pct"/>
            <w:tcBorders>
              <w:top w:val="single" w:sz="4" w:space="0" w:color="auto"/>
              <w:left w:val="nil"/>
              <w:bottom w:val="single" w:sz="4" w:space="0" w:color="auto"/>
              <w:right w:val="nil"/>
            </w:tcBorders>
          </w:tcPr>
          <w:p w14:paraId="5C5D8478" w14:textId="77777777" w:rsidR="00A82520" w:rsidRPr="00153C24" w:rsidRDefault="00A82520" w:rsidP="004A319E">
            <w:pPr>
              <w:spacing w:before="120" w:after="120"/>
              <w:jc w:val="center"/>
              <w:rPr>
                <w:rFonts w:ascii="Arial" w:hAnsi="Arial" w:cs="Arial"/>
                <w:color w:val="000000"/>
                <w:sz w:val="20"/>
                <w:szCs w:val="20"/>
                <w:lang w:val="en-GB"/>
              </w:rPr>
            </w:pPr>
            <w:r>
              <w:rPr>
                <w:rFonts w:ascii="Arial" w:hAnsi="Arial" w:cs="Arial"/>
                <w:color w:val="000000"/>
                <w:sz w:val="20"/>
                <w:szCs w:val="20"/>
                <w:lang w:val="en-GB"/>
              </w:rPr>
              <w:t>2014</w:t>
            </w:r>
          </w:p>
        </w:tc>
        <w:tc>
          <w:tcPr>
            <w:tcW w:w="370" w:type="pct"/>
            <w:tcBorders>
              <w:top w:val="single" w:sz="4" w:space="0" w:color="auto"/>
              <w:left w:val="nil"/>
              <w:bottom w:val="single" w:sz="4" w:space="0" w:color="auto"/>
              <w:right w:val="single" w:sz="4" w:space="0" w:color="auto"/>
            </w:tcBorders>
          </w:tcPr>
          <w:p w14:paraId="0AAFE130" w14:textId="77777777" w:rsidR="00A82520" w:rsidRPr="00153C24" w:rsidRDefault="00147168" w:rsidP="00A82520">
            <w:pPr>
              <w:spacing w:before="120" w:after="120"/>
              <w:jc w:val="center"/>
              <w:rPr>
                <w:rFonts w:ascii="Arial" w:hAnsi="Arial" w:cs="Arial"/>
                <w:color w:val="000000"/>
                <w:sz w:val="20"/>
                <w:szCs w:val="20"/>
                <w:lang w:val="en-GB"/>
              </w:rPr>
            </w:pPr>
            <w:hyperlink r:id="rId18" w:history="1">
              <w:r w:rsidR="00A82520">
                <w:rPr>
                  <w:rStyle w:val="Hyperlink"/>
                  <w:rFonts w:ascii="Arial" w:hAnsi="Arial" w:cs="Arial"/>
                  <w:sz w:val="20"/>
                  <w:szCs w:val="20"/>
                  <w:lang w:val="en-GB"/>
                </w:rPr>
                <w:t>00983</w:t>
              </w:r>
            </w:hyperlink>
          </w:p>
        </w:tc>
      </w:tr>
    </w:tbl>
    <w:p w14:paraId="59F9CD02" w14:textId="2F39169D" w:rsidR="004E1CD5" w:rsidRDefault="004E1CD5" w:rsidP="004E1CD5">
      <w:pPr>
        <w:pStyle w:val="COMPara"/>
        <w:numPr>
          <w:ilvl w:val="0"/>
          <w:numId w:val="9"/>
        </w:numPr>
        <w:spacing w:before="120"/>
        <w:ind w:left="567" w:hanging="567"/>
        <w:jc w:val="both"/>
      </w:pPr>
      <w:r>
        <w:t>Despite the availability of the online tool for reporting on the status of elements inscribed on the Urgent Safeguarding</w:t>
      </w:r>
      <w:r w:rsidR="00A41602">
        <w:t xml:space="preserve"> List</w:t>
      </w:r>
      <w:r>
        <w:t>, none of the four reports in the current cycle w</w:t>
      </w:r>
      <w:r w:rsidR="006A27C9">
        <w:t>ere</w:t>
      </w:r>
      <w:r>
        <w:t xml:space="preserve"> submitted using </w:t>
      </w:r>
      <w:r w:rsidR="006A27C9">
        <w:t>this tool</w:t>
      </w:r>
      <w:r>
        <w:t xml:space="preserve">. The Secretariat will redouble its efforts to </w:t>
      </w:r>
      <w:r w:rsidR="006A27C9">
        <w:t>support</w:t>
      </w:r>
      <w:r>
        <w:t xml:space="preserve"> the States </w:t>
      </w:r>
      <w:r w:rsidR="006A27C9">
        <w:t>concerned by</w:t>
      </w:r>
      <w:r>
        <w:t xml:space="preserve"> this reporting exercise, in particular </w:t>
      </w:r>
      <w:r w:rsidR="00A41602">
        <w:t xml:space="preserve">by </w:t>
      </w:r>
      <w:r>
        <w:t>improving the visibility</w:t>
      </w:r>
      <w:r w:rsidR="006A27C9">
        <w:t xml:space="preserve"> of</w:t>
      </w:r>
      <w:r>
        <w:t xml:space="preserve"> </w:t>
      </w:r>
      <w:r w:rsidR="00A41602">
        <w:t xml:space="preserve">and information about the availability </w:t>
      </w:r>
      <w:r>
        <w:t>of this new tool</w:t>
      </w:r>
      <w:r w:rsidR="001A4573">
        <w:t>; th</w:t>
      </w:r>
      <w:r w:rsidR="006A27C9">
        <w:t>ese efforts</w:t>
      </w:r>
      <w:r w:rsidR="001A4573">
        <w:t xml:space="preserve"> will also include</w:t>
      </w:r>
      <w:r>
        <w:t xml:space="preserve"> follow-up actions </w:t>
      </w:r>
      <w:r w:rsidR="001A4573">
        <w:t xml:space="preserve">with the States </w:t>
      </w:r>
      <w:r>
        <w:t xml:space="preserve">during the reporting cycle. </w:t>
      </w:r>
      <w:r w:rsidR="001A4573">
        <w:t>Furthermore, t</w:t>
      </w:r>
      <w:r>
        <w:t xml:space="preserve">he capacity-building activities </w:t>
      </w:r>
      <w:r w:rsidR="00907146">
        <w:t>to</w:t>
      </w:r>
      <w:r>
        <w:t xml:space="preserve"> be implemented by the Secretariat in the framework of the upcoming first regional cycle of reporting </w:t>
      </w:r>
      <w:r w:rsidR="00A41602">
        <w:t>(see</w:t>
      </w:r>
      <w:r w:rsidR="00E20DFA" w:rsidRPr="00A82520">
        <w:rPr>
          <w:color w:val="000000"/>
          <w:sz w:val="20"/>
          <w:szCs w:val="20"/>
        </w:rPr>
        <w:t> </w:t>
      </w:r>
      <w:r w:rsidR="00A41602">
        <w:t>document</w:t>
      </w:r>
      <w:r w:rsidR="00E20DFA" w:rsidRPr="00A82520">
        <w:rPr>
          <w:color w:val="000000"/>
          <w:sz w:val="20"/>
          <w:szCs w:val="20"/>
        </w:rPr>
        <w:t> </w:t>
      </w:r>
      <w:hyperlink r:id="rId19" w:history="1">
        <w:r w:rsidR="00A41602" w:rsidRPr="00BF6340">
          <w:rPr>
            <w:rStyle w:val="Hyperlink"/>
          </w:rPr>
          <w:t>LHE/19/14.COM/8</w:t>
        </w:r>
      </w:hyperlink>
      <w:r w:rsidR="00A41602">
        <w:t xml:space="preserve">) </w:t>
      </w:r>
      <w:r>
        <w:t xml:space="preserve">will also help States master the new </w:t>
      </w:r>
      <w:r w:rsidR="00A41602">
        <w:t xml:space="preserve">online reporting </w:t>
      </w:r>
      <w:r>
        <w:t xml:space="preserve">tool and therefore </w:t>
      </w:r>
      <w:r w:rsidR="006A27C9">
        <w:t>to use</w:t>
      </w:r>
      <w:r>
        <w:t xml:space="preserve"> it </w:t>
      </w:r>
      <w:r w:rsidR="00A41602">
        <w:t xml:space="preserve">not only </w:t>
      </w:r>
      <w:r>
        <w:t xml:space="preserve">for </w:t>
      </w:r>
      <w:r w:rsidR="00A41602">
        <w:t xml:space="preserve">periodic reports </w:t>
      </w:r>
      <w:r>
        <w:t>on the implementation of the Convention</w:t>
      </w:r>
      <w:r w:rsidR="00A41602">
        <w:t xml:space="preserve">, but also for </w:t>
      </w:r>
      <w:r w:rsidR="006A27C9">
        <w:t>reports</w:t>
      </w:r>
      <w:r w:rsidR="00A41602">
        <w:t xml:space="preserve"> </w:t>
      </w:r>
      <w:r>
        <w:t>on the status of elements inscribed on the Urgent Safeguarding List.</w:t>
      </w:r>
    </w:p>
    <w:p w14:paraId="7552E102" w14:textId="38FAE9E4" w:rsidR="00187ED3" w:rsidRDefault="00187ED3" w:rsidP="006C030B">
      <w:pPr>
        <w:pStyle w:val="COMPara"/>
        <w:numPr>
          <w:ilvl w:val="0"/>
          <w:numId w:val="9"/>
        </w:numPr>
        <w:spacing w:before="120"/>
        <w:ind w:left="567" w:hanging="567"/>
        <w:jc w:val="both"/>
      </w:pPr>
      <w:r w:rsidRPr="00187ED3">
        <w:t>Unlike last year, when a significant number of reports had been received by UNESCO (16</w:t>
      </w:r>
      <w:r>
        <w:t> </w:t>
      </w:r>
      <w:r w:rsidRPr="00187ED3">
        <w:t xml:space="preserve">reports </w:t>
      </w:r>
      <w:r>
        <w:t>overall</w:t>
      </w:r>
      <w:r w:rsidRPr="00187ED3">
        <w:t>)</w:t>
      </w:r>
      <w:r>
        <w:t>,</w:t>
      </w:r>
      <w:r w:rsidRPr="00187ED3">
        <w:t xml:space="preserve"> in the current cycle it was difficult to </w:t>
      </w:r>
      <w:r w:rsidR="002511C0">
        <w:t xml:space="preserve">provide </w:t>
      </w:r>
      <w:r w:rsidRPr="00187ED3">
        <w:t>general observation</w:t>
      </w:r>
      <w:r w:rsidR="002511C0">
        <w:t xml:space="preserve">s on transversal issues with only four </w:t>
      </w:r>
      <w:r w:rsidRPr="00187ED3">
        <w:t>reports</w:t>
      </w:r>
      <w:r w:rsidR="002511C0">
        <w:t xml:space="preserve"> received </w:t>
      </w:r>
      <w:r w:rsidR="002511C0" w:rsidRPr="00187ED3">
        <w:t xml:space="preserve">from </w:t>
      </w:r>
      <w:r w:rsidR="002511C0">
        <w:t>S</w:t>
      </w:r>
      <w:r w:rsidR="002511C0" w:rsidRPr="00187ED3">
        <w:t>tates in three different regions, namely Eastern Europe, Africa (2) and Latin America</w:t>
      </w:r>
      <w:r w:rsidRPr="00187ED3">
        <w:t>.</w:t>
      </w:r>
      <w:r w:rsidR="002511C0">
        <w:t xml:space="preserve"> Nevertheless, it seems particularly important to stress the importance for States</w:t>
      </w:r>
      <w:r w:rsidR="002511C0" w:rsidRPr="00C32A90">
        <w:t xml:space="preserve"> to include </w:t>
      </w:r>
      <w:r w:rsidR="006C030B">
        <w:t xml:space="preserve">in their report </w:t>
      </w:r>
      <w:r w:rsidR="002511C0">
        <w:t xml:space="preserve">detailed </w:t>
      </w:r>
      <w:r w:rsidR="002511C0" w:rsidRPr="00C32A90">
        <w:t xml:space="preserve">information </w:t>
      </w:r>
      <w:r w:rsidR="002511C0">
        <w:t xml:space="preserve">not only on the activities implemented in the framework of the proposed safeguarding plan, but also </w:t>
      </w:r>
      <w:r w:rsidR="002511C0" w:rsidRPr="00C32A90">
        <w:t xml:space="preserve">on the </w:t>
      </w:r>
      <w:r w:rsidR="002511C0">
        <w:t xml:space="preserve">difficulties </w:t>
      </w:r>
      <w:r w:rsidR="002511C0" w:rsidRPr="00C32A90">
        <w:t xml:space="preserve">encountered </w:t>
      </w:r>
      <w:r w:rsidR="002511C0">
        <w:t>in implementing them</w:t>
      </w:r>
      <w:r w:rsidR="002511C0" w:rsidRPr="00942B6B">
        <w:t xml:space="preserve"> </w:t>
      </w:r>
      <w:r w:rsidR="002511C0">
        <w:t xml:space="preserve">and their impact on </w:t>
      </w:r>
      <w:r w:rsidR="002511C0" w:rsidRPr="00942B6B">
        <w:t>the viability of inscribed elements</w:t>
      </w:r>
      <w:r w:rsidR="002511C0">
        <w:t>. In order to provide comprehensive reports</w:t>
      </w:r>
      <w:r w:rsidR="008555EC">
        <w:t xml:space="preserve"> and facilitate an effective implementation of the safeguarding plans</w:t>
      </w:r>
      <w:r w:rsidR="002511C0" w:rsidRPr="00942B6B">
        <w:t xml:space="preserve">, </w:t>
      </w:r>
      <w:r w:rsidR="002511C0">
        <w:t xml:space="preserve">States are </w:t>
      </w:r>
      <w:r w:rsidR="008555EC">
        <w:t>also invited to engage with</w:t>
      </w:r>
      <w:r w:rsidR="002511C0">
        <w:t xml:space="preserve"> stakeholders working beyond </w:t>
      </w:r>
      <w:r w:rsidR="006C030B">
        <w:t>culture</w:t>
      </w:r>
      <w:r w:rsidR="001B0BD5">
        <w:t>, be they</w:t>
      </w:r>
      <w:r w:rsidR="008555EC">
        <w:t xml:space="preserve"> public or private bodies, in order to</w:t>
      </w:r>
      <w:r w:rsidR="002511C0">
        <w:t xml:space="preserve"> </w:t>
      </w:r>
      <w:r w:rsidR="008555EC">
        <w:t>ensure their strong commitment to the safeguarding efforts and support to foreseen activities. T</w:t>
      </w:r>
      <w:r w:rsidR="002511C0">
        <w:t xml:space="preserve">his is </w:t>
      </w:r>
      <w:r w:rsidR="008555EC">
        <w:t xml:space="preserve">of </w:t>
      </w:r>
      <w:r w:rsidR="001B0BD5">
        <w:t xml:space="preserve">particular </w:t>
      </w:r>
      <w:r w:rsidR="008555EC">
        <w:t xml:space="preserve">importance </w:t>
      </w:r>
      <w:r w:rsidR="002511C0">
        <w:t xml:space="preserve">for </w:t>
      </w:r>
      <w:r w:rsidR="008555EC">
        <w:t>intangible cultural heritage elements that are directly linked to a specific territory and its environmental resources. The continued dialogue with and involvement of private bodies, such as mining companies</w:t>
      </w:r>
      <w:r w:rsidR="00073AC1">
        <w:t xml:space="preserve"> for example</w:t>
      </w:r>
      <w:r w:rsidR="008555EC">
        <w:t xml:space="preserve"> in the case of </w:t>
      </w:r>
      <w:r w:rsidR="006C030B">
        <w:t>‘</w:t>
      </w:r>
      <w:proofErr w:type="spellStart"/>
      <w:r w:rsidR="006C030B" w:rsidRPr="006C030B">
        <w:t>Mapoyo</w:t>
      </w:r>
      <w:proofErr w:type="spellEnd"/>
      <w:r w:rsidR="006C030B" w:rsidRPr="006C030B">
        <w:t xml:space="preserve"> oral tradition and its symbolic reference points within their ancestral territory</w:t>
      </w:r>
      <w:r w:rsidR="006C030B">
        <w:t>’</w:t>
      </w:r>
      <w:r w:rsidR="008555EC">
        <w:t xml:space="preserve"> to address environmental issues, is </w:t>
      </w:r>
      <w:r w:rsidR="00073AC1">
        <w:t>central</w:t>
      </w:r>
      <w:r w:rsidR="008555EC">
        <w:t xml:space="preserve"> to </w:t>
      </w:r>
      <w:r w:rsidR="00073AC1">
        <w:t>strengthening</w:t>
      </w:r>
      <w:r w:rsidR="008555EC">
        <w:t xml:space="preserve"> the viability of the element and its practice by the communities concerned.</w:t>
      </w:r>
    </w:p>
    <w:p w14:paraId="09C9851C" w14:textId="3F02C9BC" w:rsidR="00A41602" w:rsidRPr="00FC7347" w:rsidRDefault="00A41602" w:rsidP="00FC7347">
      <w:pPr>
        <w:pStyle w:val="COMPara"/>
        <w:numPr>
          <w:ilvl w:val="0"/>
          <w:numId w:val="9"/>
        </w:numPr>
        <w:spacing w:before="120"/>
        <w:ind w:left="567" w:hanging="567"/>
        <w:jc w:val="both"/>
      </w:pPr>
      <w:r>
        <w:t xml:space="preserve">It is worth recalling that the reform of the periodic reporting mechanism </w:t>
      </w:r>
      <w:r w:rsidR="001A4573">
        <w:t>presented in document</w:t>
      </w:r>
      <w:r w:rsidR="00791CC2">
        <w:t> </w:t>
      </w:r>
      <w:hyperlink r:id="rId20" w:history="1">
        <w:r w:rsidR="003A36FE" w:rsidRPr="00BF6340">
          <w:rPr>
            <w:rStyle w:val="Hyperlink"/>
          </w:rPr>
          <w:t>LHE/19/14.COM/8</w:t>
        </w:r>
      </w:hyperlink>
      <w:r>
        <w:t xml:space="preserve"> </w:t>
      </w:r>
      <w:r w:rsidR="001A4573">
        <w:t xml:space="preserve">did not concern </w:t>
      </w:r>
      <w:r>
        <w:t>the procedure for reporting</w:t>
      </w:r>
      <w:r w:rsidRPr="00906C2C">
        <w:t xml:space="preserve"> </w:t>
      </w:r>
      <w:r>
        <w:t xml:space="preserve">on the status of elements inscribed on the </w:t>
      </w:r>
      <w:r w:rsidR="001A4573">
        <w:t>Urgent Safeguarding List</w:t>
      </w:r>
      <w:r>
        <w:t xml:space="preserve">. </w:t>
      </w:r>
      <w:r w:rsidR="001A4573">
        <w:t>T</w:t>
      </w:r>
      <w:r>
        <w:t xml:space="preserve">he </w:t>
      </w:r>
      <w:r w:rsidR="001A4573">
        <w:t xml:space="preserve">upcoming </w:t>
      </w:r>
      <w:r>
        <w:t xml:space="preserve">reflection on </w:t>
      </w:r>
      <w:r w:rsidR="009E20FD">
        <w:t>the listing mechanisms</w:t>
      </w:r>
      <w:r>
        <w:t xml:space="preserve"> and </w:t>
      </w:r>
      <w:r w:rsidR="001A4573">
        <w:t xml:space="preserve">on </w:t>
      </w:r>
      <w:r>
        <w:t>related procedures, such as the transfer and removal of already inscribed elements</w:t>
      </w:r>
      <w:r w:rsidR="001A4573">
        <w:t xml:space="preserve">, as well as the debates </w:t>
      </w:r>
      <w:r w:rsidRPr="0005223A">
        <w:t>on the follow-up of inscribed elements (see document</w:t>
      </w:r>
      <w:r w:rsidR="00791CC2">
        <w:t> </w:t>
      </w:r>
      <w:hyperlink r:id="rId21" w:history="1">
        <w:r w:rsidR="001A4573" w:rsidRPr="003A36FE">
          <w:rPr>
            <w:rStyle w:val="Hyperlink"/>
          </w:rPr>
          <w:t>LHE/19/14.COM/12</w:t>
        </w:r>
      </w:hyperlink>
      <w:r>
        <w:t>)</w:t>
      </w:r>
      <w:r w:rsidR="001A4573">
        <w:t xml:space="preserve"> will shed light on the best ways forward for </w:t>
      </w:r>
      <w:r w:rsidR="00907146">
        <w:t>the</w:t>
      </w:r>
      <w:r w:rsidR="00534778">
        <w:t xml:space="preserve"> effective use and exam</w:t>
      </w:r>
      <w:r w:rsidR="009E20FD">
        <w:t>ination</w:t>
      </w:r>
      <w:r w:rsidR="00534778">
        <w:t xml:space="preserve"> of </w:t>
      </w:r>
      <w:r w:rsidR="001A4573">
        <w:t>reports on elements inscribed on the Urgent Safeguarding List</w:t>
      </w:r>
      <w:r>
        <w:t xml:space="preserve">. </w:t>
      </w:r>
      <w:r w:rsidR="001A4573">
        <w:t xml:space="preserve">In its future sessions, </w:t>
      </w:r>
      <w:r w:rsidR="00534778">
        <w:t xml:space="preserve">and after these reflections, </w:t>
      </w:r>
      <w:r w:rsidR="001A4573">
        <w:t>t</w:t>
      </w:r>
      <w:r>
        <w:t xml:space="preserve">he Committee will be in a better position to </w:t>
      </w:r>
      <w:r w:rsidR="001A4573">
        <w:t xml:space="preserve">take an informed decision </w:t>
      </w:r>
      <w:r w:rsidR="00534778">
        <w:t>concerning this particular reporting mechanism</w:t>
      </w:r>
      <w:r w:rsidR="007148DC">
        <w:t xml:space="preserve">. Ultimately, it will be better placed to decide whether to harmonize this reporting mechanism </w:t>
      </w:r>
      <w:r w:rsidR="006A27C9">
        <w:t>with</w:t>
      </w:r>
      <w:r w:rsidR="00534778">
        <w:t xml:space="preserve"> </w:t>
      </w:r>
      <w:r>
        <w:t xml:space="preserve">the regional calendar </w:t>
      </w:r>
      <w:r w:rsidR="00534778">
        <w:t>of reporting on elements inscribed on the Representative List</w:t>
      </w:r>
      <w:r w:rsidR="006A27C9">
        <w:t xml:space="preserve"> of the Intangible Cultural Heritage of Humanity (hereafter, ‘the Representative List’)</w:t>
      </w:r>
      <w:r w:rsidR="00534778">
        <w:t xml:space="preserve">, </w:t>
      </w:r>
      <w:r>
        <w:t xml:space="preserve">keep it as a separate </w:t>
      </w:r>
      <w:r w:rsidR="00534778">
        <w:t xml:space="preserve">reporting mechanism </w:t>
      </w:r>
      <w:r>
        <w:t>on a quadrennial and i</w:t>
      </w:r>
      <w:r w:rsidR="00534778">
        <w:t xml:space="preserve">nscription year-based schedule, or integrate the reporting on all </w:t>
      </w:r>
      <w:r w:rsidR="00534778">
        <w:lastRenderedPageBreak/>
        <w:t>elements inscribed (on both List</w:t>
      </w:r>
      <w:r w:rsidR="00061274">
        <w:t>s</w:t>
      </w:r>
      <w:r w:rsidR="00534778">
        <w:t>) in</w:t>
      </w:r>
      <w:r w:rsidR="00907146">
        <w:t>to</w:t>
      </w:r>
      <w:r w:rsidR="00534778">
        <w:t xml:space="preserve"> the larger context of the reporting on the implementation of the 2003 Convention through the revised Form ICH-10.</w:t>
      </w:r>
    </w:p>
    <w:p w14:paraId="0392C75F" w14:textId="29865D32" w:rsidR="004A2875" w:rsidRPr="004A2875" w:rsidRDefault="004A2875" w:rsidP="004A2875">
      <w:pPr>
        <w:pStyle w:val="ListParagraph"/>
        <w:keepNext/>
        <w:numPr>
          <w:ilvl w:val="0"/>
          <w:numId w:val="13"/>
        </w:numPr>
        <w:spacing w:before="240" w:after="240"/>
        <w:ind w:left="567" w:hanging="567"/>
        <w:contextualSpacing w:val="0"/>
        <w:rPr>
          <w:rFonts w:ascii="Arial" w:hAnsi="Arial" w:cs="Arial"/>
          <w:b/>
          <w:sz w:val="22"/>
          <w:szCs w:val="22"/>
          <w:lang w:val="en-US"/>
        </w:rPr>
      </w:pPr>
      <w:r w:rsidRPr="00DA5AE8">
        <w:rPr>
          <w:rFonts w:ascii="Arial" w:hAnsi="Arial" w:cs="Arial"/>
          <w:b/>
          <w:sz w:val="22"/>
          <w:szCs w:val="22"/>
          <w:lang w:val="en-GB"/>
        </w:rPr>
        <w:t>Assessments of the reports and draft decisions</w:t>
      </w:r>
    </w:p>
    <w:p w14:paraId="30F7330C" w14:textId="77777777" w:rsidR="00D95C4C" w:rsidRPr="00EA528C" w:rsidRDefault="000B1C8F" w:rsidP="001417C7">
      <w:pPr>
        <w:pStyle w:val="COMPara"/>
        <w:numPr>
          <w:ilvl w:val="0"/>
          <w:numId w:val="9"/>
        </w:numPr>
        <w:spacing w:before="120"/>
        <w:ind w:left="567" w:hanging="567"/>
        <w:jc w:val="both"/>
      </w:pPr>
      <w:r w:rsidRPr="000B1C8F">
        <w:t xml:space="preserve">The Committee may wish </w:t>
      </w:r>
      <w:r>
        <w:t>to adopt the following decision</w:t>
      </w:r>
      <w:r w:rsidR="00D95C4C" w:rsidRPr="00EA528C">
        <w:t>:</w:t>
      </w:r>
    </w:p>
    <w:p w14:paraId="166E1B4B" w14:textId="77777777" w:rsidR="00D95C4C" w:rsidRPr="00FD624F" w:rsidRDefault="004A34A0" w:rsidP="001D14FE">
      <w:pPr>
        <w:pStyle w:val="COMTitleDecision"/>
        <w:rPr>
          <w:rFonts w:eastAsia="SimSun"/>
        </w:rPr>
      </w:pPr>
      <w:r>
        <w:t xml:space="preserve">DRAFT </w:t>
      </w:r>
      <w:r w:rsidR="00CB0542">
        <w:t>DECISION 1</w:t>
      </w:r>
      <w:r w:rsidR="00C5776D">
        <w:t>4</w:t>
      </w:r>
      <w:r w:rsidR="00EC6F8D">
        <w:t>.COM</w:t>
      </w:r>
      <w:r w:rsidR="00CA07D9">
        <w:t> 9.a</w:t>
      </w:r>
    </w:p>
    <w:p w14:paraId="1919CE1C" w14:textId="77777777" w:rsidR="00D95C4C" w:rsidRPr="00285BB4" w:rsidRDefault="00285BB4" w:rsidP="00285BB4">
      <w:pPr>
        <w:pStyle w:val="COMPreambulaDecisions"/>
        <w:rPr>
          <w:rFonts w:eastAsia="SimSun"/>
        </w:rPr>
      </w:pPr>
      <w:r w:rsidRPr="00285BB4">
        <w:t>The Committee,</w:t>
      </w:r>
    </w:p>
    <w:p w14:paraId="0E04D50D" w14:textId="0C230CF5" w:rsidR="0057439C" w:rsidRPr="00345CB4" w:rsidRDefault="00D95C4C" w:rsidP="00AE77E0">
      <w:pPr>
        <w:pStyle w:val="COMParaDecision"/>
        <w:numPr>
          <w:ilvl w:val="0"/>
          <w:numId w:val="19"/>
        </w:numPr>
        <w:ind w:left="1134" w:hanging="567"/>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/1</w:t>
      </w:r>
      <w:r w:rsidR="00C5776D">
        <w:rPr>
          <w:u w:val="none"/>
        </w:rPr>
        <w:t>9</w:t>
      </w:r>
      <w:r w:rsidR="00337CEB">
        <w:rPr>
          <w:u w:val="none"/>
        </w:rPr>
        <w:t>/1</w:t>
      </w:r>
      <w:r w:rsidR="00C5776D">
        <w:rPr>
          <w:u w:val="none"/>
        </w:rPr>
        <w:t>4</w:t>
      </w:r>
      <w:r w:rsidR="00EC6F8D" w:rsidRPr="00F32C23">
        <w:rPr>
          <w:u w:val="none"/>
        </w:rPr>
        <w:t>.COM</w:t>
      </w:r>
      <w:r w:rsidR="004A34A0" w:rsidRPr="00F32C23">
        <w:rPr>
          <w:u w:val="none"/>
        </w:rPr>
        <w:t>/</w:t>
      </w:r>
      <w:proofErr w:type="gramStart"/>
      <w:r w:rsidR="00CA07D9">
        <w:rPr>
          <w:u w:val="none"/>
        </w:rPr>
        <w:t>9.a</w:t>
      </w:r>
      <w:proofErr w:type="gramEnd"/>
      <w:r w:rsidR="00710AB1">
        <w:rPr>
          <w:u w:val="none"/>
        </w:rPr>
        <w:t> Rev.</w:t>
      </w:r>
      <w:r w:rsidRPr="00F32C23">
        <w:rPr>
          <w:u w:val="none"/>
        </w:rPr>
        <w:t>,</w:t>
      </w:r>
    </w:p>
    <w:p w14:paraId="6A6E1522" w14:textId="735B451A" w:rsidR="0057439C" w:rsidRPr="00345CB4" w:rsidRDefault="0057439C" w:rsidP="00AE77E0">
      <w:pPr>
        <w:pStyle w:val="COMParaDecision"/>
        <w:numPr>
          <w:ilvl w:val="0"/>
          <w:numId w:val="19"/>
        </w:numPr>
        <w:ind w:left="1134" w:hanging="567"/>
      </w:pPr>
      <w:r w:rsidRPr="00345CB4">
        <w:t>Recalling</w:t>
      </w:r>
      <w:r w:rsidR="005B7A35" w:rsidRPr="00F32C23">
        <w:rPr>
          <w:u w:val="none"/>
        </w:rPr>
        <w:t xml:space="preserve"> </w:t>
      </w:r>
      <w:r w:rsidR="004A2875" w:rsidRPr="00C32A90">
        <w:rPr>
          <w:u w:val="none"/>
        </w:rPr>
        <w:t>Articles 7, 29 and 30 of the Convention concerning reports by States Parties</w:t>
      </w:r>
      <w:r w:rsidR="006A27C9">
        <w:rPr>
          <w:u w:val="none"/>
        </w:rPr>
        <w:t xml:space="preserve"> </w:t>
      </w:r>
      <w:r w:rsidR="004A2875" w:rsidRPr="00C32A90">
        <w:rPr>
          <w:u w:val="none"/>
        </w:rPr>
        <w:t>and Chapter V of the Operational Directives</w:t>
      </w:r>
      <w:r w:rsidRPr="00F32C23">
        <w:rPr>
          <w:u w:val="none"/>
        </w:rPr>
        <w:t>,</w:t>
      </w:r>
    </w:p>
    <w:p w14:paraId="1C2DA926" w14:textId="311BFC28" w:rsidR="00D95C4C" w:rsidRPr="00345CB4" w:rsidRDefault="004A2875" w:rsidP="00AE77E0">
      <w:pPr>
        <w:pStyle w:val="COMParaDecision"/>
        <w:numPr>
          <w:ilvl w:val="0"/>
          <w:numId w:val="19"/>
        </w:numPr>
        <w:ind w:left="1134" w:hanging="567"/>
      </w:pPr>
      <w:r w:rsidRPr="00C32A90">
        <w:t>Thanks</w:t>
      </w:r>
      <w:r w:rsidRPr="00C32A90">
        <w:rPr>
          <w:u w:val="none"/>
        </w:rPr>
        <w:t xml:space="preserve"> the States Parties that submitted their reports on time and </w:t>
      </w:r>
      <w:r w:rsidRPr="00C32A90">
        <w:t>invites</w:t>
      </w:r>
      <w:r w:rsidRPr="00C32A90">
        <w:rPr>
          <w:u w:val="none"/>
        </w:rPr>
        <w:t xml:space="preserve"> the State Party that has not yet submitted its expected reports to do so at the earliest opportunity,</w:t>
      </w:r>
      <w:r>
        <w:rPr>
          <w:u w:val="none"/>
        </w:rPr>
        <w:t xml:space="preserve"> </w:t>
      </w:r>
      <w:r w:rsidR="008144CE">
        <w:rPr>
          <w:u w:val="none"/>
        </w:rPr>
        <w:t xml:space="preserve">bearing in mind the deadline of </w:t>
      </w:r>
      <w:r>
        <w:rPr>
          <w:u w:val="none"/>
        </w:rPr>
        <w:t>15 December 2019</w:t>
      </w:r>
      <w:r w:rsidRPr="00C32A90">
        <w:rPr>
          <w:u w:val="none"/>
        </w:rPr>
        <w:t xml:space="preserve"> in order for the Committee to examine the</w:t>
      </w:r>
      <w:r w:rsidR="006A27C9">
        <w:rPr>
          <w:u w:val="none"/>
        </w:rPr>
        <w:t>se reports</w:t>
      </w:r>
      <w:r w:rsidRPr="00C32A90">
        <w:rPr>
          <w:u w:val="none"/>
        </w:rPr>
        <w:t xml:space="preserve"> a</w:t>
      </w:r>
      <w:r>
        <w:rPr>
          <w:u w:val="none"/>
        </w:rPr>
        <w:t xml:space="preserve">t its </w:t>
      </w:r>
      <w:r w:rsidR="006A725F">
        <w:rPr>
          <w:u w:val="none"/>
        </w:rPr>
        <w:t xml:space="preserve">fifteenth </w:t>
      </w:r>
      <w:r>
        <w:rPr>
          <w:u w:val="none"/>
        </w:rPr>
        <w:t>session in 2020</w:t>
      </w:r>
      <w:r w:rsidR="00116F47">
        <w:rPr>
          <w:u w:val="none"/>
        </w:rPr>
        <w:t>;</w:t>
      </w:r>
    </w:p>
    <w:p w14:paraId="1EBECA95" w14:textId="52FA53BC" w:rsidR="006A725F" w:rsidRPr="00345CB4" w:rsidRDefault="006A725F" w:rsidP="006A725F">
      <w:pPr>
        <w:pStyle w:val="COMParaDecision"/>
        <w:numPr>
          <w:ilvl w:val="0"/>
          <w:numId w:val="19"/>
        </w:numPr>
        <w:ind w:left="1134" w:hanging="567"/>
      </w:pPr>
      <w:r w:rsidRPr="00C32A90">
        <w:t>R</w:t>
      </w:r>
      <w:r w:rsidR="001C1EEB">
        <w:t>eminds</w:t>
      </w:r>
      <w:r w:rsidRPr="00C32A90">
        <w:rPr>
          <w:u w:val="none"/>
        </w:rPr>
        <w:t xml:space="preserve"> the </w:t>
      </w:r>
      <w:r w:rsidR="001C1EEB">
        <w:rPr>
          <w:u w:val="none"/>
        </w:rPr>
        <w:t xml:space="preserve">States Parties of the </w:t>
      </w:r>
      <w:r w:rsidRPr="00C32A90">
        <w:rPr>
          <w:u w:val="none"/>
        </w:rPr>
        <w:t xml:space="preserve">possibility to </w:t>
      </w:r>
      <w:r w:rsidRPr="00C32A90">
        <w:rPr>
          <w:bCs/>
          <w:u w:val="none"/>
        </w:rPr>
        <w:t>report online</w:t>
      </w:r>
      <w:r w:rsidRPr="00C32A90">
        <w:rPr>
          <w:u w:val="none"/>
        </w:rPr>
        <w:t xml:space="preserve"> </w:t>
      </w:r>
      <w:r w:rsidR="003C7871" w:rsidRPr="00E801E1">
        <w:rPr>
          <w:u w:val="none"/>
        </w:rPr>
        <w:t>in order to facilitate the gathering of information and the analysis o</w:t>
      </w:r>
      <w:r w:rsidR="003C7871">
        <w:rPr>
          <w:u w:val="none"/>
        </w:rPr>
        <w:t>f</w:t>
      </w:r>
      <w:r w:rsidR="003C7871" w:rsidRPr="00E801E1">
        <w:rPr>
          <w:u w:val="none"/>
        </w:rPr>
        <w:t xml:space="preserve"> the status of the </w:t>
      </w:r>
      <w:r w:rsidR="003C7871" w:rsidRPr="00C32A90">
        <w:rPr>
          <w:u w:val="none"/>
          <w:lang w:val="en-US"/>
        </w:rPr>
        <w:t>elements inscribed on the List of Intangible Cultural Heritage in Need of Urgent Safeguarding</w:t>
      </w:r>
      <w:r>
        <w:rPr>
          <w:u w:val="none"/>
          <w:lang w:val="en-US"/>
        </w:rPr>
        <w:t>;</w:t>
      </w:r>
    </w:p>
    <w:p w14:paraId="186E7D50" w14:textId="0709548A" w:rsidR="00116F47" w:rsidRPr="00116F47" w:rsidRDefault="00116F47" w:rsidP="00AE77E0">
      <w:pPr>
        <w:pStyle w:val="COMParaDecision"/>
        <w:numPr>
          <w:ilvl w:val="0"/>
          <w:numId w:val="19"/>
        </w:numPr>
        <w:ind w:left="1134" w:hanging="567"/>
        <w:rPr>
          <w:u w:val="none"/>
        </w:rPr>
      </w:pPr>
      <w:r w:rsidRPr="00685405">
        <w:t>Welcomes</w:t>
      </w:r>
      <w:r w:rsidRPr="00685405">
        <w:rPr>
          <w:u w:val="none"/>
        </w:rPr>
        <w:t xml:space="preserve"> the achievements reported by States Parties in safeguarding their elements inscribed on the List of Intangible Cultural Heritage in Need of Urgent Safeguarding and </w:t>
      </w:r>
      <w:r w:rsidRPr="00685405">
        <w:t>invites</w:t>
      </w:r>
      <w:r w:rsidRPr="00685405">
        <w:rPr>
          <w:u w:val="none"/>
        </w:rPr>
        <w:t xml:space="preserve"> them to keep </w:t>
      </w:r>
      <w:r w:rsidR="00061274">
        <w:rPr>
          <w:u w:val="none"/>
        </w:rPr>
        <w:t xml:space="preserve">efforts for </w:t>
      </w:r>
      <w:r w:rsidRPr="00685405">
        <w:rPr>
          <w:u w:val="none"/>
        </w:rPr>
        <w:t xml:space="preserve">the safeguarding and continued transmission </w:t>
      </w:r>
      <w:r w:rsidR="00061274">
        <w:rPr>
          <w:u w:val="none"/>
        </w:rPr>
        <w:t xml:space="preserve">of these elements </w:t>
      </w:r>
      <w:r w:rsidRPr="00685405">
        <w:rPr>
          <w:u w:val="none"/>
        </w:rPr>
        <w:t>as a priority in their agenda</w:t>
      </w:r>
      <w:r>
        <w:rPr>
          <w:u w:val="none"/>
        </w:rPr>
        <w:t>s</w:t>
      </w:r>
      <w:r w:rsidRPr="00685405">
        <w:rPr>
          <w:u w:val="none"/>
        </w:rPr>
        <w:t xml:space="preserve"> and to involve </w:t>
      </w:r>
      <w:r w:rsidR="006A27C9">
        <w:rPr>
          <w:u w:val="none"/>
        </w:rPr>
        <w:t xml:space="preserve">the </w:t>
      </w:r>
      <w:r w:rsidRPr="00685405">
        <w:rPr>
          <w:u w:val="none"/>
        </w:rPr>
        <w:t>communities</w:t>
      </w:r>
      <w:r w:rsidR="00372556">
        <w:rPr>
          <w:u w:val="none"/>
        </w:rPr>
        <w:t xml:space="preserve"> as well as </w:t>
      </w:r>
      <w:r w:rsidR="003D4172">
        <w:rPr>
          <w:u w:val="none"/>
        </w:rPr>
        <w:t xml:space="preserve">the </w:t>
      </w:r>
      <w:r w:rsidR="00372556">
        <w:rPr>
          <w:u w:val="none"/>
        </w:rPr>
        <w:t>public and private institutions</w:t>
      </w:r>
      <w:r w:rsidR="003D4172">
        <w:rPr>
          <w:u w:val="none"/>
        </w:rPr>
        <w:t xml:space="preserve"> concerned</w:t>
      </w:r>
      <w:r w:rsidR="00372556">
        <w:rPr>
          <w:u w:val="none"/>
        </w:rPr>
        <w:t xml:space="preserve"> in the</w:t>
      </w:r>
      <w:r w:rsidRPr="00685405">
        <w:rPr>
          <w:u w:val="none"/>
        </w:rPr>
        <w:t xml:space="preserve"> implementation and updating of the safeguarding plans;</w:t>
      </w:r>
    </w:p>
    <w:p w14:paraId="61CA2EF7" w14:textId="2096B82D" w:rsidR="00116F47" w:rsidRPr="00FC7347" w:rsidRDefault="006A725F" w:rsidP="00AE77E0">
      <w:pPr>
        <w:pStyle w:val="COMParaDecision"/>
        <w:numPr>
          <w:ilvl w:val="0"/>
          <w:numId w:val="19"/>
        </w:numPr>
        <w:ind w:left="1134" w:hanging="567"/>
      </w:pPr>
      <w:r>
        <w:t>E</w:t>
      </w:r>
      <w:r w:rsidR="00116F47" w:rsidRPr="00C32A90">
        <w:t>ncourages</w:t>
      </w:r>
      <w:r w:rsidR="00116F47" w:rsidRPr="00C32A90">
        <w:rPr>
          <w:u w:val="none"/>
        </w:rPr>
        <w:t xml:space="preserve"> </w:t>
      </w:r>
      <w:r>
        <w:rPr>
          <w:u w:val="none"/>
        </w:rPr>
        <w:t>reporting States</w:t>
      </w:r>
      <w:r w:rsidRPr="00C32A90">
        <w:rPr>
          <w:u w:val="none"/>
        </w:rPr>
        <w:t xml:space="preserve"> </w:t>
      </w:r>
      <w:r w:rsidR="00116F47" w:rsidRPr="00C32A90">
        <w:rPr>
          <w:u w:val="none"/>
        </w:rPr>
        <w:t xml:space="preserve">to include more information in their future reports on the challenges encountered during the </w:t>
      </w:r>
      <w:r w:rsidR="00116F47" w:rsidRPr="00942B6B">
        <w:rPr>
          <w:u w:val="none"/>
        </w:rPr>
        <w:t xml:space="preserve">implementation of </w:t>
      </w:r>
      <w:r w:rsidR="00D645C7">
        <w:rPr>
          <w:u w:val="none"/>
        </w:rPr>
        <w:t xml:space="preserve">their </w:t>
      </w:r>
      <w:r w:rsidR="00116F47" w:rsidRPr="00942B6B">
        <w:rPr>
          <w:u w:val="none"/>
        </w:rPr>
        <w:t>safeguarding plans</w:t>
      </w:r>
      <w:r w:rsidR="00942B6B" w:rsidRPr="00942B6B">
        <w:rPr>
          <w:u w:val="none"/>
        </w:rPr>
        <w:t xml:space="preserve"> and how these affect the viability of inscribed elements</w:t>
      </w:r>
      <w:r w:rsidR="00116F47" w:rsidRPr="00942B6B">
        <w:rPr>
          <w:u w:val="none"/>
        </w:rPr>
        <w:t>, as well as to involve stakeholders in fields other than culture to address broader threats</w:t>
      </w:r>
      <w:r w:rsidR="00942B6B" w:rsidRPr="00942B6B">
        <w:rPr>
          <w:u w:val="none"/>
        </w:rPr>
        <w:t>, such as those related to the environment</w:t>
      </w:r>
      <w:r w:rsidR="001B6D0B" w:rsidRPr="00942B6B">
        <w:rPr>
          <w:u w:val="none"/>
        </w:rPr>
        <w:t>;</w:t>
      </w:r>
    </w:p>
    <w:p w14:paraId="3D6C32C6" w14:textId="18EE8F1E" w:rsidR="00534778" w:rsidRDefault="00762619" w:rsidP="00AE77E0">
      <w:pPr>
        <w:pStyle w:val="COMParaDecision"/>
        <w:numPr>
          <w:ilvl w:val="0"/>
          <w:numId w:val="19"/>
        </w:numPr>
        <w:ind w:left="1134" w:hanging="567"/>
      </w:pPr>
      <w:r>
        <w:t>Acknowledges</w:t>
      </w:r>
      <w:r w:rsidR="00534778" w:rsidRPr="00FC7347">
        <w:rPr>
          <w:u w:val="none"/>
        </w:rPr>
        <w:t xml:space="preserve"> that </w:t>
      </w:r>
      <w:r w:rsidRPr="00FC7347">
        <w:rPr>
          <w:u w:val="none"/>
        </w:rPr>
        <w:t>the global reflection on the</w:t>
      </w:r>
      <w:r>
        <w:rPr>
          <w:u w:val="none"/>
        </w:rPr>
        <w:t xml:space="preserve"> listing mechanisms of the 2003 </w:t>
      </w:r>
      <w:r w:rsidRPr="00FC7347">
        <w:rPr>
          <w:u w:val="none"/>
        </w:rPr>
        <w:t>Convention</w:t>
      </w:r>
      <w:r>
        <w:rPr>
          <w:u w:val="none"/>
        </w:rPr>
        <w:t xml:space="preserve"> </w:t>
      </w:r>
      <w:r w:rsidR="008D5952">
        <w:rPr>
          <w:u w:val="none"/>
        </w:rPr>
        <w:t>may</w:t>
      </w:r>
      <w:r>
        <w:rPr>
          <w:u w:val="none"/>
        </w:rPr>
        <w:t xml:space="preserve"> have an impact on the reporting </w:t>
      </w:r>
      <w:r w:rsidR="00DC2204">
        <w:rPr>
          <w:u w:val="none"/>
        </w:rPr>
        <w:t xml:space="preserve">exercise </w:t>
      </w:r>
      <w:r w:rsidRPr="00C32A90">
        <w:rPr>
          <w:u w:val="none"/>
        </w:rPr>
        <w:t xml:space="preserve">on the status of </w:t>
      </w:r>
      <w:r w:rsidRPr="00C32A90">
        <w:rPr>
          <w:u w:val="none"/>
          <w:lang w:val="en-US"/>
        </w:rPr>
        <w:t>elements inscribed on the List of Intangible Cultural Heritage in Need of Urgent Safeguarding</w:t>
      </w:r>
      <w:r>
        <w:rPr>
          <w:u w:val="none"/>
          <w:lang w:val="en-US"/>
        </w:rPr>
        <w:t xml:space="preserve"> and that </w:t>
      </w:r>
      <w:r w:rsidR="008D5952">
        <w:rPr>
          <w:u w:val="none"/>
          <w:lang w:val="en-US"/>
        </w:rPr>
        <w:t>this</w:t>
      </w:r>
      <w:r>
        <w:rPr>
          <w:u w:val="none"/>
          <w:lang w:val="en-US"/>
        </w:rPr>
        <w:t xml:space="preserve"> </w:t>
      </w:r>
      <w:r w:rsidR="008D5952">
        <w:rPr>
          <w:u w:val="none"/>
          <w:lang w:val="en-US"/>
        </w:rPr>
        <w:t xml:space="preserve">specific </w:t>
      </w:r>
      <w:r>
        <w:rPr>
          <w:u w:val="none"/>
          <w:lang w:val="en-US"/>
        </w:rPr>
        <w:t xml:space="preserve">reporting mechanism will remain unchanged </w:t>
      </w:r>
      <w:r w:rsidR="009E20FD">
        <w:rPr>
          <w:u w:val="none"/>
          <w:lang w:val="en-US"/>
        </w:rPr>
        <w:t>in the meantime</w:t>
      </w:r>
      <w:r w:rsidR="003D4172">
        <w:rPr>
          <w:u w:val="none"/>
          <w:lang w:val="en-US"/>
        </w:rPr>
        <w:t>,</w:t>
      </w:r>
      <w:r w:rsidR="009E20FD">
        <w:rPr>
          <w:u w:val="none"/>
          <w:lang w:val="en-US"/>
        </w:rPr>
        <w:t xml:space="preserve"> </w:t>
      </w:r>
      <w:r>
        <w:rPr>
          <w:u w:val="none"/>
          <w:lang w:val="en-US"/>
        </w:rPr>
        <w:t xml:space="preserve">until </w:t>
      </w:r>
      <w:r w:rsidRPr="00FC7347">
        <w:rPr>
          <w:u w:val="none"/>
        </w:rPr>
        <w:t>th</w:t>
      </w:r>
      <w:r w:rsidR="008D5952">
        <w:rPr>
          <w:u w:val="none"/>
        </w:rPr>
        <w:t>e overall reflection</w:t>
      </w:r>
      <w:r w:rsidRPr="00FC7347">
        <w:rPr>
          <w:u w:val="none"/>
        </w:rPr>
        <w:t xml:space="preserve"> </w:t>
      </w:r>
      <w:r w:rsidR="00D645C7">
        <w:rPr>
          <w:u w:val="none"/>
        </w:rPr>
        <w:t>has</w:t>
      </w:r>
      <w:r w:rsidRPr="00FC7347">
        <w:rPr>
          <w:u w:val="none"/>
        </w:rPr>
        <w:t xml:space="preserve"> advanced</w:t>
      </w:r>
      <w:r w:rsidR="008D5952">
        <w:rPr>
          <w:u w:val="none"/>
        </w:rPr>
        <w:t>;</w:t>
      </w:r>
    </w:p>
    <w:p w14:paraId="2478AFD2" w14:textId="606793A0" w:rsidR="0046364A" w:rsidRPr="0046364A" w:rsidRDefault="0046364A" w:rsidP="0046364A">
      <w:pPr>
        <w:pStyle w:val="COMParaDecision"/>
        <w:numPr>
          <w:ilvl w:val="0"/>
          <w:numId w:val="19"/>
        </w:numPr>
        <w:ind w:left="1134" w:hanging="567"/>
      </w:pPr>
      <w:r w:rsidRPr="0046364A">
        <w:t>Decides</w:t>
      </w:r>
      <w:r w:rsidRPr="0046364A">
        <w:rPr>
          <w:u w:val="none"/>
        </w:rPr>
        <w:t xml:space="preserve"> to submit to the General Assembly a summary of the reports of States Parties on the current status of elements inscribed on the List of Intangible Cultural Heritage in Need of Urgent Safeguarding examined </w:t>
      </w:r>
      <w:r w:rsidR="003D4172">
        <w:rPr>
          <w:u w:val="none"/>
        </w:rPr>
        <w:t xml:space="preserve">during </w:t>
      </w:r>
      <w:r w:rsidRPr="0046364A">
        <w:rPr>
          <w:u w:val="none"/>
        </w:rPr>
        <w:t>the current session.</w:t>
      </w:r>
    </w:p>
    <w:p w14:paraId="44FDC8F4" w14:textId="77777777" w:rsidR="009D69BC" w:rsidRDefault="009D69BC" w:rsidP="0046364A">
      <w:pPr>
        <w:pStyle w:val="COMParaDecision"/>
        <w:rPr>
          <w:u w:val="none"/>
        </w:rPr>
      </w:pPr>
      <w:r>
        <w:rPr>
          <w:u w:val="none"/>
        </w:rPr>
        <w:br w:type="page"/>
      </w:r>
    </w:p>
    <w:p w14:paraId="57132549" w14:textId="1A582E7D" w:rsidR="00551847" w:rsidRPr="00131978" w:rsidRDefault="00551847" w:rsidP="00551847">
      <w:pPr>
        <w:pStyle w:val="COMParaDecision"/>
        <w:ind w:left="567"/>
        <w:rPr>
          <w:i/>
          <w:u w:val="none"/>
        </w:rPr>
      </w:pPr>
      <w:r>
        <w:rPr>
          <w:b/>
          <w:u w:val="none"/>
        </w:rPr>
        <w:lastRenderedPageBreak/>
        <w:t>Croatia</w:t>
      </w:r>
      <w:r w:rsidRPr="00131978">
        <w:rPr>
          <w:b/>
          <w:u w:val="none"/>
        </w:rPr>
        <w:t>: ‘</w:t>
      </w:r>
      <w:proofErr w:type="spellStart"/>
      <w:r>
        <w:rPr>
          <w:b/>
          <w:u w:val="none"/>
        </w:rPr>
        <w:t>Ojkanje</w:t>
      </w:r>
      <w:proofErr w:type="spellEnd"/>
      <w:r>
        <w:rPr>
          <w:b/>
          <w:u w:val="none"/>
        </w:rPr>
        <w:t xml:space="preserve"> singing</w:t>
      </w:r>
      <w:r w:rsidRPr="00131978">
        <w:rPr>
          <w:b/>
          <w:u w:val="none"/>
        </w:rPr>
        <w:t>’</w:t>
      </w:r>
      <w:r w:rsidRPr="00131978">
        <w:rPr>
          <w:u w:val="none"/>
        </w:rPr>
        <w:t xml:space="preserve"> </w:t>
      </w:r>
      <w:r w:rsidRPr="003A36FE">
        <w:rPr>
          <w:i/>
          <w:u w:val="none"/>
        </w:rPr>
        <w:t xml:space="preserve">(consult the </w:t>
      </w:r>
      <w:hyperlink r:id="rId22" w:history="1">
        <w:r w:rsidRPr="001A276F">
          <w:rPr>
            <w:rStyle w:val="Hyperlink"/>
            <w:i/>
          </w:rPr>
          <w:t>report</w:t>
        </w:r>
      </w:hyperlink>
      <w:r w:rsidRPr="001A276F">
        <w:rPr>
          <w:i/>
          <w:u w:val="none"/>
        </w:rPr>
        <w:t>)</w:t>
      </w:r>
    </w:p>
    <w:p w14:paraId="148A49E6" w14:textId="3D675CF9" w:rsidR="00E476B3" w:rsidRPr="003645B2" w:rsidRDefault="00E476B3" w:rsidP="00E476B3">
      <w:pPr>
        <w:pStyle w:val="COMPara"/>
        <w:numPr>
          <w:ilvl w:val="0"/>
          <w:numId w:val="9"/>
        </w:numPr>
        <w:spacing w:before="120"/>
        <w:ind w:left="567" w:hanging="567"/>
        <w:jc w:val="both"/>
      </w:pP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two-part singing is a type of traditional vocal music found in the Dinaric region of the Dalmatian hinterland. The archaic singing is characterized by a distinctive voice-shaking technique created by the throat. Commonly </w:t>
      </w:r>
      <w:proofErr w:type="spellStart"/>
      <w:r w:rsidRPr="003645B2">
        <w:rPr>
          <w:color w:val="000000"/>
          <w:shd w:val="clear" w:color="auto" w:fill="FFFFFF"/>
          <w:lang w:val="en-US"/>
        </w:rPr>
        <w:t>practi</w:t>
      </w:r>
      <w:r w:rsidR="00955C28">
        <w:rPr>
          <w:color w:val="000000"/>
          <w:shd w:val="clear" w:color="auto" w:fill="FFFFFF"/>
          <w:lang w:val="en-US"/>
        </w:rPr>
        <w:t>s</w:t>
      </w:r>
      <w:r w:rsidRPr="003645B2">
        <w:rPr>
          <w:color w:val="000000"/>
          <w:shd w:val="clear" w:color="auto" w:fill="FFFFFF"/>
          <w:lang w:val="en-US"/>
        </w:rPr>
        <w:t>ed</w:t>
      </w:r>
      <w:proofErr w:type="spellEnd"/>
      <w:r w:rsidRPr="003645B2">
        <w:rPr>
          <w:color w:val="000000"/>
          <w:shd w:val="clear" w:color="auto" w:fill="FFFFFF"/>
          <w:lang w:val="en-US"/>
        </w:rPr>
        <w:t xml:space="preserve"> in local communities of </w:t>
      </w:r>
      <w:r w:rsidR="003D4172" w:rsidRPr="003645B2">
        <w:rPr>
          <w:color w:val="000000"/>
          <w:shd w:val="clear" w:color="auto" w:fill="FFFFFF"/>
          <w:lang w:val="en-US"/>
        </w:rPr>
        <w:t>th</w:t>
      </w:r>
      <w:r w:rsidR="003D4172">
        <w:rPr>
          <w:color w:val="000000"/>
          <w:shd w:val="clear" w:color="auto" w:fill="FFFFFF"/>
          <w:lang w:val="en-US"/>
        </w:rPr>
        <w:t>e</w:t>
      </w:r>
      <w:r w:rsidR="003D4172" w:rsidRPr="003645B2">
        <w:rPr>
          <w:color w:val="000000"/>
          <w:shd w:val="clear" w:color="auto" w:fill="FFFFFF"/>
          <w:lang w:val="en-US"/>
        </w:rPr>
        <w:t xml:space="preserve"> </w:t>
      </w:r>
      <w:r w:rsidRPr="003645B2">
        <w:rPr>
          <w:color w:val="000000"/>
          <w:shd w:val="clear" w:color="auto" w:fill="FFFFFF"/>
          <w:lang w:val="en-US"/>
        </w:rPr>
        <w:t xml:space="preserve">region,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w:t>
      </w:r>
      <w:r w:rsidR="00955C28" w:rsidRPr="003645B2">
        <w:rPr>
          <w:color w:val="000000"/>
          <w:shd w:val="clear" w:color="auto" w:fill="FFFFFF"/>
          <w:lang w:val="en-US"/>
        </w:rPr>
        <w:t xml:space="preserve">mostly </w:t>
      </w:r>
      <w:r w:rsidRPr="003645B2">
        <w:rPr>
          <w:color w:val="000000"/>
          <w:shd w:val="clear" w:color="auto" w:fill="FFFFFF"/>
          <w:lang w:val="en-US"/>
        </w:rPr>
        <w:t xml:space="preserve">involves older singers, performing solo or in small groups.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owes its survival to organized groups of local bearers who continue to transmit their skills and knowledge and </w:t>
      </w:r>
      <w:r w:rsidR="00955C28">
        <w:rPr>
          <w:color w:val="000000"/>
          <w:shd w:val="clear" w:color="auto" w:fill="FFFFFF"/>
          <w:lang w:val="en-US"/>
        </w:rPr>
        <w:t xml:space="preserve">to </w:t>
      </w:r>
      <w:r w:rsidRPr="003645B2">
        <w:rPr>
          <w:color w:val="000000"/>
          <w:shd w:val="clear" w:color="auto" w:fill="FFFFFF"/>
          <w:lang w:val="en-US"/>
        </w:rPr>
        <w:t xml:space="preserve">perform it at local and regional festivals throughout Croatia. Although individual bearers pass on their knowledge orally to new generations, audio and video recordings and organized training within local groups play an increasingly important role in its transmission and safeguarding. </w:t>
      </w:r>
      <w:proofErr w:type="spellStart"/>
      <w:r w:rsidRPr="003645B2">
        <w:rPr>
          <w:color w:val="000000"/>
          <w:shd w:val="clear" w:color="auto" w:fill="FFFFFF"/>
          <w:lang w:val="en-US"/>
        </w:rPr>
        <w:t>Ojkanje</w:t>
      </w:r>
      <w:proofErr w:type="spellEnd"/>
      <w:r w:rsidRPr="003645B2">
        <w:rPr>
          <w:color w:val="000000"/>
          <w:shd w:val="clear" w:color="auto" w:fill="FFFFFF"/>
          <w:lang w:val="en-US"/>
        </w:rPr>
        <w:t xml:space="preserve"> singing remains an important factor in shaping the cultural identity of local communities.</w:t>
      </w:r>
    </w:p>
    <w:p w14:paraId="1841B102" w14:textId="110E818F" w:rsidR="00E476B3" w:rsidRDefault="00E476B3" w:rsidP="00E476B3">
      <w:pPr>
        <w:pStyle w:val="COMPara"/>
        <w:numPr>
          <w:ilvl w:val="0"/>
          <w:numId w:val="9"/>
        </w:numPr>
        <w:spacing w:before="120"/>
        <w:ind w:left="567" w:hanging="567"/>
        <w:jc w:val="both"/>
      </w:pPr>
      <w:r w:rsidRPr="00131978">
        <w:rPr>
          <w:b/>
        </w:rPr>
        <w:t>Effectiveness of the safeguarding plan</w:t>
      </w:r>
      <w:r>
        <w:t xml:space="preserve">. The inscription of </w:t>
      </w:r>
      <w:proofErr w:type="spellStart"/>
      <w:r>
        <w:t>Ojkanje</w:t>
      </w:r>
      <w:proofErr w:type="spellEnd"/>
      <w:r>
        <w:t xml:space="preserve"> singing on </w:t>
      </w:r>
      <w:r w:rsidR="003D4172">
        <w:t xml:space="preserve">the </w:t>
      </w:r>
      <w:r w:rsidRPr="003645B2">
        <w:rPr>
          <w:bCs/>
          <w:lang w:val="en-US"/>
        </w:rPr>
        <w:t>Urgent Safeguarding</w:t>
      </w:r>
      <w:r>
        <w:t xml:space="preserve"> </w:t>
      </w:r>
      <w:r w:rsidR="00955C28">
        <w:t xml:space="preserve">List </w:t>
      </w:r>
      <w:r>
        <w:t xml:space="preserve">has significantly increased the visibility of the element and provided its practitioners with better recognition in society. </w:t>
      </w:r>
      <w:r w:rsidR="003D4172">
        <w:t>T</w:t>
      </w:r>
      <w:r>
        <w:t xml:space="preserve">o ensure the viability and transmission of </w:t>
      </w:r>
      <w:proofErr w:type="spellStart"/>
      <w:r>
        <w:t>Ojkanje</w:t>
      </w:r>
      <w:proofErr w:type="spellEnd"/>
      <w:r>
        <w:t xml:space="preserve"> singing, the overall objective of the safeguarding plan </w:t>
      </w:r>
      <w:r w:rsidR="003D4172">
        <w:t xml:space="preserve">was </w:t>
      </w:r>
      <w:r>
        <w:t>concentrated on: research, documentation, expert and scientific valuation</w:t>
      </w:r>
      <w:r w:rsidR="003D4172">
        <w:t>s</w:t>
      </w:r>
      <w:r>
        <w:t xml:space="preserve">, </w:t>
      </w:r>
      <w:r w:rsidR="00955C28">
        <w:t xml:space="preserve">and </w:t>
      </w:r>
      <w:r w:rsidR="003D4172">
        <w:t xml:space="preserve">the </w:t>
      </w:r>
      <w:r>
        <w:t xml:space="preserve">training </w:t>
      </w:r>
      <w:r w:rsidR="003D4172">
        <w:t xml:space="preserve">of </w:t>
      </w:r>
      <w:r>
        <w:t xml:space="preserve">professional staff and traditional bearers </w:t>
      </w:r>
      <w:r w:rsidR="003D4172">
        <w:t xml:space="preserve">to ensure </w:t>
      </w:r>
      <w:r>
        <w:t>the transfer of knowledge to younger generations. The main measures that contributed towards strengthening the viability of the element were: recognizing practi</w:t>
      </w:r>
      <w:r w:rsidR="00955C28">
        <w:t>s</w:t>
      </w:r>
      <w:r>
        <w:t xml:space="preserve">ing bearers; </w:t>
      </w:r>
      <w:r w:rsidR="00955C28">
        <w:t>organizing</w:t>
      </w:r>
      <w:r>
        <w:t xml:space="preserve"> workshops following a classical learning approach; documenting the practice </w:t>
      </w:r>
      <w:r w:rsidR="00955C28">
        <w:t xml:space="preserve">through </w:t>
      </w:r>
      <w:r>
        <w:t>audio and video recording</w:t>
      </w:r>
      <w:r w:rsidR="00955C28">
        <w:t>s</w:t>
      </w:r>
      <w:r>
        <w:t xml:space="preserve">; </w:t>
      </w:r>
      <w:r w:rsidR="00955C28">
        <w:t xml:space="preserve">and </w:t>
      </w:r>
      <w:r>
        <w:t xml:space="preserve">reviewing existing audio and video documentation to improve its quality. The organization of festivals provided bearers with a platform allowing them to perform in front of the local communities, as well as other interested audiences. These safeguarding measures are reported to be effective thanks to the constant and purposeful work of </w:t>
      </w:r>
      <w:r w:rsidR="00061274">
        <w:t xml:space="preserve">committed </w:t>
      </w:r>
      <w:r>
        <w:t xml:space="preserve">individuals, local cultural associations and folklore societies, as well as the support </w:t>
      </w:r>
      <w:r w:rsidR="003D4172">
        <w:t xml:space="preserve">of </w:t>
      </w:r>
      <w:r>
        <w:t>the Ministry of Culture and various other partners.</w:t>
      </w:r>
    </w:p>
    <w:p w14:paraId="2B3052E6" w14:textId="2633F38D" w:rsidR="00E476B3" w:rsidRPr="00B35E39" w:rsidRDefault="00E476B3" w:rsidP="00E476B3">
      <w:pPr>
        <w:pStyle w:val="COMPara"/>
        <w:numPr>
          <w:ilvl w:val="0"/>
          <w:numId w:val="9"/>
        </w:numPr>
        <w:spacing w:before="120"/>
        <w:ind w:left="567" w:hanging="567"/>
        <w:jc w:val="both"/>
      </w:pPr>
      <w:r w:rsidRPr="00B35E39">
        <w:t xml:space="preserve">Regarding </w:t>
      </w:r>
      <w:r w:rsidR="00955C28" w:rsidRPr="00FC7347">
        <w:t xml:space="preserve">the </w:t>
      </w:r>
      <w:r w:rsidRPr="00B35E39">
        <w:t xml:space="preserve">previous decisions </w:t>
      </w:r>
      <w:hyperlink r:id="rId23" w:history="1">
        <w:r w:rsidRPr="00B35E39">
          <w:rPr>
            <w:rStyle w:val="Hyperlink"/>
            <w:lang w:val="en-US"/>
          </w:rPr>
          <w:t>5.COM 5.4</w:t>
        </w:r>
      </w:hyperlink>
      <w:r w:rsidRPr="00B35E39">
        <w:rPr>
          <w:lang w:val="en-US"/>
        </w:rPr>
        <w:t xml:space="preserve"> and</w:t>
      </w:r>
      <w:r w:rsidRPr="00B35E39">
        <w:t xml:space="preserve"> </w:t>
      </w:r>
      <w:hyperlink r:id="rId24" w:history="1">
        <w:r w:rsidRPr="00B35E39">
          <w:rPr>
            <w:rStyle w:val="Hyperlink"/>
            <w:lang w:val="en-US"/>
          </w:rPr>
          <w:t>10.COM 6.b.1</w:t>
        </w:r>
      </w:hyperlink>
      <w:r w:rsidRPr="00B35E39">
        <w:t xml:space="preserve"> </w:t>
      </w:r>
      <w:r w:rsidRPr="00B35E39">
        <w:rPr>
          <w:lang w:val="en-US"/>
        </w:rPr>
        <w:t xml:space="preserve">of the Committee, in which it encouraged other States and communities with similar forms of singing to </w:t>
      </w:r>
      <w:r w:rsidR="003D4172" w:rsidRPr="00FC7347">
        <w:rPr>
          <w:lang w:val="en-US"/>
        </w:rPr>
        <w:t xml:space="preserve">actively </w:t>
      </w:r>
      <w:r w:rsidRPr="00B35E39">
        <w:rPr>
          <w:lang w:val="en-US"/>
        </w:rPr>
        <w:t xml:space="preserve">collaborate in the opportunities for international exchange proposed by Croatia, the report mentions the organization of </w:t>
      </w:r>
      <w:r w:rsidR="00955C28" w:rsidRPr="00FC7347">
        <w:rPr>
          <w:lang w:val="en-US"/>
        </w:rPr>
        <w:t xml:space="preserve">the </w:t>
      </w:r>
      <w:proofErr w:type="spellStart"/>
      <w:r w:rsidRPr="00B35E39">
        <w:rPr>
          <w:lang w:val="en-US"/>
        </w:rPr>
        <w:t>Duga</w:t>
      </w:r>
      <w:proofErr w:type="spellEnd"/>
      <w:r w:rsidRPr="00B35E39">
        <w:rPr>
          <w:lang w:val="en-US"/>
        </w:rPr>
        <w:t xml:space="preserve"> </w:t>
      </w:r>
      <w:proofErr w:type="spellStart"/>
      <w:r w:rsidRPr="00B35E39">
        <w:rPr>
          <w:lang w:val="en-US"/>
        </w:rPr>
        <w:t>iznad</w:t>
      </w:r>
      <w:proofErr w:type="spellEnd"/>
      <w:r w:rsidRPr="00B35E39">
        <w:rPr>
          <w:lang w:val="en-US"/>
        </w:rPr>
        <w:t xml:space="preserve"> </w:t>
      </w:r>
      <w:proofErr w:type="spellStart"/>
      <w:r w:rsidRPr="00B35E39">
        <w:rPr>
          <w:lang w:val="en-US"/>
        </w:rPr>
        <w:t>kule</w:t>
      </w:r>
      <w:proofErr w:type="spellEnd"/>
      <w:r w:rsidRPr="00B35E39">
        <w:rPr>
          <w:lang w:val="en-US"/>
        </w:rPr>
        <w:t xml:space="preserve"> (Krka) workshop, where </w:t>
      </w:r>
      <w:r w:rsidR="006C030B">
        <w:rPr>
          <w:lang w:val="en-US"/>
        </w:rPr>
        <w:t xml:space="preserve">Croat and Serb </w:t>
      </w:r>
      <w:r w:rsidRPr="00B35E39">
        <w:rPr>
          <w:lang w:val="en-US"/>
        </w:rPr>
        <w:t xml:space="preserve">experts worked with several singers to teach the different </w:t>
      </w:r>
      <w:proofErr w:type="spellStart"/>
      <w:r w:rsidRPr="00B35E39">
        <w:rPr>
          <w:lang w:val="en-US"/>
        </w:rPr>
        <w:t>Ojkanje</w:t>
      </w:r>
      <w:proofErr w:type="spellEnd"/>
      <w:r w:rsidRPr="00B35E39">
        <w:rPr>
          <w:lang w:val="en-US"/>
        </w:rPr>
        <w:t xml:space="preserve"> traditions of </w:t>
      </w:r>
      <w:proofErr w:type="spellStart"/>
      <w:r w:rsidRPr="00B35E39">
        <w:rPr>
          <w:lang w:val="en-US"/>
        </w:rPr>
        <w:t>Bukovica</w:t>
      </w:r>
      <w:proofErr w:type="spellEnd"/>
      <w:r w:rsidRPr="00B35E39">
        <w:rPr>
          <w:lang w:val="en-US"/>
        </w:rPr>
        <w:t xml:space="preserve"> and </w:t>
      </w:r>
      <w:proofErr w:type="spellStart"/>
      <w:r w:rsidRPr="00B35E39">
        <w:rPr>
          <w:lang w:val="en-US"/>
        </w:rPr>
        <w:t>Ravni</w:t>
      </w:r>
      <w:proofErr w:type="spellEnd"/>
      <w:r w:rsidRPr="00B35E39">
        <w:rPr>
          <w:lang w:val="en-US"/>
        </w:rPr>
        <w:t xml:space="preserve"> </w:t>
      </w:r>
      <w:proofErr w:type="spellStart"/>
      <w:r w:rsidRPr="00B35E39">
        <w:rPr>
          <w:lang w:val="en-US"/>
        </w:rPr>
        <w:t>Kotari</w:t>
      </w:r>
      <w:proofErr w:type="spellEnd"/>
      <w:r w:rsidRPr="00B35E39">
        <w:rPr>
          <w:lang w:val="en-US"/>
        </w:rPr>
        <w:t>, thus promoting collaboration and exchange.</w:t>
      </w:r>
    </w:p>
    <w:p w14:paraId="77E90BBB" w14:textId="2F8BA7C3" w:rsidR="00E476B3" w:rsidRPr="00E30D06" w:rsidRDefault="00E476B3" w:rsidP="00E476B3">
      <w:pPr>
        <w:pStyle w:val="COMPara"/>
        <w:numPr>
          <w:ilvl w:val="0"/>
          <w:numId w:val="9"/>
        </w:numPr>
        <w:spacing w:before="120"/>
        <w:ind w:left="567" w:hanging="567"/>
        <w:jc w:val="both"/>
        <w:rPr>
          <w:lang w:val="en-US"/>
        </w:rPr>
      </w:pPr>
      <w:r w:rsidRPr="001D3394">
        <w:rPr>
          <w:b/>
        </w:rPr>
        <w:t>Community participation</w:t>
      </w:r>
      <w:r w:rsidRPr="001D3394">
        <w:t xml:space="preserve">. Community involvement was manifested through the participation of practitioners, as well as through </w:t>
      </w:r>
      <w:r w:rsidR="00061274">
        <w:t xml:space="preserve">that of </w:t>
      </w:r>
      <w:r w:rsidRPr="001D3394">
        <w:t xml:space="preserve">cultural associations and folklore societies. The increased interest of local communities in </w:t>
      </w:r>
      <w:proofErr w:type="spellStart"/>
      <w:r w:rsidRPr="001D3394">
        <w:t>Ojkanje</w:t>
      </w:r>
      <w:proofErr w:type="spellEnd"/>
      <w:r w:rsidRPr="001D3394">
        <w:t xml:space="preserve"> has resulted in folklore societies organizing frequent local and regional festivals</w:t>
      </w:r>
      <w:r w:rsidR="00782ABA">
        <w:t>,</w:t>
      </w:r>
      <w:r w:rsidRPr="001D3394">
        <w:t xml:space="preserve"> where traditional practitioners often perform</w:t>
      </w:r>
      <w:r>
        <w:t xml:space="preserve">. </w:t>
      </w:r>
      <w:r w:rsidRPr="001D3394">
        <w:t xml:space="preserve">Furthermore, the associations and practitioners are </w:t>
      </w:r>
      <w:r w:rsidRPr="00E476B3">
        <w:rPr>
          <w:lang w:val="en-US"/>
        </w:rPr>
        <w:t>participating</w:t>
      </w:r>
      <w:r>
        <w:t xml:space="preserve"> in </w:t>
      </w:r>
      <w:r w:rsidRPr="001D3394">
        <w:t xml:space="preserve">recording DVDs and CD editions to </w:t>
      </w:r>
      <w:r>
        <w:t>support</w:t>
      </w:r>
      <w:r w:rsidRPr="001D3394">
        <w:t xml:space="preserve"> the transmission of </w:t>
      </w:r>
      <w:r w:rsidR="00955C28">
        <w:t xml:space="preserve">the </w:t>
      </w:r>
      <w:r>
        <w:t>element to younger generations</w:t>
      </w:r>
      <w:r w:rsidRPr="001D3394">
        <w:t xml:space="preserve">. The report further </w:t>
      </w:r>
      <w:r>
        <w:t xml:space="preserve">mentions </w:t>
      </w:r>
      <w:r w:rsidRPr="001D3394">
        <w:t>comm</w:t>
      </w:r>
      <w:r>
        <w:t xml:space="preserve">unity participation in various </w:t>
      </w:r>
      <w:proofErr w:type="spellStart"/>
      <w:r>
        <w:t>O</w:t>
      </w:r>
      <w:r w:rsidRPr="001D3394">
        <w:t>jkanje</w:t>
      </w:r>
      <w:proofErr w:type="spellEnd"/>
      <w:r w:rsidRPr="001D3394">
        <w:t xml:space="preserve"> workshop</w:t>
      </w:r>
      <w:r>
        <w:t>s</w:t>
      </w:r>
      <w:r w:rsidRPr="001D3394">
        <w:t xml:space="preserve"> such as </w:t>
      </w:r>
      <w:proofErr w:type="spellStart"/>
      <w:r w:rsidRPr="00782ABA">
        <w:rPr>
          <w:lang w:val="en-US"/>
        </w:rPr>
        <w:t>Duga</w:t>
      </w:r>
      <w:proofErr w:type="spellEnd"/>
      <w:r w:rsidRPr="00782ABA">
        <w:rPr>
          <w:lang w:val="en-US"/>
        </w:rPr>
        <w:t xml:space="preserve"> </w:t>
      </w:r>
      <w:proofErr w:type="spellStart"/>
      <w:r w:rsidRPr="00782ABA">
        <w:rPr>
          <w:lang w:val="en-US"/>
        </w:rPr>
        <w:t>iznad</w:t>
      </w:r>
      <w:proofErr w:type="spellEnd"/>
      <w:r w:rsidRPr="00782ABA">
        <w:rPr>
          <w:lang w:val="en-US"/>
        </w:rPr>
        <w:t xml:space="preserve"> </w:t>
      </w:r>
      <w:proofErr w:type="spellStart"/>
      <w:r w:rsidRPr="00782ABA">
        <w:rPr>
          <w:lang w:val="en-US"/>
        </w:rPr>
        <w:t>kule</w:t>
      </w:r>
      <w:proofErr w:type="spellEnd"/>
      <w:r w:rsidRPr="001D3394">
        <w:rPr>
          <w:lang w:val="en-US"/>
        </w:rPr>
        <w:t xml:space="preserve"> (Krka), </w:t>
      </w:r>
      <w:proofErr w:type="spellStart"/>
      <w:r w:rsidRPr="00782ABA">
        <w:rPr>
          <w:lang w:val="en-US"/>
        </w:rPr>
        <w:t>Smotra</w:t>
      </w:r>
      <w:proofErr w:type="spellEnd"/>
      <w:r w:rsidRPr="00782ABA">
        <w:rPr>
          <w:lang w:val="en-US"/>
        </w:rPr>
        <w:t xml:space="preserve"> </w:t>
      </w:r>
      <w:proofErr w:type="spellStart"/>
      <w:r w:rsidRPr="00782ABA">
        <w:rPr>
          <w:lang w:val="en-US"/>
        </w:rPr>
        <w:t>folklora</w:t>
      </w:r>
      <w:proofErr w:type="spellEnd"/>
      <w:r w:rsidRPr="00782ABA">
        <w:rPr>
          <w:lang w:val="en-US"/>
        </w:rPr>
        <w:t xml:space="preserve"> in </w:t>
      </w:r>
      <w:proofErr w:type="spellStart"/>
      <w:r w:rsidRPr="00782ABA">
        <w:rPr>
          <w:lang w:val="en-US"/>
        </w:rPr>
        <w:t>Polača</w:t>
      </w:r>
      <w:proofErr w:type="spellEnd"/>
      <w:r w:rsidRPr="001D3394">
        <w:rPr>
          <w:lang w:val="en-US"/>
        </w:rPr>
        <w:t xml:space="preserve">, and </w:t>
      </w:r>
      <w:proofErr w:type="spellStart"/>
      <w:r w:rsidRPr="00782ABA">
        <w:rPr>
          <w:lang w:val="en-US"/>
        </w:rPr>
        <w:t>Smotra</w:t>
      </w:r>
      <w:proofErr w:type="spellEnd"/>
      <w:r w:rsidRPr="00782ABA">
        <w:rPr>
          <w:lang w:val="en-US"/>
        </w:rPr>
        <w:t xml:space="preserve"> </w:t>
      </w:r>
      <w:proofErr w:type="spellStart"/>
      <w:r w:rsidRPr="00782ABA">
        <w:rPr>
          <w:lang w:val="en-US"/>
        </w:rPr>
        <w:t>folklora</w:t>
      </w:r>
      <w:proofErr w:type="spellEnd"/>
      <w:r w:rsidRPr="00782ABA">
        <w:rPr>
          <w:lang w:val="en-US"/>
        </w:rPr>
        <w:t xml:space="preserve"> </w:t>
      </w:r>
      <w:proofErr w:type="spellStart"/>
      <w:r w:rsidRPr="00782ABA">
        <w:rPr>
          <w:lang w:val="en-US"/>
        </w:rPr>
        <w:t>Dalmacije</w:t>
      </w:r>
      <w:proofErr w:type="spellEnd"/>
      <w:r w:rsidRPr="00782ABA">
        <w:rPr>
          <w:lang w:val="en-US"/>
        </w:rPr>
        <w:t xml:space="preserve"> in </w:t>
      </w:r>
      <w:proofErr w:type="spellStart"/>
      <w:r w:rsidRPr="00782ABA">
        <w:rPr>
          <w:lang w:val="en-US"/>
        </w:rPr>
        <w:t>Metković</w:t>
      </w:r>
      <w:proofErr w:type="spellEnd"/>
      <w:r w:rsidRPr="001D3394">
        <w:rPr>
          <w:lang w:val="en-US"/>
        </w:rPr>
        <w:t xml:space="preserve">. </w:t>
      </w:r>
      <w:r>
        <w:rPr>
          <w:lang w:val="en-US"/>
        </w:rPr>
        <w:t xml:space="preserve">There has </w:t>
      </w:r>
      <w:r w:rsidR="00955C28">
        <w:rPr>
          <w:lang w:val="en-US"/>
        </w:rPr>
        <w:t xml:space="preserve">also </w:t>
      </w:r>
      <w:r>
        <w:rPr>
          <w:lang w:val="en-US"/>
        </w:rPr>
        <w:t>been</w:t>
      </w:r>
      <w:r w:rsidR="00955C28">
        <w:rPr>
          <w:lang w:val="en-US"/>
        </w:rPr>
        <w:t xml:space="preserve"> a</w:t>
      </w:r>
      <w:r>
        <w:rPr>
          <w:lang w:val="en-US"/>
        </w:rPr>
        <w:t xml:space="preserve"> constant and active participation of bearers in the preparation of the report.</w:t>
      </w:r>
    </w:p>
    <w:p w14:paraId="4273FE64" w14:textId="5277A0B7" w:rsidR="00E476B3" w:rsidRDefault="00E476B3" w:rsidP="00E476B3">
      <w:pPr>
        <w:pStyle w:val="COMPara"/>
        <w:numPr>
          <w:ilvl w:val="0"/>
          <w:numId w:val="9"/>
        </w:numPr>
        <w:spacing w:before="120"/>
        <w:ind w:left="567" w:hanging="567"/>
        <w:jc w:val="both"/>
      </w:pPr>
      <w:r w:rsidRPr="00B6338F">
        <w:rPr>
          <w:b/>
        </w:rPr>
        <w:t>Viability and current risks</w:t>
      </w:r>
      <w:r w:rsidRPr="00B6338F">
        <w:t xml:space="preserve">. As a result of the ongoing safeguarding activities, the </w:t>
      </w:r>
      <w:r w:rsidR="001227B5">
        <w:t>viability of the element</w:t>
      </w:r>
      <w:r w:rsidRPr="00B6338F">
        <w:t xml:space="preserve"> has been strengthened, making </w:t>
      </w:r>
      <w:r w:rsidR="001227B5">
        <w:t>it</w:t>
      </w:r>
      <w:r>
        <w:t xml:space="preserve"> better</w:t>
      </w:r>
      <w:r w:rsidRPr="00B6338F">
        <w:t xml:space="preserve"> known </w:t>
      </w:r>
      <w:r>
        <w:t>at the local and national level</w:t>
      </w:r>
      <w:r w:rsidR="00955C28">
        <w:t>s</w:t>
      </w:r>
      <w:r w:rsidRPr="00B6338F">
        <w:t xml:space="preserve">. The inscription </w:t>
      </w:r>
      <w:r w:rsidR="00782ABA">
        <w:t xml:space="preserve">of the element </w:t>
      </w:r>
      <w:r w:rsidRPr="00B6338F">
        <w:t xml:space="preserve">has allowed </w:t>
      </w:r>
      <w:r w:rsidR="00955C28">
        <w:t>for greater</w:t>
      </w:r>
      <w:r w:rsidR="00955C28" w:rsidRPr="00B6338F">
        <w:t xml:space="preserve"> </w:t>
      </w:r>
      <w:r w:rsidRPr="00B6338F">
        <w:t>media exposure</w:t>
      </w:r>
      <w:r w:rsidR="00782ABA">
        <w:t>,</w:t>
      </w:r>
      <w:r w:rsidRPr="00B6338F">
        <w:t xml:space="preserve"> resulting </w:t>
      </w:r>
      <w:r>
        <w:t xml:space="preserve">in </w:t>
      </w:r>
      <w:r w:rsidRPr="00B6338F">
        <w:t xml:space="preserve">unknown practitioners </w:t>
      </w:r>
      <w:r>
        <w:t>continu</w:t>
      </w:r>
      <w:r w:rsidR="00955C28">
        <w:t>ing</w:t>
      </w:r>
      <w:r>
        <w:t xml:space="preserve"> </w:t>
      </w:r>
      <w:r w:rsidR="00955C28">
        <w:t>to practise it</w:t>
      </w:r>
      <w:r w:rsidRPr="00B6338F">
        <w:t>. Additionally, increased interest among</w:t>
      </w:r>
      <w:r w:rsidR="00955C28">
        <w:t xml:space="preserve"> </w:t>
      </w:r>
      <w:r w:rsidRPr="00B6338F">
        <w:t>communities, in particular youth</w:t>
      </w:r>
      <w:r>
        <w:t xml:space="preserve"> and women,</w:t>
      </w:r>
      <w:r w:rsidRPr="00B6338F">
        <w:t xml:space="preserve"> has resulted in knowledge sharing among </w:t>
      </w:r>
      <w:r>
        <w:t>them</w:t>
      </w:r>
      <w:r w:rsidRPr="00B6338F">
        <w:t xml:space="preserve"> and local folklore societies, who in turn organize performances </w:t>
      </w:r>
      <w:r>
        <w:t>and workshops for knowledge transfer</w:t>
      </w:r>
      <w:r w:rsidRPr="00B6338F">
        <w:t>.</w:t>
      </w:r>
      <w:r>
        <w:t xml:space="preserve"> Multiple projects have also been </w:t>
      </w:r>
      <w:r w:rsidRPr="00E476B3">
        <w:rPr>
          <w:lang w:val="en-US"/>
        </w:rPr>
        <w:t>initiated</w:t>
      </w:r>
      <w:r>
        <w:t xml:space="preserve"> by professionals or amateurs to record this musical tradition. The report mentions two main challenges: (</w:t>
      </w:r>
      <w:proofErr w:type="spellStart"/>
      <w:r>
        <w:t>i</w:t>
      </w:r>
      <w:proofErr w:type="spellEnd"/>
      <w:r>
        <w:t xml:space="preserve">) </w:t>
      </w:r>
      <w:r w:rsidR="00955C28">
        <w:t xml:space="preserve">the </w:t>
      </w:r>
      <w:r>
        <w:t xml:space="preserve">loss of </w:t>
      </w:r>
      <w:r w:rsidRPr="00B6338F">
        <w:t>particular styles and g</w:t>
      </w:r>
      <w:r>
        <w:t xml:space="preserve">enres of the vibrato technique due to the modern </w:t>
      </w:r>
      <w:r w:rsidR="00782ABA">
        <w:t xml:space="preserve">mode </w:t>
      </w:r>
      <w:r>
        <w:t>of transmission</w:t>
      </w:r>
      <w:r w:rsidR="00955C28">
        <w:t>, which</w:t>
      </w:r>
      <w:r>
        <w:t xml:space="preserve"> mainly </w:t>
      </w:r>
      <w:r w:rsidR="00955C28">
        <w:t xml:space="preserve">occurs </w:t>
      </w:r>
      <w:r>
        <w:t xml:space="preserve">through public performances and not </w:t>
      </w:r>
      <w:r w:rsidRPr="00B6338F">
        <w:t>‘direct learning’</w:t>
      </w:r>
      <w:r w:rsidR="00782ABA">
        <w:t>,</w:t>
      </w:r>
      <w:r w:rsidRPr="00B6338F">
        <w:t xml:space="preserve"> that is</w:t>
      </w:r>
      <w:r w:rsidR="00782ABA">
        <w:t>,</w:t>
      </w:r>
      <w:r w:rsidRPr="00B6338F">
        <w:t xml:space="preserve"> through the practice of imitating their predecessors</w:t>
      </w:r>
      <w:r>
        <w:t xml:space="preserve">; (ii) </w:t>
      </w:r>
      <w:r w:rsidR="00955C28">
        <w:t xml:space="preserve">the </w:t>
      </w:r>
      <w:r>
        <w:t>lack of financial support for cultural associations and folklore societies to broaden the outreach of their workshops and festivals. According to the State, these challenges could be overcome by encouraging other state institutions to be</w:t>
      </w:r>
      <w:r w:rsidR="00955C28">
        <w:t>come</w:t>
      </w:r>
      <w:r>
        <w:t xml:space="preserve"> involved in the safeguarding programmes, particularly education institutes, including </w:t>
      </w:r>
      <w:r w:rsidR="00955C28">
        <w:t xml:space="preserve">the </w:t>
      </w:r>
      <w:r>
        <w:t xml:space="preserve">music curriculum </w:t>
      </w:r>
      <w:r>
        <w:lastRenderedPageBreak/>
        <w:t xml:space="preserve">in primary and secondary school programmes, promoting multiple focused campaigns to raise awareness </w:t>
      </w:r>
      <w:r w:rsidR="00955C28">
        <w:t>in</w:t>
      </w:r>
      <w:r>
        <w:t xml:space="preserve"> inaccessible parts of the State and</w:t>
      </w:r>
      <w:r w:rsidR="00782ABA">
        <w:t>,</w:t>
      </w:r>
      <w:r>
        <w:t xml:space="preserve"> finally</w:t>
      </w:r>
      <w:r w:rsidR="00782ABA">
        <w:t>,</w:t>
      </w:r>
      <w:r>
        <w:t xml:space="preserve"> </w:t>
      </w:r>
      <w:r w:rsidR="00955C28">
        <w:t xml:space="preserve">establishing </w:t>
      </w:r>
      <w:r>
        <w:t>a coordination team to coordinate all the safeguarding activities within the Ministry of Culture and the Institute of Ethnology and Folklore.</w:t>
      </w:r>
    </w:p>
    <w:p w14:paraId="76F32D19" w14:textId="77777777" w:rsidR="00E476B3" w:rsidRDefault="00E476B3" w:rsidP="00E476B3">
      <w:pPr>
        <w:pStyle w:val="COMPara"/>
        <w:numPr>
          <w:ilvl w:val="0"/>
          <w:numId w:val="9"/>
        </w:numPr>
        <w:spacing w:before="120"/>
        <w:ind w:left="567" w:hanging="567"/>
        <w:jc w:val="both"/>
      </w:pPr>
      <w:r>
        <w:t>The Committee may wish to adopt the following decision:</w:t>
      </w:r>
    </w:p>
    <w:p w14:paraId="6A161210" w14:textId="2B95569D" w:rsidR="00E476B3" w:rsidRDefault="00E476B3" w:rsidP="00E476B3">
      <w:pPr>
        <w:pStyle w:val="Heading4"/>
        <w:numPr>
          <w:ilvl w:val="0"/>
          <w:numId w:val="0"/>
        </w:numPr>
        <w:spacing w:before="240"/>
        <w:ind w:left="567"/>
        <w:rPr>
          <w:rFonts w:eastAsia="SimSun"/>
        </w:rPr>
      </w:pPr>
      <w:bookmarkStart w:id="1" w:name="_DRAFT_DECISION_14.COM"/>
      <w:bookmarkEnd w:id="1"/>
      <w:r>
        <w:rPr>
          <w:rFonts w:eastAsia="SimSun"/>
        </w:rPr>
        <w:t>DRAFT DECISION 14</w:t>
      </w:r>
      <w:r w:rsidRPr="00A746B5">
        <w:rPr>
          <w:rFonts w:eastAsia="SimSun"/>
        </w:rPr>
        <w:t xml:space="preserve">.COM </w:t>
      </w:r>
      <w:r>
        <w:rPr>
          <w:rFonts w:eastAsia="SimSun"/>
        </w:rPr>
        <w:t>9</w:t>
      </w:r>
      <w:r w:rsidRPr="00A746B5">
        <w:rPr>
          <w:rFonts w:eastAsia="SimSun"/>
        </w:rPr>
        <w:t>.</w:t>
      </w:r>
      <w:r w:rsidR="009B4DFD">
        <w:rPr>
          <w:rFonts w:eastAsia="SimSun"/>
        </w:rPr>
        <w:t>a.1</w:t>
      </w:r>
      <w:r w:rsidR="009B4DFD">
        <w:rPr>
          <w:rFonts w:eastAsia="SimSun"/>
        </w:rPr>
        <w:tab/>
      </w:r>
      <w:r w:rsidRPr="002E373B">
        <w:rPr>
          <w:noProof/>
          <w:snapToGrid/>
          <w:szCs w:val="22"/>
          <w:lang w:val="fr-FR" w:eastAsia="ja-JP"/>
        </w:rPr>
        <w:drawing>
          <wp:inline distT="0" distB="0" distL="0" distR="0" wp14:anchorId="728DDE48" wp14:editId="47956379">
            <wp:extent cx="103505" cy="103505"/>
            <wp:effectExtent l="0" t="0" r="0" b="0"/>
            <wp:docPr id="4" name="Picture 4"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BBFE4EC" w14:textId="77777777" w:rsidR="00E476B3" w:rsidRPr="00285BB4" w:rsidRDefault="00E476B3" w:rsidP="00E476B3">
      <w:pPr>
        <w:pStyle w:val="COMPreambulaDecisions"/>
        <w:rPr>
          <w:rFonts w:eastAsia="SimSun"/>
        </w:rPr>
      </w:pPr>
      <w:r w:rsidRPr="00285BB4">
        <w:t>The Committee,</w:t>
      </w:r>
    </w:p>
    <w:p w14:paraId="3BBE2E44" w14:textId="1CEDBFBB" w:rsidR="00E476B3" w:rsidRPr="004C7D40" w:rsidRDefault="00E476B3" w:rsidP="00E476B3">
      <w:pPr>
        <w:pStyle w:val="COMParaDecision"/>
        <w:numPr>
          <w:ilvl w:val="0"/>
          <w:numId w:val="18"/>
        </w:numPr>
        <w:tabs>
          <w:tab w:val="left" w:pos="1134"/>
        </w:tabs>
        <w:ind w:left="1134" w:hanging="567"/>
        <w:rPr>
          <w:u w:val="none"/>
        </w:rPr>
      </w:pPr>
      <w:r w:rsidRPr="004C7D40">
        <w:t>Having examined</w:t>
      </w:r>
      <w:r w:rsidRPr="004C7D40">
        <w:rPr>
          <w:u w:val="none"/>
        </w:rPr>
        <w:t xml:space="preserve"> document </w:t>
      </w:r>
      <w:r w:rsidR="006F0545">
        <w:rPr>
          <w:u w:val="none"/>
        </w:rPr>
        <w:t>LHE</w:t>
      </w:r>
      <w:r w:rsidRPr="003645B2">
        <w:rPr>
          <w:u w:val="none"/>
          <w:lang w:val="en-US"/>
        </w:rPr>
        <w:t>/19/14.COM/</w:t>
      </w:r>
      <w:proofErr w:type="gramStart"/>
      <w:r w:rsidRPr="00E61372">
        <w:rPr>
          <w:u w:val="none"/>
          <w:lang w:val="en-US"/>
        </w:rPr>
        <w:t>9.a</w:t>
      </w:r>
      <w:proofErr w:type="gramEnd"/>
      <w:r w:rsidR="00710AB1">
        <w:rPr>
          <w:u w:val="none"/>
          <w:lang w:val="en-US"/>
        </w:rPr>
        <w:t xml:space="preserve"> Rev.</w:t>
      </w:r>
      <w:r w:rsidRPr="004C7D40">
        <w:rPr>
          <w:u w:val="none"/>
        </w:rPr>
        <w:t>,</w:t>
      </w:r>
    </w:p>
    <w:p w14:paraId="0A01BC5A" w14:textId="77777777" w:rsidR="00E476B3" w:rsidRPr="004C7D40" w:rsidRDefault="00E476B3" w:rsidP="00E476B3">
      <w:pPr>
        <w:pStyle w:val="COMParaDecision"/>
        <w:numPr>
          <w:ilvl w:val="0"/>
          <w:numId w:val="18"/>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r w:rsidRPr="003645B2">
        <w:rPr>
          <w:u w:val="none"/>
        </w:rPr>
        <w:t>Decisions</w:t>
      </w:r>
      <w:r>
        <w:rPr>
          <w:u w:val="none"/>
        </w:rPr>
        <w:t xml:space="preserve"> </w:t>
      </w:r>
      <w:hyperlink r:id="rId28" w:history="1">
        <w:r w:rsidRPr="009D22DD">
          <w:rPr>
            <w:rStyle w:val="Hyperlink"/>
            <w:lang w:val="en-US"/>
          </w:rPr>
          <w:t>5.COM 5.4</w:t>
        </w:r>
      </w:hyperlink>
      <w:r>
        <w:rPr>
          <w:lang w:val="en-US"/>
        </w:rPr>
        <w:t xml:space="preserve"> </w:t>
      </w:r>
      <w:r w:rsidRPr="003645B2">
        <w:rPr>
          <w:u w:val="none"/>
          <w:lang w:val="en-US"/>
        </w:rPr>
        <w:t>and</w:t>
      </w:r>
      <w:r>
        <w:t xml:space="preserve"> </w:t>
      </w:r>
      <w:hyperlink r:id="rId29" w:history="1">
        <w:r w:rsidRPr="009D22DD">
          <w:rPr>
            <w:rStyle w:val="Hyperlink"/>
          </w:rPr>
          <w:t>10.COM 6.b.1</w:t>
        </w:r>
      </w:hyperlink>
      <w:r w:rsidRPr="004C7D40">
        <w:rPr>
          <w:u w:val="none"/>
        </w:rPr>
        <w:t>,</w:t>
      </w:r>
    </w:p>
    <w:p w14:paraId="7FA36D68" w14:textId="77777777" w:rsidR="00E476B3" w:rsidRPr="00131978" w:rsidRDefault="00E476B3" w:rsidP="00E476B3">
      <w:pPr>
        <w:pStyle w:val="COMParaDecision"/>
        <w:numPr>
          <w:ilvl w:val="0"/>
          <w:numId w:val="18"/>
        </w:numPr>
        <w:tabs>
          <w:tab w:val="left" w:pos="1134"/>
        </w:tabs>
        <w:ind w:left="1134" w:hanging="567"/>
        <w:rPr>
          <w:u w:val="none"/>
        </w:rPr>
      </w:pPr>
      <w:r w:rsidRPr="00A14B93">
        <w:t>Expresses its thanks</w:t>
      </w:r>
      <w:r w:rsidRPr="004C7D40">
        <w:rPr>
          <w:u w:val="none"/>
        </w:rPr>
        <w:t xml:space="preserve"> to </w:t>
      </w:r>
      <w:r>
        <w:rPr>
          <w:u w:val="none"/>
        </w:rPr>
        <w:t xml:space="preserve">Croatia </w:t>
      </w:r>
      <w:r w:rsidRPr="004C7D40">
        <w:rPr>
          <w:u w:val="none"/>
        </w:rPr>
        <w:t xml:space="preserve">for submitting, on time, its </w:t>
      </w:r>
      <w:r>
        <w:rPr>
          <w:u w:val="none"/>
        </w:rPr>
        <w:t xml:space="preserve">second </w:t>
      </w:r>
      <w:r w:rsidRPr="004C7D40">
        <w:rPr>
          <w:u w:val="none"/>
        </w:rPr>
        <w:t xml:space="preserve">report on the </w:t>
      </w:r>
      <w:r w:rsidRPr="004C7D40">
        <w:rPr>
          <w:bCs/>
          <w:u w:val="none"/>
        </w:rPr>
        <w:t xml:space="preserve">status of the </w:t>
      </w:r>
      <w:r w:rsidRPr="004C7D40">
        <w:rPr>
          <w:u w:val="none"/>
        </w:rPr>
        <w:t>element ‘</w:t>
      </w:r>
      <w:proofErr w:type="spellStart"/>
      <w:r>
        <w:rPr>
          <w:u w:val="none"/>
        </w:rPr>
        <w:t>Ojkanje</w:t>
      </w:r>
      <w:proofErr w:type="spellEnd"/>
      <w:r>
        <w:rPr>
          <w:u w:val="none"/>
        </w:rPr>
        <w:t xml:space="preserve"> singing</w:t>
      </w:r>
      <w:r w:rsidRPr="004C7D40">
        <w:rPr>
          <w:u w:val="none"/>
        </w:rPr>
        <w:t>’, inscribed</w:t>
      </w:r>
      <w:r>
        <w:rPr>
          <w:bCs/>
          <w:u w:val="none"/>
        </w:rPr>
        <w:t xml:space="preserve"> in 2010</w:t>
      </w:r>
      <w:r w:rsidRPr="004C7D40">
        <w:rPr>
          <w:bCs/>
          <w:u w:val="none"/>
        </w:rPr>
        <w:t xml:space="preserve"> on the List of Intangible Cultural Heritage in Need of Urgent Safeguarding;</w:t>
      </w:r>
    </w:p>
    <w:p w14:paraId="3BA92F22" w14:textId="4FAE70DE" w:rsidR="00E476B3" w:rsidRPr="007F6487" w:rsidRDefault="00E476B3" w:rsidP="00E476B3">
      <w:pPr>
        <w:pStyle w:val="COMParaDecision"/>
        <w:numPr>
          <w:ilvl w:val="0"/>
          <w:numId w:val="18"/>
        </w:numPr>
        <w:tabs>
          <w:tab w:val="left" w:pos="1134"/>
        </w:tabs>
        <w:ind w:left="1134" w:hanging="567"/>
      </w:pPr>
      <w:r w:rsidRPr="00131978">
        <w:t>Takes note</w:t>
      </w:r>
      <w:r>
        <w:rPr>
          <w:u w:val="none"/>
        </w:rPr>
        <w:t xml:space="preserve"> of the continued effort</w:t>
      </w:r>
      <w:r w:rsidR="00782ABA">
        <w:rPr>
          <w:u w:val="none"/>
        </w:rPr>
        <w:t>s</w:t>
      </w:r>
      <w:r>
        <w:rPr>
          <w:u w:val="none"/>
        </w:rPr>
        <w:t xml:space="preserve"> undertaken by Croatia to safeguard the element</w:t>
      </w:r>
      <w:r w:rsidR="00955C28">
        <w:rPr>
          <w:u w:val="none"/>
        </w:rPr>
        <w:t>,</w:t>
      </w:r>
      <w:r>
        <w:rPr>
          <w:u w:val="none"/>
        </w:rPr>
        <w:t xml:space="preserve"> especially by enhancing transmission processes and creating favourable conditions in that regard, raising awareness among communities, involving cultural associations and folklore societies in capacity-building workshops, supporting the organization of festivals, </w:t>
      </w:r>
      <w:r w:rsidRPr="006C030B">
        <w:rPr>
          <w:u w:val="none"/>
        </w:rPr>
        <w:t>encouraging cooperation between bearers</w:t>
      </w:r>
      <w:r w:rsidR="00782ABA" w:rsidRPr="006C030B">
        <w:rPr>
          <w:u w:val="none"/>
        </w:rPr>
        <w:t>,</w:t>
      </w:r>
      <w:r w:rsidRPr="006C030B">
        <w:rPr>
          <w:u w:val="none"/>
        </w:rPr>
        <w:t xml:space="preserve"> and attracting young pract</w:t>
      </w:r>
      <w:r w:rsidRPr="007F6487">
        <w:rPr>
          <w:u w:val="none"/>
        </w:rPr>
        <w:t xml:space="preserve">itioners to </w:t>
      </w:r>
      <w:proofErr w:type="spellStart"/>
      <w:r w:rsidRPr="007F6487">
        <w:rPr>
          <w:u w:val="none"/>
        </w:rPr>
        <w:t>Ojkanje</w:t>
      </w:r>
      <w:proofErr w:type="spellEnd"/>
      <w:r w:rsidRPr="007F6487">
        <w:rPr>
          <w:u w:val="none"/>
        </w:rPr>
        <w:t xml:space="preserve"> singing;</w:t>
      </w:r>
    </w:p>
    <w:p w14:paraId="64820B08" w14:textId="648CFCE2" w:rsidR="00E476B3" w:rsidRPr="00C521EF" w:rsidRDefault="00E476B3" w:rsidP="00E476B3">
      <w:pPr>
        <w:pStyle w:val="COMParaDecision"/>
        <w:numPr>
          <w:ilvl w:val="0"/>
          <w:numId w:val="18"/>
        </w:numPr>
        <w:tabs>
          <w:tab w:val="left" w:pos="1134"/>
        </w:tabs>
        <w:ind w:left="1134" w:hanging="567"/>
      </w:pPr>
      <w:r w:rsidRPr="007F6487">
        <w:t>Invites</w:t>
      </w:r>
      <w:r w:rsidRPr="007F6487">
        <w:rPr>
          <w:u w:val="none"/>
        </w:rPr>
        <w:t xml:space="preserve"> the State Party to pursue its efforts to make the practice relevant in the local context by ensuring greater involvement </w:t>
      </w:r>
      <w:r w:rsidR="00782ABA" w:rsidRPr="007F6487">
        <w:rPr>
          <w:u w:val="none"/>
        </w:rPr>
        <w:t xml:space="preserve">by </w:t>
      </w:r>
      <w:r w:rsidRPr="007F6487">
        <w:rPr>
          <w:u w:val="none"/>
        </w:rPr>
        <w:t>communities and practitioners, both men and women, in workshops and festivals organized by cult</w:t>
      </w:r>
      <w:r w:rsidRPr="006C030B">
        <w:rPr>
          <w:u w:val="none"/>
        </w:rPr>
        <w:t>ural associations, encouraging further cooperation between practitioners and finding appropriate</w:t>
      </w:r>
      <w:r>
        <w:rPr>
          <w:u w:val="none"/>
        </w:rPr>
        <w:t xml:space="preserve"> ways and means to promote direct traditional learning;</w:t>
      </w:r>
    </w:p>
    <w:p w14:paraId="6BEE3062" w14:textId="6AC590D7" w:rsidR="00E476B3" w:rsidRDefault="00E476B3" w:rsidP="00E476B3">
      <w:pPr>
        <w:pStyle w:val="COMParaDecision"/>
        <w:numPr>
          <w:ilvl w:val="0"/>
          <w:numId w:val="18"/>
        </w:numPr>
        <w:tabs>
          <w:tab w:val="left" w:pos="1134"/>
        </w:tabs>
        <w:ind w:left="1134" w:hanging="567"/>
      </w:pPr>
      <w:r>
        <w:t>Further invites</w:t>
      </w:r>
      <w:r>
        <w:rPr>
          <w:u w:val="none"/>
        </w:rPr>
        <w:t xml:space="preserve"> the State Party to pursue its efforts </w:t>
      </w:r>
      <w:r w:rsidR="00782ABA">
        <w:rPr>
          <w:u w:val="none"/>
        </w:rPr>
        <w:t>to establish</w:t>
      </w:r>
      <w:r>
        <w:rPr>
          <w:u w:val="none"/>
        </w:rPr>
        <w:t xml:space="preserve"> a</w:t>
      </w:r>
      <w:r w:rsidR="00955C28">
        <w:rPr>
          <w:u w:val="none"/>
        </w:rPr>
        <w:t>n</w:t>
      </w:r>
      <w:r>
        <w:rPr>
          <w:u w:val="none"/>
        </w:rPr>
        <w:t xml:space="preserve"> </w:t>
      </w:r>
      <w:proofErr w:type="spellStart"/>
      <w:r>
        <w:rPr>
          <w:u w:val="none"/>
        </w:rPr>
        <w:t>Ojkanje</w:t>
      </w:r>
      <w:proofErr w:type="spellEnd"/>
      <w:r>
        <w:rPr>
          <w:u w:val="none"/>
        </w:rPr>
        <w:t xml:space="preserve"> singing</w:t>
      </w:r>
      <w:r w:rsidDel="00E61372">
        <w:rPr>
          <w:u w:val="none"/>
        </w:rPr>
        <w:t xml:space="preserve"> </w:t>
      </w:r>
      <w:r>
        <w:rPr>
          <w:u w:val="none"/>
        </w:rPr>
        <w:t>centre</w:t>
      </w:r>
      <w:r w:rsidR="00955C28">
        <w:rPr>
          <w:u w:val="none"/>
        </w:rPr>
        <w:t xml:space="preserve"> </w:t>
      </w:r>
      <w:r>
        <w:rPr>
          <w:u w:val="none"/>
          <w:lang w:val="en-US"/>
        </w:rPr>
        <w:t>and to report on it in its</w:t>
      </w:r>
      <w:r w:rsidR="00955C28">
        <w:rPr>
          <w:u w:val="none"/>
          <w:lang w:val="en-US"/>
        </w:rPr>
        <w:t xml:space="preserve"> </w:t>
      </w:r>
      <w:r>
        <w:rPr>
          <w:u w:val="none"/>
        </w:rPr>
        <w:t>next report;</w:t>
      </w:r>
    </w:p>
    <w:p w14:paraId="2BC310D2" w14:textId="3A1074AF" w:rsidR="00E476B3" w:rsidRDefault="00E476B3" w:rsidP="00E476B3">
      <w:pPr>
        <w:pStyle w:val="COMParaDecision"/>
        <w:numPr>
          <w:ilvl w:val="0"/>
          <w:numId w:val="18"/>
        </w:numPr>
        <w:tabs>
          <w:tab w:val="left" w:pos="1134"/>
        </w:tabs>
        <w:ind w:left="1134" w:hanging="567"/>
      </w:pPr>
      <w:r>
        <w:t>Encourages</w:t>
      </w:r>
      <w:r>
        <w:rPr>
          <w:u w:val="none"/>
        </w:rPr>
        <w:t xml:space="preserve"> the State Party to continue </w:t>
      </w:r>
      <w:r w:rsidR="00955C28">
        <w:rPr>
          <w:u w:val="none"/>
        </w:rPr>
        <w:t>regularly monitoring</w:t>
      </w:r>
      <w:r>
        <w:rPr>
          <w:u w:val="none"/>
        </w:rPr>
        <w:t xml:space="preserve"> the element and to pay particular attention to </w:t>
      </w:r>
      <w:r w:rsidR="00955C28">
        <w:rPr>
          <w:u w:val="none"/>
        </w:rPr>
        <w:t xml:space="preserve">the </w:t>
      </w:r>
      <w:r>
        <w:rPr>
          <w:u w:val="none"/>
        </w:rPr>
        <w:t>continued participation of bearers in the transmission activities undertaken by the cultural associations and folklore societies;</w:t>
      </w:r>
    </w:p>
    <w:p w14:paraId="75690D72" w14:textId="55004DF9" w:rsidR="00E476B3" w:rsidRDefault="00E476B3" w:rsidP="00E476B3">
      <w:pPr>
        <w:pStyle w:val="COMParaDecision"/>
        <w:numPr>
          <w:ilvl w:val="0"/>
          <w:numId w:val="18"/>
        </w:numPr>
        <w:tabs>
          <w:tab w:val="left" w:pos="1134"/>
        </w:tabs>
        <w:ind w:left="1134" w:hanging="567"/>
      </w:pPr>
      <w:r>
        <w:t>Recalls</w:t>
      </w:r>
      <w:r w:rsidRPr="003645B2">
        <w:rPr>
          <w:u w:val="none"/>
        </w:rPr>
        <w:t xml:space="preserve"> the importance of </w:t>
      </w:r>
      <w:r>
        <w:rPr>
          <w:u w:val="none"/>
        </w:rPr>
        <w:t xml:space="preserve">assessing the role of tourism entities in promoting the element and performances of </w:t>
      </w:r>
      <w:proofErr w:type="spellStart"/>
      <w:r>
        <w:rPr>
          <w:u w:val="none"/>
        </w:rPr>
        <w:t>Ojkanje</w:t>
      </w:r>
      <w:proofErr w:type="spellEnd"/>
      <w:r>
        <w:rPr>
          <w:u w:val="none"/>
        </w:rPr>
        <w:t xml:space="preserve"> singing in order to avoid </w:t>
      </w:r>
      <w:r w:rsidR="00955C28">
        <w:rPr>
          <w:u w:val="none"/>
        </w:rPr>
        <w:t xml:space="preserve">the potential </w:t>
      </w:r>
      <w:r>
        <w:rPr>
          <w:u w:val="none"/>
        </w:rPr>
        <w:t>commodification or denaturation of the element;</w:t>
      </w:r>
    </w:p>
    <w:p w14:paraId="5A35C15A" w14:textId="4EC5ED28" w:rsidR="00E476B3" w:rsidRPr="005F0550" w:rsidRDefault="00E476B3" w:rsidP="00E476B3">
      <w:pPr>
        <w:pStyle w:val="COMParaDecision"/>
        <w:numPr>
          <w:ilvl w:val="0"/>
          <w:numId w:val="18"/>
        </w:numPr>
        <w:tabs>
          <w:tab w:val="left" w:pos="1134"/>
        </w:tabs>
        <w:ind w:left="1134" w:hanging="567"/>
      </w:pPr>
      <w:r>
        <w:t>Requests</w:t>
      </w:r>
      <w:r>
        <w:rPr>
          <w:u w:val="none"/>
        </w:rPr>
        <w:t xml:space="preserve"> </w:t>
      </w:r>
      <w:r w:rsidR="00955C28">
        <w:rPr>
          <w:u w:val="none"/>
        </w:rPr>
        <w:t xml:space="preserve">that </w:t>
      </w:r>
      <w:r>
        <w:rPr>
          <w:u w:val="none"/>
        </w:rPr>
        <w:t>the Secretariat inform the State Party at least nine months prior to the deadline of 15 December 2022 about the required submission of its next report on the status of this element.</w:t>
      </w:r>
    </w:p>
    <w:p w14:paraId="5B478C1C" w14:textId="0CD4561A" w:rsidR="00B24F44" w:rsidRDefault="00B24F44">
      <w:pPr>
        <w:rPr>
          <w:rFonts w:ascii="Arial" w:eastAsia="SimSun" w:hAnsi="Arial" w:cs="Arial"/>
          <w:sz w:val="22"/>
          <w:szCs w:val="22"/>
          <w:u w:val="single"/>
          <w:lang w:val="en-GB"/>
        </w:rPr>
      </w:pPr>
      <w:r w:rsidRPr="009F3972">
        <w:rPr>
          <w:lang w:val="en-GB"/>
        </w:rPr>
        <w:br w:type="page"/>
      </w:r>
    </w:p>
    <w:p w14:paraId="48F7E47C" w14:textId="1C7B71F4" w:rsidR="0053318C" w:rsidRDefault="00B24F44" w:rsidP="00B24F44">
      <w:pPr>
        <w:pStyle w:val="COMParaDecision"/>
        <w:ind w:left="567"/>
        <w:rPr>
          <w:u w:val="none"/>
        </w:rPr>
      </w:pPr>
      <w:r w:rsidRPr="00B24F44">
        <w:rPr>
          <w:b/>
          <w:u w:val="none"/>
        </w:rPr>
        <w:lastRenderedPageBreak/>
        <w:t>Kenya</w:t>
      </w:r>
      <w:r w:rsidRPr="00131978">
        <w:rPr>
          <w:b/>
          <w:u w:val="none"/>
        </w:rPr>
        <w:t>: ‘</w:t>
      </w:r>
      <w:proofErr w:type="spellStart"/>
      <w:r w:rsidRPr="00B24F44">
        <w:rPr>
          <w:b/>
          <w:u w:val="none"/>
        </w:rPr>
        <w:t>Isukuti</w:t>
      </w:r>
      <w:proofErr w:type="spellEnd"/>
      <w:r w:rsidRPr="00B24F44">
        <w:rPr>
          <w:b/>
          <w:u w:val="none"/>
        </w:rPr>
        <w:t xml:space="preserve"> dance of </w:t>
      </w:r>
      <w:proofErr w:type="spellStart"/>
      <w:r w:rsidRPr="00B24F44">
        <w:rPr>
          <w:b/>
          <w:u w:val="none"/>
        </w:rPr>
        <w:t>Isukha</w:t>
      </w:r>
      <w:proofErr w:type="spellEnd"/>
      <w:r w:rsidRPr="00B24F44">
        <w:rPr>
          <w:b/>
          <w:u w:val="none"/>
        </w:rPr>
        <w:t xml:space="preserve"> and </w:t>
      </w:r>
      <w:proofErr w:type="spellStart"/>
      <w:r w:rsidRPr="00B24F44">
        <w:rPr>
          <w:b/>
          <w:u w:val="none"/>
        </w:rPr>
        <w:t>Idakho</w:t>
      </w:r>
      <w:proofErr w:type="spellEnd"/>
      <w:r w:rsidRPr="00B24F44">
        <w:rPr>
          <w:b/>
          <w:u w:val="none"/>
        </w:rPr>
        <w:t xml:space="preserve"> communities of Western Kenya</w:t>
      </w:r>
      <w:r w:rsidRPr="00131978">
        <w:rPr>
          <w:b/>
          <w:u w:val="none"/>
        </w:rPr>
        <w:t>’</w:t>
      </w:r>
      <w:r w:rsidRPr="00131978">
        <w:rPr>
          <w:u w:val="none"/>
        </w:rPr>
        <w:t xml:space="preserve"> </w:t>
      </w:r>
      <w:r w:rsidRPr="00131978">
        <w:rPr>
          <w:i/>
          <w:u w:val="none"/>
        </w:rPr>
        <w:t>(</w:t>
      </w:r>
      <w:r w:rsidRPr="003A36FE">
        <w:rPr>
          <w:i/>
          <w:u w:val="none"/>
        </w:rPr>
        <w:t xml:space="preserve">consult the </w:t>
      </w:r>
      <w:hyperlink r:id="rId30" w:history="1">
        <w:r w:rsidRPr="003A36FE">
          <w:rPr>
            <w:rStyle w:val="Hyperlink"/>
            <w:i/>
          </w:rPr>
          <w:t>report</w:t>
        </w:r>
      </w:hyperlink>
      <w:r w:rsidRPr="003A36FE">
        <w:rPr>
          <w:i/>
          <w:u w:val="none"/>
        </w:rPr>
        <w:t>)</w:t>
      </w:r>
    </w:p>
    <w:p w14:paraId="2CE9D303" w14:textId="5CC05F81" w:rsidR="00194DDB" w:rsidRPr="00050D5D" w:rsidRDefault="00194DDB" w:rsidP="00194DDB">
      <w:pPr>
        <w:pStyle w:val="COMPara"/>
        <w:numPr>
          <w:ilvl w:val="0"/>
          <w:numId w:val="9"/>
        </w:numPr>
        <w:spacing w:before="120"/>
        <w:ind w:left="567" w:hanging="567"/>
        <w:jc w:val="both"/>
      </w:pPr>
      <w:r w:rsidRPr="000958E8">
        <w:t xml:space="preserve">The </w:t>
      </w:r>
      <w:proofErr w:type="spellStart"/>
      <w:r w:rsidRPr="003645B2">
        <w:rPr>
          <w:iCs/>
        </w:rPr>
        <w:t>Isukuti</w:t>
      </w:r>
      <w:proofErr w:type="spellEnd"/>
      <w:r w:rsidRPr="003645B2">
        <w:rPr>
          <w:iCs/>
        </w:rPr>
        <w:t xml:space="preserve"> dance </w:t>
      </w:r>
      <w:r w:rsidRPr="000958E8">
        <w:t xml:space="preserve">is a traditional dance expression practised among the </w:t>
      </w:r>
      <w:proofErr w:type="spellStart"/>
      <w:r w:rsidRPr="000958E8">
        <w:t>Isukha</w:t>
      </w:r>
      <w:proofErr w:type="spellEnd"/>
      <w:r w:rsidRPr="000958E8">
        <w:t xml:space="preserve"> and </w:t>
      </w:r>
      <w:proofErr w:type="spellStart"/>
      <w:r w:rsidRPr="000958E8">
        <w:t>Idakho</w:t>
      </w:r>
      <w:proofErr w:type="spellEnd"/>
      <w:r w:rsidRPr="000958E8">
        <w:t xml:space="preserve"> communities of Western Ke</w:t>
      </w:r>
      <w:r w:rsidRPr="003645B2">
        <w:rPr>
          <w:iCs/>
        </w:rPr>
        <w:t>nya</w:t>
      </w:r>
      <w:r w:rsidRPr="00F304BB">
        <w:t>.</w:t>
      </w:r>
      <w:r>
        <w:t xml:space="preserve"> It is a rhythmical movement dance generally accompanied by fast-paced, energetic drumbeats</w:t>
      </w:r>
      <w:r w:rsidRPr="00F304BB">
        <w:t xml:space="preserve"> and singing. An integral tool for cultural transmission and harmonious coexistence between families and communities, it </w:t>
      </w:r>
      <w:r>
        <w:t>is performed on</w:t>
      </w:r>
      <w:r w:rsidRPr="00F304BB">
        <w:t xml:space="preserve"> most occasions and stages in life</w:t>
      </w:r>
      <w:r>
        <w:t>,</w:t>
      </w:r>
      <w:r w:rsidRPr="00F304BB">
        <w:t xml:space="preserve"> including childbirths, initiations, weddings, funerals, commemorations, inaugurations, religious festivities, sporting events and other public congregations. The drums used in the performance</w:t>
      </w:r>
      <w:r>
        <w:t xml:space="preserve"> </w:t>
      </w:r>
      <w:r w:rsidR="000C30CD">
        <w:t>are</w:t>
      </w:r>
      <w:r w:rsidR="000C30CD" w:rsidRPr="00F304BB">
        <w:t xml:space="preserve"> </w:t>
      </w:r>
      <w:r w:rsidRPr="00F304BB">
        <w:t xml:space="preserve">played in sets of three – a big, medium and small drum </w:t>
      </w:r>
      <w:r>
        <w:t xml:space="preserve">signifying harmony in diversity and that </w:t>
      </w:r>
      <w:r w:rsidRPr="00396D49">
        <w:t>the contribution of each element is valuable</w:t>
      </w:r>
      <w:r w:rsidRPr="006C2498">
        <w:t>.</w:t>
      </w:r>
      <w:r>
        <w:t xml:space="preserve"> The drums are</w:t>
      </w:r>
      <w:r w:rsidRPr="00F304BB">
        <w:t xml:space="preserve"> normally accompanied by </w:t>
      </w:r>
      <w:r>
        <w:t xml:space="preserve">a metal ring, </w:t>
      </w:r>
      <w:r w:rsidRPr="00F304BB">
        <w:t>an antelope horn and assorted metal rattles. A soloist leads the dance, singing thematic texts</w:t>
      </w:r>
      <w:r>
        <w:t xml:space="preserve"> related to social issues, nature and life</w:t>
      </w:r>
      <w:r w:rsidRPr="00F304BB">
        <w:t xml:space="preserve"> in tandem with </w:t>
      </w:r>
      <w:r>
        <w:t xml:space="preserve">the harmonic </w:t>
      </w:r>
      <w:r w:rsidRPr="00F304BB">
        <w:t>rhythm of the drumbeats and the steps of the dancers, arranged in separate rows for men and women</w:t>
      </w:r>
      <w:r w:rsidRPr="00050D5D">
        <w:t>.</w:t>
      </w:r>
      <w:r w:rsidRPr="00A83A65">
        <w:rPr>
          <w:lang w:val="en-US"/>
        </w:rPr>
        <w:t xml:space="preserve"> </w:t>
      </w:r>
      <w:proofErr w:type="spellStart"/>
      <w:r w:rsidRPr="00A83A65">
        <w:t>Isukuti</w:t>
      </w:r>
      <w:proofErr w:type="spellEnd"/>
      <w:r w:rsidRPr="00A83A65">
        <w:t xml:space="preserve"> is </w:t>
      </w:r>
      <w:r w:rsidR="00744301">
        <w:t>very important</w:t>
      </w:r>
      <w:r w:rsidR="00744301" w:rsidRPr="00A83A65">
        <w:t xml:space="preserve"> </w:t>
      </w:r>
      <w:r w:rsidRPr="00A83A65">
        <w:t>to the identity of the two communities and provides them with a sense of unity and a spirit of continuity.</w:t>
      </w:r>
    </w:p>
    <w:p w14:paraId="2150DEA7" w14:textId="14083C3A" w:rsidR="00194DDB" w:rsidRPr="00050D5D" w:rsidRDefault="00194DDB" w:rsidP="00194DDB">
      <w:pPr>
        <w:pStyle w:val="COMPara"/>
        <w:numPr>
          <w:ilvl w:val="0"/>
          <w:numId w:val="9"/>
        </w:numPr>
        <w:spacing w:before="120"/>
        <w:ind w:left="567" w:hanging="567"/>
        <w:jc w:val="both"/>
      </w:pPr>
      <w:r w:rsidRPr="00050D5D">
        <w:rPr>
          <w:b/>
        </w:rPr>
        <w:t>Effectiveness</w:t>
      </w:r>
      <w:r w:rsidRPr="00F304BB">
        <w:rPr>
          <w:b/>
        </w:rPr>
        <w:t xml:space="preserve"> of the safeguarding plan</w:t>
      </w:r>
      <w:r w:rsidRPr="00F304BB">
        <w:t>.</w:t>
      </w:r>
      <w:r>
        <w:t xml:space="preserve"> The safeguarding plan of the </w:t>
      </w:r>
      <w:proofErr w:type="spellStart"/>
      <w:r w:rsidRPr="003645B2">
        <w:rPr>
          <w:iCs/>
        </w:rPr>
        <w:t>Isukuti</w:t>
      </w:r>
      <w:proofErr w:type="spellEnd"/>
      <w:r w:rsidRPr="003645B2">
        <w:rPr>
          <w:iCs/>
        </w:rPr>
        <w:t xml:space="preserve"> dance of </w:t>
      </w:r>
      <w:proofErr w:type="spellStart"/>
      <w:r w:rsidRPr="003645B2">
        <w:rPr>
          <w:iCs/>
        </w:rPr>
        <w:t>Isukha</w:t>
      </w:r>
      <w:proofErr w:type="spellEnd"/>
      <w:r w:rsidRPr="003645B2">
        <w:rPr>
          <w:iCs/>
        </w:rPr>
        <w:t xml:space="preserve"> and </w:t>
      </w:r>
      <w:proofErr w:type="spellStart"/>
      <w:r w:rsidRPr="003645B2">
        <w:rPr>
          <w:iCs/>
        </w:rPr>
        <w:t>Idakho</w:t>
      </w:r>
      <w:proofErr w:type="spellEnd"/>
      <w:r w:rsidRPr="003645B2">
        <w:rPr>
          <w:iCs/>
        </w:rPr>
        <w:t xml:space="preserve"> communities of Western Kenya</w:t>
      </w:r>
      <w:r>
        <w:t xml:space="preserve"> focused on research, documentation, transmission, capacity building, </w:t>
      </w:r>
      <w:r w:rsidR="00782ABA">
        <w:t xml:space="preserve">the </w:t>
      </w:r>
      <w:r>
        <w:t xml:space="preserve">promotion of the element and environmental sustainability. Several measures have been implemented to strengthen the viability of the element. These include: </w:t>
      </w:r>
      <w:r w:rsidR="00782ABA">
        <w:t xml:space="preserve">the organization of </w:t>
      </w:r>
      <w:r>
        <w:t xml:space="preserve">seminars and training sessions for </w:t>
      </w:r>
      <w:proofErr w:type="spellStart"/>
      <w:r>
        <w:t>Isukuti</w:t>
      </w:r>
      <w:proofErr w:type="spellEnd"/>
      <w:r>
        <w:t xml:space="preserve"> trainers; </w:t>
      </w:r>
      <w:r w:rsidR="000C30CD">
        <w:t xml:space="preserve">the </w:t>
      </w:r>
      <w:r>
        <w:t xml:space="preserve">production and dissemination of audio and video materials on the element; workshops for the younger generation to assimilate the </w:t>
      </w:r>
      <w:proofErr w:type="spellStart"/>
      <w:r>
        <w:t>Isukuti</w:t>
      </w:r>
      <w:proofErr w:type="spellEnd"/>
      <w:r>
        <w:t xml:space="preserve"> drum playing skills; </w:t>
      </w:r>
      <w:r w:rsidR="000C30CD">
        <w:t xml:space="preserve">the </w:t>
      </w:r>
      <w:r>
        <w:t xml:space="preserve">integration of </w:t>
      </w:r>
      <w:proofErr w:type="spellStart"/>
      <w:r>
        <w:t>Isukuti</w:t>
      </w:r>
      <w:proofErr w:type="spellEnd"/>
      <w:r>
        <w:t xml:space="preserve"> dance as</w:t>
      </w:r>
      <w:r w:rsidR="000C30CD">
        <w:t xml:space="preserve"> an </w:t>
      </w:r>
      <w:r>
        <w:t xml:space="preserve">extra-curricular activity into school programmes; and collaboration with forest departments and counties in </w:t>
      </w:r>
      <w:r w:rsidR="000C30CD">
        <w:t>replanting</w:t>
      </w:r>
      <w:r>
        <w:t xml:space="preserve"> indigenous tree species used for making drums. As reported, the Department of Culture also held its annual cultural festival ‘Kenya Music and Cultural Festival’ </w:t>
      </w:r>
      <w:r w:rsidR="000C30CD">
        <w:t xml:space="preserve">at </w:t>
      </w:r>
      <w:r w:rsidRPr="00050D5D">
        <w:t xml:space="preserve">Masinde </w:t>
      </w:r>
      <w:proofErr w:type="spellStart"/>
      <w:r w:rsidRPr="00050D5D">
        <w:t>Muliro</w:t>
      </w:r>
      <w:proofErr w:type="spellEnd"/>
      <w:r w:rsidRPr="00050D5D">
        <w:t xml:space="preserve"> University in Kakamega County, with the objective of </w:t>
      </w:r>
      <w:r w:rsidR="000C30CD">
        <w:t xml:space="preserve">achieving </w:t>
      </w:r>
      <w:r w:rsidRPr="00050D5D">
        <w:t xml:space="preserve">widespread awareness </w:t>
      </w:r>
      <w:r w:rsidR="000C30CD">
        <w:t xml:space="preserve">of </w:t>
      </w:r>
      <w:proofErr w:type="spellStart"/>
      <w:r w:rsidR="000C30CD" w:rsidRPr="00050D5D">
        <w:t>Isukuti</w:t>
      </w:r>
      <w:proofErr w:type="spellEnd"/>
      <w:r w:rsidR="000C30CD" w:rsidRPr="00050D5D">
        <w:t xml:space="preserve"> dance </w:t>
      </w:r>
      <w:r w:rsidRPr="00050D5D">
        <w:t>among</w:t>
      </w:r>
      <w:r w:rsidR="000C30CD">
        <w:t xml:space="preserve"> the </w:t>
      </w:r>
      <w:r w:rsidRPr="00050D5D">
        <w:t>communities.</w:t>
      </w:r>
    </w:p>
    <w:p w14:paraId="367A67DD" w14:textId="7AB8747A" w:rsidR="00194DDB" w:rsidRPr="00A129E2" w:rsidRDefault="00194DDB" w:rsidP="00194DDB">
      <w:pPr>
        <w:pStyle w:val="COMPara"/>
        <w:numPr>
          <w:ilvl w:val="0"/>
          <w:numId w:val="9"/>
        </w:numPr>
        <w:spacing w:before="120"/>
        <w:ind w:left="567" w:hanging="567"/>
        <w:jc w:val="both"/>
      </w:pPr>
      <w:r w:rsidRPr="00050D5D">
        <w:t xml:space="preserve">The inscription </w:t>
      </w:r>
      <w:r w:rsidR="000C30CD">
        <w:t xml:space="preserve">of the element </w:t>
      </w:r>
      <w:r w:rsidRPr="00050D5D">
        <w:t xml:space="preserve">on the </w:t>
      </w:r>
      <w:r w:rsidR="000C30CD">
        <w:t xml:space="preserve">Urgent Safeguarding </w:t>
      </w:r>
      <w:r w:rsidRPr="00050D5D">
        <w:t xml:space="preserve">List and the implementation of the safeguarding plan has </w:t>
      </w:r>
      <w:r w:rsidR="000C30CD">
        <w:t>made it possible</w:t>
      </w:r>
      <w:r w:rsidRPr="00050D5D">
        <w:t xml:space="preserve"> to significantly</w:t>
      </w:r>
      <w:r>
        <w:t xml:space="preserve"> raise awareness </w:t>
      </w:r>
      <w:r w:rsidR="000C30CD">
        <w:t xml:space="preserve">about </w:t>
      </w:r>
      <w:r>
        <w:t xml:space="preserve">the need to safeguard not only the values associated with the element but </w:t>
      </w:r>
      <w:r w:rsidR="000C30CD">
        <w:t xml:space="preserve">also </w:t>
      </w:r>
      <w:r>
        <w:t xml:space="preserve">its importance as a symbol of identity for the two communities. However, there are certain aspects associated with the element that still require urgent safeguarding </w:t>
      </w:r>
      <w:r w:rsidRPr="00A129E2">
        <w:t>to ensure the transmission of the practice</w:t>
      </w:r>
      <w:r>
        <w:t>. The new generation of practitioners have</w:t>
      </w:r>
      <w:r w:rsidRPr="00E073C7">
        <w:t xml:space="preserve"> learnt </w:t>
      </w:r>
      <w:proofErr w:type="spellStart"/>
      <w:r w:rsidRPr="00E073C7">
        <w:t>Isukuti</w:t>
      </w:r>
      <w:proofErr w:type="spellEnd"/>
      <w:r w:rsidRPr="00E073C7">
        <w:t xml:space="preserve"> through observation </w:t>
      </w:r>
      <w:r>
        <w:t xml:space="preserve">without any apprenticeship </w:t>
      </w:r>
      <w:r w:rsidRPr="003952F9">
        <w:t xml:space="preserve">from </w:t>
      </w:r>
      <w:r>
        <w:t>bearers</w:t>
      </w:r>
      <w:r>
        <w:rPr>
          <w:lang w:val="en-US"/>
        </w:rPr>
        <w:t xml:space="preserve">. </w:t>
      </w:r>
      <w:r w:rsidRPr="00E073C7">
        <w:t xml:space="preserve">As a result, traditional features </w:t>
      </w:r>
      <w:r>
        <w:t>such as the role of each drum</w:t>
      </w:r>
      <w:r w:rsidRPr="00E073C7">
        <w:t xml:space="preserve"> </w:t>
      </w:r>
      <w:r>
        <w:t xml:space="preserve">or </w:t>
      </w:r>
      <w:r w:rsidRPr="00E073C7">
        <w:t xml:space="preserve">the </w:t>
      </w:r>
      <w:r>
        <w:t xml:space="preserve">meaningful values </w:t>
      </w:r>
      <w:r w:rsidR="001D7EDE">
        <w:t xml:space="preserve">of </w:t>
      </w:r>
      <w:r>
        <w:t>the songs are</w:t>
      </w:r>
      <w:r w:rsidRPr="00E073C7">
        <w:t xml:space="preserve"> continually diminishing. Most of the older members of the community feel this cultural expression has lost </w:t>
      </w:r>
      <w:r w:rsidR="001D7EDE">
        <w:t xml:space="preserve">its </w:t>
      </w:r>
      <w:r>
        <w:t xml:space="preserve">true symbolic meaning. </w:t>
      </w:r>
      <w:r w:rsidRPr="00A129E2">
        <w:t>Nevertheless, the communities have developed a sense of ownership and pride in contributing to the implementation of the safeguarding plan. Strong collaborative efforts between the Department of Culture and local communities, bearers and other stakeholders</w:t>
      </w:r>
      <w:r w:rsidR="001D7EDE">
        <w:t>,</w:t>
      </w:r>
      <w:r w:rsidRPr="00A129E2">
        <w:t xml:space="preserve"> including the Department of Forest Services, </w:t>
      </w:r>
      <w:r w:rsidR="001D7EDE">
        <w:t xml:space="preserve">have been </w:t>
      </w:r>
      <w:r w:rsidRPr="00A129E2">
        <w:t>highlighted</w:t>
      </w:r>
      <w:r w:rsidR="001D7EDE">
        <w:t>,</w:t>
      </w:r>
      <w:r w:rsidRPr="00A129E2">
        <w:t xml:space="preserve"> especially in relation to organizing programmes for replanting indigenous trees essential for </w:t>
      </w:r>
      <w:r w:rsidR="001D7EDE">
        <w:t>producing</w:t>
      </w:r>
      <w:r w:rsidRPr="00A129E2">
        <w:t xml:space="preserve"> the drums. Furthermore, the positive feedback from schools that participated in the </w:t>
      </w:r>
      <w:proofErr w:type="spellStart"/>
      <w:r w:rsidRPr="00A129E2">
        <w:t>Isukuti</w:t>
      </w:r>
      <w:proofErr w:type="spellEnd"/>
      <w:r w:rsidRPr="00A129E2">
        <w:t xml:space="preserve"> workshop training reaffirm</w:t>
      </w:r>
      <w:r>
        <w:t>s</w:t>
      </w:r>
      <w:r w:rsidRPr="00A129E2">
        <w:t xml:space="preserve"> their interest in continuing </w:t>
      </w:r>
      <w:r w:rsidR="001D7EDE">
        <w:t>to integrate</w:t>
      </w:r>
      <w:r w:rsidRPr="00A129E2">
        <w:t xml:space="preserve"> the element into school curricul</w:t>
      </w:r>
      <w:r w:rsidR="001D7EDE">
        <w:t>a</w:t>
      </w:r>
      <w:r w:rsidRPr="00A129E2">
        <w:t xml:space="preserve"> in the upcoming years and</w:t>
      </w:r>
      <w:r w:rsidR="001D7EDE">
        <w:t xml:space="preserve"> in</w:t>
      </w:r>
      <w:r w:rsidRPr="00A129E2">
        <w:t xml:space="preserve"> contribut</w:t>
      </w:r>
      <w:r w:rsidR="001D7EDE">
        <w:t>ing</w:t>
      </w:r>
      <w:r w:rsidRPr="00A129E2">
        <w:t xml:space="preserve"> to its safeguarding.</w:t>
      </w:r>
    </w:p>
    <w:p w14:paraId="10EF4FCC" w14:textId="6C66257D" w:rsidR="00194DDB" w:rsidRPr="00B31588" w:rsidRDefault="00194DDB" w:rsidP="00194DDB">
      <w:pPr>
        <w:pStyle w:val="COMPara"/>
        <w:numPr>
          <w:ilvl w:val="0"/>
          <w:numId w:val="9"/>
        </w:numPr>
        <w:spacing w:before="120"/>
        <w:ind w:left="567" w:hanging="567"/>
        <w:jc w:val="both"/>
      </w:pPr>
      <w:r w:rsidRPr="00F304BB">
        <w:rPr>
          <w:b/>
        </w:rPr>
        <w:t>Community participation</w:t>
      </w:r>
      <w:r w:rsidRPr="00F304BB">
        <w:t>.</w:t>
      </w:r>
      <w:r>
        <w:t xml:space="preserve"> As is reported, the communities, groups and individuals concerned with the element have initiated, organized and </w:t>
      </w:r>
      <w:r w:rsidR="001D7EDE">
        <w:t xml:space="preserve">actively </w:t>
      </w:r>
      <w:r>
        <w:t xml:space="preserve">participated in all the safeguarding measures. The Department of Culture has facilitated meetings between the administrative organs, cultural practitioners and </w:t>
      </w:r>
      <w:r w:rsidRPr="00A9310F">
        <w:t>living human treasures</w:t>
      </w:r>
      <w:r>
        <w:t xml:space="preserve"> to allow the communities concerned to </w:t>
      </w:r>
      <w:r w:rsidR="001D7EDE">
        <w:t>develop</w:t>
      </w:r>
      <w:r>
        <w:t xml:space="preserve"> their own strategies to implement the safeguarding plan. Moreover, the community groups have also organized consultative meetings to establish roles for them</w:t>
      </w:r>
      <w:r w:rsidR="00782ABA">
        <w:t>selves</w:t>
      </w:r>
      <w:r>
        <w:t xml:space="preserve"> and </w:t>
      </w:r>
      <w:r w:rsidR="001D7EDE">
        <w:t xml:space="preserve">for </w:t>
      </w:r>
      <w:r>
        <w:t xml:space="preserve">individuals in the implementation of the safeguarding plan. </w:t>
      </w:r>
      <w:r w:rsidR="00782ABA">
        <w:t xml:space="preserve">The communities </w:t>
      </w:r>
      <w:r>
        <w:t>are at the centre of the implementation of the safeguarding activities</w:t>
      </w:r>
      <w:r w:rsidR="001D7EDE">
        <w:t>,</w:t>
      </w:r>
      <w:r>
        <w:t xml:space="preserve"> as </w:t>
      </w:r>
      <w:r w:rsidR="001D7EDE">
        <w:t xml:space="preserve">can </w:t>
      </w:r>
      <w:r>
        <w:t xml:space="preserve">be seen through their participation in organizing the biannual </w:t>
      </w:r>
      <w:proofErr w:type="spellStart"/>
      <w:r>
        <w:t>Isukuti</w:t>
      </w:r>
      <w:proofErr w:type="spellEnd"/>
      <w:r>
        <w:t xml:space="preserve"> dance competition and the </w:t>
      </w:r>
      <w:proofErr w:type="spellStart"/>
      <w:r>
        <w:t>Isukha</w:t>
      </w:r>
      <w:proofErr w:type="spellEnd"/>
      <w:r>
        <w:t xml:space="preserve"> and </w:t>
      </w:r>
      <w:proofErr w:type="spellStart"/>
      <w:r>
        <w:t>Idakho</w:t>
      </w:r>
      <w:proofErr w:type="spellEnd"/>
      <w:r>
        <w:t xml:space="preserve"> community cultural festival. Community participation is further highlighted through </w:t>
      </w:r>
      <w:r w:rsidR="001D7EDE">
        <w:t xml:space="preserve">their </w:t>
      </w:r>
      <w:r>
        <w:t xml:space="preserve">involvement in the </w:t>
      </w:r>
      <w:r>
        <w:lastRenderedPageBreak/>
        <w:t>workshops on the transmission of knowledge and skills, as well as their central role in organizing and leading the replanting of indigenous trees. A participative approach</w:t>
      </w:r>
      <w:r w:rsidR="001D7EDE">
        <w:t xml:space="preserve"> has</w:t>
      </w:r>
      <w:r>
        <w:t xml:space="preserve"> also</w:t>
      </w:r>
      <w:r w:rsidR="001D7EDE">
        <w:t xml:space="preserve"> been</w:t>
      </w:r>
      <w:r>
        <w:t xml:space="preserve"> used in updating the safeguarding plan as well as in the preparation of the report.</w:t>
      </w:r>
    </w:p>
    <w:p w14:paraId="47D4F5AA" w14:textId="4C6723B5" w:rsidR="00194DDB" w:rsidRPr="00F304BB" w:rsidRDefault="00194DDB" w:rsidP="00194DDB">
      <w:pPr>
        <w:pStyle w:val="COMPara"/>
        <w:numPr>
          <w:ilvl w:val="0"/>
          <w:numId w:val="9"/>
        </w:numPr>
        <w:spacing w:before="120"/>
        <w:ind w:left="567" w:hanging="567"/>
        <w:jc w:val="both"/>
      </w:pPr>
      <w:r w:rsidRPr="00F304BB">
        <w:rPr>
          <w:b/>
        </w:rPr>
        <w:t>Viability and current risks</w:t>
      </w:r>
      <w:r w:rsidRPr="00F304BB">
        <w:t>.</w:t>
      </w:r>
      <w:r>
        <w:t xml:space="preserve"> As a result of the safeguarding activities, the viability of the element has been strengthened in terms of its enactment; however, certain associated aspects related to it are still considered </w:t>
      </w:r>
      <w:r w:rsidR="001D7EDE">
        <w:t xml:space="preserve">to be </w:t>
      </w:r>
      <w:r>
        <w:t>in need of urgent safeguarding. The report highlights several key threats and challenges already mentioned in the nomination file</w:t>
      </w:r>
      <w:r w:rsidR="001D7EDE">
        <w:t>, which</w:t>
      </w:r>
      <w:r>
        <w:t xml:space="preserve"> include: </w:t>
      </w:r>
      <w:r w:rsidR="001D7EDE">
        <w:t xml:space="preserve">the </w:t>
      </w:r>
      <w:r>
        <w:t xml:space="preserve">decreasing number of bearers; </w:t>
      </w:r>
      <w:r w:rsidR="001D7EDE">
        <w:t xml:space="preserve">the </w:t>
      </w:r>
      <w:r>
        <w:t xml:space="preserve">decline in the number of performances as a result of </w:t>
      </w:r>
      <w:r w:rsidR="001D7EDE">
        <w:t xml:space="preserve">the </w:t>
      </w:r>
      <w:r>
        <w:t xml:space="preserve">easy availability of alternate </w:t>
      </w:r>
      <w:r w:rsidR="001D7EDE">
        <w:t xml:space="preserve">forms of </w:t>
      </w:r>
      <w:r>
        <w:t xml:space="preserve">modern music and dance; </w:t>
      </w:r>
      <w:r w:rsidR="001D7EDE">
        <w:t xml:space="preserve">the </w:t>
      </w:r>
      <w:r>
        <w:t>emerging modern lifestyle; loaded school schedules</w:t>
      </w:r>
      <w:r w:rsidR="001D7EDE">
        <w:t>, which</w:t>
      </w:r>
      <w:r>
        <w:t xml:space="preserve"> </w:t>
      </w:r>
      <w:r w:rsidR="001D7EDE">
        <w:t xml:space="preserve">hinder </w:t>
      </w:r>
      <w:r>
        <w:t xml:space="preserve">children from learning the dance; </w:t>
      </w:r>
      <w:r w:rsidR="001D7EDE">
        <w:t xml:space="preserve">the </w:t>
      </w:r>
      <w:r>
        <w:t xml:space="preserve">lack of raw materials needed for producing musical instruments; and </w:t>
      </w:r>
      <w:r w:rsidR="001D7EDE">
        <w:t xml:space="preserve">the </w:t>
      </w:r>
      <w:r>
        <w:t>rapid commercialization of musical instruments. According to the State Party, these risks could be overcome by enhancing the safeguarding activities and increasing the financial support in that regard.</w:t>
      </w:r>
    </w:p>
    <w:p w14:paraId="4FE14935" w14:textId="77777777" w:rsidR="00194DDB" w:rsidRPr="00F304BB" w:rsidRDefault="00194DDB" w:rsidP="00194DDB">
      <w:pPr>
        <w:pStyle w:val="COMPara"/>
        <w:numPr>
          <w:ilvl w:val="0"/>
          <w:numId w:val="9"/>
        </w:numPr>
        <w:spacing w:before="120"/>
        <w:ind w:left="567" w:hanging="567"/>
        <w:jc w:val="both"/>
      </w:pPr>
      <w:r w:rsidRPr="00F304BB">
        <w:t>The Committee may wish to adopt the following decision:</w:t>
      </w:r>
    </w:p>
    <w:p w14:paraId="079F808A" w14:textId="77777777" w:rsidR="00C64CF7" w:rsidRPr="00F304BB" w:rsidRDefault="00C64CF7" w:rsidP="00C64CF7">
      <w:pPr>
        <w:pStyle w:val="Heading4"/>
        <w:numPr>
          <w:ilvl w:val="0"/>
          <w:numId w:val="0"/>
        </w:numPr>
        <w:spacing w:before="240"/>
        <w:ind w:left="567"/>
        <w:rPr>
          <w:rFonts w:eastAsia="SimSun"/>
        </w:rPr>
      </w:pPr>
      <w:bookmarkStart w:id="2" w:name="_DRAFT_DECISION_14.COM_1"/>
      <w:bookmarkEnd w:id="2"/>
      <w:r w:rsidRPr="00F304BB">
        <w:rPr>
          <w:rFonts w:eastAsia="SimSun"/>
        </w:rPr>
        <w:t>DRAFT DECISION 14.COM</w:t>
      </w:r>
      <w:r>
        <w:rPr>
          <w:rFonts w:eastAsia="SimSun"/>
        </w:rPr>
        <w:t> 9.a.2</w:t>
      </w:r>
      <w:r w:rsidRPr="00F304BB">
        <w:rPr>
          <w:rFonts w:eastAsia="SimSun"/>
        </w:rPr>
        <w:tab/>
      </w:r>
      <w:r w:rsidRPr="00F304BB">
        <w:rPr>
          <w:noProof/>
          <w:snapToGrid/>
          <w:szCs w:val="22"/>
          <w:lang w:val="fr-FR" w:eastAsia="ja-JP"/>
        </w:rPr>
        <w:drawing>
          <wp:inline distT="0" distB="0" distL="0" distR="0" wp14:anchorId="4EA0C8C1" wp14:editId="0942694F">
            <wp:extent cx="103505" cy="103505"/>
            <wp:effectExtent l="0" t="0" r="0" b="0"/>
            <wp:docPr id="1" name="Picture 1"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D12E7D5" w14:textId="77777777" w:rsidR="00C64CF7" w:rsidRPr="00F304BB" w:rsidRDefault="00C64CF7" w:rsidP="00C64CF7">
      <w:pPr>
        <w:pStyle w:val="COMPreambulaDecisions"/>
        <w:rPr>
          <w:rFonts w:eastAsia="SimSun"/>
        </w:rPr>
      </w:pPr>
      <w:r w:rsidRPr="00F304BB">
        <w:t>The Committee,</w:t>
      </w:r>
    </w:p>
    <w:p w14:paraId="2954849D" w14:textId="198B86D7" w:rsidR="00C64CF7" w:rsidRPr="00F304BB" w:rsidRDefault="00C64CF7" w:rsidP="00C64CF7">
      <w:pPr>
        <w:pStyle w:val="COMParaDecision"/>
        <w:numPr>
          <w:ilvl w:val="0"/>
          <w:numId w:val="20"/>
        </w:numPr>
        <w:tabs>
          <w:tab w:val="left" w:pos="1134"/>
        </w:tabs>
        <w:ind w:left="1134" w:hanging="567"/>
        <w:rPr>
          <w:u w:val="none"/>
        </w:rPr>
      </w:pPr>
      <w:r w:rsidRPr="00F304BB">
        <w:t>Having examined</w:t>
      </w:r>
      <w:r w:rsidRPr="00F304BB">
        <w:rPr>
          <w:u w:val="none"/>
        </w:rPr>
        <w:t xml:space="preserve"> document </w:t>
      </w:r>
      <w:r w:rsidR="006F0545">
        <w:rPr>
          <w:u w:val="none"/>
        </w:rPr>
        <w:t>LHE</w:t>
      </w:r>
      <w:r w:rsidRPr="003645B2">
        <w:rPr>
          <w:u w:val="none"/>
        </w:rPr>
        <w:t>/19/14.COM/</w:t>
      </w:r>
      <w:proofErr w:type="gramStart"/>
      <w:r>
        <w:rPr>
          <w:u w:val="none"/>
        </w:rPr>
        <w:t>9.a</w:t>
      </w:r>
      <w:proofErr w:type="gramEnd"/>
      <w:r w:rsidR="00710AB1">
        <w:rPr>
          <w:u w:val="none"/>
        </w:rPr>
        <w:t xml:space="preserve"> Rev.</w:t>
      </w:r>
      <w:r w:rsidRPr="00F304BB">
        <w:rPr>
          <w:u w:val="none"/>
        </w:rPr>
        <w:t>,</w:t>
      </w:r>
    </w:p>
    <w:p w14:paraId="2A703149" w14:textId="033FC9BE" w:rsidR="00C64CF7" w:rsidRPr="00F304BB" w:rsidRDefault="00C64CF7" w:rsidP="00C64CF7">
      <w:pPr>
        <w:pStyle w:val="COMParaDecision"/>
        <w:numPr>
          <w:ilvl w:val="0"/>
          <w:numId w:val="20"/>
        </w:numPr>
        <w:tabs>
          <w:tab w:val="left" w:pos="1134"/>
        </w:tabs>
        <w:ind w:left="1134" w:hanging="567"/>
        <w:rPr>
          <w:u w:val="none"/>
        </w:rPr>
      </w:pPr>
      <w:r w:rsidRPr="00F304BB">
        <w:t>Recalling</w:t>
      </w:r>
      <w:r w:rsidRPr="00F304BB">
        <w:rPr>
          <w:u w:val="none"/>
        </w:rPr>
        <w:t xml:space="preserve"> Chapter V of the Operational Directives and its</w:t>
      </w:r>
      <w:r>
        <w:rPr>
          <w:u w:val="none"/>
        </w:rPr>
        <w:t xml:space="preserve"> </w:t>
      </w:r>
      <w:hyperlink r:id="rId31" w:history="1">
        <w:r w:rsidRPr="00C64CF7">
          <w:rPr>
            <w:rStyle w:val="Hyperlink"/>
          </w:rPr>
          <w:t>Decision 9.COM 9.a.5</w:t>
        </w:r>
      </w:hyperlink>
      <w:r>
        <w:rPr>
          <w:u w:val="none"/>
        </w:rPr>
        <w:t>,</w:t>
      </w:r>
    </w:p>
    <w:p w14:paraId="2D1F847A" w14:textId="77777777" w:rsidR="00C64CF7" w:rsidRPr="00F304BB" w:rsidRDefault="00C64CF7" w:rsidP="00C64CF7">
      <w:pPr>
        <w:pStyle w:val="COMParaDecision"/>
        <w:numPr>
          <w:ilvl w:val="0"/>
          <w:numId w:val="20"/>
        </w:numPr>
        <w:tabs>
          <w:tab w:val="left" w:pos="1134"/>
        </w:tabs>
        <w:ind w:left="1134" w:hanging="567"/>
        <w:rPr>
          <w:u w:val="none"/>
        </w:rPr>
      </w:pPr>
      <w:r w:rsidRPr="00F304BB">
        <w:t>Expresses its thanks</w:t>
      </w:r>
      <w:r w:rsidRPr="00F304BB">
        <w:rPr>
          <w:u w:val="none"/>
        </w:rPr>
        <w:t xml:space="preserve"> to Kenya for submitting, on time, its first report on the </w:t>
      </w:r>
      <w:r w:rsidRPr="00F304BB">
        <w:rPr>
          <w:bCs/>
          <w:u w:val="none"/>
        </w:rPr>
        <w:t xml:space="preserve">status of the </w:t>
      </w:r>
      <w:r w:rsidRPr="00F304BB">
        <w:rPr>
          <w:u w:val="none"/>
        </w:rPr>
        <w:t>element ‘</w:t>
      </w:r>
      <w:proofErr w:type="spellStart"/>
      <w:r w:rsidRPr="00F304BB">
        <w:rPr>
          <w:u w:val="none"/>
        </w:rPr>
        <w:t>Isukuti</w:t>
      </w:r>
      <w:proofErr w:type="spellEnd"/>
      <w:r w:rsidRPr="00F304BB">
        <w:rPr>
          <w:u w:val="none"/>
        </w:rPr>
        <w:t xml:space="preserve"> dance of </w:t>
      </w:r>
      <w:proofErr w:type="spellStart"/>
      <w:r w:rsidRPr="00F304BB">
        <w:rPr>
          <w:u w:val="none"/>
        </w:rPr>
        <w:t>Isukha</w:t>
      </w:r>
      <w:proofErr w:type="spellEnd"/>
      <w:r w:rsidRPr="00F304BB">
        <w:rPr>
          <w:u w:val="none"/>
        </w:rPr>
        <w:t xml:space="preserve"> and </w:t>
      </w:r>
      <w:proofErr w:type="spellStart"/>
      <w:r w:rsidRPr="00F304BB">
        <w:rPr>
          <w:u w:val="none"/>
        </w:rPr>
        <w:t>Idakho</w:t>
      </w:r>
      <w:proofErr w:type="spellEnd"/>
      <w:r w:rsidRPr="00F304BB">
        <w:rPr>
          <w:u w:val="none"/>
        </w:rPr>
        <w:t xml:space="preserve"> communities of Western Kenya’, inscribed</w:t>
      </w:r>
      <w:r w:rsidRPr="00F304BB">
        <w:rPr>
          <w:bCs/>
          <w:u w:val="none"/>
        </w:rPr>
        <w:t xml:space="preserve"> in 2014 on the List of Intangible Cultural Heritage in Need of Urgent Safeguarding;</w:t>
      </w:r>
    </w:p>
    <w:p w14:paraId="2D2A16AF" w14:textId="58E3BDD2" w:rsidR="00C64CF7" w:rsidRPr="00F304BB" w:rsidRDefault="00C64CF7" w:rsidP="00C64CF7">
      <w:pPr>
        <w:pStyle w:val="COMParaDecision"/>
        <w:numPr>
          <w:ilvl w:val="0"/>
          <w:numId w:val="20"/>
        </w:numPr>
        <w:tabs>
          <w:tab w:val="left" w:pos="1134"/>
        </w:tabs>
        <w:ind w:left="1134" w:hanging="567"/>
      </w:pPr>
      <w:r w:rsidRPr="00F304BB">
        <w:t>Takes note</w:t>
      </w:r>
      <w:r>
        <w:rPr>
          <w:u w:val="none"/>
        </w:rPr>
        <w:t xml:space="preserve"> of the continued efforts undertaken by Kenya to safeguard the element, in particular by providing </w:t>
      </w:r>
      <w:r w:rsidR="001D7EDE">
        <w:rPr>
          <w:u w:val="none"/>
        </w:rPr>
        <w:t xml:space="preserve">bearers with </w:t>
      </w:r>
      <w:r>
        <w:rPr>
          <w:u w:val="none"/>
        </w:rPr>
        <w:t xml:space="preserve">opportunities </w:t>
      </w:r>
      <w:r w:rsidR="001D7EDE">
        <w:rPr>
          <w:u w:val="none"/>
        </w:rPr>
        <w:t>to</w:t>
      </w:r>
      <w:r>
        <w:rPr>
          <w:u w:val="none"/>
        </w:rPr>
        <w:t xml:space="preserve"> transmit their knowledge to </w:t>
      </w:r>
      <w:r w:rsidR="001D7EDE">
        <w:rPr>
          <w:u w:val="none"/>
        </w:rPr>
        <w:t xml:space="preserve">the </w:t>
      </w:r>
      <w:r>
        <w:rPr>
          <w:u w:val="none"/>
        </w:rPr>
        <w:t>younger generation</w:t>
      </w:r>
      <w:r w:rsidR="001D7EDE">
        <w:rPr>
          <w:u w:val="none"/>
        </w:rPr>
        <w:t>s</w:t>
      </w:r>
      <w:r>
        <w:rPr>
          <w:u w:val="none"/>
        </w:rPr>
        <w:t xml:space="preserve"> </w:t>
      </w:r>
      <w:r w:rsidR="00473295">
        <w:rPr>
          <w:u w:val="none"/>
        </w:rPr>
        <w:t>through</w:t>
      </w:r>
      <w:r>
        <w:rPr>
          <w:u w:val="none"/>
        </w:rPr>
        <w:t xml:space="preserve"> workshops and capacity-building activities, advancing research and documentation of the practice, implementing broad awareness-raising programmes</w:t>
      </w:r>
      <w:r w:rsidR="00473295">
        <w:rPr>
          <w:u w:val="none"/>
        </w:rPr>
        <w:t>,</w:t>
      </w:r>
      <w:r>
        <w:rPr>
          <w:u w:val="none"/>
        </w:rPr>
        <w:t xml:space="preserve"> and ensuring the production </w:t>
      </w:r>
      <w:r w:rsidRPr="00C64CF7">
        <w:rPr>
          <w:u w:val="none"/>
        </w:rPr>
        <w:t xml:space="preserve">of musical instruments through the sustainable management of </w:t>
      </w:r>
      <w:r w:rsidR="001D7EDE">
        <w:rPr>
          <w:u w:val="none"/>
        </w:rPr>
        <w:t xml:space="preserve">the </w:t>
      </w:r>
      <w:r w:rsidRPr="00C64CF7">
        <w:rPr>
          <w:u w:val="none"/>
        </w:rPr>
        <w:t>natural resources and raw materials needed;</w:t>
      </w:r>
    </w:p>
    <w:p w14:paraId="42B513A9" w14:textId="34EDF669" w:rsidR="00C64CF7" w:rsidRPr="00F304BB" w:rsidRDefault="00C64CF7" w:rsidP="00C64CF7">
      <w:pPr>
        <w:pStyle w:val="COMParaDecision"/>
        <w:numPr>
          <w:ilvl w:val="0"/>
          <w:numId w:val="20"/>
        </w:numPr>
        <w:tabs>
          <w:tab w:val="left" w:pos="1134"/>
        </w:tabs>
        <w:ind w:left="1134" w:hanging="567"/>
      </w:pPr>
      <w:r w:rsidRPr="00F304BB">
        <w:t>Invites</w:t>
      </w:r>
      <w:r>
        <w:rPr>
          <w:u w:val="none"/>
        </w:rPr>
        <w:t xml:space="preserve"> the State Party to</w:t>
      </w:r>
      <w:r w:rsidR="001D7EDE">
        <w:rPr>
          <w:u w:val="none"/>
        </w:rPr>
        <w:t xml:space="preserve"> </w:t>
      </w:r>
      <w:r>
        <w:rPr>
          <w:u w:val="none"/>
        </w:rPr>
        <w:t xml:space="preserve">continue </w:t>
      </w:r>
      <w:r w:rsidR="00473295">
        <w:rPr>
          <w:u w:val="none"/>
        </w:rPr>
        <w:t xml:space="preserve">its </w:t>
      </w:r>
      <w:r>
        <w:rPr>
          <w:u w:val="none"/>
        </w:rPr>
        <w:t>effective implementation of the safeguarding plan while paying particular attention to improving the viability of the associated aspects of the element</w:t>
      </w:r>
      <w:r w:rsidR="001D7EDE">
        <w:rPr>
          <w:u w:val="none"/>
        </w:rPr>
        <w:t>,</w:t>
      </w:r>
      <w:r>
        <w:rPr>
          <w:u w:val="none"/>
        </w:rPr>
        <w:t xml:space="preserve"> including its traditional and symbolic references; </w:t>
      </w:r>
      <w:r w:rsidR="001D7EDE">
        <w:rPr>
          <w:u w:val="none"/>
        </w:rPr>
        <w:t xml:space="preserve">to </w:t>
      </w:r>
      <w:r>
        <w:rPr>
          <w:u w:val="none"/>
        </w:rPr>
        <w:t xml:space="preserve">strengthen its efforts </w:t>
      </w:r>
      <w:r w:rsidR="001D7EDE">
        <w:rPr>
          <w:u w:val="none"/>
        </w:rPr>
        <w:t>to</w:t>
      </w:r>
      <w:r>
        <w:rPr>
          <w:u w:val="none"/>
        </w:rPr>
        <w:t xml:space="preserve"> </w:t>
      </w:r>
      <w:r w:rsidR="001D7EDE">
        <w:rPr>
          <w:u w:val="none"/>
        </w:rPr>
        <w:t xml:space="preserve">integrate </w:t>
      </w:r>
      <w:r>
        <w:rPr>
          <w:u w:val="none"/>
        </w:rPr>
        <w:t>the practice of the element in</w:t>
      </w:r>
      <w:r w:rsidR="001D7EDE">
        <w:rPr>
          <w:u w:val="none"/>
        </w:rPr>
        <w:t>to</w:t>
      </w:r>
      <w:r>
        <w:rPr>
          <w:u w:val="none"/>
        </w:rPr>
        <w:t xml:space="preserve"> school </w:t>
      </w:r>
      <w:r w:rsidR="001D7EDE">
        <w:rPr>
          <w:u w:val="none"/>
        </w:rPr>
        <w:t>curricula</w:t>
      </w:r>
      <w:r>
        <w:rPr>
          <w:u w:val="none"/>
        </w:rPr>
        <w:t xml:space="preserve">; and </w:t>
      </w:r>
      <w:r w:rsidR="001D7EDE">
        <w:rPr>
          <w:u w:val="none"/>
        </w:rPr>
        <w:t xml:space="preserve">to </w:t>
      </w:r>
      <w:r>
        <w:rPr>
          <w:u w:val="none"/>
        </w:rPr>
        <w:t xml:space="preserve">establish a cultural </w:t>
      </w:r>
      <w:r w:rsidR="001D7EDE">
        <w:rPr>
          <w:u w:val="none"/>
        </w:rPr>
        <w:t xml:space="preserve">centre </w:t>
      </w:r>
      <w:r>
        <w:rPr>
          <w:u w:val="none"/>
        </w:rPr>
        <w:t xml:space="preserve">in Kakamega as initially </w:t>
      </w:r>
      <w:r w:rsidR="00473295">
        <w:rPr>
          <w:u w:val="none"/>
        </w:rPr>
        <w:t xml:space="preserve">foreseen </w:t>
      </w:r>
      <w:r>
        <w:rPr>
          <w:u w:val="none"/>
        </w:rPr>
        <w:t>in the safeguarding plan;</w:t>
      </w:r>
    </w:p>
    <w:p w14:paraId="37C01D4D" w14:textId="787A8F7C" w:rsidR="00C64CF7" w:rsidRPr="00F304BB" w:rsidRDefault="00C64CF7" w:rsidP="00C64CF7">
      <w:pPr>
        <w:pStyle w:val="COMParaDecision"/>
        <w:numPr>
          <w:ilvl w:val="0"/>
          <w:numId w:val="20"/>
        </w:numPr>
        <w:tabs>
          <w:tab w:val="left" w:pos="1134"/>
        </w:tabs>
        <w:ind w:left="1134" w:hanging="567"/>
      </w:pPr>
      <w:r w:rsidRPr="00F304BB">
        <w:t>Encourages</w:t>
      </w:r>
      <w:r>
        <w:rPr>
          <w:u w:val="none"/>
        </w:rPr>
        <w:t xml:space="preserve"> the State Party to support training and educational activities, </w:t>
      </w:r>
      <w:r w:rsidR="001D7EDE">
        <w:rPr>
          <w:u w:val="none"/>
        </w:rPr>
        <w:t xml:space="preserve">to </w:t>
      </w:r>
      <w:r>
        <w:rPr>
          <w:u w:val="none"/>
        </w:rPr>
        <w:t xml:space="preserve">monitor together with the community organizations the possible negative effects </w:t>
      </w:r>
      <w:r w:rsidR="001D7EDE">
        <w:rPr>
          <w:u w:val="none"/>
        </w:rPr>
        <w:t>connected with</w:t>
      </w:r>
      <w:r>
        <w:rPr>
          <w:u w:val="none"/>
        </w:rPr>
        <w:t xml:space="preserve"> the commercialization of and decline in the livelihood of bearers, and </w:t>
      </w:r>
      <w:r w:rsidR="001D7EDE">
        <w:rPr>
          <w:u w:val="none"/>
        </w:rPr>
        <w:t xml:space="preserve">to </w:t>
      </w:r>
      <w:r>
        <w:rPr>
          <w:u w:val="none"/>
        </w:rPr>
        <w:t xml:space="preserve">ensure that </w:t>
      </w:r>
      <w:r w:rsidR="001D7EDE">
        <w:rPr>
          <w:u w:val="none"/>
        </w:rPr>
        <w:t xml:space="preserve">the </w:t>
      </w:r>
      <w:r>
        <w:rPr>
          <w:u w:val="none"/>
        </w:rPr>
        <w:t>resources needed for the long-term safeguarding plan are identified;</w:t>
      </w:r>
    </w:p>
    <w:p w14:paraId="7445FDBF" w14:textId="10DF8807" w:rsidR="00194DDB" w:rsidRPr="00C64CF7" w:rsidRDefault="00C64CF7" w:rsidP="00C64CF7">
      <w:pPr>
        <w:pStyle w:val="COMParaDecision"/>
        <w:numPr>
          <w:ilvl w:val="0"/>
          <w:numId w:val="20"/>
        </w:numPr>
        <w:tabs>
          <w:tab w:val="left" w:pos="1134"/>
        </w:tabs>
        <w:ind w:left="1134" w:hanging="567"/>
      </w:pPr>
      <w:r w:rsidRPr="00F304BB">
        <w:t>Requests</w:t>
      </w:r>
      <w:r w:rsidRPr="00F304BB">
        <w:rPr>
          <w:u w:val="none"/>
        </w:rPr>
        <w:t xml:space="preserve"> </w:t>
      </w:r>
      <w:r w:rsidR="001D7EDE">
        <w:rPr>
          <w:u w:val="none"/>
        </w:rPr>
        <w:t xml:space="preserve">that </w:t>
      </w:r>
      <w:r w:rsidRPr="00F304BB">
        <w:rPr>
          <w:u w:val="none"/>
        </w:rPr>
        <w:t>the Secretariat inform the State Party at least nine months prior to the deadline of 15 December 2022 about the required submission of its next report on the status of this element.</w:t>
      </w:r>
    </w:p>
    <w:p w14:paraId="3F5BC66B" w14:textId="452E5B6A" w:rsidR="00B24F44" w:rsidRDefault="00B24F44">
      <w:pPr>
        <w:rPr>
          <w:rFonts w:ascii="Arial" w:eastAsia="SimSun" w:hAnsi="Arial" w:cs="Arial"/>
          <w:b/>
          <w:sz w:val="22"/>
          <w:szCs w:val="22"/>
          <w:lang w:val="en-GB"/>
        </w:rPr>
      </w:pPr>
      <w:r w:rsidRPr="00B24F44">
        <w:rPr>
          <w:b/>
          <w:lang w:val="en-US"/>
        </w:rPr>
        <w:br w:type="page"/>
      </w:r>
    </w:p>
    <w:p w14:paraId="1E75C787" w14:textId="78133915" w:rsidR="00B24F44" w:rsidRDefault="00B24F44" w:rsidP="00B24F44">
      <w:pPr>
        <w:pStyle w:val="COMParaDecision"/>
        <w:ind w:left="567"/>
        <w:rPr>
          <w:u w:val="none"/>
        </w:rPr>
      </w:pPr>
      <w:r>
        <w:rPr>
          <w:b/>
          <w:u w:val="none"/>
        </w:rPr>
        <w:lastRenderedPageBreak/>
        <w:t>Uganda</w:t>
      </w:r>
      <w:r w:rsidRPr="00131978">
        <w:rPr>
          <w:b/>
          <w:u w:val="none"/>
        </w:rPr>
        <w:t>: ‘</w:t>
      </w:r>
      <w:r w:rsidRPr="00B24F44">
        <w:rPr>
          <w:b/>
          <w:u w:val="none"/>
        </w:rPr>
        <w:t xml:space="preserve">Male-child cleansing ceremony of the </w:t>
      </w:r>
      <w:proofErr w:type="spellStart"/>
      <w:r w:rsidRPr="00B24F44">
        <w:rPr>
          <w:b/>
          <w:u w:val="none"/>
        </w:rPr>
        <w:t>Lango</w:t>
      </w:r>
      <w:proofErr w:type="spellEnd"/>
      <w:r w:rsidRPr="00B24F44">
        <w:rPr>
          <w:b/>
          <w:u w:val="none"/>
        </w:rPr>
        <w:t xml:space="preserve"> of central northern Uganda</w:t>
      </w:r>
      <w:r w:rsidRPr="00131978">
        <w:rPr>
          <w:b/>
          <w:u w:val="none"/>
        </w:rPr>
        <w:t>’</w:t>
      </w:r>
      <w:r w:rsidRPr="00131978">
        <w:rPr>
          <w:u w:val="none"/>
        </w:rPr>
        <w:t xml:space="preserve"> </w:t>
      </w:r>
      <w:r w:rsidRPr="003A36FE">
        <w:rPr>
          <w:i/>
          <w:u w:val="none"/>
        </w:rPr>
        <w:t xml:space="preserve">(consult the </w:t>
      </w:r>
      <w:hyperlink r:id="rId32" w:history="1">
        <w:r w:rsidRPr="003A36FE">
          <w:rPr>
            <w:rStyle w:val="Hyperlink"/>
            <w:i/>
          </w:rPr>
          <w:t>report</w:t>
        </w:r>
      </w:hyperlink>
      <w:r w:rsidRPr="003A36FE">
        <w:rPr>
          <w:i/>
          <w:u w:val="none"/>
        </w:rPr>
        <w:t>)</w:t>
      </w:r>
    </w:p>
    <w:p w14:paraId="44E8BD28" w14:textId="270CE225" w:rsidR="006F0545" w:rsidRPr="00FB55DE" w:rsidRDefault="006F0545" w:rsidP="006F0545">
      <w:pPr>
        <w:pStyle w:val="COMPara"/>
        <w:numPr>
          <w:ilvl w:val="0"/>
          <w:numId w:val="9"/>
        </w:numPr>
        <w:spacing w:before="120"/>
        <w:ind w:left="567" w:hanging="567"/>
        <w:jc w:val="both"/>
      </w:pPr>
      <w:r>
        <w:t xml:space="preserve">The </w:t>
      </w:r>
      <w:r w:rsidRPr="002C6A77">
        <w:rPr>
          <w:iCs/>
        </w:rPr>
        <w:t>Male</w:t>
      </w:r>
      <w:r w:rsidR="00A908E7">
        <w:rPr>
          <w:iCs/>
        </w:rPr>
        <w:t>-c</w:t>
      </w:r>
      <w:r w:rsidRPr="002C6A77">
        <w:rPr>
          <w:iCs/>
        </w:rPr>
        <w:t xml:space="preserve">hild cleansing ceremony of the </w:t>
      </w:r>
      <w:proofErr w:type="spellStart"/>
      <w:r w:rsidRPr="002C6A77">
        <w:rPr>
          <w:iCs/>
        </w:rPr>
        <w:t>Lango</w:t>
      </w:r>
      <w:proofErr w:type="spellEnd"/>
      <w:r w:rsidRPr="002C6A77">
        <w:rPr>
          <w:iCs/>
        </w:rPr>
        <w:t xml:space="preserve"> of central</w:t>
      </w:r>
      <w:r w:rsidR="000E0B74">
        <w:rPr>
          <w:iCs/>
        </w:rPr>
        <w:t xml:space="preserve"> </w:t>
      </w:r>
      <w:r w:rsidRPr="002C6A77">
        <w:rPr>
          <w:iCs/>
        </w:rPr>
        <w:t>northern Uganda</w:t>
      </w:r>
      <w:r>
        <w:t xml:space="preserve"> is a healing ritual for a male child believed to have lost his manhood as a result of </w:t>
      </w:r>
      <w:r w:rsidR="000E0B74">
        <w:t xml:space="preserve">the </w:t>
      </w:r>
      <w:r>
        <w:t xml:space="preserve">non-observance of certain norms and procedures during the first three days after his birth. </w:t>
      </w:r>
      <w:r w:rsidRPr="004121BB">
        <w:rPr>
          <w:lang w:val="en-US"/>
        </w:rPr>
        <w:t xml:space="preserve">During </w:t>
      </w:r>
      <w:r>
        <w:rPr>
          <w:lang w:val="en-US"/>
        </w:rPr>
        <w:t xml:space="preserve">the </w:t>
      </w:r>
      <w:r w:rsidRPr="004121BB">
        <w:rPr>
          <w:lang w:val="en-US"/>
        </w:rPr>
        <w:t xml:space="preserve">ceremony, the mother and </w:t>
      </w:r>
      <w:r>
        <w:rPr>
          <w:lang w:val="en-US"/>
        </w:rPr>
        <w:t xml:space="preserve">the </w:t>
      </w:r>
      <w:r w:rsidRPr="004121BB">
        <w:rPr>
          <w:lang w:val="en-US"/>
        </w:rPr>
        <w:t>male child spend</w:t>
      </w:r>
      <w:r>
        <w:rPr>
          <w:lang w:val="en-US"/>
        </w:rPr>
        <w:t xml:space="preserve"> three days</w:t>
      </w:r>
      <w:r w:rsidRPr="004121BB">
        <w:rPr>
          <w:lang w:val="en-US"/>
        </w:rPr>
        <w:t xml:space="preserve"> inside the house and eat unsweetened millet porridge. On the third day, they exit the house and sit at the entrance, accompanied by a paternal cousin. The child’s hair is cut and woven into strands, which are mixed with softened </w:t>
      </w:r>
      <w:proofErr w:type="spellStart"/>
      <w:r w:rsidRPr="004121BB">
        <w:rPr>
          <w:lang w:val="en-US"/>
        </w:rPr>
        <w:t>ficus</w:t>
      </w:r>
      <w:proofErr w:type="spellEnd"/>
      <w:r w:rsidRPr="004121BB">
        <w:rPr>
          <w:lang w:val="en-US"/>
        </w:rPr>
        <w:t xml:space="preserve"> bark and shea butter</w:t>
      </w:r>
      <w:r w:rsidR="000E0B74">
        <w:rPr>
          <w:lang w:val="en-US"/>
        </w:rPr>
        <w:t xml:space="preserve"> and</w:t>
      </w:r>
      <w:r w:rsidRPr="004121BB">
        <w:rPr>
          <w:lang w:val="en-US"/>
        </w:rPr>
        <w:t xml:space="preserve"> then tied around the child’s neck, wrist and waist. </w:t>
      </w:r>
      <w:r w:rsidR="000E0B74">
        <w:rPr>
          <w:lang w:val="en-US"/>
        </w:rPr>
        <w:t>The r</w:t>
      </w:r>
      <w:r w:rsidR="000E0B74" w:rsidRPr="004121BB">
        <w:rPr>
          <w:lang w:val="en-US"/>
        </w:rPr>
        <w:t xml:space="preserve">emaining </w:t>
      </w:r>
      <w:r w:rsidRPr="004121BB">
        <w:rPr>
          <w:lang w:val="en-US"/>
        </w:rPr>
        <w:t xml:space="preserve">strands are rolled into a ball, and </w:t>
      </w:r>
      <w:r w:rsidRPr="006F0545">
        <w:t>thrown</w:t>
      </w:r>
      <w:r w:rsidR="000E0B74">
        <w:t>,</w:t>
      </w:r>
      <w:r w:rsidRPr="004121BB">
        <w:rPr>
          <w:lang w:val="en-US"/>
        </w:rPr>
        <w:t xml:space="preserve"> three times</w:t>
      </w:r>
      <w:r w:rsidR="000E0B74">
        <w:rPr>
          <w:lang w:val="en-US"/>
        </w:rPr>
        <w:t>,</w:t>
      </w:r>
      <w:r w:rsidRPr="004121BB">
        <w:rPr>
          <w:lang w:val="en-US"/>
        </w:rPr>
        <w:t xml:space="preserve"> to the mother, cousin and child. The three are then smeared with shea butter and served pea paste, millet bread and a millet-yeast brew. </w:t>
      </w:r>
      <w:r>
        <w:rPr>
          <w:lang w:val="en-US"/>
        </w:rPr>
        <w:t xml:space="preserve">Thereafter, the community members rejoice </w:t>
      </w:r>
      <w:r w:rsidRPr="004121BB">
        <w:rPr>
          <w:lang w:val="en-US"/>
        </w:rPr>
        <w:t>with ululations, singing and dancing, confirming that the child has regained his manhood. The ceremony promotes reconciliation</w:t>
      </w:r>
      <w:r w:rsidR="000E0B74">
        <w:rPr>
          <w:lang w:val="en-US"/>
        </w:rPr>
        <w:t xml:space="preserve">, </w:t>
      </w:r>
      <w:r w:rsidRPr="004121BB">
        <w:rPr>
          <w:lang w:val="en-US"/>
        </w:rPr>
        <w:t xml:space="preserve">restores the </w:t>
      </w:r>
      <w:r w:rsidR="000E0B74">
        <w:rPr>
          <w:lang w:val="en-US"/>
        </w:rPr>
        <w:t xml:space="preserve">child’s </w:t>
      </w:r>
      <w:r w:rsidRPr="004121BB">
        <w:rPr>
          <w:lang w:val="en-US"/>
        </w:rPr>
        <w:t xml:space="preserve">social status </w:t>
      </w:r>
      <w:r>
        <w:rPr>
          <w:lang w:val="en-US"/>
        </w:rPr>
        <w:t xml:space="preserve">and provides a sense of identity as well as the extension of life in </w:t>
      </w:r>
      <w:r w:rsidR="000E0B74">
        <w:rPr>
          <w:lang w:val="en-US"/>
        </w:rPr>
        <w:t xml:space="preserve">both </w:t>
      </w:r>
      <w:r>
        <w:rPr>
          <w:lang w:val="en-US"/>
        </w:rPr>
        <w:t>space and time through the reproduction of other lives.</w:t>
      </w:r>
    </w:p>
    <w:p w14:paraId="2FAD7A8E" w14:textId="2D963D42" w:rsidR="006F0545" w:rsidRPr="00A9310F" w:rsidRDefault="006F0545" w:rsidP="006F0545">
      <w:pPr>
        <w:pStyle w:val="COMPara"/>
        <w:numPr>
          <w:ilvl w:val="0"/>
          <w:numId w:val="9"/>
        </w:numPr>
        <w:spacing w:before="120"/>
        <w:ind w:left="567" w:hanging="567"/>
        <w:jc w:val="both"/>
      </w:pPr>
      <w:r w:rsidRPr="00131978">
        <w:rPr>
          <w:b/>
        </w:rPr>
        <w:t>Effectiveness of the safeguarding plan</w:t>
      </w:r>
      <w:r>
        <w:t xml:space="preserve">. The safeguarding measures for the </w:t>
      </w:r>
      <w:r w:rsidR="00A908E7">
        <w:rPr>
          <w:iCs/>
        </w:rPr>
        <w:t>element</w:t>
      </w:r>
      <w:r>
        <w:t xml:space="preserve"> have been carried out in response to the primary objectives set out in the nomination, namely: education and awareness-raising among youth and community members;</w:t>
      </w:r>
      <w:r w:rsidR="000E0B74">
        <w:t xml:space="preserve"> the</w:t>
      </w:r>
      <w:r>
        <w:t xml:space="preserve"> documentation and dissemination of </w:t>
      </w:r>
      <w:r w:rsidR="000E0B74">
        <w:t xml:space="preserve">the </w:t>
      </w:r>
      <w:r>
        <w:t xml:space="preserve">male child cleansing ceremony; and </w:t>
      </w:r>
      <w:r w:rsidR="000E0B74">
        <w:t xml:space="preserve">the </w:t>
      </w:r>
      <w:r>
        <w:t xml:space="preserve">preservation and replanting of indigenous species of </w:t>
      </w:r>
      <w:r w:rsidRPr="00A9310F">
        <w:t xml:space="preserve">fig shea butter trees. To achieve these objectives, several activities have been undertaken by the State in partnership with local governments, research institutes, non-governmental organizations and community members. </w:t>
      </w:r>
      <w:r w:rsidRPr="00A9310F">
        <w:rPr>
          <w:lang w:val="en-US"/>
        </w:rPr>
        <w:t xml:space="preserve">These include </w:t>
      </w:r>
      <w:r w:rsidR="000E0B74">
        <w:rPr>
          <w:lang w:val="en-US"/>
        </w:rPr>
        <w:t>raising the</w:t>
      </w:r>
      <w:r w:rsidR="000E0B74" w:rsidRPr="00A9310F">
        <w:rPr>
          <w:lang w:val="en-US"/>
        </w:rPr>
        <w:t xml:space="preserve"> </w:t>
      </w:r>
      <w:r w:rsidRPr="00A9310F">
        <w:rPr>
          <w:lang w:val="en-US"/>
        </w:rPr>
        <w:t xml:space="preserve">awareness and general education of the people of </w:t>
      </w:r>
      <w:proofErr w:type="spellStart"/>
      <w:r w:rsidRPr="00A9310F">
        <w:rPr>
          <w:lang w:val="en-US"/>
        </w:rPr>
        <w:t>Lango</w:t>
      </w:r>
      <w:proofErr w:type="spellEnd"/>
      <w:r w:rsidRPr="00A9310F">
        <w:rPr>
          <w:lang w:val="en-US"/>
        </w:rPr>
        <w:t xml:space="preserve"> to </w:t>
      </w:r>
      <w:r w:rsidR="000E0B74">
        <w:rPr>
          <w:lang w:val="en-US"/>
        </w:rPr>
        <w:t xml:space="preserve">help them </w:t>
      </w:r>
      <w:r w:rsidRPr="00A9310F">
        <w:rPr>
          <w:lang w:val="en-US"/>
        </w:rPr>
        <w:t xml:space="preserve">understand, </w:t>
      </w:r>
      <w:r w:rsidRPr="00A9310F">
        <w:t>appreciate</w:t>
      </w:r>
      <w:r w:rsidRPr="00A9310F">
        <w:rPr>
          <w:lang w:val="en-US"/>
        </w:rPr>
        <w:t xml:space="preserve"> and safeguard the cultural element which is part of their indigenous knowledge; organizing dialogues and educational forums with cultural and religious leaders and elders;</w:t>
      </w:r>
      <w:r w:rsidRPr="00A9310F">
        <w:t xml:space="preserve"> document</w:t>
      </w:r>
      <w:r w:rsidR="000E0B74">
        <w:t>ing</w:t>
      </w:r>
      <w:r w:rsidRPr="00A9310F">
        <w:t xml:space="preserve"> and disseminat</w:t>
      </w:r>
      <w:r w:rsidR="000E0B74">
        <w:t>ing</w:t>
      </w:r>
      <w:r w:rsidRPr="00A9310F">
        <w:t xml:space="preserve"> information on the ceremony through local radio channels and social media</w:t>
      </w:r>
      <w:r w:rsidRPr="00A9310F">
        <w:rPr>
          <w:lang w:val="en-US"/>
        </w:rPr>
        <w:t xml:space="preserve">; </w:t>
      </w:r>
      <w:r w:rsidRPr="00A9310F">
        <w:t>regular</w:t>
      </w:r>
      <w:r w:rsidR="000E0B74">
        <w:t>ly</w:t>
      </w:r>
      <w:r w:rsidRPr="00A9310F">
        <w:t xml:space="preserve"> updating the inventory; </w:t>
      </w:r>
      <w:r w:rsidRPr="00A9310F">
        <w:rPr>
          <w:lang w:val="en-US"/>
        </w:rPr>
        <w:t>planting more shea butter trees; and</w:t>
      </w:r>
      <w:r w:rsidRPr="00A9310F">
        <w:t xml:space="preserve"> conducting research on the fruiting period </w:t>
      </w:r>
      <w:r w:rsidRPr="00A9310F">
        <w:rPr>
          <w:lang w:val="en-US"/>
        </w:rPr>
        <w:t>to ensure a constant supply of shea oil for the enactment of the ceremony</w:t>
      </w:r>
      <w:r w:rsidRPr="00A9310F">
        <w:t>.</w:t>
      </w:r>
    </w:p>
    <w:p w14:paraId="2D4356F4" w14:textId="66801108" w:rsidR="006F0545" w:rsidRPr="00E55439" w:rsidRDefault="006F0545" w:rsidP="006F0545">
      <w:pPr>
        <w:pStyle w:val="COMPara"/>
        <w:numPr>
          <w:ilvl w:val="0"/>
          <w:numId w:val="9"/>
        </w:numPr>
        <w:spacing w:before="120"/>
        <w:ind w:left="567" w:hanging="567"/>
        <w:jc w:val="both"/>
        <w:rPr>
          <w:lang w:val="en-US"/>
        </w:rPr>
      </w:pPr>
      <w:r w:rsidRPr="00A9310F">
        <w:rPr>
          <w:lang w:val="en-US"/>
        </w:rPr>
        <w:t xml:space="preserve">The inscription and the safeguarding measures put in place have resulted in </w:t>
      </w:r>
      <w:r w:rsidR="000E0B74">
        <w:rPr>
          <w:lang w:val="en-US"/>
        </w:rPr>
        <w:t xml:space="preserve">the </w:t>
      </w:r>
      <w:r w:rsidRPr="00A9310F">
        <w:rPr>
          <w:lang w:val="en-US"/>
        </w:rPr>
        <w:t xml:space="preserve">mass mobilization of the people of </w:t>
      </w:r>
      <w:proofErr w:type="spellStart"/>
      <w:r w:rsidRPr="00A9310F">
        <w:rPr>
          <w:lang w:val="en-US"/>
        </w:rPr>
        <w:t>Lango</w:t>
      </w:r>
      <w:proofErr w:type="spellEnd"/>
      <w:r w:rsidRPr="00A9310F">
        <w:rPr>
          <w:lang w:val="en-US"/>
        </w:rPr>
        <w:t xml:space="preserve"> to embrace the male child cleansing ceremony, including </w:t>
      </w:r>
      <w:r w:rsidR="000E0B74">
        <w:rPr>
          <w:lang w:val="en-US"/>
        </w:rPr>
        <w:t xml:space="preserve">the </w:t>
      </w:r>
      <w:r w:rsidRPr="00A9310F">
        <w:rPr>
          <w:lang w:val="en-US"/>
        </w:rPr>
        <w:t>active participation of young girls in learning and participating in the rituals</w:t>
      </w:r>
      <w:r w:rsidR="00061274">
        <w:rPr>
          <w:lang w:val="en-US"/>
        </w:rPr>
        <w:t>.</w:t>
      </w:r>
      <w:r w:rsidRPr="00A9310F">
        <w:rPr>
          <w:lang w:val="en-US"/>
        </w:rPr>
        <w:t xml:space="preserve"> </w:t>
      </w:r>
      <w:r w:rsidR="00061274">
        <w:rPr>
          <w:lang w:val="en-US"/>
        </w:rPr>
        <w:t xml:space="preserve">Awareness has also been raised </w:t>
      </w:r>
      <w:r w:rsidR="000E0B74">
        <w:rPr>
          <w:lang w:val="en-US"/>
        </w:rPr>
        <w:t>by</w:t>
      </w:r>
      <w:r w:rsidR="000E0B74" w:rsidRPr="00A9310F">
        <w:rPr>
          <w:lang w:val="en-US"/>
        </w:rPr>
        <w:t xml:space="preserve"> </w:t>
      </w:r>
      <w:r w:rsidRPr="00A9310F">
        <w:rPr>
          <w:lang w:val="en-US"/>
        </w:rPr>
        <w:t>training media stakeholders on the processes</w:t>
      </w:r>
      <w:r w:rsidR="0046742B">
        <w:rPr>
          <w:lang w:val="en-US"/>
        </w:rPr>
        <w:t xml:space="preserve"> involved</w:t>
      </w:r>
      <w:r w:rsidRPr="00A9310F">
        <w:rPr>
          <w:lang w:val="en-US"/>
        </w:rPr>
        <w:t xml:space="preserve">, </w:t>
      </w:r>
      <w:r w:rsidR="0046742B">
        <w:rPr>
          <w:lang w:val="en-US"/>
        </w:rPr>
        <w:t xml:space="preserve">with a view to ensuring </w:t>
      </w:r>
      <w:r w:rsidR="009265C6">
        <w:rPr>
          <w:lang w:val="en-US"/>
        </w:rPr>
        <w:t>the</w:t>
      </w:r>
      <w:r w:rsidR="009265C6" w:rsidRPr="00A9310F">
        <w:rPr>
          <w:lang w:val="en-US"/>
        </w:rPr>
        <w:t xml:space="preserve"> </w:t>
      </w:r>
      <w:r w:rsidRPr="00A9310F">
        <w:rPr>
          <w:lang w:val="en-US"/>
        </w:rPr>
        <w:t>wider dissemination</w:t>
      </w:r>
      <w:r w:rsidR="009265C6">
        <w:rPr>
          <w:lang w:val="en-US"/>
        </w:rPr>
        <w:t xml:space="preserve"> of the element</w:t>
      </w:r>
      <w:r w:rsidRPr="00A9310F">
        <w:rPr>
          <w:lang w:val="en-US"/>
        </w:rPr>
        <w:t xml:space="preserve">. The dialogues have also brought elders together with religious leaders to establish </w:t>
      </w:r>
      <w:r w:rsidR="009265C6">
        <w:rPr>
          <w:lang w:val="en-US"/>
        </w:rPr>
        <w:t xml:space="preserve">a </w:t>
      </w:r>
      <w:r w:rsidRPr="00A9310F">
        <w:rPr>
          <w:lang w:val="en-US"/>
        </w:rPr>
        <w:t xml:space="preserve">common understanding </w:t>
      </w:r>
      <w:r w:rsidR="00473295" w:rsidRPr="00A9310F">
        <w:rPr>
          <w:lang w:val="en-US"/>
        </w:rPr>
        <w:t>o</w:t>
      </w:r>
      <w:r w:rsidR="00473295">
        <w:rPr>
          <w:lang w:val="en-US"/>
        </w:rPr>
        <w:t>f</w:t>
      </w:r>
      <w:r w:rsidR="00473295" w:rsidRPr="00A9310F">
        <w:rPr>
          <w:lang w:val="en-US"/>
        </w:rPr>
        <w:t xml:space="preserve"> </w:t>
      </w:r>
      <w:r w:rsidRPr="00A9310F">
        <w:rPr>
          <w:lang w:val="en-US"/>
        </w:rPr>
        <w:t>the continued enactment of the element, despite differences in religious beliefs</w:t>
      </w:r>
      <w:r w:rsidRPr="00A9310F">
        <w:rPr>
          <w:rFonts w:ascii="Arial Narrow" w:hAnsi="Arial Narrow"/>
          <w:lang w:val="en-US"/>
        </w:rPr>
        <w:t>.</w:t>
      </w:r>
      <w:r w:rsidRPr="00A9310F">
        <w:rPr>
          <w:lang w:val="en-US"/>
        </w:rPr>
        <w:t xml:space="preserve"> </w:t>
      </w:r>
      <w:r w:rsidR="009265C6">
        <w:rPr>
          <w:lang w:val="en-US"/>
        </w:rPr>
        <w:t>This</w:t>
      </w:r>
      <w:r w:rsidRPr="00A9310F">
        <w:rPr>
          <w:lang w:val="en-US"/>
        </w:rPr>
        <w:t xml:space="preserve"> has also resulted in the enactment of </w:t>
      </w:r>
      <w:r w:rsidR="009265C6">
        <w:rPr>
          <w:lang w:val="en-US"/>
        </w:rPr>
        <w:t xml:space="preserve">a </w:t>
      </w:r>
      <w:r w:rsidRPr="00A9310F">
        <w:rPr>
          <w:lang w:val="en-US"/>
        </w:rPr>
        <w:t xml:space="preserve">National Statutory instrument on grading </w:t>
      </w:r>
      <w:r w:rsidR="009265C6">
        <w:rPr>
          <w:lang w:val="en-US"/>
        </w:rPr>
        <w:t xml:space="preserve">the </w:t>
      </w:r>
      <w:r w:rsidRPr="00A9310F">
        <w:rPr>
          <w:lang w:val="en-US"/>
        </w:rPr>
        <w:t xml:space="preserve">shea </w:t>
      </w:r>
      <w:r w:rsidR="005C09C3" w:rsidRPr="00FC7347">
        <w:rPr>
          <w:lang w:val="en-US"/>
        </w:rPr>
        <w:t>butter</w:t>
      </w:r>
      <w:r w:rsidRPr="00A9310F">
        <w:rPr>
          <w:lang w:val="en-US"/>
        </w:rPr>
        <w:t xml:space="preserve"> tree as a reserve species in the National Forestry and Tree planting Regulations</w:t>
      </w:r>
      <w:r w:rsidR="009B4DFD">
        <w:rPr>
          <w:lang w:val="en-US"/>
        </w:rPr>
        <w:t xml:space="preserve"> 2016, Statutory Instrument No.</w:t>
      </w:r>
      <w:r w:rsidR="009B4DFD" w:rsidRPr="00F304BB">
        <w:t> </w:t>
      </w:r>
      <w:r w:rsidRPr="00A9310F">
        <w:rPr>
          <w:lang w:val="en-US"/>
        </w:rPr>
        <w:t>57 of 2016, Schedule 8, thereby reducing the cutting of</w:t>
      </w:r>
      <w:r w:rsidR="009265C6">
        <w:rPr>
          <w:lang w:val="en-US"/>
        </w:rPr>
        <w:t xml:space="preserve"> the</w:t>
      </w:r>
      <w:r w:rsidRPr="00A9310F">
        <w:rPr>
          <w:lang w:val="en-US"/>
        </w:rPr>
        <w:t xml:space="preserve"> shea</w:t>
      </w:r>
      <w:r w:rsidR="001227B5" w:rsidRPr="00A9310F">
        <w:rPr>
          <w:lang w:val="en-US"/>
        </w:rPr>
        <w:t xml:space="preserve"> </w:t>
      </w:r>
      <w:r w:rsidR="000A5AD6" w:rsidRPr="00A9310F">
        <w:rPr>
          <w:lang w:val="en-US"/>
        </w:rPr>
        <w:t xml:space="preserve">butter </w:t>
      </w:r>
      <w:r w:rsidRPr="00A9310F">
        <w:rPr>
          <w:lang w:val="en-US"/>
        </w:rPr>
        <w:t xml:space="preserve">tree for charcoal and increased ownership in </w:t>
      </w:r>
      <w:r w:rsidR="009265C6">
        <w:rPr>
          <w:lang w:val="en-US"/>
        </w:rPr>
        <w:t xml:space="preserve">the </w:t>
      </w:r>
      <w:r w:rsidRPr="00A9310F">
        <w:rPr>
          <w:lang w:val="en-US"/>
        </w:rPr>
        <w:t xml:space="preserve">planting </w:t>
      </w:r>
      <w:r w:rsidR="009265C6">
        <w:rPr>
          <w:lang w:val="en-US"/>
        </w:rPr>
        <w:t xml:space="preserve">of </w:t>
      </w:r>
      <w:r w:rsidRPr="00A9310F">
        <w:rPr>
          <w:lang w:val="en-US"/>
        </w:rPr>
        <w:t>thousands of shea butter trees. The updated safeguarding plan will pursue the same general objectives as the previous plan</w:t>
      </w:r>
      <w:r w:rsidR="009265C6">
        <w:rPr>
          <w:lang w:val="en-US"/>
        </w:rPr>
        <w:t>,</w:t>
      </w:r>
      <w:r w:rsidRPr="00A9310F">
        <w:rPr>
          <w:lang w:val="en-US"/>
        </w:rPr>
        <w:t xml:space="preserve"> with specific measures on raising awareness among local leaders and</w:t>
      </w:r>
      <w:r>
        <w:rPr>
          <w:lang w:val="en-US"/>
        </w:rPr>
        <w:t xml:space="preserve"> improving the transmission of the element to younger generations.</w:t>
      </w:r>
    </w:p>
    <w:p w14:paraId="0B6B9F6B" w14:textId="6FE2F81D" w:rsidR="006F0545" w:rsidRPr="000A4E91" w:rsidRDefault="006F0545" w:rsidP="006F0545">
      <w:pPr>
        <w:pStyle w:val="COMPara"/>
        <w:numPr>
          <w:ilvl w:val="0"/>
          <w:numId w:val="9"/>
        </w:numPr>
        <w:spacing w:before="120"/>
        <w:ind w:left="567" w:hanging="567"/>
        <w:jc w:val="both"/>
        <w:rPr>
          <w:rFonts w:eastAsia="SimSun"/>
          <w:snapToGrid/>
          <w:lang w:val="en-US" w:eastAsia="fr-FR"/>
        </w:rPr>
      </w:pPr>
      <w:r w:rsidRPr="007E496C">
        <w:rPr>
          <w:b/>
          <w:lang w:val="en-US"/>
        </w:rPr>
        <w:t>Community</w:t>
      </w:r>
      <w:r w:rsidRPr="000A4E91">
        <w:rPr>
          <w:b/>
        </w:rPr>
        <w:t xml:space="preserve"> participation</w:t>
      </w:r>
      <w:r>
        <w:t>. As is reported, all categories of the L</w:t>
      </w:r>
      <w:r w:rsidRPr="009A1AE5">
        <w:t xml:space="preserve">angi </w:t>
      </w:r>
      <w:r w:rsidR="009265C6">
        <w:t xml:space="preserve">– </w:t>
      </w:r>
      <w:r w:rsidRPr="009A1AE5">
        <w:t>young</w:t>
      </w:r>
      <w:r w:rsidR="009265C6">
        <w:t>er and older people</w:t>
      </w:r>
      <w:r>
        <w:t>, men and women</w:t>
      </w:r>
      <w:r w:rsidR="009265C6">
        <w:t xml:space="preserve"> – </w:t>
      </w:r>
      <w:r>
        <w:t>have actively participated in the implementation of the safeguarding activities.</w:t>
      </w:r>
      <w:r w:rsidRPr="00F83018">
        <w:t xml:space="preserve"> </w:t>
      </w:r>
      <w:r w:rsidRPr="00CB1E24">
        <w:t>Cultural leaders</w:t>
      </w:r>
      <w:r>
        <w:t>,</w:t>
      </w:r>
      <w:r w:rsidRPr="00CB1E24">
        <w:t xml:space="preserve"> </w:t>
      </w:r>
      <w:r>
        <w:t>as well as</w:t>
      </w:r>
      <w:r w:rsidRPr="00CB1E24">
        <w:t xml:space="preserve"> technical officers in local governments and research institutions</w:t>
      </w:r>
      <w:r>
        <w:t>, are also reported to have been actively involved in the implementation</w:t>
      </w:r>
      <w:r w:rsidR="009265C6">
        <w:t xml:space="preserve"> of these activities</w:t>
      </w:r>
      <w:r>
        <w:t xml:space="preserve">. </w:t>
      </w:r>
      <w:r w:rsidRPr="00677838">
        <w:rPr>
          <w:lang w:val="en-US"/>
        </w:rPr>
        <w:t>Awareness-raising radio programs that complement the oral</w:t>
      </w:r>
      <w:r w:rsidR="009265C6">
        <w:rPr>
          <w:lang w:val="en-US"/>
        </w:rPr>
        <w:t xml:space="preserve"> modes of</w:t>
      </w:r>
      <w:r w:rsidRPr="00677838">
        <w:rPr>
          <w:lang w:val="en-US"/>
        </w:rPr>
        <w:t xml:space="preserve"> transmission also invite community members as guests and panelists to discuss and disseminate further information on the practice. Furthermore, the communities have taken it </w:t>
      </w:r>
      <w:r w:rsidR="009265C6">
        <w:rPr>
          <w:lang w:val="en-US"/>
        </w:rPr>
        <w:t>into</w:t>
      </w:r>
      <w:r w:rsidR="009265C6" w:rsidRPr="00677838">
        <w:rPr>
          <w:lang w:val="en-US"/>
        </w:rPr>
        <w:t xml:space="preserve"> </w:t>
      </w:r>
      <w:r w:rsidRPr="00677838">
        <w:rPr>
          <w:lang w:val="en-US"/>
        </w:rPr>
        <w:t xml:space="preserve">their hands to </w:t>
      </w:r>
      <w:r w:rsidR="009265C6">
        <w:rPr>
          <w:lang w:val="en-US"/>
        </w:rPr>
        <w:t xml:space="preserve">further </w:t>
      </w:r>
      <w:r w:rsidRPr="00677838">
        <w:rPr>
          <w:lang w:val="en-US"/>
        </w:rPr>
        <w:t xml:space="preserve">raise awareness </w:t>
      </w:r>
      <w:r w:rsidR="009265C6">
        <w:rPr>
          <w:lang w:val="en-US"/>
        </w:rPr>
        <w:t>about</w:t>
      </w:r>
      <w:r w:rsidRPr="00677838">
        <w:rPr>
          <w:lang w:val="en-US"/>
        </w:rPr>
        <w:t xml:space="preserve"> the practice</w:t>
      </w:r>
      <w:r w:rsidR="009265C6">
        <w:rPr>
          <w:lang w:val="en-US"/>
        </w:rPr>
        <w:t xml:space="preserve"> by </w:t>
      </w:r>
      <w:r w:rsidRPr="00677838">
        <w:rPr>
          <w:lang w:val="en-US"/>
        </w:rPr>
        <w:t xml:space="preserve">contributing </w:t>
      </w:r>
      <w:r>
        <w:rPr>
          <w:lang w:val="en-US"/>
        </w:rPr>
        <w:t>to</w:t>
      </w:r>
      <w:r w:rsidRPr="00677838">
        <w:rPr>
          <w:lang w:val="en-US"/>
        </w:rPr>
        <w:t xml:space="preserve"> </w:t>
      </w:r>
      <w:r w:rsidR="009265C6">
        <w:rPr>
          <w:lang w:val="en-US"/>
        </w:rPr>
        <w:t>the performance of</w:t>
      </w:r>
      <w:r w:rsidR="009265C6" w:rsidRPr="00677838">
        <w:rPr>
          <w:lang w:val="en-US"/>
        </w:rPr>
        <w:t xml:space="preserve"> </w:t>
      </w:r>
      <w:r w:rsidRPr="00677838">
        <w:rPr>
          <w:lang w:val="en-US"/>
        </w:rPr>
        <w:t xml:space="preserve">dramas </w:t>
      </w:r>
      <w:r w:rsidR="001227B5">
        <w:rPr>
          <w:lang w:val="en-US"/>
        </w:rPr>
        <w:t xml:space="preserve">at </w:t>
      </w:r>
      <w:r w:rsidR="009265C6">
        <w:rPr>
          <w:lang w:val="en-US"/>
        </w:rPr>
        <w:t xml:space="preserve">the </w:t>
      </w:r>
      <w:r w:rsidRPr="00677838">
        <w:rPr>
          <w:lang w:val="en-US"/>
        </w:rPr>
        <w:t>sub-</w:t>
      </w:r>
      <w:r w:rsidR="001227B5">
        <w:rPr>
          <w:lang w:val="en-US"/>
        </w:rPr>
        <w:t>county level</w:t>
      </w:r>
      <w:r>
        <w:rPr>
          <w:lang w:val="en-US"/>
        </w:rPr>
        <w:t xml:space="preserve"> as well as organizing</w:t>
      </w:r>
      <w:r w:rsidRPr="00677838">
        <w:rPr>
          <w:rFonts w:eastAsia="SimSun"/>
          <w:snapToGrid/>
          <w:lang w:val="en-US" w:eastAsia="fr-FR"/>
        </w:rPr>
        <w:t xml:space="preserve"> cultural events such as traditional marriages, funerals </w:t>
      </w:r>
      <w:r w:rsidRPr="00A9310F">
        <w:rPr>
          <w:lang w:val="en-US"/>
        </w:rPr>
        <w:t>and general</w:t>
      </w:r>
      <w:r w:rsidRPr="00A9310F">
        <w:rPr>
          <w:rFonts w:eastAsia="SimSun"/>
          <w:snapToGrid/>
          <w:lang w:val="en-US" w:eastAsia="fr-FR"/>
        </w:rPr>
        <w:t xml:space="preserve"> community meetings.</w:t>
      </w:r>
      <w:r w:rsidRPr="00A9310F">
        <w:rPr>
          <w:lang w:val="en-US"/>
        </w:rPr>
        <w:t xml:space="preserve"> The social and cultural functions associated with the preservation of </w:t>
      </w:r>
      <w:r w:rsidR="009265C6">
        <w:rPr>
          <w:lang w:val="en-US"/>
        </w:rPr>
        <w:t xml:space="preserve">the </w:t>
      </w:r>
      <w:r w:rsidRPr="00A9310F">
        <w:rPr>
          <w:lang w:val="en-US"/>
        </w:rPr>
        <w:t xml:space="preserve">shea butter tree </w:t>
      </w:r>
      <w:r w:rsidR="00473295" w:rsidRPr="00A9310F">
        <w:rPr>
          <w:lang w:val="en-US"/>
        </w:rPr>
        <w:t>ha</w:t>
      </w:r>
      <w:r w:rsidR="00473295">
        <w:rPr>
          <w:lang w:val="en-US"/>
        </w:rPr>
        <w:t>ve</w:t>
      </w:r>
      <w:r w:rsidR="00473295" w:rsidRPr="00A9310F">
        <w:rPr>
          <w:lang w:val="en-US"/>
        </w:rPr>
        <w:t xml:space="preserve"> </w:t>
      </w:r>
      <w:r w:rsidRPr="00A9310F">
        <w:rPr>
          <w:lang w:val="en-US"/>
        </w:rPr>
        <w:t xml:space="preserve">further led communities to participate in </w:t>
      </w:r>
      <w:r w:rsidRPr="00A9310F">
        <w:t>the maintenance of community forests. They</w:t>
      </w:r>
      <w:r w:rsidRPr="002B5C08">
        <w:t xml:space="preserve"> </w:t>
      </w:r>
      <w:r w:rsidR="009265C6">
        <w:t xml:space="preserve">are </w:t>
      </w:r>
      <w:r w:rsidRPr="002B5C08">
        <w:t>work</w:t>
      </w:r>
      <w:r w:rsidR="009265C6">
        <w:t>ing</w:t>
      </w:r>
      <w:r w:rsidRPr="002B5C08">
        <w:t xml:space="preserve"> closely with </w:t>
      </w:r>
      <w:r w:rsidRPr="00677838">
        <w:rPr>
          <w:lang w:val="en-US"/>
        </w:rPr>
        <w:t xml:space="preserve">the National Forestry </w:t>
      </w:r>
      <w:r w:rsidRPr="00677838">
        <w:rPr>
          <w:lang w:val="en-US"/>
        </w:rPr>
        <w:lastRenderedPageBreak/>
        <w:t xml:space="preserve">Authority together with </w:t>
      </w:r>
      <w:r w:rsidR="009265C6">
        <w:rPr>
          <w:lang w:val="en-US"/>
        </w:rPr>
        <w:t xml:space="preserve">the </w:t>
      </w:r>
      <w:proofErr w:type="spellStart"/>
      <w:r w:rsidRPr="00677838">
        <w:rPr>
          <w:lang w:val="en-US"/>
        </w:rPr>
        <w:t>Ngeta</w:t>
      </w:r>
      <w:proofErr w:type="spellEnd"/>
      <w:r w:rsidRPr="00677838">
        <w:rPr>
          <w:lang w:val="en-US"/>
        </w:rPr>
        <w:t xml:space="preserve"> Zonal Agricultural Research Institute to produce </w:t>
      </w:r>
      <w:r w:rsidRPr="00A9310F">
        <w:rPr>
          <w:lang w:val="en-US"/>
        </w:rPr>
        <w:t xml:space="preserve">shea </w:t>
      </w:r>
      <w:r w:rsidR="001227B5" w:rsidRPr="00A9310F">
        <w:rPr>
          <w:lang w:val="en-US"/>
        </w:rPr>
        <w:t xml:space="preserve">nut </w:t>
      </w:r>
      <w:r w:rsidRPr="00A9310F">
        <w:rPr>
          <w:lang w:val="en-US"/>
        </w:rPr>
        <w:t>tree seedlings</w:t>
      </w:r>
      <w:r w:rsidRPr="00677838">
        <w:rPr>
          <w:lang w:val="en-US"/>
        </w:rPr>
        <w:t xml:space="preserve">. </w:t>
      </w:r>
      <w:r>
        <w:rPr>
          <w:rFonts w:eastAsia="SimSun"/>
          <w:snapToGrid/>
          <w:lang w:val="en-US" w:eastAsia="fr-FR"/>
        </w:rPr>
        <w:t xml:space="preserve">As mentioned in the report, </w:t>
      </w:r>
      <w:r w:rsidR="009265C6">
        <w:rPr>
          <w:rFonts w:eastAsia="SimSun"/>
          <w:snapToGrid/>
          <w:lang w:val="en-US" w:eastAsia="fr-FR"/>
        </w:rPr>
        <w:t xml:space="preserve">the </w:t>
      </w:r>
      <w:r>
        <w:rPr>
          <w:rFonts w:eastAsia="SimSun"/>
          <w:snapToGrid/>
          <w:lang w:val="en-US" w:eastAsia="fr-FR"/>
        </w:rPr>
        <w:t xml:space="preserve">communities </w:t>
      </w:r>
      <w:r w:rsidRPr="00677838">
        <w:rPr>
          <w:rFonts w:eastAsia="SimSun"/>
          <w:snapToGrid/>
          <w:lang w:val="en-US" w:eastAsia="fr-FR"/>
        </w:rPr>
        <w:t xml:space="preserve">have actively participated in </w:t>
      </w:r>
      <w:r>
        <w:rPr>
          <w:rFonts w:eastAsia="SimSun"/>
          <w:snapToGrid/>
          <w:lang w:val="en-US" w:eastAsia="fr-FR"/>
        </w:rPr>
        <w:t xml:space="preserve">its preparation as well as in </w:t>
      </w:r>
      <w:r w:rsidRPr="00677838">
        <w:rPr>
          <w:rFonts w:eastAsia="SimSun"/>
          <w:snapToGrid/>
          <w:lang w:val="en-US" w:eastAsia="fr-FR"/>
        </w:rPr>
        <w:t>the updating of the safeguarding plan.</w:t>
      </w:r>
    </w:p>
    <w:p w14:paraId="3ACF7801" w14:textId="2299BCF5" w:rsidR="006F0545" w:rsidRDefault="006F0545" w:rsidP="006F0545">
      <w:pPr>
        <w:pStyle w:val="COMPara"/>
        <w:numPr>
          <w:ilvl w:val="0"/>
          <w:numId w:val="9"/>
        </w:numPr>
        <w:spacing w:before="120"/>
        <w:ind w:left="567" w:hanging="567"/>
        <w:jc w:val="both"/>
      </w:pPr>
      <w:r w:rsidRPr="000A4E91">
        <w:rPr>
          <w:b/>
          <w:lang w:val="en-US"/>
        </w:rPr>
        <w:t>Viability</w:t>
      </w:r>
      <w:r>
        <w:rPr>
          <w:b/>
        </w:rPr>
        <w:t xml:space="preserve"> and current risks</w:t>
      </w:r>
      <w:r w:rsidRPr="00131978">
        <w:t>.</w:t>
      </w:r>
      <w:r>
        <w:t xml:space="preserve"> At the time of inscription, the element had a minimal level of viability due to stigmatization,</w:t>
      </w:r>
      <w:r w:rsidR="00473295">
        <w:t xml:space="preserve"> a</w:t>
      </w:r>
      <w:r>
        <w:t xml:space="preserve"> lack of freedom to </w:t>
      </w:r>
      <w:r w:rsidR="009265C6">
        <w:t>practise it</w:t>
      </w:r>
      <w:r>
        <w:t>, limited knowledge of the ceremony, weak modes of oral transmission, as well as the disappearance of fig tree</w:t>
      </w:r>
      <w:r w:rsidR="009265C6">
        <w:t>s</w:t>
      </w:r>
      <w:r>
        <w:t xml:space="preserve"> due to charcoal burning. However, with </w:t>
      </w:r>
      <w:r w:rsidR="009265C6">
        <w:t xml:space="preserve">its </w:t>
      </w:r>
      <w:r>
        <w:t xml:space="preserve">inscription on the List, awareness </w:t>
      </w:r>
      <w:r w:rsidR="009265C6">
        <w:t xml:space="preserve">of </w:t>
      </w:r>
      <w:r>
        <w:t>the practice</w:t>
      </w:r>
      <w:r w:rsidR="009265C6">
        <w:t xml:space="preserve"> has been raised</w:t>
      </w:r>
      <w:r>
        <w:t xml:space="preserve">, the stigma associated with the element has been reduced and greater acceptance of the practice is being witnessed among communities. The practice is </w:t>
      </w:r>
      <w:r w:rsidR="00141C15">
        <w:t xml:space="preserve">enacted </w:t>
      </w:r>
      <w:r>
        <w:t xml:space="preserve">in eight districts of the </w:t>
      </w:r>
      <w:proofErr w:type="spellStart"/>
      <w:r>
        <w:t>Lango</w:t>
      </w:r>
      <w:proofErr w:type="spellEnd"/>
      <w:r>
        <w:t xml:space="preserve"> region, where five cleansing ceremonies have already been organized. </w:t>
      </w:r>
      <w:r w:rsidR="007456F4">
        <w:t>However, e</w:t>
      </w:r>
      <w:r>
        <w:t>ven though the viability of the element is improving, one of the major threats reported is still its limited practice as well as the lack of resources for implementing the safeguarding plan.</w:t>
      </w:r>
    </w:p>
    <w:p w14:paraId="443B97AE" w14:textId="77777777" w:rsidR="006F0545" w:rsidRDefault="006F0545" w:rsidP="006F0545">
      <w:pPr>
        <w:pStyle w:val="COMPara"/>
        <w:numPr>
          <w:ilvl w:val="0"/>
          <w:numId w:val="9"/>
        </w:numPr>
        <w:spacing w:before="120"/>
        <w:ind w:left="567" w:hanging="567"/>
        <w:jc w:val="both"/>
      </w:pPr>
      <w:r w:rsidRPr="009569B2">
        <w:rPr>
          <w:lang w:val="en-US"/>
        </w:rPr>
        <w:t>The</w:t>
      </w:r>
      <w:r>
        <w:t xml:space="preserve"> Committee may wish to adopt the </w:t>
      </w:r>
      <w:r w:rsidRPr="006F0545">
        <w:rPr>
          <w:lang w:val="en-US"/>
        </w:rPr>
        <w:t>following</w:t>
      </w:r>
      <w:r>
        <w:t xml:space="preserve"> decision:</w:t>
      </w:r>
    </w:p>
    <w:p w14:paraId="3D36B578" w14:textId="77777777" w:rsidR="006F0545" w:rsidRDefault="006F0545" w:rsidP="006F0545">
      <w:pPr>
        <w:pStyle w:val="Heading4"/>
        <w:numPr>
          <w:ilvl w:val="0"/>
          <w:numId w:val="0"/>
        </w:numPr>
        <w:spacing w:before="240"/>
        <w:ind w:left="567"/>
        <w:rPr>
          <w:rFonts w:eastAsia="SimSun"/>
        </w:rPr>
      </w:pPr>
      <w:bookmarkStart w:id="3" w:name="_DRAFT_DECISION_14.COM_2"/>
      <w:bookmarkEnd w:id="3"/>
      <w:r>
        <w:rPr>
          <w:rFonts w:eastAsia="SimSun"/>
        </w:rPr>
        <w:t>DRAFT DECISION 14</w:t>
      </w:r>
      <w:r w:rsidRPr="00A746B5">
        <w:rPr>
          <w:rFonts w:eastAsia="SimSun"/>
        </w:rPr>
        <w:t>.COM</w:t>
      </w:r>
      <w:r>
        <w:rPr>
          <w:rFonts w:eastAsia="SimSun"/>
        </w:rPr>
        <w:t> 9.a.3</w:t>
      </w:r>
      <w:r>
        <w:rPr>
          <w:rFonts w:eastAsia="SimSun"/>
        </w:rPr>
        <w:tab/>
      </w:r>
      <w:r w:rsidRPr="002E373B">
        <w:rPr>
          <w:noProof/>
          <w:snapToGrid/>
          <w:szCs w:val="22"/>
          <w:lang w:val="fr-FR" w:eastAsia="ja-JP"/>
        </w:rPr>
        <w:drawing>
          <wp:inline distT="0" distB="0" distL="0" distR="0" wp14:anchorId="6167B57A" wp14:editId="62A9F9F0">
            <wp:extent cx="103505" cy="103505"/>
            <wp:effectExtent l="0" t="0" r="0" b="0"/>
            <wp:docPr id="3" name="Picture 3"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DC8C77" w14:textId="77777777" w:rsidR="006F0545" w:rsidRPr="00285BB4" w:rsidRDefault="006F0545" w:rsidP="006F0545">
      <w:pPr>
        <w:pStyle w:val="COMPreambulaDecisions"/>
        <w:rPr>
          <w:rFonts w:eastAsia="SimSun"/>
        </w:rPr>
      </w:pPr>
      <w:r w:rsidRPr="00285BB4">
        <w:t>The Committee,</w:t>
      </w:r>
    </w:p>
    <w:p w14:paraId="0605A333" w14:textId="342952D6" w:rsidR="006F0545" w:rsidRPr="004C7D40" w:rsidRDefault="006F0545" w:rsidP="006F0545">
      <w:pPr>
        <w:pStyle w:val="COMParaDecision"/>
        <w:numPr>
          <w:ilvl w:val="0"/>
          <w:numId w:val="22"/>
        </w:numPr>
        <w:ind w:left="1134" w:hanging="567"/>
        <w:rPr>
          <w:u w:val="none"/>
        </w:rPr>
      </w:pPr>
      <w:r w:rsidRPr="004C7D40">
        <w:t>Having examined</w:t>
      </w:r>
      <w:r w:rsidRPr="004C7D40">
        <w:rPr>
          <w:u w:val="none"/>
        </w:rPr>
        <w:t xml:space="preserve"> document </w:t>
      </w:r>
      <w:r>
        <w:rPr>
          <w:u w:val="none"/>
          <w:lang w:val="en-US"/>
        </w:rPr>
        <w:t>LHE</w:t>
      </w:r>
      <w:r w:rsidRPr="006F0545">
        <w:rPr>
          <w:u w:val="none"/>
          <w:lang w:val="en-US"/>
        </w:rPr>
        <w:t>/19/14.COM/</w:t>
      </w:r>
      <w:proofErr w:type="gramStart"/>
      <w:r w:rsidRPr="006F0545">
        <w:rPr>
          <w:u w:val="none"/>
          <w:lang w:val="en-US"/>
        </w:rPr>
        <w:t>9.</w:t>
      </w:r>
      <w:r>
        <w:rPr>
          <w:u w:val="none"/>
          <w:lang w:val="en-US"/>
        </w:rPr>
        <w:t>a</w:t>
      </w:r>
      <w:proofErr w:type="gramEnd"/>
      <w:r w:rsidR="00710AB1">
        <w:rPr>
          <w:u w:val="none"/>
          <w:lang w:val="en-US"/>
        </w:rPr>
        <w:t xml:space="preserve"> Rev.</w:t>
      </w:r>
      <w:r w:rsidRPr="004C7D40">
        <w:rPr>
          <w:u w:val="none"/>
        </w:rPr>
        <w:t>,</w:t>
      </w:r>
    </w:p>
    <w:p w14:paraId="215299A5" w14:textId="77777777" w:rsidR="006F0545" w:rsidRPr="004C7D40" w:rsidRDefault="006F0545" w:rsidP="006F0545">
      <w:pPr>
        <w:pStyle w:val="COMParaDecision"/>
        <w:numPr>
          <w:ilvl w:val="0"/>
          <w:numId w:val="22"/>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hyperlink r:id="rId33" w:history="1">
        <w:r w:rsidRPr="006F0545">
          <w:rPr>
            <w:rStyle w:val="Hyperlink"/>
          </w:rPr>
          <w:t>Decision 9.COM 9.a.7</w:t>
        </w:r>
      </w:hyperlink>
      <w:r w:rsidRPr="004C7D40">
        <w:rPr>
          <w:u w:val="none"/>
        </w:rPr>
        <w:t>,</w:t>
      </w:r>
    </w:p>
    <w:p w14:paraId="78DD18AB" w14:textId="411E550B" w:rsidR="006F0545" w:rsidRPr="00131978" w:rsidRDefault="006F0545" w:rsidP="006F0545">
      <w:pPr>
        <w:pStyle w:val="COMParaDecision"/>
        <w:numPr>
          <w:ilvl w:val="0"/>
          <w:numId w:val="22"/>
        </w:numPr>
        <w:tabs>
          <w:tab w:val="left" w:pos="1134"/>
        </w:tabs>
        <w:ind w:left="1134" w:hanging="567"/>
        <w:rPr>
          <w:u w:val="none"/>
        </w:rPr>
      </w:pPr>
      <w:r w:rsidRPr="00A14B93">
        <w:t>Expresses its thanks</w:t>
      </w:r>
      <w:r w:rsidRPr="004C7D40">
        <w:rPr>
          <w:u w:val="none"/>
        </w:rPr>
        <w:t xml:space="preserve"> to </w:t>
      </w:r>
      <w:r>
        <w:rPr>
          <w:u w:val="none"/>
        </w:rPr>
        <w:t xml:space="preserve">Uganda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r>
        <w:rPr>
          <w:u w:val="none"/>
        </w:rPr>
        <w:t>Male</w:t>
      </w:r>
      <w:r w:rsidR="00A908E7">
        <w:rPr>
          <w:u w:val="none"/>
        </w:rPr>
        <w:t>-c</w:t>
      </w:r>
      <w:r>
        <w:rPr>
          <w:u w:val="none"/>
        </w:rPr>
        <w:t xml:space="preserve">hild cleansing ceremony of the </w:t>
      </w:r>
      <w:proofErr w:type="spellStart"/>
      <w:r>
        <w:rPr>
          <w:u w:val="none"/>
        </w:rPr>
        <w:t>Lango</w:t>
      </w:r>
      <w:proofErr w:type="spellEnd"/>
      <w:r>
        <w:rPr>
          <w:u w:val="none"/>
        </w:rPr>
        <w:t xml:space="preserve"> of central northern Uganda’</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14:paraId="55084E22" w14:textId="08583259" w:rsidR="006F0545" w:rsidRPr="00A9310F" w:rsidRDefault="006F0545" w:rsidP="006F0545">
      <w:pPr>
        <w:pStyle w:val="COMParaDecision"/>
        <w:numPr>
          <w:ilvl w:val="0"/>
          <w:numId w:val="22"/>
        </w:numPr>
        <w:tabs>
          <w:tab w:val="left" w:pos="1134"/>
        </w:tabs>
        <w:ind w:left="1134" w:hanging="567"/>
      </w:pPr>
      <w:r w:rsidRPr="00131978">
        <w:t>Takes note</w:t>
      </w:r>
      <w:r>
        <w:rPr>
          <w:u w:val="none"/>
        </w:rPr>
        <w:t xml:space="preserve"> of the efforts undertaken by Uganda to safeguard the element, in particular by </w:t>
      </w:r>
      <w:r w:rsidRPr="00D87BF7">
        <w:rPr>
          <w:u w:val="none"/>
        </w:rPr>
        <w:t xml:space="preserve">documenting its process and disseminating </w:t>
      </w:r>
      <w:r>
        <w:rPr>
          <w:u w:val="none"/>
        </w:rPr>
        <w:t xml:space="preserve">its </w:t>
      </w:r>
      <w:r w:rsidRPr="00D87BF7">
        <w:rPr>
          <w:u w:val="none"/>
        </w:rPr>
        <w:t>significance,</w:t>
      </w:r>
      <w:r w:rsidRPr="006F0545">
        <w:rPr>
          <w:rFonts w:ascii="Arial Narrow" w:hAnsi="Arial Narrow"/>
          <w:u w:val="none"/>
        </w:rPr>
        <w:t xml:space="preserve"> </w:t>
      </w:r>
      <w:r>
        <w:rPr>
          <w:u w:val="none"/>
        </w:rPr>
        <w:t xml:space="preserve">enhancing its transmission through traditional oral methods as well as modern communication devices, and establishing national legislation frameworks </w:t>
      </w:r>
      <w:r w:rsidR="009265C6">
        <w:rPr>
          <w:u w:val="none"/>
        </w:rPr>
        <w:t>to reduce</w:t>
      </w:r>
      <w:r>
        <w:rPr>
          <w:u w:val="none"/>
        </w:rPr>
        <w:t xml:space="preserve"> the cutting of </w:t>
      </w:r>
      <w:r w:rsidR="009265C6">
        <w:rPr>
          <w:u w:val="none"/>
        </w:rPr>
        <w:t xml:space="preserve">the </w:t>
      </w:r>
      <w:r w:rsidRPr="00A9310F">
        <w:rPr>
          <w:u w:val="none"/>
        </w:rPr>
        <w:t xml:space="preserve">shea </w:t>
      </w:r>
      <w:r w:rsidR="005C09C3" w:rsidRPr="00FC7347">
        <w:rPr>
          <w:u w:val="none"/>
        </w:rPr>
        <w:t xml:space="preserve">butter </w:t>
      </w:r>
      <w:r w:rsidRPr="00A9310F">
        <w:rPr>
          <w:u w:val="none"/>
        </w:rPr>
        <w:t>tree;</w:t>
      </w:r>
    </w:p>
    <w:p w14:paraId="3AAA4B7D" w14:textId="3A902C77" w:rsidR="006F0545" w:rsidRPr="002B5C08" w:rsidRDefault="006F0545" w:rsidP="006F0545">
      <w:pPr>
        <w:pStyle w:val="COMParaDecision"/>
        <w:numPr>
          <w:ilvl w:val="0"/>
          <w:numId w:val="22"/>
        </w:numPr>
        <w:tabs>
          <w:tab w:val="left" w:pos="1134"/>
        </w:tabs>
        <w:ind w:left="1134" w:hanging="567"/>
      </w:pPr>
      <w:r w:rsidRPr="002C6A77">
        <w:t>Invites</w:t>
      </w:r>
      <w:r>
        <w:rPr>
          <w:u w:val="none"/>
        </w:rPr>
        <w:t xml:space="preserve"> the State Party to continue its effort</w:t>
      </w:r>
      <w:r w:rsidR="009265C6">
        <w:rPr>
          <w:u w:val="none"/>
        </w:rPr>
        <w:t>s</w:t>
      </w:r>
      <w:r>
        <w:rPr>
          <w:u w:val="none"/>
        </w:rPr>
        <w:t xml:space="preserve"> to safeguard the element </w:t>
      </w:r>
      <w:r w:rsidR="009265C6">
        <w:rPr>
          <w:u w:val="none"/>
        </w:rPr>
        <w:t xml:space="preserve">by </w:t>
      </w:r>
      <w:r>
        <w:rPr>
          <w:u w:val="none"/>
        </w:rPr>
        <w:t xml:space="preserve">developing new educational plans and policies in the field of culture, improving the planning and financing associated with safeguarding activities, </w:t>
      </w:r>
      <w:r w:rsidR="009265C6">
        <w:rPr>
          <w:u w:val="none"/>
        </w:rPr>
        <w:t xml:space="preserve">and </w:t>
      </w:r>
      <w:r>
        <w:rPr>
          <w:u w:val="none"/>
        </w:rPr>
        <w:t>pursuing close cooperation with governmental and non-governmental organizations, as well as individual practitioners;</w:t>
      </w:r>
    </w:p>
    <w:p w14:paraId="321ECBC9" w14:textId="636BB7E2" w:rsidR="006F0545" w:rsidRDefault="006F0545" w:rsidP="006F0545">
      <w:pPr>
        <w:pStyle w:val="COMParaDecision"/>
        <w:numPr>
          <w:ilvl w:val="0"/>
          <w:numId w:val="22"/>
        </w:numPr>
        <w:tabs>
          <w:tab w:val="left" w:pos="1134"/>
        </w:tabs>
        <w:ind w:left="1134" w:hanging="567"/>
      </w:pPr>
      <w:r>
        <w:t>Encourages</w:t>
      </w:r>
      <w:r>
        <w:rPr>
          <w:u w:val="none"/>
        </w:rPr>
        <w:t xml:space="preserve"> the State Party to actively involve community members in the implementation of the safeguarding activities as well as to ensure that the resources needed for the long-term plan are identified;</w:t>
      </w:r>
    </w:p>
    <w:p w14:paraId="38E79376" w14:textId="4806AA8B" w:rsidR="006F0545" w:rsidRPr="00631D20" w:rsidRDefault="006F0545" w:rsidP="00631D20">
      <w:pPr>
        <w:pStyle w:val="COMParaDecision"/>
        <w:numPr>
          <w:ilvl w:val="0"/>
          <w:numId w:val="22"/>
        </w:numPr>
        <w:tabs>
          <w:tab w:val="left" w:pos="1134"/>
        </w:tabs>
        <w:ind w:left="1134" w:hanging="567"/>
      </w:pPr>
      <w:r>
        <w:t>Requests</w:t>
      </w:r>
      <w:r>
        <w:rPr>
          <w:u w:val="none"/>
        </w:rPr>
        <w:t xml:space="preserve"> </w:t>
      </w:r>
      <w:r w:rsidR="004B01D5">
        <w:rPr>
          <w:u w:val="none"/>
        </w:rPr>
        <w:t xml:space="preserve">that </w:t>
      </w:r>
      <w:r>
        <w:rPr>
          <w:u w:val="none"/>
        </w:rPr>
        <w:t>the Secretariat inform the State Party at least nine months prior to the deadline of 15 December 2022 about the required submission of its next report on the status of this element.</w:t>
      </w:r>
    </w:p>
    <w:p w14:paraId="532225A3" w14:textId="0E117C25" w:rsidR="00B24F44" w:rsidRDefault="00B24F44">
      <w:pPr>
        <w:rPr>
          <w:rFonts w:ascii="Arial" w:eastAsia="SimSun" w:hAnsi="Arial" w:cs="Arial"/>
          <w:sz w:val="22"/>
          <w:szCs w:val="22"/>
          <w:u w:val="single"/>
          <w:lang w:val="en-GB"/>
        </w:rPr>
      </w:pPr>
      <w:r w:rsidRPr="00B24F44">
        <w:rPr>
          <w:lang w:val="en-US"/>
        </w:rPr>
        <w:br w:type="page"/>
      </w:r>
    </w:p>
    <w:p w14:paraId="4FD45FBF" w14:textId="563BD22B" w:rsidR="00B24F44" w:rsidRDefault="00B24F44" w:rsidP="00B24F44">
      <w:pPr>
        <w:pStyle w:val="COMParaDecision"/>
        <w:ind w:left="567"/>
        <w:rPr>
          <w:i/>
          <w:u w:val="none"/>
        </w:rPr>
      </w:pPr>
      <w:r w:rsidRPr="00B24F44">
        <w:rPr>
          <w:b/>
          <w:u w:val="none"/>
        </w:rPr>
        <w:lastRenderedPageBreak/>
        <w:t>Venezuela (Bolivarian</w:t>
      </w:r>
      <w:r>
        <w:rPr>
          <w:b/>
          <w:u w:val="none"/>
        </w:rPr>
        <w:t xml:space="preserve"> </w:t>
      </w:r>
      <w:r w:rsidRPr="00B24F44">
        <w:rPr>
          <w:b/>
          <w:u w:val="none"/>
        </w:rPr>
        <w:t>Republic of)</w:t>
      </w:r>
      <w:r w:rsidRPr="00131978">
        <w:rPr>
          <w:b/>
          <w:u w:val="none"/>
        </w:rPr>
        <w:t>: ‘</w:t>
      </w:r>
      <w:proofErr w:type="spellStart"/>
      <w:r w:rsidRPr="00B24F44">
        <w:rPr>
          <w:b/>
          <w:u w:val="none"/>
        </w:rPr>
        <w:t>Mapoyo</w:t>
      </w:r>
      <w:proofErr w:type="spellEnd"/>
      <w:r w:rsidRPr="00B24F44">
        <w:rPr>
          <w:b/>
          <w:u w:val="none"/>
        </w:rPr>
        <w:t xml:space="preserve"> oral tradition and its symbolic reference points within their ancestral territory</w:t>
      </w:r>
      <w:r w:rsidRPr="00131978">
        <w:rPr>
          <w:b/>
          <w:u w:val="none"/>
        </w:rPr>
        <w:t>’</w:t>
      </w:r>
      <w:r w:rsidRPr="00131978">
        <w:rPr>
          <w:u w:val="none"/>
        </w:rPr>
        <w:t xml:space="preserve"> </w:t>
      </w:r>
      <w:r w:rsidRPr="003A36FE">
        <w:rPr>
          <w:i/>
          <w:u w:val="none"/>
        </w:rPr>
        <w:t xml:space="preserve">(consult the </w:t>
      </w:r>
      <w:hyperlink r:id="rId34" w:history="1">
        <w:r w:rsidRPr="003A36FE">
          <w:rPr>
            <w:rStyle w:val="Hyperlink"/>
            <w:i/>
          </w:rPr>
          <w:t>report</w:t>
        </w:r>
      </w:hyperlink>
      <w:r w:rsidRPr="003A36FE">
        <w:rPr>
          <w:i/>
          <w:u w:val="none"/>
        </w:rPr>
        <w:t>)</w:t>
      </w:r>
    </w:p>
    <w:p w14:paraId="45445D7A" w14:textId="34B47189" w:rsidR="004C347F" w:rsidRDefault="004C347F" w:rsidP="004C347F">
      <w:pPr>
        <w:pStyle w:val="COMPara"/>
        <w:numPr>
          <w:ilvl w:val="0"/>
          <w:numId w:val="9"/>
        </w:numPr>
        <w:spacing w:before="120"/>
        <w:ind w:left="567" w:hanging="567"/>
        <w:jc w:val="both"/>
        <w:rPr>
          <w:lang w:val="en-US"/>
        </w:rPr>
      </w:pPr>
      <w:r w:rsidRPr="00F24160">
        <w:rPr>
          <w:lang w:val="en-US"/>
        </w:rPr>
        <w:t xml:space="preserve">The </w:t>
      </w:r>
      <w:r w:rsidRPr="00CC4C7E">
        <w:rPr>
          <w:iCs/>
          <w:lang w:val="en-US"/>
        </w:rPr>
        <w:t xml:space="preserve">oral tradition of the </w:t>
      </w:r>
      <w:proofErr w:type="spellStart"/>
      <w:r w:rsidRPr="00CC4C7E">
        <w:rPr>
          <w:iCs/>
          <w:lang w:val="en-US"/>
        </w:rPr>
        <w:t>Mapoyo</w:t>
      </w:r>
      <w:proofErr w:type="spellEnd"/>
      <w:r w:rsidRPr="00CC4C7E">
        <w:rPr>
          <w:iCs/>
          <w:lang w:val="en-US"/>
        </w:rPr>
        <w:t xml:space="preserve"> and its symbolic points of reference within the</w:t>
      </w:r>
      <w:r>
        <w:rPr>
          <w:iCs/>
          <w:lang w:val="en-US"/>
        </w:rPr>
        <w:t>ir</w:t>
      </w:r>
      <w:r w:rsidRPr="00CC4C7E">
        <w:rPr>
          <w:iCs/>
          <w:lang w:val="en-US"/>
        </w:rPr>
        <w:t xml:space="preserve"> ancestral territory</w:t>
      </w:r>
      <w:r w:rsidRPr="00CC4C7E">
        <w:rPr>
          <w:lang w:val="en-US"/>
        </w:rPr>
        <w:t xml:space="preserve"> </w:t>
      </w:r>
      <w:r>
        <w:rPr>
          <w:lang w:val="en-US"/>
        </w:rPr>
        <w:t xml:space="preserve">includes a series of stories and tales that </w:t>
      </w:r>
      <w:r w:rsidRPr="00F24160">
        <w:rPr>
          <w:lang w:val="en-US"/>
        </w:rPr>
        <w:t>comprise</w:t>
      </w:r>
      <w:r>
        <w:rPr>
          <w:lang w:val="en-US"/>
        </w:rPr>
        <w:t>s</w:t>
      </w:r>
      <w:r w:rsidRPr="00F24160">
        <w:rPr>
          <w:lang w:val="en-US"/>
        </w:rPr>
        <w:t xml:space="preserve"> the collective memory of the </w:t>
      </w:r>
      <w:proofErr w:type="spellStart"/>
      <w:r w:rsidRPr="00F24160">
        <w:rPr>
          <w:lang w:val="en-US"/>
        </w:rPr>
        <w:t>Mapoyo</w:t>
      </w:r>
      <w:proofErr w:type="spellEnd"/>
      <w:r w:rsidRPr="00F24160">
        <w:rPr>
          <w:lang w:val="en-US"/>
        </w:rPr>
        <w:t xml:space="preserve"> people</w:t>
      </w:r>
      <w:r>
        <w:rPr>
          <w:color w:val="000000"/>
          <w:shd w:val="clear" w:color="auto" w:fill="FFFFFF"/>
          <w:lang w:val="en-US"/>
        </w:rPr>
        <w:t xml:space="preserve">. </w:t>
      </w:r>
      <w:r w:rsidRPr="004D7C38">
        <w:rPr>
          <w:color w:val="000000"/>
          <w:shd w:val="clear" w:color="auto" w:fill="FFFFFF"/>
          <w:lang w:val="en-US"/>
        </w:rPr>
        <w:t xml:space="preserve">It is symbolically and permanently linked to a number of places located within the ancestral </w:t>
      </w:r>
      <w:r w:rsidRPr="004C347F">
        <w:t>territory</w:t>
      </w:r>
      <w:r w:rsidRPr="004D7C38">
        <w:rPr>
          <w:color w:val="000000"/>
          <w:shd w:val="clear" w:color="auto" w:fill="FFFFFF"/>
          <w:lang w:val="en-US"/>
        </w:rPr>
        <w:t xml:space="preserve"> of the community along the Orinoco River. Tradition bearers narrate the stories </w:t>
      </w:r>
      <w:r>
        <w:rPr>
          <w:color w:val="000000"/>
          <w:shd w:val="clear" w:color="auto" w:fill="FFFFFF"/>
          <w:lang w:val="en-US"/>
        </w:rPr>
        <w:t xml:space="preserve">revolving around </w:t>
      </w:r>
      <w:r w:rsidRPr="004D7C38">
        <w:rPr>
          <w:color w:val="000000"/>
          <w:shd w:val="clear" w:color="auto" w:fill="FFFFFF"/>
          <w:lang w:val="en-US"/>
        </w:rPr>
        <w:t xml:space="preserve">social structure, knowledge, </w:t>
      </w:r>
      <w:r w:rsidR="004B01D5">
        <w:rPr>
          <w:color w:val="000000"/>
          <w:shd w:val="clear" w:color="auto" w:fill="FFFFFF"/>
          <w:lang w:val="en-US"/>
        </w:rPr>
        <w:t xml:space="preserve">the </w:t>
      </w:r>
      <w:r>
        <w:rPr>
          <w:color w:val="000000"/>
          <w:shd w:val="clear" w:color="auto" w:fill="FFFFFF"/>
          <w:lang w:val="en-US"/>
        </w:rPr>
        <w:t>environment</w:t>
      </w:r>
      <w:r w:rsidR="004B01D5">
        <w:rPr>
          <w:color w:val="000000"/>
          <w:shd w:val="clear" w:color="auto" w:fill="FFFFFF"/>
          <w:lang w:val="en-US"/>
        </w:rPr>
        <w:t xml:space="preserve"> and</w:t>
      </w:r>
      <w:r>
        <w:rPr>
          <w:color w:val="000000"/>
          <w:shd w:val="clear" w:color="auto" w:fill="FFFFFF"/>
          <w:lang w:val="en-US"/>
        </w:rPr>
        <w:t xml:space="preserve"> </w:t>
      </w:r>
      <w:r w:rsidRPr="004D7C38">
        <w:rPr>
          <w:color w:val="000000"/>
          <w:shd w:val="clear" w:color="auto" w:fill="FFFFFF"/>
          <w:lang w:val="en-US"/>
        </w:rPr>
        <w:t>cosmogony</w:t>
      </w:r>
      <w:r>
        <w:rPr>
          <w:color w:val="000000"/>
          <w:shd w:val="clear" w:color="auto" w:fill="FFFFFF"/>
          <w:lang w:val="en-US"/>
        </w:rPr>
        <w:t xml:space="preserve"> </w:t>
      </w:r>
      <w:r w:rsidRPr="004D7C38">
        <w:rPr>
          <w:color w:val="000000"/>
          <w:shd w:val="clear" w:color="auto" w:fill="FFFFFF"/>
          <w:lang w:val="en-US"/>
        </w:rPr>
        <w:t xml:space="preserve">while carrying out their daily </w:t>
      </w:r>
      <w:r>
        <w:rPr>
          <w:color w:val="000000"/>
          <w:shd w:val="clear" w:color="auto" w:fill="FFFFFF"/>
          <w:lang w:val="en-US"/>
        </w:rPr>
        <w:t xml:space="preserve">chores and engagements. </w:t>
      </w:r>
      <w:r w:rsidRPr="004D7C38">
        <w:rPr>
          <w:color w:val="000000"/>
          <w:shd w:val="clear" w:color="auto" w:fill="FFFFFF"/>
          <w:lang w:val="en-US"/>
        </w:rPr>
        <w:t xml:space="preserve">Community elders are the main keepers of the oral traditions of the </w:t>
      </w:r>
      <w:proofErr w:type="spellStart"/>
      <w:r w:rsidRPr="004D7C38">
        <w:rPr>
          <w:color w:val="000000"/>
          <w:shd w:val="clear" w:color="auto" w:fill="FFFFFF"/>
          <w:lang w:val="en-US"/>
        </w:rPr>
        <w:t>Mapoyo</w:t>
      </w:r>
      <w:proofErr w:type="spellEnd"/>
      <w:r w:rsidRPr="004D7C38">
        <w:rPr>
          <w:color w:val="000000"/>
          <w:shd w:val="clear" w:color="auto" w:fill="FFFFFF"/>
          <w:lang w:val="en-US"/>
        </w:rPr>
        <w:t xml:space="preserve"> and their symbolism.</w:t>
      </w:r>
      <w:r w:rsidRPr="00A57760">
        <w:rPr>
          <w:color w:val="000000"/>
          <w:shd w:val="clear" w:color="auto" w:fill="FFFFFF"/>
          <w:lang w:val="en-US"/>
        </w:rPr>
        <w:t xml:space="preserve"> </w:t>
      </w:r>
      <w:r>
        <w:rPr>
          <w:color w:val="000000"/>
          <w:shd w:val="clear" w:color="auto" w:fill="FFFFFF"/>
          <w:lang w:val="en-US"/>
        </w:rPr>
        <w:t>The element fosters self-awareness within the community and strengthens the role of its bearers.</w:t>
      </w:r>
    </w:p>
    <w:p w14:paraId="6AC2DFFE" w14:textId="370612EF" w:rsidR="004C347F" w:rsidRPr="006C5E35" w:rsidRDefault="004C347F" w:rsidP="004C347F">
      <w:pPr>
        <w:pStyle w:val="COMPara"/>
        <w:numPr>
          <w:ilvl w:val="0"/>
          <w:numId w:val="9"/>
        </w:numPr>
        <w:spacing w:before="120"/>
        <w:ind w:left="567" w:hanging="567"/>
        <w:jc w:val="both"/>
      </w:pPr>
      <w:r w:rsidRPr="005A1859">
        <w:rPr>
          <w:b/>
        </w:rPr>
        <w:t>Effectiveness of the safeguarding plan</w:t>
      </w:r>
      <w:r w:rsidRPr="005A1859">
        <w:t xml:space="preserve">. In order to ensure the viability and transmission of the </w:t>
      </w:r>
      <w:proofErr w:type="spellStart"/>
      <w:r>
        <w:t>Mapoyo</w:t>
      </w:r>
      <w:proofErr w:type="spellEnd"/>
      <w:r>
        <w:t xml:space="preserve"> oral </w:t>
      </w:r>
      <w:r w:rsidRPr="005A1859">
        <w:t xml:space="preserve">traditions and </w:t>
      </w:r>
      <w:r w:rsidR="004B01D5">
        <w:t xml:space="preserve">associated </w:t>
      </w:r>
      <w:r w:rsidRPr="005A1859">
        <w:t xml:space="preserve">practices, the overall objectives of the safeguarding plan </w:t>
      </w:r>
      <w:r w:rsidR="004B01D5" w:rsidRPr="005A1859">
        <w:t>w</w:t>
      </w:r>
      <w:r w:rsidR="004B01D5">
        <w:t>ere</w:t>
      </w:r>
      <w:r w:rsidR="004B01D5" w:rsidRPr="005A1859">
        <w:t xml:space="preserve"> </w:t>
      </w:r>
      <w:r w:rsidRPr="005A1859">
        <w:t xml:space="preserve">to reinforce the transmission of ancestral knowledge, enhance research associated with the element, integrate </w:t>
      </w:r>
      <w:proofErr w:type="spellStart"/>
      <w:r w:rsidRPr="006C030B">
        <w:t>Mapoyo</w:t>
      </w:r>
      <w:proofErr w:type="spellEnd"/>
      <w:r w:rsidRPr="006C030B">
        <w:t xml:space="preserve"> </w:t>
      </w:r>
      <w:r w:rsidR="00350253">
        <w:t>teachings</w:t>
      </w:r>
      <w:r w:rsidR="00350253" w:rsidRPr="005A1859">
        <w:t xml:space="preserve"> </w:t>
      </w:r>
      <w:r w:rsidRPr="005A1859">
        <w:t xml:space="preserve">into educational </w:t>
      </w:r>
      <w:r w:rsidR="004B01D5" w:rsidRPr="005A1859">
        <w:t>curricul</w:t>
      </w:r>
      <w:r w:rsidR="004B01D5">
        <w:t>a</w:t>
      </w:r>
      <w:r w:rsidRPr="005A1859">
        <w:t>, and raise awareness</w:t>
      </w:r>
      <w:r>
        <w:t xml:space="preserve"> and inclusiveness</w:t>
      </w:r>
      <w:r w:rsidR="004B01D5">
        <w:t xml:space="preserve"> within the community</w:t>
      </w:r>
      <w:r w:rsidRPr="005A1859">
        <w:t>. The safeguarding measures</w:t>
      </w:r>
      <w:r>
        <w:t xml:space="preserve"> undertaken include</w:t>
      </w:r>
      <w:r w:rsidRPr="005A1859">
        <w:t>: design</w:t>
      </w:r>
      <w:r w:rsidR="004B01D5">
        <w:t>ing</w:t>
      </w:r>
      <w:r w:rsidRPr="005A1859">
        <w:t xml:space="preserve"> and implement</w:t>
      </w:r>
      <w:r w:rsidR="004B01D5">
        <w:t>ing</w:t>
      </w:r>
      <w:r w:rsidRPr="005A1859">
        <w:t xml:space="preserve"> the ‘</w:t>
      </w:r>
      <w:proofErr w:type="spellStart"/>
      <w:r w:rsidRPr="005A1859">
        <w:t>Mapoyo</w:t>
      </w:r>
      <w:proofErr w:type="spellEnd"/>
      <w:r w:rsidRPr="005A1859">
        <w:t xml:space="preserve"> Education Program’</w:t>
      </w:r>
      <w:r>
        <w:t>,</w:t>
      </w:r>
      <w:r w:rsidRPr="005A1859">
        <w:t xml:space="preserve"> </w:t>
      </w:r>
      <w:r>
        <w:t>allowing</w:t>
      </w:r>
      <w:r w:rsidRPr="005A1859">
        <w:t xml:space="preserve"> tradition bearers to integrate </w:t>
      </w:r>
      <w:proofErr w:type="spellStart"/>
      <w:r w:rsidRPr="005A1859">
        <w:rPr>
          <w:color w:val="000000"/>
          <w:shd w:val="clear" w:color="auto" w:fill="FFFFFF"/>
          <w:lang w:val="en-US"/>
        </w:rPr>
        <w:t>Mapoyo</w:t>
      </w:r>
      <w:proofErr w:type="spellEnd"/>
      <w:r w:rsidRPr="005A1859">
        <w:rPr>
          <w:color w:val="000000"/>
          <w:shd w:val="clear" w:color="auto" w:fill="FFFFFF"/>
          <w:lang w:val="en-US"/>
        </w:rPr>
        <w:t xml:space="preserve"> </w:t>
      </w:r>
      <w:r w:rsidR="00350253">
        <w:t>teachings</w:t>
      </w:r>
      <w:r w:rsidR="00350253" w:rsidRPr="005A1859" w:rsidDel="00350253">
        <w:rPr>
          <w:color w:val="000000"/>
          <w:shd w:val="clear" w:color="auto" w:fill="FFFFFF"/>
          <w:lang w:val="en-US"/>
        </w:rPr>
        <w:t xml:space="preserve"> </w:t>
      </w:r>
      <w:r>
        <w:rPr>
          <w:color w:val="000000"/>
          <w:shd w:val="clear" w:color="auto" w:fill="FFFFFF"/>
          <w:lang w:val="en-US"/>
        </w:rPr>
        <w:t xml:space="preserve">into school </w:t>
      </w:r>
      <w:r w:rsidR="004B01D5">
        <w:rPr>
          <w:color w:val="000000"/>
          <w:shd w:val="clear" w:color="auto" w:fill="FFFFFF"/>
          <w:lang w:val="en-US"/>
        </w:rPr>
        <w:t xml:space="preserve">curricula, </w:t>
      </w:r>
      <w:r>
        <w:rPr>
          <w:color w:val="000000"/>
          <w:shd w:val="clear" w:color="auto" w:fill="FFFFFF"/>
          <w:lang w:val="en-US"/>
        </w:rPr>
        <w:t xml:space="preserve">including </w:t>
      </w:r>
      <w:r w:rsidR="004B01D5">
        <w:rPr>
          <w:color w:val="000000"/>
          <w:shd w:val="clear" w:color="auto" w:fill="FFFFFF"/>
          <w:lang w:val="en-US"/>
        </w:rPr>
        <w:t>by reinforcing the</w:t>
      </w:r>
      <w:r w:rsidRPr="00633A6A">
        <w:rPr>
          <w:color w:val="000000"/>
          <w:shd w:val="clear" w:color="auto" w:fill="FFFFFF"/>
          <w:lang w:val="en-US"/>
        </w:rPr>
        <w:t xml:space="preserve"> </w:t>
      </w:r>
      <w:proofErr w:type="spellStart"/>
      <w:r>
        <w:rPr>
          <w:color w:val="000000"/>
          <w:shd w:val="clear" w:color="auto" w:fill="FFFFFF"/>
          <w:lang w:val="en-US"/>
        </w:rPr>
        <w:t>M</w:t>
      </w:r>
      <w:r w:rsidRPr="00633A6A">
        <w:rPr>
          <w:color w:val="000000"/>
          <w:shd w:val="clear" w:color="auto" w:fill="FFFFFF"/>
          <w:lang w:val="en-US"/>
        </w:rPr>
        <w:t>apoyo</w:t>
      </w:r>
      <w:proofErr w:type="spellEnd"/>
      <w:r w:rsidRPr="00633A6A">
        <w:rPr>
          <w:color w:val="000000"/>
          <w:shd w:val="clear" w:color="auto" w:fill="FFFFFF"/>
          <w:lang w:val="en-US"/>
        </w:rPr>
        <w:t xml:space="preserve"> language in local </w:t>
      </w:r>
      <w:r>
        <w:rPr>
          <w:color w:val="000000"/>
          <w:shd w:val="clear" w:color="auto" w:fill="FFFFFF"/>
          <w:lang w:val="en-US"/>
        </w:rPr>
        <w:t>schools; establish</w:t>
      </w:r>
      <w:r w:rsidR="004B01D5">
        <w:rPr>
          <w:color w:val="000000"/>
          <w:shd w:val="clear" w:color="auto" w:fill="FFFFFF"/>
          <w:lang w:val="en-US"/>
        </w:rPr>
        <w:t>ing</w:t>
      </w:r>
      <w:r w:rsidRPr="005A1859">
        <w:rPr>
          <w:color w:val="000000"/>
          <w:shd w:val="clear" w:color="auto" w:fill="FFFFFF"/>
          <w:lang w:val="en-US"/>
        </w:rPr>
        <w:t xml:space="preserve"> </w:t>
      </w:r>
      <w:r>
        <w:rPr>
          <w:color w:val="000000"/>
          <w:shd w:val="clear" w:color="auto" w:fill="FFFFFF"/>
          <w:lang w:val="en-US"/>
        </w:rPr>
        <w:t>a</w:t>
      </w:r>
      <w:r w:rsidRPr="005A1859">
        <w:rPr>
          <w:color w:val="000000"/>
          <w:shd w:val="clear" w:color="auto" w:fill="FFFFFF"/>
          <w:lang w:val="en-US"/>
        </w:rPr>
        <w:t xml:space="preserve"> community museum and </w:t>
      </w:r>
      <w:r>
        <w:rPr>
          <w:color w:val="000000"/>
          <w:shd w:val="clear" w:color="auto" w:fill="FFFFFF"/>
          <w:lang w:val="en-US"/>
        </w:rPr>
        <w:t xml:space="preserve">providing capacity-building </w:t>
      </w:r>
      <w:r w:rsidRPr="005A1859">
        <w:rPr>
          <w:color w:val="000000"/>
          <w:shd w:val="clear" w:color="auto" w:fill="FFFFFF"/>
          <w:lang w:val="en-US"/>
        </w:rPr>
        <w:t xml:space="preserve">training </w:t>
      </w:r>
      <w:r>
        <w:rPr>
          <w:color w:val="000000"/>
          <w:shd w:val="clear" w:color="auto" w:fill="FFFFFF"/>
          <w:lang w:val="en-US"/>
        </w:rPr>
        <w:t xml:space="preserve">to </w:t>
      </w:r>
      <w:r w:rsidRPr="005A1859">
        <w:rPr>
          <w:color w:val="000000"/>
          <w:shd w:val="clear" w:color="auto" w:fill="FFFFFF"/>
          <w:lang w:val="en-US"/>
        </w:rPr>
        <w:t>old</w:t>
      </w:r>
      <w:r w:rsidR="004B01D5">
        <w:rPr>
          <w:color w:val="000000"/>
          <w:shd w:val="clear" w:color="auto" w:fill="FFFFFF"/>
          <w:lang w:val="en-US"/>
        </w:rPr>
        <w:t>er</w:t>
      </w:r>
      <w:r w:rsidRPr="005A1859">
        <w:rPr>
          <w:color w:val="000000"/>
          <w:shd w:val="clear" w:color="auto" w:fill="FFFFFF"/>
          <w:lang w:val="en-US"/>
        </w:rPr>
        <w:t xml:space="preserve"> and young</w:t>
      </w:r>
      <w:r w:rsidR="004B01D5">
        <w:rPr>
          <w:color w:val="000000"/>
          <w:shd w:val="clear" w:color="auto" w:fill="FFFFFF"/>
          <w:lang w:val="en-US"/>
        </w:rPr>
        <w:t>er</w:t>
      </w:r>
      <w:r>
        <w:rPr>
          <w:color w:val="000000"/>
          <w:shd w:val="clear" w:color="auto" w:fill="FFFFFF"/>
          <w:lang w:val="en-US"/>
        </w:rPr>
        <w:t xml:space="preserve"> </w:t>
      </w:r>
      <w:r w:rsidRPr="005A1859">
        <w:rPr>
          <w:color w:val="000000"/>
          <w:shd w:val="clear" w:color="auto" w:fill="FFFFFF"/>
          <w:lang w:val="en-US"/>
        </w:rPr>
        <w:t xml:space="preserve">bearers </w:t>
      </w:r>
      <w:r>
        <w:rPr>
          <w:color w:val="000000"/>
          <w:shd w:val="clear" w:color="auto" w:fill="FFFFFF"/>
          <w:lang w:val="en-US"/>
        </w:rPr>
        <w:t xml:space="preserve">to act as cultural </w:t>
      </w:r>
      <w:r w:rsidRPr="005A1859">
        <w:rPr>
          <w:color w:val="000000"/>
          <w:shd w:val="clear" w:color="auto" w:fill="FFFFFF"/>
          <w:lang w:val="en-US"/>
        </w:rPr>
        <w:t>guides</w:t>
      </w:r>
      <w:r>
        <w:rPr>
          <w:color w:val="000000"/>
          <w:shd w:val="clear" w:color="auto" w:fill="FFFFFF"/>
          <w:lang w:val="en-US"/>
        </w:rPr>
        <w:t xml:space="preserve"> </w:t>
      </w:r>
      <w:r w:rsidR="00792DFD">
        <w:rPr>
          <w:color w:val="000000"/>
          <w:shd w:val="clear" w:color="auto" w:fill="FFFFFF"/>
          <w:lang w:val="en-US"/>
        </w:rPr>
        <w:t xml:space="preserve">for </w:t>
      </w:r>
      <w:r>
        <w:rPr>
          <w:color w:val="000000"/>
          <w:shd w:val="clear" w:color="auto" w:fill="FFFFFF"/>
          <w:lang w:val="en-US"/>
        </w:rPr>
        <w:t>visiting</w:t>
      </w:r>
      <w:r w:rsidRPr="00435931">
        <w:t xml:space="preserve"> </w:t>
      </w:r>
      <w:r w:rsidRPr="009E78DD">
        <w:rPr>
          <w:color w:val="000000"/>
          <w:shd w:val="clear" w:color="auto" w:fill="FFFFFF"/>
          <w:lang w:val="en-US"/>
        </w:rPr>
        <w:t xml:space="preserve">symbolic areas </w:t>
      </w:r>
      <w:r>
        <w:rPr>
          <w:color w:val="000000"/>
          <w:shd w:val="clear" w:color="auto" w:fill="FFFFFF"/>
          <w:lang w:val="en-US"/>
        </w:rPr>
        <w:t xml:space="preserve">within the </w:t>
      </w:r>
      <w:proofErr w:type="spellStart"/>
      <w:r>
        <w:rPr>
          <w:color w:val="000000"/>
          <w:shd w:val="clear" w:color="auto" w:fill="FFFFFF"/>
          <w:lang w:val="en-US"/>
        </w:rPr>
        <w:t>M</w:t>
      </w:r>
      <w:r w:rsidRPr="009E78DD">
        <w:rPr>
          <w:color w:val="000000"/>
          <w:shd w:val="clear" w:color="auto" w:fill="FFFFFF"/>
          <w:lang w:val="en-US"/>
        </w:rPr>
        <w:t>apoyo</w:t>
      </w:r>
      <w:proofErr w:type="spellEnd"/>
      <w:r w:rsidRPr="009E78DD">
        <w:rPr>
          <w:color w:val="000000"/>
          <w:shd w:val="clear" w:color="auto" w:fill="FFFFFF"/>
          <w:lang w:val="en-US"/>
        </w:rPr>
        <w:t xml:space="preserve"> territory</w:t>
      </w:r>
      <w:r w:rsidRPr="005A1859">
        <w:rPr>
          <w:color w:val="000000"/>
          <w:shd w:val="clear" w:color="auto" w:fill="FFFFFF"/>
          <w:lang w:val="en-US"/>
        </w:rPr>
        <w:t>;</w:t>
      </w:r>
      <w:r w:rsidRPr="005A1859">
        <w:t xml:space="preserve"> creating a bibliography on the subject of </w:t>
      </w:r>
      <w:proofErr w:type="spellStart"/>
      <w:r>
        <w:t>M</w:t>
      </w:r>
      <w:r w:rsidRPr="005A1859">
        <w:t>apoyo</w:t>
      </w:r>
      <w:proofErr w:type="spellEnd"/>
      <w:r w:rsidRPr="005A1859">
        <w:t xml:space="preserve"> culture to improve the operation</w:t>
      </w:r>
      <w:r w:rsidR="004B01D5">
        <w:t>s</w:t>
      </w:r>
      <w:r w:rsidRPr="005A1859">
        <w:t xml:space="preserve"> of the community document</w:t>
      </w:r>
      <w:r w:rsidR="004B01D5">
        <w:t>ation</w:t>
      </w:r>
      <w:r w:rsidRPr="005A1859">
        <w:t xml:space="preserve"> centre</w:t>
      </w:r>
      <w:r>
        <w:t xml:space="preserve">; and </w:t>
      </w:r>
      <w:r w:rsidR="004B01D5">
        <w:t>establishing</w:t>
      </w:r>
      <w:r>
        <w:t xml:space="preserve"> the rules of coexistence among the communities, both indigenous and others that inhabit the </w:t>
      </w:r>
      <w:proofErr w:type="spellStart"/>
      <w:r>
        <w:t>Mapoyo</w:t>
      </w:r>
      <w:proofErr w:type="spellEnd"/>
      <w:r>
        <w:t xml:space="preserve"> territories</w:t>
      </w:r>
      <w:r w:rsidR="004B01D5">
        <w:t xml:space="preserve"> together</w:t>
      </w:r>
      <w:r>
        <w:t xml:space="preserve">. Furthermore, the report mentions the establishment of a Council of Elders and of a Council for the indigenous peoples and communities of the </w:t>
      </w:r>
      <w:proofErr w:type="spellStart"/>
      <w:r>
        <w:t>Mapoyo</w:t>
      </w:r>
      <w:proofErr w:type="spellEnd"/>
      <w:r>
        <w:t xml:space="preserve"> ancestral territory (CPI-TAM) aimed at reinforcing the coexistence agreements and the cultural relations operating in the region. Likewise, social organi</w:t>
      </w:r>
      <w:r w:rsidR="00792DFD">
        <w:t>z</w:t>
      </w:r>
      <w:r>
        <w:t xml:space="preserve">ation is reported </w:t>
      </w:r>
      <w:r w:rsidR="004B01D5">
        <w:t xml:space="preserve">to have been strengthened through </w:t>
      </w:r>
      <w:r>
        <w:t xml:space="preserve">the </w:t>
      </w:r>
      <w:r w:rsidRPr="006C5E35">
        <w:t xml:space="preserve">creation of </w:t>
      </w:r>
      <w:r>
        <w:t xml:space="preserve">the </w:t>
      </w:r>
      <w:r w:rsidRPr="00792DFD">
        <w:t xml:space="preserve">Red Viva el </w:t>
      </w:r>
      <w:proofErr w:type="spellStart"/>
      <w:r w:rsidRPr="00792DFD">
        <w:t>Palomo</w:t>
      </w:r>
      <w:proofErr w:type="spellEnd"/>
      <w:r w:rsidR="00792DFD">
        <w:t xml:space="preserve"> </w:t>
      </w:r>
      <w:r w:rsidR="004B01D5">
        <w:t>committee</w:t>
      </w:r>
      <w:r>
        <w:t xml:space="preserve">, which has </w:t>
      </w:r>
      <w:r w:rsidR="004B01D5">
        <w:t>met</w:t>
      </w:r>
      <w:r>
        <w:t xml:space="preserve"> with mining companies </w:t>
      </w:r>
      <w:r w:rsidRPr="00FD5CB7">
        <w:t xml:space="preserve">to address </w:t>
      </w:r>
      <w:r>
        <w:t>issues related to environmental pollution and contamination</w:t>
      </w:r>
      <w:r w:rsidR="0071105D">
        <w:t>.</w:t>
      </w:r>
    </w:p>
    <w:p w14:paraId="511808D6" w14:textId="4F0D4C29" w:rsidR="004C347F" w:rsidRPr="00EB2EE6" w:rsidRDefault="004C347F" w:rsidP="004C347F">
      <w:pPr>
        <w:pStyle w:val="COMPara"/>
        <w:numPr>
          <w:ilvl w:val="0"/>
          <w:numId w:val="9"/>
        </w:numPr>
        <w:spacing w:before="120"/>
        <w:ind w:left="567" w:hanging="567"/>
        <w:jc w:val="both"/>
      </w:pPr>
      <w:r>
        <w:t xml:space="preserve">The implementation of the safeguarding plan has </w:t>
      </w:r>
      <w:r w:rsidR="004B01D5">
        <w:t>strengthened</w:t>
      </w:r>
      <w:r>
        <w:t xml:space="preserve"> the viability of the element at the national and local level</w:t>
      </w:r>
      <w:r w:rsidR="004B01D5">
        <w:t>s</w:t>
      </w:r>
      <w:r>
        <w:t xml:space="preserve">. The report mentions some efforts made to empower the </w:t>
      </w:r>
      <w:proofErr w:type="spellStart"/>
      <w:r>
        <w:t>Mapoyo</w:t>
      </w:r>
      <w:proofErr w:type="spellEnd"/>
      <w:r>
        <w:t xml:space="preserve"> communities, such as the </w:t>
      </w:r>
      <w:r w:rsidRPr="004C347F">
        <w:rPr>
          <w:color w:val="000000"/>
          <w:shd w:val="clear" w:color="auto" w:fill="FFFFFF"/>
          <w:lang w:val="en-US"/>
        </w:rPr>
        <w:t>reinforcement</w:t>
      </w:r>
      <w:r>
        <w:t xml:space="preserve"> of legal instruments</w:t>
      </w:r>
      <w:r w:rsidR="004B01D5">
        <w:t>,</w:t>
      </w:r>
      <w:r>
        <w:t xml:space="preserve"> namely, the Law on Demarcation and the Preservation of Indigenous People’s Habitat and Land (2001), </w:t>
      </w:r>
      <w:r w:rsidR="004B01D5">
        <w:t xml:space="preserve">the </w:t>
      </w:r>
      <w:r>
        <w:t>Organic Law of Indigenous communities and Peoples (2005) and the ratification of 2001 I</w:t>
      </w:r>
      <w:r w:rsidRPr="009E78DD">
        <w:t>nternational Labour Organisation</w:t>
      </w:r>
      <w:r>
        <w:t xml:space="preserve"> Convention No. 169 on Indigenous and Tribal People at the national level. At the local level, </w:t>
      </w:r>
      <w:r>
        <w:rPr>
          <w:color w:val="000000"/>
          <w:shd w:val="clear" w:color="auto" w:fill="FFFFFF"/>
        </w:rPr>
        <w:t>a</w:t>
      </w:r>
      <w:r>
        <w:rPr>
          <w:color w:val="000000"/>
          <w:shd w:val="clear" w:color="auto" w:fill="FFFFFF"/>
          <w:lang w:val="en-US"/>
        </w:rPr>
        <w:t>n increase in the number of bearers</w:t>
      </w:r>
      <w:r>
        <w:t xml:space="preserve"> has been reported. </w:t>
      </w:r>
      <w:r>
        <w:rPr>
          <w:color w:val="000000"/>
          <w:shd w:val="clear" w:color="auto" w:fill="FFFFFF"/>
          <w:lang w:val="en-US"/>
        </w:rPr>
        <w:t>The safeguarding plan is inclusive in nature</w:t>
      </w:r>
      <w:r w:rsidR="00792DFD">
        <w:rPr>
          <w:color w:val="000000"/>
          <w:shd w:val="clear" w:color="auto" w:fill="FFFFFF"/>
          <w:lang w:val="en-US"/>
        </w:rPr>
        <w:t>,</w:t>
      </w:r>
      <w:r>
        <w:rPr>
          <w:color w:val="000000"/>
          <w:shd w:val="clear" w:color="auto" w:fill="FFFFFF"/>
          <w:lang w:val="en-US"/>
        </w:rPr>
        <w:t xml:space="preserve"> </w:t>
      </w:r>
      <w:r w:rsidR="00792DFD">
        <w:rPr>
          <w:color w:val="000000"/>
          <w:shd w:val="clear" w:color="auto" w:fill="FFFFFF"/>
          <w:lang w:val="en-US"/>
        </w:rPr>
        <w:t>with</w:t>
      </w:r>
      <w:r w:rsidR="00792DFD" w:rsidRPr="00EC12FF">
        <w:rPr>
          <w:color w:val="000000"/>
          <w:shd w:val="clear" w:color="auto" w:fill="FFFFFF"/>
          <w:lang w:val="en-US"/>
        </w:rPr>
        <w:t xml:space="preserve"> </w:t>
      </w:r>
      <w:r>
        <w:rPr>
          <w:color w:val="000000"/>
          <w:shd w:val="clear" w:color="auto" w:fill="FFFFFF"/>
          <w:lang w:val="en-US"/>
        </w:rPr>
        <w:t xml:space="preserve">efforts </w:t>
      </w:r>
      <w:r w:rsidR="00792DFD">
        <w:rPr>
          <w:color w:val="000000"/>
          <w:shd w:val="clear" w:color="auto" w:fill="FFFFFF"/>
          <w:lang w:val="en-US"/>
        </w:rPr>
        <w:t xml:space="preserve">also </w:t>
      </w:r>
      <w:r>
        <w:rPr>
          <w:color w:val="000000"/>
          <w:shd w:val="clear" w:color="auto" w:fill="FFFFFF"/>
          <w:lang w:val="en-US"/>
        </w:rPr>
        <w:t>hav</w:t>
      </w:r>
      <w:r w:rsidR="00792DFD">
        <w:rPr>
          <w:color w:val="000000"/>
          <w:shd w:val="clear" w:color="auto" w:fill="FFFFFF"/>
          <w:lang w:val="en-US"/>
        </w:rPr>
        <w:t>ing</w:t>
      </w:r>
      <w:r>
        <w:rPr>
          <w:color w:val="000000"/>
          <w:shd w:val="clear" w:color="auto" w:fill="FFFFFF"/>
          <w:lang w:val="en-US"/>
        </w:rPr>
        <w:t xml:space="preserve"> been made to disseminate information about the </w:t>
      </w:r>
      <w:proofErr w:type="spellStart"/>
      <w:r>
        <w:rPr>
          <w:color w:val="000000"/>
          <w:shd w:val="clear" w:color="auto" w:fill="FFFFFF"/>
          <w:lang w:val="en-US"/>
        </w:rPr>
        <w:t>Mapoyo</w:t>
      </w:r>
      <w:proofErr w:type="spellEnd"/>
      <w:r>
        <w:rPr>
          <w:color w:val="000000"/>
          <w:shd w:val="clear" w:color="auto" w:fill="FFFFFF"/>
          <w:lang w:val="en-US"/>
        </w:rPr>
        <w:t xml:space="preserve"> oral tradition among people with visual and hearing disabilities. The updated safeguarding plan ensures further continuity </w:t>
      </w:r>
      <w:r w:rsidR="00792DFD">
        <w:rPr>
          <w:color w:val="000000"/>
          <w:shd w:val="clear" w:color="auto" w:fill="FFFFFF"/>
          <w:lang w:val="en-US"/>
        </w:rPr>
        <w:t xml:space="preserve">of </w:t>
      </w:r>
      <w:r>
        <w:rPr>
          <w:color w:val="000000"/>
          <w:shd w:val="clear" w:color="auto" w:fill="FFFFFF"/>
          <w:lang w:val="en-US"/>
        </w:rPr>
        <w:t>the safeguarding of the element</w:t>
      </w:r>
      <w:r w:rsidR="00792DFD">
        <w:rPr>
          <w:color w:val="000000"/>
          <w:shd w:val="clear" w:color="auto" w:fill="FFFFFF"/>
          <w:lang w:val="en-US"/>
        </w:rPr>
        <w:t>,</w:t>
      </w:r>
      <w:r>
        <w:rPr>
          <w:color w:val="000000"/>
          <w:shd w:val="clear" w:color="auto" w:fill="FFFFFF"/>
          <w:lang w:val="en-US"/>
        </w:rPr>
        <w:t xml:space="preserve"> with the objective of strengthening its viability and transmission and enabling integral and sustained community development.</w:t>
      </w:r>
    </w:p>
    <w:p w14:paraId="2217D35C" w14:textId="55BC73F4" w:rsidR="004C347F" w:rsidRPr="00AF36A8" w:rsidRDefault="004C347F" w:rsidP="004C347F">
      <w:pPr>
        <w:pStyle w:val="COMPara"/>
        <w:numPr>
          <w:ilvl w:val="0"/>
          <w:numId w:val="9"/>
        </w:numPr>
        <w:spacing w:before="120"/>
        <w:ind w:left="567" w:hanging="567"/>
        <w:jc w:val="both"/>
      </w:pPr>
      <w:r w:rsidRPr="00AF36A8">
        <w:rPr>
          <w:b/>
        </w:rPr>
        <w:t>Community participation</w:t>
      </w:r>
      <w:r w:rsidRPr="00AF36A8">
        <w:t xml:space="preserve">. </w:t>
      </w:r>
      <w:r w:rsidR="004B01D5">
        <w:t xml:space="preserve">The </w:t>
      </w:r>
      <w:r w:rsidRPr="00AF36A8">
        <w:t xml:space="preserve">communities and individuals concerned with the element </w:t>
      </w:r>
      <w:r w:rsidR="004B01D5">
        <w:t xml:space="preserve">are reported to </w:t>
      </w:r>
      <w:r w:rsidRPr="00AF36A8">
        <w:t xml:space="preserve">have actively </w:t>
      </w:r>
      <w:r w:rsidR="004B01D5" w:rsidRPr="00AF36A8">
        <w:t xml:space="preserve">participated </w:t>
      </w:r>
      <w:r w:rsidRPr="00AF36A8">
        <w:t xml:space="preserve">in </w:t>
      </w:r>
      <w:r w:rsidRPr="00435931">
        <w:rPr>
          <w:bCs/>
        </w:rPr>
        <w:t xml:space="preserve">the </w:t>
      </w:r>
      <w:r>
        <w:rPr>
          <w:bCs/>
        </w:rPr>
        <w:t xml:space="preserve">identification of appropriate measures, the implementation </w:t>
      </w:r>
      <w:r w:rsidRPr="00435931">
        <w:rPr>
          <w:bCs/>
        </w:rPr>
        <w:t>of the safeguarding plan</w:t>
      </w:r>
      <w:r>
        <w:rPr>
          <w:bCs/>
        </w:rPr>
        <w:t xml:space="preserve"> and the drafting of the report</w:t>
      </w:r>
      <w:r w:rsidRPr="00151339">
        <w:t xml:space="preserve">. The participation of </w:t>
      </w:r>
      <w:proofErr w:type="spellStart"/>
      <w:r w:rsidRPr="00151339">
        <w:t>Mapoyo</w:t>
      </w:r>
      <w:proofErr w:type="spellEnd"/>
      <w:r w:rsidRPr="00151339">
        <w:t xml:space="preserve"> teachers</w:t>
      </w:r>
      <w:r w:rsidRPr="00AF36A8">
        <w:t xml:space="preserve"> ha</w:t>
      </w:r>
      <w:r>
        <w:t>s</w:t>
      </w:r>
      <w:r w:rsidRPr="00AF36A8">
        <w:t xml:space="preserve"> allowed learning projects based on oral traditions and symbolic spaces to be included in the educational curriculum. The report highlights</w:t>
      </w:r>
      <w:r w:rsidRPr="00435931">
        <w:t xml:space="preserve"> the participation of community members in activities </w:t>
      </w:r>
      <w:r w:rsidRPr="00151339">
        <w:t xml:space="preserve">related to the reinforcement of </w:t>
      </w:r>
      <w:r>
        <w:t xml:space="preserve">knowledge </w:t>
      </w:r>
      <w:r w:rsidRPr="00AF36A8">
        <w:t xml:space="preserve">transmission, </w:t>
      </w:r>
      <w:r w:rsidR="004B01D5">
        <w:t>including</w:t>
      </w:r>
      <w:r w:rsidRPr="00AF36A8">
        <w:t xml:space="preserve"> basket making, the building of traditional houses, pottery, hunting, fishing and traditional farming. </w:t>
      </w:r>
      <w:r w:rsidRPr="00435931">
        <w:t xml:space="preserve">Furthermore, bearers have organized several consultation meetings and activities related to environmental protection and the establishment </w:t>
      </w:r>
      <w:r w:rsidRPr="00AF36A8">
        <w:t>of rules of coexistence between them</w:t>
      </w:r>
      <w:r w:rsidR="004B01D5">
        <w:t>selves</w:t>
      </w:r>
      <w:r w:rsidRPr="00AF36A8">
        <w:t xml:space="preserve"> and the </w:t>
      </w:r>
      <w:r>
        <w:t xml:space="preserve">other </w:t>
      </w:r>
      <w:r w:rsidRPr="00AF36A8">
        <w:t xml:space="preserve">communities. Overall, a participative approach </w:t>
      </w:r>
      <w:r w:rsidR="0071105D">
        <w:t xml:space="preserve">is reported to </w:t>
      </w:r>
      <w:r w:rsidRPr="00AF36A8">
        <w:t>ha</w:t>
      </w:r>
      <w:r w:rsidR="0071105D">
        <w:t>ve</w:t>
      </w:r>
      <w:r w:rsidRPr="00AF36A8">
        <w:t xml:space="preserve"> been used in all the safeguarding measures and </w:t>
      </w:r>
      <w:r w:rsidR="004B01D5">
        <w:t xml:space="preserve">in </w:t>
      </w:r>
      <w:r w:rsidRPr="00AF36A8">
        <w:t>their updating.</w:t>
      </w:r>
    </w:p>
    <w:p w14:paraId="07142D31" w14:textId="2A561CB9" w:rsidR="004C347F" w:rsidRPr="00151339" w:rsidRDefault="004C347F" w:rsidP="004C347F">
      <w:pPr>
        <w:pStyle w:val="COMPara"/>
        <w:numPr>
          <w:ilvl w:val="0"/>
          <w:numId w:val="9"/>
        </w:numPr>
        <w:spacing w:before="120"/>
        <w:ind w:left="567" w:hanging="567"/>
        <w:jc w:val="both"/>
        <w:rPr>
          <w:color w:val="000000"/>
          <w:shd w:val="clear" w:color="auto" w:fill="FFFFFF"/>
          <w:lang w:val="en-US"/>
        </w:rPr>
      </w:pPr>
      <w:r w:rsidRPr="002F1353">
        <w:rPr>
          <w:b/>
        </w:rPr>
        <w:t>Viability and current risks</w:t>
      </w:r>
      <w:r w:rsidRPr="002F1353">
        <w:t xml:space="preserve">. As a result of the safeguarding activities, </w:t>
      </w:r>
      <w:r w:rsidRPr="00CC4C7E">
        <w:rPr>
          <w:iCs/>
        </w:rPr>
        <w:t>the</w:t>
      </w:r>
      <w:r>
        <w:rPr>
          <w:iCs/>
        </w:rPr>
        <w:t xml:space="preserve"> viability of</w:t>
      </w:r>
      <w:r w:rsidRPr="00CC4C7E">
        <w:rPr>
          <w:iCs/>
        </w:rPr>
        <w:t xml:space="preserve"> </w:t>
      </w:r>
      <w:proofErr w:type="spellStart"/>
      <w:r w:rsidRPr="00CC4C7E">
        <w:rPr>
          <w:iCs/>
        </w:rPr>
        <w:t>Mapoyo</w:t>
      </w:r>
      <w:proofErr w:type="spellEnd"/>
      <w:r w:rsidRPr="00CC4C7E">
        <w:rPr>
          <w:iCs/>
        </w:rPr>
        <w:t xml:space="preserve"> oral tradition</w:t>
      </w:r>
      <w:r>
        <w:rPr>
          <w:iCs/>
        </w:rPr>
        <w:t>s</w:t>
      </w:r>
      <w:r w:rsidRPr="00CC4C7E">
        <w:rPr>
          <w:iCs/>
        </w:rPr>
        <w:t xml:space="preserve"> </w:t>
      </w:r>
      <w:r>
        <w:t xml:space="preserve">have </w:t>
      </w:r>
      <w:r w:rsidRPr="0085344F">
        <w:t xml:space="preserve">been strengthened </w:t>
      </w:r>
      <w:r>
        <w:t xml:space="preserve">and their </w:t>
      </w:r>
      <w:r w:rsidR="004B01D5">
        <w:t xml:space="preserve">conditions of </w:t>
      </w:r>
      <w:r w:rsidRPr="0085344F">
        <w:t xml:space="preserve">transmission </w:t>
      </w:r>
      <w:r w:rsidR="004B01D5">
        <w:t>have been</w:t>
      </w:r>
      <w:r w:rsidR="004B01D5" w:rsidRPr="0085344F">
        <w:t xml:space="preserve"> </w:t>
      </w:r>
      <w:r w:rsidRPr="0085344F">
        <w:t>improved</w:t>
      </w:r>
      <w:r>
        <w:t xml:space="preserve"> thanks to </w:t>
      </w:r>
      <w:proofErr w:type="spellStart"/>
      <w:r w:rsidRPr="0085344F">
        <w:t>Mapoyo</w:t>
      </w:r>
      <w:proofErr w:type="spellEnd"/>
      <w:r w:rsidRPr="0085344F">
        <w:t xml:space="preserve"> bearers</w:t>
      </w:r>
      <w:r w:rsidR="004B01D5">
        <w:t>’ broader involvement</w:t>
      </w:r>
      <w:r w:rsidRPr="0085344F">
        <w:t xml:space="preserve"> in disseminating their knowledge to </w:t>
      </w:r>
      <w:r w:rsidRPr="0085344F">
        <w:lastRenderedPageBreak/>
        <w:t xml:space="preserve">the general public. </w:t>
      </w:r>
      <w:r w:rsidRPr="00A57760">
        <w:rPr>
          <w:lang w:val="en-US"/>
        </w:rPr>
        <w:t xml:space="preserve">University cooperation in strengthening </w:t>
      </w:r>
      <w:r w:rsidR="004B01D5">
        <w:rPr>
          <w:lang w:val="en-US"/>
        </w:rPr>
        <w:t xml:space="preserve">the </w:t>
      </w:r>
      <w:r w:rsidRPr="00A57760">
        <w:rPr>
          <w:lang w:val="en-US"/>
        </w:rPr>
        <w:t xml:space="preserve">skills of bearers has further encouraged bearers to generate new records on the </w:t>
      </w:r>
      <w:proofErr w:type="spellStart"/>
      <w:r>
        <w:rPr>
          <w:lang w:val="en-US"/>
        </w:rPr>
        <w:t>M</w:t>
      </w:r>
      <w:r w:rsidRPr="00A57760">
        <w:rPr>
          <w:lang w:val="en-US"/>
        </w:rPr>
        <w:t>apoyo</w:t>
      </w:r>
      <w:proofErr w:type="spellEnd"/>
      <w:r w:rsidRPr="00A57760">
        <w:rPr>
          <w:lang w:val="en-US"/>
        </w:rPr>
        <w:t xml:space="preserve"> oral tradition.</w:t>
      </w:r>
      <w:r w:rsidRPr="00613D6A">
        <w:rPr>
          <w:lang w:val="en-US"/>
        </w:rPr>
        <w:t xml:space="preserve"> Even though the report does not</w:t>
      </w:r>
      <w:r w:rsidR="0071105D">
        <w:rPr>
          <w:lang w:val="en-US"/>
        </w:rPr>
        <w:t xml:space="preserve"> explicitly </w:t>
      </w:r>
      <w:r w:rsidRPr="00613D6A">
        <w:rPr>
          <w:lang w:val="en-US"/>
        </w:rPr>
        <w:t xml:space="preserve">indicate </w:t>
      </w:r>
      <w:r w:rsidR="004B01D5">
        <w:rPr>
          <w:lang w:val="en-US"/>
        </w:rPr>
        <w:t xml:space="preserve">the </w:t>
      </w:r>
      <w:r w:rsidRPr="00613D6A">
        <w:rPr>
          <w:lang w:val="en-US"/>
        </w:rPr>
        <w:t xml:space="preserve">risks, </w:t>
      </w:r>
      <w:r w:rsidR="0071105D">
        <w:rPr>
          <w:lang w:val="en-US"/>
        </w:rPr>
        <w:t xml:space="preserve">descriptions in different parts of the report point to </w:t>
      </w:r>
      <w:r w:rsidRPr="00613D6A">
        <w:rPr>
          <w:lang w:val="en-US"/>
        </w:rPr>
        <w:t>some of the</w:t>
      </w:r>
      <w:r>
        <w:rPr>
          <w:lang w:val="en-US"/>
        </w:rPr>
        <w:t>m</w:t>
      </w:r>
      <w:r w:rsidRPr="00613D6A">
        <w:rPr>
          <w:lang w:val="en-US"/>
        </w:rPr>
        <w:t>: (</w:t>
      </w:r>
      <w:proofErr w:type="spellStart"/>
      <w:r w:rsidRPr="00613D6A">
        <w:rPr>
          <w:lang w:val="en-US"/>
        </w:rPr>
        <w:t>i</w:t>
      </w:r>
      <w:proofErr w:type="spellEnd"/>
      <w:r w:rsidRPr="00613D6A">
        <w:rPr>
          <w:lang w:val="en-US"/>
        </w:rPr>
        <w:t>)</w:t>
      </w:r>
      <w:r>
        <w:rPr>
          <w:lang w:val="en-US"/>
        </w:rPr>
        <w:t xml:space="preserve"> </w:t>
      </w:r>
      <w:r w:rsidR="004B01D5">
        <w:rPr>
          <w:lang w:val="en-US"/>
        </w:rPr>
        <w:t>a</w:t>
      </w:r>
      <w:r w:rsidR="004B01D5" w:rsidRPr="00613D6A">
        <w:rPr>
          <w:lang w:val="en-US"/>
        </w:rPr>
        <w:t xml:space="preserve"> </w:t>
      </w:r>
      <w:r w:rsidRPr="00613D6A">
        <w:rPr>
          <w:lang w:val="en-US"/>
        </w:rPr>
        <w:t xml:space="preserve">lack of interest and cooperation from several institutions </w:t>
      </w:r>
      <w:r w:rsidR="002C5B6A">
        <w:rPr>
          <w:lang w:val="en-US"/>
        </w:rPr>
        <w:t xml:space="preserve">as well as mining companies </w:t>
      </w:r>
      <w:r w:rsidRPr="00613D6A">
        <w:rPr>
          <w:lang w:val="en-US"/>
        </w:rPr>
        <w:t>in supporting the implementation of the safeguarding plan</w:t>
      </w:r>
      <w:r w:rsidR="002C5B6A">
        <w:rPr>
          <w:lang w:val="en-US"/>
        </w:rPr>
        <w:t xml:space="preserve">, despite an original commitment </w:t>
      </w:r>
      <w:r w:rsidR="00073AC1">
        <w:rPr>
          <w:lang w:val="en-US"/>
        </w:rPr>
        <w:t>to that effect</w:t>
      </w:r>
      <w:r w:rsidRPr="00613D6A">
        <w:rPr>
          <w:lang w:val="en-US"/>
        </w:rPr>
        <w:t>; (ii) </w:t>
      </w:r>
      <w:r>
        <w:rPr>
          <w:lang w:val="en-US"/>
        </w:rPr>
        <w:t xml:space="preserve">the </w:t>
      </w:r>
      <w:r w:rsidRPr="00613D6A">
        <w:rPr>
          <w:lang w:val="en-US"/>
        </w:rPr>
        <w:t xml:space="preserve">environmental degradation </w:t>
      </w:r>
      <w:r w:rsidRPr="00151339">
        <w:rPr>
          <w:color w:val="000000"/>
          <w:shd w:val="clear" w:color="auto" w:fill="FFFFFF"/>
          <w:lang w:val="en-US"/>
        </w:rPr>
        <w:t>of the traditional habitat of the community</w:t>
      </w:r>
      <w:r>
        <w:rPr>
          <w:color w:val="000000"/>
          <w:shd w:val="clear" w:color="auto" w:fill="FFFFFF"/>
          <w:lang w:val="en-US"/>
        </w:rPr>
        <w:t xml:space="preserve"> and bearers</w:t>
      </w:r>
      <w:r w:rsidRPr="00151339">
        <w:rPr>
          <w:color w:val="000000"/>
          <w:shd w:val="clear" w:color="auto" w:fill="FFFFFF"/>
          <w:lang w:val="en-US"/>
        </w:rPr>
        <w:t xml:space="preserve">, notably </w:t>
      </w:r>
      <w:r>
        <w:rPr>
          <w:color w:val="000000"/>
          <w:shd w:val="clear" w:color="auto" w:fill="FFFFFF"/>
          <w:lang w:val="en-US"/>
        </w:rPr>
        <w:t>a</w:t>
      </w:r>
      <w:r w:rsidRPr="00151339">
        <w:rPr>
          <w:color w:val="000000"/>
          <w:shd w:val="clear" w:color="auto" w:fill="FFFFFF"/>
          <w:lang w:val="en-US"/>
        </w:rPr>
        <w:t xml:space="preserve"> local river basin, </w:t>
      </w:r>
      <w:r w:rsidRPr="00151339">
        <w:rPr>
          <w:lang w:val="en-US"/>
        </w:rPr>
        <w:t xml:space="preserve">caused by mining </w:t>
      </w:r>
      <w:r w:rsidR="00073AC1">
        <w:rPr>
          <w:lang w:val="en-US"/>
        </w:rPr>
        <w:t>activities</w:t>
      </w:r>
      <w:r w:rsidR="002C5B6A">
        <w:rPr>
          <w:lang w:val="en-US"/>
        </w:rPr>
        <w:t xml:space="preserve"> in the </w:t>
      </w:r>
      <w:proofErr w:type="spellStart"/>
      <w:r w:rsidR="002C5B6A">
        <w:rPr>
          <w:lang w:val="en-US"/>
        </w:rPr>
        <w:t>Mapoyo</w:t>
      </w:r>
      <w:proofErr w:type="spellEnd"/>
      <w:r w:rsidR="002C5B6A">
        <w:rPr>
          <w:lang w:val="en-US"/>
        </w:rPr>
        <w:t xml:space="preserve"> territory</w:t>
      </w:r>
      <w:r>
        <w:rPr>
          <w:lang w:val="en-US"/>
        </w:rPr>
        <w:t>,</w:t>
      </w:r>
      <w:r w:rsidRPr="00151339">
        <w:rPr>
          <w:lang w:val="en-US"/>
        </w:rPr>
        <w:t xml:space="preserve"> </w:t>
      </w:r>
      <w:r>
        <w:rPr>
          <w:lang w:val="en-US"/>
        </w:rPr>
        <w:t xml:space="preserve">which may </w:t>
      </w:r>
      <w:r w:rsidRPr="00151339">
        <w:rPr>
          <w:color w:val="000000"/>
          <w:shd w:val="clear" w:color="auto" w:fill="FFFFFF"/>
          <w:lang w:val="en-US"/>
        </w:rPr>
        <w:t xml:space="preserve">lead to </w:t>
      </w:r>
      <w:r w:rsidR="004B01D5">
        <w:rPr>
          <w:color w:val="000000"/>
          <w:shd w:val="clear" w:color="auto" w:fill="FFFFFF"/>
          <w:lang w:val="en-US"/>
        </w:rPr>
        <w:t>a</w:t>
      </w:r>
      <w:r w:rsidR="004B01D5" w:rsidRPr="00151339">
        <w:rPr>
          <w:color w:val="000000"/>
          <w:shd w:val="clear" w:color="auto" w:fill="FFFFFF"/>
          <w:lang w:val="en-US"/>
        </w:rPr>
        <w:t xml:space="preserve"> </w:t>
      </w:r>
      <w:r>
        <w:rPr>
          <w:color w:val="000000"/>
          <w:shd w:val="clear" w:color="auto" w:fill="FFFFFF"/>
          <w:lang w:val="en-US"/>
        </w:rPr>
        <w:t xml:space="preserve">change in </w:t>
      </w:r>
      <w:r w:rsidRPr="00151339">
        <w:rPr>
          <w:color w:val="000000"/>
          <w:shd w:val="clear" w:color="auto" w:fill="FFFFFF"/>
          <w:lang w:val="en-US"/>
        </w:rPr>
        <w:t>their lifestyle</w:t>
      </w:r>
      <w:r w:rsidRPr="00151339">
        <w:rPr>
          <w:lang w:val="en-US"/>
        </w:rPr>
        <w:t xml:space="preserve">; (iii) </w:t>
      </w:r>
      <w:r>
        <w:rPr>
          <w:color w:val="000000"/>
          <w:shd w:val="clear" w:color="auto" w:fill="FFFFFF"/>
          <w:lang w:val="en-US"/>
        </w:rPr>
        <w:t xml:space="preserve">the </w:t>
      </w:r>
      <w:r w:rsidRPr="00151339">
        <w:rPr>
          <w:color w:val="000000"/>
          <w:shd w:val="clear" w:color="auto" w:fill="FFFFFF"/>
          <w:lang w:val="en-US"/>
        </w:rPr>
        <w:t xml:space="preserve">need for young people to migrate to urban areas to access formal public education, </w:t>
      </w:r>
      <w:r>
        <w:rPr>
          <w:color w:val="000000"/>
          <w:shd w:val="clear" w:color="auto" w:fill="FFFFFF"/>
          <w:lang w:val="en-US"/>
        </w:rPr>
        <w:t xml:space="preserve">causing </w:t>
      </w:r>
      <w:r w:rsidR="004B01D5">
        <w:rPr>
          <w:color w:val="000000"/>
          <w:shd w:val="clear" w:color="auto" w:fill="FFFFFF"/>
          <w:lang w:val="en-US"/>
        </w:rPr>
        <w:t xml:space="preserve">a </w:t>
      </w:r>
      <w:r>
        <w:rPr>
          <w:color w:val="000000"/>
          <w:shd w:val="clear" w:color="auto" w:fill="FFFFFF"/>
          <w:lang w:val="en-US"/>
        </w:rPr>
        <w:t xml:space="preserve">limited use </w:t>
      </w:r>
      <w:r w:rsidRPr="00151339">
        <w:rPr>
          <w:color w:val="000000"/>
          <w:shd w:val="clear" w:color="auto" w:fill="FFFFFF"/>
          <w:lang w:val="en-US"/>
        </w:rPr>
        <w:t xml:space="preserve">of the </w:t>
      </w:r>
      <w:proofErr w:type="spellStart"/>
      <w:r w:rsidRPr="00151339">
        <w:rPr>
          <w:color w:val="000000"/>
          <w:shd w:val="clear" w:color="auto" w:fill="FFFFFF"/>
          <w:lang w:val="en-US"/>
        </w:rPr>
        <w:t>Mapoyo</w:t>
      </w:r>
      <w:proofErr w:type="spellEnd"/>
      <w:r w:rsidRPr="00151339">
        <w:rPr>
          <w:color w:val="000000"/>
          <w:shd w:val="clear" w:color="auto" w:fill="FFFFFF"/>
          <w:lang w:val="en-US"/>
        </w:rPr>
        <w:t xml:space="preserve"> language</w:t>
      </w:r>
      <w:r>
        <w:rPr>
          <w:color w:val="000000"/>
          <w:shd w:val="clear" w:color="auto" w:fill="FFFFFF"/>
          <w:lang w:val="en-US"/>
        </w:rPr>
        <w:t xml:space="preserve"> and thereby</w:t>
      </w:r>
      <w:r w:rsidRPr="00151339">
        <w:rPr>
          <w:color w:val="000000"/>
          <w:shd w:val="clear" w:color="auto" w:fill="FFFFFF"/>
          <w:lang w:val="en-US"/>
        </w:rPr>
        <w:t xml:space="preserve"> affect</w:t>
      </w:r>
      <w:r>
        <w:rPr>
          <w:color w:val="000000"/>
          <w:shd w:val="clear" w:color="auto" w:fill="FFFFFF"/>
          <w:lang w:val="en-US"/>
        </w:rPr>
        <w:t>ing</w:t>
      </w:r>
      <w:r w:rsidRPr="00151339">
        <w:rPr>
          <w:color w:val="000000"/>
          <w:shd w:val="clear" w:color="auto" w:fill="FFFFFF"/>
          <w:lang w:val="en-US"/>
        </w:rPr>
        <w:t xml:space="preserve"> the viability of element</w:t>
      </w:r>
      <w:r>
        <w:rPr>
          <w:color w:val="000000"/>
          <w:shd w:val="clear" w:color="auto" w:fill="FFFFFF"/>
          <w:lang w:val="en-US"/>
        </w:rPr>
        <w:t xml:space="preserve"> in the long</w:t>
      </w:r>
      <w:r w:rsidR="004B01D5">
        <w:rPr>
          <w:color w:val="000000"/>
          <w:shd w:val="clear" w:color="auto" w:fill="FFFFFF"/>
          <w:lang w:val="en-US"/>
        </w:rPr>
        <w:t xml:space="preserve"> </w:t>
      </w:r>
      <w:r>
        <w:rPr>
          <w:color w:val="000000"/>
          <w:shd w:val="clear" w:color="auto" w:fill="FFFFFF"/>
          <w:lang w:val="en-US"/>
        </w:rPr>
        <w:t>term</w:t>
      </w:r>
      <w:r w:rsidRPr="00151339">
        <w:rPr>
          <w:color w:val="000000"/>
          <w:shd w:val="clear" w:color="auto" w:fill="FFFFFF"/>
          <w:lang w:val="en-US"/>
        </w:rPr>
        <w:t xml:space="preserve">; and (iv) </w:t>
      </w:r>
      <w:r>
        <w:rPr>
          <w:color w:val="000000"/>
          <w:shd w:val="clear" w:color="auto" w:fill="FFFFFF"/>
          <w:lang w:val="en-US"/>
        </w:rPr>
        <w:t xml:space="preserve">the </w:t>
      </w:r>
      <w:r w:rsidRPr="00151339">
        <w:rPr>
          <w:color w:val="000000"/>
          <w:shd w:val="clear" w:color="auto" w:fill="FFFFFF"/>
          <w:lang w:val="en-US"/>
        </w:rPr>
        <w:t xml:space="preserve">lack of </w:t>
      </w:r>
      <w:r>
        <w:rPr>
          <w:color w:val="000000"/>
          <w:shd w:val="clear" w:color="auto" w:fill="FFFFFF"/>
          <w:lang w:val="en-US"/>
        </w:rPr>
        <w:t xml:space="preserve">financial </w:t>
      </w:r>
      <w:r w:rsidRPr="00151339">
        <w:rPr>
          <w:color w:val="000000"/>
          <w:shd w:val="clear" w:color="auto" w:fill="FFFFFF"/>
          <w:lang w:val="en-US"/>
        </w:rPr>
        <w:t>funds for implement</w:t>
      </w:r>
      <w:r>
        <w:rPr>
          <w:color w:val="000000"/>
          <w:shd w:val="clear" w:color="auto" w:fill="FFFFFF"/>
          <w:lang w:val="en-US"/>
        </w:rPr>
        <w:t>ing</w:t>
      </w:r>
      <w:r w:rsidRPr="00151339">
        <w:rPr>
          <w:color w:val="000000"/>
          <w:shd w:val="clear" w:color="auto" w:fill="FFFFFF"/>
          <w:lang w:val="en-US"/>
        </w:rPr>
        <w:t xml:space="preserve"> the safeguarding plan. </w:t>
      </w:r>
      <w:r>
        <w:rPr>
          <w:color w:val="000000"/>
          <w:shd w:val="clear" w:color="auto" w:fill="FFFFFF"/>
          <w:lang w:val="en-US"/>
        </w:rPr>
        <w:t>The report mentions that t</w:t>
      </w:r>
      <w:r w:rsidRPr="00151339">
        <w:rPr>
          <w:color w:val="000000"/>
          <w:shd w:val="clear" w:color="auto" w:fill="FFFFFF"/>
          <w:lang w:val="en-US"/>
        </w:rPr>
        <w:t>he State Party intends to address these issues through its updated safeguarding plan.</w:t>
      </w:r>
    </w:p>
    <w:p w14:paraId="2C167031" w14:textId="77777777" w:rsidR="004C347F" w:rsidRDefault="004C347F" w:rsidP="004C347F">
      <w:pPr>
        <w:pStyle w:val="COMPara"/>
        <w:numPr>
          <w:ilvl w:val="0"/>
          <w:numId w:val="9"/>
        </w:numPr>
        <w:spacing w:before="120"/>
        <w:ind w:left="567" w:hanging="567"/>
        <w:jc w:val="both"/>
      </w:pPr>
      <w:r>
        <w:t>The Committee may wish to adopt the following decision:</w:t>
      </w:r>
    </w:p>
    <w:p w14:paraId="73DAD4E6" w14:textId="77777777" w:rsidR="004C347F" w:rsidRDefault="004C347F" w:rsidP="004C347F">
      <w:pPr>
        <w:pStyle w:val="Heading4"/>
        <w:numPr>
          <w:ilvl w:val="0"/>
          <w:numId w:val="0"/>
        </w:numPr>
        <w:spacing w:before="240"/>
        <w:ind w:left="567"/>
        <w:rPr>
          <w:rFonts w:eastAsia="SimSun"/>
        </w:rPr>
      </w:pPr>
      <w:bookmarkStart w:id="4" w:name="_DRAFT_DECISION_14.COM_3"/>
      <w:bookmarkEnd w:id="4"/>
      <w:r>
        <w:rPr>
          <w:rFonts w:eastAsia="SimSun"/>
        </w:rPr>
        <w:t>DRAFT DECISION 14</w:t>
      </w:r>
      <w:r w:rsidRPr="00A746B5">
        <w:rPr>
          <w:rFonts w:eastAsia="SimSun"/>
        </w:rPr>
        <w:t>.COM</w:t>
      </w:r>
      <w:r>
        <w:rPr>
          <w:rFonts w:eastAsia="SimSun"/>
        </w:rPr>
        <w:t> 9.a.4</w:t>
      </w:r>
      <w:r>
        <w:rPr>
          <w:rFonts w:eastAsia="SimSun"/>
        </w:rPr>
        <w:tab/>
      </w:r>
      <w:r w:rsidRPr="002E373B">
        <w:rPr>
          <w:noProof/>
          <w:snapToGrid/>
          <w:szCs w:val="22"/>
          <w:lang w:val="fr-FR" w:eastAsia="ja-JP"/>
        </w:rPr>
        <w:drawing>
          <wp:inline distT="0" distB="0" distL="0" distR="0" wp14:anchorId="570E2FF0" wp14:editId="5651E05B">
            <wp:extent cx="103505" cy="103505"/>
            <wp:effectExtent l="0" t="0" r="0" b="0"/>
            <wp:docPr id="5" name="Picture 5" descr="Return to to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D26783D" w14:textId="77777777" w:rsidR="004C347F" w:rsidRPr="00285BB4" w:rsidRDefault="004C347F" w:rsidP="004C347F">
      <w:pPr>
        <w:pStyle w:val="COMPreambulaDecisions"/>
        <w:rPr>
          <w:rFonts w:eastAsia="SimSun"/>
        </w:rPr>
      </w:pPr>
      <w:r w:rsidRPr="00285BB4">
        <w:t>The Committee,</w:t>
      </w:r>
    </w:p>
    <w:p w14:paraId="37DF793A" w14:textId="0A21116F" w:rsidR="004C347F" w:rsidRPr="004C7D40" w:rsidRDefault="004C347F" w:rsidP="004C347F">
      <w:pPr>
        <w:pStyle w:val="COMParaDecision"/>
        <w:numPr>
          <w:ilvl w:val="0"/>
          <w:numId w:val="23"/>
        </w:numPr>
        <w:tabs>
          <w:tab w:val="left" w:pos="1134"/>
        </w:tabs>
        <w:ind w:left="1134" w:hanging="567"/>
        <w:rPr>
          <w:u w:val="none"/>
        </w:rPr>
      </w:pPr>
      <w:r w:rsidRPr="004C7D40">
        <w:t>Having examined</w:t>
      </w:r>
      <w:r w:rsidRPr="004C7D40">
        <w:rPr>
          <w:u w:val="none"/>
        </w:rPr>
        <w:t xml:space="preserve"> document</w:t>
      </w:r>
      <w:r>
        <w:rPr>
          <w:u w:val="none"/>
        </w:rPr>
        <w:t xml:space="preserve"> </w:t>
      </w:r>
      <w:r>
        <w:rPr>
          <w:u w:val="none"/>
          <w:lang w:val="en-US"/>
        </w:rPr>
        <w:t>LHE</w:t>
      </w:r>
      <w:r w:rsidRPr="006F0545">
        <w:rPr>
          <w:u w:val="none"/>
          <w:lang w:val="en-US"/>
        </w:rPr>
        <w:t>/19/14.COM/</w:t>
      </w:r>
      <w:proofErr w:type="gramStart"/>
      <w:r w:rsidRPr="006F0545">
        <w:rPr>
          <w:u w:val="none"/>
          <w:lang w:val="en-US"/>
        </w:rPr>
        <w:t>9.</w:t>
      </w:r>
      <w:r>
        <w:rPr>
          <w:u w:val="none"/>
          <w:lang w:val="en-US"/>
        </w:rPr>
        <w:t>a</w:t>
      </w:r>
      <w:proofErr w:type="gramEnd"/>
      <w:r w:rsidR="00710AB1">
        <w:rPr>
          <w:u w:val="none"/>
          <w:lang w:val="en-US"/>
        </w:rPr>
        <w:t xml:space="preserve"> Rev.</w:t>
      </w:r>
      <w:r w:rsidRPr="004C7D40">
        <w:rPr>
          <w:u w:val="none"/>
        </w:rPr>
        <w:t>,</w:t>
      </w:r>
    </w:p>
    <w:p w14:paraId="133A8156" w14:textId="77777777" w:rsidR="004C347F" w:rsidRPr="004C7D40" w:rsidRDefault="004C347F" w:rsidP="004C347F">
      <w:pPr>
        <w:pStyle w:val="COMParaDecision"/>
        <w:numPr>
          <w:ilvl w:val="0"/>
          <w:numId w:val="23"/>
        </w:numPr>
        <w:tabs>
          <w:tab w:val="left" w:pos="1134"/>
        </w:tabs>
        <w:ind w:left="1134" w:hanging="567"/>
        <w:rPr>
          <w:u w:val="none"/>
        </w:rPr>
      </w:pPr>
      <w:r w:rsidRPr="004C7D40">
        <w:t>Recalling</w:t>
      </w:r>
      <w:r w:rsidRPr="004C7D40">
        <w:rPr>
          <w:u w:val="none"/>
        </w:rPr>
        <w:t xml:space="preserve"> Chapter V of the Operatio</w:t>
      </w:r>
      <w:r>
        <w:rPr>
          <w:u w:val="none"/>
        </w:rPr>
        <w:t xml:space="preserve">nal Directives and its </w:t>
      </w:r>
      <w:hyperlink r:id="rId35" w:history="1">
        <w:r w:rsidRPr="00CC4C7E">
          <w:rPr>
            <w:rStyle w:val="Hyperlink"/>
          </w:rPr>
          <w:t>Decision 9.COM 9.a.8</w:t>
        </w:r>
      </w:hyperlink>
      <w:r w:rsidRPr="00792DFD">
        <w:rPr>
          <w:u w:val="none"/>
        </w:rPr>
        <w:t>,</w:t>
      </w:r>
    </w:p>
    <w:p w14:paraId="46807CDC" w14:textId="77777777" w:rsidR="004C347F" w:rsidRPr="00131978" w:rsidRDefault="004C347F" w:rsidP="004C347F">
      <w:pPr>
        <w:pStyle w:val="COMParaDecision"/>
        <w:numPr>
          <w:ilvl w:val="0"/>
          <w:numId w:val="23"/>
        </w:numPr>
        <w:tabs>
          <w:tab w:val="left" w:pos="1134"/>
        </w:tabs>
        <w:ind w:left="1134" w:hanging="567"/>
        <w:rPr>
          <w:u w:val="none"/>
        </w:rPr>
      </w:pPr>
      <w:r w:rsidRPr="00A14B93">
        <w:t>Expresses its thanks</w:t>
      </w:r>
      <w:r w:rsidRPr="004C7D40">
        <w:rPr>
          <w:u w:val="none"/>
        </w:rPr>
        <w:t xml:space="preserve"> to </w:t>
      </w:r>
      <w:r>
        <w:rPr>
          <w:u w:val="none"/>
        </w:rPr>
        <w:t xml:space="preserve">Venezuela </w:t>
      </w:r>
      <w:r w:rsidRPr="004C7D40">
        <w:rPr>
          <w:u w:val="none"/>
        </w:rPr>
        <w:t xml:space="preserve">for submitting, on time, its </w:t>
      </w:r>
      <w:r>
        <w:rPr>
          <w:u w:val="none"/>
        </w:rPr>
        <w:t xml:space="preserve">first </w:t>
      </w:r>
      <w:r w:rsidRPr="004C7D40">
        <w:rPr>
          <w:u w:val="none"/>
        </w:rPr>
        <w:t xml:space="preserve">report on the </w:t>
      </w:r>
      <w:r w:rsidRPr="004C7D40">
        <w:rPr>
          <w:bCs/>
          <w:u w:val="none"/>
        </w:rPr>
        <w:t xml:space="preserve">status of the </w:t>
      </w:r>
      <w:r w:rsidRPr="004C7D40">
        <w:rPr>
          <w:u w:val="none"/>
        </w:rPr>
        <w:t>element ‘</w:t>
      </w:r>
      <w:proofErr w:type="spellStart"/>
      <w:r w:rsidRPr="000133CC">
        <w:rPr>
          <w:u w:val="none"/>
        </w:rPr>
        <w:t>Mapoyo</w:t>
      </w:r>
      <w:proofErr w:type="spellEnd"/>
      <w:r w:rsidRPr="000133CC">
        <w:rPr>
          <w:u w:val="none"/>
        </w:rPr>
        <w:t xml:space="preserve"> oral tradition and its symbolic reference points within their ancestral territory</w:t>
      </w:r>
      <w:r>
        <w:rPr>
          <w:u w:val="none"/>
        </w:rPr>
        <w:t>’</w:t>
      </w:r>
      <w:r w:rsidRPr="004C7D40">
        <w:rPr>
          <w:u w:val="none"/>
        </w:rPr>
        <w:t>, inscribed</w:t>
      </w:r>
      <w:r>
        <w:rPr>
          <w:bCs/>
          <w:u w:val="none"/>
        </w:rPr>
        <w:t xml:space="preserve"> in 2014</w:t>
      </w:r>
      <w:r w:rsidRPr="004C7D40">
        <w:rPr>
          <w:bCs/>
          <w:u w:val="none"/>
        </w:rPr>
        <w:t xml:space="preserve"> on the List of Intangible Cultural Heritage in Need of Urgent Safeguarding;</w:t>
      </w:r>
    </w:p>
    <w:p w14:paraId="4A42DBBD" w14:textId="7B5B73A4" w:rsidR="004C347F" w:rsidRDefault="004C347F" w:rsidP="004C347F">
      <w:pPr>
        <w:pStyle w:val="COMParaDecision"/>
        <w:numPr>
          <w:ilvl w:val="0"/>
          <w:numId w:val="23"/>
        </w:numPr>
        <w:tabs>
          <w:tab w:val="left" w:pos="1134"/>
        </w:tabs>
        <w:ind w:left="1134" w:hanging="567"/>
      </w:pPr>
      <w:r w:rsidRPr="00131978">
        <w:t>Takes note</w:t>
      </w:r>
      <w:r>
        <w:rPr>
          <w:u w:val="none"/>
        </w:rPr>
        <w:t xml:space="preserve"> of the efforts undertaken by Venezuela to safeguard the element, in particular </w:t>
      </w:r>
      <w:r w:rsidR="00350253">
        <w:rPr>
          <w:u w:val="none"/>
        </w:rPr>
        <w:t xml:space="preserve">by </w:t>
      </w:r>
      <w:r>
        <w:rPr>
          <w:u w:val="none"/>
        </w:rPr>
        <w:t>integrati</w:t>
      </w:r>
      <w:r w:rsidR="00350253">
        <w:rPr>
          <w:u w:val="none"/>
        </w:rPr>
        <w:t>ng</w:t>
      </w:r>
      <w:r w:rsidRPr="004518F3">
        <w:rPr>
          <w:u w:val="none"/>
        </w:rPr>
        <w:t xml:space="preserve"> </w:t>
      </w:r>
      <w:proofErr w:type="spellStart"/>
      <w:r w:rsidRPr="006C030B">
        <w:rPr>
          <w:u w:val="none"/>
        </w:rPr>
        <w:t>Mapoyo</w:t>
      </w:r>
      <w:proofErr w:type="spellEnd"/>
      <w:r w:rsidRPr="006C030B">
        <w:rPr>
          <w:u w:val="none"/>
        </w:rPr>
        <w:t xml:space="preserve"> </w:t>
      </w:r>
      <w:r w:rsidR="004B01D5">
        <w:rPr>
          <w:u w:val="none"/>
        </w:rPr>
        <w:t>teachings</w:t>
      </w:r>
      <w:r w:rsidR="004B01D5" w:rsidRPr="004518F3">
        <w:rPr>
          <w:u w:val="none"/>
        </w:rPr>
        <w:t xml:space="preserve"> </w:t>
      </w:r>
      <w:r w:rsidRPr="004518F3">
        <w:rPr>
          <w:u w:val="none"/>
        </w:rPr>
        <w:t xml:space="preserve">into school </w:t>
      </w:r>
      <w:r w:rsidR="004B01D5" w:rsidRPr="004518F3">
        <w:rPr>
          <w:u w:val="none"/>
        </w:rPr>
        <w:t>curricul</w:t>
      </w:r>
      <w:r w:rsidR="004B01D5">
        <w:rPr>
          <w:u w:val="none"/>
        </w:rPr>
        <w:t>a</w:t>
      </w:r>
      <w:r>
        <w:rPr>
          <w:u w:val="none"/>
        </w:rPr>
        <w:t>, enhancing the transmission of traditional knowledge related to culture and nature</w:t>
      </w:r>
      <w:r w:rsidR="00350253">
        <w:rPr>
          <w:u w:val="none"/>
        </w:rPr>
        <w:t>,</w:t>
      </w:r>
      <w:r>
        <w:rPr>
          <w:u w:val="none"/>
        </w:rPr>
        <w:t xml:space="preserve"> and </w:t>
      </w:r>
      <w:r w:rsidR="00350253">
        <w:rPr>
          <w:u w:val="none"/>
        </w:rPr>
        <w:t xml:space="preserve">ensuring </w:t>
      </w:r>
      <w:r w:rsidR="00FD4331">
        <w:rPr>
          <w:u w:val="none"/>
        </w:rPr>
        <w:t xml:space="preserve">the </w:t>
      </w:r>
      <w:r>
        <w:rPr>
          <w:u w:val="none"/>
        </w:rPr>
        <w:t>wide participation of the communities in the implementation of the safeguarding plan;</w:t>
      </w:r>
    </w:p>
    <w:p w14:paraId="01F4B702" w14:textId="7E704F17" w:rsidR="004C347F" w:rsidRPr="00D36974" w:rsidRDefault="004C347F" w:rsidP="004C347F">
      <w:pPr>
        <w:pStyle w:val="COMParaDecision"/>
        <w:numPr>
          <w:ilvl w:val="0"/>
          <w:numId w:val="23"/>
        </w:numPr>
        <w:tabs>
          <w:tab w:val="left" w:pos="1134"/>
        </w:tabs>
        <w:ind w:left="1134" w:hanging="567"/>
      </w:pPr>
      <w:r>
        <w:t>Invites</w:t>
      </w:r>
      <w:r>
        <w:rPr>
          <w:u w:val="none"/>
        </w:rPr>
        <w:t xml:space="preserve"> the State Party to pursue its support for the transmission of the practices associated </w:t>
      </w:r>
      <w:r w:rsidR="00FD4331">
        <w:rPr>
          <w:u w:val="none"/>
        </w:rPr>
        <w:t xml:space="preserve">with </w:t>
      </w:r>
      <w:r>
        <w:rPr>
          <w:u w:val="none"/>
        </w:rPr>
        <w:t>the element, especially through formal and non-formal education</w:t>
      </w:r>
      <w:r w:rsidR="00FD4331">
        <w:rPr>
          <w:u w:val="none"/>
        </w:rPr>
        <w:t>,</w:t>
      </w:r>
      <w:r>
        <w:rPr>
          <w:u w:val="none"/>
        </w:rPr>
        <w:t xml:space="preserve"> and to continue raising awareness in society about the meaning of the element;</w:t>
      </w:r>
    </w:p>
    <w:p w14:paraId="5FA18B71" w14:textId="77777777" w:rsidR="002C5B6A" w:rsidRPr="007F6487" w:rsidRDefault="004C347F" w:rsidP="004C347F">
      <w:pPr>
        <w:pStyle w:val="COMParaDecision"/>
        <w:numPr>
          <w:ilvl w:val="0"/>
          <w:numId w:val="23"/>
        </w:numPr>
        <w:tabs>
          <w:tab w:val="left" w:pos="1134"/>
        </w:tabs>
        <w:ind w:left="1134" w:hanging="567"/>
      </w:pPr>
      <w:r w:rsidRPr="00C32EFA">
        <w:t>Encourages</w:t>
      </w:r>
      <w:r w:rsidRPr="00C32EFA">
        <w:rPr>
          <w:u w:val="none"/>
        </w:rPr>
        <w:t xml:space="preserve"> the State </w:t>
      </w:r>
      <w:r>
        <w:rPr>
          <w:u w:val="none"/>
        </w:rPr>
        <w:t xml:space="preserve">Party </w:t>
      </w:r>
      <w:r w:rsidRPr="00C32EFA">
        <w:rPr>
          <w:u w:val="none"/>
        </w:rPr>
        <w:t xml:space="preserve">to </w:t>
      </w:r>
      <w:r>
        <w:rPr>
          <w:u w:val="none"/>
        </w:rPr>
        <w:t>strengthen</w:t>
      </w:r>
      <w:r w:rsidRPr="00C32EFA">
        <w:rPr>
          <w:u w:val="none"/>
        </w:rPr>
        <w:t xml:space="preserve"> cooperation with</w:t>
      </w:r>
      <w:r>
        <w:rPr>
          <w:u w:val="none"/>
        </w:rPr>
        <w:t xml:space="preserve"> public and non-governmental institutions to f</w:t>
      </w:r>
      <w:r w:rsidRPr="00C32EFA">
        <w:rPr>
          <w:u w:val="none"/>
        </w:rPr>
        <w:t xml:space="preserve">acilitate methodological tools to allow </w:t>
      </w:r>
      <w:r>
        <w:rPr>
          <w:u w:val="none"/>
        </w:rPr>
        <w:t>the</w:t>
      </w:r>
      <w:r w:rsidRPr="00C32EFA">
        <w:rPr>
          <w:u w:val="none"/>
        </w:rPr>
        <w:t xml:space="preserve"> bearers to improve th</w:t>
      </w:r>
      <w:r>
        <w:rPr>
          <w:u w:val="none"/>
        </w:rPr>
        <w:t>eir transmission of the element</w:t>
      </w:r>
      <w:r w:rsidR="002C5B6A">
        <w:rPr>
          <w:u w:val="none"/>
        </w:rPr>
        <w:t>;</w:t>
      </w:r>
    </w:p>
    <w:p w14:paraId="241D76EF" w14:textId="6BA98823" w:rsidR="004C347F" w:rsidRPr="00C32EFA" w:rsidRDefault="002C5B6A" w:rsidP="004C347F">
      <w:pPr>
        <w:pStyle w:val="COMParaDecision"/>
        <w:numPr>
          <w:ilvl w:val="0"/>
          <w:numId w:val="23"/>
        </w:numPr>
        <w:tabs>
          <w:tab w:val="left" w:pos="1134"/>
        </w:tabs>
        <w:ind w:left="1134" w:hanging="567"/>
      </w:pPr>
      <w:r>
        <w:t>Further invites</w:t>
      </w:r>
      <w:r>
        <w:rPr>
          <w:u w:val="none"/>
        </w:rPr>
        <w:t xml:space="preserve"> the State Party</w:t>
      </w:r>
      <w:r w:rsidR="004C347F">
        <w:rPr>
          <w:u w:val="none"/>
        </w:rPr>
        <w:t xml:space="preserve"> to </w:t>
      </w:r>
      <w:r w:rsidR="00710AB1">
        <w:rPr>
          <w:u w:val="none"/>
        </w:rPr>
        <w:t xml:space="preserve">continue </w:t>
      </w:r>
      <w:r w:rsidR="00147168">
        <w:rPr>
          <w:u w:val="none"/>
        </w:rPr>
        <w:t>to</w:t>
      </w:r>
      <w:bookmarkStart w:id="5" w:name="_GoBack"/>
      <w:bookmarkEnd w:id="5"/>
      <w:r w:rsidR="00710AB1">
        <w:rPr>
          <w:u w:val="none"/>
        </w:rPr>
        <w:t xml:space="preserve"> </w:t>
      </w:r>
      <w:r w:rsidR="004C347F">
        <w:rPr>
          <w:u w:val="none"/>
        </w:rPr>
        <w:t xml:space="preserve">dialogue with private institutions, in particular mining </w:t>
      </w:r>
      <w:r>
        <w:rPr>
          <w:u w:val="none"/>
        </w:rPr>
        <w:t>companies</w:t>
      </w:r>
      <w:r w:rsidR="004C347F">
        <w:rPr>
          <w:u w:val="none"/>
        </w:rPr>
        <w:t>, to ensure the</w:t>
      </w:r>
      <w:r>
        <w:rPr>
          <w:u w:val="none"/>
        </w:rPr>
        <w:t xml:space="preserve">ir commitment </w:t>
      </w:r>
      <w:r w:rsidR="00073AC1">
        <w:rPr>
          <w:u w:val="none"/>
        </w:rPr>
        <w:t>to</w:t>
      </w:r>
      <w:r>
        <w:rPr>
          <w:u w:val="none"/>
        </w:rPr>
        <w:t xml:space="preserve"> the</w:t>
      </w:r>
      <w:r w:rsidR="004C347F">
        <w:rPr>
          <w:u w:val="none"/>
        </w:rPr>
        <w:t xml:space="preserve"> effective </w:t>
      </w:r>
      <w:r w:rsidR="004C347F" w:rsidRPr="00C32EFA">
        <w:rPr>
          <w:u w:val="none"/>
        </w:rPr>
        <w:t>implementation of the safeguarding plan</w:t>
      </w:r>
      <w:r w:rsidR="004C347F">
        <w:rPr>
          <w:u w:val="none"/>
        </w:rPr>
        <w:t xml:space="preserve"> </w:t>
      </w:r>
      <w:r>
        <w:rPr>
          <w:u w:val="none"/>
        </w:rPr>
        <w:t xml:space="preserve">in order to address environmental degradation and pollution, </w:t>
      </w:r>
      <w:r w:rsidR="004C347F">
        <w:rPr>
          <w:u w:val="none"/>
        </w:rPr>
        <w:t xml:space="preserve">and </w:t>
      </w:r>
      <w:r>
        <w:rPr>
          <w:u w:val="none"/>
        </w:rPr>
        <w:t xml:space="preserve">to achieve a </w:t>
      </w:r>
      <w:r w:rsidR="004C347F">
        <w:rPr>
          <w:u w:val="none"/>
        </w:rPr>
        <w:t xml:space="preserve">sustainable </w:t>
      </w:r>
      <w:r w:rsidR="00073AC1">
        <w:rPr>
          <w:u w:val="none"/>
        </w:rPr>
        <w:t xml:space="preserve">use </w:t>
      </w:r>
      <w:r>
        <w:rPr>
          <w:u w:val="none"/>
        </w:rPr>
        <w:t>of natural resources while respecting the cultural practices</w:t>
      </w:r>
      <w:r w:rsidR="00BC461C">
        <w:rPr>
          <w:u w:val="none"/>
        </w:rPr>
        <w:t xml:space="preserve"> of communities in the </w:t>
      </w:r>
      <w:proofErr w:type="spellStart"/>
      <w:r w:rsidR="00BC461C">
        <w:rPr>
          <w:u w:val="none"/>
        </w:rPr>
        <w:t>Mapoyo</w:t>
      </w:r>
      <w:proofErr w:type="spellEnd"/>
      <w:r w:rsidR="00BC461C">
        <w:rPr>
          <w:u w:val="none"/>
        </w:rPr>
        <w:t xml:space="preserve"> territory</w:t>
      </w:r>
      <w:r w:rsidR="004C347F">
        <w:rPr>
          <w:u w:val="none"/>
        </w:rPr>
        <w:t>;</w:t>
      </w:r>
    </w:p>
    <w:p w14:paraId="09D38DAF" w14:textId="7F63D4E7" w:rsidR="004C347F" w:rsidRDefault="004C347F" w:rsidP="004C347F">
      <w:pPr>
        <w:pStyle w:val="COMParaDecision"/>
        <w:numPr>
          <w:ilvl w:val="0"/>
          <w:numId w:val="23"/>
        </w:numPr>
        <w:tabs>
          <w:tab w:val="left" w:pos="1134"/>
        </w:tabs>
        <w:ind w:left="1134" w:hanging="567"/>
      </w:pPr>
      <w:r>
        <w:t>Requests</w:t>
      </w:r>
      <w:r>
        <w:rPr>
          <w:u w:val="none"/>
        </w:rPr>
        <w:t xml:space="preserve"> </w:t>
      </w:r>
      <w:r w:rsidR="00FD4331">
        <w:rPr>
          <w:u w:val="none"/>
        </w:rPr>
        <w:t xml:space="preserve">that </w:t>
      </w:r>
      <w:r>
        <w:rPr>
          <w:u w:val="none"/>
        </w:rPr>
        <w:t>the Secretariat inform the State Party at least nine months prior to the deadline of 15 December 2022 about the required submission of its next report on the status of this element.</w:t>
      </w:r>
    </w:p>
    <w:sectPr w:rsidR="004C347F" w:rsidSect="00655736">
      <w:headerReference w:type="even" r:id="rId36"/>
      <w:headerReference w:type="default" r:id="rId37"/>
      <w:headerReference w:type="first" r:id="rId3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C24D" w14:textId="77777777" w:rsidR="00187ED3" w:rsidRDefault="00187ED3" w:rsidP="00655736">
      <w:r>
        <w:separator/>
      </w:r>
    </w:p>
  </w:endnote>
  <w:endnote w:type="continuationSeparator" w:id="0">
    <w:p w14:paraId="68175AFB" w14:textId="77777777" w:rsidR="00187ED3" w:rsidRDefault="00187ED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ACAC" w14:textId="77777777" w:rsidR="00187ED3" w:rsidRDefault="00187ED3" w:rsidP="00655736">
      <w:r>
        <w:separator/>
      </w:r>
    </w:p>
  </w:footnote>
  <w:footnote w:type="continuationSeparator" w:id="0">
    <w:p w14:paraId="3A14764A" w14:textId="77777777" w:rsidR="00187ED3" w:rsidRDefault="00187ED3"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2A18" w14:textId="18BAB3DE" w:rsidR="00187ED3" w:rsidRPr="00C23A97" w:rsidRDefault="00187ED3"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proofErr w:type="gramStart"/>
    <w:r w:rsidRPr="001417C7">
      <w:rPr>
        <w:rFonts w:ascii="Arial" w:hAnsi="Arial" w:cs="Arial"/>
        <w:sz w:val="20"/>
        <w:szCs w:val="20"/>
        <w:lang w:val="en-GB"/>
      </w:rPr>
      <w:t>9.a</w:t>
    </w:r>
    <w:proofErr w:type="gramEnd"/>
    <w:r w:rsidR="00710AB1">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705DF">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477B" w14:textId="6E9B7095" w:rsidR="00187ED3" w:rsidRPr="0063300C" w:rsidRDefault="00187ED3"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proofErr w:type="gramStart"/>
    <w:r>
      <w:rPr>
        <w:rFonts w:ascii="Arial" w:hAnsi="Arial" w:cs="Arial"/>
        <w:sz w:val="20"/>
        <w:szCs w:val="20"/>
        <w:lang w:val="en-GB"/>
      </w:rPr>
      <w:t>9.a</w:t>
    </w:r>
    <w:proofErr w:type="gramEnd"/>
    <w:r w:rsidR="00710AB1">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705DF">
      <w:rPr>
        <w:rStyle w:val="PageNumber"/>
        <w:rFonts w:ascii="Arial" w:hAnsi="Arial" w:cs="Arial"/>
        <w:noProof/>
        <w:sz w:val="20"/>
        <w:szCs w:val="20"/>
        <w:lang w:val="en-GB"/>
      </w:rPr>
      <w:t>11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28D4" w14:textId="77777777" w:rsidR="00187ED3" w:rsidRPr="00E95AE2" w:rsidRDefault="00187ED3">
    <w:pPr>
      <w:pStyle w:val="Header"/>
      <w:rPr>
        <w:sz w:val="22"/>
        <w:szCs w:val="22"/>
        <w:lang w:val="en-GB"/>
      </w:rPr>
    </w:pPr>
    <w:r>
      <w:rPr>
        <w:noProof/>
        <w:lang w:eastAsia="ja-JP"/>
      </w:rPr>
      <w:drawing>
        <wp:anchor distT="0" distB="0" distL="114300" distR="114300" simplePos="0" relativeHeight="251657728" behindDoc="0" locked="0" layoutInCell="1" allowOverlap="1" wp14:anchorId="18EB5926" wp14:editId="17C7B603">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632C5" w14:textId="77777777" w:rsidR="00187ED3" w:rsidRPr="00F30DC6" w:rsidRDefault="00187ED3"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34167CAB" w14:textId="095273F3" w:rsidR="00187ED3" w:rsidRPr="009D5428" w:rsidRDefault="00187ED3"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proofErr w:type="gramStart"/>
    <w:r>
      <w:rPr>
        <w:rFonts w:ascii="Arial" w:hAnsi="Arial" w:cs="Arial"/>
        <w:b/>
        <w:sz w:val="22"/>
        <w:szCs w:val="22"/>
        <w:lang w:val="en-GB"/>
      </w:rPr>
      <w:t>9.a</w:t>
    </w:r>
    <w:proofErr w:type="gramEnd"/>
    <w:r w:rsidR="00710AB1">
      <w:rPr>
        <w:rFonts w:ascii="Arial" w:hAnsi="Arial" w:cs="Arial"/>
        <w:b/>
        <w:sz w:val="22"/>
        <w:szCs w:val="22"/>
        <w:lang w:val="en-GB"/>
      </w:rPr>
      <w:t xml:space="preserve"> Rev.</w:t>
    </w:r>
  </w:p>
  <w:p w14:paraId="5DB98270" w14:textId="03765FFF" w:rsidR="00187ED3" w:rsidRPr="00337CEB" w:rsidRDefault="00187ED3"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710AB1">
      <w:rPr>
        <w:rFonts w:ascii="Arial" w:hAnsi="Arial" w:cs="Arial"/>
        <w:b/>
        <w:sz w:val="22"/>
        <w:szCs w:val="22"/>
        <w:lang w:val="en-GB"/>
      </w:rPr>
      <w:t>6 December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30CDE61E" w14:textId="77777777" w:rsidR="00187ED3" w:rsidRPr="00F32C23" w:rsidRDefault="00187ED3"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601E829" w14:textId="77777777" w:rsidR="00187ED3" w:rsidRPr="00E95AE2" w:rsidRDefault="00187ED3">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3E5"/>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003674"/>
    <w:multiLevelType w:val="hybridMultilevel"/>
    <w:tmpl w:val="E12029B8"/>
    <w:lvl w:ilvl="0" w:tplc="C3BEC8A0">
      <w:start w:val="1"/>
      <w:numFmt w:val="decimal"/>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BE2696"/>
    <w:multiLevelType w:val="hybridMultilevel"/>
    <w:tmpl w:val="584CB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EE4F9D"/>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F60A80D2"/>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27CF4"/>
    <w:multiLevelType w:val="hybridMultilevel"/>
    <w:tmpl w:val="C5527DE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9"/>
  </w:num>
  <w:num w:numId="3">
    <w:abstractNumId w:val="3"/>
  </w:num>
  <w:num w:numId="4">
    <w:abstractNumId w:val="17"/>
  </w:num>
  <w:num w:numId="5">
    <w:abstractNumId w:val="16"/>
  </w:num>
  <w:num w:numId="6">
    <w:abstractNumId w:val="2"/>
  </w:num>
  <w:num w:numId="7">
    <w:abstractNumId w:val="4"/>
  </w:num>
  <w:num w:numId="8">
    <w:abstractNumId w:val="14"/>
  </w:num>
  <w:num w:numId="9">
    <w:abstractNumId w:val="8"/>
  </w:num>
  <w:num w:numId="10">
    <w:abstractNumId w:val="10"/>
  </w:num>
  <w:num w:numId="11">
    <w:abstractNumId w:val="13"/>
  </w:num>
  <w:num w:numId="12">
    <w:abstractNumId w:val="11"/>
  </w:num>
  <w:num w:numId="13">
    <w:abstractNumId w:val="18"/>
  </w:num>
  <w:num w:numId="14">
    <w:abstractNumId w:val="8"/>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num>
  <w:num w:numId="18">
    <w:abstractNumId w:val="10"/>
  </w:num>
  <w:num w:numId="19">
    <w:abstractNumId w:val="5"/>
  </w:num>
  <w:num w:numId="20">
    <w:abstractNumId w:val="10"/>
    <w:lvlOverride w:ilvl="0">
      <w:startOverride w:val="1"/>
    </w:lvlOverride>
  </w:num>
  <w:num w:numId="21">
    <w:abstractNumId w:val="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01B"/>
    <w:rsid w:val="000048ED"/>
    <w:rsid w:val="00021E51"/>
    <w:rsid w:val="00026356"/>
    <w:rsid w:val="00026DC2"/>
    <w:rsid w:val="00036C02"/>
    <w:rsid w:val="00041A66"/>
    <w:rsid w:val="00042D88"/>
    <w:rsid w:val="0005055F"/>
    <w:rsid w:val="0005176E"/>
    <w:rsid w:val="00061274"/>
    <w:rsid w:val="00073AC1"/>
    <w:rsid w:val="000765F7"/>
    <w:rsid w:val="00077AB7"/>
    <w:rsid w:val="00081CD8"/>
    <w:rsid w:val="000A157E"/>
    <w:rsid w:val="000A5AD6"/>
    <w:rsid w:val="000A7F0E"/>
    <w:rsid w:val="000B06DB"/>
    <w:rsid w:val="000B0E81"/>
    <w:rsid w:val="000B1C8F"/>
    <w:rsid w:val="000B5044"/>
    <w:rsid w:val="000C0D61"/>
    <w:rsid w:val="000C30CD"/>
    <w:rsid w:val="000C6F3A"/>
    <w:rsid w:val="000E0B74"/>
    <w:rsid w:val="000E1F8F"/>
    <w:rsid w:val="000F3A3F"/>
    <w:rsid w:val="00102557"/>
    <w:rsid w:val="00116F47"/>
    <w:rsid w:val="001227B5"/>
    <w:rsid w:val="00135091"/>
    <w:rsid w:val="001417C7"/>
    <w:rsid w:val="00141C15"/>
    <w:rsid w:val="00147168"/>
    <w:rsid w:val="00164D56"/>
    <w:rsid w:val="00167B10"/>
    <w:rsid w:val="0017402F"/>
    <w:rsid w:val="001804C4"/>
    <w:rsid w:val="00187ED3"/>
    <w:rsid w:val="00194DDB"/>
    <w:rsid w:val="00196C1B"/>
    <w:rsid w:val="001A1764"/>
    <w:rsid w:val="001A276F"/>
    <w:rsid w:val="001A4573"/>
    <w:rsid w:val="001A7686"/>
    <w:rsid w:val="001B0BD5"/>
    <w:rsid w:val="001B0F73"/>
    <w:rsid w:val="001B6D0B"/>
    <w:rsid w:val="001C1EEB"/>
    <w:rsid w:val="001C2DB7"/>
    <w:rsid w:val="001D14FE"/>
    <w:rsid w:val="001D5C04"/>
    <w:rsid w:val="001D7EDE"/>
    <w:rsid w:val="001F26CF"/>
    <w:rsid w:val="00210C37"/>
    <w:rsid w:val="00222A2D"/>
    <w:rsid w:val="00223029"/>
    <w:rsid w:val="00234745"/>
    <w:rsid w:val="002351A6"/>
    <w:rsid w:val="002407AF"/>
    <w:rsid w:val="002511C0"/>
    <w:rsid w:val="0027466B"/>
    <w:rsid w:val="00282E5D"/>
    <w:rsid w:val="002838A5"/>
    <w:rsid w:val="00285BB4"/>
    <w:rsid w:val="002A721F"/>
    <w:rsid w:val="002C09E3"/>
    <w:rsid w:val="002C5B6A"/>
    <w:rsid w:val="002D3414"/>
    <w:rsid w:val="00304ED6"/>
    <w:rsid w:val="00313766"/>
    <w:rsid w:val="00337CEB"/>
    <w:rsid w:val="00344B58"/>
    <w:rsid w:val="0034539A"/>
    <w:rsid w:val="00345CB4"/>
    <w:rsid w:val="00350253"/>
    <w:rsid w:val="00372556"/>
    <w:rsid w:val="00375D42"/>
    <w:rsid w:val="003854F3"/>
    <w:rsid w:val="003A122B"/>
    <w:rsid w:val="003A36FE"/>
    <w:rsid w:val="003C7871"/>
    <w:rsid w:val="003D069C"/>
    <w:rsid w:val="003D4172"/>
    <w:rsid w:val="003D7646"/>
    <w:rsid w:val="003F113A"/>
    <w:rsid w:val="003F3E63"/>
    <w:rsid w:val="003F63A3"/>
    <w:rsid w:val="00407480"/>
    <w:rsid w:val="00414643"/>
    <w:rsid w:val="004421E5"/>
    <w:rsid w:val="00452284"/>
    <w:rsid w:val="00457C8E"/>
    <w:rsid w:val="0046364A"/>
    <w:rsid w:val="0046742B"/>
    <w:rsid w:val="00473295"/>
    <w:rsid w:val="004856CA"/>
    <w:rsid w:val="00487E67"/>
    <w:rsid w:val="0049705E"/>
    <w:rsid w:val="004A2875"/>
    <w:rsid w:val="004A319E"/>
    <w:rsid w:val="004A34A0"/>
    <w:rsid w:val="004B01D5"/>
    <w:rsid w:val="004C347F"/>
    <w:rsid w:val="004E1CD5"/>
    <w:rsid w:val="004F17A8"/>
    <w:rsid w:val="005008A8"/>
    <w:rsid w:val="00503CC0"/>
    <w:rsid w:val="0052117C"/>
    <w:rsid w:val="00526B7B"/>
    <w:rsid w:val="0053056D"/>
    <w:rsid w:val="005308CE"/>
    <w:rsid w:val="0053318C"/>
    <w:rsid w:val="00534778"/>
    <w:rsid w:val="00551847"/>
    <w:rsid w:val="0057439C"/>
    <w:rsid w:val="005B0127"/>
    <w:rsid w:val="005B7A35"/>
    <w:rsid w:val="005C09C3"/>
    <w:rsid w:val="005C4B73"/>
    <w:rsid w:val="005E1D2B"/>
    <w:rsid w:val="005E7074"/>
    <w:rsid w:val="005F2BAF"/>
    <w:rsid w:val="00600D93"/>
    <w:rsid w:val="00610D8C"/>
    <w:rsid w:val="00631D20"/>
    <w:rsid w:val="0063300C"/>
    <w:rsid w:val="00651A5B"/>
    <w:rsid w:val="00655736"/>
    <w:rsid w:val="00656B14"/>
    <w:rsid w:val="00657255"/>
    <w:rsid w:val="00663B8D"/>
    <w:rsid w:val="00694057"/>
    <w:rsid w:val="00696C8D"/>
    <w:rsid w:val="006A27C9"/>
    <w:rsid w:val="006A2AC2"/>
    <w:rsid w:val="006A3617"/>
    <w:rsid w:val="006A725F"/>
    <w:rsid w:val="006C030B"/>
    <w:rsid w:val="006E46E4"/>
    <w:rsid w:val="006E7478"/>
    <w:rsid w:val="006F0545"/>
    <w:rsid w:val="00710AB1"/>
    <w:rsid w:val="0071105D"/>
    <w:rsid w:val="007148DC"/>
    <w:rsid w:val="00716963"/>
    <w:rsid w:val="00717DA5"/>
    <w:rsid w:val="007256F5"/>
    <w:rsid w:val="007261F0"/>
    <w:rsid w:val="00736193"/>
    <w:rsid w:val="00744301"/>
    <w:rsid w:val="00744484"/>
    <w:rsid w:val="007456F4"/>
    <w:rsid w:val="00747566"/>
    <w:rsid w:val="00750434"/>
    <w:rsid w:val="00762619"/>
    <w:rsid w:val="00773188"/>
    <w:rsid w:val="00782ABA"/>
    <w:rsid w:val="00783782"/>
    <w:rsid w:val="00784B8C"/>
    <w:rsid w:val="007879E1"/>
    <w:rsid w:val="00791CC2"/>
    <w:rsid w:val="00792DFD"/>
    <w:rsid w:val="007D2909"/>
    <w:rsid w:val="007E17B3"/>
    <w:rsid w:val="007E6560"/>
    <w:rsid w:val="007F6487"/>
    <w:rsid w:val="008144CE"/>
    <w:rsid w:val="00823A11"/>
    <w:rsid w:val="0085405E"/>
    <w:rsid w:val="0085414A"/>
    <w:rsid w:val="008555EC"/>
    <w:rsid w:val="00860DF0"/>
    <w:rsid w:val="0086269D"/>
    <w:rsid w:val="0086543A"/>
    <w:rsid w:val="008724E5"/>
    <w:rsid w:val="00884A9D"/>
    <w:rsid w:val="0088512B"/>
    <w:rsid w:val="0089249D"/>
    <w:rsid w:val="008A2B2D"/>
    <w:rsid w:val="008A4E1E"/>
    <w:rsid w:val="008B30AF"/>
    <w:rsid w:val="008B55DE"/>
    <w:rsid w:val="008C296C"/>
    <w:rsid w:val="008D4305"/>
    <w:rsid w:val="008D5952"/>
    <w:rsid w:val="008E00D2"/>
    <w:rsid w:val="008E1A85"/>
    <w:rsid w:val="008F66E6"/>
    <w:rsid w:val="00900E43"/>
    <w:rsid w:val="00907146"/>
    <w:rsid w:val="009163A7"/>
    <w:rsid w:val="009265C6"/>
    <w:rsid w:val="00942B6B"/>
    <w:rsid w:val="009453CB"/>
    <w:rsid w:val="009466F7"/>
    <w:rsid w:val="00946D0B"/>
    <w:rsid w:val="00955877"/>
    <w:rsid w:val="00955C28"/>
    <w:rsid w:val="00960EDF"/>
    <w:rsid w:val="00970D45"/>
    <w:rsid w:val="009852C5"/>
    <w:rsid w:val="009A0C0B"/>
    <w:rsid w:val="009A18CD"/>
    <w:rsid w:val="009B4DFD"/>
    <w:rsid w:val="009B665A"/>
    <w:rsid w:val="009D5428"/>
    <w:rsid w:val="009D69BC"/>
    <w:rsid w:val="009E20FD"/>
    <w:rsid w:val="009F3972"/>
    <w:rsid w:val="00A12558"/>
    <w:rsid w:val="00A13903"/>
    <w:rsid w:val="00A205D2"/>
    <w:rsid w:val="00A310F3"/>
    <w:rsid w:val="00A34ED5"/>
    <w:rsid w:val="00A41602"/>
    <w:rsid w:val="00A45DBF"/>
    <w:rsid w:val="00A47A14"/>
    <w:rsid w:val="00A74D37"/>
    <w:rsid w:val="00A755A2"/>
    <w:rsid w:val="00A82520"/>
    <w:rsid w:val="00A908E7"/>
    <w:rsid w:val="00A9310F"/>
    <w:rsid w:val="00AA48E0"/>
    <w:rsid w:val="00AA6660"/>
    <w:rsid w:val="00AB2C36"/>
    <w:rsid w:val="00AB6DDE"/>
    <w:rsid w:val="00AB70B6"/>
    <w:rsid w:val="00AD1A86"/>
    <w:rsid w:val="00AE103E"/>
    <w:rsid w:val="00AE77E0"/>
    <w:rsid w:val="00AF0A07"/>
    <w:rsid w:val="00AF4AEC"/>
    <w:rsid w:val="00AF625E"/>
    <w:rsid w:val="00B11970"/>
    <w:rsid w:val="00B139BE"/>
    <w:rsid w:val="00B24F44"/>
    <w:rsid w:val="00B35E39"/>
    <w:rsid w:val="00B674A7"/>
    <w:rsid w:val="00BA0B12"/>
    <w:rsid w:val="00BA241A"/>
    <w:rsid w:val="00BB04AF"/>
    <w:rsid w:val="00BC461C"/>
    <w:rsid w:val="00BD52C9"/>
    <w:rsid w:val="00BE6354"/>
    <w:rsid w:val="00BF6340"/>
    <w:rsid w:val="00C138D1"/>
    <w:rsid w:val="00C23A97"/>
    <w:rsid w:val="00C47616"/>
    <w:rsid w:val="00C5776D"/>
    <w:rsid w:val="00C64855"/>
    <w:rsid w:val="00C64CF7"/>
    <w:rsid w:val="00C705DF"/>
    <w:rsid w:val="00C70EA7"/>
    <w:rsid w:val="00C7433F"/>
    <w:rsid w:val="00C7516E"/>
    <w:rsid w:val="00C75770"/>
    <w:rsid w:val="00CA07D9"/>
    <w:rsid w:val="00CA56BB"/>
    <w:rsid w:val="00CB0542"/>
    <w:rsid w:val="00CB3985"/>
    <w:rsid w:val="00D00B2B"/>
    <w:rsid w:val="00D24877"/>
    <w:rsid w:val="00D5379F"/>
    <w:rsid w:val="00D603EB"/>
    <w:rsid w:val="00D645C7"/>
    <w:rsid w:val="00D8250F"/>
    <w:rsid w:val="00D95C4C"/>
    <w:rsid w:val="00DA36ED"/>
    <w:rsid w:val="00DC2204"/>
    <w:rsid w:val="00DE34F1"/>
    <w:rsid w:val="00DE6160"/>
    <w:rsid w:val="00DF4942"/>
    <w:rsid w:val="00E01419"/>
    <w:rsid w:val="00E20DFA"/>
    <w:rsid w:val="00E244E1"/>
    <w:rsid w:val="00E36BD3"/>
    <w:rsid w:val="00E4150C"/>
    <w:rsid w:val="00E476B3"/>
    <w:rsid w:val="00E627B1"/>
    <w:rsid w:val="00E70169"/>
    <w:rsid w:val="00E9376C"/>
    <w:rsid w:val="00E95AE2"/>
    <w:rsid w:val="00EA335E"/>
    <w:rsid w:val="00EA4C53"/>
    <w:rsid w:val="00EA528C"/>
    <w:rsid w:val="00EA580C"/>
    <w:rsid w:val="00EC6F8D"/>
    <w:rsid w:val="00EE4425"/>
    <w:rsid w:val="00EE49F4"/>
    <w:rsid w:val="00EF34E2"/>
    <w:rsid w:val="00EF3E78"/>
    <w:rsid w:val="00F14D58"/>
    <w:rsid w:val="00F30DC6"/>
    <w:rsid w:val="00F32C23"/>
    <w:rsid w:val="00F33CC7"/>
    <w:rsid w:val="00F53DE9"/>
    <w:rsid w:val="00F56369"/>
    <w:rsid w:val="00F576CB"/>
    <w:rsid w:val="00F7035D"/>
    <w:rsid w:val="00F71A02"/>
    <w:rsid w:val="00F73389"/>
    <w:rsid w:val="00F85447"/>
    <w:rsid w:val="00F93EF2"/>
    <w:rsid w:val="00FA0D63"/>
    <w:rsid w:val="00FC7347"/>
    <w:rsid w:val="00FD1226"/>
    <w:rsid w:val="00FD433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512CB1"/>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character" w:styleId="Hyperlink">
    <w:name w:val="Hyperlink"/>
    <w:uiPriority w:val="99"/>
    <w:unhideWhenUsed/>
    <w:rsid w:val="00F85447"/>
    <w:rPr>
      <w:color w:val="0000FF"/>
      <w:u w:val="single"/>
    </w:rPr>
  </w:style>
  <w:style w:type="character" w:styleId="FollowedHyperlink">
    <w:name w:val="FollowedHyperlink"/>
    <w:basedOn w:val="DefaultParagraphFont"/>
    <w:uiPriority w:val="99"/>
    <w:semiHidden/>
    <w:unhideWhenUsed/>
    <w:rsid w:val="00F85447"/>
    <w:rPr>
      <w:color w:val="800080" w:themeColor="followedHyperlink"/>
      <w:u w:val="single"/>
    </w:rPr>
  </w:style>
  <w:style w:type="paragraph" w:customStyle="1" w:styleId="Para">
    <w:name w:val="Para"/>
    <w:basedOn w:val="Normal"/>
    <w:qFormat/>
    <w:rsid w:val="00116F47"/>
    <w:pPr>
      <w:numPr>
        <w:numId w:val="15"/>
      </w:numPr>
      <w:spacing w:after="120" w:line="240" w:lineRule="exact"/>
      <w:jc w:val="both"/>
    </w:pPr>
    <w:rPr>
      <w:rFonts w:ascii="Arial" w:eastAsia="SimSun" w:hAnsi="Arial"/>
      <w:sz w:val="20"/>
      <w:szCs w:val="20"/>
    </w:rPr>
  </w:style>
  <w:style w:type="character" w:styleId="CommentReference">
    <w:name w:val="annotation reference"/>
    <w:basedOn w:val="DefaultParagraphFont"/>
    <w:uiPriority w:val="99"/>
    <w:semiHidden/>
    <w:unhideWhenUsed/>
    <w:rsid w:val="00551847"/>
    <w:rPr>
      <w:sz w:val="16"/>
      <w:szCs w:val="16"/>
    </w:rPr>
  </w:style>
  <w:style w:type="paragraph" w:styleId="CommentText">
    <w:name w:val="annotation text"/>
    <w:basedOn w:val="Normal"/>
    <w:link w:val="CommentTextChar"/>
    <w:uiPriority w:val="99"/>
    <w:semiHidden/>
    <w:unhideWhenUsed/>
    <w:rsid w:val="0055184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5184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476B3"/>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E476B3"/>
    <w:rPr>
      <w:rFonts w:ascii="Times New Roman" w:eastAsia="Times New Roman" w:hAnsi="Times New Roman" w:cstheme="minorBidi"/>
      <w:b/>
      <w:bCs/>
      <w:lang w:val="en-US" w:eastAsia="en-US"/>
    </w:rPr>
  </w:style>
  <w:style w:type="paragraph" w:styleId="Revision">
    <w:name w:val="Revision"/>
    <w:hidden/>
    <w:uiPriority w:val="99"/>
    <w:semiHidden/>
    <w:rsid w:val="00A90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422254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USL/wooden-movable-type-printing-of-china-00322" TargetMode="External"/><Relationship Id="rId18" Type="http://schemas.openxmlformats.org/officeDocument/2006/relationships/hyperlink" Target="https://ich.unesco.org/en/USL/mapoyo-oral-tradition-and-its-symbolic-reference-points-within-their-ancestral-territory-00983" TargetMode="External"/><Relationship Id="rId26" Type="http://schemas.openxmlformats.org/officeDocument/2006/relationships/hyperlink" Target="http://www.unesco.org/culture/ich/index.php?lg=en&amp;pg=00407#top" TargetMode="External"/><Relationship Id="rId39" Type="http://schemas.openxmlformats.org/officeDocument/2006/relationships/fontTable" Target="fontTable.xml"/><Relationship Id="rId21" Type="http://schemas.openxmlformats.org/officeDocument/2006/relationships/hyperlink" Target="https://ich.unesco.org/doc/src/LHE-19-14.COM-12-EN.docx" TargetMode="External"/><Relationship Id="rId34" Type="http://schemas.openxmlformats.org/officeDocument/2006/relationships/hyperlink" Target="https://ich.unesco.org/doc/download.php?versionID=51328" TargetMode="External"/><Relationship Id="rId7" Type="http://schemas.openxmlformats.org/officeDocument/2006/relationships/endnotes" Target="endnotes.xml"/><Relationship Id="rId12" Type="http://schemas.openxmlformats.org/officeDocument/2006/relationships/hyperlink" Target="https://ich.unesco.org/en/USL/watertight-bulkhead-technology-of-chinese-junks-00321" TargetMode="External"/><Relationship Id="rId17" Type="http://schemas.openxmlformats.org/officeDocument/2006/relationships/hyperlink" Target="https://ich.unesco.org/en/USL/male-child-cleansing-ceremony-of-the-lango-of-central-northern-uganda-00982" TargetMode="External"/><Relationship Id="rId25" Type="http://schemas.openxmlformats.org/officeDocument/2006/relationships/hyperlink" Target="#Draftdecision"/><Relationship Id="rId33" Type="http://schemas.openxmlformats.org/officeDocument/2006/relationships/hyperlink" Target="https://ich.unesco.org/en/decisions/9.COM/9.A.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USL/isukuti-dance-of-isukha-and-idakho-communities-of-western-kenya-00981" TargetMode="External"/><Relationship Id="rId20" Type="http://schemas.openxmlformats.org/officeDocument/2006/relationships/hyperlink" Target="https://ich.unesco.org/doc/src/LHE-19-14.COM-8-EN.docx" TargetMode="External"/><Relationship Id="rId29" Type="http://schemas.openxmlformats.org/officeDocument/2006/relationships/hyperlink" Target="https://ich.unesco.org/en/decisions/10.COM/6.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USL/meshrep-00304" TargetMode="External"/><Relationship Id="rId24" Type="http://schemas.openxmlformats.org/officeDocument/2006/relationships/hyperlink" Target="https://ich.unesco.org/en/decisions/10.COM/6.B.1" TargetMode="External"/><Relationship Id="rId32" Type="http://schemas.openxmlformats.org/officeDocument/2006/relationships/hyperlink" Target="https://ich.unesco.org/doc/download.php?versionID=51750"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en/USL/ojkanje-singing-00320" TargetMode="External"/><Relationship Id="rId23" Type="http://schemas.openxmlformats.org/officeDocument/2006/relationships/hyperlink" Target="https://ich.unesco.org/en/decisions/5.COM/5.4" TargetMode="External"/><Relationship Id="rId28" Type="http://schemas.openxmlformats.org/officeDocument/2006/relationships/hyperlink" Target="https://ich.unesco.org/en/decisions/5.COM/5.4" TargetMode="External"/><Relationship Id="rId36" Type="http://schemas.openxmlformats.org/officeDocument/2006/relationships/header" Target="header1.xml"/><Relationship Id="rId10" Type="http://schemas.openxmlformats.org/officeDocument/2006/relationships/hyperlink" Target="https://ich.unesco.org/en/USL/qiang-new-year-festival-00305" TargetMode="External"/><Relationship Id="rId19" Type="http://schemas.openxmlformats.org/officeDocument/2006/relationships/hyperlink" Target="https://ich.unesco.org/doc/src/LHE-19-14.COM-8-EN.docx" TargetMode="External"/><Relationship Id="rId31" Type="http://schemas.openxmlformats.org/officeDocument/2006/relationships/hyperlink" Target="https://ich.unesco.org/en/decisions/9.COM/9.A.5" TargetMode="External"/><Relationship Id="rId4" Type="http://schemas.openxmlformats.org/officeDocument/2006/relationships/settings" Target="settings.xml"/><Relationship Id="rId9" Type="http://schemas.openxmlformats.org/officeDocument/2006/relationships/hyperlink" Target="https://ich.unesco.org/en/USL/traditional-design-and-practices-for-building-chinese-wooden-arch-bridges-00303" TargetMode="External"/><Relationship Id="rId14" Type="http://schemas.openxmlformats.org/officeDocument/2006/relationships/hyperlink" Target="https://ich.unesco.org/en/9a-periodic-reporting-usl-01076" TargetMode="External"/><Relationship Id="rId22" Type="http://schemas.openxmlformats.org/officeDocument/2006/relationships/hyperlink" Target="https://ich.unesco.org/doc/download.php?versionID=55161" TargetMode="External"/><Relationship Id="rId27" Type="http://schemas.openxmlformats.org/officeDocument/2006/relationships/image" Target="media/image1.png"/><Relationship Id="rId30" Type="http://schemas.openxmlformats.org/officeDocument/2006/relationships/hyperlink" Target="https://ich.unesco.org/doc/download.php?versionID=51324" TargetMode="External"/><Relationship Id="rId35" Type="http://schemas.openxmlformats.org/officeDocument/2006/relationships/hyperlink" Target="https://ich.unesco.org/en/d%C3%A9cisions/9.COM/9.A.8" TargetMode="External"/><Relationship Id="rId8" Type="http://schemas.openxmlformats.org/officeDocument/2006/relationships/hyperlink" Target="https://ich.unesco.org/en/USL/traditional-li-textile-techniques-spinning-dyeing-weaving-and-embroidering-00302"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2874-3855-4821-A246-036AB9C3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TotalTime>
  <Pages>12</Pages>
  <Words>6497</Words>
  <Characters>37037</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Ashley Cunnighan</cp:lastModifiedBy>
  <cp:revision>6</cp:revision>
  <cp:lastPrinted>2019-11-05T16:53:00Z</cp:lastPrinted>
  <dcterms:created xsi:type="dcterms:W3CDTF">2019-12-06T16:17:00Z</dcterms:created>
  <dcterms:modified xsi:type="dcterms:W3CDTF">2019-12-07T01:29:00Z</dcterms:modified>
</cp:coreProperties>
</file>