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CADD" w14:textId="77777777" w:rsidR="00A0254B" w:rsidRPr="0049163C" w:rsidRDefault="00A0254B" w:rsidP="003E0FBD">
      <w:pPr>
        <w:spacing w:before="1440"/>
        <w:jc w:val="center"/>
        <w:rPr>
          <w:rFonts w:ascii="Arial" w:hAnsi="Arial" w:cs="Arial"/>
          <w:b/>
          <w:sz w:val="22"/>
          <w:szCs w:val="22"/>
        </w:rPr>
      </w:pPr>
      <w:r w:rsidRPr="0049163C">
        <w:rPr>
          <w:rFonts w:ascii="Arial" w:hAnsi="Arial" w:cs="Arial"/>
          <w:b/>
          <w:sz w:val="22"/>
          <w:szCs w:val="22"/>
        </w:rPr>
        <w:t>CONVENTION POUR LA SAUVEGARDE DU</w:t>
      </w:r>
      <w:r w:rsidRPr="0049163C">
        <w:rPr>
          <w:rFonts w:ascii="Arial" w:hAnsi="Arial" w:cs="Arial"/>
          <w:sz w:val="22"/>
          <w:szCs w:val="22"/>
        </w:rPr>
        <w:t xml:space="preserve"> </w:t>
      </w:r>
      <w:r w:rsidRPr="0049163C">
        <w:rPr>
          <w:rFonts w:ascii="Arial" w:hAnsi="Arial" w:cs="Arial"/>
          <w:sz w:val="22"/>
          <w:szCs w:val="22"/>
        </w:rPr>
        <w:br/>
      </w:r>
      <w:r w:rsidRPr="0049163C">
        <w:rPr>
          <w:rFonts w:ascii="Arial" w:hAnsi="Arial" w:cs="Arial"/>
          <w:b/>
          <w:sz w:val="22"/>
          <w:szCs w:val="22"/>
        </w:rPr>
        <w:t>PATRIMOINE CULTUREL IMMATÉRIEL</w:t>
      </w:r>
    </w:p>
    <w:p w14:paraId="26AF5182" w14:textId="77777777" w:rsidR="00A0254B" w:rsidRPr="0049163C" w:rsidRDefault="00A0254B" w:rsidP="00EB5519">
      <w:pPr>
        <w:spacing w:before="1200"/>
        <w:ind w:left="567" w:hanging="567"/>
        <w:jc w:val="center"/>
        <w:rPr>
          <w:rFonts w:ascii="Arial" w:hAnsi="Arial" w:cs="Arial"/>
          <w:b/>
          <w:sz w:val="22"/>
          <w:szCs w:val="22"/>
        </w:rPr>
      </w:pPr>
      <w:r w:rsidRPr="0049163C">
        <w:rPr>
          <w:rFonts w:ascii="Arial" w:hAnsi="Arial" w:cs="Arial"/>
          <w:b/>
          <w:sz w:val="22"/>
          <w:szCs w:val="22"/>
        </w:rPr>
        <w:t>ASSEMBLÉE GÉNÉRALE DES ÉTATS PARTIES À LA CONVENTION</w:t>
      </w:r>
    </w:p>
    <w:p w14:paraId="2ED6BE2C" w14:textId="120DB4D0" w:rsidR="00A0254B" w:rsidRPr="0049163C" w:rsidRDefault="00FC314F" w:rsidP="00EB5519">
      <w:pPr>
        <w:spacing w:before="840"/>
        <w:ind w:left="567" w:hanging="567"/>
        <w:jc w:val="center"/>
        <w:rPr>
          <w:rFonts w:ascii="Arial" w:hAnsi="Arial" w:cs="Arial"/>
          <w:b/>
          <w:sz w:val="22"/>
          <w:szCs w:val="22"/>
        </w:rPr>
      </w:pPr>
      <w:r>
        <w:rPr>
          <w:rFonts w:ascii="Arial" w:hAnsi="Arial" w:cs="Arial"/>
          <w:b/>
          <w:sz w:val="22"/>
          <w:szCs w:val="22"/>
        </w:rPr>
        <w:t>Septième</w:t>
      </w:r>
      <w:r w:rsidR="00A0254B" w:rsidRPr="0049163C">
        <w:rPr>
          <w:rFonts w:ascii="Arial" w:hAnsi="Arial" w:cs="Arial"/>
          <w:b/>
          <w:sz w:val="22"/>
          <w:szCs w:val="22"/>
        </w:rPr>
        <w:t xml:space="preserve"> session</w:t>
      </w:r>
    </w:p>
    <w:p w14:paraId="7F4A5E92" w14:textId="77777777" w:rsidR="00A0254B" w:rsidRPr="0049163C" w:rsidRDefault="00A0254B" w:rsidP="00EB5519">
      <w:pPr>
        <w:ind w:left="567" w:hanging="567"/>
        <w:jc w:val="center"/>
        <w:rPr>
          <w:rFonts w:ascii="Arial" w:hAnsi="Arial" w:cs="Arial"/>
          <w:b/>
          <w:sz w:val="22"/>
          <w:szCs w:val="22"/>
        </w:rPr>
      </w:pPr>
      <w:r w:rsidRPr="0049163C">
        <w:rPr>
          <w:rFonts w:ascii="Arial" w:hAnsi="Arial" w:cs="Arial"/>
          <w:b/>
          <w:sz w:val="22"/>
          <w:szCs w:val="22"/>
        </w:rPr>
        <w:t>Siège de l’UNESCO, Salle II</w:t>
      </w:r>
    </w:p>
    <w:p w14:paraId="631AF6E8" w14:textId="248C32BD" w:rsidR="00A0254B" w:rsidRPr="0049163C" w:rsidRDefault="00FC314F" w:rsidP="00EB5519">
      <w:pPr>
        <w:spacing w:after="1200"/>
        <w:ind w:left="567" w:hanging="567"/>
        <w:jc w:val="center"/>
        <w:rPr>
          <w:rFonts w:ascii="Arial" w:hAnsi="Arial" w:cs="Arial"/>
          <w:b/>
          <w:sz w:val="22"/>
          <w:szCs w:val="22"/>
        </w:rPr>
      </w:pPr>
      <w:r>
        <w:rPr>
          <w:rFonts w:ascii="Arial" w:hAnsi="Arial" w:cs="Arial"/>
          <w:b/>
          <w:sz w:val="22"/>
          <w:szCs w:val="22"/>
        </w:rPr>
        <w:t>4</w:t>
      </w:r>
      <w:r w:rsidR="002B7905" w:rsidRPr="0049163C">
        <w:rPr>
          <w:rFonts w:ascii="Arial" w:hAnsi="Arial" w:cs="Arial"/>
          <w:b/>
          <w:sz w:val="22"/>
          <w:szCs w:val="22"/>
        </w:rPr>
        <w:t> – </w:t>
      </w:r>
      <w:r>
        <w:rPr>
          <w:rFonts w:ascii="Arial" w:hAnsi="Arial" w:cs="Arial"/>
          <w:b/>
          <w:sz w:val="22"/>
          <w:szCs w:val="22"/>
        </w:rPr>
        <w:t>6</w:t>
      </w:r>
      <w:r w:rsidR="00A0254B" w:rsidRPr="0049163C">
        <w:rPr>
          <w:rFonts w:ascii="Arial" w:hAnsi="Arial" w:cs="Arial"/>
          <w:b/>
          <w:sz w:val="22"/>
          <w:szCs w:val="22"/>
        </w:rPr>
        <w:t> juin 201</w:t>
      </w:r>
      <w:r>
        <w:rPr>
          <w:rFonts w:ascii="Arial" w:hAnsi="Arial" w:cs="Arial"/>
          <w:b/>
          <w:sz w:val="22"/>
          <w:szCs w:val="22"/>
        </w:rPr>
        <w:t>8</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0254B" w:rsidRPr="0049163C" w14:paraId="4FB4B642" w14:textId="77777777" w:rsidTr="00C92689">
        <w:trPr>
          <w:jc w:val="center"/>
        </w:trPr>
        <w:tc>
          <w:tcPr>
            <w:tcW w:w="5670" w:type="dxa"/>
            <w:vAlign w:val="center"/>
          </w:tcPr>
          <w:p w14:paraId="1C7F0377" w14:textId="77777777" w:rsidR="00A0254B" w:rsidRPr="0049163C" w:rsidRDefault="00C5038B" w:rsidP="00EB5519">
            <w:pPr>
              <w:pStyle w:val="Sansinterligne2"/>
              <w:spacing w:before="240" w:after="240"/>
              <w:ind w:left="567" w:hanging="567"/>
              <w:jc w:val="center"/>
              <w:rPr>
                <w:rFonts w:ascii="Arial" w:hAnsi="Arial" w:cs="Arial"/>
                <w:b/>
                <w:sz w:val="36"/>
                <w:szCs w:val="36"/>
              </w:rPr>
            </w:pPr>
            <w:r w:rsidRPr="0049163C">
              <w:rPr>
                <w:rFonts w:ascii="Arial" w:hAnsi="Arial" w:cs="Arial"/>
                <w:b/>
                <w:sz w:val="36"/>
                <w:szCs w:val="36"/>
              </w:rPr>
              <w:t>Résolutions</w:t>
            </w:r>
          </w:p>
        </w:tc>
      </w:tr>
    </w:tbl>
    <w:p w14:paraId="62C0ED7F" w14:textId="77777777" w:rsidR="00A0254B" w:rsidRPr="0049163C" w:rsidRDefault="00A0254B" w:rsidP="00EB5519">
      <w:pPr>
        <w:pStyle w:val="GAPara"/>
        <w:ind w:left="567" w:hanging="567"/>
        <w:jc w:val="both"/>
      </w:pPr>
      <w:r w:rsidRPr="0049163C">
        <w:br w:type="page"/>
      </w:r>
    </w:p>
    <w:p w14:paraId="1E641414" w14:textId="59FAE900" w:rsidR="00C5038B" w:rsidRPr="0049163C" w:rsidRDefault="00C5038B" w:rsidP="00EB5519">
      <w:pPr>
        <w:pStyle w:val="GATitleResolution"/>
        <w:ind w:left="567" w:hanging="567"/>
      </w:pPr>
      <w:r w:rsidRPr="0049163C">
        <w:lastRenderedPageBreak/>
        <w:t xml:space="preserve">RÉSOLUTION </w:t>
      </w:r>
      <w:r w:rsidR="00FC314F">
        <w:t>7</w:t>
      </w:r>
      <w:r w:rsidRPr="0049163C">
        <w:t>.GA 2</w:t>
      </w:r>
    </w:p>
    <w:p w14:paraId="3A6135B4" w14:textId="77777777" w:rsidR="00FC314F" w:rsidRPr="005A4A42" w:rsidRDefault="00FC314F" w:rsidP="00FC314F">
      <w:pPr>
        <w:pStyle w:val="GAPreambulaResolution"/>
      </w:pPr>
      <w:r>
        <w:t>L’Assemblée générale,</w:t>
      </w:r>
    </w:p>
    <w:p w14:paraId="3E560911" w14:textId="3892F10A" w:rsidR="00FC314F" w:rsidRPr="005A4A42" w:rsidRDefault="00FC314F" w:rsidP="00FC314F">
      <w:pPr>
        <w:pStyle w:val="GAParabodytext"/>
        <w:rPr>
          <w:rFonts w:eastAsia="SimSun"/>
        </w:rPr>
      </w:pPr>
      <w:r>
        <w:rPr>
          <w:u w:val="single"/>
        </w:rPr>
        <w:t>Ayant examiné</w:t>
      </w:r>
      <w:r>
        <w:t xml:space="preserve"> le document </w:t>
      </w:r>
      <w:hyperlink r:id="rId8" w:history="1">
        <w:r w:rsidRPr="00B037E4">
          <w:rPr>
            <w:rStyle w:val="Hyperlink"/>
            <w:lang w:eastAsia="en-US"/>
          </w:rPr>
          <w:t>ITH/18/7.GA/2</w:t>
        </w:r>
      </w:hyperlink>
      <w:r>
        <w:t>,</w:t>
      </w:r>
    </w:p>
    <w:p w14:paraId="05A6A061" w14:textId="77777777" w:rsidR="00FC314F" w:rsidRPr="005A4A42" w:rsidRDefault="00FC314F" w:rsidP="00FC314F">
      <w:pPr>
        <w:pStyle w:val="GAParabodytext"/>
        <w:rPr>
          <w:rFonts w:eastAsia="SimSun"/>
        </w:rPr>
      </w:pPr>
      <w:r>
        <w:rPr>
          <w:u w:val="single"/>
        </w:rPr>
        <w:t>Rappelant</w:t>
      </w:r>
      <w:r>
        <w:t xml:space="preserve"> l’article 3 de son Règlement intérieur,</w:t>
      </w:r>
    </w:p>
    <w:p w14:paraId="64635C7D" w14:textId="71EC1488" w:rsidR="00FC314F" w:rsidRPr="005A4A42" w:rsidRDefault="00FC314F" w:rsidP="00FC314F">
      <w:pPr>
        <w:pStyle w:val="GAParabodytext"/>
        <w:rPr>
          <w:rFonts w:eastAsia="SimSun"/>
        </w:rPr>
      </w:pPr>
      <w:r>
        <w:rPr>
          <w:u w:val="single"/>
        </w:rPr>
        <w:t>Élit</w:t>
      </w:r>
      <w:r>
        <w:t xml:space="preserve"> </w:t>
      </w:r>
      <w:r w:rsidR="00C929B3">
        <w:t xml:space="preserve">S. Exc. Madame Vincenza Lomonaco (Italie) </w:t>
      </w:r>
      <w:r>
        <w:t>Présidente de l’Assemblée générale ;</w:t>
      </w:r>
    </w:p>
    <w:p w14:paraId="52E00A8A" w14:textId="08DCA251" w:rsidR="00FC314F" w:rsidRPr="005A4A42" w:rsidRDefault="00FC314F" w:rsidP="00FC314F">
      <w:pPr>
        <w:pStyle w:val="GAParabodytext"/>
      </w:pPr>
      <w:r>
        <w:rPr>
          <w:u w:val="single"/>
        </w:rPr>
        <w:t>Élit</w:t>
      </w:r>
      <w:r>
        <w:t xml:space="preserve"> </w:t>
      </w:r>
      <w:r w:rsidR="00C929B3">
        <w:t>M. Waleed Al</w:t>
      </w:r>
      <w:r w:rsidR="007E398A">
        <w:t>s</w:t>
      </w:r>
      <w:r w:rsidR="00C929B3">
        <w:t>aif (Koweït)</w:t>
      </w:r>
      <w:r>
        <w:t xml:space="preserve"> Rapporteur de l’Assemblée générale ;</w:t>
      </w:r>
    </w:p>
    <w:p w14:paraId="780135E2" w14:textId="4ACF3097" w:rsidR="00FC314F" w:rsidRDefault="00FC314F" w:rsidP="00FC314F">
      <w:pPr>
        <w:pStyle w:val="GAParabodytext"/>
      </w:pPr>
      <w:r>
        <w:rPr>
          <w:u w:val="single"/>
        </w:rPr>
        <w:t>Élit</w:t>
      </w:r>
      <w:r>
        <w:t xml:space="preserve"> </w:t>
      </w:r>
      <w:r w:rsidR="00C929B3">
        <w:t>la Serbie</w:t>
      </w:r>
      <w:r>
        <w:t xml:space="preserve">, </w:t>
      </w:r>
      <w:r w:rsidR="00C929B3">
        <w:t>le Guatemala</w:t>
      </w:r>
      <w:r>
        <w:t xml:space="preserve">, </w:t>
      </w:r>
      <w:r w:rsidR="00C929B3">
        <w:t>le Kazakhstan</w:t>
      </w:r>
      <w:r>
        <w:t xml:space="preserve">, </w:t>
      </w:r>
      <w:r w:rsidR="00C929B3">
        <w:t>la Gambie</w:t>
      </w:r>
      <w:r w:rsidR="00C929B3" w:rsidDel="00C929B3">
        <w:t xml:space="preserve"> </w:t>
      </w:r>
      <w:r>
        <w:t xml:space="preserve">et </w:t>
      </w:r>
      <w:r w:rsidR="00C929B3">
        <w:t>la Jordanie</w:t>
      </w:r>
      <w:r w:rsidR="00C929B3" w:rsidDel="00C929B3">
        <w:t xml:space="preserve"> </w:t>
      </w:r>
      <w:r>
        <w:t>Vice-Présidents de l’Assemblée générale.</w:t>
      </w:r>
    </w:p>
    <w:p w14:paraId="5DE9142D" w14:textId="50D1C036" w:rsidR="00C5038B" w:rsidRPr="0049163C" w:rsidRDefault="00C5038B" w:rsidP="00EB5519">
      <w:pPr>
        <w:pStyle w:val="GATitleResolution"/>
        <w:ind w:left="567" w:hanging="567"/>
      </w:pPr>
      <w:r w:rsidRPr="0049163C">
        <w:t xml:space="preserve">RÉSOLUTION </w:t>
      </w:r>
      <w:r w:rsidR="00FC314F">
        <w:t>7</w:t>
      </w:r>
      <w:r w:rsidRPr="0049163C">
        <w:t>.GA 3</w:t>
      </w:r>
    </w:p>
    <w:p w14:paraId="5049EC12" w14:textId="77777777" w:rsidR="00FC314F" w:rsidRPr="00FD624F" w:rsidRDefault="00FC314F" w:rsidP="00FC314F">
      <w:pPr>
        <w:pStyle w:val="GAPreambulaResolution"/>
      </w:pPr>
      <w:r>
        <w:t>L’Assemblée générale,</w:t>
      </w:r>
    </w:p>
    <w:p w14:paraId="3EF2520B" w14:textId="32BDC49E" w:rsidR="00FC314F" w:rsidRPr="00FD624F" w:rsidRDefault="00FC314F" w:rsidP="00655685">
      <w:pPr>
        <w:numPr>
          <w:ilvl w:val="0"/>
          <w:numId w:val="8"/>
        </w:numPr>
        <w:spacing w:after="120"/>
        <w:ind w:left="567" w:hanging="567"/>
        <w:jc w:val="both"/>
        <w:rPr>
          <w:rFonts w:ascii="Arial" w:eastAsia="SimSun" w:hAnsi="Arial" w:cs="Arial"/>
          <w:sz w:val="22"/>
          <w:szCs w:val="22"/>
        </w:rPr>
      </w:pPr>
      <w:r>
        <w:rPr>
          <w:rFonts w:ascii="Arial" w:hAnsi="Arial"/>
          <w:sz w:val="22"/>
          <w:szCs w:val="22"/>
          <w:u w:val="single"/>
        </w:rPr>
        <w:t>Ayant examiné</w:t>
      </w:r>
      <w:r>
        <w:rPr>
          <w:rFonts w:ascii="Arial" w:hAnsi="Arial"/>
          <w:sz w:val="22"/>
          <w:szCs w:val="22"/>
        </w:rPr>
        <w:t xml:space="preserve"> le document </w:t>
      </w:r>
      <w:hyperlink r:id="rId9" w:history="1">
        <w:r w:rsidRPr="00B037E4">
          <w:rPr>
            <w:rStyle w:val="Hyperlink"/>
            <w:rFonts w:ascii="Arial" w:hAnsi="Arial"/>
            <w:sz w:val="22"/>
            <w:szCs w:val="22"/>
          </w:rPr>
          <w:t>ITH/18/7.GA/3</w:t>
        </w:r>
      </w:hyperlink>
      <w:r>
        <w:rPr>
          <w:rFonts w:ascii="Arial" w:hAnsi="Arial"/>
          <w:sz w:val="22"/>
          <w:szCs w:val="22"/>
        </w:rPr>
        <w:t>,</w:t>
      </w:r>
    </w:p>
    <w:p w14:paraId="71425239" w14:textId="77777777" w:rsidR="00FC314F" w:rsidRPr="00F1191D" w:rsidRDefault="00FC314F" w:rsidP="00655685">
      <w:pPr>
        <w:numPr>
          <w:ilvl w:val="0"/>
          <w:numId w:val="8"/>
        </w:numPr>
        <w:spacing w:after="120"/>
        <w:ind w:left="567" w:hanging="567"/>
        <w:jc w:val="both"/>
        <w:rPr>
          <w:rFonts w:ascii="Arial" w:eastAsia="SimSun" w:hAnsi="Arial" w:cs="Arial"/>
          <w:sz w:val="22"/>
          <w:szCs w:val="22"/>
        </w:rPr>
      </w:pPr>
      <w:r>
        <w:rPr>
          <w:rFonts w:ascii="Arial" w:hAnsi="Arial"/>
          <w:sz w:val="22"/>
          <w:szCs w:val="22"/>
          <w:u w:val="single"/>
        </w:rPr>
        <w:t>Adopte</w:t>
      </w:r>
      <w:r>
        <w:rPr>
          <w:rFonts w:ascii="Arial" w:hAnsi="Arial"/>
          <w:sz w:val="22"/>
          <w:szCs w:val="22"/>
        </w:rPr>
        <w:t xml:space="preserve"> l’ordre du jour de sa septième session (Paris, Siège de l’UNESCO, 4 – 6 juin 2018) comme suit :</w:t>
      </w:r>
    </w:p>
    <w:p w14:paraId="185959EF" w14:textId="77777777" w:rsidR="00FC314F" w:rsidRPr="00FD624F" w:rsidRDefault="00FC314F" w:rsidP="00FC314F">
      <w:pPr>
        <w:spacing w:before="360" w:after="240"/>
        <w:ind w:left="1134" w:hanging="567"/>
        <w:jc w:val="both"/>
        <w:rPr>
          <w:rFonts w:ascii="Arial" w:eastAsia="SimSun" w:hAnsi="Arial" w:cs="Arial"/>
          <w:b/>
          <w:sz w:val="22"/>
          <w:szCs w:val="22"/>
        </w:rPr>
      </w:pPr>
      <w:r>
        <w:rPr>
          <w:rFonts w:ascii="Arial" w:hAnsi="Arial"/>
          <w:b/>
          <w:sz w:val="22"/>
          <w:szCs w:val="22"/>
        </w:rPr>
        <w:t>Ordre du jour</w:t>
      </w:r>
    </w:p>
    <w:p w14:paraId="36DBD7CD" w14:textId="77777777" w:rsidR="00FC314F" w:rsidRPr="00FD624F"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Ouverture</w:t>
      </w:r>
    </w:p>
    <w:p w14:paraId="2AF2B33C" w14:textId="77777777" w:rsidR="00FC314F" w:rsidRPr="00FD624F"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Élection du Bureau</w:t>
      </w:r>
    </w:p>
    <w:p w14:paraId="3BD2BD85" w14:textId="77777777" w:rsidR="00FC314F"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Adoption de l’ordre du jour</w:t>
      </w:r>
    </w:p>
    <w:p w14:paraId="1EBD5E0D" w14:textId="77777777" w:rsidR="00FC314F" w:rsidRPr="00864B47"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Distribution des sièges au Comité par groupe électoral</w:t>
      </w:r>
    </w:p>
    <w:p w14:paraId="61CDDE2E" w14:textId="77777777" w:rsidR="00FC314F"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Rapport du Comité à l’Assemblée générale</w:t>
      </w:r>
    </w:p>
    <w:p w14:paraId="31D1732A" w14:textId="77777777" w:rsidR="00FC314F"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Rapport du groupe de travail informel ad hoc du Comité à l’Assemblée générale</w:t>
      </w:r>
    </w:p>
    <w:p w14:paraId="4B3BCDAD" w14:textId="77777777" w:rsidR="00FC314F"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Rapport du Secrétariat sur ses activités</w:t>
      </w:r>
    </w:p>
    <w:p w14:paraId="504E4142" w14:textId="77777777" w:rsidR="00FC314F" w:rsidRPr="00CC0479"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Utilisation des ressources du Fonds du patrimoine culturel immatériel</w:t>
      </w:r>
    </w:p>
    <w:p w14:paraId="652A71E4" w14:textId="77777777" w:rsidR="00FC314F" w:rsidRPr="00CC0479"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Projet de cadre global de résultats</w:t>
      </w:r>
    </w:p>
    <w:p w14:paraId="28602DC4" w14:textId="77777777" w:rsidR="00FC314F"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Révisions des Directives opérationnelles pour la mise en œuvre de la Convention</w:t>
      </w:r>
    </w:p>
    <w:p w14:paraId="0CC88E4D" w14:textId="77777777" w:rsidR="00FC314F" w:rsidRPr="00CC0479" w:rsidRDefault="00FC314F" w:rsidP="00FC314F">
      <w:pPr>
        <w:numPr>
          <w:ilvl w:val="0"/>
          <w:numId w:val="1"/>
        </w:numPr>
        <w:tabs>
          <w:tab w:val="decimal" w:pos="1134"/>
        </w:tabs>
        <w:spacing w:after="120"/>
        <w:ind w:left="1134" w:hanging="567"/>
        <w:rPr>
          <w:rFonts w:ascii="Arial" w:eastAsia="SimSun" w:hAnsi="Arial" w:cs="Arial"/>
          <w:sz w:val="22"/>
          <w:szCs w:val="22"/>
        </w:rPr>
      </w:pPr>
      <w:r>
        <w:rPr>
          <w:rFonts w:ascii="Arial" w:hAnsi="Arial"/>
          <w:sz w:val="22"/>
          <w:szCs w:val="22"/>
        </w:rPr>
        <w:t>Accréditation des organisations non gouvernementales à des fins d’assistance consultative auprès du Comité</w:t>
      </w:r>
    </w:p>
    <w:p w14:paraId="0507C823" w14:textId="77777777" w:rsidR="00FC314F" w:rsidRPr="00F82876"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Suivi de la mise en œuvre des recommandations pertinentes du Groupe de travail à composition non limitée sur la gouvernance, les procédures et les méthodes de travail des organes directeurs de l’UNESCO (résolution 39 C/87)</w:t>
      </w:r>
    </w:p>
    <w:p w14:paraId="1695A7FB" w14:textId="77777777" w:rsidR="00FC314F" w:rsidRPr="0071136A"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Révision du Règlement intérieur de l’Assemblée générale</w:t>
      </w:r>
    </w:p>
    <w:p w14:paraId="065A03AE" w14:textId="77777777" w:rsidR="00FC314F" w:rsidRPr="00CC0479"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Élection des membres du Comité intergouvernemental de sauvegarde du patrimoine culturel immatériel</w:t>
      </w:r>
    </w:p>
    <w:p w14:paraId="464BE63A" w14:textId="77777777" w:rsidR="00FC314F" w:rsidRPr="004473F0" w:rsidRDefault="00FC314F" w:rsidP="00FC314F">
      <w:pPr>
        <w:numPr>
          <w:ilvl w:val="0"/>
          <w:numId w:val="1"/>
        </w:numPr>
        <w:spacing w:after="120"/>
        <w:ind w:left="1134" w:hanging="567"/>
        <w:rPr>
          <w:rFonts w:ascii="Arial" w:eastAsia="SimSun" w:hAnsi="Arial" w:cs="Arial"/>
          <w:sz w:val="22"/>
          <w:szCs w:val="22"/>
        </w:rPr>
      </w:pPr>
      <w:r>
        <w:rPr>
          <w:rFonts w:ascii="Arial" w:hAnsi="Arial"/>
          <w:sz w:val="22"/>
          <w:szCs w:val="22"/>
        </w:rPr>
        <w:t>Questions diverses</w:t>
      </w:r>
    </w:p>
    <w:p w14:paraId="68CC2BDD" w14:textId="77777777" w:rsidR="00FC314F" w:rsidRPr="00864B47" w:rsidRDefault="00FC314F" w:rsidP="00FC314F">
      <w:pPr>
        <w:numPr>
          <w:ilvl w:val="0"/>
          <w:numId w:val="1"/>
        </w:numPr>
        <w:spacing w:after="120"/>
        <w:ind w:left="1134" w:hanging="567"/>
        <w:rPr>
          <w:rFonts w:ascii="Arial" w:hAnsi="Arial" w:cs="Arial"/>
          <w:sz w:val="22"/>
          <w:szCs w:val="22"/>
        </w:rPr>
      </w:pPr>
      <w:r>
        <w:rPr>
          <w:rFonts w:ascii="Arial" w:hAnsi="Arial"/>
          <w:sz w:val="22"/>
          <w:szCs w:val="22"/>
        </w:rPr>
        <w:t>Clôture</w:t>
      </w:r>
    </w:p>
    <w:p w14:paraId="48961BA5" w14:textId="001D7703" w:rsidR="00C5038B" w:rsidRPr="0049163C" w:rsidRDefault="00C5038B" w:rsidP="00EB5519">
      <w:pPr>
        <w:pStyle w:val="GATitleResolution"/>
        <w:ind w:left="567" w:hanging="567"/>
      </w:pPr>
      <w:r w:rsidRPr="00AE0C2C">
        <w:t>RÉSOLUTION </w:t>
      </w:r>
      <w:r w:rsidR="00AE0C2C" w:rsidRPr="00AE0C2C">
        <w:t>7</w:t>
      </w:r>
      <w:r w:rsidRPr="00AE0C2C">
        <w:t>.GA 4</w:t>
      </w:r>
    </w:p>
    <w:p w14:paraId="6FA5FE35" w14:textId="77777777" w:rsidR="00AE0C2C" w:rsidRPr="0019377F" w:rsidRDefault="00AE0C2C" w:rsidP="00AE0C2C">
      <w:pPr>
        <w:pStyle w:val="GAPreambulaResolution"/>
      </w:pPr>
      <w:r>
        <w:t>L’Assemblée générale,</w:t>
      </w:r>
    </w:p>
    <w:p w14:paraId="4E162001" w14:textId="2F1DC4E0" w:rsidR="00AE0C2C" w:rsidRPr="0019377F" w:rsidRDefault="00AE0C2C" w:rsidP="00AE0C2C">
      <w:pPr>
        <w:spacing w:before="120" w:after="120"/>
        <w:ind w:left="567" w:hanging="567"/>
        <w:jc w:val="both"/>
        <w:rPr>
          <w:rFonts w:ascii="Arial" w:eastAsia="SimSun" w:hAnsi="Arial" w:cs="Arial"/>
          <w:sz w:val="22"/>
          <w:szCs w:val="22"/>
        </w:rPr>
      </w:pPr>
      <w:r>
        <w:rPr>
          <w:rFonts w:ascii="Arial" w:hAnsi="Arial"/>
          <w:sz w:val="22"/>
          <w:szCs w:val="22"/>
        </w:rPr>
        <w:t>1.</w:t>
      </w:r>
      <w:r>
        <w:rPr>
          <w:rFonts w:ascii="Arial" w:hAnsi="Arial"/>
          <w:sz w:val="22"/>
          <w:szCs w:val="22"/>
        </w:rPr>
        <w:tab/>
      </w:r>
      <w:r>
        <w:rPr>
          <w:rFonts w:ascii="Arial" w:hAnsi="Arial"/>
          <w:sz w:val="22"/>
          <w:szCs w:val="22"/>
          <w:u w:val="single"/>
        </w:rPr>
        <w:t>Ayant examiné</w:t>
      </w:r>
      <w:r>
        <w:rPr>
          <w:rFonts w:ascii="Arial" w:hAnsi="Arial"/>
          <w:sz w:val="22"/>
          <w:szCs w:val="22"/>
        </w:rPr>
        <w:t xml:space="preserve"> le document </w:t>
      </w:r>
      <w:hyperlink r:id="rId10" w:history="1">
        <w:r w:rsidRPr="00B037E4">
          <w:rPr>
            <w:rStyle w:val="Hyperlink"/>
            <w:rFonts w:ascii="Arial" w:hAnsi="Arial"/>
            <w:sz w:val="22"/>
            <w:szCs w:val="22"/>
          </w:rPr>
          <w:t>ITH/18/7.GA/4</w:t>
        </w:r>
      </w:hyperlink>
      <w:r>
        <w:rPr>
          <w:rFonts w:ascii="Arial" w:hAnsi="Arial"/>
          <w:sz w:val="22"/>
          <w:szCs w:val="22"/>
        </w:rPr>
        <w:t>,</w:t>
      </w:r>
    </w:p>
    <w:p w14:paraId="41D69DCE" w14:textId="77777777" w:rsidR="00AE0C2C" w:rsidRPr="0019377F" w:rsidRDefault="00AE0C2C" w:rsidP="00AE0C2C">
      <w:pPr>
        <w:spacing w:before="120" w:after="120"/>
        <w:ind w:left="567" w:hanging="567"/>
        <w:jc w:val="both"/>
        <w:rPr>
          <w:rFonts w:ascii="Arial" w:eastAsia="SimSun" w:hAnsi="Arial" w:cs="Arial"/>
          <w:sz w:val="22"/>
          <w:szCs w:val="22"/>
        </w:rPr>
      </w:pPr>
      <w:r>
        <w:rPr>
          <w:rFonts w:ascii="Arial" w:hAnsi="Arial"/>
          <w:sz w:val="22"/>
          <w:szCs w:val="22"/>
        </w:rPr>
        <w:t>2.</w:t>
      </w:r>
      <w:r>
        <w:rPr>
          <w:rFonts w:ascii="Arial" w:hAnsi="Arial"/>
          <w:sz w:val="22"/>
          <w:szCs w:val="22"/>
        </w:rPr>
        <w:tab/>
      </w:r>
      <w:r>
        <w:rPr>
          <w:rFonts w:ascii="Arial" w:hAnsi="Arial"/>
          <w:sz w:val="22"/>
          <w:szCs w:val="22"/>
          <w:u w:val="single"/>
        </w:rPr>
        <w:t>Rappelant</w:t>
      </w:r>
      <w:r>
        <w:rPr>
          <w:rFonts w:ascii="Arial" w:hAnsi="Arial"/>
          <w:sz w:val="22"/>
          <w:szCs w:val="22"/>
        </w:rPr>
        <w:t xml:space="preserve"> l’article 6 de la Convention,</w:t>
      </w:r>
    </w:p>
    <w:p w14:paraId="6170C0B3" w14:textId="3D0BD3D6" w:rsidR="00AE0C2C" w:rsidRDefault="00AE0C2C" w:rsidP="00AE0C2C">
      <w:pPr>
        <w:spacing w:before="120" w:after="120"/>
        <w:ind w:left="567" w:hanging="567"/>
        <w:jc w:val="both"/>
        <w:rPr>
          <w:rFonts w:ascii="Arial" w:hAnsi="Arial"/>
          <w:sz w:val="22"/>
          <w:szCs w:val="22"/>
        </w:rPr>
      </w:pPr>
      <w:r>
        <w:rPr>
          <w:rFonts w:ascii="Arial" w:hAnsi="Arial"/>
          <w:sz w:val="22"/>
          <w:szCs w:val="22"/>
        </w:rPr>
        <w:lastRenderedPageBreak/>
        <w:t>3.</w:t>
      </w:r>
      <w:r>
        <w:rPr>
          <w:rFonts w:ascii="Arial" w:hAnsi="Arial"/>
          <w:sz w:val="22"/>
          <w:szCs w:val="22"/>
        </w:rPr>
        <w:tab/>
      </w:r>
      <w:r w:rsidRPr="00196759">
        <w:rPr>
          <w:rFonts w:ascii="Arial" w:hAnsi="Arial"/>
          <w:sz w:val="22"/>
          <w:szCs w:val="22"/>
          <w:u w:val="single"/>
        </w:rPr>
        <w:t>Rappelant</w:t>
      </w:r>
      <w:r w:rsidRPr="003074FE">
        <w:rPr>
          <w:rFonts w:ascii="Arial" w:hAnsi="Arial"/>
          <w:sz w:val="22"/>
          <w:szCs w:val="22"/>
          <w:u w:val="single"/>
        </w:rPr>
        <w:t xml:space="preserve"> en outre</w:t>
      </w:r>
      <w:r w:rsidRPr="00AE0C2C">
        <w:rPr>
          <w:rFonts w:ascii="Arial" w:hAnsi="Arial"/>
          <w:sz w:val="22"/>
          <w:szCs w:val="22"/>
        </w:rPr>
        <w:t xml:space="preserve"> l’article 13 de son Règlement intérieur, ainsi que la résolution </w:t>
      </w:r>
      <w:hyperlink r:id="rId11" w:history="1">
        <w:r w:rsidRPr="00B037E4">
          <w:rPr>
            <w:rStyle w:val="Hyperlink"/>
            <w:rFonts w:ascii="Arial" w:hAnsi="Arial"/>
            <w:sz w:val="22"/>
            <w:szCs w:val="22"/>
          </w:rPr>
          <w:t>3.GA 12</w:t>
        </w:r>
      </w:hyperlink>
      <w:r w:rsidRPr="00AE0C2C">
        <w:rPr>
          <w:rFonts w:ascii="Arial" w:hAnsi="Arial"/>
          <w:sz w:val="22"/>
          <w:szCs w:val="22"/>
        </w:rPr>
        <w:t>,</w:t>
      </w:r>
    </w:p>
    <w:p w14:paraId="3D9D7D34" w14:textId="77777777" w:rsidR="00AE0C2C" w:rsidRPr="00AE0C2C" w:rsidRDefault="00AE0C2C" w:rsidP="00AE0C2C">
      <w:pPr>
        <w:spacing w:before="120" w:after="120"/>
        <w:ind w:left="567" w:hanging="567"/>
        <w:jc w:val="both"/>
      </w:pPr>
      <w:r w:rsidRPr="00AE0C2C">
        <w:rPr>
          <w:rFonts w:ascii="Arial" w:hAnsi="Arial"/>
          <w:sz w:val="22"/>
          <w:szCs w:val="22"/>
        </w:rPr>
        <w:t>4.</w:t>
      </w:r>
      <w:r w:rsidRPr="00AE0C2C">
        <w:rPr>
          <w:rFonts w:ascii="Arial" w:hAnsi="Arial"/>
          <w:sz w:val="22"/>
          <w:szCs w:val="22"/>
        </w:rPr>
        <w:tab/>
      </w:r>
      <w:r w:rsidRPr="00AE0C2C">
        <w:rPr>
          <w:rFonts w:ascii="Arial" w:hAnsi="Arial"/>
          <w:sz w:val="22"/>
          <w:szCs w:val="22"/>
          <w:u w:val="single"/>
        </w:rPr>
        <w:t>Décide</w:t>
      </w:r>
      <w:r w:rsidRPr="00AE0C2C">
        <w:rPr>
          <w:rFonts w:ascii="Arial" w:hAnsi="Arial"/>
          <w:sz w:val="22"/>
          <w:szCs w:val="22"/>
        </w:rPr>
        <w:t xml:space="preserve"> qu’aux fins de l’élection à sa septième session, les 24 sièges du Comité seront répartis entre les groupes électoraux comme suit : Groupe I, trois sièges ; Groupe II, trois sièges ; Groupe III, quatre sièges ; Groupe IV, cinq sièges ; Groupe V(a), six sièges ; Groupe V(b), trois sièges.</w:t>
      </w:r>
    </w:p>
    <w:p w14:paraId="7097A4D5" w14:textId="4074F070" w:rsidR="00637A63" w:rsidRPr="0049163C" w:rsidRDefault="00637A63" w:rsidP="00EB5519">
      <w:pPr>
        <w:pStyle w:val="GATitleResolution"/>
        <w:ind w:left="567" w:hanging="567"/>
      </w:pPr>
      <w:r w:rsidRPr="0049163C">
        <w:t>RÉSOLUTION </w:t>
      </w:r>
      <w:r w:rsidR="00AE0C2C">
        <w:t>7</w:t>
      </w:r>
      <w:r w:rsidRPr="0049163C">
        <w:t>.GA 5</w:t>
      </w:r>
    </w:p>
    <w:p w14:paraId="20F83E26" w14:textId="77777777" w:rsidR="00AE0C2C" w:rsidRPr="005A4A42" w:rsidRDefault="00AE0C2C" w:rsidP="00AE0C2C">
      <w:pPr>
        <w:pStyle w:val="GAPreambulaResolution"/>
      </w:pPr>
      <w:r>
        <w:t>L’Assemblée générale,</w:t>
      </w:r>
    </w:p>
    <w:p w14:paraId="6E74FAB7" w14:textId="3F30F47C" w:rsidR="00AE0C2C" w:rsidRPr="00345CB4" w:rsidRDefault="00AE0C2C" w:rsidP="00AE0C2C">
      <w:pPr>
        <w:pStyle w:val="COMParaDecision"/>
        <w:numPr>
          <w:ilvl w:val="0"/>
          <w:numId w:val="3"/>
        </w:numPr>
        <w:ind w:left="567" w:hanging="567"/>
      </w:pPr>
      <w:r>
        <w:t>Ayant examiné</w:t>
      </w:r>
      <w:r>
        <w:rPr>
          <w:u w:val="none"/>
        </w:rPr>
        <w:t xml:space="preserve"> le document </w:t>
      </w:r>
      <w:hyperlink r:id="rId12" w:history="1">
        <w:r w:rsidRPr="00B037E4">
          <w:rPr>
            <w:rStyle w:val="Hyperlink"/>
          </w:rPr>
          <w:t>ITH/18/7.GA/5</w:t>
        </w:r>
      </w:hyperlink>
      <w:r>
        <w:rPr>
          <w:u w:val="none"/>
        </w:rPr>
        <w:t>,</w:t>
      </w:r>
    </w:p>
    <w:p w14:paraId="18C32031" w14:textId="77777777" w:rsidR="00AE0C2C" w:rsidRPr="00345CB4" w:rsidRDefault="00AE0C2C" w:rsidP="00AE0C2C">
      <w:pPr>
        <w:pStyle w:val="COMParaDecision"/>
        <w:numPr>
          <w:ilvl w:val="0"/>
          <w:numId w:val="3"/>
        </w:numPr>
        <w:ind w:left="567" w:hanging="567"/>
      </w:pPr>
      <w:r>
        <w:t>Rappelant</w:t>
      </w:r>
      <w:r>
        <w:rPr>
          <w:u w:val="none"/>
        </w:rPr>
        <w:t xml:space="preserve"> l’article 30 de la Convention,</w:t>
      </w:r>
    </w:p>
    <w:p w14:paraId="10B6A5E3" w14:textId="37B6A835" w:rsidR="00AE0C2C" w:rsidRPr="005D60CA" w:rsidRDefault="00AE0C2C" w:rsidP="00AE0C2C">
      <w:pPr>
        <w:pStyle w:val="COMParaDecision"/>
        <w:numPr>
          <w:ilvl w:val="0"/>
          <w:numId w:val="3"/>
        </w:numPr>
        <w:ind w:left="567" w:hanging="567"/>
        <w:rPr>
          <w:u w:val="none"/>
        </w:rPr>
      </w:pPr>
      <w:r>
        <w:t>Accueille</w:t>
      </w:r>
      <w:r>
        <w:rPr>
          <w:u w:val="none"/>
        </w:rPr>
        <w:t xml:space="preserve"> les onze États – Cabo Verde, Ghana, Guinée-Bissau, Îles Cook, Malte, Saint-Kitts-et-Nevis, Soudan du Sud, Suriname, Thaïlande, Timor-Leste et Tuvalu – ayant ratifié la Convention pendant la période considérée, ainsi que les </w:t>
      </w:r>
      <w:r w:rsidR="00BA05DD">
        <w:rPr>
          <w:u w:val="none"/>
        </w:rPr>
        <w:t xml:space="preserve">trois </w:t>
      </w:r>
      <w:r>
        <w:rPr>
          <w:u w:val="none"/>
        </w:rPr>
        <w:t xml:space="preserve">États </w:t>
      </w:r>
      <w:r w:rsidR="00BA05DD">
        <w:rPr>
          <w:u w:val="none"/>
        </w:rPr>
        <w:t>–</w:t>
      </w:r>
      <w:r>
        <w:rPr>
          <w:u w:val="none"/>
        </w:rPr>
        <w:t xml:space="preserve"> Kiribati</w:t>
      </w:r>
      <w:r w:rsidR="00BA05DD">
        <w:rPr>
          <w:u w:val="none"/>
        </w:rPr>
        <w:t>,</w:t>
      </w:r>
      <w:r>
        <w:rPr>
          <w:u w:val="none"/>
        </w:rPr>
        <w:t xml:space="preserve"> </w:t>
      </w:r>
      <w:r w:rsidR="00196759">
        <w:rPr>
          <w:u w:val="none"/>
        </w:rPr>
        <w:t xml:space="preserve">les </w:t>
      </w:r>
      <w:r w:rsidR="00A82031">
        <w:rPr>
          <w:u w:val="none"/>
        </w:rPr>
        <w:t xml:space="preserve">Îles </w:t>
      </w:r>
      <w:r w:rsidR="00196759">
        <w:rPr>
          <w:u w:val="none"/>
        </w:rPr>
        <w:t xml:space="preserve">Salomon et </w:t>
      </w:r>
      <w:r>
        <w:rPr>
          <w:u w:val="none"/>
        </w:rPr>
        <w:t>Singapour</w:t>
      </w:r>
      <w:r w:rsidR="00196759">
        <w:rPr>
          <w:u w:val="none"/>
        </w:rPr>
        <w:t xml:space="preserve"> </w:t>
      </w:r>
      <w:r>
        <w:rPr>
          <w:u w:val="none"/>
        </w:rPr>
        <w:t xml:space="preserve">– ayant ratifié la Convention après la fin de cette dernière ; et </w:t>
      </w:r>
      <w:r>
        <w:t>exprime sa satisfaction</w:t>
      </w:r>
      <w:r>
        <w:rPr>
          <w:u w:val="none"/>
        </w:rPr>
        <w:t xml:space="preserve"> devant le rythme rapide et continu des ratifications dans toutes les régions ;</w:t>
      </w:r>
    </w:p>
    <w:p w14:paraId="4A069DC7" w14:textId="77777777" w:rsidR="00AE0C2C" w:rsidRPr="005D60CA" w:rsidRDefault="00AE0C2C" w:rsidP="00AE0C2C">
      <w:pPr>
        <w:pStyle w:val="COMParaDecision"/>
        <w:numPr>
          <w:ilvl w:val="0"/>
          <w:numId w:val="3"/>
        </w:numPr>
        <w:ind w:left="567" w:hanging="567"/>
      </w:pPr>
      <w:r>
        <w:t>Prend note</w:t>
      </w:r>
      <w:r>
        <w:rPr>
          <w:u w:val="none"/>
        </w:rPr>
        <w:t xml:space="preserve"> du rapport du Comité à l’Assemblée générale sur ses activités entre janvier 2016 et décembre 2017, tel que figurant en annexe au présent document, et </w:t>
      </w:r>
      <w:r w:rsidRPr="000C383C">
        <w:t>remercie</w:t>
      </w:r>
      <w:r>
        <w:rPr>
          <w:u w:val="none"/>
        </w:rPr>
        <w:t xml:space="preserve"> le Comité pour son travail efficace ;</w:t>
      </w:r>
    </w:p>
    <w:p w14:paraId="7ADFAA7D" w14:textId="77777777" w:rsidR="00AE0C2C" w:rsidRDefault="00AE0C2C" w:rsidP="00AE0C2C">
      <w:pPr>
        <w:pStyle w:val="COMParaDecision"/>
        <w:numPr>
          <w:ilvl w:val="0"/>
          <w:numId w:val="3"/>
        </w:numPr>
        <w:ind w:left="567" w:hanging="567"/>
        <w:rPr>
          <w:u w:val="none"/>
        </w:rPr>
      </w:pPr>
      <w:r>
        <w:t>Félicite</w:t>
      </w:r>
      <w:r>
        <w:rPr>
          <w:u w:val="none"/>
        </w:rPr>
        <w:t xml:space="preserve"> le Comité pour les progrès accomplis en matière de gouvernance de la Convention et, en particulier, pour les travaux novateurs effectués à ce jour sur la mise au point d’un cadre global de résultats visant à mesurer l’impact de la Convention à différents niveaux, ainsi que pour les travaux du groupe de travail ad hoc mis en place par le Comité lors de sa onzième session ;</w:t>
      </w:r>
    </w:p>
    <w:p w14:paraId="719C7D63" w14:textId="77777777" w:rsidR="00AE0C2C" w:rsidRDefault="00AE0C2C" w:rsidP="00AE0C2C">
      <w:pPr>
        <w:pStyle w:val="COMParaDecision"/>
        <w:numPr>
          <w:ilvl w:val="0"/>
          <w:numId w:val="3"/>
        </w:numPr>
        <w:ind w:left="567" w:hanging="567"/>
        <w:rPr>
          <w:u w:val="none"/>
        </w:rPr>
      </w:pPr>
      <w:r>
        <w:t xml:space="preserve">Félicite en outre </w:t>
      </w:r>
      <w:r>
        <w:rPr>
          <w:u w:val="none"/>
        </w:rPr>
        <w:t xml:space="preserve">le Comité pour la priorité accordée au renforcement des capacités en vue de la mise en œuvre de la Convention au niveau national et </w:t>
      </w:r>
      <w:r>
        <w:t>accueille favorablement</w:t>
      </w:r>
      <w:r>
        <w:rPr>
          <w:u w:val="none"/>
        </w:rPr>
        <w:t xml:space="preserve"> la nouvelle attention qu’il accorde à l’inclusion de la sauvegarde du patrimoine culturel immatériel dans l’enseignement formel et non formel ;</w:t>
      </w:r>
    </w:p>
    <w:p w14:paraId="1B832219" w14:textId="77777777" w:rsidR="00AE0C2C" w:rsidRPr="005D60CA" w:rsidRDefault="00AE0C2C" w:rsidP="00AE0C2C">
      <w:pPr>
        <w:pStyle w:val="COMParaDecision"/>
        <w:numPr>
          <w:ilvl w:val="0"/>
          <w:numId w:val="3"/>
        </w:numPr>
        <w:ind w:left="567" w:hanging="567"/>
        <w:rPr>
          <w:u w:val="none"/>
        </w:rPr>
      </w:pPr>
      <w:r>
        <w:t>Apprécie</w:t>
      </w:r>
      <w:r>
        <w:rPr>
          <w:u w:val="none"/>
        </w:rPr>
        <w:t xml:space="preserve"> l’attention que le Comité a accordé à la nécessité d’améliorer la visibilité de la Convention en préparant des </w:t>
      </w:r>
      <w:r w:rsidRPr="00F246B2">
        <w:rPr>
          <w:u w:val="none"/>
        </w:rPr>
        <w:t>outils</w:t>
      </w:r>
      <w:r>
        <w:rPr>
          <w:u w:val="none"/>
        </w:rPr>
        <w:t xml:space="preserve"> de diffusion et de communication à cet effet ;</w:t>
      </w:r>
    </w:p>
    <w:p w14:paraId="10BFD88D" w14:textId="4F422660" w:rsidR="00AE0C2C" w:rsidRPr="00D52C71" w:rsidRDefault="00AE0C2C" w:rsidP="00AE0C2C">
      <w:pPr>
        <w:pStyle w:val="COMParaDecision"/>
        <w:numPr>
          <w:ilvl w:val="0"/>
          <w:numId w:val="3"/>
        </w:numPr>
        <w:ind w:left="567" w:hanging="567"/>
        <w:rPr>
          <w:u w:val="none"/>
        </w:rPr>
      </w:pPr>
      <w:r w:rsidRPr="00F176ED">
        <w:t>Reconna</w:t>
      </w:r>
      <w:r w:rsidR="00500445">
        <w:t>î</w:t>
      </w:r>
      <w:r w:rsidRPr="00F176ED">
        <w:t>t</w:t>
      </w:r>
      <w:r w:rsidRPr="000C383C">
        <w:t xml:space="preserve"> avec satisfaction</w:t>
      </w:r>
      <w:r>
        <w:rPr>
          <w:u w:val="none"/>
        </w:rPr>
        <w:t xml:space="preserve"> l’intérêt continu manifesté par les États parties vis-à-vis des mécanismes de coopération internationale de la Convention, parmi lesquels la Liste du patrimoine culturel immatériel nécessitant une sauvegarde urgente, la Liste représentative du patrimoine culturel immatériel de l’humanité, le Registre de bonnes pratiques de sauvegarde et l’assistance internationale ;</w:t>
      </w:r>
    </w:p>
    <w:p w14:paraId="2AE346EE" w14:textId="77777777" w:rsidR="00AE0C2C" w:rsidRPr="001F1F30" w:rsidRDefault="00AE0C2C" w:rsidP="00AE0C2C">
      <w:pPr>
        <w:pStyle w:val="5GAParaResolution"/>
        <w:numPr>
          <w:ilvl w:val="0"/>
          <w:numId w:val="3"/>
        </w:numPr>
        <w:ind w:left="567" w:hanging="567"/>
      </w:pPr>
      <w:r>
        <w:rPr>
          <w:u w:val="single"/>
        </w:rPr>
        <w:t>Demande</w:t>
      </w:r>
      <w:r>
        <w:t xml:space="preserve"> à la Directrice générale de porter ce rapport à l’attention de la Conférence générale de l’UNESCO, conformément au paragraphe 2 de l’article 30 de la Convention.</w:t>
      </w:r>
    </w:p>
    <w:p w14:paraId="1206A75A" w14:textId="16CBCE09" w:rsidR="00BC149D" w:rsidRPr="0049163C" w:rsidRDefault="00BC149D" w:rsidP="00EB5519">
      <w:pPr>
        <w:pStyle w:val="GATitleResolution"/>
        <w:ind w:left="567" w:hanging="567"/>
      </w:pPr>
      <w:r w:rsidRPr="0049163C">
        <w:t xml:space="preserve">RÉSOLUTION </w:t>
      </w:r>
      <w:r w:rsidR="00AE0C2C">
        <w:t>7</w:t>
      </w:r>
      <w:r w:rsidRPr="0049163C">
        <w:t>.GA 6</w:t>
      </w:r>
    </w:p>
    <w:p w14:paraId="499322EC" w14:textId="77777777" w:rsidR="00AE0C2C" w:rsidRPr="00D96C6F" w:rsidRDefault="00AE0C2C" w:rsidP="00AE0C2C">
      <w:pPr>
        <w:pStyle w:val="GAPreambulaResolution"/>
      </w:pPr>
      <w:r>
        <w:t>L’Assemblée générale</w:t>
      </w:r>
      <w:r w:rsidRPr="00D96C6F">
        <w:t>,</w:t>
      </w:r>
    </w:p>
    <w:p w14:paraId="2CAF88E2" w14:textId="6ECD460D" w:rsidR="00AE0C2C" w:rsidRPr="00D96C6F" w:rsidRDefault="00AE0C2C" w:rsidP="00655685">
      <w:pPr>
        <w:pStyle w:val="COMParaDecision"/>
        <w:numPr>
          <w:ilvl w:val="0"/>
          <w:numId w:val="9"/>
        </w:numPr>
        <w:ind w:left="567" w:hanging="567"/>
        <w:jc w:val="left"/>
      </w:pPr>
      <w:r w:rsidRPr="00D96C6F">
        <w:t>Ayant examiné</w:t>
      </w:r>
      <w:r w:rsidRPr="00D96C6F">
        <w:rPr>
          <w:u w:val="none"/>
        </w:rPr>
        <w:t xml:space="preserve"> le document </w:t>
      </w:r>
      <w:hyperlink r:id="rId13" w:history="1">
        <w:r w:rsidRPr="00B037E4">
          <w:rPr>
            <w:rStyle w:val="Hyperlink"/>
          </w:rPr>
          <w:t>ITH/18/7.GA/6</w:t>
        </w:r>
      </w:hyperlink>
      <w:r w:rsidRPr="00D96C6F">
        <w:rPr>
          <w:u w:val="none"/>
        </w:rPr>
        <w:t>,</w:t>
      </w:r>
    </w:p>
    <w:p w14:paraId="65231513" w14:textId="16BEB701" w:rsidR="00AE0C2C" w:rsidRPr="00D96C6F" w:rsidRDefault="00AE0C2C" w:rsidP="00655685">
      <w:pPr>
        <w:pStyle w:val="COMParaDecision"/>
        <w:numPr>
          <w:ilvl w:val="0"/>
          <w:numId w:val="9"/>
        </w:numPr>
        <w:ind w:left="567" w:hanging="567"/>
        <w:jc w:val="left"/>
        <w:rPr>
          <w:u w:val="none"/>
        </w:rPr>
      </w:pPr>
      <w:r w:rsidRPr="00D96C6F">
        <w:t>Rappelant</w:t>
      </w:r>
      <w:r>
        <w:rPr>
          <w:u w:val="none"/>
        </w:rPr>
        <w:t xml:space="preserve"> l</w:t>
      </w:r>
      <w:r w:rsidRPr="00D96C6F">
        <w:rPr>
          <w:u w:val="none"/>
        </w:rPr>
        <w:t xml:space="preserve">es décisions </w:t>
      </w:r>
      <w:hyperlink r:id="rId14" w:history="1">
        <w:r w:rsidRPr="00B037E4">
          <w:rPr>
            <w:rStyle w:val="Hyperlink"/>
          </w:rPr>
          <w:t>11.COM 10</w:t>
        </w:r>
      </w:hyperlink>
      <w:r w:rsidRPr="00D96C6F">
        <w:rPr>
          <w:u w:val="none"/>
        </w:rPr>
        <w:t xml:space="preserve"> et </w:t>
      </w:r>
      <w:hyperlink r:id="rId15" w:history="1">
        <w:r w:rsidRPr="00B037E4">
          <w:rPr>
            <w:rStyle w:val="Hyperlink"/>
          </w:rPr>
          <w:t>12.COM 13</w:t>
        </w:r>
      </w:hyperlink>
      <w:r w:rsidRPr="00D96C6F">
        <w:rPr>
          <w:u w:val="none"/>
        </w:rPr>
        <w:t>,</w:t>
      </w:r>
    </w:p>
    <w:p w14:paraId="0DEC64FA" w14:textId="77777777" w:rsidR="00AE0C2C" w:rsidRPr="00D96C6F" w:rsidRDefault="00AE0C2C" w:rsidP="00655685">
      <w:pPr>
        <w:pStyle w:val="COMParaDecision"/>
        <w:numPr>
          <w:ilvl w:val="0"/>
          <w:numId w:val="9"/>
        </w:numPr>
        <w:ind w:left="567" w:hanging="567"/>
        <w:jc w:val="left"/>
        <w:rPr>
          <w:u w:val="none"/>
        </w:rPr>
      </w:pPr>
      <w:r w:rsidRPr="00D96C6F">
        <w:t xml:space="preserve">Rappelant </w:t>
      </w:r>
      <w:r>
        <w:t>en outre</w:t>
      </w:r>
      <w:r w:rsidRPr="00D96C6F">
        <w:rPr>
          <w:u w:val="none"/>
        </w:rPr>
        <w:t xml:space="preserve"> les chapitres I.8 et I.10 des Directives opérationnelles,</w:t>
      </w:r>
    </w:p>
    <w:p w14:paraId="40EA93F3" w14:textId="23F8D11B" w:rsidR="00AE0C2C" w:rsidRDefault="00AE0C2C" w:rsidP="00655685">
      <w:pPr>
        <w:pStyle w:val="COMParaDecision"/>
        <w:numPr>
          <w:ilvl w:val="0"/>
          <w:numId w:val="9"/>
        </w:numPr>
        <w:ind w:left="567" w:hanging="567"/>
        <w:rPr>
          <w:u w:val="none"/>
        </w:rPr>
      </w:pPr>
      <w:r w:rsidRPr="00D96C6F">
        <w:t>Félicite</w:t>
      </w:r>
      <w:r w:rsidRPr="00D96C6F">
        <w:rPr>
          <w:u w:val="none"/>
        </w:rPr>
        <w:t xml:space="preserve"> le groupe de travail informel ad hoc pour son travail au cours de l’année 2017 et </w:t>
      </w:r>
      <w:r w:rsidRPr="00D96C6F">
        <w:t>prend note</w:t>
      </w:r>
      <w:r w:rsidRPr="00D96C6F">
        <w:rPr>
          <w:u w:val="none"/>
        </w:rPr>
        <w:t xml:space="preserve"> de son rapport ;</w:t>
      </w:r>
    </w:p>
    <w:p w14:paraId="1B7ABC79" w14:textId="37C7186D" w:rsidR="00BA05DD" w:rsidRPr="00D96C6F" w:rsidRDefault="00BA05DD" w:rsidP="00857276">
      <w:pPr>
        <w:pStyle w:val="COMParaDecision"/>
        <w:keepLines/>
        <w:numPr>
          <w:ilvl w:val="0"/>
          <w:numId w:val="9"/>
        </w:numPr>
        <w:ind w:left="567" w:hanging="567"/>
        <w:rPr>
          <w:u w:val="none"/>
        </w:rPr>
      </w:pPr>
      <w:r w:rsidRPr="00CC23A6">
        <w:lastRenderedPageBreak/>
        <w:t>Reconna</w:t>
      </w:r>
      <w:r w:rsidR="00500445">
        <w:t>î</w:t>
      </w:r>
      <w:r w:rsidRPr="00CC23A6">
        <w:t>t</w:t>
      </w:r>
      <w:r>
        <w:rPr>
          <w:u w:val="none"/>
        </w:rPr>
        <w:t xml:space="preserve"> l’importance du dialogue pour améliorer le processus d’évaluation et la nécessité de développer, dans le cadre du groupe de travail informel ad hoc et du Comité intergouvernemental, un mécanisme </w:t>
      </w:r>
      <w:r w:rsidR="00415AF0">
        <w:rPr>
          <w:u w:val="none"/>
        </w:rPr>
        <w:t>approprié</w:t>
      </w:r>
      <w:r>
        <w:rPr>
          <w:u w:val="none"/>
        </w:rPr>
        <w:t xml:space="preserve"> pour renforcer la transparence et la crédibilité en consultation avec l’Organe d’évaluation ;</w:t>
      </w:r>
    </w:p>
    <w:p w14:paraId="023AB5E9" w14:textId="28098B69" w:rsidR="00AE0C2C" w:rsidRPr="00D96C6F" w:rsidRDefault="00AE0C2C" w:rsidP="00655685">
      <w:pPr>
        <w:pStyle w:val="COMParaDecision"/>
        <w:numPr>
          <w:ilvl w:val="0"/>
          <w:numId w:val="9"/>
        </w:numPr>
        <w:ind w:left="567" w:hanging="567"/>
      </w:pPr>
      <w:r w:rsidRPr="00D96C6F">
        <w:t>Demande</w:t>
      </w:r>
      <w:r w:rsidRPr="00D96C6F">
        <w:rPr>
          <w:u w:val="none"/>
        </w:rPr>
        <w:t xml:space="preserve"> au groupe de travail informel ad hoc de présenter ses délibérations et recommandations lors de la treizième session du Comité, en prenant en compte la redéfinition de son mandat pour l’année 2018</w:t>
      </w:r>
      <w:r w:rsidR="00201966">
        <w:rPr>
          <w:u w:val="none"/>
        </w:rPr>
        <w:t>,</w:t>
      </w:r>
      <w:r w:rsidR="00201966" w:rsidRPr="00201966">
        <w:rPr>
          <w:u w:val="none"/>
        </w:rPr>
        <w:t xml:space="preserve"> </w:t>
      </w:r>
      <w:r w:rsidR="00201966">
        <w:rPr>
          <w:u w:val="none"/>
        </w:rPr>
        <w:t>ainsi que les discussions qui se sont tenues pendant la septième session de l’Assemblée générale</w:t>
      </w:r>
      <w:r w:rsidRPr="00D96C6F">
        <w:rPr>
          <w:u w:val="none"/>
        </w:rPr>
        <w:t>.</w:t>
      </w:r>
    </w:p>
    <w:p w14:paraId="0CBC4666" w14:textId="1E0B4F09" w:rsidR="00514793" w:rsidRPr="0049163C" w:rsidRDefault="00514793" w:rsidP="00514793">
      <w:pPr>
        <w:pStyle w:val="GATitleResolution"/>
      </w:pPr>
      <w:r w:rsidRPr="0049163C">
        <w:t>RÉSOLUTION </w:t>
      </w:r>
      <w:r w:rsidR="00AE0C2C">
        <w:t>7</w:t>
      </w:r>
      <w:r w:rsidRPr="0049163C">
        <w:t>.GA 7</w:t>
      </w:r>
    </w:p>
    <w:p w14:paraId="210717A1" w14:textId="77777777" w:rsidR="00AE0C2C" w:rsidRPr="00FD624F" w:rsidRDefault="00AE0C2C" w:rsidP="00AE0C2C">
      <w:pPr>
        <w:pStyle w:val="GAPreambulaResolution"/>
      </w:pPr>
      <w:r>
        <w:t>L’Assemblée générale,</w:t>
      </w:r>
    </w:p>
    <w:p w14:paraId="282235B6" w14:textId="29166C2A" w:rsidR="00AE0C2C" w:rsidRDefault="00AE0C2C" w:rsidP="00655685">
      <w:pPr>
        <w:pStyle w:val="COMParaDecision"/>
        <w:numPr>
          <w:ilvl w:val="0"/>
          <w:numId w:val="10"/>
        </w:numPr>
        <w:ind w:left="567" w:hanging="567"/>
      </w:pPr>
      <w:r>
        <w:t>Ayant examiné</w:t>
      </w:r>
      <w:r>
        <w:rPr>
          <w:u w:val="none"/>
        </w:rPr>
        <w:t xml:space="preserve"> le document </w:t>
      </w:r>
      <w:hyperlink r:id="rId16" w:history="1">
        <w:r w:rsidRPr="00B037E4">
          <w:rPr>
            <w:rStyle w:val="Hyperlink"/>
          </w:rPr>
          <w:t>ITH/18/7.GA/7</w:t>
        </w:r>
      </w:hyperlink>
      <w:r>
        <w:rPr>
          <w:u w:val="none"/>
        </w:rPr>
        <w:t>,</w:t>
      </w:r>
    </w:p>
    <w:p w14:paraId="43733FC3" w14:textId="6C00E87C" w:rsidR="00AE0C2C" w:rsidRPr="00A60DF5" w:rsidRDefault="00AE0C2C" w:rsidP="00655685">
      <w:pPr>
        <w:pStyle w:val="COMParaDecision"/>
        <w:numPr>
          <w:ilvl w:val="0"/>
          <w:numId w:val="10"/>
        </w:numPr>
        <w:ind w:left="567" w:hanging="567"/>
        <w:rPr>
          <w:u w:val="none"/>
        </w:rPr>
      </w:pPr>
      <w:r>
        <w:t>Félicite</w:t>
      </w:r>
      <w:r>
        <w:rPr>
          <w:u w:val="none"/>
        </w:rPr>
        <w:t xml:space="preserve"> le Secrétariat pour le soutien continu et opportun qu’il a apporté </w:t>
      </w:r>
      <w:r w:rsidR="00196759">
        <w:rPr>
          <w:u w:val="none"/>
        </w:rPr>
        <w:t>pour la bonne gouvernance de la</w:t>
      </w:r>
      <w:r>
        <w:rPr>
          <w:u w:val="none"/>
        </w:rPr>
        <w:t xml:space="preserve"> Convention et pour sa gestion des divers mécanismes prévus dans la Convention,</w:t>
      </w:r>
      <w:r>
        <w:rPr>
          <w:bCs/>
          <w:u w:val="none"/>
        </w:rPr>
        <w:t xml:space="preserve"> reconnaissant également le nombre des initiatives prises pour améliorer les méthodes de travail et la quantité importante de ressources nécessaires ;</w:t>
      </w:r>
    </w:p>
    <w:p w14:paraId="376201F8" w14:textId="77777777" w:rsidR="00AE0C2C" w:rsidRPr="00947905" w:rsidRDefault="00AE0C2C" w:rsidP="00655685">
      <w:pPr>
        <w:pStyle w:val="COMParaDecision"/>
        <w:numPr>
          <w:ilvl w:val="0"/>
          <w:numId w:val="10"/>
        </w:numPr>
        <w:ind w:left="567" w:hanging="567"/>
        <w:rPr>
          <w:u w:val="none"/>
        </w:rPr>
      </w:pPr>
      <w:r>
        <w:t>Félicite également</w:t>
      </w:r>
      <w:r>
        <w:rPr>
          <w:u w:val="none"/>
        </w:rPr>
        <w:t xml:space="preserve"> le Secrétariat pour les efforts déployés dans le cadre du soutien au mécanisme d’assistance internationale et </w:t>
      </w:r>
      <w:r>
        <w:t>encourage</w:t>
      </w:r>
      <w:r>
        <w:rPr>
          <w:u w:val="none"/>
        </w:rPr>
        <w:t xml:space="preserve"> le Secrétariat à les poursuivre, en s’efforçant de donner aux États Parties un meilleur accès au Fonds et en améliorant le suivi et l’évaluation de l’impact des projets menés au titre de l’assistance internationale ;</w:t>
      </w:r>
    </w:p>
    <w:p w14:paraId="45F250AC" w14:textId="2FFECC07" w:rsidR="00AE0C2C" w:rsidRPr="00A60DF5" w:rsidRDefault="00AE0C2C" w:rsidP="00655685">
      <w:pPr>
        <w:pStyle w:val="COMParaDecision"/>
        <w:numPr>
          <w:ilvl w:val="0"/>
          <w:numId w:val="10"/>
        </w:numPr>
        <w:ind w:left="567" w:hanging="567"/>
      </w:pPr>
      <w:r>
        <w:t>Remercie</w:t>
      </w:r>
      <w:r>
        <w:rPr>
          <w:u w:val="none"/>
        </w:rPr>
        <w:t xml:space="preserve"> le Secrétariat pour le soutien indispensable fourni en vue de l’élaboration d’un cadre global de résultats pour la mise en œuvre de la Convention, </w:t>
      </w:r>
      <w:r w:rsidR="00737590">
        <w:rPr>
          <w:u w:val="none"/>
        </w:rPr>
        <w:t xml:space="preserve">dans le but de constituer </w:t>
      </w:r>
      <w:r>
        <w:rPr>
          <w:u w:val="none"/>
        </w:rPr>
        <w:t>un outil important pour évaluer les impacts de la Convention à différents niveaux ;</w:t>
      </w:r>
    </w:p>
    <w:p w14:paraId="7C0DBE8E" w14:textId="77777777" w:rsidR="00AE0C2C" w:rsidRPr="00A60DF5" w:rsidRDefault="00AE0C2C" w:rsidP="00655685">
      <w:pPr>
        <w:pStyle w:val="COMParaDecision"/>
        <w:numPr>
          <w:ilvl w:val="0"/>
          <w:numId w:val="10"/>
        </w:numPr>
        <w:ind w:left="567" w:hanging="567"/>
        <w:rPr>
          <w:u w:val="none"/>
        </w:rPr>
      </w:pPr>
      <w:r>
        <w:t>Apprécie</w:t>
      </w:r>
      <w:r>
        <w:rPr>
          <w:u w:val="none"/>
        </w:rPr>
        <w:t xml:space="preserve"> les efforts persistants déployés par le Secrétariat pour renforcer les capacités nationales des États parties en matière de sauvegarde du patrimoine culturel immatériel par le biais du programme mondial de renforcement des capacités et de son réseau de facilitateurs, et </w:t>
      </w:r>
      <w:r>
        <w:t>salue</w:t>
      </w:r>
      <w:r>
        <w:rPr>
          <w:u w:val="none"/>
        </w:rPr>
        <w:t xml:space="preserve"> le travail accompli pour réorienter l’approche stratégique afin que le programme reste pertinent en tenant compte de l’évolution des besoins des États parties dans ce domaine, ainsi que du contexte international général dans lequel la Convention est mise en œuvre ;</w:t>
      </w:r>
    </w:p>
    <w:p w14:paraId="36545941" w14:textId="77777777" w:rsidR="00AE0C2C" w:rsidRPr="00A60DF5" w:rsidRDefault="00AE0C2C" w:rsidP="00655685">
      <w:pPr>
        <w:pStyle w:val="COMParaDecision"/>
        <w:numPr>
          <w:ilvl w:val="0"/>
          <w:numId w:val="10"/>
        </w:numPr>
        <w:ind w:left="567" w:hanging="567"/>
        <w:rPr>
          <w:u w:val="none"/>
        </w:rPr>
      </w:pPr>
      <w:r>
        <w:t>Souligne</w:t>
      </w:r>
      <w:r>
        <w:rPr>
          <w:u w:val="none"/>
        </w:rPr>
        <w:t xml:space="preserve"> le rôle fondamental joué par l’éducation dans la sauvegarde du patrimoine mondial immatériel à travers sa transmission et</w:t>
      </w:r>
      <w:r w:rsidRPr="00374AFD">
        <w:rPr>
          <w:u w:val="none"/>
        </w:rPr>
        <w:t xml:space="preserve"> </w:t>
      </w:r>
      <w:r>
        <w:t>accueille favorablement</w:t>
      </w:r>
      <w:r>
        <w:rPr>
          <w:u w:val="none"/>
        </w:rPr>
        <w:t xml:space="preserve"> l’approbation d’une nouvelle priorité de financement pour la mise en œuvre de la Convention, qui va dans ce sens ;</w:t>
      </w:r>
    </w:p>
    <w:p w14:paraId="5CF0DC44" w14:textId="557DCEC0" w:rsidR="00AE0C2C" w:rsidRPr="00A60DF5" w:rsidRDefault="00AE0C2C" w:rsidP="00655685">
      <w:pPr>
        <w:pStyle w:val="COMParaDecision"/>
        <w:numPr>
          <w:ilvl w:val="0"/>
          <w:numId w:val="10"/>
        </w:numPr>
        <w:ind w:left="567" w:hanging="567"/>
        <w:rPr>
          <w:u w:val="none"/>
        </w:rPr>
      </w:pPr>
      <w:r>
        <w:t>Se félicite</w:t>
      </w:r>
      <w:r w:rsidRPr="003074FE">
        <w:rPr>
          <w:u w:val="none"/>
        </w:rPr>
        <w:t xml:space="preserve"> </w:t>
      </w:r>
      <w:r>
        <w:rPr>
          <w:u w:val="none"/>
        </w:rPr>
        <w:t xml:space="preserve">de l’initiative visant à développer un plan de communication et d’information qui permettra de sensibiliser davantage </w:t>
      </w:r>
      <w:r w:rsidR="00737590">
        <w:rPr>
          <w:u w:val="none"/>
        </w:rPr>
        <w:t xml:space="preserve">à l’importance de la Convention </w:t>
      </w:r>
      <w:r>
        <w:rPr>
          <w:u w:val="none"/>
        </w:rPr>
        <w:t>et d’accroître la visibilité de la Convention</w:t>
      </w:r>
      <w:r w:rsidR="00737590">
        <w:rPr>
          <w:u w:val="none"/>
        </w:rPr>
        <w:t>, ainsi que la recherche de ressources extrabudgétaires</w:t>
      </w:r>
      <w:r>
        <w:rPr>
          <w:u w:val="none"/>
        </w:rPr>
        <w:t> ;</w:t>
      </w:r>
    </w:p>
    <w:p w14:paraId="1F3F0BC0" w14:textId="31D1BE48" w:rsidR="00AE0C2C" w:rsidRPr="00A60DF5" w:rsidRDefault="00AE0C2C" w:rsidP="00655685">
      <w:pPr>
        <w:pStyle w:val="COMParaDecision"/>
        <w:numPr>
          <w:ilvl w:val="0"/>
          <w:numId w:val="10"/>
        </w:numPr>
        <w:ind w:left="567" w:hanging="567"/>
        <w:rPr>
          <w:u w:val="none"/>
        </w:rPr>
      </w:pPr>
      <w:r>
        <w:t>Prend note</w:t>
      </w:r>
      <w:r>
        <w:rPr>
          <w:u w:val="none"/>
        </w:rPr>
        <w:t xml:space="preserve"> de la pertinence croissante de la Convention dans le contexte international des situations d’urgence</w:t>
      </w:r>
      <w:r w:rsidR="005E4A5F">
        <w:rPr>
          <w:u w:val="none"/>
        </w:rPr>
        <w:t>,</w:t>
      </w:r>
      <w:r>
        <w:rPr>
          <w:u w:val="none"/>
        </w:rPr>
        <w:t xml:space="preserve"> </w:t>
      </w:r>
      <w:r w:rsidR="00196759" w:rsidRPr="00374AFD">
        <w:t>reconna</w:t>
      </w:r>
      <w:r w:rsidR="00500445">
        <w:t>î</w:t>
      </w:r>
      <w:r w:rsidR="00196759" w:rsidRPr="00374AFD">
        <w:t>t</w:t>
      </w:r>
      <w:r w:rsidR="00196759">
        <w:rPr>
          <w:u w:val="none"/>
        </w:rPr>
        <w:t xml:space="preserve"> </w:t>
      </w:r>
      <w:r>
        <w:rPr>
          <w:u w:val="none"/>
        </w:rPr>
        <w:t>le rôle du patrimoine culturel immatériel en tant que puissant vecteur de résilience et de redressement</w:t>
      </w:r>
      <w:r w:rsidR="005E4A5F">
        <w:rPr>
          <w:u w:val="none"/>
        </w:rPr>
        <w:t>,</w:t>
      </w:r>
      <w:r w:rsidR="00737590" w:rsidRPr="00737590">
        <w:rPr>
          <w:u w:val="none"/>
        </w:rPr>
        <w:t xml:space="preserve"> </w:t>
      </w:r>
      <w:r w:rsidR="00737590">
        <w:rPr>
          <w:u w:val="none"/>
        </w:rPr>
        <w:t xml:space="preserve">et </w:t>
      </w:r>
      <w:r w:rsidR="00737590" w:rsidRPr="00CC23A6">
        <w:t>demande</w:t>
      </w:r>
      <w:r w:rsidR="00737590">
        <w:rPr>
          <w:u w:val="none"/>
        </w:rPr>
        <w:t xml:space="preserve"> au Secrétariat de poursuivre ses efforts dans le cadre de la </w:t>
      </w:r>
      <w:r w:rsidR="00737590" w:rsidRPr="00CC23A6">
        <w:rPr>
          <w:u w:val="none"/>
        </w:rPr>
        <w:t xml:space="preserve">Stratégie de renforcement de l’action de l’UNESCO </w:t>
      </w:r>
      <w:r w:rsidR="00DE032F">
        <w:rPr>
          <w:u w:val="none"/>
        </w:rPr>
        <w:t xml:space="preserve">pour la </w:t>
      </w:r>
      <w:r w:rsidR="00737590" w:rsidRPr="00CC23A6">
        <w:rPr>
          <w:u w:val="none"/>
        </w:rPr>
        <w:t xml:space="preserve">protection </w:t>
      </w:r>
      <w:r w:rsidR="00DE032F">
        <w:rPr>
          <w:u w:val="none"/>
        </w:rPr>
        <w:t xml:space="preserve">de la culture </w:t>
      </w:r>
      <w:r w:rsidR="00737590" w:rsidRPr="00CC23A6">
        <w:rPr>
          <w:u w:val="none"/>
        </w:rPr>
        <w:t xml:space="preserve">et </w:t>
      </w:r>
      <w:r w:rsidR="00DE032F">
        <w:rPr>
          <w:u w:val="none"/>
        </w:rPr>
        <w:t xml:space="preserve">la </w:t>
      </w:r>
      <w:r w:rsidR="00737590" w:rsidRPr="00CC23A6">
        <w:rPr>
          <w:u w:val="none"/>
        </w:rPr>
        <w:t>promotion du pluralisme culturel en cas de conflit armé et de son Plan d’action, ainsi que de l’</w:t>
      </w:r>
      <w:hyperlink r:id="rId17" w:history="1">
        <w:r w:rsidR="00737590" w:rsidRPr="00CC23A6">
          <w:rPr>
            <w:u w:val="none"/>
          </w:rPr>
          <w:t>Addendum à la Stratégie relatif aux situations d’urgence associées à des catastrophes dues à des aléas d’origine naturelle ou humaine</w:t>
        </w:r>
      </w:hyperlink>
      <w:r>
        <w:rPr>
          <w:u w:val="none"/>
        </w:rPr>
        <w:t> ;</w:t>
      </w:r>
    </w:p>
    <w:p w14:paraId="50B27F91" w14:textId="77777777" w:rsidR="00AE0C2C" w:rsidRPr="00390923" w:rsidRDefault="00AE0C2C" w:rsidP="00655685">
      <w:pPr>
        <w:pStyle w:val="COMParaDecision"/>
        <w:numPr>
          <w:ilvl w:val="0"/>
          <w:numId w:val="10"/>
        </w:numPr>
        <w:ind w:left="567" w:hanging="567"/>
        <w:rPr>
          <w:u w:val="none"/>
        </w:rPr>
      </w:pPr>
      <w:r>
        <w:t>Appelle</w:t>
      </w:r>
      <w:r>
        <w:rPr>
          <w:u w:val="none"/>
        </w:rPr>
        <w:t xml:space="preserve"> une nouvelle fois les États parties à apporter leur soutien, notamment sous la forme de contributions au Fonds du patrimoine culturel immatériel pour les projets opérationnels et de contributions au sous-fonds pour le renforcement des ressources humaines du Secrétariat afin de lui permettre de répondre au nombre croissant de demandes relatives à la bonne gouvernance et la mise en œuvre de la Convention, et ce de manière continue ;</w:t>
      </w:r>
    </w:p>
    <w:p w14:paraId="6AD4CE11" w14:textId="7D191C3D" w:rsidR="00AE0C2C" w:rsidRDefault="00AE0C2C" w:rsidP="00655685">
      <w:pPr>
        <w:pStyle w:val="COMParaDecision"/>
        <w:numPr>
          <w:ilvl w:val="0"/>
          <w:numId w:val="10"/>
        </w:numPr>
        <w:ind w:left="567" w:hanging="567"/>
        <w:rPr>
          <w:u w:val="none"/>
        </w:rPr>
      </w:pPr>
      <w:r>
        <w:t>Demande</w:t>
      </w:r>
      <w:r>
        <w:rPr>
          <w:u w:val="none"/>
        </w:rPr>
        <w:t xml:space="preserve"> au Secrétariat de lui rendre compte de ses activités menées entre juin 2018 et décembre 2019, en vue d’un examen par l’Assemblée générale lors de sa huitième session</w:t>
      </w:r>
      <w:r w:rsidR="00737590">
        <w:rPr>
          <w:u w:val="none"/>
        </w:rPr>
        <w:t> ;</w:t>
      </w:r>
    </w:p>
    <w:p w14:paraId="6BCEF0A2" w14:textId="04184210" w:rsidR="00737590" w:rsidRPr="00A60DF5" w:rsidRDefault="00737590" w:rsidP="00655685">
      <w:pPr>
        <w:pStyle w:val="COMParaDecision"/>
        <w:numPr>
          <w:ilvl w:val="0"/>
          <w:numId w:val="10"/>
        </w:numPr>
        <w:ind w:left="567" w:hanging="567"/>
        <w:rPr>
          <w:u w:val="none"/>
        </w:rPr>
      </w:pPr>
      <w:r w:rsidRPr="00CC23A6">
        <w:lastRenderedPageBreak/>
        <w:t>Prend note</w:t>
      </w:r>
      <w:r>
        <w:rPr>
          <w:u w:val="none"/>
        </w:rPr>
        <w:t xml:space="preserve"> du processus de réflexion en cours sur les </w:t>
      </w:r>
      <w:r w:rsidR="00415AF0">
        <w:rPr>
          <w:u w:val="none"/>
        </w:rPr>
        <w:t>moyens potentiels de</w:t>
      </w:r>
      <w:r>
        <w:rPr>
          <w:u w:val="none"/>
        </w:rPr>
        <w:t xml:space="preserve"> participation des ONG au titre de la Convention de 2003 pourrait être renforcée, ainsi que de la discussion lors de sa septième session.</w:t>
      </w:r>
    </w:p>
    <w:p w14:paraId="2BFBD663" w14:textId="75150071" w:rsidR="00514793" w:rsidRPr="0049163C" w:rsidRDefault="00B33257" w:rsidP="00514793">
      <w:pPr>
        <w:pStyle w:val="GATitleResolution"/>
      </w:pPr>
      <w:r w:rsidRPr="0049163C">
        <w:t xml:space="preserve">RÉSOLUTION </w:t>
      </w:r>
      <w:r w:rsidR="00AE0C2C">
        <w:t>7</w:t>
      </w:r>
      <w:r w:rsidRPr="0049163C">
        <w:t>.GA 8</w:t>
      </w:r>
    </w:p>
    <w:p w14:paraId="2B52F0F2" w14:textId="77777777" w:rsidR="00AE0C2C" w:rsidRPr="000C3818" w:rsidRDefault="00AE0C2C" w:rsidP="00AE0C2C">
      <w:pPr>
        <w:pStyle w:val="GAPreambulaResolution"/>
      </w:pPr>
      <w:r>
        <w:t>L’Assemblée générale,</w:t>
      </w:r>
    </w:p>
    <w:p w14:paraId="27F24D4E" w14:textId="015DB77E" w:rsidR="00AE0C2C" w:rsidRPr="00C24505" w:rsidRDefault="00AE0C2C" w:rsidP="00AE0C2C">
      <w:pPr>
        <w:pStyle w:val="ListParagraph"/>
        <w:keepNext/>
        <w:numPr>
          <w:ilvl w:val="0"/>
          <w:numId w:val="5"/>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les documents </w:t>
      </w:r>
      <w:hyperlink r:id="rId18" w:history="1">
        <w:r w:rsidRPr="00B037E4">
          <w:rPr>
            <w:rStyle w:val="Hyperlink"/>
            <w:rFonts w:ascii="Arial" w:hAnsi="Arial"/>
            <w:sz w:val="22"/>
            <w:szCs w:val="22"/>
          </w:rPr>
          <w:t>ITH/18/7.GA/8</w:t>
        </w:r>
      </w:hyperlink>
      <w:r>
        <w:rPr>
          <w:rFonts w:ascii="Arial" w:hAnsi="Arial"/>
          <w:sz w:val="22"/>
          <w:szCs w:val="22"/>
        </w:rPr>
        <w:t xml:space="preserve"> et </w:t>
      </w:r>
      <w:hyperlink r:id="rId19" w:history="1">
        <w:r w:rsidRPr="00B037E4">
          <w:rPr>
            <w:rStyle w:val="Hyperlink"/>
            <w:rFonts w:ascii="Arial" w:hAnsi="Arial"/>
            <w:sz w:val="22"/>
            <w:szCs w:val="22"/>
          </w:rPr>
          <w:t>ITH/18/7.GA/INF.8</w:t>
        </w:r>
      </w:hyperlink>
      <w:r>
        <w:rPr>
          <w:rFonts w:ascii="Arial" w:hAnsi="Arial"/>
          <w:sz w:val="22"/>
          <w:szCs w:val="22"/>
        </w:rPr>
        <w:t>,</w:t>
      </w:r>
    </w:p>
    <w:p w14:paraId="158C7790" w14:textId="567DA3B3" w:rsidR="00AE0C2C" w:rsidRPr="00C24505" w:rsidRDefault="00AE0C2C" w:rsidP="00AE0C2C">
      <w:pPr>
        <w:pStyle w:val="ListParagraph"/>
        <w:numPr>
          <w:ilvl w:val="0"/>
          <w:numId w:val="5"/>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l’article 7(c) de la Convention et les paragraphes 66 et 67 des </w:t>
      </w:r>
      <w:r w:rsidR="00F155F9">
        <w:rPr>
          <w:rFonts w:ascii="Arial" w:hAnsi="Arial"/>
          <w:sz w:val="22"/>
          <w:szCs w:val="22"/>
        </w:rPr>
        <w:t>D</w:t>
      </w:r>
      <w:r>
        <w:rPr>
          <w:rFonts w:ascii="Arial" w:hAnsi="Arial"/>
          <w:sz w:val="22"/>
          <w:szCs w:val="22"/>
        </w:rPr>
        <w:t>irectives opérationnelles,</w:t>
      </w:r>
    </w:p>
    <w:p w14:paraId="48D39B11" w14:textId="77777777" w:rsidR="00AE0C2C" w:rsidRPr="004D5962" w:rsidRDefault="00AE0C2C" w:rsidP="00AE0C2C">
      <w:pPr>
        <w:pStyle w:val="COMParaDecision"/>
        <w:numPr>
          <w:ilvl w:val="0"/>
          <w:numId w:val="5"/>
        </w:numPr>
        <w:ind w:left="567" w:hanging="567"/>
      </w:pPr>
      <w:r>
        <w:t>Prenant note</w:t>
      </w:r>
      <w:r>
        <w:rPr>
          <w:u w:val="none"/>
        </w:rPr>
        <w:t xml:space="preserve"> de la constante sous-utilisation du Fonds du patrimoine culturel immatériel, et en particulier de l’assistance internationale,</w:t>
      </w:r>
    </w:p>
    <w:p w14:paraId="78F0A726" w14:textId="26268A46" w:rsidR="00AE0C2C" w:rsidRPr="004D5962" w:rsidRDefault="00196759" w:rsidP="00AE0C2C">
      <w:pPr>
        <w:pStyle w:val="COMParaDecision"/>
        <w:numPr>
          <w:ilvl w:val="0"/>
          <w:numId w:val="5"/>
        </w:numPr>
        <w:ind w:left="567" w:hanging="567"/>
      </w:pPr>
      <w:r>
        <w:t>Reconna</w:t>
      </w:r>
      <w:r w:rsidR="00500445">
        <w:t>î</w:t>
      </w:r>
      <w:r>
        <w:t>t</w:t>
      </w:r>
      <w:r>
        <w:rPr>
          <w:u w:val="none"/>
        </w:rPr>
        <w:t xml:space="preserve"> </w:t>
      </w:r>
      <w:r w:rsidR="00AE0C2C">
        <w:rPr>
          <w:u w:val="none"/>
        </w:rPr>
        <w:t xml:space="preserve">la nécessité de renforcer les ressources humaines du Secrétariat pour mettre en œuvre les mécanismes d’assistance internationale du Fonds et en assurer un suivi efficace, et </w:t>
      </w:r>
      <w:r w:rsidR="00AE0C2C">
        <w:t>accueille favorablement</w:t>
      </w:r>
      <w:r w:rsidR="00AE0C2C">
        <w:rPr>
          <w:u w:val="none"/>
        </w:rPr>
        <w:t xml:space="preserve"> la proposition de création de trois nouveaux postes à durée déterminée financés à l’aide de fonds extrabudgétaires ;</w:t>
      </w:r>
    </w:p>
    <w:p w14:paraId="4349640D" w14:textId="36A0B6B5" w:rsidR="00AE0C2C" w:rsidRPr="00052470" w:rsidRDefault="00AE0C2C" w:rsidP="00AE0C2C">
      <w:pPr>
        <w:pStyle w:val="COMParaDecision"/>
        <w:numPr>
          <w:ilvl w:val="0"/>
          <w:numId w:val="5"/>
        </w:numPr>
        <w:ind w:left="567" w:hanging="567"/>
      </w:pPr>
      <w:r>
        <w:t>Demande</w:t>
      </w:r>
      <w:r>
        <w:rPr>
          <w:u w:val="none"/>
        </w:rPr>
        <w:t xml:space="preserve"> au Secrétariat de lancer, dès que possible, la procédure de recrutement des trois postes qui formeront une équipe dédiée à </w:t>
      </w:r>
      <w:r w:rsidR="008C12E1">
        <w:rPr>
          <w:u w:val="none"/>
        </w:rPr>
        <w:t xml:space="preserve">l’opérationnalisation de </w:t>
      </w:r>
      <w:r>
        <w:rPr>
          <w:u w:val="none"/>
        </w:rPr>
        <w:t>la mise en œuvre des mécanismes d’assistance internationale</w:t>
      </w:r>
      <w:r w:rsidR="00C15398">
        <w:rPr>
          <w:u w:val="none"/>
        </w:rPr>
        <w:t>,</w:t>
      </w:r>
      <w:r w:rsidR="00C15398" w:rsidRPr="00C15398">
        <w:rPr>
          <w:u w:val="none"/>
        </w:rPr>
        <w:t xml:space="preserve"> </w:t>
      </w:r>
      <w:r w:rsidR="00C15398">
        <w:rPr>
          <w:u w:val="none"/>
        </w:rPr>
        <w:t>conformément aux règles de recrutement de l’UNESCO et gardant à l’esprit la priorité aux candidats de pays en développement en vue de mieux répondre aux besoins spécifiques des pays en développement et d’améliorer la représentation géographique</w:t>
      </w:r>
      <w:r>
        <w:rPr>
          <w:u w:val="none"/>
        </w:rPr>
        <w:t> ;</w:t>
      </w:r>
    </w:p>
    <w:p w14:paraId="7745980F" w14:textId="7E488767" w:rsidR="00C15398" w:rsidRPr="00C24505" w:rsidRDefault="00C15398" w:rsidP="00AE0C2C">
      <w:pPr>
        <w:pStyle w:val="COMParaDecision"/>
        <w:numPr>
          <w:ilvl w:val="0"/>
          <w:numId w:val="5"/>
        </w:numPr>
        <w:ind w:left="567" w:hanging="567"/>
      </w:pPr>
      <w:r>
        <w:t>Demande</w:t>
      </w:r>
      <w:r w:rsidR="00B93246">
        <w:t xml:space="preserve"> également</w:t>
      </w:r>
      <w:r w:rsidRPr="00052470">
        <w:rPr>
          <w:u w:val="none"/>
        </w:rPr>
        <w:t xml:space="preserve"> au Secrétariat d’intensifier </w:t>
      </w:r>
      <w:r w:rsidR="008C12E1">
        <w:rPr>
          <w:u w:val="none"/>
        </w:rPr>
        <w:t>ses</w:t>
      </w:r>
      <w:r w:rsidRPr="00052470">
        <w:rPr>
          <w:u w:val="none"/>
        </w:rPr>
        <w:t xml:space="preserve"> efforts pour renforcer l’assistance internationale, notamment pour soutenir la préparation d’inventaires, le renforcement des capacités et la mise en œuvre de l’initiative visant à intégrer le patrimoine culturel immatériel dans l’enseignement formel et non formel, afin d’améliorer l’efficacité et la portée de la Convention aux niveaux national, régional et mondial ;</w:t>
      </w:r>
    </w:p>
    <w:p w14:paraId="71901B50" w14:textId="77777777" w:rsidR="00AE0C2C" w:rsidRPr="00C24505" w:rsidRDefault="00AE0C2C" w:rsidP="00AE0C2C">
      <w:pPr>
        <w:pStyle w:val="ListParagraph"/>
        <w:numPr>
          <w:ilvl w:val="0"/>
          <w:numId w:val="5"/>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le Plan d’utilisation des ressources du Fonds pour la période du 1</w:t>
      </w:r>
      <w:r>
        <w:rPr>
          <w:rFonts w:ascii="Arial" w:hAnsi="Arial"/>
          <w:sz w:val="22"/>
          <w:szCs w:val="22"/>
          <w:vertAlign w:val="superscript"/>
        </w:rPr>
        <w:t>er</w:t>
      </w:r>
      <w:r>
        <w:rPr>
          <w:rFonts w:ascii="Arial" w:hAnsi="Arial"/>
          <w:sz w:val="22"/>
          <w:szCs w:val="22"/>
        </w:rPr>
        <w:t> janvier 2018 au 31 décembre 2019 ainsi que pour la période du 1</w:t>
      </w:r>
      <w:r>
        <w:rPr>
          <w:rFonts w:ascii="Arial" w:hAnsi="Arial"/>
          <w:sz w:val="22"/>
          <w:szCs w:val="22"/>
          <w:vertAlign w:val="superscript"/>
        </w:rPr>
        <w:t>er</w:t>
      </w:r>
      <w:r>
        <w:rPr>
          <w:rFonts w:ascii="Arial" w:hAnsi="Arial"/>
          <w:sz w:val="22"/>
          <w:szCs w:val="22"/>
        </w:rPr>
        <w:t> janvier 2020 au 30 juin 2020, qui figure en annexe de la présente résolution ;</w:t>
      </w:r>
    </w:p>
    <w:p w14:paraId="4074CF0A" w14:textId="77777777" w:rsidR="00AE0C2C" w:rsidRDefault="00AE0C2C" w:rsidP="00AE0C2C">
      <w:pPr>
        <w:pStyle w:val="ListParagraph"/>
        <w:numPr>
          <w:ilvl w:val="0"/>
          <w:numId w:val="5"/>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szCs w:val="22"/>
          <w:u w:val="single"/>
        </w:rPr>
        <w:t>Comprend</w:t>
      </w:r>
      <w:r>
        <w:rPr>
          <w:rFonts w:ascii="Arial" w:hAnsi="Arial"/>
          <w:sz w:val="22"/>
          <w:szCs w:val="22"/>
        </w:rPr>
        <w:t xml:space="preserve"> qu’elle pourra, lors de sa huitième session en juin 2020, réajuster le plan budgétaire du 1</w:t>
      </w:r>
      <w:r>
        <w:rPr>
          <w:rFonts w:ascii="Arial" w:hAnsi="Arial"/>
          <w:sz w:val="22"/>
          <w:szCs w:val="22"/>
          <w:vertAlign w:val="superscript"/>
        </w:rPr>
        <w:t>er</w:t>
      </w:r>
      <w:r>
        <w:rPr>
          <w:rFonts w:ascii="Arial" w:hAnsi="Arial"/>
          <w:sz w:val="22"/>
          <w:szCs w:val="22"/>
        </w:rPr>
        <w:t> janvier 2020 au 30 juin 2020 ;</w:t>
      </w:r>
    </w:p>
    <w:p w14:paraId="5C377997" w14:textId="77777777" w:rsidR="00AE0C2C" w:rsidRPr="00BF3230" w:rsidRDefault="00AE0C2C" w:rsidP="00AE0C2C">
      <w:pPr>
        <w:numPr>
          <w:ilvl w:val="0"/>
          <w:numId w:val="5"/>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u w:val="single"/>
        </w:rPr>
        <w:t>Autorise</w:t>
      </w:r>
      <w:r>
        <w:rPr>
          <w:rFonts w:ascii="Arial" w:hAnsi="Arial"/>
          <w:sz w:val="22"/>
          <w:szCs w:val="22"/>
        </w:rPr>
        <w:t xml:space="preserve"> le Comité à utiliser immédiatement toute contribution volontaire supplémentaire qui pourrait être reçue durant ces périodes, comme le prévoit l’article 27 de la Convention, conformément aux pourcentages définis par le Plan ;</w:t>
      </w:r>
    </w:p>
    <w:p w14:paraId="57407038" w14:textId="77777777" w:rsidR="00AE0C2C" w:rsidRPr="00BF3230" w:rsidRDefault="00AE0C2C" w:rsidP="00AE0C2C">
      <w:pPr>
        <w:numPr>
          <w:ilvl w:val="0"/>
          <w:numId w:val="5"/>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u w:val="single"/>
        </w:rPr>
        <w:t>Autorise également</w:t>
      </w:r>
      <w:r>
        <w:rPr>
          <w:rFonts w:ascii="Arial" w:hAnsi="Arial"/>
          <w:sz w:val="22"/>
          <w:szCs w:val="22"/>
        </w:rPr>
        <w:t xml:space="preserve"> le Comité à utiliser immédiatement toute contribution qu’il pourrait accepter, durant ces périodes, à des fins spécifiques se rapportant à des projets déterminés, pourvu que ces projets aient été approuvés par le Comité avant la réception des fonds, comme le prévoit l’article 25.5 de la Convention ;</w:t>
      </w:r>
    </w:p>
    <w:p w14:paraId="5E1DF06E" w14:textId="77777777" w:rsidR="00AE0C2C" w:rsidRPr="00710CA2" w:rsidRDefault="00AE0C2C" w:rsidP="00AE0C2C">
      <w:pPr>
        <w:numPr>
          <w:ilvl w:val="0"/>
          <w:numId w:val="5"/>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le Comité a fixé le montant du Fonds de réserve à 1 million de dollars des États-Unis ;</w:t>
      </w:r>
    </w:p>
    <w:p w14:paraId="3D9D8EDE" w14:textId="77777777" w:rsidR="00AE0C2C" w:rsidRPr="00710CA2" w:rsidRDefault="00AE0C2C" w:rsidP="00AE0C2C">
      <w:pPr>
        <w:pStyle w:val="5GAParaResolution"/>
        <w:numPr>
          <w:ilvl w:val="0"/>
          <w:numId w:val="5"/>
        </w:numPr>
        <w:ind w:left="567" w:hanging="567"/>
      </w:pPr>
      <w:r>
        <w:rPr>
          <w:u w:val="single"/>
        </w:rPr>
        <w:t>Prend note également</w:t>
      </w:r>
      <w:r>
        <w:t xml:space="preserve"> des donateurs qui ont versé des contributions volontaires supplémentaires au Fonds depuis sa dernière session, à savoir la Chine, la Finlande, le Japon, Monaco, le Monténégro, les Pays-Bas, la République de Corée et les Émirats arabes unis ;</w:t>
      </w:r>
    </w:p>
    <w:p w14:paraId="607EAB7F" w14:textId="76CE3169" w:rsidR="00AE0C2C" w:rsidRPr="00AE0C2C" w:rsidRDefault="00AE0C2C" w:rsidP="00AE0C2C">
      <w:pPr>
        <w:numPr>
          <w:ilvl w:val="0"/>
          <w:numId w:val="5"/>
        </w:numPr>
        <w:autoSpaceDE w:val="0"/>
        <w:autoSpaceDN w:val="0"/>
        <w:adjustRightInd w:val="0"/>
        <w:spacing w:before="120" w:after="120"/>
        <w:ind w:left="567" w:hanging="567"/>
        <w:jc w:val="both"/>
        <w:rPr>
          <w:rFonts w:ascii="Arial" w:hAnsi="Arial" w:cs="Arial"/>
          <w:sz w:val="22"/>
          <w:szCs w:val="22"/>
        </w:rPr>
      </w:pPr>
      <w:r>
        <w:rPr>
          <w:rFonts w:ascii="Arial" w:hAnsi="Arial"/>
          <w:sz w:val="22"/>
          <w:szCs w:val="22"/>
          <w:u w:val="single"/>
        </w:rPr>
        <w:t>Remercie</w:t>
      </w:r>
      <w:r>
        <w:rPr>
          <w:rFonts w:ascii="Arial" w:hAnsi="Arial"/>
          <w:sz w:val="22"/>
          <w:szCs w:val="22"/>
        </w:rPr>
        <w:t xml:space="preserve"> tous les contributeurs qui ont apporté leur soutien à la Convention et à son Secrétariat, depuis sa dernière session, sous différentes formes, financières ou en nature, comme les contributions volontaires supplémentaires affectées à des fins spécifiques et versées au Fonds du patrimoine culturel immatériel ou au sous-fonds pour le renforcement des capacités humaines du Secrétariat, les Fonds-en-dépôt ou le détachement de personnel, </w:t>
      </w:r>
      <w:r>
        <w:rPr>
          <w:rFonts w:ascii="Arial" w:hAnsi="Arial"/>
          <w:sz w:val="22"/>
          <w:szCs w:val="22"/>
        </w:rPr>
        <w:lastRenderedPageBreak/>
        <w:t xml:space="preserve">et </w:t>
      </w:r>
      <w:r>
        <w:rPr>
          <w:rFonts w:ascii="Arial" w:hAnsi="Arial"/>
          <w:sz w:val="22"/>
          <w:szCs w:val="22"/>
          <w:u w:val="single"/>
        </w:rPr>
        <w:t>encourage</w:t>
      </w:r>
      <w:r>
        <w:rPr>
          <w:rFonts w:ascii="Arial" w:hAnsi="Arial"/>
          <w:sz w:val="22"/>
          <w:szCs w:val="22"/>
        </w:rPr>
        <w:t xml:space="preserve"> les autres États à envisager la possibilité de soutenir la Convention selon la modalité de leur choix ;</w:t>
      </w:r>
    </w:p>
    <w:p w14:paraId="31089C95" w14:textId="5FAA9D3E" w:rsidR="00AE0C2C" w:rsidRPr="005A0C6A" w:rsidRDefault="00AE0C2C" w:rsidP="00AE0C2C">
      <w:pPr>
        <w:numPr>
          <w:ilvl w:val="0"/>
          <w:numId w:val="5"/>
        </w:numPr>
        <w:autoSpaceDE w:val="0"/>
        <w:autoSpaceDN w:val="0"/>
        <w:adjustRightInd w:val="0"/>
        <w:spacing w:before="120" w:after="120"/>
        <w:ind w:left="567" w:hanging="567"/>
        <w:jc w:val="both"/>
        <w:rPr>
          <w:rFonts w:ascii="Arial" w:hAnsi="Arial" w:cs="Arial"/>
          <w:sz w:val="22"/>
          <w:szCs w:val="22"/>
        </w:rPr>
      </w:pPr>
      <w:r w:rsidRPr="00AE0C2C">
        <w:rPr>
          <w:rFonts w:ascii="Arial" w:hAnsi="Arial"/>
          <w:sz w:val="22"/>
          <w:szCs w:val="22"/>
          <w:u w:val="single"/>
        </w:rPr>
        <w:t>Autorise</w:t>
      </w:r>
      <w:r>
        <w:rPr>
          <w:rFonts w:ascii="Arial" w:hAnsi="Arial"/>
          <w:sz w:val="22"/>
          <w:szCs w:val="22"/>
        </w:rPr>
        <w:t xml:space="preserve"> le Secrétariat à transférer des fonds entre les lignes budgétaires 4, 5 et 6 dédiées à l’assistance financière pour les experts représentant les États parties et les représentants des organisations non gouvernementales accréditées, pour leur participation aux sessions du Comité, son Bureau et ses organes subsidiaires jusqu’à un montant équivalent à 30 % de leur allocation totale initiale, et </w:t>
      </w:r>
      <w:r w:rsidRPr="00AE0C2C">
        <w:rPr>
          <w:rFonts w:ascii="Arial" w:hAnsi="Arial"/>
          <w:sz w:val="22"/>
          <w:szCs w:val="22"/>
          <w:u w:val="single"/>
        </w:rPr>
        <w:t>demande</w:t>
      </w:r>
      <w:r>
        <w:rPr>
          <w:rFonts w:ascii="Arial" w:hAnsi="Arial"/>
          <w:sz w:val="22"/>
          <w:szCs w:val="22"/>
        </w:rPr>
        <w:t xml:space="preserve"> au Secrétariat d’informer le Comité et l’Assemblée générale par écrit des détails et des raisons de ces transferts, à la session qui suit chacun d’eux.</w:t>
      </w:r>
    </w:p>
    <w:p w14:paraId="2F5F4F4E" w14:textId="3F97CAB6" w:rsidR="00633880" w:rsidRPr="00633880" w:rsidRDefault="00633880" w:rsidP="00F475EF">
      <w:pPr>
        <w:autoSpaceDE w:val="0"/>
        <w:autoSpaceDN w:val="0"/>
        <w:adjustRightInd w:val="0"/>
        <w:spacing w:before="120" w:after="240"/>
        <w:jc w:val="center"/>
        <w:rPr>
          <w:rFonts w:ascii="Arial" w:hAnsi="Arial" w:cs="Arial"/>
          <w:sz w:val="22"/>
          <w:szCs w:val="22"/>
        </w:rPr>
      </w:pPr>
      <w:r w:rsidRPr="003074FE">
        <w:rPr>
          <w:rFonts w:ascii="Arial" w:hAnsi="Arial" w:cs="Arial"/>
          <w:b/>
          <w:sz w:val="22"/>
          <w:szCs w:val="22"/>
        </w:rPr>
        <w:t>ANNEXE</w:t>
      </w:r>
    </w:p>
    <w:tbl>
      <w:tblPr>
        <w:tblW w:w="5000" w:type="pct"/>
        <w:jc w:val="center"/>
        <w:tblLayout w:type="fixed"/>
        <w:tblCellMar>
          <w:left w:w="70" w:type="dxa"/>
          <w:right w:w="70" w:type="dxa"/>
        </w:tblCellMar>
        <w:tblLook w:val="04A0" w:firstRow="1" w:lastRow="0" w:firstColumn="1" w:lastColumn="0" w:noHBand="0" w:noVBand="1"/>
      </w:tblPr>
      <w:tblGrid>
        <w:gridCol w:w="459"/>
        <w:gridCol w:w="5063"/>
        <w:gridCol w:w="1414"/>
        <w:gridCol w:w="1354"/>
        <w:gridCol w:w="1343"/>
      </w:tblGrid>
      <w:tr w:rsidR="00633880" w:rsidRPr="00FC7DA9" w14:paraId="1C7A3F34" w14:textId="77777777" w:rsidTr="00F475EF">
        <w:trPr>
          <w:cantSplit/>
          <w:trHeight w:val="386"/>
          <w:jc w:val="center"/>
        </w:trPr>
        <w:tc>
          <w:tcPr>
            <w:tcW w:w="36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001F57" w14:textId="77777777" w:rsidR="00633880" w:rsidRPr="000C3818" w:rsidRDefault="00633880" w:rsidP="00F475EF">
            <w:pPr>
              <w:spacing w:before="60" w:after="60"/>
              <w:jc w:val="center"/>
              <w:rPr>
                <w:rFonts w:ascii="Arial" w:hAnsi="Arial" w:cs="Arial"/>
                <w:sz w:val="20"/>
                <w:szCs w:val="20"/>
              </w:rPr>
            </w:pPr>
            <w:r>
              <w:rPr>
                <w:rFonts w:ascii="Arial" w:hAnsi="Arial"/>
                <w:b/>
                <w:bCs/>
                <w:sz w:val="20"/>
                <w:szCs w:val="20"/>
              </w:rPr>
              <w:t>Plan d’utilisation des ressources du Fonds</w:t>
            </w:r>
          </w:p>
        </w:tc>
        <w:tc>
          <w:tcPr>
            <w:tcW w:w="703" w:type="pct"/>
            <w:tcBorders>
              <w:top w:val="nil"/>
              <w:left w:val="nil"/>
              <w:bottom w:val="dashed" w:sz="4" w:space="0" w:color="auto"/>
              <w:right w:val="nil"/>
            </w:tcBorders>
          </w:tcPr>
          <w:p w14:paraId="42BF3BB9" w14:textId="77777777" w:rsidR="00633880" w:rsidRPr="0003002A" w:rsidRDefault="00633880" w:rsidP="00F475EF">
            <w:pPr>
              <w:spacing w:before="60" w:after="60"/>
              <w:jc w:val="center"/>
              <w:rPr>
                <w:rFonts w:ascii="Arial" w:hAnsi="Arial" w:cs="Arial"/>
                <w:sz w:val="20"/>
                <w:szCs w:val="20"/>
              </w:rPr>
            </w:pPr>
          </w:p>
        </w:tc>
        <w:tc>
          <w:tcPr>
            <w:tcW w:w="697" w:type="pct"/>
            <w:tcBorders>
              <w:top w:val="nil"/>
              <w:left w:val="nil"/>
              <w:bottom w:val="dashed" w:sz="4" w:space="0" w:color="auto"/>
              <w:right w:val="nil"/>
            </w:tcBorders>
          </w:tcPr>
          <w:p w14:paraId="3D63106F" w14:textId="77777777" w:rsidR="00633880" w:rsidRPr="0003002A" w:rsidRDefault="00633880" w:rsidP="00F475EF">
            <w:pPr>
              <w:spacing w:before="60" w:after="60"/>
              <w:jc w:val="center"/>
              <w:rPr>
                <w:rFonts w:ascii="Arial" w:hAnsi="Arial" w:cs="Arial"/>
                <w:sz w:val="20"/>
                <w:szCs w:val="20"/>
              </w:rPr>
            </w:pPr>
          </w:p>
        </w:tc>
      </w:tr>
      <w:tr w:rsidR="00633880" w:rsidRPr="000C3818" w14:paraId="0BF4193A" w14:textId="77777777" w:rsidTr="00F475EF">
        <w:trPr>
          <w:cantSplit/>
          <w:trHeight w:val="964"/>
          <w:jc w:val="center"/>
        </w:trPr>
        <w:tc>
          <w:tcPr>
            <w:tcW w:w="2866" w:type="pct"/>
            <w:gridSpan w:val="2"/>
            <w:tcBorders>
              <w:top w:val="single" w:sz="4" w:space="0" w:color="auto"/>
              <w:left w:val="single" w:sz="4" w:space="0" w:color="auto"/>
              <w:bottom w:val="single" w:sz="4" w:space="0" w:color="auto"/>
              <w:right w:val="single" w:sz="4" w:space="0" w:color="auto"/>
            </w:tcBorders>
            <w:shd w:val="clear" w:color="auto" w:fill="auto"/>
            <w:noWrap/>
          </w:tcPr>
          <w:p w14:paraId="18D76F4E" w14:textId="77777777" w:rsidR="00633880" w:rsidRPr="000C3818" w:rsidRDefault="00633880" w:rsidP="00F475EF">
            <w:pPr>
              <w:spacing w:before="60" w:after="60"/>
              <w:jc w:val="both"/>
              <w:rPr>
                <w:rFonts w:ascii="Arial" w:hAnsi="Arial" w:cs="Arial"/>
                <w:b/>
                <w:bCs/>
                <w:sz w:val="20"/>
                <w:szCs w:val="20"/>
              </w:rPr>
            </w:pPr>
            <w:r>
              <w:rPr>
                <w:rFonts w:ascii="Arial" w:hAnsi="Arial"/>
                <w:sz w:val="18"/>
                <w:szCs w:val="18"/>
              </w:rPr>
              <w:t>Pour la période du 1</w:t>
            </w:r>
            <w:r>
              <w:rPr>
                <w:rFonts w:ascii="Arial" w:hAnsi="Arial"/>
                <w:sz w:val="18"/>
                <w:szCs w:val="18"/>
                <w:vertAlign w:val="superscript"/>
              </w:rPr>
              <w:t>er</w:t>
            </w:r>
            <w:r>
              <w:rPr>
                <w:rFonts w:ascii="Arial" w:hAnsi="Arial"/>
                <w:sz w:val="18"/>
                <w:szCs w:val="18"/>
              </w:rPr>
              <w:t> janvier 2018 au 31 décembre 2019, ainsi que pour la période du 1</w:t>
            </w:r>
            <w:r>
              <w:rPr>
                <w:rFonts w:ascii="Arial" w:hAnsi="Arial"/>
                <w:sz w:val="18"/>
                <w:szCs w:val="18"/>
                <w:vertAlign w:val="superscript"/>
              </w:rPr>
              <w:t>er</w:t>
            </w:r>
            <w:r>
              <w:rPr>
                <w:rFonts w:ascii="Arial" w:hAnsi="Arial"/>
                <w:sz w:val="18"/>
                <w:szCs w:val="18"/>
              </w:rPr>
              <w:t> janvier 2020 au 30 juin 2020, les ressources du Fonds du patrimoine culturel immatériel peuvent être utilisées pour les activités suivantes :</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5CCC5" w14:textId="77777777" w:rsidR="00633880" w:rsidRPr="00052470" w:rsidRDefault="00633880" w:rsidP="00F475EF">
            <w:pPr>
              <w:spacing w:before="60" w:after="60"/>
              <w:jc w:val="center"/>
              <w:rPr>
                <w:rFonts w:ascii="Arial" w:hAnsi="Arial" w:cs="Arial"/>
                <w:sz w:val="18"/>
                <w:szCs w:val="18"/>
              </w:rPr>
            </w:pPr>
            <w:r>
              <w:rPr>
                <w:rFonts w:ascii="Arial" w:hAnsi="Arial"/>
                <w:sz w:val="18"/>
                <w:szCs w:val="18"/>
              </w:rPr>
              <w:t>% du montant total proposé pour 2018-2019</w:t>
            </w:r>
            <w:r w:rsidRPr="00FC7DA9">
              <w:rPr>
                <w:rStyle w:val="FootnoteReference"/>
                <w:rFonts w:ascii="Arial" w:hAnsi="Arial" w:cs="Arial"/>
                <w:sz w:val="18"/>
                <w:szCs w:val="18"/>
                <w:lang w:val="en-GB"/>
              </w:rPr>
              <w:footnoteReference w:id="1"/>
            </w:r>
          </w:p>
        </w:tc>
        <w:tc>
          <w:tcPr>
            <w:tcW w:w="703" w:type="pct"/>
            <w:tcBorders>
              <w:top w:val="dashed" w:sz="4" w:space="0" w:color="auto"/>
              <w:left w:val="dashed" w:sz="4" w:space="0" w:color="auto"/>
              <w:bottom w:val="dashed" w:sz="4" w:space="0" w:color="auto"/>
              <w:right w:val="dashed" w:sz="4" w:space="0" w:color="auto"/>
            </w:tcBorders>
            <w:vAlign w:val="center"/>
          </w:tcPr>
          <w:p w14:paraId="741D5557" w14:textId="77777777" w:rsidR="00633880" w:rsidRPr="00FC7DA9" w:rsidRDefault="00633880" w:rsidP="00F475EF">
            <w:pPr>
              <w:spacing w:before="60" w:after="60"/>
              <w:jc w:val="center"/>
              <w:rPr>
                <w:rFonts w:ascii="Arial" w:hAnsi="Arial" w:cs="Arial"/>
                <w:sz w:val="18"/>
                <w:szCs w:val="18"/>
              </w:rPr>
            </w:pPr>
            <w:r>
              <w:rPr>
                <w:rFonts w:ascii="Arial" w:hAnsi="Arial"/>
                <w:sz w:val="18"/>
                <w:szCs w:val="18"/>
              </w:rPr>
              <w:t>Montants indicatifs</w:t>
            </w:r>
            <w:r>
              <w:rPr>
                <w:rFonts w:ascii="Arial" w:hAnsi="Arial"/>
                <w:sz w:val="18"/>
                <w:szCs w:val="18"/>
              </w:rPr>
              <w:br/>
              <w:t>2018-2019</w:t>
            </w:r>
          </w:p>
        </w:tc>
        <w:tc>
          <w:tcPr>
            <w:tcW w:w="697" w:type="pct"/>
            <w:tcBorders>
              <w:top w:val="dashed" w:sz="4" w:space="0" w:color="auto"/>
              <w:left w:val="dashed" w:sz="4" w:space="0" w:color="auto"/>
              <w:bottom w:val="dashed" w:sz="4" w:space="0" w:color="auto"/>
              <w:right w:val="dashed" w:sz="4" w:space="0" w:color="auto"/>
            </w:tcBorders>
            <w:vAlign w:val="center"/>
          </w:tcPr>
          <w:p w14:paraId="245FD827" w14:textId="77777777" w:rsidR="00633880" w:rsidRPr="00FC7DA9" w:rsidRDefault="00633880" w:rsidP="00F475EF">
            <w:pPr>
              <w:spacing w:before="60" w:after="60"/>
              <w:jc w:val="center"/>
              <w:rPr>
                <w:rFonts w:ascii="Arial" w:hAnsi="Arial" w:cs="Arial"/>
                <w:sz w:val="18"/>
                <w:szCs w:val="18"/>
              </w:rPr>
            </w:pPr>
            <w:r>
              <w:rPr>
                <w:rFonts w:ascii="Arial" w:hAnsi="Arial"/>
                <w:sz w:val="18"/>
                <w:szCs w:val="18"/>
              </w:rPr>
              <w:t>Montants indicatifs</w:t>
            </w:r>
            <w:r>
              <w:rPr>
                <w:rFonts w:ascii="Arial" w:hAnsi="Arial"/>
                <w:sz w:val="18"/>
                <w:szCs w:val="18"/>
              </w:rPr>
              <w:br/>
              <w:t>jan-juin 2020</w:t>
            </w:r>
          </w:p>
        </w:tc>
      </w:tr>
      <w:tr w:rsidR="00633880" w:rsidRPr="000C3818" w14:paraId="71AE9FD7" w14:textId="77777777" w:rsidTr="00F475EF">
        <w:trPr>
          <w:cantSplit/>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hideMark/>
          </w:tcPr>
          <w:p w14:paraId="2E787D5E" w14:textId="77777777" w:rsidR="00633880" w:rsidRPr="000C3818" w:rsidRDefault="00633880" w:rsidP="00F475EF">
            <w:pPr>
              <w:spacing w:before="60" w:after="60"/>
              <w:rPr>
                <w:rFonts w:ascii="Arial" w:hAnsi="Arial" w:cs="Arial"/>
                <w:sz w:val="20"/>
                <w:szCs w:val="20"/>
              </w:rPr>
            </w:pPr>
            <w:r>
              <w:rPr>
                <w:rFonts w:ascii="Arial" w:hAnsi="Arial"/>
                <w:bCs/>
                <w:sz w:val="20"/>
                <w:szCs w:val="20"/>
              </w:rPr>
              <w:t>1.</w:t>
            </w:r>
          </w:p>
        </w:tc>
        <w:tc>
          <w:tcPr>
            <w:tcW w:w="2628" w:type="pct"/>
            <w:tcBorders>
              <w:top w:val="single" w:sz="4" w:space="0" w:color="auto"/>
              <w:left w:val="single" w:sz="4" w:space="0" w:color="auto"/>
              <w:bottom w:val="single" w:sz="4" w:space="0" w:color="auto"/>
              <w:right w:val="single" w:sz="4" w:space="0" w:color="auto"/>
            </w:tcBorders>
            <w:shd w:val="clear" w:color="auto" w:fill="auto"/>
            <w:noWrap/>
            <w:hideMark/>
          </w:tcPr>
          <w:p w14:paraId="5F6E5AEF" w14:textId="77777777" w:rsidR="00633880" w:rsidRPr="005D5710" w:rsidRDefault="00633880" w:rsidP="00F475EF">
            <w:pPr>
              <w:spacing w:before="60" w:after="60"/>
              <w:jc w:val="both"/>
              <w:rPr>
                <w:rFonts w:ascii="Arial" w:hAnsi="Arial" w:cs="Arial"/>
                <w:sz w:val="18"/>
                <w:szCs w:val="18"/>
              </w:rPr>
            </w:pPr>
            <w:r>
              <w:rPr>
                <w:rFonts w:ascii="Arial" w:hAnsi="Arial"/>
                <w:sz w:val="18"/>
                <w:szCs w:val="18"/>
              </w:rPr>
              <w:t>Assistance internationale, y compris la sauvegarde du patrimoine inscrit sur la Liste du patrimoine culturel immatériel nécessitant une sauvegarde urgente, la préparation d’inventaires et le soutien à d’autres programmes, projets et activités de sauvegarde ;</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7039"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52,55 %</w:t>
            </w:r>
          </w:p>
        </w:tc>
        <w:tc>
          <w:tcPr>
            <w:tcW w:w="703" w:type="pct"/>
            <w:tcBorders>
              <w:top w:val="dashed" w:sz="4" w:space="0" w:color="auto"/>
              <w:left w:val="dashed" w:sz="4" w:space="0" w:color="auto"/>
              <w:bottom w:val="dashed" w:sz="4" w:space="0" w:color="auto"/>
              <w:right w:val="dashed" w:sz="4" w:space="0" w:color="auto"/>
            </w:tcBorders>
            <w:tcMar>
              <w:left w:w="28" w:type="dxa"/>
            </w:tcMar>
            <w:vAlign w:val="center"/>
          </w:tcPr>
          <w:p w14:paraId="4414F5AD" w14:textId="77777777" w:rsidR="00633880" w:rsidRDefault="00633880" w:rsidP="00F475EF">
            <w:pPr>
              <w:spacing w:before="60" w:after="60"/>
              <w:ind w:right="100"/>
              <w:jc w:val="right"/>
              <w:rPr>
                <w:rFonts w:ascii="Arial" w:hAnsi="Arial" w:cs="Arial"/>
                <w:sz w:val="20"/>
                <w:szCs w:val="20"/>
                <w:lang w:val="en-GB"/>
              </w:rPr>
            </w:pPr>
            <w:r>
              <w:rPr>
                <w:rFonts w:ascii="Arial" w:hAnsi="Arial"/>
                <w:sz w:val="20"/>
                <w:szCs w:val="20"/>
              </w:rPr>
              <w:t>4 514 530 $</w:t>
            </w:r>
          </w:p>
        </w:tc>
        <w:tc>
          <w:tcPr>
            <w:tcW w:w="697" w:type="pct"/>
            <w:tcBorders>
              <w:top w:val="dashed" w:sz="4" w:space="0" w:color="auto"/>
              <w:left w:val="dashed" w:sz="4" w:space="0" w:color="auto"/>
              <w:bottom w:val="dashed" w:sz="4" w:space="0" w:color="auto"/>
              <w:right w:val="dashed" w:sz="4" w:space="0" w:color="auto"/>
            </w:tcBorders>
            <w:vAlign w:val="center"/>
          </w:tcPr>
          <w:p w14:paraId="7321C5D0" w14:textId="77777777" w:rsidR="00633880" w:rsidRPr="000C3818" w:rsidRDefault="00633880" w:rsidP="00F475EF">
            <w:pPr>
              <w:spacing w:before="60" w:after="60"/>
              <w:jc w:val="right"/>
              <w:rPr>
                <w:rFonts w:ascii="Arial" w:hAnsi="Arial" w:cs="Arial"/>
                <w:sz w:val="20"/>
                <w:szCs w:val="20"/>
              </w:rPr>
            </w:pPr>
            <w:r>
              <w:rPr>
                <w:rFonts w:ascii="Arial" w:hAnsi="Arial"/>
                <w:sz w:val="20"/>
                <w:szCs w:val="20"/>
              </w:rPr>
              <w:t xml:space="preserve">1 128 632 $ </w:t>
            </w:r>
          </w:p>
        </w:tc>
      </w:tr>
      <w:tr w:rsidR="00633880" w:rsidRPr="00CC1DE5" w14:paraId="3AD4160B" w14:textId="77777777" w:rsidTr="00F475EF">
        <w:trPr>
          <w:cantSplit/>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tcPr>
          <w:p w14:paraId="5336EEDE" w14:textId="77777777" w:rsidR="00633880" w:rsidRPr="000C3818" w:rsidRDefault="00633880" w:rsidP="00F475EF">
            <w:pPr>
              <w:spacing w:before="60" w:after="60"/>
              <w:rPr>
                <w:rFonts w:ascii="Arial" w:hAnsi="Arial" w:cs="Arial"/>
                <w:bCs/>
                <w:sz w:val="20"/>
                <w:szCs w:val="20"/>
              </w:rPr>
            </w:pPr>
            <w:r>
              <w:rPr>
                <w:rFonts w:ascii="Arial" w:hAnsi="Arial"/>
                <w:bCs/>
                <w:sz w:val="20"/>
                <w:szCs w:val="20"/>
              </w:rPr>
              <w:t>1.1</w:t>
            </w:r>
          </w:p>
        </w:tc>
        <w:tc>
          <w:tcPr>
            <w:tcW w:w="2628" w:type="pct"/>
            <w:tcBorders>
              <w:top w:val="single" w:sz="4" w:space="0" w:color="auto"/>
              <w:left w:val="single" w:sz="4" w:space="0" w:color="auto"/>
              <w:bottom w:val="single" w:sz="4" w:space="0" w:color="auto"/>
              <w:right w:val="single" w:sz="4" w:space="0" w:color="auto"/>
            </w:tcBorders>
            <w:shd w:val="clear" w:color="auto" w:fill="auto"/>
            <w:noWrap/>
          </w:tcPr>
          <w:p w14:paraId="7D76ACE9" w14:textId="77777777" w:rsidR="00633880" w:rsidRPr="005D5710" w:rsidRDefault="00633880" w:rsidP="00F475EF">
            <w:pPr>
              <w:spacing w:before="60" w:after="60"/>
              <w:jc w:val="both"/>
              <w:rPr>
                <w:rFonts w:ascii="Arial" w:hAnsi="Arial" w:cs="Arial"/>
                <w:bCs/>
                <w:sz w:val="18"/>
                <w:szCs w:val="18"/>
              </w:rPr>
            </w:pPr>
            <w:r>
              <w:rPr>
                <w:rFonts w:ascii="Arial" w:hAnsi="Arial"/>
                <w:sz w:val="18"/>
                <w:szCs w:val="18"/>
              </w:rPr>
              <w:t>Renforcement des ressources humaines pour améliorer la mise en œuvre des mécanismes d’assistance internationale à travers la création de trois postes à durée déterminée financés à l’aide de fonds extrabudgétaires (un P3, un P2 et un G5) ;</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466EC"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8,20 %</w:t>
            </w:r>
          </w:p>
        </w:tc>
        <w:tc>
          <w:tcPr>
            <w:tcW w:w="703" w:type="pct"/>
            <w:tcBorders>
              <w:top w:val="dashed" w:sz="4" w:space="0" w:color="auto"/>
              <w:left w:val="dashed" w:sz="4" w:space="0" w:color="auto"/>
              <w:bottom w:val="dashed" w:sz="4" w:space="0" w:color="auto"/>
              <w:right w:val="dashed" w:sz="4" w:space="0" w:color="auto"/>
            </w:tcBorders>
            <w:vAlign w:val="center"/>
          </w:tcPr>
          <w:p w14:paraId="0B7D4461" w14:textId="77777777" w:rsidR="00633880" w:rsidRDefault="00633880" w:rsidP="00F475EF">
            <w:pPr>
              <w:spacing w:before="60" w:after="60"/>
              <w:jc w:val="right"/>
              <w:rPr>
                <w:rFonts w:ascii="Arial" w:hAnsi="Arial" w:cs="Arial"/>
                <w:sz w:val="20"/>
                <w:szCs w:val="20"/>
              </w:rPr>
            </w:pPr>
            <w:r>
              <w:rPr>
                <w:rFonts w:ascii="Arial" w:hAnsi="Arial"/>
                <w:sz w:val="20"/>
                <w:szCs w:val="20"/>
              </w:rPr>
              <w:t>704 456 $</w:t>
            </w:r>
          </w:p>
        </w:tc>
        <w:tc>
          <w:tcPr>
            <w:tcW w:w="697" w:type="pct"/>
            <w:tcBorders>
              <w:top w:val="dashed" w:sz="4" w:space="0" w:color="auto"/>
              <w:left w:val="dashed" w:sz="4" w:space="0" w:color="auto"/>
              <w:bottom w:val="dashed" w:sz="4" w:space="0" w:color="auto"/>
              <w:right w:val="dashed" w:sz="4" w:space="0" w:color="auto"/>
            </w:tcBorders>
            <w:vAlign w:val="center"/>
          </w:tcPr>
          <w:p w14:paraId="5FB4EC24" w14:textId="77777777" w:rsidR="00633880" w:rsidRPr="000C3818" w:rsidRDefault="00633880" w:rsidP="00F475EF">
            <w:pPr>
              <w:spacing w:before="60" w:after="60"/>
              <w:jc w:val="right"/>
              <w:rPr>
                <w:rFonts w:ascii="Arial" w:hAnsi="Arial" w:cs="Arial"/>
                <w:sz w:val="20"/>
                <w:szCs w:val="20"/>
              </w:rPr>
            </w:pPr>
            <w:r>
              <w:rPr>
                <w:rFonts w:ascii="Arial" w:hAnsi="Arial"/>
                <w:sz w:val="20"/>
                <w:szCs w:val="20"/>
              </w:rPr>
              <w:t>176 114 $</w:t>
            </w:r>
          </w:p>
        </w:tc>
      </w:tr>
      <w:tr w:rsidR="00633880" w:rsidRPr="000C3818" w14:paraId="5520814F" w14:textId="77777777" w:rsidTr="00F475EF">
        <w:trPr>
          <w:cantSplit/>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hideMark/>
          </w:tcPr>
          <w:p w14:paraId="755E6C39" w14:textId="77777777" w:rsidR="00633880" w:rsidRPr="000C3818" w:rsidRDefault="00633880" w:rsidP="00F475EF">
            <w:pPr>
              <w:spacing w:before="60" w:after="60"/>
              <w:rPr>
                <w:rFonts w:ascii="Arial" w:hAnsi="Arial" w:cs="Arial"/>
                <w:sz w:val="20"/>
                <w:szCs w:val="20"/>
              </w:rPr>
            </w:pPr>
            <w:r>
              <w:rPr>
                <w:rFonts w:ascii="Arial" w:hAnsi="Arial"/>
                <w:bCs/>
                <w:sz w:val="20"/>
                <w:szCs w:val="20"/>
              </w:rPr>
              <w:t>2.</w:t>
            </w:r>
          </w:p>
        </w:tc>
        <w:tc>
          <w:tcPr>
            <w:tcW w:w="2628" w:type="pct"/>
            <w:tcBorders>
              <w:top w:val="single" w:sz="4" w:space="0" w:color="auto"/>
              <w:left w:val="single" w:sz="4" w:space="0" w:color="auto"/>
              <w:bottom w:val="single" w:sz="4" w:space="0" w:color="auto"/>
              <w:right w:val="single" w:sz="4" w:space="0" w:color="auto"/>
            </w:tcBorders>
            <w:shd w:val="clear" w:color="auto" w:fill="auto"/>
            <w:noWrap/>
            <w:hideMark/>
          </w:tcPr>
          <w:p w14:paraId="426ACACE" w14:textId="77777777" w:rsidR="00633880" w:rsidRPr="005D5710" w:rsidRDefault="00633880" w:rsidP="00F475EF">
            <w:pPr>
              <w:spacing w:before="60" w:after="60"/>
              <w:jc w:val="both"/>
              <w:rPr>
                <w:rFonts w:ascii="Arial" w:hAnsi="Arial" w:cs="Arial"/>
                <w:bCs/>
                <w:sz w:val="18"/>
                <w:szCs w:val="18"/>
              </w:rPr>
            </w:pPr>
            <w:r>
              <w:rPr>
                <w:rFonts w:ascii="Arial" w:hAnsi="Arial"/>
                <w:sz w:val="18"/>
                <w:szCs w:val="18"/>
              </w:rPr>
              <w:t>Assistance préparatoire pour les demandes d’assistance internationale, ainsi que pour les dossiers de candidature à la Liste de sauvegarde urgente et les propositions au Registre de bonnes pratiques de sauvegarde ;</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323AB"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4,00 %</w:t>
            </w:r>
          </w:p>
        </w:tc>
        <w:tc>
          <w:tcPr>
            <w:tcW w:w="703" w:type="pct"/>
            <w:tcBorders>
              <w:top w:val="dashed" w:sz="4" w:space="0" w:color="auto"/>
              <w:left w:val="dashed" w:sz="4" w:space="0" w:color="auto"/>
              <w:bottom w:val="dashed" w:sz="4" w:space="0" w:color="auto"/>
              <w:right w:val="dashed" w:sz="4" w:space="0" w:color="auto"/>
            </w:tcBorders>
            <w:vAlign w:val="center"/>
          </w:tcPr>
          <w:p w14:paraId="2BAC2101" w14:textId="77777777" w:rsidR="00633880" w:rsidRPr="000C3818" w:rsidRDefault="00633880" w:rsidP="00F475EF">
            <w:pPr>
              <w:spacing w:before="60" w:after="60"/>
              <w:jc w:val="right"/>
              <w:rPr>
                <w:rFonts w:ascii="Arial" w:hAnsi="Arial" w:cs="Arial"/>
                <w:sz w:val="20"/>
                <w:szCs w:val="20"/>
              </w:rPr>
            </w:pPr>
            <w:r>
              <w:rPr>
                <w:rFonts w:ascii="Arial" w:hAnsi="Arial"/>
                <w:sz w:val="20"/>
                <w:szCs w:val="20"/>
              </w:rPr>
              <w:t>343 637 $</w:t>
            </w:r>
          </w:p>
        </w:tc>
        <w:tc>
          <w:tcPr>
            <w:tcW w:w="697" w:type="pct"/>
            <w:tcBorders>
              <w:top w:val="dashed" w:sz="4" w:space="0" w:color="auto"/>
              <w:left w:val="dashed" w:sz="4" w:space="0" w:color="auto"/>
              <w:bottom w:val="dashed" w:sz="4" w:space="0" w:color="auto"/>
              <w:right w:val="dashed" w:sz="4" w:space="0" w:color="auto"/>
            </w:tcBorders>
            <w:vAlign w:val="center"/>
          </w:tcPr>
          <w:p w14:paraId="057ADA97" w14:textId="77777777" w:rsidR="00633880" w:rsidRPr="000C3818" w:rsidRDefault="00633880" w:rsidP="00F475EF">
            <w:pPr>
              <w:spacing w:before="60" w:after="60"/>
              <w:jc w:val="right"/>
              <w:rPr>
                <w:rFonts w:ascii="Arial" w:hAnsi="Arial" w:cs="Arial"/>
                <w:sz w:val="20"/>
                <w:szCs w:val="20"/>
              </w:rPr>
            </w:pPr>
            <w:r>
              <w:rPr>
                <w:rFonts w:ascii="Arial" w:hAnsi="Arial"/>
                <w:sz w:val="20"/>
                <w:szCs w:val="20"/>
              </w:rPr>
              <w:t xml:space="preserve">85 909 $ </w:t>
            </w:r>
          </w:p>
        </w:tc>
      </w:tr>
      <w:tr w:rsidR="00633880" w:rsidRPr="000C3818" w14:paraId="38DFEC33" w14:textId="77777777" w:rsidTr="00F475EF">
        <w:trPr>
          <w:cantSplit/>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hideMark/>
          </w:tcPr>
          <w:p w14:paraId="5B0DA537" w14:textId="77777777" w:rsidR="00633880" w:rsidRPr="000C3818" w:rsidRDefault="00633880" w:rsidP="00F475EF">
            <w:pPr>
              <w:spacing w:before="60" w:after="60"/>
              <w:rPr>
                <w:rFonts w:ascii="Arial" w:hAnsi="Arial" w:cs="Arial"/>
                <w:sz w:val="20"/>
                <w:szCs w:val="20"/>
              </w:rPr>
            </w:pPr>
            <w:r>
              <w:rPr>
                <w:rFonts w:ascii="Arial" w:hAnsi="Arial"/>
                <w:bCs/>
                <w:sz w:val="20"/>
                <w:szCs w:val="20"/>
              </w:rPr>
              <w:t>3.</w:t>
            </w:r>
          </w:p>
        </w:tc>
        <w:tc>
          <w:tcPr>
            <w:tcW w:w="2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80FF0" w14:textId="77777777" w:rsidR="00633880" w:rsidRPr="005D5710" w:rsidRDefault="00633880" w:rsidP="00F475EF">
            <w:pPr>
              <w:spacing w:before="60" w:after="60"/>
              <w:jc w:val="both"/>
              <w:rPr>
                <w:rFonts w:ascii="Arial" w:hAnsi="Arial" w:cs="Arial"/>
                <w:bCs/>
                <w:sz w:val="18"/>
                <w:szCs w:val="18"/>
              </w:rPr>
            </w:pPr>
            <w:r>
              <w:rPr>
                <w:rFonts w:ascii="Arial" w:hAnsi="Arial"/>
                <w:sz w:val="18"/>
                <w:szCs w:val="18"/>
              </w:rPr>
              <w:t>Autres fonctions du Comité telles que décrites à l’article 7 de la Convention, visant à promouvoir les objectifs de la Convention et à encourager et assurer le suivi de sa mise en œuvre, à travers notamment le renforcement des capacités en vue d’une sauvegarde efficace du patrimoine culturel immatériel, la sensibilisation à l’importance de ce patrimoine, les conseils sur les bonnes pratiques de sauvegarde et la mise à jour et la publication des Listes et du Registre de bonnes pratiques de sauvegarde ;</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45AD"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20,00 %</w:t>
            </w:r>
          </w:p>
        </w:tc>
        <w:tc>
          <w:tcPr>
            <w:tcW w:w="703" w:type="pct"/>
            <w:tcBorders>
              <w:top w:val="dashed" w:sz="4" w:space="0" w:color="auto"/>
              <w:left w:val="dashed" w:sz="4" w:space="0" w:color="auto"/>
              <w:bottom w:val="dashed" w:sz="4" w:space="0" w:color="auto"/>
              <w:right w:val="dashed" w:sz="4" w:space="0" w:color="auto"/>
            </w:tcBorders>
            <w:vAlign w:val="center"/>
          </w:tcPr>
          <w:p w14:paraId="66F5CF5E" w14:textId="77777777" w:rsidR="00633880" w:rsidRPr="006A7CFC" w:rsidRDefault="00633880" w:rsidP="00F475EF">
            <w:pPr>
              <w:spacing w:before="60" w:after="60"/>
              <w:jc w:val="right"/>
              <w:rPr>
                <w:rFonts w:ascii="Arial" w:hAnsi="Arial" w:cs="Arial"/>
                <w:sz w:val="19"/>
                <w:szCs w:val="19"/>
              </w:rPr>
            </w:pPr>
            <w:r w:rsidRPr="006A7CFC">
              <w:rPr>
                <w:rFonts w:ascii="Arial" w:hAnsi="Arial"/>
                <w:sz w:val="19"/>
                <w:szCs w:val="19"/>
              </w:rPr>
              <w:t>1 718 184 $</w:t>
            </w:r>
          </w:p>
        </w:tc>
        <w:tc>
          <w:tcPr>
            <w:tcW w:w="697" w:type="pct"/>
            <w:tcBorders>
              <w:top w:val="dashed" w:sz="4" w:space="0" w:color="auto"/>
              <w:left w:val="dashed" w:sz="4" w:space="0" w:color="auto"/>
              <w:bottom w:val="dashed" w:sz="4" w:space="0" w:color="auto"/>
              <w:right w:val="dashed" w:sz="4" w:space="0" w:color="auto"/>
            </w:tcBorders>
            <w:vAlign w:val="center"/>
          </w:tcPr>
          <w:p w14:paraId="7F213AF6" w14:textId="77777777" w:rsidR="00633880" w:rsidRPr="000C3818" w:rsidRDefault="00633880" w:rsidP="00F475EF">
            <w:pPr>
              <w:spacing w:before="60" w:after="60"/>
              <w:jc w:val="right"/>
              <w:rPr>
                <w:rFonts w:ascii="Arial" w:hAnsi="Arial" w:cs="Arial"/>
                <w:sz w:val="20"/>
                <w:szCs w:val="20"/>
              </w:rPr>
            </w:pPr>
            <w:r>
              <w:rPr>
                <w:rFonts w:ascii="Arial" w:hAnsi="Arial"/>
                <w:sz w:val="20"/>
                <w:szCs w:val="20"/>
              </w:rPr>
              <w:t xml:space="preserve">429 546 $ </w:t>
            </w:r>
          </w:p>
        </w:tc>
      </w:tr>
      <w:tr w:rsidR="00633880" w:rsidRPr="000C3818" w14:paraId="0892BA99" w14:textId="77777777" w:rsidTr="00F475EF">
        <w:trPr>
          <w:cantSplit/>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hideMark/>
          </w:tcPr>
          <w:p w14:paraId="01752BAF" w14:textId="77777777" w:rsidR="00633880" w:rsidRPr="000C3818" w:rsidRDefault="00633880" w:rsidP="00F475EF">
            <w:pPr>
              <w:spacing w:before="60" w:after="60"/>
              <w:rPr>
                <w:rFonts w:ascii="Arial" w:hAnsi="Arial" w:cs="Arial"/>
                <w:sz w:val="20"/>
                <w:szCs w:val="20"/>
              </w:rPr>
            </w:pPr>
            <w:r>
              <w:rPr>
                <w:rFonts w:ascii="Arial" w:hAnsi="Arial"/>
                <w:bCs/>
                <w:sz w:val="20"/>
                <w:szCs w:val="20"/>
              </w:rPr>
              <w:t>4.</w:t>
            </w:r>
          </w:p>
        </w:tc>
        <w:tc>
          <w:tcPr>
            <w:tcW w:w="2628" w:type="pct"/>
            <w:tcBorders>
              <w:top w:val="single" w:sz="4" w:space="0" w:color="auto"/>
              <w:left w:val="single" w:sz="4" w:space="0" w:color="auto"/>
              <w:bottom w:val="single" w:sz="4" w:space="0" w:color="auto"/>
              <w:right w:val="single" w:sz="4" w:space="0" w:color="auto"/>
            </w:tcBorders>
            <w:shd w:val="clear" w:color="auto" w:fill="auto"/>
            <w:noWrap/>
            <w:hideMark/>
          </w:tcPr>
          <w:p w14:paraId="0719932C" w14:textId="77777777" w:rsidR="00633880" w:rsidRPr="005D5710" w:rsidRDefault="00633880" w:rsidP="00F475EF">
            <w:pPr>
              <w:spacing w:before="60" w:after="60"/>
              <w:jc w:val="both"/>
              <w:rPr>
                <w:rFonts w:ascii="Arial" w:hAnsi="Arial" w:cs="Arial"/>
                <w:bCs/>
                <w:sz w:val="18"/>
                <w:szCs w:val="18"/>
              </w:rPr>
            </w:pPr>
            <w:r>
              <w:rPr>
                <w:rFonts w:ascii="Arial" w:hAnsi="Arial"/>
                <w:bCs/>
                <w:sz w:val="18"/>
                <w:szCs w:val="18"/>
              </w:rPr>
              <w:t>Participation aux sessions du Comité, de son Bureau et de ses organes subsidiaires, d’experts du patrimoine culturel immatériel représentant des pays en développement membres du Comité ;</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B41B"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2,00 %</w:t>
            </w:r>
          </w:p>
        </w:tc>
        <w:tc>
          <w:tcPr>
            <w:tcW w:w="703" w:type="pct"/>
            <w:tcBorders>
              <w:top w:val="dashed" w:sz="4" w:space="0" w:color="auto"/>
              <w:left w:val="dashed" w:sz="4" w:space="0" w:color="auto"/>
              <w:bottom w:val="dashed" w:sz="4" w:space="0" w:color="auto"/>
              <w:right w:val="dashed" w:sz="4" w:space="0" w:color="auto"/>
            </w:tcBorders>
            <w:vAlign w:val="center"/>
          </w:tcPr>
          <w:p w14:paraId="701D7331" w14:textId="77777777" w:rsidR="00633880" w:rsidRDefault="00633880" w:rsidP="00F475EF">
            <w:pPr>
              <w:spacing w:before="60" w:after="60"/>
              <w:jc w:val="right"/>
              <w:rPr>
                <w:rFonts w:ascii="Arial" w:hAnsi="Arial" w:cs="Arial"/>
                <w:sz w:val="20"/>
                <w:szCs w:val="20"/>
              </w:rPr>
            </w:pPr>
            <w:r>
              <w:rPr>
                <w:rFonts w:ascii="Arial" w:hAnsi="Arial"/>
                <w:sz w:val="20"/>
                <w:szCs w:val="20"/>
              </w:rPr>
              <w:t>171 818 $</w:t>
            </w:r>
          </w:p>
        </w:tc>
        <w:tc>
          <w:tcPr>
            <w:tcW w:w="697" w:type="pct"/>
            <w:tcBorders>
              <w:top w:val="dashed" w:sz="4" w:space="0" w:color="auto"/>
              <w:left w:val="dashed" w:sz="4" w:space="0" w:color="auto"/>
              <w:bottom w:val="dashed" w:sz="4" w:space="0" w:color="auto"/>
              <w:right w:val="dashed" w:sz="4" w:space="0" w:color="auto"/>
            </w:tcBorders>
            <w:vAlign w:val="center"/>
          </w:tcPr>
          <w:p w14:paraId="34D91F4E" w14:textId="77777777" w:rsidR="00633880" w:rsidRPr="000C3818" w:rsidRDefault="00633880" w:rsidP="00F475EF">
            <w:pPr>
              <w:spacing w:before="60" w:after="60"/>
              <w:jc w:val="right"/>
              <w:rPr>
                <w:rFonts w:ascii="Arial" w:hAnsi="Arial" w:cs="Arial"/>
                <w:sz w:val="20"/>
                <w:szCs w:val="20"/>
              </w:rPr>
            </w:pPr>
            <w:r>
              <w:rPr>
                <w:rFonts w:ascii="Arial" w:hAnsi="Arial"/>
                <w:sz w:val="20"/>
                <w:szCs w:val="20"/>
              </w:rPr>
              <w:t xml:space="preserve">42 955 $ </w:t>
            </w:r>
          </w:p>
        </w:tc>
      </w:tr>
      <w:tr w:rsidR="00633880" w:rsidRPr="000C3818" w14:paraId="02C4A5F2" w14:textId="77777777" w:rsidTr="00F475EF">
        <w:trPr>
          <w:cantSplit/>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hideMark/>
          </w:tcPr>
          <w:p w14:paraId="000D2919" w14:textId="77777777" w:rsidR="00633880" w:rsidRPr="000C3818" w:rsidRDefault="00633880" w:rsidP="00F475EF">
            <w:pPr>
              <w:spacing w:before="60" w:after="60"/>
              <w:rPr>
                <w:rFonts w:ascii="Arial" w:hAnsi="Arial" w:cs="Arial"/>
                <w:sz w:val="20"/>
                <w:szCs w:val="20"/>
              </w:rPr>
            </w:pPr>
            <w:r>
              <w:rPr>
                <w:rFonts w:ascii="Arial" w:hAnsi="Arial"/>
                <w:bCs/>
                <w:sz w:val="20"/>
                <w:szCs w:val="20"/>
              </w:rPr>
              <w:t>5.</w:t>
            </w:r>
          </w:p>
        </w:tc>
        <w:tc>
          <w:tcPr>
            <w:tcW w:w="2628" w:type="pct"/>
            <w:tcBorders>
              <w:top w:val="single" w:sz="4" w:space="0" w:color="auto"/>
              <w:left w:val="single" w:sz="4" w:space="0" w:color="auto"/>
              <w:bottom w:val="single" w:sz="4" w:space="0" w:color="auto"/>
              <w:right w:val="single" w:sz="4" w:space="0" w:color="auto"/>
            </w:tcBorders>
            <w:shd w:val="clear" w:color="auto" w:fill="auto"/>
            <w:noWrap/>
            <w:hideMark/>
          </w:tcPr>
          <w:p w14:paraId="13EE4953" w14:textId="77777777" w:rsidR="00633880" w:rsidRPr="005D5710" w:rsidRDefault="00633880" w:rsidP="00F475EF">
            <w:pPr>
              <w:spacing w:before="60" w:after="60"/>
              <w:jc w:val="both"/>
              <w:rPr>
                <w:rFonts w:ascii="Arial" w:hAnsi="Arial" w:cs="Arial"/>
                <w:bCs/>
                <w:sz w:val="18"/>
                <w:szCs w:val="18"/>
              </w:rPr>
            </w:pPr>
            <w:r>
              <w:rPr>
                <w:rFonts w:ascii="Arial" w:hAnsi="Arial"/>
                <w:bCs/>
                <w:sz w:val="18"/>
                <w:szCs w:val="18"/>
              </w:rPr>
              <w:t>Participation aux sessions du Comité et de ses organes consultatifs, d’experts du patrimoine culturel immatériel représentant des pays en développement parties à la Convention mais non membres du Comité ;</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B332"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3,25 %</w:t>
            </w:r>
          </w:p>
        </w:tc>
        <w:tc>
          <w:tcPr>
            <w:tcW w:w="703" w:type="pct"/>
            <w:tcBorders>
              <w:top w:val="dashed" w:sz="4" w:space="0" w:color="auto"/>
              <w:left w:val="dashed" w:sz="4" w:space="0" w:color="auto"/>
              <w:bottom w:val="dashed" w:sz="4" w:space="0" w:color="auto"/>
              <w:right w:val="dashed" w:sz="4" w:space="0" w:color="auto"/>
            </w:tcBorders>
            <w:vAlign w:val="center"/>
          </w:tcPr>
          <w:p w14:paraId="390A5595" w14:textId="77777777" w:rsidR="00633880" w:rsidRDefault="00633880" w:rsidP="00F475EF">
            <w:pPr>
              <w:spacing w:before="60" w:after="60"/>
              <w:jc w:val="right"/>
              <w:rPr>
                <w:rFonts w:ascii="Arial" w:hAnsi="Arial" w:cs="Arial"/>
                <w:sz w:val="20"/>
                <w:szCs w:val="20"/>
              </w:rPr>
            </w:pPr>
            <w:r>
              <w:rPr>
                <w:rFonts w:ascii="Arial" w:hAnsi="Arial"/>
                <w:sz w:val="20"/>
                <w:szCs w:val="20"/>
              </w:rPr>
              <w:t>279 205 $</w:t>
            </w:r>
          </w:p>
        </w:tc>
        <w:tc>
          <w:tcPr>
            <w:tcW w:w="697" w:type="pct"/>
            <w:tcBorders>
              <w:top w:val="dashed" w:sz="4" w:space="0" w:color="auto"/>
              <w:left w:val="dashed" w:sz="4" w:space="0" w:color="auto"/>
              <w:bottom w:val="dashed" w:sz="4" w:space="0" w:color="auto"/>
              <w:right w:val="dashed" w:sz="4" w:space="0" w:color="auto"/>
            </w:tcBorders>
            <w:vAlign w:val="center"/>
          </w:tcPr>
          <w:p w14:paraId="5C820347" w14:textId="77777777" w:rsidR="00633880" w:rsidRPr="000C3818" w:rsidRDefault="00633880" w:rsidP="00F475EF">
            <w:pPr>
              <w:spacing w:before="60" w:after="60"/>
              <w:jc w:val="right"/>
              <w:rPr>
                <w:rFonts w:ascii="Arial" w:hAnsi="Arial" w:cs="Arial"/>
                <w:sz w:val="20"/>
                <w:szCs w:val="20"/>
              </w:rPr>
            </w:pPr>
            <w:r>
              <w:rPr>
                <w:rFonts w:ascii="Arial" w:hAnsi="Arial"/>
                <w:sz w:val="20"/>
                <w:szCs w:val="20"/>
              </w:rPr>
              <w:t xml:space="preserve">69 801 $ </w:t>
            </w:r>
          </w:p>
        </w:tc>
      </w:tr>
      <w:tr w:rsidR="00633880" w:rsidRPr="000C3818" w14:paraId="7E30BDFE" w14:textId="77777777" w:rsidTr="00F475EF">
        <w:trPr>
          <w:cantSplit/>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hideMark/>
          </w:tcPr>
          <w:p w14:paraId="4D1EDEA6" w14:textId="77777777" w:rsidR="00633880" w:rsidRPr="000C3818" w:rsidRDefault="00633880" w:rsidP="00F475EF">
            <w:pPr>
              <w:spacing w:before="60" w:after="60"/>
              <w:rPr>
                <w:rFonts w:ascii="Arial" w:hAnsi="Arial" w:cs="Arial"/>
                <w:sz w:val="20"/>
                <w:szCs w:val="20"/>
              </w:rPr>
            </w:pPr>
            <w:r>
              <w:rPr>
                <w:rFonts w:ascii="Arial" w:hAnsi="Arial"/>
                <w:bCs/>
                <w:sz w:val="20"/>
                <w:szCs w:val="20"/>
              </w:rPr>
              <w:t>6.</w:t>
            </w:r>
          </w:p>
        </w:tc>
        <w:tc>
          <w:tcPr>
            <w:tcW w:w="2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66D1" w14:textId="77777777" w:rsidR="00633880" w:rsidRPr="005D5710" w:rsidRDefault="00633880" w:rsidP="00F475EF">
            <w:pPr>
              <w:spacing w:before="60" w:after="60"/>
              <w:jc w:val="both"/>
              <w:rPr>
                <w:rFonts w:ascii="Arial" w:hAnsi="Arial" w:cs="Arial"/>
                <w:bCs/>
                <w:sz w:val="18"/>
                <w:szCs w:val="18"/>
              </w:rPr>
            </w:pPr>
            <w:r>
              <w:rPr>
                <w:rFonts w:ascii="Arial" w:hAnsi="Arial"/>
                <w:sz w:val="18"/>
                <w:szCs w:val="18"/>
              </w:rPr>
              <w:t>Participation aux sessions du Comité, de son Bureau et de ses organes consultatifs, d’organismes publics ou privés et de personnes physiques, notamment de membres de communautés ou de groupes, qui ont été invités par le Comité à prendre part à ces réunions à titre consultatif sur des questions spécifiques, ainsi que d’experts du patrimoine culturel immatériel représentant des ONG accréditées de pays en développement ;</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289C"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4,00 %</w:t>
            </w:r>
          </w:p>
        </w:tc>
        <w:tc>
          <w:tcPr>
            <w:tcW w:w="703" w:type="pct"/>
            <w:tcBorders>
              <w:top w:val="dashed" w:sz="4" w:space="0" w:color="auto"/>
              <w:left w:val="dashed" w:sz="4" w:space="0" w:color="auto"/>
              <w:bottom w:val="dashed" w:sz="4" w:space="0" w:color="auto"/>
              <w:right w:val="dashed" w:sz="4" w:space="0" w:color="auto"/>
            </w:tcBorders>
            <w:vAlign w:val="center"/>
          </w:tcPr>
          <w:p w14:paraId="0E73A37E" w14:textId="77777777" w:rsidR="00633880" w:rsidRDefault="00633880" w:rsidP="00F475EF">
            <w:pPr>
              <w:spacing w:before="60" w:after="60"/>
              <w:jc w:val="right"/>
              <w:rPr>
                <w:rFonts w:ascii="Arial" w:hAnsi="Arial" w:cs="Arial"/>
                <w:sz w:val="20"/>
                <w:szCs w:val="20"/>
              </w:rPr>
            </w:pPr>
            <w:r>
              <w:rPr>
                <w:rFonts w:ascii="Arial" w:hAnsi="Arial"/>
                <w:sz w:val="20"/>
                <w:szCs w:val="20"/>
              </w:rPr>
              <w:t>343 637 $</w:t>
            </w:r>
          </w:p>
        </w:tc>
        <w:tc>
          <w:tcPr>
            <w:tcW w:w="697" w:type="pct"/>
            <w:tcBorders>
              <w:top w:val="dashed" w:sz="4" w:space="0" w:color="auto"/>
              <w:left w:val="dashed" w:sz="4" w:space="0" w:color="auto"/>
              <w:bottom w:val="dashed" w:sz="4" w:space="0" w:color="auto"/>
              <w:right w:val="dashed" w:sz="4" w:space="0" w:color="auto"/>
            </w:tcBorders>
            <w:vAlign w:val="center"/>
          </w:tcPr>
          <w:p w14:paraId="0553E2CE" w14:textId="77777777" w:rsidR="00633880" w:rsidRPr="000C3818" w:rsidRDefault="00633880" w:rsidP="00F475EF">
            <w:pPr>
              <w:spacing w:before="60" w:after="60"/>
              <w:jc w:val="right"/>
              <w:rPr>
                <w:rFonts w:ascii="Arial" w:hAnsi="Arial" w:cs="Arial"/>
                <w:sz w:val="20"/>
                <w:szCs w:val="20"/>
              </w:rPr>
            </w:pPr>
            <w:r>
              <w:rPr>
                <w:rFonts w:ascii="Arial" w:hAnsi="Arial"/>
                <w:sz w:val="20"/>
                <w:szCs w:val="20"/>
              </w:rPr>
              <w:t>85 909 $</w:t>
            </w:r>
          </w:p>
        </w:tc>
      </w:tr>
      <w:tr w:rsidR="00633880" w:rsidRPr="000C3818" w14:paraId="5487AF3F" w14:textId="77777777" w:rsidTr="00F475EF">
        <w:trPr>
          <w:cantSplit/>
          <w:trHeight w:val="737"/>
          <w:jc w:val="center"/>
        </w:trPr>
        <w:tc>
          <w:tcPr>
            <w:tcW w:w="238" w:type="pct"/>
            <w:tcBorders>
              <w:top w:val="single" w:sz="4" w:space="0" w:color="auto"/>
              <w:left w:val="single" w:sz="4" w:space="0" w:color="auto"/>
              <w:bottom w:val="single" w:sz="4" w:space="0" w:color="auto"/>
              <w:right w:val="single" w:sz="4" w:space="0" w:color="auto"/>
            </w:tcBorders>
            <w:shd w:val="clear" w:color="auto" w:fill="auto"/>
            <w:hideMark/>
          </w:tcPr>
          <w:p w14:paraId="2EF5AC37" w14:textId="77777777" w:rsidR="00633880" w:rsidRPr="000C3818" w:rsidRDefault="00633880" w:rsidP="00F475EF">
            <w:pPr>
              <w:spacing w:before="60" w:after="60"/>
              <w:rPr>
                <w:rFonts w:ascii="Arial" w:hAnsi="Arial" w:cs="Arial"/>
                <w:sz w:val="20"/>
                <w:szCs w:val="20"/>
              </w:rPr>
            </w:pPr>
            <w:r>
              <w:rPr>
                <w:rFonts w:ascii="Arial" w:hAnsi="Arial"/>
                <w:bCs/>
                <w:sz w:val="20"/>
                <w:szCs w:val="20"/>
              </w:rPr>
              <w:lastRenderedPageBreak/>
              <w:t>7.</w:t>
            </w:r>
          </w:p>
        </w:tc>
        <w:tc>
          <w:tcPr>
            <w:tcW w:w="2628" w:type="pct"/>
            <w:tcBorders>
              <w:top w:val="single" w:sz="4" w:space="0" w:color="auto"/>
              <w:left w:val="single" w:sz="4" w:space="0" w:color="auto"/>
              <w:bottom w:val="single" w:sz="4" w:space="0" w:color="auto"/>
              <w:right w:val="single" w:sz="4" w:space="0" w:color="auto"/>
            </w:tcBorders>
            <w:shd w:val="clear" w:color="auto" w:fill="auto"/>
            <w:hideMark/>
          </w:tcPr>
          <w:p w14:paraId="21DC8609" w14:textId="77777777" w:rsidR="00633880" w:rsidRPr="005D5710" w:rsidRDefault="00633880" w:rsidP="00F475EF">
            <w:pPr>
              <w:spacing w:before="60" w:after="60"/>
              <w:jc w:val="both"/>
              <w:rPr>
                <w:rFonts w:ascii="Arial" w:hAnsi="Arial" w:cs="Arial"/>
                <w:bCs/>
                <w:sz w:val="18"/>
                <w:szCs w:val="18"/>
              </w:rPr>
            </w:pPr>
            <w:r>
              <w:rPr>
                <w:rFonts w:ascii="Arial" w:hAnsi="Arial"/>
                <w:sz w:val="18"/>
                <w:szCs w:val="18"/>
              </w:rPr>
              <w:t>Coûts des services consultatifs devant être fournis à la demande du Comité, y compris l’aide aux pays en développement dont les représentants ont été nommés membres de l’Organe d’évaluation ;</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C8C2"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6,00 %</w:t>
            </w:r>
          </w:p>
        </w:tc>
        <w:tc>
          <w:tcPr>
            <w:tcW w:w="703" w:type="pct"/>
            <w:tcBorders>
              <w:top w:val="dashed" w:sz="4" w:space="0" w:color="auto"/>
              <w:left w:val="dashed" w:sz="4" w:space="0" w:color="auto"/>
              <w:bottom w:val="dashed" w:sz="4" w:space="0" w:color="auto"/>
              <w:right w:val="dashed" w:sz="4" w:space="0" w:color="auto"/>
            </w:tcBorders>
            <w:vAlign w:val="center"/>
          </w:tcPr>
          <w:p w14:paraId="66388ADF" w14:textId="77777777" w:rsidR="00633880" w:rsidRDefault="00633880" w:rsidP="00F475EF">
            <w:pPr>
              <w:spacing w:before="60" w:after="60"/>
              <w:jc w:val="right"/>
              <w:rPr>
                <w:rFonts w:ascii="Arial" w:hAnsi="Arial" w:cs="Arial"/>
                <w:sz w:val="20"/>
                <w:szCs w:val="20"/>
              </w:rPr>
            </w:pPr>
            <w:r>
              <w:rPr>
                <w:rFonts w:ascii="Arial" w:hAnsi="Arial"/>
                <w:sz w:val="20"/>
                <w:szCs w:val="20"/>
              </w:rPr>
              <w:t>515 455 $</w:t>
            </w:r>
          </w:p>
        </w:tc>
        <w:tc>
          <w:tcPr>
            <w:tcW w:w="697" w:type="pct"/>
            <w:tcBorders>
              <w:top w:val="dashed" w:sz="4" w:space="0" w:color="auto"/>
              <w:left w:val="dashed" w:sz="4" w:space="0" w:color="auto"/>
              <w:bottom w:val="dashed" w:sz="4" w:space="0" w:color="auto"/>
              <w:right w:val="dashed" w:sz="4" w:space="0" w:color="auto"/>
            </w:tcBorders>
            <w:vAlign w:val="center"/>
          </w:tcPr>
          <w:p w14:paraId="22348965" w14:textId="77777777" w:rsidR="00633880" w:rsidRPr="000C3818" w:rsidRDefault="00633880" w:rsidP="00F475EF">
            <w:pPr>
              <w:spacing w:before="60" w:after="60"/>
              <w:jc w:val="right"/>
              <w:rPr>
                <w:rFonts w:ascii="Arial" w:hAnsi="Arial" w:cs="Arial"/>
                <w:sz w:val="20"/>
                <w:szCs w:val="20"/>
              </w:rPr>
            </w:pPr>
            <w:r>
              <w:rPr>
                <w:rFonts w:ascii="Arial" w:hAnsi="Arial"/>
                <w:sz w:val="20"/>
                <w:szCs w:val="20"/>
              </w:rPr>
              <w:t xml:space="preserve">128 864 $ </w:t>
            </w:r>
          </w:p>
        </w:tc>
      </w:tr>
      <w:tr w:rsidR="00633880" w:rsidRPr="000C3818" w14:paraId="5980990A" w14:textId="77777777" w:rsidTr="00F475EF">
        <w:trPr>
          <w:cantSplit/>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hideMark/>
          </w:tcPr>
          <w:p w14:paraId="745AEFA1" w14:textId="77777777" w:rsidR="00633880" w:rsidRPr="000C3818" w:rsidRDefault="00633880" w:rsidP="00F475EF">
            <w:pPr>
              <w:spacing w:before="60" w:after="60"/>
              <w:rPr>
                <w:rFonts w:ascii="Arial" w:hAnsi="Arial" w:cs="Arial"/>
                <w:sz w:val="20"/>
                <w:szCs w:val="20"/>
              </w:rPr>
            </w:pPr>
            <w:r>
              <w:rPr>
                <w:rFonts w:ascii="Arial" w:hAnsi="Arial"/>
                <w:bCs/>
                <w:sz w:val="20"/>
                <w:szCs w:val="20"/>
              </w:rPr>
              <w:t>8.</w:t>
            </w:r>
          </w:p>
        </w:tc>
        <w:tc>
          <w:tcPr>
            <w:tcW w:w="2628" w:type="pct"/>
            <w:tcBorders>
              <w:top w:val="single" w:sz="4" w:space="0" w:color="auto"/>
              <w:left w:val="single" w:sz="4" w:space="0" w:color="auto"/>
              <w:bottom w:val="single" w:sz="4" w:space="0" w:color="auto"/>
              <w:right w:val="single" w:sz="4" w:space="0" w:color="auto"/>
            </w:tcBorders>
            <w:shd w:val="clear" w:color="auto" w:fill="auto"/>
            <w:noWrap/>
            <w:hideMark/>
          </w:tcPr>
          <w:p w14:paraId="5FA7FB55" w14:textId="77777777" w:rsidR="00633880" w:rsidRPr="005D5710" w:rsidRDefault="00633880" w:rsidP="00F475EF">
            <w:pPr>
              <w:spacing w:before="60" w:after="60"/>
              <w:jc w:val="both"/>
              <w:rPr>
                <w:rFonts w:ascii="Arial" w:hAnsi="Arial" w:cs="Arial"/>
                <w:bCs/>
                <w:sz w:val="18"/>
                <w:szCs w:val="18"/>
              </w:rPr>
            </w:pPr>
            <w:r>
              <w:rPr>
                <w:rFonts w:ascii="Arial" w:hAnsi="Arial"/>
                <w:sz w:val="18"/>
                <w:szCs w:val="18"/>
              </w:rPr>
              <w:t>Alimentation du Fonds de réserve visé à l’article 6 du Règlement financier du Fonds.</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1D1DB"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0 %</w:t>
            </w:r>
          </w:p>
        </w:tc>
        <w:tc>
          <w:tcPr>
            <w:tcW w:w="703" w:type="pct"/>
            <w:tcBorders>
              <w:top w:val="dashed" w:sz="4" w:space="0" w:color="auto"/>
              <w:left w:val="dashed" w:sz="4" w:space="0" w:color="auto"/>
              <w:bottom w:val="dashed" w:sz="4" w:space="0" w:color="auto"/>
              <w:right w:val="dashed" w:sz="4" w:space="0" w:color="auto"/>
            </w:tcBorders>
            <w:vAlign w:val="center"/>
          </w:tcPr>
          <w:p w14:paraId="25BCA091" w14:textId="77777777" w:rsidR="00633880" w:rsidRDefault="00633880" w:rsidP="00F475EF">
            <w:pPr>
              <w:spacing w:before="60" w:after="60"/>
              <w:jc w:val="center"/>
              <w:rPr>
                <w:rFonts w:ascii="Arial" w:hAnsi="Arial" w:cs="Arial"/>
                <w:sz w:val="20"/>
                <w:szCs w:val="20"/>
              </w:rPr>
            </w:pPr>
            <w:r>
              <w:rPr>
                <w:rFonts w:ascii="Arial" w:hAnsi="Arial"/>
                <w:sz w:val="20"/>
                <w:szCs w:val="20"/>
              </w:rPr>
              <w:t>-</w:t>
            </w:r>
          </w:p>
        </w:tc>
        <w:tc>
          <w:tcPr>
            <w:tcW w:w="697" w:type="pct"/>
            <w:tcBorders>
              <w:top w:val="dashed" w:sz="4" w:space="0" w:color="auto"/>
              <w:left w:val="dashed" w:sz="4" w:space="0" w:color="auto"/>
              <w:bottom w:val="dashed" w:sz="4" w:space="0" w:color="auto"/>
              <w:right w:val="dashed" w:sz="4" w:space="0" w:color="auto"/>
            </w:tcBorders>
            <w:vAlign w:val="center"/>
          </w:tcPr>
          <w:p w14:paraId="5068A4A1" w14:textId="77777777" w:rsidR="00633880" w:rsidRPr="000C3818" w:rsidRDefault="00633880" w:rsidP="00F475EF">
            <w:pPr>
              <w:spacing w:before="60" w:after="60"/>
              <w:jc w:val="center"/>
              <w:rPr>
                <w:rFonts w:ascii="Arial" w:hAnsi="Arial" w:cs="Arial"/>
                <w:sz w:val="20"/>
                <w:szCs w:val="20"/>
              </w:rPr>
            </w:pPr>
            <w:r>
              <w:rPr>
                <w:rFonts w:ascii="Arial" w:hAnsi="Arial"/>
                <w:sz w:val="20"/>
                <w:szCs w:val="20"/>
              </w:rPr>
              <w:t>-</w:t>
            </w:r>
          </w:p>
        </w:tc>
      </w:tr>
      <w:tr w:rsidR="00633880" w:rsidRPr="000C3818" w14:paraId="241FA844" w14:textId="77777777" w:rsidTr="00F475EF">
        <w:trPr>
          <w:cantSplit/>
          <w:trHeight w:val="255"/>
          <w:jc w:val="center"/>
        </w:trPr>
        <w:tc>
          <w:tcPr>
            <w:tcW w:w="28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0BB2" w14:textId="77777777" w:rsidR="00633880" w:rsidRPr="000C3818" w:rsidRDefault="00633880" w:rsidP="00F475EF">
            <w:pPr>
              <w:spacing w:before="60" w:after="60"/>
              <w:rPr>
                <w:rFonts w:ascii="Arial" w:hAnsi="Arial" w:cs="Arial"/>
                <w:b/>
                <w:bCs/>
                <w:sz w:val="20"/>
                <w:szCs w:val="20"/>
              </w:rPr>
            </w:pPr>
            <w:r>
              <w:rPr>
                <w:rFonts w:ascii="Arial" w:hAnsi="Arial"/>
                <w:b/>
                <w:bCs/>
                <w:sz w:val="20"/>
                <w:szCs w:val="20"/>
              </w:rPr>
              <w:t>TOTAL</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7730" w14:textId="77777777" w:rsidR="00633880" w:rsidRPr="006A7CFC" w:rsidRDefault="00633880" w:rsidP="00F475EF">
            <w:pPr>
              <w:spacing w:before="60" w:after="60"/>
              <w:jc w:val="right"/>
              <w:rPr>
                <w:rFonts w:ascii="Arial" w:hAnsi="Arial" w:cs="Arial"/>
                <w:b/>
                <w:bCs/>
                <w:sz w:val="19"/>
                <w:szCs w:val="19"/>
              </w:rPr>
            </w:pPr>
            <w:r w:rsidRPr="006A7CFC">
              <w:rPr>
                <w:rFonts w:ascii="Arial" w:hAnsi="Arial"/>
                <w:b/>
                <w:bCs/>
                <w:sz w:val="19"/>
                <w:szCs w:val="19"/>
              </w:rPr>
              <w:t>100,00 %</w:t>
            </w:r>
          </w:p>
        </w:tc>
        <w:tc>
          <w:tcPr>
            <w:tcW w:w="703" w:type="pct"/>
            <w:tcBorders>
              <w:top w:val="dashed" w:sz="4" w:space="0" w:color="auto"/>
              <w:left w:val="dashed" w:sz="4" w:space="0" w:color="auto"/>
              <w:bottom w:val="single" w:sz="4" w:space="0" w:color="auto"/>
              <w:right w:val="dashed" w:sz="4" w:space="0" w:color="auto"/>
            </w:tcBorders>
            <w:vAlign w:val="center"/>
          </w:tcPr>
          <w:p w14:paraId="1BBE703D" w14:textId="77777777" w:rsidR="00633880" w:rsidRPr="006A7CFC" w:rsidRDefault="00633880" w:rsidP="00F475EF">
            <w:pPr>
              <w:spacing w:before="60" w:after="60"/>
              <w:jc w:val="right"/>
              <w:rPr>
                <w:rFonts w:ascii="Arial" w:hAnsi="Arial" w:cs="Arial"/>
                <w:b/>
                <w:bCs/>
                <w:sz w:val="19"/>
                <w:szCs w:val="19"/>
              </w:rPr>
            </w:pPr>
            <w:r w:rsidRPr="006A7CFC">
              <w:rPr>
                <w:rFonts w:ascii="Arial" w:hAnsi="Arial"/>
                <w:b/>
                <w:bCs/>
                <w:sz w:val="19"/>
                <w:szCs w:val="19"/>
              </w:rPr>
              <w:t>8 590 922 $</w:t>
            </w:r>
          </w:p>
        </w:tc>
        <w:tc>
          <w:tcPr>
            <w:tcW w:w="697" w:type="pct"/>
            <w:tcBorders>
              <w:top w:val="dashed" w:sz="4" w:space="0" w:color="auto"/>
              <w:left w:val="dashed" w:sz="4" w:space="0" w:color="auto"/>
              <w:bottom w:val="single" w:sz="4" w:space="0" w:color="auto"/>
              <w:right w:val="dashed" w:sz="4" w:space="0" w:color="auto"/>
            </w:tcBorders>
          </w:tcPr>
          <w:p w14:paraId="73E49B1D" w14:textId="77777777" w:rsidR="00633880" w:rsidRPr="006A7CFC" w:rsidRDefault="00633880" w:rsidP="00F475EF">
            <w:pPr>
              <w:spacing w:before="60" w:after="60"/>
              <w:jc w:val="right"/>
              <w:rPr>
                <w:rFonts w:ascii="Arial" w:hAnsi="Arial" w:cs="Arial"/>
                <w:b/>
                <w:bCs/>
                <w:sz w:val="19"/>
                <w:szCs w:val="19"/>
              </w:rPr>
            </w:pPr>
            <w:r w:rsidRPr="006A7CFC">
              <w:rPr>
                <w:rFonts w:ascii="Arial" w:hAnsi="Arial"/>
                <w:b/>
                <w:bCs/>
                <w:sz w:val="19"/>
                <w:szCs w:val="19"/>
              </w:rPr>
              <w:t>2 147 731 $</w:t>
            </w:r>
          </w:p>
        </w:tc>
      </w:tr>
    </w:tbl>
    <w:p w14:paraId="1C6F5235" w14:textId="65453B7D" w:rsidR="00C92689" w:rsidRPr="00AE0C2C" w:rsidRDefault="00AE0C2C" w:rsidP="00F475EF">
      <w:pPr>
        <w:pStyle w:val="GATitleResolution"/>
      </w:pPr>
      <w:r>
        <w:t>RÉSOLUTION 7</w:t>
      </w:r>
      <w:r w:rsidR="00C92689" w:rsidRPr="0049163C">
        <w:t>.GA 9</w:t>
      </w:r>
    </w:p>
    <w:p w14:paraId="58A1A046" w14:textId="77777777" w:rsidR="00AE0C2C" w:rsidRPr="00127F14" w:rsidRDefault="00AE0C2C" w:rsidP="00AE0C2C">
      <w:pPr>
        <w:pStyle w:val="GAPreambulaResolution"/>
      </w:pPr>
      <w:r w:rsidRPr="00127F14">
        <w:t>L</w:t>
      </w:r>
      <w:r>
        <w:t>’</w:t>
      </w:r>
      <w:r w:rsidRPr="00127F14">
        <w:t>Assemblée générale,</w:t>
      </w:r>
    </w:p>
    <w:p w14:paraId="4B8E838E" w14:textId="495B750E" w:rsidR="00AE0C2C" w:rsidRPr="00127F14" w:rsidRDefault="00AE0C2C" w:rsidP="00655685">
      <w:pPr>
        <w:pStyle w:val="COMParaDecision"/>
        <w:numPr>
          <w:ilvl w:val="0"/>
          <w:numId w:val="11"/>
        </w:numPr>
        <w:tabs>
          <w:tab w:val="left" w:pos="567"/>
        </w:tabs>
        <w:ind w:left="567" w:hanging="567"/>
      </w:pPr>
      <w:r w:rsidRPr="00127F14">
        <w:t>Ayant examiné</w:t>
      </w:r>
      <w:r w:rsidRPr="00AE0C2C">
        <w:rPr>
          <w:u w:val="none"/>
        </w:rPr>
        <w:t xml:space="preserve"> le document </w:t>
      </w:r>
      <w:hyperlink r:id="rId20" w:history="1">
        <w:r w:rsidRPr="00B037E4">
          <w:rPr>
            <w:rStyle w:val="Hyperlink"/>
          </w:rPr>
          <w:t>ITH/18/7.GA/9</w:t>
        </w:r>
      </w:hyperlink>
      <w:r w:rsidRPr="00AE0C2C">
        <w:rPr>
          <w:u w:val="none"/>
        </w:rPr>
        <w:t xml:space="preserve"> et son annexe,</w:t>
      </w:r>
    </w:p>
    <w:p w14:paraId="3559CE88" w14:textId="77777777" w:rsidR="00AE0C2C" w:rsidRPr="00127F14" w:rsidRDefault="00AE0C2C" w:rsidP="00655685">
      <w:pPr>
        <w:pStyle w:val="COMParaDecision"/>
        <w:numPr>
          <w:ilvl w:val="0"/>
          <w:numId w:val="11"/>
        </w:numPr>
        <w:tabs>
          <w:tab w:val="left" w:pos="567"/>
        </w:tabs>
        <w:ind w:left="567" w:hanging="567"/>
      </w:pPr>
      <w:r w:rsidRPr="00127F14">
        <w:t>Remerciant</w:t>
      </w:r>
      <w:r w:rsidRPr="00AE0C2C">
        <w:rPr>
          <w:u w:val="none"/>
        </w:rPr>
        <w:t xml:space="preserve"> la République populaire de Chine d’avoir généreusement accueilli et cofinancé la réunion d’experts de septembre 2016 et le groupe de travail intergouvernemental à composition non limitée en juin 2017, deux étapes essentielles de l’élaboration d’un cadre global de résultats,</w:t>
      </w:r>
    </w:p>
    <w:p w14:paraId="5154F91E" w14:textId="77777777" w:rsidR="00AE0C2C" w:rsidRPr="00127F14" w:rsidRDefault="00AE0C2C" w:rsidP="00655685">
      <w:pPr>
        <w:pStyle w:val="COMParaDecision"/>
        <w:numPr>
          <w:ilvl w:val="0"/>
          <w:numId w:val="11"/>
        </w:numPr>
        <w:tabs>
          <w:tab w:val="left" w:pos="567"/>
        </w:tabs>
        <w:ind w:left="567" w:hanging="567"/>
      </w:pPr>
      <w:r w:rsidRPr="00127F14">
        <w:t>Approuve</w:t>
      </w:r>
      <w:r w:rsidRPr="00AE0C2C">
        <w:rPr>
          <w:u w:val="none"/>
        </w:rPr>
        <w:t xml:space="preserve"> le cadre global de résultats pour la Convention de 2003, tel qu’il figure en annexe de cette résolution ;</w:t>
      </w:r>
    </w:p>
    <w:p w14:paraId="43E5D934" w14:textId="77777777" w:rsidR="00AE0C2C" w:rsidRPr="00127F14" w:rsidRDefault="00AE0C2C" w:rsidP="00655685">
      <w:pPr>
        <w:pStyle w:val="COMParaDecision"/>
        <w:numPr>
          <w:ilvl w:val="0"/>
          <w:numId w:val="11"/>
        </w:numPr>
        <w:tabs>
          <w:tab w:val="left" w:pos="567"/>
        </w:tabs>
        <w:ind w:left="567" w:hanging="567"/>
      </w:pPr>
      <w:r w:rsidRPr="00127F14">
        <w:t>Prend note</w:t>
      </w:r>
      <w:r w:rsidRPr="00ED72CD">
        <w:rPr>
          <w:u w:val="none"/>
        </w:rPr>
        <w:t xml:space="preserve"> que le cadre global de résultats devra s’accompagner d’une révision du formulaire ICH-10 pour la soumission des rapports périodiques et </w:t>
      </w:r>
      <w:r w:rsidRPr="00F8150E">
        <w:t>demande</w:t>
      </w:r>
      <w:r w:rsidRPr="00ED72CD">
        <w:rPr>
          <w:u w:val="none"/>
        </w:rPr>
        <w:t xml:space="preserve"> au Secrétariat de le réviser en conséquence ;</w:t>
      </w:r>
    </w:p>
    <w:p w14:paraId="63CA698B" w14:textId="77777777" w:rsidR="00AE0C2C" w:rsidRPr="00ED72CD" w:rsidRDefault="00AE0C2C" w:rsidP="00655685">
      <w:pPr>
        <w:pStyle w:val="COMParaDecision"/>
        <w:numPr>
          <w:ilvl w:val="0"/>
          <w:numId w:val="11"/>
        </w:numPr>
        <w:tabs>
          <w:tab w:val="left" w:pos="567"/>
        </w:tabs>
        <w:ind w:left="567" w:hanging="567"/>
        <w:rPr>
          <w:u w:val="none"/>
        </w:rPr>
      </w:pPr>
      <w:r w:rsidRPr="00127F14">
        <w:t>Encourage</w:t>
      </w:r>
      <w:r w:rsidRPr="00ED72CD">
        <w:rPr>
          <w:u w:val="none"/>
        </w:rPr>
        <w:t xml:space="preserve"> le Secrétariat à continuer à élaborer des notes d’orientation et d’autres supports d’information pour aider les États parties et les autres acteurs à mettre en œuvre le cadre global de résultats, et en particulier à définir des cibles et des bases de départ au niveau national ;</w:t>
      </w:r>
    </w:p>
    <w:p w14:paraId="673FE88A" w14:textId="66F707C4" w:rsidR="00AE0C2C" w:rsidRPr="00ED72CD" w:rsidRDefault="00AE0C2C" w:rsidP="00655685">
      <w:pPr>
        <w:pStyle w:val="COMParaDecision"/>
        <w:numPr>
          <w:ilvl w:val="0"/>
          <w:numId w:val="11"/>
        </w:numPr>
        <w:tabs>
          <w:tab w:val="left" w:pos="567"/>
        </w:tabs>
        <w:ind w:left="567" w:hanging="567"/>
        <w:rPr>
          <w:u w:val="none"/>
        </w:rPr>
      </w:pPr>
      <w:r w:rsidRPr="00843CE2">
        <w:t>Encourage</w:t>
      </w:r>
      <w:r w:rsidRPr="00052470">
        <w:t xml:space="preserve"> également</w:t>
      </w:r>
      <w:r w:rsidRPr="00ED72CD">
        <w:rPr>
          <w:u w:val="none"/>
        </w:rPr>
        <w:t xml:space="preserve"> le Secrétariat à définir des cibles </w:t>
      </w:r>
      <w:r w:rsidR="00B93246" w:rsidRPr="00ED72CD">
        <w:rPr>
          <w:u w:val="none"/>
        </w:rPr>
        <w:t xml:space="preserve">provisoires </w:t>
      </w:r>
      <w:r w:rsidRPr="00ED72CD">
        <w:rPr>
          <w:u w:val="none"/>
        </w:rPr>
        <w:t xml:space="preserve">et, </w:t>
      </w:r>
      <w:r w:rsidR="00B93246">
        <w:rPr>
          <w:u w:val="none"/>
        </w:rPr>
        <w:t>dans la mesure du</w:t>
      </w:r>
      <w:r w:rsidR="00B93246" w:rsidRPr="00ED72CD">
        <w:rPr>
          <w:u w:val="none"/>
        </w:rPr>
        <w:t xml:space="preserve"> </w:t>
      </w:r>
      <w:r w:rsidRPr="00ED72CD">
        <w:rPr>
          <w:u w:val="none"/>
        </w:rPr>
        <w:t>possible, des bases de départ pour la mise en œuvre du cadre global de résultats au niveau mondial ;</w:t>
      </w:r>
    </w:p>
    <w:p w14:paraId="19C8D751" w14:textId="77777777" w:rsidR="00AE0C2C" w:rsidRPr="00ED72CD" w:rsidRDefault="00AE0C2C" w:rsidP="00655685">
      <w:pPr>
        <w:pStyle w:val="COMParaDecision"/>
        <w:numPr>
          <w:ilvl w:val="0"/>
          <w:numId w:val="11"/>
        </w:numPr>
        <w:tabs>
          <w:tab w:val="left" w:pos="567"/>
        </w:tabs>
        <w:ind w:left="567" w:hanging="567"/>
        <w:rPr>
          <w:u w:val="none"/>
        </w:rPr>
      </w:pPr>
      <w:r w:rsidRPr="00127F14">
        <w:t>Invite</w:t>
      </w:r>
      <w:r w:rsidRPr="00ED72CD">
        <w:rPr>
          <w:u w:val="none"/>
        </w:rPr>
        <w:t xml:space="preserve"> le Secrétariat à élaborer une approche axée sur le renforcement des capacités proposant des supports de formation pour la soumission des rapports périodiques qui seront alignés au cadre global des résultats et, en fonction de la disponibilité de fonds extrabudgétaires, à planifier et à mettre en œuvre des activités de renforcement des capacités pour les États parties et les autres acteurs, dans le contexte du programme global de renforcement des capacités existant, afin de les soutenir dans la mise en œuvre du cadre global de résultats ainsi que dans le processus de soumission des rapports périodiques ;</w:t>
      </w:r>
    </w:p>
    <w:p w14:paraId="15E802A4" w14:textId="4BC05F05" w:rsidR="00F8150E" w:rsidRDefault="00AE0C2C" w:rsidP="00A82031">
      <w:pPr>
        <w:pStyle w:val="COMParaDecision"/>
        <w:numPr>
          <w:ilvl w:val="0"/>
          <w:numId w:val="11"/>
        </w:numPr>
        <w:tabs>
          <w:tab w:val="left" w:pos="567"/>
        </w:tabs>
        <w:ind w:left="567" w:hanging="567"/>
      </w:pPr>
      <w:r w:rsidRPr="00127F14">
        <w:t>Invite aussi</w:t>
      </w:r>
      <w:r w:rsidRPr="00ED72CD">
        <w:rPr>
          <w:u w:val="none"/>
        </w:rPr>
        <w:t xml:space="preserve"> les États parties à verser des contributions volontaires supplémentaires au Fonds du patrimoine culturel immatériel pour soutenir la mise en œuvre de ces activités de renforcement des capacités.</w:t>
      </w:r>
    </w:p>
    <w:p w14:paraId="67049E90" w14:textId="77777777" w:rsidR="00F21C0B" w:rsidRPr="00127F14" w:rsidRDefault="00F21C0B" w:rsidP="00F21C0B">
      <w:pPr>
        <w:pStyle w:val="COMParaDecision"/>
        <w:ind w:firstLine="0"/>
      </w:pPr>
    </w:p>
    <w:p w14:paraId="3743FB0A" w14:textId="77777777" w:rsidR="00F21C0B" w:rsidRPr="00127F14" w:rsidRDefault="00F21C0B" w:rsidP="00F21C0B">
      <w:pPr>
        <w:pStyle w:val="COMParaDecision"/>
        <w:ind w:left="927" w:hanging="360"/>
        <w:sectPr w:rsidR="00F21C0B" w:rsidRPr="00127F14" w:rsidSect="00D70BE7">
          <w:headerReference w:type="even" r:id="rId21"/>
          <w:headerReference w:type="default" r:id="rId22"/>
          <w:headerReference w:type="first" r:id="rId23"/>
          <w:footnotePr>
            <w:numRestart w:val="eachSect"/>
          </w:footnotePr>
          <w:pgSz w:w="11906" w:h="16838" w:code="9"/>
          <w:pgMar w:top="1418" w:right="1134" w:bottom="1134" w:left="1134" w:header="397" w:footer="284" w:gutter="0"/>
          <w:cols w:space="708"/>
          <w:titlePg/>
          <w:docGrid w:linePitch="360"/>
        </w:sectPr>
      </w:pPr>
    </w:p>
    <w:p w14:paraId="46028AB8" w14:textId="77777777" w:rsidR="00F21C0B" w:rsidRPr="005B64FB" w:rsidRDefault="00F21C0B" w:rsidP="00F21C0B">
      <w:pPr>
        <w:jc w:val="center"/>
        <w:rPr>
          <w:rFonts w:ascii="Arial" w:hAnsi="Arial" w:cs="Arial"/>
          <w:b/>
          <w:sz w:val="20"/>
          <w:szCs w:val="20"/>
          <w:u w:val="single"/>
        </w:rPr>
      </w:pPr>
      <w:r w:rsidRPr="005B64FB">
        <w:rPr>
          <w:rFonts w:ascii="Arial" w:hAnsi="Arial"/>
          <w:b/>
          <w:sz w:val="20"/>
          <w:szCs w:val="20"/>
          <w:u w:val="single"/>
        </w:rPr>
        <w:lastRenderedPageBreak/>
        <w:t>ANNEX</w:t>
      </w:r>
      <w:r>
        <w:rPr>
          <w:rFonts w:ascii="Arial" w:hAnsi="Arial"/>
          <w:b/>
          <w:sz w:val="20"/>
          <w:szCs w:val="20"/>
          <w:u w:val="single"/>
        </w:rPr>
        <w:t>E</w:t>
      </w:r>
    </w:p>
    <w:p w14:paraId="6A9097BF" w14:textId="2DF1DD12" w:rsidR="00F21C0B" w:rsidRPr="00D87CA1" w:rsidRDefault="00CE3C89" w:rsidP="00F21C0B">
      <w:pPr>
        <w:spacing w:after="360"/>
        <w:jc w:val="center"/>
        <w:rPr>
          <w:rFonts w:ascii="Arial" w:hAnsi="Arial" w:cs="Arial"/>
          <w:b/>
          <w:sz w:val="20"/>
          <w:szCs w:val="20"/>
        </w:rPr>
      </w:pPr>
      <w:r>
        <w:rPr>
          <w:rFonts w:ascii="Arial" w:hAnsi="Arial"/>
          <w:b/>
          <w:sz w:val="20"/>
          <w:szCs w:val="20"/>
        </w:rPr>
        <w:t>C</w:t>
      </w:r>
      <w:r w:rsidR="00F21C0B" w:rsidRPr="00EC2307">
        <w:rPr>
          <w:rFonts w:ascii="Arial" w:hAnsi="Arial"/>
          <w:b/>
          <w:sz w:val="20"/>
          <w:szCs w:val="20"/>
        </w:rPr>
        <w:t>adre global de résultats</w:t>
      </w:r>
      <w:r w:rsidR="0099095E" w:rsidRPr="0099095E">
        <w:t xml:space="preserve"> </w:t>
      </w:r>
      <w:r w:rsidR="0099095E" w:rsidRPr="00052470">
        <w:rPr>
          <w:rFonts w:ascii="Arial" w:hAnsi="Arial"/>
          <w:b/>
          <w:sz w:val="20"/>
          <w:szCs w:val="20"/>
        </w:rPr>
        <w:t>pour la Convention de 2003</w:t>
      </w:r>
    </w:p>
    <w:p w14:paraId="481A7199" w14:textId="77777777" w:rsidR="00F21C0B" w:rsidRPr="00EC2307" w:rsidRDefault="00F21C0B" w:rsidP="00F21C0B">
      <w:pPr>
        <w:rPr>
          <w:rFonts w:ascii="Arial" w:hAnsi="Arial" w:cs="Arial"/>
          <w:b/>
          <w:smallCaps/>
          <w:sz w:val="20"/>
          <w:szCs w:val="20"/>
        </w:rPr>
      </w:pPr>
      <w:r w:rsidRPr="00EC2307">
        <w:rPr>
          <w:rFonts w:ascii="Arial" w:hAnsi="Arial"/>
          <w:b/>
          <w:smallCaps/>
          <w:sz w:val="20"/>
          <w:szCs w:val="20"/>
        </w:rPr>
        <w:t>Tableau 1 : Cadre de haut niveau avec des indicateurs abrégés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39"/>
        <w:gridCol w:w="1550"/>
        <w:gridCol w:w="74"/>
        <w:gridCol w:w="1625"/>
        <w:gridCol w:w="1573"/>
        <w:gridCol w:w="51"/>
        <w:gridCol w:w="1625"/>
        <w:gridCol w:w="1599"/>
        <w:gridCol w:w="26"/>
        <w:gridCol w:w="1625"/>
        <w:gridCol w:w="1622"/>
      </w:tblGrid>
      <w:tr w:rsidR="00F21C0B" w:rsidRPr="00EC2307" w14:paraId="01270039" w14:textId="77777777" w:rsidTr="00F21C0B">
        <w:trPr>
          <w:cantSplit/>
        </w:trPr>
        <w:tc>
          <w:tcPr>
            <w:tcW w:w="479" w:type="pct"/>
            <w:shd w:val="clear" w:color="auto" w:fill="D9D9D9"/>
            <w:vAlign w:val="center"/>
          </w:tcPr>
          <w:p w14:paraId="3984D40C" w14:textId="77777777" w:rsidR="00F21C0B" w:rsidRPr="00EC2307" w:rsidRDefault="00F21C0B" w:rsidP="00F21C0B">
            <w:pPr>
              <w:spacing w:before="60" w:after="60"/>
              <w:rPr>
                <w:rFonts w:ascii="Arial Narrow" w:hAnsi="Arial Narrow" w:cs="Arial"/>
                <w:b/>
                <w:sz w:val="20"/>
                <w:szCs w:val="20"/>
              </w:rPr>
            </w:pPr>
            <w:r w:rsidRPr="00EC2307">
              <w:rPr>
                <w:rFonts w:ascii="Arial Narrow" w:hAnsi="Arial Narrow"/>
                <w:b/>
                <w:sz w:val="20"/>
                <w:szCs w:val="20"/>
              </w:rPr>
              <w:t>Impacts</w:t>
            </w:r>
          </w:p>
        </w:tc>
        <w:tc>
          <w:tcPr>
            <w:tcW w:w="4521" w:type="pct"/>
            <w:gridSpan w:val="11"/>
            <w:shd w:val="clear" w:color="auto" w:fill="auto"/>
            <w:vAlign w:val="center"/>
          </w:tcPr>
          <w:p w14:paraId="37C7A58E"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Le patrimoine culturel immatériel est sauvegardé par les communautés, groupes et individus qui en assurent la gestion de manière active et continue, contribuant ainsi au développement durable pour le bien-être, la dignité et la créativité humaines dans des sociétés pacifiques et inclusives.</w:t>
            </w:r>
          </w:p>
        </w:tc>
      </w:tr>
      <w:tr w:rsidR="00F21C0B" w:rsidRPr="00EC2307" w14:paraId="1A26EE62" w14:textId="77777777" w:rsidTr="00F21C0B">
        <w:trPr>
          <w:cantSplit/>
        </w:trPr>
        <w:tc>
          <w:tcPr>
            <w:tcW w:w="479" w:type="pct"/>
            <w:shd w:val="clear" w:color="auto" w:fill="D9D9D9"/>
            <w:vAlign w:val="center"/>
          </w:tcPr>
          <w:p w14:paraId="504030B2" w14:textId="77777777" w:rsidR="00F21C0B" w:rsidRPr="00EC2307" w:rsidRDefault="00F21C0B" w:rsidP="00F21C0B">
            <w:pPr>
              <w:spacing w:before="60" w:after="60"/>
              <w:rPr>
                <w:rFonts w:ascii="Arial Narrow" w:hAnsi="Arial Narrow" w:cs="Arial"/>
                <w:b/>
                <w:sz w:val="20"/>
                <w:szCs w:val="20"/>
              </w:rPr>
            </w:pPr>
            <w:r w:rsidRPr="00EC2307">
              <w:rPr>
                <w:rFonts w:ascii="Arial Narrow" w:hAnsi="Arial Narrow"/>
                <w:b/>
                <w:sz w:val="20"/>
                <w:szCs w:val="20"/>
              </w:rPr>
              <w:t>Effets à long terme</w:t>
            </w:r>
          </w:p>
        </w:tc>
        <w:tc>
          <w:tcPr>
            <w:tcW w:w="1082" w:type="pct"/>
            <w:gridSpan w:val="2"/>
            <w:shd w:val="clear" w:color="auto" w:fill="auto"/>
            <w:vAlign w:val="center"/>
          </w:tcPr>
          <w:p w14:paraId="4998FA07"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Pratique et transmission continues du patrimoine culturel immatériel garanties.</w:t>
            </w:r>
          </w:p>
        </w:tc>
        <w:tc>
          <w:tcPr>
            <w:tcW w:w="1146" w:type="pct"/>
            <w:gridSpan w:val="3"/>
            <w:shd w:val="clear" w:color="auto" w:fill="auto"/>
            <w:vAlign w:val="center"/>
          </w:tcPr>
          <w:p w14:paraId="0CBCA9ED"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Diversité du patrimoine culturel immatériel respectée.</w:t>
            </w:r>
          </w:p>
        </w:tc>
        <w:tc>
          <w:tcPr>
            <w:tcW w:w="1147" w:type="pct"/>
            <w:gridSpan w:val="3"/>
            <w:shd w:val="clear" w:color="auto" w:fill="auto"/>
            <w:vAlign w:val="center"/>
          </w:tcPr>
          <w:p w14:paraId="3CCF923C"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Reconnaissance de l</w:t>
            </w:r>
            <w:r>
              <w:rPr>
                <w:rFonts w:ascii="Arial Narrow" w:hAnsi="Arial Narrow"/>
                <w:sz w:val="20"/>
                <w:szCs w:val="20"/>
              </w:rPr>
              <w:t>’</w:t>
            </w:r>
            <w:r w:rsidRPr="00EC2307">
              <w:rPr>
                <w:rFonts w:ascii="Arial Narrow" w:hAnsi="Arial Narrow"/>
                <w:sz w:val="20"/>
                <w:szCs w:val="20"/>
              </w:rPr>
              <w:t>importance du patrimoine culturel immatériel, sensibilisation à son sujet et à sa sauvegarde garanties.</w:t>
            </w:r>
          </w:p>
        </w:tc>
        <w:tc>
          <w:tcPr>
            <w:tcW w:w="1145" w:type="pct"/>
            <w:gridSpan w:val="3"/>
            <w:shd w:val="clear" w:color="auto" w:fill="auto"/>
            <w:vAlign w:val="center"/>
          </w:tcPr>
          <w:p w14:paraId="0229D6ED"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Engagement et coopération internationale pour la sauvegarde renforcés entre toutes les parties prenantes à tous les niveaux.</w:t>
            </w:r>
          </w:p>
        </w:tc>
      </w:tr>
      <w:tr w:rsidR="00F21C0B" w:rsidRPr="00EC2307" w14:paraId="2CF129B9" w14:textId="77777777" w:rsidTr="00F21C0B">
        <w:trPr>
          <w:cantSplit/>
        </w:trPr>
        <w:tc>
          <w:tcPr>
            <w:tcW w:w="479" w:type="pct"/>
            <w:shd w:val="clear" w:color="auto" w:fill="D9D9D9"/>
            <w:vAlign w:val="center"/>
          </w:tcPr>
          <w:p w14:paraId="6293E67D" w14:textId="77777777" w:rsidR="00F21C0B" w:rsidRPr="00EC2307" w:rsidRDefault="00F21C0B" w:rsidP="00F21C0B">
            <w:pPr>
              <w:spacing w:before="60" w:after="60"/>
              <w:rPr>
                <w:rFonts w:ascii="Arial Narrow" w:hAnsi="Arial Narrow" w:cs="Arial"/>
                <w:b/>
                <w:sz w:val="20"/>
                <w:szCs w:val="20"/>
              </w:rPr>
            </w:pPr>
            <w:r w:rsidRPr="00EC2307">
              <w:rPr>
                <w:rFonts w:ascii="Arial Narrow" w:hAnsi="Arial Narrow"/>
                <w:b/>
                <w:sz w:val="20"/>
                <w:szCs w:val="20"/>
              </w:rPr>
              <w:t>Effets à moyen terme</w:t>
            </w:r>
          </w:p>
        </w:tc>
        <w:tc>
          <w:tcPr>
            <w:tcW w:w="4521" w:type="pct"/>
            <w:gridSpan w:val="11"/>
            <w:shd w:val="clear" w:color="auto" w:fill="auto"/>
            <w:vAlign w:val="center"/>
          </w:tcPr>
          <w:p w14:paraId="5EFE45CA"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Relations effectives construites entre divers communautés, groupes et individus et autres parties prenantes pour sauvegarder le patrimoine culturel immatériel.</w:t>
            </w:r>
          </w:p>
          <w:p w14:paraId="5BC8444D"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Élaboration et mise en œuvre dynamiques de mesures ou de plans de sauvegarde pour des éléments spécifiques du patrimoine culturel immatériel menées par divers communautés, groupes et individus.</w:t>
            </w:r>
          </w:p>
        </w:tc>
      </w:tr>
      <w:tr w:rsidR="00F21C0B" w:rsidRPr="00EC2307" w14:paraId="63E680B3" w14:textId="77777777" w:rsidTr="00F21C0B">
        <w:trPr>
          <w:cantSplit/>
        </w:trPr>
        <w:tc>
          <w:tcPr>
            <w:tcW w:w="479" w:type="pct"/>
            <w:shd w:val="clear" w:color="auto" w:fill="D9D9D9"/>
            <w:vAlign w:val="center"/>
          </w:tcPr>
          <w:p w14:paraId="3ADA5953" w14:textId="77777777" w:rsidR="00F21C0B" w:rsidRPr="00EC2307" w:rsidRDefault="00F21C0B" w:rsidP="00F21C0B">
            <w:pPr>
              <w:spacing w:before="60" w:after="60"/>
              <w:rPr>
                <w:rFonts w:ascii="Arial Narrow" w:hAnsi="Arial Narrow" w:cs="Arial"/>
                <w:b/>
                <w:sz w:val="20"/>
                <w:szCs w:val="20"/>
              </w:rPr>
            </w:pPr>
            <w:r w:rsidRPr="00EC2307">
              <w:rPr>
                <w:rFonts w:ascii="Arial Narrow" w:hAnsi="Arial Narrow"/>
                <w:b/>
                <w:sz w:val="20"/>
                <w:szCs w:val="20"/>
              </w:rPr>
              <w:t>Effets à court terme</w:t>
            </w:r>
          </w:p>
        </w:tc>
        <w:tc>
          <w:tcPr>
            <w:tcW w:w="4521" w:type="pct"/>
            <w:gridSpan w:val="11"/>
            <w:shd w:val="clear" w:color="auto" w:fill="auto"/>
            <w:vAlign w:val="center"/>
          </w:tcPr>
          <w:p w14:paraId="65A1AB0E"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Capacités améliorées de soutien à la sauvegarde du patrimoine culturel immatériel en général.</w:t>
            </w:r>
          </w:p>
          <w:p w14:paraId="062C1321"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Capacités améliorées de mise en œuvre de mesures ou de plans de sauvegarde pour des éléments spécifiques du patrimoine culturel immatériel.</w:t>
            </w:r>
          </w:p>
        </w:tc>
      </w:tr>
      <w:tr w:rsidR="00F21C0B" w:rsidRPr="00EC2307" w14:paraId="075CA0CE" w14:textId="77777777" w:rsidTr="00F21C0B">
        <w:trPr>
          <w:cantSplit/>
        </w:trPr>
        <w:tc>
          <w:tcPr>
            <w:tcW w:w="479" w:type="pct"/>
            <w:shd w:val="clear" w:color="auto" w:fill="D9D9D9"/>
            <w:vAlign w:val="center"/>
          </w:tcPr>
          <w:p w14:paraId="1CE43735" w14:textId="77777777" w:rsidR="00F21C0B" w:rsidRPr="00EC2307" w:rsidRDefault="00F21C0B" w:rsidP="00F21C0B">
            <w:pPr>
              <w:spacing w:before="60" w:after="60"/>
              <w:rPr>
                <w:rFonts w:ascii="Arial Narrow" w:hAnsi="Arial Narrow" w:cs="Arial"/>
                <w:b/>
                <w:sz w:val="20"/>
                <w:szCs w:val="20"/>
              </w:rPr>
            </w:pPr>
            <w:r w:rsidRPr="00EC2307">
              <w:rPr>
                <w:rFonts w:ascii="Arial Narrow" w:hAnsi="Arial Narrow"/>
                <w:b/>
                <w:sz w:val="20"/>
                <w:szCs w:val="20"/>
              </w:rPr>
              <w:t>Thématiques</w:t>
            </w:r>
          </w:p>
        </w:tc>
        <w:tc>
          <w:tcPr>
            <w:tcW w:w="539" w:type="pct"/>
            <w:shd w:val="clear" w:color="auto" w:fill="auto"/>
            <w:vAlign w:val="center"/>
          </w:tcPr>
          <w:p w14:paraId="7A26C078"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Capacités institutionnelles et humaines</w:t>
            </w:r>
            <w:r w:rsidRPr="0080591F">
              <w:rPr>
                <w:rFonts w:ascii="Arial Narrow" w:hAnsi="Arial Narrow"/>
                <w:sz w:val="20"/>
                <w:szCs w:val="20"/>
              </w:rPr>
              <w:t xml:space="preserve"> </w:t>
            </w:r>
          </w:p>
        </w:tc>
        <w:tc>
          <w:tcPr>
            <w:tcW w:w="569" w:type="pct"/>
            <w:gridSpan w:val="2"/>
            <w:shd w:val="clear" w:color="auto" w:fill="auto"/>
            <w:vAlign w:val="center"/>
          </w:tcPr>
          <w:p w14:paraId="3BB2C217" w14:textId="77777777" w:rsidR="00F21C0B" w:rsidRPr="00EC2307" w:rsidRDefault="00F21C0B" w:rsidP="00F21C0B">
            <w:pPr>
              <w:spacing w:before="60" w:after="60"/>
              <w:rPr>
                <w:rFonts w:ascii="Arial Narrow" w:hAnsi="Arial Narrow" w:cs="Arial"/>
                <w:sz w:val="20"/>
                <w:szCs w:val="20"/>
              </w:rPr>
            </w:pPr>
            <w:r w:rsidRPr="0080591F">
              <w:rPr>
                <w:rFonts w:ascii="Arial Narrow" w:hAnsi="Arial Narrow"/>
                <w:sz w:val="20"/>
                <w:szCs w:val="20"/>
              </w:rPr>
              <w:t>Transmission</w:t>
            </w:r>
            <w:r w:rsidRPr="00EC2307">
              <w:rPr>
                <w:rFonts w:ascii="Arial Narrow" w:hAnsi="Arial Narrow"/>
                <w:sz w:val="20"/>
                <w:szCs w:val="20"/>
              </w:rPr>
              <w:t xml:space="preserve"> et </w:t>
            </w:r>
            <w:r w:rsidRPr="0080591F">
              <w:rPr>
                <w:rFonts w:ascii="Arial Narrow" w:hAnsi="Arial Narrow"/>
                <w:sz w:val="20"/>
                <w:szCs w:val="20"/>
              </w:rPr>
              <w:t>éducation</w:t>
            </w:r>
            <w:r w:rsidRPr="00EC2307" w:rsidDel="00C67245">
              <w:rPr>
                <w:rFonts w:ascii="Arial Narrow" w:hAnsi="Arial Narrow"/>
                <w:sz w:val="20"/>
                <w:szCs w:val="20"/>
              </w:rPr>
              <w:t xml:space="preserve"> </w:t>
            </w:r>
          </w:p>
        </w:tc>
        <w:tc>
          <w:tcPr>
            <w:tcW w:w="569" w:type="pct"/>
            <w:shd w:val="clear" w:color="auto" w:fill="auto"/>
            <w:vAlign w:val="center"/>
          </w:tcPr>
          <w:p w14:paraId="53CCC7FE"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Inventaire et recherche</w:t>
            </w:r>
          </w:p>
        </w:tc>
        <w:tc>
          <w:tcPr>
            <w:tcW w:w="569" w:type="pct"/>
            <w:gridSpan w:val="2"/>
            <w:shd w:val="clear" w:color="auto" w:fill="auto"/>
            <w:vAlign w:val="center"/>
          </w:tcPr>
          <w:p w14:paraId="72213ABB"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 xml:space="preserve">Politiques et </w:t>
            </w:r>
            <w:r w:rsidRPr="00EA4338">
              <w:rPr>
                <w:rFonts w:ascii="Arial Narrow" w:hAnsi="Arial Narrow"/>
                <w:sz w:val="20"/>
                <w:szCs w:val="20"/>
              </w:rPr>
              <w:t>mesures juridiques et administratives</w:t>
            </w:r>
          </w:p>
        </w:tc>
        <w:tc>
          <w:tcPr>
            <w:tcW w:w="569" w:type="pct"/>
            <w:shd w:val="clear" w:color="auto" w:fill="auto"/>
            <w:vAlign w:val="center"/>
          </w:tcPr>
          <w:p w14:paraId="7FD70181"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 xml:space="preserve">Rôle du patrimoine culturel immatériel </w:t>
            </w:r>
            <w:r w:rsidRPr="000C6865">
              <w:rPr>
                <w:rFonts w:ascii="Arial Narrow" w:hAnsi="Arial Narrow"/>
                <w:sz w:val="20"/>
                <w:szCs w:val="20"/>
              </w:rPr>
              <w:t>et de sa sauvegarde</w:t>
            </w:r>
            <w:r>
              <w:rPr>
                <w:rFonts w:ascii="Arial Narrow" w:hAnsi="Arial Narrow"/>
                <w:sz w:val="20"/>
                <w:szCs w:val="20"/>
              </w:rPr>
              <w:t xml:space="preserve"> </w:t>
            </w:r>
            <w:r w:rsidRPr="00EC2307">
              <w:rPr>
                <w:rFonts w:ascii="Arial Narrow" w:hAnsi="Arial Narrow"/>
                <w:sz w:val="20"/>
                <w:szCs w:val="20"/>
              </w:rPr>
              <w:t>dans la société</w:t>
            </w:r>
          </w:p>
        </w:tc>
        <w:tc>
          <w:tcPr>
            <w:tcW w:w="569" w:type="pct"/>
            <w:gridSpan w:val="2"/>
            <w:shd w:val="clear" w:color="auto" w:fill="auto"/>
            <w:vAlign w:val="center"/>
          </w:tcPr>
          <w:p w14:paraId="7661AF84"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Sensibilisation</w:t>
            </w:r>
          </w:p>
        </w:tc>
        <w:tc>
          <w:tcPr>
            <w:tcW w:w="569" w:type="pct"/>
            <w:shd w:val="clear" w:color="auto" w:fill="auto"/>
            <w:vAlign w:val="center"/>
          </w:tcPr>
          <w:p w14:paraId="1C974C52"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 xml:space="preserve">Engagement </w:t>
            </w:r>
            <w:r w:rsidRPr="000C6865">
              <w:rPr>
                <w:rFonts w:ascii="Arial Narrow" w:hAnsi="Arial Narrow"/>
                <w:sz w:val="20"/>
                <w:szCs w:val="20"/>
              </w:rPr>
              <w:t>des</w:t>
            </w:r>
            <w:r w:rsidRPr="00EC2307">
              <w:rPr>
                <w:rFonts w:ascii="Arial Narrow" w:hAnsi="Arial Narrow"/>
                <w:sz w:val="20"/>
                <w:szCs w:val="20"/>
              </w:rPr>
              <w:t xml:space="preserve"> communautés, groupes et individus</w:t>
            </w:r>
            <w:r w:rsidRPr="000C6865">
              <w:rPr>
                <w:rFonts w:ascii="Arial Narrow" w:hAnsi="Arial Narrow"/>
                <w:sz w:val="20"/>
                <w:szCs w:val="20"/>
              </w:rPr>
              <w:t xml:space="preserve"> ainsi que </w:t>
            </w:r>
            <w:r>
              <w:rPr>
                <w:rFonts w:ascii="Arial Narrow" w:hAnsi="Arial Narrow"/>
                <w:sz w:val="20"/>
                <w:szCs w:val="20"/>
              </w:rPr>
              <w:t>d’autres parties prenantes</w:t>
            </w:r>
          </w:p>
        </w:tc>
        <w:tc>
          <w:tcPr>
            <w:tcW w:w="569" w:type="pct"/>
            <w:shd w:val="clear" w:color="auto" w:fill="auto"/>
            <w:vAlign w:val="center"/>
          </w:tcPr>
          <w:p w14:paraId="7357B8E2" w14:textId="77777777" w:rsidR="00F21C0B" w:rsidRPr="00EC2307" w:rsidRDefault="00F21C0B" w:rsidP="00F21C0B">
            <w:pPr>
              <w:spacing w:before="60" w:after="60"/>
              <w:rPr>
                <w:rFonts w:ascii="Arial Narrow" w:hAnsi="Arial Narrow" w:cs="Arial"/>
                <w:sz w:val="20"/>
                <w:szCs w:val="20"/>
              </w:rPr>
            </w:pPr>
            <w:r w:rsidRPr="00EC2307">
              <w:rPr>
                <w:rFonts w:ascii="Arial Narrow" w:hAnsi="Arial Narrow"/>
                <w:sz w:val="20"/>
                <w:szCs w:val="20"/>
              </w:rPr>
              <w:t>Engagement international</w:t>
            </w:r>
          </w:p>
        </w:tc>
      </w:tr>
      <w:tr w:rsidR="00F21C0B" w:rsidRPr="00EC2307" w14:paraId="320F2F3B" w14:textId="77777777" w:rsidTr="00F21C0B">
        <w:tc>
          <w:tcPr>
            <w:tcW w:w="479" w:type="pct"/>
            <w:shd w:val="clear" w:color="auto" w:fill="D9D9D9"/>
            <w:vAlign w:val="center"/>
          </w:tcPr>
          <w:p w14:paraId="0791A521" w14:textId="77777777" w:rsidR="00F21C0B" w:rsidRPr="00EC2307" w:rsidRDefault="00F21C0B" w:rsidP="00F21C0B">
            <w:pPr>
              <w:spacing w:before="60" w:after="60"/>
              <w:rPr>
                <w:rFonts w:ascii="Arial Narrow" w:hAnsi="Arial Narrow" w:cs="Arial"/>
                <w:b/>
                <w:sz w:val="18"/>
                <w:szCs w:val="18"/>
              </w:rPr>
            </w:pPr>
            <w:r w:rsidRPr="00EC2307">
              <w:rPr>
                <w:rFonts w:ascii="Arial Narrow" w:hAnsi="Arial Narrow"/>
                <w:b/>
                <w:sz w:val="18"/>
                <w:szCs w:val="18"/>
              </w:rPr>
              <w:t>Indicateurs de base (résumé)</w:t>
            </w:r>
          </w:p>
        </w:tc>
        <w:tc>
          <w:tcPr>
            <w:tcW w:w="539" w:type="pct"/>
            <w:shd w:val="clear" w:color="auto" w:fill="auto"/>
          </w:tcPr>
          <w:p w14:paraId="79788F7E"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Les organismes compétents soutiennent la pratique et la transmission</w:t>
            </w:r>
          </w:p>
          <w:p w14:paraId="2125D0EF"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Des programmes soutiennent le renforcement des capacités humaines pour la sauvegarde</w:t>
            </w:r>
          </w:p>
          <w:p w14:paraId="42CD138D"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Pr>
                <w:rFonts w:ascii="Arial Narrow" w:hAnsi="Arial Narrow"/>
                <w:sz w:val="18"/>
                <w:szCs w:val="18"/>
              </w:rPr>
              <w:lastRenderedPageBreak/>
              <w:t>L</w:t>
            </w:r>
            <w:r w:rsidRPr="00D66003">
              <w:rPr>
                <w:rFonts w:ascii="Arial Narrow" w:hAnsi="Arial Narrow"/>
                <w:sz w:val="18"/>
                <w:szCs w:val="18"/>
              </w:rPr>
              <w:t>a formation est assurée par ou cible les communautés</w:t>
            </w:r>
            <w:r>
              <w:rPr>
                <w:rFonts w:ascii="Arial Narrow" w:hAnsi="Arial Narrow"/>
                <w:sz w:val="18"/>
                <w:szCs w:val="18"/>
              </w:rPr>
              <w:t xml:space="preserve"> </w:t>
            </w:r>
            <w:r w:rsidRPr="0045356E">
              <w:rPr>
                <w:rFonts w:ascii="Arial Narrow" w:hAnsi="Arial Narrow"/>
                <w:sz w:val="18"/>
                <w:szCs w:val="18"/>
              </w:rPr>
              <w:t>et</w:t>
            </w:r>
            <w:r w:rsidRPr="00D66003">
              <w:rPr>
                <w:rFonts w:ascii="Arial Narrow" w:hAnsi="Arial Narrow"/>
                <w:sz w:val="18"/>
                <w:szCs w:val="18"/>
              </w:rPr>
              <w:t xml:space="preserve"> ceux travaillant dans les domaines de la culture et du patrimoine</w:t>
            </w:r>
          </w:p>
        </w:tc>
        <w:tc>
          <w:tcPr>
            <w:tcW w:w="569" w:type="pct"/>
            <w:gridSpan w:val="2"/>
            <w:shd w:val="clear" w:color="auto" w:fill="auto"/>
          </w:tcPr>
          <w:p w14:paraId="5073E0F0"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L</w:t>
            </w:r>
            <w:r>
              <w:rPr>
                <w:rFonts w:ascii="Arial Narrow" w:hAnsi="Arial Narrow"/>
                <w:sz w:val="18"/>
                <w:szCs w:val="18"/>
              </w:rPr>
              <w:t>’</w:t>
            </w:r>
            <w:r w:rsidRPr="00EC2307">
              <w:rPr>
                <w:rFonts w:ascii="Arial Narrow" w:hAnsi="Arial Narrow"/>
                <w:sz w:val="18"/>
                <w:szCs w:val="18"/>
              </w:rPr>
              <w:t>éducation, formelle et non formelle, renforce la transmission et favorise le respect</w:t>
            </w:r>
          </w:p>
          <w:p w14:paraId="0889336E"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Le PCI intégré à l</w:t>
            </w:r>
            <w:r>
              <w:rPr>
                <w:rFonts w:ascii="Arial Narrow" w:hAnsi="Arial Narrow"/>
                <w:sz w:val="18"/>
                <w:szCs w:val="18"/>
              </w:rPr>
              <w:t>’</w:t>
            </w:r>
            <w:r w:rsidRPr="00EC2307">
              <w:rPr>
                <w:rFonts w:ascii="Arial Narrow" w:hAnsi="Arial Narrow"/>
                <w:sz w:val="18"/>
                <w:szCs w:val="18"/>
              </w:rPr>
              <w:t>enseignement primaire et secondaire</w:t>
            </w:r>
          </w:p>
          <w:p w14:paraId="1286A714" w14:textId="77777777" w:rsidR="00F21C0B" w:rsidRPr="00C67245"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L</w:t>
            </w:r>
            <w:r>
              <w:rPr>
                <w:rFonts w:ascii="Arial Narrow" w:hAnsi="Arial Narrow"/>
                <w:sz w:val="18"/>
                <w:szCs w:val="18"/>
              </w:rPr>
              <w:t>’</w:t>
            </w:r>
            <w:r w:rsidRPr="00EC2307">
              <w:rPr>
                <w:rFonts w:ascii="Arial Narrow" w:hAnsi="Arial Narrow"/>
                <w:sz w:val="18"/>
                <w:szCs w:val="18"/>
              </w:rPr>
              <w:t>éducation postsecondaire soutient la sauvegarde et l</w:t>
            </w:r>
            <w:r>
              <w:rPr>
                <w:rFonts w:ascii="Arial Narrow" w:hAnsi="Arial Narrow"/>
                <w:sz w:val="18"/>
                <w:szCs w:val="18"/>
              </w:rPr>
              <w:t>’</w:t>
            </w:r>
            <w:r w:rsidRPr="00EC2307">
              <w:rPr>
                <w:rFonts w:ascii="Arial Narrow" w:hAnsi="Arial Narrow"/>
                <w:sz w:val="18"/>
                <w:szCs w:val="18"/>
              </w:rPr>
              <w:t>étude du PCI</w:t>
            </w:r>
          </w:p>
        </w:tc>
        <w:tc>
          <w:tcPr>
            <w:tcW w:w="569" w:type="pct"/>
            <w:shd w:val="clear" w:color="auto" w:fill="auto"/>
          </w:tcPr>
          <w:p w14:paraId="52C472DF"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Les inventaires reflètent la diversité du PCI et contribuent à sa sauvegarde</w:t>
            </w:r>
          </w:p>
          <w:p w14:paraId="5577AF39"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Le processus d</w:t>
            </w:r>
            <w:r>
              <w:rPr>
                <w:rFonts w:ascii="Arial Narrow" w:hAnsi="Arial Narrow"/>
                <w:sz w:val="18"/>
                <w:szCs w:val="18"/>
              </w:rPr>
              <w:t>’</w:t>
            </w:r>
            <w:r w:rsidRPr="00EC2307">
              <w:rPr>
                <w:rFonts w:ascii="Arial Narrow" w:hAnsi="Arial Narrow"/>
                <w:sz w:val="18"/>
                <w:szCs w:val="18"/>
              </w:rPr>
              <w:t>inventaire est inclusif, respecte la diversité et soutient la sauvegarde des communautés et des groupes</w:t>
            </w:r>
          </w:p>
          <w:p w14:paraId="6B8A1238"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La recherche et la documentation contribuent à la sauvegarde</w:t>
            </w:r>
          </w:p>
          <w:p w14:paraId="2AE9D97E"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Les résultats de recherche sont accessibles et utilisés</w:t>
            </w:r>
          </w:p>
        </w:tc>
        <w:tc>
          <w:tcPr>
            <w:tcW w:w="569" w:type="pct"/>
            <w:gridSpan w:val="2"/>
            <w:shd w:val="clear" w:color="auto" w:fill="auto"/>
          </w:tcPr>
          <w:p w14:paraId="68498705"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culturelles reflètent la diversité du PCI et sont mises en œuvre</w:t>
            </w:r>
          </w:p>
          <w:p w14:paraId="67CDB942"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éducatives reflètent la diversité du PCI et sont mises en œuvre</w:t>
            </w:r>
          </w:p>
          <w:p w14:paraId="5A490F23"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dans des domaines autres que la culture et l</w:t>
            </w:r>
            <w:r>
              <w:rPr>
                <w:rFonts w:ascii="Arial Narrow" w:hAnsi="Arial Narrow"/>
                <w:sz w:val="18"/>
                <w:szCs w:val="18"/>
              </w:rPr>
              <w:t>’</w:t>
            </w:r>
            <w:r w:rsidRPr="00EC2307">
              <w:rPr>
                <w:rFonts w:ascii="Arial Narrow" w:hAnsi="Arial Narrow"/>
                <w:sz w:val="18"/>
                <w:szCs w:val="18"/>
              </w:rPr>
              <w:t>éducation reflètent la diversité du PCI et sont mises en œuvre</w:t>
            </w:r>
          </w:p>
          <w:p w14:paraId="3FD69CB6"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respectent les droits, pratiques et expressions coutumiers</w:t>
            </w:r>
          </w:p>
        </w:tc>
        <w:tc>
          <w:tcPr>
            <w:tcW w:w="569" w:type="pct"/>
            <w:shd w:val="clear" w:color="auto" w:fill="auto"/>
          </w:tcPr>
          <w:p w14:paraId="2746DAA5"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L</w:t>
            </w:r>
            <w:r>
              <w:rPr>
                <w:rFonts w:ascii="Arial Narrow" w:hAnsi="Arial Narrow"/>
                <w:sz w:val="18"/>
                <w:szCs w:val="18"/>
              </w:rPr>
              <w:t>’</w:t>
            </w:r>
            <w:r w:rsidRPr="00EC2307">
              <w:rPr>
                <w:rFonts w:ascii="Arial Narrow" w:hAnsi="Arial Narrow"/>
                <w:sz w:val="18"/>
                <w:szCs w:val="18"/>
              </w:rPr>
              <w:t>importance du PCI dans la société est largement reconnue</w:t>
            </w:r>
          </w:p>
          <w:p w14:paraId="643EAE53"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Des plans et des programmes inclusifs reconnaissent l</w:t>
            </w:r>
            <w:r>
              <w:rPr>
                <w:rFonts w:ascii="Arial Narrow" w:hAnsi="Arial Narrow"/>
                <w:sz w:val="18"/>
                <w:szCs w:val="18"/>
              </w:rPr>
              <w:t>’</w:t>
            </w:r>
            <w:r w:rsidRPr="00EC2307">
              <w:rPr>
                <w:rFonts w:ascii="Arial Narrow" w:hAnsi="Arial Narrow"/>
                <w:sz w:val="18"/>
                <w:szCs w:val="18"/>
              </w:rPr>
              <w:t xml:space="preserve">importance de la sauvegarde du </w:t>
            </w:r>
            <w:r w:rsidRPr="0045356E">
              <w:rPr>
                <w:rFonts w:ascii="Arial Narrow" w:hAnsi="Arial Narrow"/>
                <w:sz w:val="18"/>
                <w:szCs w:val="18"/>
              </w:rPr>
              <w:t>PCI et favorisent le respect de soi et le respect mutuel</w:t>
            </w:r>
          </w:p>
        </w:tc>
        <w:tc>
          <w:tcPr>
            <w:tcW w:w="569" w:type="pct"/>
            <w:gridSpan w:val="2"/>
            <w:shd w:val="clear" w:color="auto" w:fill="auto"/>
          </w:tcPr>
          <w:p w14:paraId="53B2A3CE"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Les communautés, groupes et individus participent largement à la sensibilisation</w:t>
            </w:r>
          </w:p>
          <w:p w14:paraId="07430722"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Les médias sont impliqués dans la sensibilisation</w:t>
            </w:r>
          </w:p>
          <w:p w14:paraId="3175490B"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Des mesures d</w:t>
            </w:r>
            <w:r>
              <w:rPr>
                <w:rFonts w:ascii="Arial Narrow" w:hAnsi="Arial Narrow"/>
                <w:sz w:val="18"/>
                <w:szCs w:val="18"/>
              </w:rPr>
              <w:t>’</w:t>
            </w:r>
            <w:r w:rsidRPr="00EC2307">
              <w:rPr>
                <w:rFonts w:ascii="Arial Narrow" w:hAnsi="Arial Narrow"/>
                <w:sz w:val="18"/>
                <w:szCs w:val="18"/>
              </w:rPr>
              <w:t>information du public servent à sensibiliser</w:t>
            </w:r>
          </w:p>
          <w:p w14:paraId="7B7FEC7B"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Les principes éthiques sont respectés lors de la sensibilisation</w:t>
            </w:r>
          </w:p>
        </w:tc>
        <w:tc>
          <w:tcPr>
            <w:tcW w:w="569" w:type="pct"/>
            <w:shd w:val="clear" w:color="auto" w:fill="auto"/>
          </w:tcPr>
          <w:p w14:paraId="75A02171"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L</w:t>
            </w:r>
            <w:r>
              <w:rPr>
                <w:rFonts w:ascii="Arial Narrow" w:hAnsi="Arial Narrow"/>
                <w:sz w:val="18"/>
                <w:szCs w:val="18"/>
              </w:rPr>
              <w:t>’</w:t>
            </w:r>
            <w:r w:rsidRPr="00EC2307">
              <w:rPr>
                <w:rFonts w:ascii="Arial Narrow" w:hAnsi="Arial Narrow"/>
                <w:sz w:val="18"/>
                <w:szCs w:val="18"/>
              </w:rPr>
              <w:t>engagement envers la sauvegarde du PCI est renforcé chez les parties prenantes</w:t>
            </w:r>
          </w:p>
          <w:p w14:paraId="1B2FE882" w14:textId="77777777" w:rsidR="00F21C0B" w:rsidRPr="00217EB8"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La société civile contribue au suivi de la sauvegarde</w:t>
            </w:r>
          </w:p>
        </w:tc>
        <w:tc>
          <w:tcPr>
            <w:tcW w:w="569" w:type="pct"/>
            <w:shd w:val="clear" w:color="auto" w:fill="auto"/>
          </w:tcPr>
          <w:p w14:paraId="17F791D4" w14:textId="77777777" w:rsidR="00F21C0B"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Le Comité implique des ONG, des organismes publics et privés et des particuliers</w:t>
            </w:r>
            <w:r w:rsidRPr="00EC2307">
              <w:rPr>
                <w:rStyle w:val="FootnoteReference"/>
                <w:rFonts w:ascii="Arial Narrow" w:hAnsi="Arial Narrow"/>
                <w:sz w:val="18"/>
                <w:szCs w:val="18"/>
                <w:lang w:val="en-GB"/>
              </w:rPr>
              <w:footnoteReference w:id="2"/>
            </w:r>
          </w:p>
          <w:p w14:paraId="0FA23A40"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Les États parties coopèrent en matière de sauvegarde</w:t>
            </w:r>
          </w:p>
          <w:p w14:paraId="5DA1609F"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lastRenderedPageBreak/>
              <w:t>Les États parties s</w:t>
            </w:r>
            <w:r>
              <w:rPr>
                <w:rFonts w:ascii="Arial Narrow" w:hAnsi="Arial Narrow"/>
                <w:sz w:val="18"/>
                <w:szCs w:val="18"/>
              </w:rPr>
              <w:t>’</w:t>
            </w:r>
            <w:r w:rsidRPr="00EC2307">
              <w:rPr>
                <w:rFonts w:ascii="Arial Narrow" w:hAnsi="Arial Narrow"/>
                <w:sz w:val="18"/>
                <w:szCs w:val="18"/>
              </w:rPr>
              <w:t>engagent dans des réseaux internationaux et dans la coopération institutionnelle</w:t>
            </w:r>
          </w:p>
          <w:p w14:paraId="13049685" w14:textId="77777777" w:rsidR="00F21C0B" w:rsidRPr="00EC2307" w:rsidRDefault="00F21C0B" w:rsidP="00655685">
            <w:pPr>
              <w:pStyle w:val="ListParagraph"/>
              <w:keepLines/>
              <w:numPr>
                <w:ilvl w:val="0"/>
                <w:numId w:val="16"/>
              </w:numPr>
              <w:spacing w:before="60" w:after="60"/>
              <w:ind w:left="227" w:hanging="284"/>
              <w:contextualSpacing w:val="0"/>
              <w:rPr>
                <w:rFonts w:ascii="Arial Narrow" w:hAnsi="Arial Narrow"/>
                <w:sz w:val="18"/>
                <w:szCs w:val="18"/>
              </w:rPr>
            </w:pPr>
            <w:r w:rsidRPr="00EC2307">
              <w:rPr>
                <w:rFonts w:ascii="Arial Narrow" w:hAnsi="Arial Narrow"/>
                <w:sz w:val="18"/>
                <w:szCs w:val="18"/>
              </w:rPr>
              <w:t>Le Fonds du PCI soutient la sauvegarde et l</w:t>
            </w:r>
            <w:r>
              <w:rPr>
                <w:rFonts w:ascii="Arial Narrow" w:hAnsi="Arial Narrow"/>
                <w:sz w:val="18"/>
                <w:szCs w:val="18"/>
              </w:rPr>
              <w:t>’</w:t>
            </w:r>
            <w:r w:rsidRPr="00EC2307">
              <w:rPr>
                <w:rFonts w:ascii="Arial Narrow" w:hAnsi="Arial Narrow"/>
                <w:sz w:val="18"/>
                <w:szCs w:val="18"/>
              </w:rPr>
              <w:t>engagement international</w:t>
            </w:r>
            <w:r w:rsidRPr="00EC2307">
              <w:rPr>
                <w:rStyle w:val="FootnoteReference"/>
                <w:rFonts w:ascii="Arial Narrow" w:hAnsi="Arial Narrow"/>
                <w:sz w:val="18"/>
                <w:szCs w:val="18"/>
                <w:lang w:val="en-GB"/>
              </w:rPr>
              <w:footnoteReference w:id="3"/>
            </w:r>
          </w:p>
        </w:tc>
      </w:tr>
    </w:tbl>
    <w:p w14:paraId="0B93A5C8" w14:textId="77777777" w:rsidR="00F21C0B" w:rsidRPr="00EC2307" w:rsidRDefault="00F21C0B" w:rsidP="00F21C0B">
      <w:pPr>
        <w:keepNext/>
        <w:spacing w:before="240" w:after="120"/>
        <w:rPr>
          <w:rFonts w:ascii="Arial" w:hAnsi="Arial" w:cs="Arial"/>
          <w:b/>
          <w:smallCaps/>
          <w:sz w:val="20"/>
          <w:szCs w:val="20"/>
        </w:rPr>
      </w:pPr>
      <w:r w:rsidRPr="00EC2307">
        <w:rPr>
          <w:rFonts w:ascii="Arial" w:hAnsi="Arial"/>
          <w:b/>
          <w:smallCaps/>
          <w:sz w:val="20"/>
          <w:szCs w:val="20"/>
        </w:rPr>
        <w:lastRenderedPageBreak/>
        <w:t>Tableau 2 : Indicateurs de base et facteurs d</w:t>
      </w:r>
      <w:r>
        <w:rPr>
          <w:rFonts w:ascii="Arial" w:hAnsi="Arial"/>
          <w:b/>
          <w:smallCaps/>
          <w:sz w:val="20"/>
          <w:szCs w:val="20"/>
        </w:rPr>
        <w:t>’</w:t>
      </w:r>
      <w:r w:rsidRPr="00EC2307">
        <w:rPr>
          <w:rFonts w:ascii="Arial" w:hAnsi="Arial"/>
          <w:b/>
          <w:smallCaps/>
          <w:sz w:val="20"/>
          <w:szCs w:val="20"/>
        </w:rPr>
        <w:t>appréciation, classés par thématiques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2"/>
        <w:gridCol w:w="2849"/>
        <w:gridCol w:w="8805"/>
      </w:tblGrid>
      <w:tr w:rsidR="00944BBD" w:rsidRPr="00E42343" w14:paraId="70D2606E" w14:textId="77777777" w:rsidTr="00A82031">
        <w:trPr>
          <w:cantSplit/>
          <w:tblHeader/>
        </w:trPr>
        <w:tc>
          <w:tcPr>
            <w:tcW w:w="918" w:type="pct"/>
            <w:shd w:val="clear" w:color="auto" w:fill="D9D9D9"/>
            <w:vAlign w:val="center"/>
          </w:tcPr>
          <w:p w14:paraId="3A4B97BD" w14:textId="77777777" w:rsidR="00944BBD" w:rsidRPr="00E42343" w:rsidRDefault="00944BBD" w:rsidP="00F21C0B">
            <w:pPr>
              <w:spacing w:before="60" w:after="60"/>
              <w:rPr>
                <w:rFonts w:ascii="Arial" w:hAnsi="Arial" w:cs="Arial"/>
                <w:b/>
                <w:sz w:val="20"/>
                <w:szCs w:val="20"/>
              </w:rPr>
            </w:pPr>
            <w:r w:rsidRPr="00E42343">
              <w:rPr>
                <w:rFonts w:ascii="Arial" w:hAnsi="Arial" w:cs="Arial"/>
                <w:b/>
                <w:sz w:val="20"/>
                <w:szCs w:val="20"/>
              </w:rPr>
              <w:t>Thématiques</w:t>
            </w:r>
          </w:p>
        </w:tc>
        <w:tc>
          <w:tcPr>
            <w:tcW w:w="998" w:type="pct"/>
            <w:shd w:val="clear" w:color="auto" w:fill="D9D9D9"/>
            <w:vAlign w:val="center"/>
          </w:tcPr>
          <w:p w14:paraId="0108FC57" w14:textId="77777777" w:rsidR="00944BBD" w:rsidRPr="00E42343" w:rsidRDefault="00944BBD" w:rsidP="00F21C0B">
            <w:pPr>
              <w:spacing w:before="60" w:after="60"/>
              <w:rPr>
                <w:rFonts w:ascii="Arial" w:hAnsi="Arial" w:cs="Arial"/>
                <w:b/>
                <w:sz w:val="20"/>
                <w:szCs w:val="20"/>
              </w:rPr>
            </w:pPr>
            <w:r w:rsidRPr="00E42343">
              <w:rPr>
                <w:rFonts w:ascii="Arial" w:hAnsi="Arial" w:cs="Arial"/>
                <w:b/>
                <w:sz w:val="20"/>
                <w:szCs w:val="20"/>
              </w:rPr>
              <w:t>Indicateurs de base</w:t>
            </w:r>
          </w:p>
        </w:tc>
        <w:tc>
          <w:tcPr>
            <w:tcW w:w="3084" w:type="pct"/>
            <w:shd w:val="clear" w:color="auto" w:fill="D9D9D9"/>
            <w:vAlign w:val="center"/>
          </w:tcPr>
          <w:p w14:paraId="50C53E71" w14:textId="77777777" w:rsidR="00944BBD" w:rsidRPr="00E42343" w:rsidRDefault="00944BBD" w:rsidP="00F21C0B">
            <w:pPr>
              <w:spacing w:before="60" w:after="60"/>
              <w:rPr>
                <w:rFonts w:ascii="Arial" w:hAnsi="Arial" w:cs="Arial"/>
                <w:b/>
                <w:sz w:val="20"/>
                <w:szCs w:val="20"/>
              </w:rPr>
            </w:pPr>
            <w:r w:rsidRPr="00E42343">
              <w:rPr>
                <w:rFonts w:ascii="Arial" w:hAnsi="Arial" w:cs="Arial"/>
                <w:b/>
                <w:sz w:val="20"/>
                <w:szCs w:val="20"/>
              </w:rPr>
              <w:t xml:space="preserve">Appréciation </w:t>
            </w:r>
            <w:r w:rsidRPr="00C558F0">
              <w:rPr>
                <w:rFonts w:ascii="Arial" w:hAnsi="Arial" w:cs="Arial"/>
                <w:b/>
                <w:sz w:val="20"/>
                <w:szCs w:val="20"/>
              </w:rPr>
              <w:t xml:space="preserve">selon les </w:t>
            </w:r>
            <w:r>
              <w:rPr>
                <w:rFonts w:ascii="Arial" w:hAnsi="Arial" w:cs="Arial"/>
                <w:b/>
                <w:sz w:val="20"/>
                <w:szCs w:val="20"/>
              </w:rPr>
              <w:t xml:space="preserve">facteurs </w:t>
            </w:r>
            <w:r w:rsidRPr="00C558F0">
              <w:rPr>
                <w:rFonts w:ascii="Arial" w:hAnsi="Arial" w:cs="Arial"/>
                <w:b/>
                <w:sz w:val="20"/>
                <w:szCs w:val="20"/>
              </w:rPr>
              <w:t>suivants</w:t>
            </w:r>
          </w:p>
        </w:tc>
      </w:tr>
      <w:tr w:rsidR="00944BBD" w:rsidRPr="00E42343" w14:paraId="0B3BB176" w14:textId="77777777" w:rsidTr="00A82031">
        <w:trPr>
          <w:cantSplit/>
        </w:trPr>
        <w:tc>
          <w:tcPr>
            <w:tcW w:w="918" w:type="pct"/>
            <w:vMerge w:val="restart"/>
            <w:shd w:val="clear" w:color="auto" w:fill="auto"/>
            <w:vAlign w:val="center"/>
          </w:tcPr>
          <w:p w14:paraId="05807883" w14:textId="67DBDC71" w:rsidR="00944BBD" w:rsidRPr="00A82031" w:rsidRDefault="00944BBD" w:rsidP="00A82031">
            <w:pPr>
              <w:spacing w:before="60" w:after="60"/>
              <w:rPr>
                <w:rFonts w:ascii="Arial" w:hAnsi="Arial" w:cs="Arial"/>
                <w:b/>
                <w:sz w:val="20"/>
                <w:szCs w:val="20"/>
              </w:rPr>
            </w:pPr>
            <w:r w:rsidRPr="00E42343">
              <w:rPr>
                <w:rFonts w:ascii="Arial" w:hAnsi="Arial" w:cs="Arial"/>
                <w:b/>
                <w:sz w:val="20"/>
                <w:szCs w:val="20"/>
              </w:rPr>
              <w:t>Capacités institutionnelles et hum</w:t>
            </w:r>
            <w:r w:rsidR="00A82031">
              <w:rPr>
                <w:rFonts w:ascii="Arial" w:hAnsi="Arial" w:cs="Arial"/>
                <w:b/>
                <w:sz w:val="20"/>
                <w:szCs w:val="20"/>
              </w:rPr>
              <w:t>aines</w:t>
            </w:r>
          </w:p>
        </w:tc>
        <w:tc>
          <w:tcPr>
            <w:tcW w:w="998" w:type="pct"/>
            <w:vMerge w:val="restart"/>
            <w:shd w:val="clear" w:color="auto" w:fill="auto"/>
            <w:vAlign w:val="center"/>
          </w:tcPr>
          <w:p w14:paraId="56D4DBE7"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 xml:space="preserve">Mesure dans laquelle les organismes compétents et les institutions et mécanismes de </w:t>
            </w:r>
            <w:r w:rsidRPr="00E42343">
              <w:rPr>
                <w:rFonts w:ascii="Arial" w:hAnsi="Arial"/>
                <w:sz w:val="20"/>
                <w:szCs w:val="20"/>
              </w:rPr>
              <w:lastRenderedPageBreak/>
              <w:t>consultation soutiennent la pratique continue du PCI et sa transmission</w:t>
            </w:r>
          </w:p>
        </w:tc>
        <w:tc>
          <w:tcPr>
            <w:tcW w:w="3084" w:type="pct"/>
            <w:shd w:val="clear" w:color="auto" w:fill="auto"/>
            <w:vAlign w:val="center"/>
          </w:tcPr>
          <w:p w14:paraId="3F051C90" w14:textId="77777777" w:rsidR="00944BBD" w:rsidRPr="00E42343" w:rsidRDefault="00944BBD" w:rsidP="00655685">
            <w:pPr>
              <w:pStyle w:val="ListParagraph"/>
              <w:numPr>
                <w:ilvl w:val="1"/>
                <w:numId w:val="20"/>
              </w:numPr>
              <w:spacing w:before="60" w:after="60"/>
              <w:ind w:left="567" w:hanging="567"/>
              <w:contextualSpacing w:val="0"/>
              <w:rPr>
                <w:rFonts w:ascii="Arial" w:hAnsi="Arial"/>
                <w:vanish/>
                <w:sz w:val="20"/>
                <w:szCs w:val="20"/>
              </w:rPr>
            </w:pPr>
            <w:r w:rsidRPr="00E42343">
              <w:rPr>
                <w:rFonts w:ascii="Arial" w:hAnsi="Arial"/>
                <w:sz w:val="20"/>
                <w:szCs w:val="20"/>
              </w:rPr>
              <w:lastRenderedPageBreak/>
              <w:t xml:space="preserve">Un ou plusieurs organismes compétents en matière de sauvegarde du PCI </w:t>
            </w:r>
            <w:r>
              <w:rPr>
                <w:rFonts w:ascii="Arial" w:hAnsi="Arial"/>
                <w:sz w:val="20"/>
                <w:szCs w:val="20"/>
              </w:rPr>
              <w:t>ont été identifiés ou crées</w:t>
            </w:r>
            <w:r w:rsidRPr="00E42343">
              <w:rPr>
                <w:rFonts w:ascii="Arial" w:hAnsi="Arial"/>
                <w:sz w:val="20"/>
                <w:szCs w:val="20"/>
              </w:rPr>
              <w:t>.</w:t>
            </w:r>
          </w:p>
        </w:tc>
      </w:tr>
      <w:tr w:rsidR="00944BBD" w:rsidRPr="00052470" w14:paraId="3C5592EB" w14:textId="77777777" w:rsidTr="00A82031">
        <w:trPr>
          <w:cantSplit/>
        </w:trPr>
        <w:tc>
          <w:tcPr>
            <w:tcW w:w="918" w:type="pct"/>
            <w:vMerge/>
            <w:shd w:val="clear" w:color="auto" w:fill="auto"/>
            <w:vAlign w:val="center"/>
          </w:tcPr>
          <w:p w14:paraId="0C13BC62"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6C2EBE23"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584129F1" w14:textId="77777777" w:rsidR="00944BBD" w:rsidRPr="00E42343" w:rsidRDefault="00944BBD" w:rsidP="00655685">
            <w:pPr>
              <w:pStyle w:val="ListParagraph"/>
              <w:numPr>
                <w:ilvl w:val="1"/>
                <w:numId w:val="20"/>
              </w:numPr>
              <w:spacing w:before="60" w:after="60"/>
              <w:ind w:left="567" w:hanging="567"/>
              <w:contextualSpacing w:val="0"/>
              <w:rPr>
                <w:rFonts w:ascii="Arial" w:hAnsi="Arial"/>
                <w:sz w:val="20"/>
                <w:szCs w:val="20"/>
              </w:rPr>
            </w:pPr>
            <w:r w:rsidRPr="00E42343">
              <w:rPr>
                <w:rFonts w:ascii="Arial" w:hAnsi="Arial"/>
                <w:sz w:val="20"/>
                <w:szCs w:val="20"/>
              </w:rPr>
              <w:t>Des organismes compétents de sauvegarde des éléments spécifiques du PCI inscrit ou non sont en place.</w:t>
            </w:r>
            <w:r w:rsidRPr="00E42343">
              <w:rPr>
                <w:rStyle w:val="FootnoteReference"/>
                <w:rFonts w:ascii="Arial" w:hAnsi="Arial"/>
                <w:sz w:val="20"/>
                <w:szCs w:val="20"/>
                <w:lang w:val="en-GB"/>
              </w:rPr>
              <w:footnoteReference w:id="4"/>
            </w:r>
          </w:p>
        </w:tc>
      </w:tr>
      <w:tr w:rsidR="00944BBD" w:rsidRPr="00E42343" w14:paraId="7002428F" w14:textId="77777777" w:rsidTr="00A82031">
        <w:trPr>
          <w:cantSplit/>
        </w:trPr>
        <w:tc>
          <w:tcPr>
            <w:tcW w:w="918" w:type="pct"/>
            <w:vMerge/>
            <w:shd w:val="clear" w:color="auto" w:fill="auto"/>
            <w:vAlign w:val="center"/>
          </w:tcPr>
          <w:p w14:paraId="39F2179D" w14:textId="77777777" w:rsidR="00944BBD" w:rsidRPr="003074FE" w:rsidRDefault="00944BBD" w:rsidP="00F21C0B">
            <w:pPr>
              <w:spacing w:before="60" w:after="60"/>
              <w:rPr>
                <w:rFonts w:ascii="Arial" w:hAnsi="Arial" w:cs="Arial"/>
                <w:sz w:val="20"/>
                <w:szCs w:val="20"/>
              </w:rPr>
            </w:pPr>
          </w:p>
        </w:tc>
        <w:tc>
          <w:tcPr>
            <w:tcW w:w="998" w:type="pct"/>
            <w:vMerge/>
            <w:shd w:val="clear" w:color="auto" w:fill="auto"/>
            <w:vAlign w:val="center"/>
          </w:tcPr>
          <w:p w14:paraId="1780BE80"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4118ED85" w14:textId="77777777" w:rsidR="00944BBD" w:rsidRPr="00E42343" w:rsidRDefault="00944BBD" w:rsidP="00655685">
            <w:pPr>
              <w:pStyle w:val="ListParagraph"/>
              <w:numPr>
                <w:ilvl w:val="1"/>
                <w:numId w:val="20"/>
              </w:numPr>
              <w:spacing w:before="60" w:after="60"/>
              <w:ind w:left="567" w:hanging="567"/>
              <w:contextualSpacing w:val="0"/>
              <w:rPr>
                <w:rFonts w:ascii="Arial" w:hAnsi="Arial"/>
                <w:sz w:val="20"/>
                <w:szCs w:val="20"/>
              </w:rPr>
            </w:pPr>
            <w:r w:rsidRPr="00E42343">
              <w:rPr>
                <w:rFonts w:ascii="Arial" w:hAnsi="Arial"/>
                <w:sz w:val="20"/>
                <w:szCs w:val="20"/>
              </w:rPr>
              <w:t>La participation, large et inclusive</w:t>
            </w:r>
            <w:r>
              <w:rPr>
                <w:rStyle w:val="FootnoteReference"/>
                <w:rFonts w:ascii="Arial" w:hAnsi="Arial"/>
                <w:sz w:val="20"/>
                <w:szCs w:val="20"/>
              </w:rPr>
              <w:footnoteReference w:id="5"/>
            </w:r>
            <w:r w:rsidRPr="00E42343">
              <w:rPr>
                <w:rFonts w:ascii="Arial" w:hAnsi="Arial"/>
                <w:sz w:val="20"/>
                <w:szCs w:val="20"/>
              </w:rPr>
              <w:t>,</w:t>
            </w:r>
            <w:r>
              <w:rPr>
                <w:rFonts w:ascii="Arial" w:hAnsi="Arial"/>
                <w:sz w:val="20"/>
                <w:szCs w:val="20"/>
              </w:rPr>
              <w:t xml:space="preserve"> dans</w:t>
            </w:r>
            <w:r w:rsidRPr="00E42343">
              <w:rPr>
                <w:rFonts w:ascii="Arial" w:hAnsi="Arial"/>
                <w:sz w:val="20"/>
                <w:szCs w:val="20"/>
              </w:rPr>
              <w:t xml:space="preserve"> la sauvegarde et la gestion du PCI, en particulier des communautés, groupes et individus concernés, est encouragée par des organismes consultatifs ou des mécanismes de coordination.</w:t>
            </w:r>
          </w:p>
        </w:tc>
      </w:tr>
      <w:tr w:rsidR="00944BBD" w:rsidRPr="00E42343" w14:paraId="20AE67C1" w14:textId="77777777" w:rsidTr="00A82031">
        <w:trPr>
          <w:cantSplit/>
        </w:trPr>
        <w:tc>
          <w:tcPr>
            <w:tcW w:w="918" w:type="pct"/>
            <w:vMerge/>
            <w:shd w:val="clear" w:color="auto" w:fill="auto"/>
            <w:vAlign w:val="center"/>
          </w:tcPr>
          <w:p w14:paraId="21C068FA"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6D881091"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17F06B09" w14:textId="77777777" w:rsidR="00944BBD" w:rsidRPr="00E42343" w:rsidRDefault="00944BBD" w:rsidP="00655685">
            <w:pPr>
              <w:pStyle w:val="ListParagraph"/>
              <w:numPr>
                <w:ilvl w:val="1"/>
                <w:numId w:val="20"/>
              </w:numPr>
              <w:spacing w:before="60" w:after="60"/>
              <w:ind w:left="567" w:hanging="567"/>
              <w:contextualSpacing w:val="0"/>
              <w:rPr>
                <w:rFonts w:ascii="Arial" w:hAnsi="Arial"/>
                <w:sz w:val="20"/>
                <w:szCs w:val="20"/>
              </w:rPr>
            </w:pPr>
            <w:r w:rsidRPr="00E42343">
              <w:rPr>
                <w:rFonts w:ascii="Arial" w:hAnsi="Arial"/>
                <w:sz w:val="20"/>
                <w:szCs w:val="20"/>
              </w:rPr>
              <w:t>Des institutions, des organisations et/ou des initiatives de documentation du PCI sont favorisées, et leurs ressources sont utilisées pour soutenir la pratique continue et la transmission du PCI.</w:t>
            </w:r>
          </w:p>
        </w:tc>
      </w:tr>
      <w:tr w:rsidR="00944BBD" w:rsidRPr="00E42343" w14:paraId="096F928C" w14:textId="77777777" w:rsidTr="00A82031">
        <w:trPr>
          <w:cantSplit/>
        </w:trPr>
        <w:tc>
          <w:tcPr>
            <w:tcW w:w="918" w:type="pct"/>
            <w:vMerge/>
            <w:shd w:val="clear" w:color="auto" w:fill="auto"/>
            <w:vAlign w:val="center"/>
          </w:tcPr>
          <w:p w14:paraId="5DCF0BB6"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6B013296"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27FE8CCB" w14:textId="77777777" w:rsidR="00944BBD" w:rsidRPr="00E42343" w:rsidRDefault="00944BBD" w:rsidP="00655685">
            <w:pPr>
              <w:pStyle w:val="ListParagraph"/>
              <w:numPr>
                <w:ilvl w:val="1"/>
                <w:numId w:val="20"/>
              </w:numPr>
              <w:spacing w:before="60" w:after="60"/>
              <w:ind w:left="567" w:hanging="567"/>
              <w:contextualSpacing w:val="0"/>
              <w:rPr>
                <w:rFonts w:ascii="Arial" w:hAnsi="Arial"/>
                <w:sz w:val="20"/>
                <w:szCs w:val="20"/>
              </w:rPr>
            </w:pPr>
            <w:r w:rsidRPr="00E42343">
              <w:rPr>
                <w:rFonts w:ascii="Arial" w:hAnsi="Arial"/>
                <w:sz w:val="20"/>
                <w:szCs w:val="20"/>
              </w:rPr>
              <w:t>Les centres culturels, les centres d</w:t>
            </w:r>
            <w:r>
              <w:rPr>
                <w:rFonts w:ascii="Arial" w:hAnsi="Arial"/>
                <w:sz w:val="20"/>
                <w:szCs w:val="20"/>
              </w:rPr>
              <w:t>’</w:t>
            </w:r>
            <w:r w:rsidRPr="00E42343">
              <w:rPr>
                <w:rFonts w:ascii="Arial" w:hAnsi="Arial"/>
                <w:sz w:val="20"/>
                <w:szCs w:val="20"/>
              </w:rPr>
              <w:t>expertise, les instituts de recherche, les musées, les archives, les bibliothèques, etc., contribuent à la sauvegarde et à la gestion du PCI.</w:t>
            </w:r>
          </w:p>
        </w:tc>
      </w:tr>
      <w:tr w:rsidR="00944BBD" w:rsidRPr="00052470" w14:paraId="3F3D3ECF" w14:textId="77777777" w:rsidTr="00A82031">
        <w:trPr>
          <w:cantSplit/>
        </w:trPr>
        <w:tc>
          <w:tcPr>
            <w:tcW w:w="918" w:type="pct"/>
            <w:vMerge/>
            <w:shd w:val="clear" w:color="auto" w:fill="auto"/>
            <w:vAlign w:val="center"/>
          </w:tcPr>
          <w:p w14:paraId="1855C30D" w14:textId="77777777" w:rsidR="00944BBD" w:rsidRPr="00E42343" w:rsidRDefault="00944BBD" w:rsidP="00F21C0B">
            <w:pPr>
              <w:spacing w:before="60" w:after="60"/>
              <w:rPr>
                <w:rFonts w:ascii="Arial" w:hAnsi="Arial" w:cs="Arial"/>
                <w:sz w:val="20"/>
                <w:szCs w:val="20"/>
              </w:rPr>
            </w:pPr>
          </w:p>
        </w:tc>
        <w:tc>
          <w:tcPr>
            <w:tcW w:w="998" w:type="pct"/>
            <w:vMerge w:val="restart"/>
            <w:shd w:val="clear" w:color="auto" w:fill="auto"/>
            <w:vAlign w:val="center"/>
          </w:tcPr>
          <w:p w14:paraId="2D289A6C"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les programmes soutiennent le renforcement des capacités humaines pour promouvoir la sauvegarde et la gestion du PCI</w:t>
            </w:r>
          </w:p>
        </w:tc>
        <w:tc>
          <w:tcPr>
            <w:tcW w:w="3084" w:type="pct"/>
            <w:shd w:val="clear" w:color="auto" w:fill="auto"/>
            <w:vAlign w:val="center"/>
          </w:tcPr>
          <w:p w14:paraId="09B8ECC4" w14:textId="77777777" w:rsidR="00944BBD" w:rsidRPr="00E42343" w:rsidRDefault="00944BBD" w:rsidP="00655685">
            <w:pPr>
              <w:pStyle w:val="ListParagraph"/>
              <w:numPr>
                <w:ilvl w:val="1"/>
                <w:numId w:val="21"/>
              </w:numPr>
              <w:spacing w:before="60" w:after="60"/>
              <w:ind w:left="567" w:hanging="567"/>
              <w:contextualSpacing w:val="0"/>
              <w:rPr>
                <w:rFonts w:ascii="Arial" w:hAnsi="Arial"/>
                <w:vanish/>
                <w:sz w:val="20"/>
                <w:szCs w:val="20"/>
              </w:rPr>
            </w:pPr>
            <w:r w:rsidRPr="00E42343">
              <w:rPr>
                <w:rFonts w:ascii="Arial" w:hAnsi="Arial"/>
                <w:sz w:val="20"/>
                <w:szCs w:val="20"/>
              </w:rPr>
              <w:t>Les établissements d</w:t>
            </w:r>
            <w:r>
              <w:rPr>
                <w:rFonts w:ascii="Arial" w:hAnsi="Arial"/>
                <w:sz w:val="20"/>
                <w:szCs w:val="20"/>
              </w:rPr>
              <w:t>’</w:t>
            </w:r>
            <w:r w:rsidRPr="00E42343">
              <w:rPr>
                <w:rFonts w:ascii="Arial" w:hAnsi="Arial"/>
                <w:sz w:val="20"/>
                <w:szCs w:val="20"/>
              </w:rPr>
              <w:t>enseignement supérieur proposent des programmes et des diplômes en sauvegarde et gestion du PCI, sur une base inclusive.</w:t>
            </w:r>
          </w:p>
        </w:tc>
      </w:tr>
      <w:tr w:rsidR="00944BBD" w:rsidRPr="00E42343" w14:paraId="53E2A69C" w14:textId="77777777" w:rsidTr="00A82031">
        <w:trPr>
          <w:cantSplit/>
        </w:trPr>
        <w:tc>
          <w:tcPr>
            <w:tcW w:w="918" w:type="pct"/>
            <w:vMerge/>
            <w:shd w:val="clear" w:color="auto" w:fill="auto"/>
            <w:vAlign w:val="center"/>
          </w:tcPr>
          <w:p w14:paraId="2B9F4E56" w14:textId="77777777" w:rsidR="00944BBD" w:rsidRPr="003074FE" w:rsidRDefault="00944BBD" w:rsidP="00F21C0B">
            <w:pPr>
              <w:spacing w:before="60" w:after="60"/>
              <w:rPr>
                <w:rFonts w:ascii="Arial" w:hAnsi="Arial" w:cs="Arial"/>
                <w:sz w:val="20"/>
                <w:szCs w:val="20"/>
              </w:rPr>
            </w:pPr>
          </w:p>
        </w:tc>
        <w:tc>
          <w:tcPr>
            <w:tcW w:w="998" w:type="pct"/>
            <w:vMerge/>
            <w:shd w:val="clear" w:color="auto" w:fill="auto"/>
            <w:vAlign w:val="center"/>
          </w:tcPr>
          <w:p w14:paraId="198D097E"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52B1EEDB" w14:textId="77777777" w:rsidR="00944BBD" w:rsidRPr="00E42343" w:rsidRDefault="00944BBD" w:rsidP="00655685">
            <w:pPr>
              <w:pStyle w:val="ListParagraph"/>
              <w:numPr>
                <w:ilvl w:val="1"/>
                <w:numId w:val="21"/>
              </w:numPr>
              <w:spacing w:before="60" w:after="60"/>
              <w:ind w:left="567" w:hanging="567"/>
              <w:contextualSpacing w:val="0"/>
              <w:rPr>
                <w:rFonts w:ascii="Arial" w:hAnsi="Arial"/>
                <w:sz w:val="20"/>
                <w:szCs w:val="20"/>
              </w:rPr>
            </w:pPr>
            <w:r w:rsidRPr="00E42343">
              <w:rPr>
                <w:rFonts w:ascii="Arial" w:hAnsi="Arial"/>
                <w:sz w:val="20"/>
                <w:szCs w:val="20"/>
              </w:rPr>
              <w:t>Les institutions, centres et autres organismes gouvernementaux offrent une formation en sauvegarde et gestion du PCI, sur une base inclusive.</w:t>
            </w:r>
          </w:p>
        </w:tc>
      </w:tr>
      <w:tr w:rsidR="00944BBD" w:rsidRPr="00E42343" w14:paraId="7E688CA9" w14:textId="77777777" w:rsidTr="00A82031">
        <w:trPr>
          <w:cantSplit/>
        </w:trPr>
        <w:tc>
          <w:tcPr>
            <w:tcW w:w="918" w:type="pct"/>
            <w:vMerge/>
            <w:shd w:val="clear" w:color="auto" w:fill="auto"/>
            <w:vAlign w:val="center"/>
          </w:tcPr>
          <w:p w14:paraId="391E976C"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65A3E186"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5B0FC2F8" w14:textId="77777777" w:rsidR="00944BBD" w:rsidRPr="00E42343" w:rsidDel="004E7236" w:rsidRDefault="00944BBD" w:rsidP="00655685">
            <w:pPr>
              <w:pStyle w:val="ListParagraph"/>
              <w:numPr>
                <w:ilvl w:val="1"/>
                <w:numId w:val="21"/>
              </w:numPr>
              <w:spacing w:before="60" w:after="60"/>
              <w:ind w:left="567" w:hanging="567"/>
              <w:contextualSpacing w:val="0"/>
              <w:rPr>
                <w:rFonts w:ascii="Arial" w:hAnsi="Arial"/>
                <w:sz w:val="20"/>
                <w:szCs w:val="20"/>
              </w:rPr>
            </w:pPr>
            <w:r w:rsidRPr="00E42343">
              <w:rPr>
                <w:rFonts w:ascii="Arial" w:hAnsi="Arial"/>
                <w:sz w:val="20"/>
                <w:szCs w:val="20"/>
              </w:rPr>
              <w:t>Des initiatives menées par les communautés ou par les ONG offrent une formation en sauvegarde et gestion du PCI, sur une base inclusive.</w:t>
            </w:r>
          </w:p>
        </w:tc>
      </w:tr>
      <w:tr w:rsidR="00944BBD" w:rsidRPr="00052470" w14:paraId="6D9FB662" w14:textId="77777777" w:rsidTr="00A82031">
        <w:trPr>
          <w:cantSplit/>
        </w:trPr>
        <w:tc>
          <w:tcPr>
            <w:tcW w:w="918" w:type="pct"/>
            <w:vMerge/>
            <w:shd w:val="clear" w:color="auto" w:fill="auto"/>
            <w:vAlign w:val="center"/>
          </w:tcPr>
          <w:p w14:paraId="0BE92BC7" w14:textId="77777777" w:rsidR="00944BBD" w:rsidRPr="00E42343" w:rsidRDefault="00944BBD" w:rsidP="00F21C0B">
            <w:pPr>
              <w:spacing w:before="60" w:after="60"/>
              <w:rPr>
                <w:rFonts w:ascii="Arial" w:hAnsi="Arial" w:cs="Arial"/>
                <w:sz w:val="20"/>
                <w:szCs w:val="20"/>
              </w:rPr>
            </w:pPr>
          </w:p>
        </w:tc>
        <w:tc>
          <w:tcPr>
            <w:tcW w:w="998" w:type="pct"/>
            <w:vMerge w:val="restart"/>
            <w:shd w:val="clear" w:color="auto" w:fill="auto"/>
            <w:vAlign w:val="center"/>
          </w:tcPr>
          <w:p w14:paraId="0B4138DA"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la formation est assurée par ou cible les communautés, groupes et individus ainsi que ceux travaillant dans les domaines de la culture et du patrimoine</w:t>
            </w:r>
          </w:p>
        </w:tc>
        <w:tc>
          <w:tcPr>
            <w:tcW w:w="3084" w:type="pct"/>
            <w:shd w:val="clear" w:color="auto" w:fill="auto"/>
            <w:vAlign w:val="center"/>
          </w:tcPr>
          <w:p w14:paraId="602EC894" w14:textId="77777777" w:rsidR="00944BBD" w:rsidRPr="00E42343" w:rsidRDefault="00944BBD" w:rsidP="00655685">
            <w:pPr>
              <w:pStyle w:val="ListParagraph"/>
              <w:numPr>
                <w:ilvl w:val="1"/>
                <w:numId w:val="22"/>
              </w:numPr>
              <w:spacing w:before="60" w:after="60"/>
              <w:ind w:left="567" w:hanging="567"/>
              <w:contextualSpacing w:val="0"/>
              <w:rPr>
                <w:rFonts w:ascii="Arial" w:hAnsi="Arial"/>
                <w:vanish/>
                <w:sz w:val="20"/>
                <w:szCs w:val="20"/>
              </w:rPr>
            </w:pPr>
            <w:r w:rsidRPr="00E42343">
              <w:rPr>
                <w:rFonts w:ascii="Arial" w:hAnsi="Arial"/>
                <w:sz w:val="20"/>
                <w:szCs w:val="20"/>
              </w:rPr>
              <w:t>Les programmes de formation, y compris ceux qui sont gérés par les communautés elles-mêmes, renforcent les capacités dans le domaine du PCI en ciblant de manière inclusive les communautés, groupes et individus.</w:t>
            </w:r>
          </w:p>
        </w:tc>
      </w:tr>
      <w:tr w:rsidR="00944BBD" w:rsidRPr="00052470" w14:paraId="0CAE1BC7" w14:textId="77777777" w:rsidTr="00A82031">
        <w:trPr>
          <w:cantSplit/>
        </w:trPr>
        <w:tc>
          <w:tcPr>
            <w:tcW w:w="918" w:type="pct"/>
            <w:vMerge/>
            <w:shd w:val="clear" w:color="auto" w:fill="auto"/>
            <w:vAlign w:val="center"/>
          </w:tcPr>
          <w:p w14:paraId="2324B8C0" w14:textId="77777777" w:rsidR="00944BBD" w:rsidRPr="003074FE" w:rsidRDefault="00944BBD" w:rsidP="00F21C0B">
            <w:pPr>
              <w:spacing w:before="60" w:after="60"/>
              <w:rPr>
                <w:rFonts w:ascii="Arial" w:hAnsi="Arial" w:cs="Arial"/>
                <w:sz w:val="20"/>
                <w:szCs w:val="20"/>
              </w:rPr>
            </w:pPr>
          </w:p>
        </w:tc>
        <w:tc>
          <w:tcPr>
            <w:tcW w:w="998" w:type="pct"/>
            <w:vMerge/>
            <w:shd w:val="clear" w:color="auto" w:fill="auto"/>
            <w:vAlign w:val="center"/>
          </w:tcPr>
          <w:p w14:paraId="52D06DFF"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2118BE15" w14:textId="77777777" w:rsidR="00944BBD" w:rsidRPr="00E42343" w:rsidRDefault="00944BBD" w:rsidP="00655685">
            <w:pPr>
              <w:pStyle w:val="ListParagraph"/>
              <w:numPr>
                <w:ilvl w:val="1"/>
                <w:numId w:val="22"/>
              </w:numPr>
              <w:spacing w:before="60" w:after="60"/>
              <w:ind w:left="567" w:hanging="567"/>
              <w:contextualSpacing w:val="0"/>
              <w:rPr>
                <w:rFonts w:ascii="Arial" w:hAnsi="Arial"/>
                <w:sz w:val="20"/>
                <w:szCs w:val="20"/>
              </w:rPr>
            </w:pPr>
            <w:r w:rsidRPr="00E42343">
              <w:rPr>
                <w:rFonts w:ascii="Arial" w:hAnsi="Arial"/>
                <w:sz w:val="20"/>
                <w:szCs w:val="20"/>
              </w:rPr>
              <w:t>Les programmes de formation renforcent les capacités dans le domaine du PCI en ciblant de manière inclusive ceux travaillant dans les domaines de la culture et du patrimoine.</w:t>
            </w:r>
          </w:p>
        </w:tc>
      </w:tr>
      <w:tr w:rsidR="00944BBD" w:rsidRPr="00345EB5" w14:paraId="397EA275" w14:textId="77777777" w:rsidTr="00A82031">
        <w:trPr>
          <w:cantSplit/>
        </w:trPr>
        <w:tc>
          <w:tcPr>
            <w:tcW w:w="918" w:type="pct"/>
            <w:vMerge w:val="restart"/>
            <w:shd w:val="clear" w:color="auto" w:fill="auto"/>
            <w:vAlign w:val="center"/>
          </w:tcPr>
          <w:p w14:paraId="0E6C5239" w14:textId="77777777" w:rsidR="00944BBD" w:rsidRPr="00E42343" w:rsidRDefault="00944BBD" w:rsidP="00F21C0B">
            <w:pPr>
              <w:spacing w:before="60" w:after="60"/>
              <w:rPr>
                <w:rFonts w:ascii="Arial" w:hAnsi="Arial" w:cs="Arial"/>
                <w:b/>
                <w:sz w:val="20"/>
                <w:szCs w:val="20"/>
              </w:rPr>
            </w:pPr>
            <w:r w:rsidRPr="00E42343">
              <w:rPr>
                <w:rFonts w:ascii="Arial" w:hAnsi="Arial" w:cs="Arial"/>
                <w:b/>
                <w:sz w:val="20"/>
                <w:szCs w:val="20"/>
              </w:rPr>
              <w:t>Transmission et éducation</w:t>
            </w:r>
          </w:p>
        </w:tc>
        <w:tc>
          <w:tcPr>
            <w:tcW w:w="998" w:type="pct"/>
            <w:vMerge w:val="restart"/>
            <w:shd w:val="clear" w:color="auto" w:fill="auto"/>
            <w:vAlign w:val="center"/>
          </w:tcPr>
          <w:p w14:paraId="6C9B1FA2"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w:t>
            </w:r>
            <w:r>
              <w:rPr>
                <w:rFonts w:ascii="Arial" w:hAnsi="Arial"/>
                <w:sz w:val="20"/>
                <w:szCs w:val="20"/>
              </w:rPr>
              <w:t>’</w:t>
            </w:r>
            <w:r w:rsidRPr="00E42343">
              <w:rPr>
                <w:rFonts w:ascii="Arial" w:hAnsi="Arial"/>
                <w:sz w:val="20"/>
                <w:szCs w:val="20"/>
              </w:rPr>
              <w:t xml:space="preserve">éducation formelle et non formelle renforcent </w:t>
            </w:r>
            <w:r w:rsidRPr="00E42343">
              <w:rPr>
                <w:rFonts w:ascii="Arial" w:hAnsi="Arial"/>
                <w:sz w:val="20"/>
                <w:szCs w:val="20"/>
              </w:rPr>
              <w:lastRenderedPageBreak/>
              <w:t>la transmission du PCI et promeut le respect du PCI</w:t>
            </w:r>
          </w:p>
        </w:tc>
        <w:tc>
          <w:tcPr>
            <w:tcW w:w="3084" w:type="pct"/>
            <w:shd w:val="clear" w:color="auto" w:fill="auto"/>
            <w:vAlign w:val="center"/>
          </w:tcPr>
          <w:p w14:paraId="16197C45" w14:textId="77777777" w:rsidR="00944BBD" w:rsidRPr="00E42343" w:rsidRDefault="00944BBD" w:rsidP="00655685">
            <w:pPr>
              <w:pStyle w:val="ListParagraph"/>
              <w:numPr>
                <w:ilvl w:val="1"/>
                <w:numId w:val="18"/>
              </w:numPr>
              <w:spacing w:before="60" w:after="60"/>
              <w:ind w:left="567" w:hanging="567"/>
              <w:contextualSpacing w:val="0"/>
              <w:rPr>
                <w:rFonts w:ascii="Arial" w:hAnsi="Arial"/>
                <w:sz w:val="20"/>
                <w:szCs w:val="20"/>
              </w:rPr>
            </w:pPr>
            <w:r w:rsidRPr="00E42343">
              <w:rPr>
                <w:rFonts w:ascii="Arial" w:hAnsi="Arial"/>
                <w:sz w:val="20"/>
                <w:szCs w:val="20"/>
              </w:rPr>
              <w:lastRenderedPageBreak/>
              <w:t>Les praticiens et les détenteurs</w:t>
            </w:r>
            <w:r w:rsidRPr="00E42343">
              <w:rPr>
                <w:rStyle w:val="FootnoteReference"/>
                <w:rFonts w:ascii="Arial" w:hAnsi="Arial"/>
                <w:sz w:val="20"/>
                <w:szCs w:val="20"/>
              </w:rPr>
              <w:footnoteReference w:id="6"/>
            </w:r>
            <w:r w:rsidRPr="00E42343">
              <w:rPr>
                <w:rFonts w:ascii="Arial" w:hAnsi="Arial"/>
                <w:sz w:val="20"/>
                <w:szCs w:val="20"/>
              </w:rPr>
              <w:t xml:space="preserve"> sont impliqués de manière inclusive dans la conception et le développement des programmes d</w:t>
            </w:r>
            <w:r>
              <w:rPr>
                <w:rFonts w:ascii="Arial" w:hAnsi="Arial"/>
                <w:sz w:val="20"/>
                <w:szCs w:val="20"/>
              </w:rPr>
              <w:t>’</w:t>
            </w:r>
            <w:r w:rsidRPr="00E42343">
              <w:rPr>
                <w:rFonts w:ascii="Arial" w:hAnsi="Arial"/>
                <w:sz w:val="20"/>
                <w:szCs w:val="20"/>
              </w:rPr>
              <w:t>éducation au PCI et/ou dans la présentation et la transmission active de leur patrimoine.</w:t>
            </w:r>
          </w:p>
        </w:tc>
      </w:tr>
      <w:tr w:rsidR="00944BBD" w:rsidRPr="00052470" w14:paraId="2304A855" w14:textId="77777777" w:rsidTr="00A82031">
        <w:trPr>
          <w:cantSplit/>
        </w:trPr>
        <w:tc>
          <w:tcPr>
            <w:tcW w:w="918" w:type="pct"/>
            <w:vMerge/>
            <w:shd w:val="clear" w:color="auto" w:fill="auto"/>
            <w:vAlign w:val="center"/>
          </w:tcPr>
          <w:p w14:paraId="4A2B2A6F"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7507CC8C"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473F0A19" w14:textId="77777777" w:rsidR="00944BBD" w:rsidRPr="00E42343" w:rsidRDefault="00944BBD" w:rsidP="00655685">
            <w:pPr>
              <w:pStyle w:val="ListParagraph"/>
              <w:numPr>
                <w:ilvl w:val="1"/>
                <w:numId w:val="18"/>
              </w:numPr>
              <w:spacing w:before="60" w:after="60"/>
              <w:ind w:left="567" w:hanging="567"/>
              <w:contextualSpacing w:val="0"/>
              <w:rPr>
                <w:rFonts w:ascii="Arial" w:hAnsi="Arial"/>
                <w:sz w:val="20"/>
                <w:szCs w:val="20"/>
              </w:rPr>
            </w:pPr>
            <w:r w:rsidRPr="00E42343">
              <w:rPr>
                <w:rFonts w:ascii="Arial" w:hAnsi="Arial"/>
                <w:sz w:val="20"/>
                <w:szCs w:val="20"/>
              </w:rPr>
              <w:t>Les modes et méthodes de transmission du PCI qui sont reconnus par les communautés, les groupes et les individus sont appris et/ou renforcés et inclus dans les programmes d</w:t>
            </w:r>
            <w:r>
              <w:rPr>
                <w:rFonts w:ascii="Arial" w:hAnsi="Arial"/>
                <w:sz w:val="20"/>
                <w:szCs w:val="20"/>
              </w:rPr>
              <w:t>’</w:t>
            </w:r>
            <w:r w:rsidRPr="00E42343">
              <w:rPr>
                <w:rFonts w:ascii="Arial" w:hAnsi="Arial"/>
                <w:sz w:val="20"/>
                <w:szCs w:val="20"/>
              </w:rPr>
              <w:t>éducation formelle et non formelle.</w:t>
            </w:r>
          </w:p>
        </w:tc>
      </w:tr>
      <w:tr w:rsidR="00944BBD" w:rsidRPr="00345EB5" w14:paraId="6761BB74" w14:textId="77777777" w:rsidTr="00A82031">
        <w:trPr>
          <w:cantSplit/>
        </w:trPr>
        <w:tc>
          <w:tcPr>
            <w:tcW w:w="918" w:type="pct"/>
            <w:vMerge/>
            <w:shd w:val="clear" w:color="auto" w:fill="auto"/>
            <w:vAlign w:val="center"/>
          </w:tcPr>
          <w:p w14:paraId="04BA86BF" w14:textId="77777777" w:rsidR="00944BBD" w:rsidRPr="003074FE" w:rsidRDefault="00944BBD" w:rsidP="00F21C0B">
            <w:pPr>
              <w:spacing w:before="60" w:after="60"/>
              <w:rPr>
                <w:rFonts w:ascii="Arial" w:hAnsi="Arial" w:cs="Arial"/>
                <w:b/>
                <w:sz w:val="20"/>
                <w:szCs w:val="20"/>
              </w:rPr>
            </w:pPr>
          </w:p>
        </w:tc>
        <w:tc>
          <w:tcPr>
            <w:tcW w:w="998" w:type="pct"/>
            <w:vMerge/>
            <w:shd w:val="clear" w:color="auto" w:fill="auto"/>
            <w:vAlign w:val="center"/>
          </w:tcPr>
          <w:p w14:paraId="02CFF3E7"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7ECCA654" w14:textId="77777777" w:rsidR="00944BBD" w:rsidRPr="00E42343" w:rsidRDefault="00944BBD" w:rsidP="00655685">
            <w:pPr>
              <w:pStyle w:val="ListParagraph"/>
              <w:numPr>
                <w:ilvl w:val="1"/>
                <w:numId w:val="18"/>
              </w:numPr>
              <w:spacing w:before="60" w:after="60"/>
              <w:ind w:left="567" w:hanging="567"/>
              <w:contextualSpacing w:val="0"/>
              <w:rPr>
                <w:rFonts w:ascii="Arial" w:hAnsi="Arial"/>
                <w:sz w:val="20"/>
                <w:szCs w:val="20"/>
              </w:rPr>
            </w:pPr>
            <w:r w:rsidRPr="00E42343">
              <w:rPr>
                <w:rFonts w:ascii="Arial" w:hAnsi="Arial"/>
                <w:sz w:val="20"/>
                <w:szCs w:val="20"/>
              </w:rPr>
              <w:t>Des programmes d</w:t>
            </w:r>
            <w:r>
              <w:rPr>
                <w:rFonts w:ascii="Arial" w:hAnsi="Arial"/>
                <w:sz w:val="20"/>
                <w:szCs w:val="20"/>
              </w:rPr>
              <w:t>’</w:t>
            </w:r>
            <w:r w:rsidRPr="00E42343">
              <w:rPr>
                <w:rFonts w:ascii="Arial" w:hAnsi="Arial"/>
                <w:sz w:val="20"/>
                <w:szCs w:val="20"/>
              </w:rPr>
              <w:t>éducation et/ou des activités parascolaires, menés par des communautés,</w:t>
            </w:r>
            <w:r w:rsidRPr="0064435E">
              <w:rPr>
                <w:rFonts w:ascii="Arial" w:hAnsi="Arial" w:hint="eastAsia"/>
                <w:sz w:val="20"/>
                <w:szCs w:val="20"/>
              </w:rPr>
              <w:t xml:space="preserve"> </w:t>
            </w:r>
            <w:r w:rsidRPr="0064435E">
              <w:rPr>
                <w:rFonts w:ascii="Arial" w:hAnsi="Arial"/>
                <w:sz w:val="20"/>
                <w:szCs w:val="20"/>
              </w:rPr>
              <w:t>des groupes,</w:t>
            </w:r>
            <w:r w:rsidRPr="00E42343">
              <w:rPr>
                <w:rFonts w:ascii="Arial" w:hAnsi="Arial"/>
                <w:sz w:val="20"/>
                <w:szCs w:val="20"/>
              </w:rPr>
              <w:t xml:space="preserve"> des ONG et des institutions du patrimoine, sur le PCI et le renforcement de sa transmission sont disponibles et soutenus.</w:t>
            </w:r>
          </w:p>
        </w:tc>
      </w:tr>
      <w:tr w:rsidR="00944BBD" w:rsidRPr="00345EB5" w14:paraId="442652BC" w14:textId="77777777" w:rsidTr="00A82031">
        <w:trPr>
          <w:cantSplit/>
        </w:trPr>
        <w:tc>
          <w:tcPr>
            <w:tcW w:w="918" w:type="pct"/>
            <w:vMerge/>
            <w:shd w:val="clear" w:color="auto" w:fill="auto"/>
            <w:vAlign w:val="center"/>
          </w:tcPr>
          <w:p w14:paraId="2B613D1D"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4C72518F"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58AFB47D" w14:textId="77777777" w:rsidR="00944BBD" w:rsidRPr="00E42343" w:rsidRDefault="00944BBD" w:rsidP="00655685">
            <w:pPr>
              <w:pStyle w:val="ListParagraph"/>
              <w:numPr>
                <w:ilvl w:val="1"/>
                <w:numId w:val="18"/>
              </w:numPr>
              <w:spacing w:before="60" w:after="60"/>
              <w:ind w:left="567" w:hanging="567"/>
              <w:contextualSpacing w:val="0"/>
              <w:rPr>
                <w:rFonts w:ascii="Arial" w:hAnsi="Arial"/>
                <w:sz w:val="20"/>
                <w:szCs w:val="20"/>
              </w:rPr>
            </w:pPr>
            <w:r w:rsidRPr="00E42343">
              <w:rPr>
                <w:rFonts w:ascii="Arial" w:hAnsi="Arial"/>
                <w:sz w:val="20"/>
                <w:szCs w:val="20"/>
              </w:rPr>
              <w:t>Des programmes de formation des enseignants et des programmes pour les prestataires de services de formation de l</w:t>
            </w:r>
            <w:r>
              <w:rPr>
                <w:rFonts w:ascii="Arial" w:hAnsi="Arial"/>
                <w:sz w:val="20"/>
                <w:szCs w:val="20"/>
              </w:rPr>
              <w:t>’</w:t>
            </w:r>
            <w:r w:rsidRPr="00E42343">
              <w:rPr>
                <w:rFonts w:ascii="Arial" w:hAnsi="Arial"/>
                <w:sz w:val="20"/>
                <w:szCs w:val="20"/>
              </w:rPr>
              <w:t>éducation non formelle comprennent des approches à l</w:t>
            </w:r>
            <w:r>
              <w:rPr>
                <w:rFonts w:ascii="Arial" w:hAnsi="Arial"/>
                <w:sz w:val="20"/>
                <w:szCs w:val="20"/>
              </w:rPr>
              <w:t>’</w:t>
            </w:r>
            <w:r w:rsidRPr="00E42343">
              <w:rPr>
                <w:rFonts w:ascii="Arial" w:hAnsi="Arial"/>
                <w:sz w:val="20"/>
                <w:szCs w:val="20"/>
              </w:rPr>
              <w:t>intégration du PCI et de sa sauvegarde dans l</w:t>
            </w:r>
            <w:r>
              <w:rPr>
                <w:rFonts w:ascii="Arial" w:hAnsi="Arial"/>
                <w:sz w:val="20"/>
                <w:szCs w:val="20"/>
              </w:rPr>
              <w:t>’</w:t>
            </w:r>
            <w:r w:rsidRPr="00E42343">
              <w:rPr>
                <w:rFonts w:ascii="Arial" w:hAnsi="Arial"/>
                <w:sz w:val="20"/>
                <w:szCs w:val="20"/>
              </w:rPr>
              <w:t>éducation.</w:t>
            </w:r>
          </w:p>
        </w:tc>
      </w:tr>
      <w:tr w:rsidR="00944BBD" w:rsidRPr="00052470" w14:paraId="2675AB89" w14:textId="77777777" w:rsidTr="00A82031">
        <w:trPr>
          <w:cantSplit/>
        </w:trPr>
        <w:tc>
          <w:tcPr>
            <w:tcW w:w="918" w:type="pct"/>
            <w:vMerge/>
            <w:shd w:val="clear" w:color="auto" w:fill="auto"/>
            <w:vAlign w:val="center"/>
          </w:tcPr>
          <w:p w14:paraId="0D40D024" w14:textId="77777777" w:rsidR="00944BBD" w:rsidRPr="00E42343" w:rsidRDefault="00944BBD" w:rsidP="00F21C0B">
            <w:pPr>
              <w:spacing w:before="60" w:after="60"/>
              <w:rPr>
                <w:rFonts w:ascii="Arial" w:hAnsi="Arial" w:cs="Arial"/>
                <w:b/>
                <w:sz w:val="20"/>
                <w:szCs w:val="20"/>
              </w:rPr>
            </w:pPr>
          </w:p>
        </w:tc>
        <w:tc>
          <w:tcPr>
            <w:tcW w:w="998" w:type="pct"/>
            <w:vMerge w:val="restart"/>
            <w:shd w:val="clear" w:color="auto" w:fill="auto"/>
            <w:vAlign w:val="center"/>
          </w:tcPr>
          <w:p w14:paraId="0A7DA064"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le patrimoine culturel immatériel et sa sauvegarde sont intégrés à l</w:t>
            </w:r>
            <w:r>
              <w:rPr>
                <w:rFonts w:ascii="Arial" w:hAnsi="Arial"/>
                <w:sz w:val="20"/>
                <w:szCs w:val="20"/>
              </w:rPr>
              <w:t>’</w:t>
            </w:r>
            <w:r w:rsidRPr="00E42343">
              <w:rPr>
                <w:rFonts w:ascii="Arial" w:hAnsi="Arial"/>
                <w:sz w:val="20"/>
                <w:szCs w:val="20"/>
              </w:rPr>
              <w:t>enseignement primaire et secondaire, inclus dans le contenu des disciplines pertinentes, et utilisé pour renforcer l</w:t>
            </w:r>
            <w:r>
              <w:rPr>
                <w:rFonts w:ascii="Arial" w:hAnsi="Arial"/>
                <w:sz w:val="20"/>
                <w:szCs w:val="20"/>
              </w:rPr>
              <w:t>’</w:t>
            </w:r>
            <w:r w:rsidRPr="00E42343">
              <w:rPr>
                <w:rFonts w:ascii="Arial" w:hAnsi="Arial"/>
                <w:sz w:val="20"/>
                <w:szCs w:val="20"/>
              </w:rPr>
              <w:t>enseignement et l</w:t>
            </w:r>
            <w:r>
              <w:rPr>
                <w:rFonts w:ascii="Arial" w:hAnsi="Arial"/>
                <w:sz w:val="20"/>
                <w:szCs w:val="20"/>
              </w:rPr>
              <w:t>’</w:t>
            </w:r>
            <w:r w:rsidRPr="00E42343">
              <w:rPr>
                <w:rFonts w:ascii="Arial" w:hAnsi="Arial"/>
                <w:sz w:val="20"/>
                <w:szCs w:val="20"/>
              </w:rPr>
              <w:t xml:space="preserve">apprentissage du et avec le PCI et le respect de son propre PCI et de celui des autres </w:t>
            </w:r>
          </w:p>
        </w:tc>
        <w:tc>
          <w:tcPr>
            <w:tcW w:w="3084" w:type="pct"/>
            <w:shd w:val="clear" w:color="auto" w:fill="auto"/>
            <w:vAlign w:val="center"/>
          </w:tcPr>
          <w:p w14:paraId="107ECF5C" w14:textId="77777777" w:rsidR="00944BBD" w:rsidRPr="00E42343" w:rsidRDefault="00944BBD" w:rsidP="00655685">
            <w:pPr>
              <w:pStyle w:val="ListParagraph"/>
              <w:numPr>
                <w:ilvl w:val="1"/>
                <w:numId w:val="15"/>
              </w:numPr>
              <w:spacing w:before="60" w:after="60"/>
              <w:ind w:left="595" w:hanging="595"/>
              <w:contextualSpacing w:val="0"/>
              <w:rPr>
                <w:rFonts w:ascii="Arial" w:hAnsi="Arial"/>
                <w:sz w:val="20"/>
                <w:szCs w:val="20"/>
              </w:rPr>
            </w:pPr>
            <w:r w:rsidRPr="00E42343">
              <w:rPr>
                <w:rFonts w:ascii="Arial" w:hAnsi="Arial"/>
                <w:sz w:val="20"/>
                <w:szCs w:val="20"/>
              </w:rPr>
              <w:t>Le PCI, dans sa diversité, est inclus dans le contenu des disciplines pertinentes, en tant qu</w:t>
            </w:r>
            <w:r>
              <w:rPr>
                <w:rFonts w:ascii="Arial" w:hAnsi="Arial"/>
                <w:sz w:val="20"/>
                <w:szCs w:val="20"/>
              </w:rPr>
              <w:t>’</w:t>
            </w:r>
            <w:r w:rsidRPr="00E42343">
              <w:rPr>
                <w:rFonts w:ascii="Arial" w:hAnsi="Arial"/>
                <w:sz w:val="20"/>
                <w:szCs w:val="20"/>
              </w:rPr>
              <w:t>apport en lui-même et/ou moyen d</w:t>
            </w:r>
            <w:r>
              <w:rPr>
                <w:rFonts w:ascii="Arial" w:hAnsi="Arial"/>
                <w:sz w:val="20"/>
                <w:szCs w:val="20"/>
              </w:rPr>
              <w:t>’</w:t>
            </w:r>
            <w:r w:rsidRPr="00E42343">
              <w:rPr>
                <w:rFonts w:ascii="Arial" w:hAnsi="Arial"/>
                <w:sz w:val="20"/>
                <w:szCs w:val="20"/>
              </w:rPr>
              <w:t>expliquer ou de démontrer d</w:t>
            </w:r>
            <w:r>
              <w:rPr>
                <w:rFonts w:ascii="Arial" w:hAnsi="Arial"/>
                <w:sz w:val="20"/>
                <w:szCs w:val="20"/>
              </w:rPr>
              <w:t>’</w:t>
            </w:r>
            <w:r w:rsidRPr="00E42343">
              <w:rPr>
                <w:rFonts w:ascii="Arial" w:hAnsi="Arial"/>
                <w:sz w:val="20"/>
                <w:szCs w:val="20"/>
              </w:rPr>
              <w:t>autres sujets.</w:t>
            </w:r>
          </w:p>
        </w:tc>
      </w:tr>
      <w:tr w:rsidR="00944BBD" w:rsidRPr="00E42343" w14:paraId="2AF6624D" w14:textId="77777777" w:rsidTr="00A82031">
        <w:trPr>
          <w:cantSplit/>
        </w:trPr>
        <w:tc>
          <w:tcPr>
            <w:tcW w:w="918" w:type="pct"/>
            <w:vMerge/>
            <w:shd w:val="clear" w:color="auto" w:fill="auto"/>
            <w:vAlign w:val="center"/>
          </w:tcPr>
          <w:p w14:paraId="0B42772C" w14:textId="77777777" w:rsidR="00944BBD" w:rsidRPr="003074FE" w:rsidRDefault="00944BBD" w:rsidP="00F21C0B">
            <w:pPr>
              <w:spacing w:before="60" w:after="60"/>
              <w:rPr>
                <w:rFonts w:ascii="Arial" w:hAnsi="Arial" w:cs="Arial"/>
                <w:sz w:val="20"/>
                <w:szCs w:val="20"/>
              </w:rPr>
            </w:pPr>
          </w:p>
        </w:tc>
        <w:tc>
          <w:tcPr>
            <w:tcW w:w="998" w:type="pct"/>
            <w:vMerge/>
            <w:shd w:val="clear" w:color="auto" w:fill="auto"/>
            <w:vAlign w:val="center"/>
          </w:tcPr>
          <w:p w14:paraId="0FE282A4"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7FBA9522" w14:textId="77777777" w:rsidR="00944BBD" w:rsidRPr="00E42343" w:rsidRDefault="00944BBD" w:rsidP="00655685">
            <w:pPr>
              <w:pStyle w:val="ListParagraph"/>
              <w:numPr>
                <w:ilvl w:val="1"/>
                <w:numId w:val="15"/>
              </w:numPr>
              <w:spacing w:before="60" w:after="60"/>
              <w:ind w:left="595" w:hanging="595"/>
              <w:contextualSpacing w:val="0"/>
              <w:rPr>
                <w:rFonts w:ascii="Arial" w:hAnsi="Arial"/>
                <w:sz w:val="20"/>
                <w:szCs w:val="20"/>
              </w:rPr>
            </w:pPr>
            <w:r w:rsidRPr="00E42343">
              <w:rPr>
                <w:rFonts w:ascii="Arial" w:hAnsi="Arial"/>
                <w:sz w:val="20"/>
                <w:szCs w:val="20"/>
              </w:rPr>
              <w:t>Les élèves apprennent à respecter et à réfléchir sur le PCI de leur propre communauté ou groupe, ainsi que sur celui des autres par le biais de programmes éducatifs et d</w:t>
            </w:r>
            <w:r>
              <w:rPr>
                <w:rFonts w:ascii="Arial" w:hAnsi="Arial"/>
                <w:sz w:val="20"/>
                <w:szCs w:val="20"/>
              </w:rPr>
              <w:t>’</w:t>
            </w:r>
            <w:r w:rsidRPr="00E42343">
              <w:rPr>
                <w:rFonts w:ascii="Arial" w:hAnsi="Arial"/>
                <w:sz w:val="20"/>
                <w:szCs w:val="20"/>
              </w:rPr>
              <w:t>enseignement.</w:t>
            </w:r>
          </w:p>
        </w:tc>
      </w:tr>
      <w:tr w:rsidR="00944BBD" w:rsidRPr="00E42343" w14:paraId="745A5E5A" w14:textId="77777777" w:rsidTr="00A82031">
        <w:trPr>
          <w:cantSplit/>
        </w:trPr>
        <w:tc>
          <w:tcPr>
            <w:tcW w:w="918" w:type="pct"/>
            <w:vMerge/>
            <w:shd w:val="clear" w:color="auto" w:fill="auto"/>
            <w:vAlign w:val="center"/>
          </w:tcPr>
          <w:p w14:paraId="4925DABF"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4C45A2C2"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2681D05C" w14:textId="77777777" w:rsidR="00944BBD" w:rsidRPr="00E42343" w:rsidRDefault="00944BBD" w:rsidP="00655685">
            <w:pPr>
              <w:pStyle w:val="ListParagraph"/>
              <w:numPr>
                <w:ilvl w:val="1"/>
                <w:numId w:val="15"/>
              </w:numPr>
              <w:spacing w:before="60" w:after="60"/>
              <w:ind w:left="595" w:hanging="595"/>
              <w:contextualSpacing w:val="0"/>
              <w:rPr>
                <w:rFonts w:ascii="Arial" w:hAnsi="Arial"/>
                <w:sz w:val="20"/>
                <w:szCs w:val="20"/>
              </w:rPr>
            </w:pPr>
            <w:r w:rsidRPr="00E42343">
              <w:rPr>
                <w:rFonts w:ascii="Arial" w:hAnsi="Arial"/>
                <w:sz w:val="20"/>
                <w:szCs w:val="20"/>
              </w:rPr>
              <w:t>La diversité des apprenants du PCI se traduit par l</w:t>
            </w:r>
            <w:r>
              <w:rPr>
                <w:rFonts w:ascii="Arial" w:hAnsi="Arial"/>
                <w:sz w:val="20"/>
                <w:szCs w:val="20"/>
              </w:rPr>
              <w:t>’</w:t>
            </w:r>
            <w:r w:rsidRPr="00E42343">
              <w:rPr>
                <w:rFonts w:ascii="Arial" w:hAnsi="Arial"/>
                <w:sz w:val="20"/>
                <w:szCs w:val="20"/>
              </w:rPr>
              <w:t>enseignement en langue maternelle ou l</w:t>
            </w:r>
            <w:r>
              <w:rPr>
                <w:rFonts w:ascii="Arial" w:hAnsi="Arial"/>
                <w:sz w:val="20"/>
                <w:szCs w:val="20"/>
              </w:rPr>
              <w:t>’</w:t>
            </w:r>
            <w:r w:rsidRPr="00E42343">
              <w:rPr>
                <w:rFonts w:ascii="Arial" w:hAnsi="Arial"/>
                <w:sz w:val="20"/>
                <w:szCs w:val="20"/>
              </w:rPr>
              <w:t>éducation multilingue et/ou l</w:t>
            </w:r>
            <w:r>
              <w:rPr>
                <w:rFonts w:ascii="Arial" w:hAnsi="Arial"/>
                <w:sz w:val="20"/>
                <w:szCs w:val="20"/>
              </w:rPr>
              <w:t>’</w:t>
            </w:r>
            <w:r w:rsidRPr="00E42343">
              <w:rPr>
                <w:rFonts w:ascii="Arial" w:hAnsi="Arial"/>
                <w:sz w:val="20"/>
                <w:szCs w:val="20"/>
              </w:rPr>
              <w:t>inclusion de « contenu local » dans le programme d</w:t>
            </w:r>
            <w:r>
              <w:rPr>
                <w:rFonts w:ascii="Arial" w:hAnsi="Arial"/>
                <w:sz w:val="20"/>
                <w:szCs w:val="20"/>
              </w:rPr>
              <w:t>’</w:t>
            </w:r>
            <w:r w:rsidRPr="00E42343">
              <w:rPr>
                <w:rFonts w:ascii="Arial" w:hAnsi="Arial"/>
                <w:sz w:val="20"/>
                <w:szCs w:val="20"/>
              </w:rPr>
              <w:t>enseignement.</w:t>
            </w:r>
          </w:p>
        </w:tc>
      </w:tr>
      <w:tr w:rsidR="00944BBD" w:rsidRPr="00E42343" w14:paraId="56F040BA" w14:textId="77777777" w:rsidTr="00A82031">
        <w:trPr>
          <w:cantSplit/>
        </w:trPr>
        <w:tc>
          <w:tcPr>
            <w:tcW w:w="918" w:type="pct"/>
            <w:vMerge/>
            <w:shd w:val="clear" w:color="auto" w:fill="auto"/>
            <w:vAlign w:val="center"/>
          </w:tcPr>
          <w:p w14:paraId="49E28946"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12B90F89"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6095AAB9" w14:textId="77777777" w:rsidR="00944BBD" w:rsidRPr="00E42343" w:rsidRDefault="00944BBD" w:rsidP="00655685">
            <w:pPr>
              <w:pStyle w:val="ListParagraph"/>
              <w:numPr>
                <w:ilvl w:val="1"/>
                <w:numId w:val="15"/>
              </w:numPr>
              <w:spacing w:before="60" w:after="60"/>
              <w:ind w:left="595" w:hanging="595"/>
              <w:contextualSpacing w:val="0"/>
              <w:rPr>
                <w:rFonts w:ascii="Arial" w:hAnsi="Arial"/>
                <w:sz w:val="20"/>
                <w:szCs w:val="20"/>
              </w:rPr>
            </w:pPr>
            <w:r w:rsidRPr="00E42343">
              <w:rPr>
                <w:rFonts w:ascii="Arial" w:hAnsi="Arial"/>
                <w:sz w:val="20"/>
                <w:szCs w:val="20"/>
              </w:rPr>
              <w:t>Les programmes éducatifs enseignent la protection des espaces naturels et culturels et des lieux de mémoire dont l</w:t>
            </w:r>
            <w:r>
              <w:rPr>
                <w:rFonts w:ascii="Arial" w:hAnsi="Arial"/>
                <w:sz w:val="20"/>
                <w:szCs w:val="20"/>
              </w:rPr>
              <w:t>’</w:t>
            </w:r>
            <w:r w:rsidRPr="00E42343">
              <w:rPr>
                <w:rFonts w:ascii="Arial" w:hAnsi="Arial"/>
                <w:sz w:val="20"/>
                <w:szCs w:val="20"/>
              </w:rPr>
              <w:t>existence est nécessaire à l</w:t>
            </w:r>
            <w:r>
              <w:rPr>
                <w:rFonts w:ascii="Arial" w:hAnsi="Arial"/>
                <w:sz w:val="20"/>
                <w:szCs w:val="20"/>
              </w:rPr>
              <w:t>’</w:t>
            </w:r>
            <w:r w:rsidRPr="00E42343">
              <w:rPr>
                <w:rFonts w:ascii="Arial" w:hAnsi="Arial"/>
                <w:sz w:val="20"/>
                <w:szCs w:val="20"/>
              </w:rPr>
              <w:t>expression du PCI.</w:t>
            </w:r>
          </w:p>
        </w:tc>
      </w:tr>
      <w:tr w:rsidR="00944BBD" w:rsidRPr="00E42343" w14:paraId="6B48118B" w14:textId="77777777" w:rsidTr="00A82031">
        <w:trPr>
          <w:cantSplit/>
        </w:trPr>
        <w:tc>
          <w:tcPr>
            <w:tcW w:w="918" w:type="pct"/>
            <w:vMerge/>
            <w:shd w:val="clear" w:color="auto" w:fill="auto"/>
            <w:vAlign w:val="center"/>
          </w:tcPr>
          <w:p w14:paraId="59EFF523" w14:textId="77777777" w:rsidR="00944BBD" w:rsidRPr="00E42343" w:rsidRDefault="00944BBD" w:rsidP="00F21C0B">
            <w:pPr>
              <w:spacing w:before="60" w:after="60"/>
              <w:rPr>
                <w:rFonts w:ascii="Arial" w:hAnsi="Arial" w:cs="Arial"/>
                <w:sz w:val="20"/>
                <w:szCs w:val="20"/>
              </w:rPr>
            </w:pPr>
          </w:p>
        </w:tc>
        <w:tc>
          <w:tcPr>
            <w:tcW w:w="998" w:type="pct"/>
            <w:vMerge w:val="restart"/>
            <w:shd w:val="clear" w:color="auto" w:fill="auto"/>
            <w:vAlign w:val="center"/>
          </w:tcPr>
          <w:p w14:paraId="659C2A30" w14:textId="10A88D46" w:rsidR="00944BBD" w:rsidRPr="00E42343" w:rsidRDefault="00944BBD" w:rsidP="00D50A1B">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w:t>
            </w:r>
            <w:r>
              <w:rPr>
                <w:rFonts w:ascii="Arial" w:hAnsi="Arial"/>
                <w:sz w:val="20"/>
                <w:szCs w:val="20"/>
              </w:rPr>
              <w:t>’</w:t>
            </w:r>
            <w:r w:rsidRPr="00E42343">
              <w:rPr>
                <w:rFonts w:ascii="Arial" w:hAnsi="Arial"/>
                <w:sz w:val="20"/>
                <w:szCs w:val="20"/>
              </w:rPr>
              <w:t>éducation postsecondaire soutient la pratique et la transmission du PCI ainsi que l</w:t>
            </w:r>
            <w:r>
              <w:rPr>
                <w:rFonts w:ascii="Arial" w:hAnsi="Arial"/>
                <w:sz w:val="20"/>
                <w:szCs w:val="20"/>
              </w:rPr>
              <w:t>’</w:t>
            </w:r>
            <w:r w:rsidRPr="00E42343">
              <w:rPr>
                <w:rFonts w:ascii="Arial" w:hAnsi="Arial"/>
                <w:sz w:val="20"/>
                <w:szCs w:val="20"/>
              </w:rPr>
              <w:t>étude de ses dimensions sociales, culturelles et autres</w:t>
            </w:r>
          </w:p>
        </w:tc>
        <w:tc>
          <w:tcPr>
            <w:tcW w:w="3084" w:type="pct"/>
            <w:shd w:val="clear" w:color="auto" w:fill="auto"/>
            <w:vAlign w:val="center"/>
          </w:tcPr>
          <w:p w14:paraId="330B518C" w14:textId="77777777" w:rsidR="00944BBD" w:rsidRPr="00E42343" w:rsidRDefault="00944BBD" w:rsidP="00655685">
            <w:pPr>
              <w:pStyle w:val="ListParagraph"/>
              <w:numPr>
                <w:ilvl w:val="1"/>
                <w:numId w:val="19"/>
              </w:numPr>
              <w:spacing w:before="60" w:after="60"/>
              <w:ind w:left="567" w:hanging="567"/>
              <w:contextualSpacing w:val="0"/>
              <w:rPr>
                <w:rFonts w:ascii="Arial" w:hAnsi="Arial"/>
                <w:sz w:val="20"/>
                <w:szCs w:val="20"/>
              </w:rPr>
            </w:pPr>
            <w:r w:rsidRPr="00E42343">
              <w:rPr>
                <w:rFonts w:ascii="Arial" w:hAnsi="Arial"/>
                <w:sz w:val="20"/>
                <w:szCs w:val="20"/>
              </w:rPr>
              <w:t>Les établissements d</w:t>
            </w:r>
            <w:r>
              <w:rPr>
                <w:rFonts w:ascii="Arial" w:hAnsi="Arial"/>
                <w:sz w:val="20"/>
                <w:szCs w:val="20"/>
              </w:rPr>
              <w:t>’</w:t>
            </w:r>
            <w:r w:rsidRPr="00E42343">
              <w:rPr>
                <w:rFonts w:ascii="Arial" w:hAnsi="Arial"/>
                <w:sz w:val="20"/>
                <w:szCs w:val="20"/>
              </w:rPr>
              <w:t>enseignement postsecondaire proposent des programmes et des diplômes (dans des domaines tels que la musique, les arts, l</w:t>
            </w:r>
            <w:r>
              <w:rPr>
                <w:rFonts w:ascii="Arial" w:hAnsi="Arial"/>
                <w:sz w:val="20"/>
                <w:szCs w:val="20"/>
              </w:rPr>
              <w:t>’</w:t>
            </w:r>
            <w:r w:rsidRPr="00E42343">
              <w:rPr>
                <w:rFonts w:ascii="Arial" w:hAnsi="Arial"/>
                <w:sz w:val="20"/>
                <w:szCs w:val="20"/>
              </w:rPr>
              <w:t>artisanat</w:t>
            </w:r>
            <w:r w:rsidRPr="004C6E46">
              <w:rPr>
                <w:rFonts w:ascii="Arial" w:hAnsi="Arial"/>
                <w:sz w:val="20"/>
                <w:szCs w:val="20"/>
              </w:rPr>
              <w:t>, l</w:t>
            </w:r>
            <w:r>
              <w:rPr>
                <w:rFonts w:ascii="Arial" w:hAnsi="Arial"/>
                <w:sz w:val="20"/>
                <w:szCs w:val="20"/>
              </w:rPr>
              <w:t>’</w:t>
            </w:r>
            <w:r w:rsidRPr="004C6E46">
              <w:rPr>
                <w:rFonts w:ascii="Arial" w:hAnsi="Arial"/>
                <w:sz w:val="20"/>
                <w:szCs w:val="20"/>
              </w:rPr>
              <w:t>enseignement et la formation technique et professionnelle</w:t>
            </w:r>
            <w:r w:rsidRPr="00E42343">
              <w:rPr>
                <w:rFonts w:ascii="Arial" w:hAnsi="Arial"/>
                <w:sz w:val="20"/>
                <w:szCs w:val="20"/>
              </w:rPr>
              <w:t>, etc.) qui renforcent la pratique et la transmission du PCI.</w:t>
            </w:r>
          </w:p>
        </w:tc>
      </w:tr>
      <w:tr w:rsidR="00944BBD" w:rsidRPr="00E42343" w14:paraId="62C59F50" w14:textId="77777777" w:rsidTr="00A82031">
        <w:trPr>
          <w:cantSplit/>
        </w:trPr>
        <w:tc>
          <w:tcPr>
            <w:tcW w:w="918" w:type="pct"/>
            <w:vMerge/>
            <w:shd w:val="clear" w:color="auto" w:fill="auto"/>
            <w:vAlign w:val="center"/>
          </w:tcPr>
          <w:p w14:paraId="46D5EAB2"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17998968"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78390CFB" w14:textId="77777777" w:rsidR="00944BBD" w:rsidRPr="00E42343" w:rsidRDefault="00944BBD" w:rsidP="00655685">
            <w:pPr>
              <w:pStyle w:val="ListParagraph"/>
              <w:numPr>
                <w:ilvl w:val="1"/>
                <w:numId w:val="19"/>
              </w:numPr>
              <w:spacing w:before="60" w:after="60"/>
              <w:ind w:left="567" w:hanging="567"/>
              <w:contextualSpacing w:val="0"/>
              <w:rPr>
                <w:rFonts w:ascii="Arial" w:hAnsi="Arial"/>
                <w:sz w:val="20"/>
                <w:szCs w:val="20"/>
              </w:rPr>
            </w:pPr>
            <w:r w:rsidRPr="00E42343">
              <w:rPr>
                <w:rFonts w:ascii="Arial" w:hAnsi="Arial"/>
                <w:sz w:val="20"/>
                <w:szCs w:val="20"/>
              </w:rPr>
              <w:t>Les établissements d</w:t>
            </w:r>
            <w:r>
              <w:rPr>
                <w:rFonts w:ascii="Arial" w:hAnsi="Arial"/>
                <w:sz w:val="20"/>
                <w:szCs w:val="20"/>
              </w:rPr>
              <w:t>’</w:t>
            </w:r>
            <w:r w:rsidRPr="00E42343">
              <w:rPr>
                <w:rFonts w:ascii="Arial" w:hAnsi="Arial"/>
                <w:sz w:val="20"/>
                <w:szCs w:val="20"/>
              </w:rPr>
              <w:t>enseignement postsecondaire proposent des programmes et des diplômes pour l</w:t>
            </w:r>
            <w:r>
              <w:rPr>
                <w:rFonts w:ascii="Arial" w:hAnsi="Arial"/>
                <w:sz w:val="20"/>
                <w:szCs w:val="20"/>
              </w:rPr>
              <w:t>’</w:t>
            </w:r>
            <w:r w:rsidRPr="00E42343">
              <w:rPr>
                <w:rFonts w:ascii="Arial" w:hAnsi="Arial"/>
                <w:sz w:val="20"/>
                <w:szCs w:val="20"/>
              </w:rPr>
              <w:t>étude du PCI et de ses dimensions sociales, culturelles</w:t>
            </w:r>
            <w:r>
              <w:rPr>
                <w:rFonts w:ascii="Arial" w:hAnsi="Arial"/>
                <w:sz w:val="20"/>
                <w:szCs w:val="20"/>
              </w:rPr>
              <w:t xml:space="preserve"> et autres</w:t>
            </w:r>
            <w:r w:rsidRPr="00E42343">
              <w:rPr>
                <w:rFonts w:ascii="Arial" w:hAnsi="Arial"/>
                <w:sz w:val="20"/>
                <w:szCs w:val="20"/>
              </w:rPr>
              <w:t>.</w:t>
            </w:r>
          </w:p>
        </w:tc>
      </w:tr>
      <w:tr w:rsidR="00944BBD" w:rsidRPr="00E42343" w14:paraId="77B6C6BF" w14:textId="77777777" w:rsidTr="00A82031">
        <w:trPr>
          <w:cantSplit/>
        </w:trPr>
        <w:tc>
          <w:tcPr>
            <w:tcW w:w="918" w:type="pct"/>
            <w:vMerge w:val="restart"/>
            <w:shd w:val="clear" w:color="auto" w:fill="auto"/>
            <w:vAlign w:val="center"/>
          </w:tcPr>
          <w:p w14:paraId="527D9D33" w14:textId="77777777" w:rsidR="00944BBD" w:rsidRPr="00E42343" w:rsidRDefault="00944BBD" w:rsidP="00F21C0B">
            <w:pPr>
              <w:spacing w:before="60" w:after="60"/>
              <w:rPr>
                <w:rFonts w:ascii="Arial" w:hAnsi="Arial" w:cs="Arial"/>
                <w:b/>
                <w:sz w:val="20"/>
                <w:szCs w:val="20"/>
              </w:rPr>
            </w:pPr>
            <w:r w:rsidRPr="00E42343">
              <w:rPr>
                <w:rFonts w:ascii="Arial" w:hAnsi="Arial" w:cs="Arial"/>
                <w:b/>
                <w:sz w:val="20"/>
                <w:szCs w:val="20"/>
              </w:rPr>
              <w:t>Inventaire et recherche</w:t>
            </w:r>
          </w:p>
        </w:tc>
        <w:tc>
          <w:tcPr>
            <w:tcW w:w="998" w:type="pct"/>
            <w:vMerge w:val="restart"/>
            <w:shd w:val="clear" w:color="auto" w:fill="auto"/>
            <w:vAlign w:val="center"/>
          </w:tcPr>
          <w:p w14:paraId="38047EE6"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 xml:space="preserve">Mesure dans laquelle les inventaires reflètent la </w:t>
            </w:r>
            <w:r w:rsidRPr="00E42343">
              <w:rPr>
                <w:rFonts w:ascii="Arial" w:hAnsi="Arial"/>
                <w:sz w:val="20"/>
                <w:szCs w:val="20"/>
              </w:rPr>
              <w:lastRenderedPageBreak/>
              <w:t>diversité du PCI et contribuent à sa sauvegarde</w:t>
            </w:r>
          </w:p>
        </w:tc>
        <w:tc>
          <w:tcPr>
            <w:tcW w:w="3084" w:type="pct"/>
            <w:shd w:val="clear" w:color="auto" w:fill="auto"/>
            <w:vAlign w:val="center"/>
          </w:tcPr>
          <w:p w14:paraId="1F852170" w14:textId="77777777" w:rsidR="00944BBD" w:rsidRPr="00E42343" w:rsidRDefault="00944BBD" w:rsidP="00655685">
            <w:pPr>
              <w:pStyle w:val="ListParagraph"/>
              <w:numPr>
                <w:ilvl w:val="1"/>
                <w:numId w:val="23"/>
              </w:numPr>
              <w:spacing w:before="60" w:after="60"/>
              <w:ind w:left="567" w:hanging="567"/>
              <w:contextualSpacing w:val="0"/>
              <w:rPr>
                <w:rFonts w:ascii="Arial" w:hAnsi="Arial"/>
                <w:vanish/>
                <w:sz w:val="20"/>
                <w:szCs w:val="20"/>
              </w:rPr>
            </w:pPr>
            <w:r w:rsidRPr="00E42343">
              <w:rPr>
                <w:rFonts w:ascii="Arial" w:hAnsi="Arial"/>
                <w:sz w:val="20"/>
                <w:szCs w:val="20"/>
              </w:rPr>
              <w:lastRenderedPageBreak/>
              <w:t>Un ou plusieurs systèmes d</w:t>
            </w:r>
            <w:r>
              <w:rPr>
                <w:rFonts w:ascii="Arial" w:hAnsi="Arial"/>
                <w:sz w:val="20"/>
                <w:szCs w:val="20"/>
              </w:rPr>
              <w:t>’</w:t>
            </w:r>
            <w:r w:rsidRPr="00E42343">
              <w:rPr>
                <w:rFonts w:ascii="Arial" w:hAnsi="Arial"/>
                <w:sz w:val="20"/>
                <w:szCs w:val="20"/>
              </w:rPr>
              <w:t>inventaire orientés vers la sauvegarde et reflétant la diversité du PCI ont été établis ou révisés depuis la ratification.</w:t>
            </w:r>
          </w:p>
        </w:tc>
      </w:tr>
      <w:tr w:rsidR="00944BBD" w:rsidRPr="00E42343" w14:paraId="3EB28822" w14:textId="77777777" w:rsidTr="00A82031">
        <w:trPr>
          <w:cantSplit/>
        </w:trPr>
        <w:tc>
          <w:tcPr>
            <w:tcW w:w="918" w:type="pct"/>
            <w:vMerge/>
            <w:shd w:val="clear" w:color="auto" w:fill="auto"/>
            <w:vAlign w:val="center"/>
          </w:tcPr>
          <w:p w14:paraId="39F38EB7"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4FB6C9BD"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32662789" w14:textId="77777777" w:rsidR="00944BBD" w:rsidRPr="00E42343" w:rsidRDefault="00944BBD" w:rsidP="00655685">
            <w:pPr>
              <w:pStyle w:val="ListParagraph"/>
              <w:numPr>
                <w:ilvl w:val="1"/>
                <w:numId w:val="23"/>
              </w:numPr>
              <w:spacing w:before="60" w:after="60"/>
              <w:ind w:left="567" w:hanging="567"/>
              <w:contextualSpacing w:val="0"/>
              <w:rPr>
                <w:rFonts w:ascii="Arial" w:hAnsi="Arial"/>
                <w:sz w:val="20"/>
                <w:szCs w:val="20"/>
              </w:rPr>
            </w:pPr>
            <w:r w:rsidRPr="00E42343">
              <w:rPr>
                <w:rFonts w:ascii="Arial" w:hAnsi="Arial"/>
                <w:sz w:val="20"/>
                <w:szCs w:val="20"/>
              </w:rPr>
              <w:t>Des inventaires spécialisés et</w:t>
            </w:r>
            <w:r>
              <w:rPr>
                <w:rFonts w:ascii="Arial" w:hAnsi="Arial"/>
                <w:sz w:val="20"/>
                <w:szCs w:val="20"/>
              </w:rPr>
              <w:t>/ou</w:t>
            </w:r>
            <w:r w:rsidRPr="00E42343">
              <w:rPr>
                <w:rFonts w:ascii="Arial" w:hAnsi="Arial"/>
                <w:sz w:val="20"/>
                <w:szCs w:val="20"/>
              </w:rPr>
              <w:t xml:space="preserve"> de différentes étendues reflètent la diversité et contribuent à la sauvegarde.</w:t>
            </w:r>
          </w:p>
        </w:tc>
      </w:tr>
      <w:tr w:rsidR="00944BBD" w:rsidRPr="00E42343" w14:paraId="0AF19AD4" w14:textId="77777777" w:rsidTr="00A82031">
        <w:trPr>
          <w:cantSplit/>
        </w:trPr>
        <w:tc>
          <w:tcPr>
            <w:tcW w:w="918" w:type="pct"/>
            <w:vMerge/>
            <w:shd w:val="clear" w:color="auto" w:fill="auto"/>
            <w:vAlign w:val="center"/>
          </w:tcPr>
          <w:p w14:paraId="621D5432"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1A33E5D2"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54047318" w14:textId="77777777" w:rsidR="00944BBD" w:rsidRPr="00E42343" w:rsidRDefault="00944BBD" w:rsidP="00655685">
            <w:pPr>
              <w:pStyle w:val="ListParagraph"/>
              <w:numPr>
                <w:ilvl w:val="1"/>
                <w:numId w:val="23"/>
              </w:numPr>
              <w:spacing w:before="60" w:after="60"/>
              <w:ind w:left="567" w:hanging="567"/>
              <w:contextualSpacing w:val="0"/>
              <w:rPr>
                <w:rFonts w:ascii="Arial" w:hAnsi="Arial"/>
                <w:sz w:val="20"/>
                <w:szCs w:val="20"/>
              </w:rPr>
            </w:pPr>
            <w:r w:rsidRPr="00E42343">
              <w:rPr>
                <w:rFonts w:ascii="Arial" w:hAnsi="Arial"/>
                <w:sz w:val="20"/>
                <w:szCs w:val="20"/>
              </w:rPr>
              <w:t>Le ou les inventaires existants ont été mis à jour au cours de la période considérée, notamment pour tenir compte de la viabilité actuelle des éléments inclus.</w:t>
            </w:r>
          </w:p>
        </w:tc>
      </w:tr>
      <w:tr w:rsidR="00944BBD" w:rsidRPr="00E42343" w14:paraId="037231A6" w14:textId="77777777" w:rsidTr="00A82031">
        <w:trPr>
          <w:cantSplit/>
        </w:trPr>
        <w:tc>
          <w:tcPr>
            <w:tcW w:w="918" w:type="pct"/>
            <w:vMerge/>
            <w:shd w:val="clear" w:color="auto" w:fill="auto"/>
            <w:vAlign w:val="center"/>
          </w:tcPr>
          <w:p w14:paraId="71CD6851"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7027D931"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43C4310D" w14:textId="77777777" w:rsidR="00944BBD" w:rsidRPr="00E42343" w:rsidRDefault="00944BBD" w:rsidP="00655685">
            <w:pPr>
              <w:pStyle w:val="ListParagraph"/>
              <w:numPr>
                <w:ilvl w:val="1"/>
                <w:numId w:val="23"/>
              </w:numPr>
              <w:spacing w:before="60" w:after="60"/>
              <w:ind w:left="567" w:hanging="567"/>
              <w:contextualSpacing w:val="0"/>
              <w:rPr>
                <w:rFonts w:ascii="Arial" w:hAnsi="Arial"/>
                <w:sz w:val="20"/>
                <w:szCs w:val="20"/>
              </w:rPr>
            </w:pPr>
            <w:r w:rsidRPr="00E42343">
              <w:rPr>
                <w:rFonts w:ascii="Arial" w:hAnsi="Arial"/>
                <w:sz w:val="20"/>
                <w:szCs w:val="20"/>
              </w:rPr>
              <w:t>L</w:t>
            </w:r>
            <w:r>
              <w:rPr>
                <w:rFonts w:ascii="Arial" w:hAnsi="Arial"/>
                <w:sz w:val="20"/>
                <w:szCs w:val="20"/>
              </w:rPr>
              <w:t>’</w:t>
            </w:r>
            <w:r w:rsidRPr="00E42343">
              <w:rPr>
                <w:rFonts w:ascii="Arial" w:hAnsi="Arial"/>
                <w:sz w:val="20"/>
                <w:szCs w:val="20"/>
              </w:rPr>
              <w:t>accès aux inventaires du PCI est facilité, dans le respect des pratiques coutumières qui régissent l</w:t>
            </w:r>
            <w:r>
              <w:rPr>
                <w:rFonts w:ascii="Arial" w:hAnsi="Arial"/>
                <w:sz w:val="20"/>
                <w:szCs w:val="20"/>
              </w:rPr>
              <w:t>’</w:t>
            </w:r>
            <w:r w:rsidRPr="00E42343">
              <w:rPr>
                <w:rFonts w:ascii="Arial" w:hAnsi="Arial"/>
                <w:sz w:val="20"/>
                <w:szCs w:val="20"/>
              </w:rPr>
              <w:t>accès à des aspects spécifiques de ce patrimoine, et ils sont utilisés pour renforcer la sauvegarde.</w:t>
            </w:r>
          </w:p>
        </w:tc>
      </w:tr>
      <w:tr w:rsidR="00944BBD" w:rsidRPr="00E42343" w14:paraId="100D6637" w14:textId="77777777" w:rsidTr="00A82031">
        <w:trPr>
          <w:cantSplit/>
        </w:trPr>
        <w:tc>
          <w:tcPr>
            <w:tcW w:w="918" w:type="pct"/>
            <w:vMerge/>
            <w:shd w:val="clear" w:color="auto" w:fill="auto"/>
            <w:vAlign w:val="center"/>
          </w:tcPr>
          <w:p w14:paraId="4EE74F3F" w14:textId="77777777" w:rsidR="00944BBD" w:rsidRPr="00E42343" w:rsidRDefault="00944BBD" w:rsidP="00F21C0B">
            <w:pPr>
              <w:spacing w:before="60" w:after="60"/>
              <w:rPr>
                <w:rFonts w:ascii="Arial" w:hAnsi="Arial" w:cs="Arial"/>
                <w:sz w:val="20"/>
                <w:szCs w:val="20"/>
              </w:rPr>
            </w:pPr>
          </w:p>
        </w:tc>
        <w:tc>
          <w:tcPr>
            <w:tcW w:w="998" w:type="pct"/>
            <w:vMerge w:val="restart"/>
            <w:shd w:val="clear" w:color="auto" w:fill="auto"/>
            <w:vAlign w:val="center"/>
          </w:tcPr>
          <w:p w14:paraId="1AD80898"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le processus d</w:t>
            </w:r>
            <w:r>
              <w:rPr>
                <w:rFonts w:ascii="Arial" w:hAnsi="Arial"/>
                <w:sz w:val="20"/>
                <w:szCs w:val="20"/>
              </w:rPr>
              <w:t>’</w:t>
            </w:r>
            <w:r w:rsidRPr="00E42343">
              <w:rPr>
                <w:rFonts w:ascii="Arial" w:hAnsi="Arial"/>
                <w:sz w:val="20"/>
                <w:szCs w:val="20"/>
              </w:rPr>
              <w:t>inventaire est inclusif, respecte la diversité du PCI et de ses praticiens, et soutient la sauvegarde par les communautés, les groupes et les individus concernés</w:t>
            </w:r>
          </w:p>
        </w:tc>
        <w:tc>
          <w:tcPr>
            <w:tcW w:w="3084" w:type="pct"/>
            <w:shd w:val="clear" w:color="auto" w:fill="auto"/>
            <w:vAlign w:val="center"/>
          </w:tcPr>
          <w:p w14:paraId="6CCE677D" w14:textId="77777777" w:rsidR="00944BBD" w:rsidRPr="00E42343" w:rsidRDefault="00944BBD" w:rsidP="00655685">
            <w:pPr>
              <w:pStyle w:val="ListParagraph"/>
              <w:numPr>
                <w:ilvl w:val="1"/>
                <w:numId w:val="24"/>
              </w:numPr>
              <w:spacing w:before="60" w:after="60"/>
              <w:ind w:left="567" w:hanging="567"/>
              <w:contextualSpacing w:val="0"/>
              <w:rPr>
                <w:rFonts w:ascii="Arial" w:hAnsi="Arial"/>
                <w:vanish/>
                <w:sz w:val="20"/>
                <w:szCs w:val="20"/>
              </w:rPr>
            </w:pPr>
            <w:r w:rsidRPr="0017287E">
              <w:rPr>
                <w:rFonts w:ascii="Arial" w:hAnsi="Arial"/>
                <w:sz w:val="20"/>
                <w:szCs w:val="20"/>
              </w:rPr>
              <w:t>Les communautés, groupes et ONG pertinentes participent de manière inclusive à l</w:t>
            </w:r>
            <w:r>
              <w:rPr>
                <w:rFonts w:ascii="Arial" w:hAnsi="Arial"/>
                <w:sz w:val="20"/>
                <w:szCs w:val="20"/>
              </w:rPr>
              <w:t>’</w:t>
            </w:r>
            <w:r w:rsidRPr="0017287E">
              <w:rPr>
                <w:rFonts w:ascii="Arial" w:hAnsi="Arial"/>
                <w:sz w:val="20"/>
                <w:szCs w:val="20"/>
              </w:rPr>
              <w:t>inventaire, ce qui informe et renforce leurs efforts de sauvegarde.</w:t>
            </w:r>
          </w:p>
        </w:tc>
      </w:tr>
      <w:tr w:rsidR="00944BBD" w:rsidRPr="00E42343" w14:paraId="35EFBABD" w14:textId="77777777" w:rsidTr="00A82031">
        <w:trPr>
          <w:cantSplit/>
        </w:trPr>
        <w:tc>
          <w:tcPr>
            <w:tcW w:w="918" w:type="pct"/>
            <w:vMerge/>
            <w:shd w:val="clear" w:color="auto" w:fill="auto"/>
            <w:vAlign w:val="center"/>
          </w:tcPr>
          <w:p w14:paraId="6D170440"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270AF4E7"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6A61F9E3" w14:textId="77777777" w:rsidR="00944BBD" w:rsidRPr="00E42343" w:rsidRDefault="00944BBD" w:rsidP="00655685">
            <w:pPr>
              <w:pStyle w:val="ListParagraph"/>
              <w:numPr>
                <w:ilvl w:val="1"/>
                <w:numId w:val="24"/>
              </w:numPr>
              <w:spacing w:before="60" w:after="60"/>
              <w:ind w:left="567" w:hanging="567"/>
              <w:contextualSpacing w:val="0"/>
              <w:rPr>
                <w:rFonts w:ascii="Arial" w:hAnsi="Arial"/>
                <w:sz w:val="20"/>
                <w:szCs w:val="20"/>
              </w:rPr>
            </w:pPr>
            <w:r w:rsidRPr="00E42343">
              <w:rPr>
                <w:rFonts w:ascii="Arial" w:hAnsi="Arial"/>
                <w:sz w:val="20"/>
                <w:szCs w:val="20"/>
              </w:rPr>
              <w:t>Le processus d</w:t>
            </w:r>
            <w:r>
              <w:rPr>
                <w:rFonts w:ascii="Arial" w:hAnsi="Arial"/>
                <w:sz w:val="20"/>
                <w:szCs w:val="20"/>
              </w:rPr>
              <w:t>’</w:t>
            </w:r>
            <w:r w:rsidRPr="00E42343">
              <w:rPr>
                <w:rFonts w:ascii="Arial" w:hAnsi="Arial"/>
                <w:sz w:val="20"/>
                <w:szCs w:val="20"/>
              </w:rPr>
              <w:t>inventaire respecte la diversité du PCI et de ses praticiens, intégrant les pratiques et expressions de tous les secteurs de la société, tous les genres et toutes les régions.</w:t>
            </w:r>
          </w:p>
        </w:tc>
      </w:tr>
      <w:tr w:rsidR="00944BBD" w:rsidRPr="00E42343" w14:paraId="45420B84" w14:textId="77777777" w:rsidTr="00A82031">
        <w:trPr>
          <w:cantSplit/>
        </w:trPr>
        <w:tc>
          <w:tcPr>
            <w:tcW w:w="918" w:type="pct"/>
            <w:vMerge/>
            <w:shd w:val="clear" w:color="auto" w:fill="auto"/>
            <w:vAlign w:val="center"/>
          </w:tcPr>
          <w:p w14:paraId="48DBC34B" w14:textId="77777777" w:rsidR="00944BBD" w:rsidRPr="00E42343" w:rsidRDefault="00944BBD" w:rsidP="00F21C0B">
            <w:pPr>
              <w:spacing w:before="60" w:after="60"/>
              <w:rPr>
                <w:rFonts w:ascii="Arial" w:hAnsi="Arial" w:cs="Arial"/>
                <w:sz w:val="20"/>
                <w:szCs w:val="20"/>
              </w:rPr>
            </w:pPr>
          </w:p>
        </w:tc>
        <w:tc>
          <w:tcPr>
            <w:tcW w:w="998" w:type="pct"/>
            <w:vMerge w:val="restart"/>
            <w:shd w:val="clear" w:color="auto" w:fill="auto"/>
            <w:vAlign w:val="center"/>
          </w:tcPr>
          <w:p w14:paraId="31DFFDE5" w14:textId="2D40633D" w:rsidR="00944BBD" w:rsidRPr="00E42343" w:rsidRDefault="00944BBD" w:rsidP="00D50A1B">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la recherche et la documentation, y compris les études scientifiques, techniques et artistiques contribuent à la sauvegarde</w:t>
            </w:r>
          </w:p>
        </w:tc>
        <w:tc>
          <w:tcPr>
            <w:tcW w:w="3084" w:type="pct"/>
            <w:shd w:val="clear" w:color="auto" w:fill="auto"/>
            <w:vAlign w:val="center"/>
          </w:tcPr>
          <w:p w14:paraId="791C1860" w14:textId="77777777" w:rsidR="00944BBD" w:rsidRPr="00E42343" w:rsidRDefault="00944BBD" w:rsidP="00655685">
            <w:pPr>
              <w:pStyle w:val="ListParagraph"/>
              <w:numPr>
                <w:ilvl w:val="1"/>
                <w:numId w:val="25"/>
              </w:numPr>
              <w:spacing w:before="60" w:after="60"/>
              <w:ind w:left="567" w:hanging="567"/>
              <w:contextualSpacing w:val="0"/>
              <w:rPr>
                <w:rFonts w:ascii="Arial" w:hAnsi="Arial"/>
                <w:vanish/>
                <w:sz w:val="20"/>
                <w:szCs w:val="20"/>
              </w:rPr>
            </w:pPr>
            <w:r w:rsidRPr="00E42343">
              <w:rPr>
                <w:rFonts w:ascii="Arial" w:hAnsi="Arial"/>
                <w:sz w:val="20"/>
                <w:szCs w:val="20"/>
              </w:rPr>
              <w:t>Le soutien financier et d</w:t>
            </w:r>
            <w:r>
              <w:rPr>
                <w:rFonts w:ascii="Arial" w:hAnsi="Arial"/>
                <w:sz w:val="20"/>
                <w:szCs w:val="20"/>
              </w:rPr>
              <w:t>’</w:t>
            </w:r>
            <w:r w:rsidRPr="00E42343">
              <w:rPr>
                <w:rFonts w:ascii="Arial" w:hAnsi="Arial"/>
                <w:sz w:val="20"/>
                <w:szCs w:val="20"/>
              </w:rPr>
              <w:t>autres formes de soutien favorisent la recherche, les études scientifiques</w:t>
            </w:r>
            <w:r>
              <w:rPr>
                <w:rFonts w:ascii="Arial" w:hAnsi="Arial"/>
                <w:sz w:val="20"/>
                <w:szCs w:val="20"/>
              </w:rPr>
              <w:t>,</w:t>
            </w:r>
            <w:r w:rsidRPr="00E42343">
              <w:rPr>
                <w:rFonts w:ascii="Arial" w:hAnsi="Arial"/>
                <w:sz w:val="20"/>
                <w:szCs w:val="20"/>
              </w:rPr>
              <w:t xml:space="preserve"> techniques</w:t>
            </w:r>
            <w:r>
              <w:rPr>
                <w:rFonts w:ascii="Arial" w:hAnsi="Arial"/>
                <w:sz w:val="20"/>
                <w:szCs w:val="20"/>
              </w:rPr>
              <w:t xml:space="preserve"> et artistiques</w:t>
            </w:r>
            <w:r w:rsidRPr="00E42343">
              <w:rPr>
                <w:rFonts w:ascii="Arial" w:hAnsi="Arial"/>
                <w:sz w:val="20"/>
                <w:szCs w:val="20"/>
              </w:rPr>
              <w:t>, la documentation et l</w:t>
            </w:r>
            <w:r>
              <w:rPr>
                <w:rFonts w:ascii="Arial" w:hAnsi="Arial"/>
                <w:sz w:val="20"/>
                <w:szCs w:val="20"/>
              </w:rPr>
              <w:t>’</w:t>
            </w:r>
            <w:r w:rsidRPr="00E42343">
              <w:rPr>
                <w:rFonts w:ascii="Arial" w:hAnsi="Arial"/>
                <w:sz w:val="20"/>
                <w:szCs w:val="20"/>
              </w:rPr>
              <w:t>archivage, orientés vers la sauvegarde et la mise en œuvre conformément aux principes éthiques pertinents.</w:t>
            </w:r>
          </w:p>
        </w:tc>
      </w:tr>
      <w:tr w:rsidR="00944BBD" w:rsidRPr="00E42343" w14:paraId="46E2EFE6" w14:textId="77777777" w:rsidTr="00A82031">
        <w:trPr>
          <w:cantSplit/>
        </w:trPr>
        <w:tc>
          <w:tcPr>
            <w:tcW w:w="918" w:type="pct"/>
            <w:vMerge/>
            <w:shd w:val="clear" w:color="auto" w:fill="auto"/>
            <w:vAlign w:val="center"/>
          </w:tcPr>
          <w:p w14:paraId="11C0ACA2"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27AB88FC" w14:textId="77777777" w:rsidR="00944BBD" w:rsidRPr="003074FE" w:rsidDel="00970845"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7AB305FB" w14:textId="77777777" w:rsidR="00944BBD" w:rsidRPr="00E42343" w:rsidDel="00EC662D" w:rsidRDefault="00944BBD" w:rsidP="00655685">
            <w:pPr>
              <w:pStyle w:val="ListParagraph"/>
              <w:numPr>
                <w:ilvl w:val="1"/>
                <w:numId w:val="25"/>
              </w:numPr>
              <w:spacing w:before="60" w:after="60"/>
              <w:ind w:left="567" w:hanging="567"/>
              <w:contextualSpacing w:val="0"/>
              <w:rPr>
                <w:rFonts w:ascii="Arial" w:hAnsi="Arial"/>
                <w:sz w:val="20"/>
                <w:szCs w:val="20"/>
              </w:rPr>
            </w:pPr>
            <w:r w:rsidRPr="00E42343">
              <w:rPr>
                <w:rFonts w:ascii="Arial" w:hAnsi="Arial"/>
                <w:sz w:val="20"/>
                <w:szCs w:val="20"/>
              </w:rPr>
              <w:t>La recherche est encouragée sur les approches</w:t>
            </w:r>
            <w:r>
              <w:rPr>
                <w:rFonts w:ascii="Arial" w:hAnsi="Arial"/>
                <w:sz w:val="20"/>
                <w:szCs w:val="20"/>
              </w:rPr>
              <w:t xml:space="preserve"> et les impacts</w:t>
            </w:r>
            <w:r w:rsidRPr="00E42343">
              <w:rPr>
                <w:rFonts w:ascii="Arial" w:hAnsi="Arial"/>
                <w:sz w:val="20"/>
                <w:szCs w:val="20"/>
              </w:rPr>
              <w:t xml:space="preserve"> de </w:t>
            </w:r>
            <w:r>
              <w:rPr>
                <w:rFonts w:ascii="Arial" w:hAnsi="Arial"/>
                <w:sz w:val="20"/>
                <w:szCs w:val="20"/>
              </w:rPr>
              <w:t xml:space="preserve">la </w:t>
            </w:r>
            <w:r w:rsidRPr="00E42343">
              <w:rPr>
                <w:rFonts w:ascii="Arial" w:hAnsi="Arial"/>
                <w:sz w:val="20"/>
                <w:szCs w:val="20"/>
              </w:rPr>
              <w:t xml:space="preserve">sauvegarde du PCI </w:t>
            </w:r>
            <w:r>
              <w:rPr>
                <w:rFonts w:ascii="Arial" w:hAnsi="Arial"/>
                <w:sz w:val="20"/>
                <w:szCs w:val="20"/>
              </w:rPr>
              <w:t>en général</w:t>
            </w:r>
            <w:r w:rsidRPr="00E42343">
              <w:rPr>
                <w:rFonts w:ascii="Arial" w:hAnsi="Arial"/>
                <w:sz w:val="20"/>
                <w:szCs w:val="20"/>
              </w:rPr>
              <w:t xml:space="preserve"> </w:t>
            </w:r>
            <w:r>
              <w:rPr>
                <w:rFonts w:ascii="Arial" w:hAnsi="Arial"/>
                <w:sz w:val="20"/>
                <w:szCs w:val="20"/>
              </w:rPr>
              <w:t xml:space="preserve">et </w:t>
            </w:r>
            <w:r w:rsidRPr="00E42343">
              <w:rPr>
                <w:rFonts w:ascii="Arial" w:hAnsi="Arial"/>
                <w:sz w:val="20"/>
                <w:szCs w:val="20"/>
              </w:rPr>
              <w:t>d</w:t>
            </w:r>
            <w:r>
              <w:rPr>
                <w:rFonts w:ascii="Arial" w:hAnsi="Arial"/>
                <w:sz w:val="20"/>
                <w:szCs w:val="20"/>
              </w:rPr>
              <w:t>’éléments</w:t>
            </w:r>
            <w:r w:rsidRPr="00E42343">
              <w:rPr>
                <w:rFonts w:ascii="Arial" w:hAnsi="Arial"/>
                <w:sz w:val="20"/>
                <w:szCs w:val="20"/>
              </w:rPr>
              <w:t xml:space="preserve"> spécifiques de ce patrimoine,</w:t>
            </w:r>
            <w:r>
              <w:rPr>
                <w:rFonts w:ascii="Arial" w:hAnsi="Arial"/>
                <w:sz w:val="20"/>
                <w:szCs w:val="20"/>
              </w:rPr>
              <w:t xml:space="preserve"> </w:t>
            </w:r>
            <w:r w:rsidRPr="00E42343">
              <w:rPr>
                <w:rFonts w:ascii="Arial" w:hAnsi="Arial"/>
                <w:sz w:val="20"/>
                <w:szCs w:val="20"/>
              </w:rPr>
              <w:t>qu</w:t>
            </w:r>
            <w:r>
              <w:rPr>
                <w:rFonts w:ascii="Arial" w:hAnsi="Arial"/>
                <w:sz w:val="20"/>
                <w:szCs w:val="20"/>
              </w:rPr>
              <w:t>’</w:t>
            </w:r>
            <w:r w:rsidRPr="00E42343">
              <w:rPr>
                <w:rFonts w:ascii="Arial" w:hAnsi="Arial"/>
                <w:sz w:val="20"/>
                <w:szCs w:val="20"/>
              </w:rPr>
              <w:t>ils soient inscrit</w:t>
            </w:r>
            <w:r>
              <w:rPr>
                <w:rFonts w:ascii="Arial" w:hAnsi="Arial"/>
                <w:sz w:val="20"/>
                <w:szCs w:val="20"/>
              </w:rPr>
              <w:t>s</w:t>
            </w:r>
            <w:r w:rsidRPr="00E42343">
              <w:rPr>
                <w:rFonts w:ascii="Arial" w:hAnsi="Arial"/>
                <w:sz w:val="20"/>
                <w:szCs w:val="20"/>
              </w:rPr>
              <w:t xml:space="preserve"> ou non.</w:t>
            </w:r>
          </w:p>
        </w:tc>
      </w:tr>
      <w:tr w:rsidR="00944BBD" w:rsidRPr="00E42343" w14:paraId="3EBB0985" w14:textId="77777777" w:rsidTr="00A82031">
        <w:trPr>
          <w:cantSplit/>
        </w:trPr>
        <w:tc>
          <w:tcPr>
            <w:tcW w:w="918" w:type="pct"/>
            <w:vMerge/>
            <w:shd w:val="clear" w:color="auto" w:fill="auto"/>
            <w:vAlign w:val="center"/>
          </w:tcPr>
          <w:p w14:paraId="0B1A1842"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03215D51"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3205AEE3" w14:textId="77777777" w:rsidR="00944BBD" w:rsidRPr="00E42343" w:rsidRDefault="00944BBD" w:rsidP="00655685">
            <w:pPr>
              <w:pStyle w:val="ListParagraph"/>
              <w:numPr>
                <w:ilvl w:val="1"/>
                <w:numId w:val="25"/>
              </w:numPr>
              <w:spacing w:before="60" w:after="60"/>
              <w:ind w:left="567" w:hanging="567"/>
              <w:contextualSpacing w:val="0"/>
              <w:rPr>
                <w:rFonts w:ascii="Arial" w:hAnsi="Arial"/>
                <w:sz w:val="20"/>
                <w:szCs w:val="20"/>
              </w:rPr>
            </w:pPr>
            <w:r w:rsidRPr="00E42343">
              <w:rPr>
                <w:rFonts w:ascii="Arial" w:hAnsi="Arial"/>
                <w:sz w:val="20"/>
                <w:szCs w:val="20"/>
              </w:rPr>
              <w:t xml:space="preserve">Les praticiens et les détenteurs du PCI participent à la gestion, à la mise en œuvre et à la diffusion </w:t>
            </w:r>
            <w:r w:rsidRPr="0017287E">
              <w:rPr>
                <w:rFonts w:ascii="Arial" w:hAnsi="Arial"/>
                <w:sz w:val="20"/>
                <w:szCs w:val="20"/>
              </w:rPr>
              <w:t>des résultats</w:t>
            </w:r>
            <w:r w:rsidRPr="00E42343">
              <w:rPr>
                <w:rFonts w:ascii="Arial" w:hAnsi="Arial"/>
                <w:sz w:val="20"/>
                <w:szCs w:val="20"/>
              </w:rPr>
              <w:t xml:space="preserve"> de la recherche et des études scientifiques</w:t>
            </w:r>
            <w:r>
              <w:rPr>
                <w:rFonts w:ascii="Arial" w:hAnsi="Arial"/>
                <w:sz w:val="20"/>
                <w:szCs w:val="20"/>
              </w:rPr>
              <w:t>,</w:t>
            </w:r>
            <w:r w:rsidRPr="00E42343">
              <w:rPr>
                <w:rFonts w:ascii="Arial" w:hAnsi="Arial"/>
                <w:sz w:val="20"/>
                <w:szCs w:val="20"/>
              </w:rPr>
              <w:t xml:space="preserve"> techniques</w:t>
            </w:r>
            <w:r>
              <w:rPr>
                <w:rFonts w:ascii="Arial" w:hAnsi="Arial"/>
                <w:sz w:val="20"/>
                <w:szCs w:val="20"/>
              </w:rPr>
              <w:t xml:space="preserve"> et artistiques</w:t>
            </w:r>
            <w:r w:rsidRPr="00E42343">
              <w:rPr>
                <w:rFonts w:ascii="Arial" w:hAnsi="Arial"/>
                <w:sz w:val="20"/>
                <w:szCs w:val="20"/>
              </w:rPr>
              <w:t>, toujours avec leur consentement libre, préalable, durable et éclairé.</w:t>
            </w:r>
          </w:p>
        </w:tc>
      </w:tr>
      <w:tr w:rsidR="00944BBD" w:rsidRPr="00E42343" w14:paraId="68794113" w14:textId="77777777" w:rsidTr="00A82031">
        <w:trPr>
          <w:cantSplit/>
        </w:trPr>
        <w:tc>
          <w:tcPr>
            <w:tcW w:w="918" w:type="pct"/>
            <w:vMerge/>
            <w:shd w:val="clear" w:color="auto" w:fill="auto"/>
            <w:vAlign w:val="center"/>
          </w:tcPr>
          <w:p w14:paraId="2869158D" w14:textId="77777777" w:rsidR="00944BBD" w:rsidRPr="00E42343" w:rsidRDefault="00944BBD" w:rsidP="00F21C0B">
            <w:pPr>
              <w:spacing w:before="60" w:after="60"/>
              <w:rPr>
                <w:rFonts w:ascii="Arial" w:hAnsi="Arial" w:cs="Arial"/>
                <w:sz w:val="20"/>
                <w:szCs w:val="20"/>
              </w:rPr>
            </w:pPr>
          </w:p>
        </w:tc>
        <w:tc>
          <w:tcPr>
            <w:tcW w:w="998" w:type="pct"/>
            <w:vMerge w:val="restart"/>
            <w:shd w:val="clear" w:color="auto" w:fill="auto"/>
            <w:vAlign w:val="center"/>
          </w:tcPr>
          <w:p w14:paraId="626C7AB8"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les conclusions des recherches et la documentation sont accessibles et sont utilisés pour renforcer l</w:t>
            </w:r>
            <w:r>
              <w:rPr>
                <w:rFonts w:ascii="Arial" w:hAnsi="Arial"/>
                <w:sz w:val="20"/>
                <w:szCs w:val="20"/>
              </w:rPr>
              <w:t>’</w:t>
            </w:r>
            <w:r w:rsidRPr="00E42343">
              <w:rPr>
                <w:rFonts w:ascii="Arial" w:hAnsi="Arial"/>
                <w:sz w:val="20"/>
                <w:szCs w:val="20"/>
              </w:rPr>
              <w:t>élaboration de politiques et améliorer la sauvegarde</w:t>
            </w:r>
          </w:p>
        </w:tc>
        <w:tc>
          <w:tcPr>
            <w:tcW w:w="3084" w:type="pct"/>
            <w:shd w:val="clear" w:color="auto" w:fill="auto"/>
            <w:vAlign w:val="center"/>
          </w:tcPr>
          <w:p w14:paraId="76ACBD08" w14:textId="77777777" w:rsidR="00944BBD" w:rsidRPr="00E42343" w:rsidRDefault="00944BBD" w:rsidP="00655685">
            <w:pPr>
              <w:pStyle w:val="ListParagraph"/>
              <w:numPr>
                <w:ilvl w:val="1"/>
                <w:numId w:val="26"/>
              </w:numPr>
              <w:spacing w:before="60" w:after="60"/>
              <w:ind w:left="567" w:hanging="567"/>
              <w:contextualSpacing w:val="0"/>
              <w:rPr>
                <w:rFonts w:ascii="Arial" w:hAnsi="Arial"/>
                <w:vanish/>
                <w:sz w:val="20"/>
                <w:szCs w:val="20"/>
              </w:rPr>
            </w:pPr>
            <w:r w:rsidRPr="00E42343">
              <w:rPr>
                <w:rFonts w:ascii="Arial" w:hAnsi="Arial"/>
                <w:sz w:val="20"/>
                <w:szCs w:val="20"/>
              </w:rPr>
              <w:t>La documentation et les résultats de la recherche sont accessibles aux communautés, groupes et individus, dans le respect des pratiques coutumières qui régissent l</w:t>
            </w:r>
            <w:r>
              <w:rPr>
                <w:rFonts w:ascii="Arial" w:hAnsi="Arial"/>
                <w:sz w:val="20"/>
                <w:szCs w:val="20"/>
              </w:rPr>
              <w:t>’</w:t>
            </w:r>
            <w:r w:rsidRPr="00E42343">
              <w:rPr>
                <w:rFonts w:ascii="Arial" w:hAnsi="Arial"/>
                <w:sz w:val="20"/>
                <w:szCs w:val="20"/>
              </w:rPr>
              <w:t>accès à des aspects spécifiques dudit patrimoine.</w:t>
            </w:r>
          </w:p>
        </w:tc>
      </w:tr>
      <w:tr w:rsidR="00944BBD" w:rsidRPr="00E42343" w14:paraId="0151F2AB" w14:textId="77777777" w:rsidTr="00A82031">
        <w:trPr>
          <w:cantSplit/>
        </w:trPr>
        <w:tc>
          <w:tcPr>
            <w:tcW w:w="918" w:type="pct"/>
            <w:vMerge/>
            <w:shd w:val="clear" w:color="auto" w:fill="auto"/>
            <w:vAlign w:val="center"/>
          </w:tcPr>
          <w:p w14:paraId="0EC253F1"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501AF674"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356D98EE" w14:textId="77777777" w:rsidR="00944BBD" w:rsidRPr="00E42343" w:rsidRDefault="00944BBD" w:rsidP="00655685">
            <w:pPr>
              <w:pStyle w:val="ListParagraph"/>
              <w:numPr>
                <w:ilvl w:val="1"/>
                <w:numId w:val="26"/>
              </w:numPr>
              <w:spacing w:before="60" w:after="60"/>
              <w:ind w:left="567" w:hanging="567"/>
              <w:contextualSpacing w:val="0"/>
              <w:rPr>
                <w:rFonts w:ascii="Arial" w:hAnsi="Arial"/>
                <w:sz w:val="20"/>
                <w:szCs w:val="20"/>
              </w:rPr>
            </w:pPr>
            <w:r w:rsidRPr="00E42343">
              <w:rPr>
                <w:rFonts w:ascii="Arial" w:hAnsi="Arial"/>
                <w:sz w:val="20"/>
                <w:szCs w:val="20"/>
              </w:rPr>
              <w:t xml:space="preserve">Les </w:t>
            </w:r>
            <w:r>
              <w:rPr>
                <w:rFonts w:ascii="Arial" w:hAnsi="Arial"/>
                <w:sz w:val="20"/>
                <w:szCs w:val="20"/>
              </w:rPr>
              <w:t>résultats</w:t>
            </w:r>
            <w:r w:rsidRPr="00E42343">
              <w:rPr>
                <w:rFonts w:ascii="Arial" w:hAnsi="Arial"/>
                <w:sz w:val="20"/>
                <w:szCs w:val="20"/>
              </w:rPr>
              <w:t xml:space="preserve"> de la recherche, de la documentation et des études scientifiques, techniques et artistiques sur le PCI sont utilisés pour renforcer l</w:t>
            </w:r>
            <w:r>
              <w:rPr>
                <w:rFonts w:ascii="Arial" w:hAnsi="Arial"/>
                <w:sz w:val="20"/>
                <w:szCs w:val="20"/>
              </w:rPr>
              <w:t>’</w:t>
            </w:r>
            <w:r w:rsidRPr="00E42343">
              <w:rPr>
                <w:rFonts w:ascii="Arial" w:hAnsi="Arial"/>
                <w:sz w:val="20"/>
                <w:szCs w:val="20"/>
              </w:rPr>
              <w:t>élaboration des politiques</w:t>
            </w:r>
            <w:r>
              <w:rPr>
                <w:rFonts w:ascii="Arial" w:hAnsi="Arial"/>
                <w:sz w:val="20"/>
                <w:szCs w:val="20"/>
              </w:rPr>
              <w:t xml:space="preserve"> dans tous les secteurs</w:t>
            </w:r>
            <w:r w:rsidRPr="00E42343">
              <w:rPr>
                <w:rFonts w:ascii="Arial" w:hAnsi="Arial"/>
                <w:sz w:val="20"/>
                <w:szCs w:val="20"/>
              </w:rPr>
              <w:t>.</w:t>
            </w:r>
          </w:p>
        </w:tc>
      </w:tr>
      <w:tr w:rsidR="00944BBD" w:rsidRPr="00E42343" w14:paraId="687BD26A" w14:textId="77777777" w:rsidTr="00A82031">
        <w:trPr>
          <w:cantSplit/>
        </w:trPr>
        <w:tc>
          <w:tcPr>
            <w:tcW w:w="918" w:type="pct"/>
            <w:vMerge/>
            <w:shd w:val="clear" w:color="auto" w:fill="auto"/>
            <w:vAlign w:val="center"/>
          </w:tcPr>
          <w:p w14:paraId="3FD73A9A" w14:textId="77777777" w:rsidR="00944BBD" w:rsidRPr="00E42343" w:rsidRDefault="00944BBD" w:rsidP="00F21C0B">
            <w:pPr>
              <w:spacing w:before="60" w:after="60"/>
              <w:rPr>
                <w:rFonts w:ascii="Arial" w:hAnsi="Arial" w:cs="Arial"/>
                <w:sz w:val="20"/>
                <w:szCs w:val="20"/>
              </w:rPr>
            </w:pPr>
          </w:p>
        </w:tc>
        <w:tc>
          <w:tcPr>
            <w:tcW w:w="998" w:type="pct"/>
            <w:vMerge/>
            <w:shd w:val="clear" w:color="auto" w:fill="auto"/>
            <w:vAlign w:val="center"/>
          </w:tcPr>
          <w:p w14:paraId="3EEFED6E"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15745ED8" w14:textId="77777777" w:rsidR="00944BBD" w:rsidRPr="00E42343" w:rsidRDefault="00944BBD" w:rsidP="00655685">
            <w:pPr>
              <w:pStyle w:val="ListParagraph"/>
              <w:numPr>
                <w:ilvl w:val="1"/>
                <w:numId w:val="26"/>
              </w:numPr>
              <w:spacing w:before="60" w:after="60"/>
              <w:ind w:left="567" w:hanging="567"/>
              <w:contextualSpacing w:val="0"/>
              <w:rPr>
                <w:rFonts w:ascii="Arial" w:hAnsi="Arial"/>
                <w:sz w:val="20"/>
                <w:szCs w:val="20"/>
              </w:rPr>
            </w:pPr>
            <w:r w:rsidRPr="00E42343">
              <w:rPr>
                <w:rFonts w:ascii="Arial" w:hAnsi="Arial"/>
                <w:sz w:val="20"/>
                <w:szCs w:val="20"/>
              </w:rPr>
              <w:t xml:space="preserve">Les </w:t>
            </w:r>
            <w:r>
              <w:rPr>
                <w:rFonts w:ascii="Arial" w:hAnsi="Arial"/>
                <w:sz w:val="20"/>
                <w:szCs w:val="20"/>
              </w:rPr>
              <w:t xml:space="preserve">résultats </w:t>
            </w:r>
            <w:r w:rsidRPr="00E42343">
              <w:rPr>
                <w:rFonts w:ascii="Arial" w:hAnsi="Arial"/>
                <w:sz w:val="20"/>
                <w:szCs w:val="20"/>
              </w:rPr>
              <w:t>de la recherche, la documentation et les études scientifiques, techniques et artistiques sur le PCI sont utilisés pour améliorer la sauvegarde.</w:t>
            </w:r>
          </w:p>
        </w:tc>
      </w:tr>
      <w:tr w:rsidR="00944BBD" w:rsidRPr="00052470" w14:paraId="6C311CFA" w14:textId="77777777" w:rsidTr="00A82031">
        <w:trPr>
          <w:cantSplit/>
        </w:trPr>
        <w:tc>
          <w:tcPr>
            <w:tcW w:w="918" w:type="pct"/>
            <w:vMerge w:val="restart"/>
            <w:shd w:val="clear" w:color="auto" w:fill="auto"/>
            <w:vAlign w:val="center"/>
          </w:tcPr>
          <w:p w14:paraId="71440D76" w14:textId="77777777" w:rsidR="00944BBD" w:rsidRPr="00E42343" w:rsidRDefault="00944BBD" w:rsidP="00F21C0B">
            <w:pPr>
              <w:spacing w:before="60" w:after="60"/>
              <w:rPr>
                <w:rFonts w:ascii="Arial" w:hAnsi="Arial" w:cs="Arial"/>
                <w:b/>
                <w:sz w:val="20"/>
                <w:szCs w:val="20"/>
              </w:rPr>
            </w:pPr>
            <w:r w:rsidRPr="00E42343">
              <w:rPr>
                <w:rFonts w:ascii="Arial" w:hAnsi="Arial" w:cs="Arial"/>
                <w:b/>
                <w:sz w:val="20"/>
                <w:szCs w:val="20"/>
              </w:rPr>
              <w:lastRenderedPageBreak/>
              <w:t>Politiques et mesure</w:t>
            </w:r>
            <w:r>
              <w:rPr>
                <w:rFonts w:ascii="Arial" w:hAnsi="Arial" w:cs="Arial"/>
                <w:b/>
                <w:sz w:val="20"/>
                <w:szCs w:val="20"/>
              </w:rPr>
              <w:t>s juridiques et administratives</w:t>
            </w:r>
          </w:p>
        </w:tc>
        <w:tc>
          <w:tcPr>
            <w:tcW w:w="998" w:type="pct"/>
            <w:vMerge w:val="restart"/>
            <w:shd w:val="clear" w:color="auto" w:fill="auto"/>
            <w:vAlign w:val="center"/>
          </w:tcPr>
          <w:p w14:paraId="5AC569B7"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 xml:space="preserve">ainsi que </w:t>
            </w:r>
            <w:r w:rsidRPr="00E42343">
              <w:rPr>
                <w:rFonts w:ascii="Arial" w:hAnsi="Arial"/>
                <w:sz w:val="20"/>
                <w:szCs w:val="20"/>
              </w:rPr>
              <w:t>les mesures juridiques et administratives relatives à la culture reflètent la diversité du PCI et l</w:t>
            </w:r>
            <w:r>
              <w:rPr>
                <w:rFonts w:ascii="Arial" w:hAnsi="Arial"/>
                <w:sz w:val="20"/>
                <w:szCs w:val="20"/>
              </w:rPr>
              <w:t>’</w:t>
            </w:r>
            <w:r w:rsidRPr="00E42343">
              <w:rPr>
                <w:rFonts w:ascii="Arial" w:hAnsi="Arial"/>
                <w:sz w:val="20"/>
                <w:szCs w:val="20"/>
              </w:rPr>
              <w:t>importance de sa sauvegarde et sont mises en œuvre</w:t>
            </w:r>
          </w:p>
        </w:tc>
        <w:tc>
          <w:tcPr>
            <w:tcW w:w="3084" w:type="pct"/>
            <w:shd w:val="clear" w:color="auto" w:fill="auto"/>
            <w:vAlign w:val="center"/>
          </w:tcPr>
          <w:p w14:paraId="62758970" w14:textId="77777777" w:rsidR="00944BBD" w:rsidRPr="00E42343" w:rsidRDefault="00944BBD" w:rsidP="00655685">
            <w:pPr>
              <w:pStyle w:val="ListParagraph"/>
              <w:numPr>
                <w:ilvl w:val="1"/>
                <w:numId w:val="27"/>
              </w:numPr>
              <w:spacing w:before="60" w:after="60"/>
              <w:ind w:left="567" w:hanging="567"/>
              <w:contextualSpacing w:val="0"/>
              <w:rPr>
                <w:rFonts w:ascii="Arial" w:hAnsi="Arial"/>
                <w:vanish/>
                <w:sz w:val="20"/>
                <w:szCs w:val="20"/>
              </w:rPr>
            </w:pPr>
            <w:r w:rsidRPr="00E42343">
              <w:rPr>
                <w:rFonts w:ascii="Arial" w:hAnsi="Arial"/>
                <w:sz w:val="20"/>
                <w:szCs w:val="20"/>
              </w:rPr>
              <w:t>Des politiques culturelles et/ou des mesures juridiques et administratives intégrant le PCI et sa sauvegarde, et reflétant sa diversité, ont été élaborées ou révisées et sont mises en œuvre.</w:t>
            </w:r>
          </w:p>
        </w:tc>
      </w:tr>
      <w:tr w:rsidR="00944BBD" w:rsidRPr="00E42343" w14:paraId="68040436" w14:textId="77777777" w:rsidTr="00A82031">
        <w:trPr>
          <w:cantSplit/>
        </w:trPr>
        <w:tc>
          <w:tcPr>
            <w:tcW w:w="918" w:type="pct"/>
            <w:vMerge/>
            <w:shd w:val="clear" w:color="auto" w:fill="auto"/>
            <w:vAlign w:val="center"/>
          </w:tcPr>
          <w:p w14:paraId="33319862" w14:textId="77777777" w:rsidR="00944BBD" w:rsidRPr="003074FE" w:rsidRDefault="00944BBD" w:rsidP="00F21C0B">
            <w:pPr>
              <w:spacing w:before="60" w:after="60"/>
              <w:ind w:left="360"/>
              <w:rPr>
                <w:rFonts w:ascii="Arial" w:hAnsi="Arial" w:cs="Arial"/>
                <w:sz w:val="20"/>
                <w:szCs w:val="20"/>
              </w:rPr>
            </w:pPr>
          </w:p>
        </w:tc>
        <w:tc>
          <w:tcPr>
            <w:tcW w:w="998" w:type="pct"/>
            <w:vMerge/>
            <w:shd w:val="clear" w:color="auto" w:fill="auto"/>
            <w:vAlign w:val="center"/>
          </w:tcPr>
          <w:p w14:paraId="10AFC14B" w14:textId="77777777" w:rsidR="00944BBD" w:rsidRPr="003074FE" w:rsidRDefault="00944BBD" w:rsidP="00655685">
            <w:pPr>
              <w:pStyle w:val="ListParagraph"/>
              <w:numPr>
                <w:ilvl w:val="0"/>
                <w:numId w:val="12"/>
              </w:numPr>
              <w:spacing w:before="60" w:after="60"/>
              <w:ind w:left="0" w:hanging="397"/>
              <w:contextualSpacing w:val="0"/>
              <w:jc w:val="both"/>
              <w:rPr>
                <w:rFonts w:ascii="Arial" w:hAnsi="Arial"/>
                <w:sz w:val="20"/>
                <w:szCs w:val="20"/>
              </w:rPr>
            </w:pPr>
          </w:p>
        </w:tc>
        <w:tc>
          <w:tcPr>
            <w:tcW w:w="3084" w:type="pct"/>
            <w:shd w:val="clear" w:color="auto" w:fill="auto"/>
            <w:vAlign w:val="center"/>
          </w:tcPr>
          <w:p w14:paraId="41971DFB" w14:textId="77777777" w:rsidR="00944BBD" w:rsidRPr="00E42343" w:rsidRDefault="00944BBD" w:rsidP="00655685">
            <w:pPr>
              <w:pStyle w:val="ListParagraph"/>
              <w:numPr>
                <w:ilvl w:val="1"/>
                <w:numId w:val="27"/>
              </w:numPr>
              <w:spacing w:before="60" w:after="60"/>
              <w:ind w:left="567" w:hanging="567"/>
              <w:contextualSpacing w:val="0"/>
              <w:rPr>
                <w:rFonts w:ascii="Arial" w:hAnsi="Arial"/>
                <w:sz w:val="20"/>
                <w:szCs w:val="20"/>
              </w:rPr>
            </w:pPr>
            <w:r w:rsidRPr="00E42343">
              <w:rPr>
                <w:rFonts w:ascii="Arial" w:hAnsi="Arial"/>
                <w:sz w:val="20"/>
                <w:szCs w:val="20"/>
              </w:rPr>
              <w:t>Des stratégies et/ou des plans d</w:t>
            </w:r>
            <w:r>
              <w:rPr>
                <w:rFonts w:ascii="Arial" w:hAnsi="Arial"/>
                <w:sz w:val="20"/>
                <w:szCs w:val="20"/>
              </w:rPr>
              <w:t>’</w:t>
            </w:r>
            <w:r w:rsidRPr="00E42343">
              <w:rPr>
                <w:rFonts w:ascii="Arial" w:hAnsi="Arial"/>
                <w:sz w:val="20"/>
                <w:szCs w:val="20"/>
              </w:rPr>
              <w:t>action nationaux ou infranationaux de sauvegarde du PCI sont élaborés ou révisés et sont mis en œuvre, y compris des plans de sauvegarde d</w:t>
            </w:r>
            <w:r>
              <w:rPr>
                <w:rFonts w:ascii="Arial" w:hAnsi="Arial"/>
                <w:sz w:val="20"/>
                <w:szCs w:val="20"/>
              </w:rPr>
              <w:t>’</w:t>
            </w:r>
            <w:r w:rsidRPr="00E42343">
              <w:rPr>
                <w:rFonts w:ascii="Arial" w:hAnsi="Arial"/>
                <w:sz w:val="20"/>
                <w:szCs w:val="20"/>
              </w:rPr>
              <w:t>éléments spécifiques, qu</w:t>
            </w:r>
            <w:r>
              <w:rPr>
                <w:rFonts w:ascii="Arial" w:hAnsi="Arial"/>
                <w:sz w:val="20"/>
                <w:szCs w:val="20"/>
              </w:rPr>
              <w:t>’</w:t>
            </w:r>
            <w:r w:rsidRPr="00E42343">
              <w:rPr>
                <w:rFonts w:ascii="Arial" w:hAnsi="Arial"/>
                <w:sz w:val="20"/>
                <w:szCs w:val="20"/>
              </w:rPr>
              <w:t>ils soient inscrits ou non.</w:t>
            </w:r>
          </w:p>
        </w:tc>
      </w:tr>
      <w:tr w:rsidR="00944BBD" w:rsidRPr="00E42343" w14:paraId="60558373" w14:textId="77777777" w:rsidTr="00A82031">
        <w:trPr>
          <w:cantSplit/>
        </w:trPr>
        <w:tc>
          <w:tcPr>
            <w:tcW w:w="918" w:type="pct"/>
            <w:vMerge/>
            <w:shd w:val="clear" w:color="auto" w:fill="auto"/>
            <w:vAlign w:val="center"/>
          </w:tcPr>
          <w:p w14:paraId="7D2280CD" w14:textId="77777777" w:rsidR="00944BBD" w:rsidRPr="003074FE" w:rsidRDefault="00944BBD" w:rsidP="00F21C0B">
            <w:pPr>
              <w:spacing w:before="60" w:after="60"/>
              <w:ind w:left="360"/>
              <w:rPr>
                <w:rFonts w:ascii="Arial" w:hAnsi="Arial" w:cs="Arial"/>
                <w:sz w:val="20"/>
                <w:szCs w:val="20"/>
              </w:rPr>
            </w:pPr>
          </w:p>
        </w:tc>
        <w:tc>
          <w:tcPr>
            <w:tcW w:w="998" w:type="pct"/>
            <w:vMerge/>
            <w:shd w:val="clear" w:color="auto" w:fill="auto"/>
            <w:vAlign w:val="center"/>
          </w:tcPr>
          <w:p w14:paraId="2FB43BF9" w14:textId="77777777" w:rsidR="00944BBD" w:rsidRPr="003074FE" w:rsidRDefault="00944BBD" w:rsidP="00655685">
            <w:pPr>
              <w:pStyle w:val="ListParagraph"/>
              <w:numPr>
                <w:ilvl w:val="0"/>
                <w:numId w:val="12"/>
              </w:numPr>
              <w:spacing w:before="60" w:after="60"/>
              <w:ind w:left="0" w:hanging="397"/>
              <w:contextualSpacing w:val="0"/>
              <w:jc w:val="both"/>
              <w:rPr>
                <w:rFonts w:ascii="Arial" w:hAnsi="Arial"/>
                <w:sz w:val="20"/>
                <w:szCs w:val="20"/>
              </w:rPr>
            </w:pPr>
          </w:p>
        </w:tc>
        <w:tc>
          <w:tcPr>
            <w:tcW w:w="3084" w:type="pct"/>
            <w:shd w:val="clear" w:color="auto" w:fill="auto"/>
            <w:vAlign w:val="center"/>
          </w:tcPr>
          <w:p w14:paraId="306D90E8" w14:textId="77777777" w:rsidR="00944BBD" w:rsidRPr="00E42343" w:rsidRDefault="00944BBD" w:rsidP="00655685">
            <w:pPr>
              <w:pStyle w:val="ListParagraph"/>
              <w:numPr>
                <w:ilvl w:val="1"/>
                <w:numId w:val="27"/>
              </w:numPr>
              <w:spacing w:before="60" w:after="60"/>
              <w:ind w:left="567" w:hanging="567"/>
              <w:contextualSpacing w:val="0"/>
              <w:rPr>
                <w:rFonts w:ascii="Arial" w:hAnsi="Arial"/>
                <w:sz w:val="20"/>
                <w:szCs w:val="20"/>
              </w:rPr>
            </w:pPr>
            <w:r w:rsidRPr="00E42343">
              <w:rPr>
                <w:rFonts w:ascii="Arial" w:hAnsi="Arial"/>
                <w:sz w:val="20"/>
                <w:szCs w:val="20"/>
              </w:rPr>
              <w:t>Le soutien public,</w:t>
            </w:r>
            <w:r>
              <w:rPr>
                <w:rFonts w:ascii="Arial" w:hAnsi="Arial"/>
                <w:sz w:val="20"/>
                <w:szCs w:val="20"/>
              </w:rPr>
              <w:t xml:space="preserve"> financier et/ou technique</w:t>
            </w:r>
            <w:r w:rsidRPr="00E42343">
              <w:rPr>
                <w:rFonts w:ascii="Arial" w:hAnsi="Arial"/>
                <w:sz w:val="20"/>
                <w:szCs w:val="20"/>
              </w:rPr>
              <w:t xml:space="preserve"> pour la sauvegarde d</w:t>
            </w:r>
            <w:r>
              <w:rPr>
                <w:rFonts w:ascii="Arial" w:hAnsi="Arial"/>
                <w:sz w:val="20"/>
                <w:szCs w:val="20"/>
              </w:rPr>
              <w:t>’</w:t>
            </w:r>
            <w:r w:rsidRPr="00E42343">
              <w:rPr>
                <w:rFonts w:ascii="Arial" w:hAnsi="Arial"/>
                <w:sz w:val="20"/>
                <w:szCs w:val="20"/>
              </w:rPr>
              <w:t xml:space="preserve">éléments du </w:t>
            </w:r>
            <w:r>
              <w:rPr>
                <w:rFonts w:ascii="Arial" w:hAnsi="Arial"/>
                <w:sz w:val="20"/>
                <w:szCs w:val="20"/>
              </w:rPr>
              <w:t>PCI, qu’ils soient inscrits ou non,</w:t>
            </w:r>
            <w:r w:rsidRPr="00E42343">
              <w:rPr>
                <w:rFonts w:ascii="Arial" w:hAnsi="Arial"/>
                <w:sz w:val="20"/>
                <w:szCs w:val="20"/>
              </w:rPr>
              <w:t xml:space="preserve"> est fourni sur une base équitable </w:t>
            </w:r>
            <w:r>
              <w:rPr>
                <w:rFonts w:ascii="Arial" w:hAnsi="Arial"/>
                <w:sz w:val="20"/>
                <w:szCs w:val="20"/>
              </w:rPr>
              <w:t>par rapport au soutien global apporté à la culture et au patrimoine en général</w:t>
            </w:r>
            <w:r w:rsidRPr="00E42343">
              <w:rPr>
                <w:rFonts w:ascii="Arial" w:hAnsi="Arial"/>
                <w:sz w:val="20"/>
                <w:szCs w:val="20"/>
              </w:rPr>
              <w:t>, tout en tenant compte de la priorité accordée à ceux identifiés comme ayant besoin d</w:t>
            </w:r>
            <w:r>
              <w:rPr>
                <w:rFonts w:ascii="Arial" w:hAnsi="Arial"/>
                <w:sz w:val="20"/>
                <w:szCs w:val="20"/>
              </w:rPr>
              <w:t>’</w:t>
            </w:r>
            <w:r w:rsidRPr="00E42343">
              <w:rPr>
                <w:rFonts w:ascii="Arial" w:hAnsi="Arial"/>
                <w:sz w:val="20"/>
                <w:szCs w:val="20"/>
              </w:rPr>
              <w:t>une sauvegarde urgente.</w:t>
            </w:r>
          </w:p>
        </w:tc>
      </w:tr>
      <w:tr w:rsidR="00944BBD" w:rsidRPr="00E42343" w14:paraId="09636D7B" w14:textId="77777777" w:rsidTr="00A82031">
        <w:trPr>
          <w:cantSplit/>
        </w:trPr>
        <w:tc>
          <w:tcPr>
            <w:tcW w:w="918" w:type="pct"/>
            <w:vMerge/>
            <w:shd w:val="clear" w:color="auto" w:fill="auto"/>
            <w:vAlign w:val="center"/>
          </w:tcPr>
          <w:p w14:paraId="4BA0B04A" w14:textId="77777777" w:rsidR="00944BBD" w:rsidRPr="00345EB5" w:rsidRDefault="00944BBD" w:rsidP="00F21C0B">
            <w:pPr>
              <w:spacing w:before="60" w:after="60"/>
              <w:ind w:left="360"/>
              <w:rPr>
                <w:rFonts w:ascii="Arial" w:hAnsi="Arial" w:cs="Arial"/>
                <w:sz w:val="20"/>
                <w:szCs w:val="20"/>
              </w:rPr>
            </w:pPr>
          </w:p>
        </w:tc>
        <w:tc>
          <w:tcPr>
            <w:tcW w:w="998" w:type="pct"/>
            <w:vMerge/>
            <w:shd w:val="clear" w:color="auto" w:fill="auto"/>
            <w:vAlign w:val="center"/>
          </w:tcPr>
          <w:p w14:paraId="6E97D4BB" w14:textId="77777777" w:rsidR="00944BBD" w:rsidRPr="00345EB5" w:rsidRDefault="00944BBD" w:rsidP="00655685">
            <w:pPr>
              <w:pStyle w:val="ListParagraph"/>
              <w:numPr>
                <w:ilvl w:val="0"/>
                <w:numId w:val="12"/>
              </w:numPr>
              <w:spacing w:before="60" w:after="60"/>
              <w:ind w:left="0" w:hanging="397"/>
              <w:contextualSpacing w:val="0"/>
              <w:jc w:val="both"/>
              <w:rPr>
                <w:rFonts w:ascii="Arial" w:hAnsi="Arial"/>
                <w:sz w:val="20"/>
                <w:szCs w:val="20"/>
              </w:rPr>
            </w:pPr>
          </w:p>
        </w:tc>
        <w:tc>
          <w:tcPr>
            <w:tcW w:w="3084" w:type="pct"/>
            <w:shd w:val="clear" w:color="auto" w:fill="auto"/>
            <w:vAlign w:val="center"/>
          </w:tcPr>
          <w:p w14:paraId="51C8FF92" w14:textId="77777777" w:rsidR="00944BBD" w:rsidRPr="00E42343" w:rsidRDefault="00944BBD" w:rsidP="00655685">
            <w:pPr>
              <w:pStyle w:val="ListParagraph"/>
              <w:numPr>
                <w:ilvl w:val="1"/>
                <w:numId w:val="27"/>
              </w:numPr>
              <w:spacing w:before="60" w:after="60"/>
              <w:ind w:left="567" w:hanging="567"/>
              <w:contextualSpacing w:val="0"/>
              <w:rPr>
                <w:rFonts w:ascii="Arial" w:hAnsi="Arial"/>
                <w:sz w:val="20"/>
                <w:szCs w:val="20"/>
              </w:rPr>
            </w:pPr>
            <w:r w:rsidRPr="00E42343">
              <w:rPr>
                <w:rFonts w:ascii="Arial" w:hAnsi="Arial"/>
                <w:sz w:val="20"/>
                <w:szCs w:val="20"/>
              </w:rPr>
              <w:t xml:space="preserve">Les politiques culturelles et/ou les mesures juridiques et administratives intégrant le PCI et sa sauvegarde sont </w:t>
            </w:r>
            <w:r w:rsidRPr="00A71AF7">
              <w:rPr>
                <w:rFonts w:ascii="Arial" w:hAnsi="Arial"/>
                <w:sz w:val="20"/>
                <w:szCs w:val="20"/>
              </w:rPr>
              <w:t>informées par</w:t>
            </w:r>
            <w:r w:rsidRPr="00E42343">
              <w:rPr>
                <w:rFonts w:ascii="Arial" w:hAnsi="Arial"/>
                <w:sz w:val="20"/>
                <w:szCs w:val="20"/>
              </w:rPr>
              <w:t xml:space="preserve"> la participation active des communautés, des groupes et des individus.</w:t>
            </w:r>
          </w:p>
        </w:tc>
      </w:tr>
      <w:tr w:rsidR="00944BBD" w:rsidRPr="00E42343" w14:paraId="091E7F3D" w14:textId="77777777" w:rsidTr="00A82031">
        <w:trPr>
          <w:cantSplit/>
        </w:trPr>
        <w:tc>
          <w:tcPr>
            <w:tcW w:w="918" w:type="pct"/>
            <w:vMerge/>
            <w:shd w:val="clear" w:color="auto" w:fill="auto"/>
            <w:vAlign w:val="center"/>
          </w:tcPr>
          <w:p w14:paraId="466BABB9" w14:textId="77777777" w:rsidR="00944BBD" w:rsidRPr="00E42343" w:rsidRDefault="00944BBD" w:rsidP="00F21C0B">
            <w:pPr>
              <w:spacing w:before="60" w:after="60"/>
              <w:ind w:left="360"/>
              <w:rPr>
                <w:rFonts w:ascii="Arial" w:hAnsi="Arial" w:cs="Arial"/>
                <w:sz w:val="20"/>
                <w:szCs w:val="20"/>
              </w:rPr>
            </w:pPr>
          </w:p>
        </w:tc>
        <w:tc>
          <w:tcPr>
            <w:tcW w:w="998" w:type="pct"/>
            <w:vMerge w:val="restart"/>
            <w:shd w:val="clear" w:color="auto" w:fill="auto"/>
            <w:vAlign w:val="center"/>
          </w:tcPr>
          <w:p w14:paraId="2BA7C036"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ainsi que</w:t>
            </w:r>
            <w:r w:rsidRPr="00E42343">
              <w:rPr>
                <w:rFonts w:ascii="Arial" w:hAnsi="Arial"/>
                <w:sz w:val="20"/>
                <w:szCs w:val="20"/>
              </w:rPr>
              <w:t xml:space="preserve"> les mesures juridiques et administratives relatives à l</w:t>
            </w:r>
            <w:r>
              <w:rPr>
                <w:rFonts w:ascii="Arial" w:hAnsi="Arial"/>
                <w:sz w:val="20"/>
                <w:szCs w:val="20"/>
              </w:rPr>
              <w:t>’</w:t>
            </w:r>
            <w:r w:rsidRPr="00E42343">
              <w:rPr>
                <w:rFonts w:ascii="Arial" w:hAnsi="Arial"/>
                <w:sz w:val="20"/>
                <w:szCs w:val="20"/>
              </w:rPr>
              <w:t>éducation reflètent la diversité du PCI et l</w:t>
            </w:r>
            <w:r>
              <w:rPr>
                <w:rFonts w:ascii="Arial" w:hAnsi="Arial"/>
                <w:sz w:val="20"/>
                <w:szCs w:val="20"/>
              </w:rPr>
              <w:t>’</w:t>
            </w:r>
            <w:r w:rsidRPr="00E42343">
              <w:rPr>
                <w:rFonts w:ascii="Arial" w:hAnsi="Arial"/>
                <w:sz w:val="20"/>
                <w:szCs w:val="20"/>
              </w:rPr>
              <w:t>importance de sa sauvegarde et sont mises en œuvre</w:t>
            </w:r>
          </w:p>
        </w:tc>
        <w:tc>
          <w:tcPr>
            <w:tcW w:w="3084" w:type="pct"/>
            <w:shd w:val="clear" w:color="auto" w:fill="auto"/>
            <w:vAlign w:val="center"/>
          </w:tcPr>
          <w:p w14:paraId="5D858F96" w14:textId="77777777" w:rsidR="00944BBD" w:rsidRPr="00E42343" w:rsidRDefault="00944BBD" w:rsidP="00655685">
            <w:pPr>
              <w:pStyle w:val="ListParagraph"/>
              <w:numPr>
                <w:ilvl w:val="1"/>
                <w:numId w:val="28"/>
              </w:numPr>
              <w:spacing w:before="60" w:after="60"/>
              <w:ind w:left="567" w:hanging="567"/>
              <w:contextualSpacing w:val="0"/>
              <w:rPr>
                <w:rFonts w:ascii="Arial" w:hAnsi="Arial"/>
                <w:vanish/>
                <w:sz w:val="20"/>
                <w:szCs w:val="20"/>
              </w:rPr>
            </w:pPr>
            <w:r w:rsidRPr="00E42343">
              <w:rPr>
                <w:rFonts w:ascii="Arial" w:hAnsi="Arial"/>
                <w:sz w:val="20"/>
                <w:szCs w:val="20"/>
              </w:rPr>
              <w:t>Des politiques et/ou des mesures juridiques et administratives en matière d</w:t>
            </w:r>
            <w:r>
              <w:rPr>
                <w:rFonts w:ascii="Arial" w:hAnsi="Arial"/>
                <w:sz w:val="20"/>
                <w:szCs w:val="20"/>
              </w:rPr>
              <w:t>’</w:t>
            </w:r>
            <w:r w:rsidRPr="00E42343">
              <w:rPr>
                <w:rFonts w:ascii="Arial" w:hAnsi="Arial"/>
                <w:sz w:val="20"/>
                <w:szCs w:val="20"/>
              </w:rPr>
              <w:t>éducation sont adoptées ou révisées et mises en œuvre pour assurer la reconnaissance, le respect et la mise en valeur du PCI.</w:t>
            </w:r>
          </w:p>
        </w:tc>
      </w:tr>
      <w:tr w:rsidR="00944BBD" w:rsidRPr="00E42343" w14:paraId="350E0C53" w14:textId="77777777" w:rsidTr="00A82031">
        <w:trPr>
          <w:cantSplit/>
        </w:trPr>
        <w:tc>
          <w:tcPr>
            <w:tcW w:w="918" w:type="pct"/>
            <w:vMerge/>
            <w:shd w:val="clear" w:color="auto" w:fill="auto"/>
            <w:vAlign w:val="center"/>
          </w:tcPr>
          <w:p w14:paraId="7203FF6E" w14:textId="77777777" w:rsidR="00944BBD" w:rsidRPr="00E42343" w:rsidRDefault="00944BBD" w:rsidP="00F21C0B">
            <w:pPr>
              <w:spacing w:before="60" w:after="60"/>
              <w:ind w:left="360"/>
              <w:rPr>
                <w:rFonts w:ascii="Arial" w:hAnsi="Arial" w:cs="Arial"/>
                <w:sz w:val="20"/>
                <w:szCs w:val="20"/>
              </w:rPr>
            </w:pPr>
          </w:p>
        </w:tc>
        <w:tc>
          <w:tcPr>
            <w:tcW w:w="998" w:type="pct"/>
            <w:vMerge/>
            <w:shd w:val="clear" w:color="auto" w:fill="auto"/>
            <w:vAlign w:val="center"/>
          </w:tcPr>
          <w:p w14:paraId="1E6B089D"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0B362703" w14:textId="77777777" w:rsidR="00944BBD" w:rsidRPr="00E42343" w:rsidRDefault="00944BBD" w:rsidP="00655685">
            <w:pPr>
              <w:pStyle w:val="ListParagraph"/>
              <w:numPr>
                <w:ilvl w:val="1"/>
                <w:numId w:val="28"/>
              </w:numPr>
              <w:spacing w:before="60" w:after="60"/>
              <w:ind w:left="567" w:hanging="567"/>
              <w:contextualSpacing w:val="0"/>
              <w:rPr>
                <w:rFonts w:ascii="Arial" w:hAnsi="Arial"/>
                <w:sz w:val="20"/>
                <w:szCs w:val="20"/>
              </w:rPr>
            </w:pPr>
            <w:r w:rsidRPr="00E42343">
              <w:rPr>
                <w:rFonts w:ascii="Arial" w:hAnsi="Arial"/>
                <w:sz w:val="20"/>
                <w:szCs w:val="20"/>
              </w:rPr>
              <w:t>Des politiques et/ou des mesures juridiques et administratives en matière d</w:t>
            </w:r>
            <w:r>
              <w:rPr>
                <w:rFonts w:ascii="Arial" w:hAnsi="Arial"/>
                <w:sz w:val="20"/>
                <w:szCs w:val="20"/>
              </w:rPr>
              <w:t>’</w:t>
            </w:r>
            <w:r w:rsidRPr="00E42343">
              <w:rPr>
                <w:rFonts w:ascii="Arial" w:hAnsi="Arial"/>
                <w:sz w:val="20"/>
                <w:szCs w:val="20"/>
              </w:rPr>
              <w:t>éducation sont adoptées ou révisées et mises en œuvre pour renforcer la transmission et la pratique du PCI.</w:t>
            </w:r>
          </w:p>
        </w:tc>
      </w:tr>
      <w:tr w:rsidR="00944BBD" w:rsidRPr="00E42343" w14:paraId="15392A75" w14:textId="77777777" w:rsidTr="00A82031">
        <w:trPr>
          <w:cantSplit/>
        </w:trPr>
        <w:tc>
          <w:tcPr>
            <w:tcW w:w="918" w:type="pct"/>
            <w:vMerge/>
            <w:shd w:val="clear" w:color="auto" w:fill="auto"/>
            <w:vAlign w:val="center"/>
          </w:tcPr>
          <w:p w14:paraId="76FBAAC9" w14:textId="77777777" w:rsidR="00944BBD" w:rsidRPr="00E42343" w:rsidRDefault="00944BBD" w:rsidP="00F21C0B">
            <w:pPr>
              <w:spacing w:before="60" w:after="60"/>
              <w:ind w:left="360"/>
              <w:rPr>
                <w:rFonts w:ascii="Arial" w:hAnsi="Arial" w:cs="Arial"/>
                <w:sz w:val="20"/>
                <w:szCs w:val="20"/>
              </w:rPr>
            </w:pPr>
          </w:p>
        </w:tc>
        <w:tc>
          <w:tcPr>
            <w:tcW w:w="998" w:type="pct"/>
            <w:vMerge/>
            <w:tcBorders>
              <w:bottom w:val="single" w:sz="4" w:space="0" w:color="000000"/>
            </w:tcBorders>
            <w:shd w:val="clear" w:color="auto" w:fill="auto"/>
            <w:vAlign w:val="center"/>
          </w:tcPr>
          <w:p w14:paraId="2FD3CAAB"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6B12E074" w14:textId="77777777" w:rsidR="00944BBD" w:rsidRPr="00E42343" w:rsidRDefault="00944BBD" w:rsidP="00655685">
            <w:pPr>
              <w:pStyle w:val="ListParagraph"/>
              <w:numPr>
                <w:ilvl w:val="1"/>
                <w:numId w:val="28"/>
              </w:numPr>
              <w:spacing w:before="60" w:after="60"/>
              <w:ind w:left="567" w:hanging="567"/>
              <w:contextualSpacing w:val="0"/>
              <w:rPr>
                <w:rFonts w:ascii="Arial" w:hAnsi="Arial"/>
                <w:sz w:val="20"/>
                <w:szCs w:val="20"/>
              </w:rPr>
            </w:pPr>
            <w:r w:rsidRPr="00E42343">
              <w:rPr>
                <w:rFonts w:ascii="Arial" w:hAnsi="Arial"/>
                <w:sz w:val="20"/>
                <w:szCs w:val="20"/>
              </w:rPr>
              <w:t>Des politiques et/ou des mesures juridiques et administratives promeuvent l</w:t>
            </w:r>
            <w:r>
              <w:rPr>
                <w:rFonts w:ascii="Arial" w:hAnsi="Arial"/>
                <w:sz w:val="20"/>
                <w:szCs w:val="20"/>
              </w:rPr>
              <w:t>’</w:t>
            </w:r>
            <w:r w:rsidRPr="00E42343">
              <w:rPr>
                <w:rFonts w:ascii="Arial" w:hAnsi="Arial"/>
                <w:sz w:val="20"/>
                <w:szCs w:val="20"/>
              </w:rPr>
              <w:t>enseignement de la langue maternelle et l</w:t>
            </w:r>
            <w:r>
              <w:rPr>
                <w:rFonts w:ascii="Arial" w:hAnsi="Arial"/>
                <w:sz w:val="20"/>
                <w:szCs w:val="20"/>
              </w:rPr>
              <w:t>’</w:t>
            </w:r>
            <w:r w:rsidRPr="00E42343">
              <w:rPr>
                <w:rFonts w:ascii="Arial" w:hAnsi="Arial"/>
                <w:sz w:val="20"/>
                <w:szCs w:val="20"/>
              </w:rPr>
              <w:t>éducation multilingue.</w:t>
            </w:r>
          </w:p>
        </w:tc>
      </w:tr>
      <w:tr w:rsidR="00944BBD" w:rsidRPr="00E42343" w14:paraId="20C091C9" w14:textId="77777777" w:rsidTr="00A82031">
        <w:trPr>
          <w:cantSplit/>
          <w:trHeight w:val="675"/>
        </w:trPr>
        <w:tc>
          <w:tcPr>
            <w:tcW w:w="918" w:type="pct"/>
            <w:vMerge/>
            <w:shd w:val="clear" w:color="auto" w:fill="auto"/>
            <w:vAlign w:val="center"/>
          </w:tcPr>
          <w:p w14:paraId="4D1E8E8A" w14:textId="77777777" w:rsidR="00944BBD" w:rsidRPr="00E42343" w:rsidRDefault="00944BBD" w:rsidP="00F21C0B">
            <w:pPr>
              <w:spacing w:before="60" w:after="60"/>
              <w:ind w:left="360"/>
              <w:rPr>
                <w:rFonts w:ascii="Arial" w:hAnsi="Arial" w:cs="Arial"/>
                <w:sz w:val="20"/>
                <w:szCs w:val="20"/>
              </w:rPr>
            </w:pPr>
          </w:p>
        </w:tc>
        <w:tc>
          <w:tcPr>
            <w:tcW w:w="998" w:type="pct"/>
            <w:vMerge w:val="restart"/>
            <w:tcBorders>
              <w:bottom w:val="single" w:sz="4" w:space="0" w:color="auto"/>
            </w:tcBorders>
            <w:shd w:val="clear" w:color="auto" w:fill="auto"/>
            <w:vAlign w:val="center"/>
          </w:tcPr>
          <w:p w14:paraId="284F1B47"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ainsi que</w:t>
            </w:r>
            <w:r w:rsidRPr="00E42343">
              <w:rPr>
                <w:rFonts w:ascii="Arial" w:hAnsi="Arial"/>
                <w:sz w:val="20"/>
                <w:szCs w:val="20"/>
              </w:rPr>
              <w:t xml:space="preserve"> les mesures juridiques et administratives dans des domaines autres que la culture et l</w:t>
            </w:r>
            <w:r>
              <w:rPr>
                <w:rFonts w:ascii="Arial" w:hAnsi="Arial"/>
                <w:sz w:val="20"/>
                <w:szCs w:val="20"/>
              </w:rPr>
              <w:t>’</w:t>
            </w:r>
            <w:r w:rsidRPr="00E42343">
              <w:rPr>
                <w:rFonts w:ascii="Arial" w:hAnsi="Arial"/>
                <w:sz w:val="20"/>
                <w:szCs w:val="20"/>
              </w:rPr>
              <w:t>éducation reflètent la diversité du PCI et l</w:t>
            </w:r>
            <w:r>
              <w:rPr>
                <w:rFonts w:ascii="Arial" w:hAnsi="Arial"/>
                <w:sz w:val="20"/>
                <w:szCs w:val="20"/>
              </w:rPr>
              <w:t>’</w:t>
            </w:r>
            <w:r w:rsidRPr="00E42343">
              <w:rPr>
                <w:rFonts w:ascii="Arial" w:hAnsi="Arial"/>
                <w:sz w:val="20"/>
                <w:szCs w:val="20"/>
              </w:rPr>
              <w:t>importance de sa sauvegarde et sont mises en œuvre</w:t>
            </w:r>
          </w:p>
        </w:tc>
        <w:tc>
          <w:tcPr>
            <w:tcW w:w="3084" w:type="pct"/>
            <w:shd w:val="clear" w:color="auto" w:fill="auto"/>
            <w:vAlign w:val="center"/>
          </w:tcPr>
          <w:p w14:paraId="7DD62FC8" w14:textId="77777777" w:rsidR="00944BBD" w:rsidRPr="00E42343" w:rsidRDefault="00944BBD" w:rsidP="00655685">
            <w:pPr>
              <w:pStyle w:val="ListParagraph"/>
              <w:numPr>
                <w:ilvl w:val="1"/>
                <w:numId w:val="17"/>
              </w:numPr>
              <w:spacing w:before="60" w:after="60"/>
              <w:ind w:left="567" w:hanging="567"/>
              <w:contextualSpacing w:val="0"/>
              <w:rPr>
                <w:rFonts w:ascii="Arial" w:hAnsi="Arial"/>
                <w:vanish/>
                <w:sz w:val="20"/>
                <w:szCs w:val="20"/>
              </w:rPr>
            </w:pPr>
            <w:r w:rsidRPr="00E42343">
              <w:rPr>
                <w:rFonts w:ascii="Arial" w:hAnsi="Arial"/>
                <w:sz w:val="20"/>
                <w:szCs w:val="20"/>
              </w:rPr>
              <w:t xml:space="preserve">Les Principes éthiques pour </w:t>
            </w:r>
            <w:r>
              <w:rPr>
                <w:rFonts w:ascii="Arial" w:hAnsi="Arial"/>
                <w:sz w:val="20"/>
                <w:szCs w:val="20"/>
              </w:rPr>
              <w:t xml:space="preserve">la </w:t>
            </w:r>
            <w:r w:rsidRPr="00E42343">
              <w:rPr>
                <w:rFonts w:ascii="Arial" w:hAnsi="Arial"/>
                <w:sz w:val="20"/>
                <w:szCs w:val="20"/>
              </w:rPr>
              <w:t>sauvegarde du PCI sont respectés dans les plans, les politiques et les programmes de développement.</w:t>
            </w:r>
          </w:p>
        </w:tc>
      </w:tr>
      <w:tr w:rsidR="00944BBD" w:rsidRPr="00052470" w14:paraId="49828FBD" w14:textId="77777777" w:rsidTr="00A82031">
        <w:trPr>
          <w:cantSplit/>
        </w:trPr>
        <w:tc>
          <w:tcPr>
            <w:tcW w:w="918" w:type="pct"/>
            <w:vMerge/>
            <w:shd w:val="clear" w:color="auto" w:fill="auto"/>
            <w:vAlign w:val="center"/>
          </w:tcPr>
          <w:p w14:paraId="16A59036" w14:textId="77777777" w:rsidR="00944BBD" w:rsidRPr="00E42343" w:rsidRDefault="00944BBD" w:rsidP="00F21C0B">
            <w:pPr>
              <w:spacing w:before="60" w:after="60"/>
              <w:rPr>
                <w:rFonts w:ascii="Arial" w:hAnsi="Arial" w:cs="Arial"/>
                <w:sz w:val="20"/>
                <w:szCs w:val="20"/>
              </w:rPr>
            </w:pPr>
          </w:p>
        </w:tc>
        <w:tc>
          <w:tcPr>
            <w:tcW w:w="998" w:type="pct"/>
            <w:vMerge/>
            <w:tcBorders>
              <w:bottom w:val="single" w:sz="4" w:space="0" w:color="auto"/>
            </w:tcBorders>
            <w:shd w:val="clear" w:color="auto" w:fill="auto"/>
            <w:vAlign w:val="center"/>
          </w:tcPr>
          <w:p w14:paraId="689A16F8"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7A702080" w14:textId="77777777" w:rsidR="00944BBD" w:rsidRPr="00E42343" w:rsidRDefault="00944BBD" w:rsidP="00655685">
            <w:pPr>
              <w:pStyle w:val="ListParagraph"/>
              <w:numPr>
                <w:ilvl w:val="1"/>
                <w:numId w:val="17"/>
              </w:numPr>
              <w:spacing w:before="60" w:after="60"/>
              <w:ind w:left="567" w:hanging="567"/>
              <w:contextualSpacing w:val="0"/>
              <w:rPr>
                <w:rFonts w:ascii="Arial" w:hAnsi="Arial"/>
                <w:sz w:val="20"/>
                <w:szCs w:val="20"/>
              </w:rPr>
            </w:pPr>
            <w:r w:rsidRPr="00E42343">
              <w:rPr>
                <w:rFonts w:ascii="Arial" w:hAnsi="Arial"/>
                <w:sz w:val="20"/>
                <w:szCs w:val="20"/>
              </w:rPr>
              <w:t>Des politiques et/ou des mesures juridiques et administratives en matière de développement social inclusif</w:t>
            </w:r>
            <w:r w:rsidRPr="00E42343">
              <w:rPr>
                <w:rStyle w:val="FootnoteReference"/>
                <w:rFonts w:ascii="Arial" w:hAnsi="Arial"/>
                <w:sz w:val="20"/>
                <w:szCs w:val="20"/>
              </w:rPr>
              <w:footnoteReference w:id="7"/>
            </w:r>
            <w:r w:rsidRPr="00E42343">
              <w:rPr>
                <w:rFonts w:ascii="Arial" w:hAnsi="Arial"/>
                <w:sz w:val="20"/>
                <w:szCs w:val="20"/>
              </w:rPr>
              <w:t xml:space="preserve"> et de durabilité environnementale sont adoptées ou révisées pour tenir compte du PCI</w:t>
            </w:r>
            <w:r>
              <w:rPr>
                <w:rFonts w:ascii="Arial" w:hAnsi="Arial"/>
                <w:sz w:val="20"/>
                <w:szCs w:val="20"/>
              </w:rPr>
              <w:t xml:space="preserve"> et </w:t>
            </w:r>
            <w:r w:rsidRPr="00E42343">
              <w:rPr>
                <w:rFonts w:ascii="Arial" w:hAnsi="Arial"/>
                <w:sz w:val="20"/>
                <w:szCs w:val="20"/>
              </w:rPr>
              <w:t>de sa sauvegarde.</w:t>
            </w:r>
          </w:p>
        </w:tc>
      </w:tr>
      <w:tr w:rsidR="00944BBD" w:rsidRPr="00E42343" w14:paraId="73E76A30" w14:textId="77777777" w:rsidTr="00A82031">
        <w:trPr>
          <w:cantSplit/>
        </w:trPr>
        <w:tc>
          <w:tcPr>
            <w:tcW w:w="918" w:type="pct"/>
            <w:vMerge/>
            <w:shd w:val="clear" w:color="auto" w:fill="auto"/>
            <w:vAlign w:val="center"/>
          </w:tcPr>
          <w:p w14:paraId="30D11E27" w14:textId="77777777" w:rsidR="00944BBD" w:rsidRPr="003074FE" w:rsidRDefault="00944BBD" w:rsidP="00F21C0B">
            <w:pPr>
              <w:spacing w:before="60" w:after="60"/>
              <w:rPr>
                <w:rFonts w:ascii="Arial" w:hAnsi="Arial" w:cs="Arial"/>
                <w:sz w:val="20"/>
                <w:szCs w:val="20"/>
              </w:rPr>
            </w:pPr>
          </w:p>
        </w:tc>
        <w:tc>
          <w:tcPr>
            <w:tcW w:w="998" w:type="pct"/>
            <w:vMerge/>
            <w:tcBorders>
              <w:bottom w:val="single" w:sz="4" w:space="0" w:color="auto"/>
            </w:tcBorders>
            <w:shd w:val="clear" w:color="auto" w:fill="auto"/>
            <w:vAlign w:val="center"/>
          </w:tcPr>
          <w:p w14:paraId="617E857F" w14:textId="77777777" w:rsidR="00944BBD" w:rsidRPr="003074FE" w:rsidRDefault="00944BBD" w:rsidP="00655685">
            <w:pPr>
              <w:pStyle w:val="ListParagraph"/>
              <w:numPr>
                <w:ilvl w:val="0"/>
                <w:numId w:val="12"/>
              </w:numPr>
              <w:spacing w:before="60" w:after="60"/>
              <w:ind w:left="0" w:hanging="397"/>
              <w:contextualSpacing w:val="0"/>
              <w:jc w:val="both"/>
              <w:rPr>
                <w:rFonts w:ascii="Arial" w:hAnsi="Arial"/>
                <w:sz w:val="20"/>
                <w:szCs w:val="20"/>
              </w:rPr>
            </w:pPr>
          </w:p>
        </w:tc>
        <w:tc>
          <w:tcPr>
            <w:tcW w:w="3084" w:type="pct"/>
            <w:shd w:val="clear" w:color="auto" w:fill="auto"/>
            <w:vAlign w:val="center"/>
          </w:tcPr>
          <w:p w14:paraId="4DD45657" w14:textId="77777777" w:rsidR="00944BBD" w:rsidRPr="00E42343" w:rsidRDefault="00944BBD" w:rsidP="00655685">
            <w:pPr>
              <w:pStyle w:val="ListParagraph"/>
              <w:numPr>
                <w:ilvl w:val="1"/>
                <w:numId w:val="17"/>
              </w:numPr>
              <w:spacing w:before="60" w:after="60"/>
              <w:ind w:left="567" w:hanging="567"/>
              <w:contextualSpacing w:val="0"/>
              <w:rPr>
                <w:rFonts w:ascii="Arial" w:hAnsi="Arial"/>
                <w:sz w:val="20"/>
                <w:szCs w:val="20"/>
              </w:rPr>
            </w:pPr>
            <w:r w:rsidRPr="00E42343">
              <w:rPr>
                <w:rFonts w:ascii="Arial" w:hAnsi="Arial"/>
                <w:sz w:val="20"/>
                <w:szCs w:val="20"/>
              </w:rPr>
              <w:t xml:space="preserve">Des politiques et/ou des mesures juridiques et administratives en matière de réponse aux catastrophes naturelles ou aux situations de conflit armé sont adoptées ou révisées pour inclure le </w:t>
            </w:r>
            <w:r>
              <w:rPr>
                <w:rFonts w:ascii="Arial" w:hAnsi="Arial"/>
                <w:sz w:val="20"/>
                <w:szCs w:val="20"/>
              </w:rPr>
              <w:t>PCI</w:t>
            </w:r>
            <w:r w:rsidRPr="00E42343">
              <w:rPr>
                <w:rFonts w:ascii="Arial" w:hAnsi="Arial"/>
                <w:sz w:val="20"/>
                <w:szCs w:val="20"/>
              </w:rPr>
              <w:t xml:space="preserve"> affecté par des telles situations et reconnaître son importance pour la résilience des populations touchées.</w:t>
            </w:r>
          </w:p>
        </w:tc>
      </w:tr>
      <w:tr w:rsidR="00944BBD" w:rsidRPr="00E42343" w14:paraId="671F8082" w14:textId="77777777" w:rsidTr="00A82031">
        <w:trPr>
          <w:cantSplit/>
          <w:trHeight w:val="70"/>
        </w:trPr>
        <w:tc>
          <w:tcPr>
            <w:tcW w:w="918" w:type="pct"/>
            <w:vMerge/>
            <w:shd w:val="clear" w:color="auto" w:fill="auto"/>
            <w:vAlign w:val="center"/>
          </w:tcPr>
          <w:p w14:paraId="0FE198F8" w14:textId="77777777" w:rsidR="00944BBD" w:rsidRPr="00345EB5" w:rsidRDefault="00944BBD" w:rsidP="00F21C0B">
            <w:pPr>
              <w:spacing w:before="60" w:after="60"/>
              <w:ind w:left="360"/>
              <w:rPr>
                <w:rFonts w:ascii="Arial" w:hAnsi="Arial" w:cs="Arial"/>
                <w:sz w:val="20"/>
                <w:szCs w:val="20"/>
              </w:rPr>
            </w:pPr>
          </w:p>
        </w:tc>
        <w:tc>
          <w:tcPr>
            <w:tcW w:w="998" w:type="pct"/>
            <w:vMerge/>
            <w:tcBorders>
              <w:bottom w:val="single" w:sz="4" w:space="0" w:color="auto"/>
            </w:tcBorders>
            <w:shd w:val="clear" w:color="auto" w:fill="auto"/>
            <w:vAlign w:val="center"/>
          </w:tcPr>
          <w:p w14:paraId="5CB61A5D" w14:textId="77777777" w:rsidR="00944BBD" w:rsidRPr="00345EB5" w:rsidRDefault="00944BBD" w:rsidP="00655685">
            <w:pPr>
              <w:pStyle w:val="ListParagraph"/>
              <w:numPr>
                <w:ilvl w:val="0"/>
                <w:numId w:val="12"/>
              </w:numPr>
              <w:spacing w:before="60" w:after="60"/>
              <w:ind w:left="0" w:hanging="397"/>
              <w:contextualSpacing w:val="0"/>
              <w:jc w:val="both"/>
              <w:rPr>
                <w:rFonts w:ascii="Arial" w:hAnsi="Arial"/>
                <w:sz w:val="20"/>
                <w:szCs w:val="20"/>
              </w:rPr>
            </w:pPr>
          </w:p>
        </w:tc>
        <w:tc>
          <w:tcPr>
            <w:tcW w:w="3084" w:type="pct"/>
            <w:shd w:val="clear" w:color="auto" w:fill="auto"/>
            <w:vAlign w:val="center"/>
          </w:tcPr>
          <w:p w14:paraId="511E4B6F" w14:textId="77777777" w:rsidR="00944BBD" w:rsidRPr="00E42343" w:rsidRDefault="00944BBD" w:rsidP="00655685">
            <w:pPr>
              <w:pStyle w:val="ListParagraph"/>
              <w:numPr>
                <w:ilvl w:val="1"/>
                <w:numId w:val="17"/>
              </w:numPr>
              <w:spacing w:before="60" w:after="60"/>
              <w:ind w:left="567" w:hanging="567"/>
              <w:contextualSpacing w:val="0"/>
              <w:rPr>
                <w:rFonts w:ascii="Arial" w:hAnsi="Arial"/>
                <w:sz w:val="20"/>
                <w:szCs w:val="20"/>
              </w:rPr>
            </w:pPr>
            <w:r w:rsidRPr="00E42343">
              <w:rPr>
                <w:rFonts w:ascii="Arial" w:hAnsi="Arial"/>
                <w:sz w:val="20"/>
                <w:szCs w:val="20"/>
              </w:rPr>
              <w:t>Des politiques et/ou des mesures juridiques et administratives en matière de développement économique inclusif</w:t>
            </w:r>
            <w:r w:rsidRPr="00E42343">
              <w:rPr>
                <w:rStyle w:val="FootnoteReference"/>
                <w:rFonts w:ascii="Arial" w:hAnsi="Arial"/>
                <w:sz w:val="20"/>
                <w:szCs w:val="20"/>
              </w:rPr>
              <w:footnoteReference w:id="8"/>
            </w:r>
            <w:r w:rsidRPr="00E42343">
              <w:rPr>
                <w:rFonts w:ascii="Arial" w:hAnsi="Arial"/>
                <w:sz w:val="20"/>
                <w:szCs w:val="20"/>
              </w:rPr>
              <w:t xml:space="preserve"> sont </w:t>
            </w:r>
            <w:r w:rsidRPr="0017287E">
              <w:rPr>
                <w:rFonts w:ascii="Arial" w:hAnsi="Arial"/>
                <w:sz w:val="20"/>
                <w:szCs w:val="20"/>
              </w:rPr>
              <w:t>adoptées</w:t>
            </w:r>
            <w:r w:rsidRPr="00E42343">
              <w:rPr>
                <w:rFonts w:ascii="Arial" w:hAnsi="Arial"/>
                <w:sz w:val="20"/>
                <w:szCs w:val="20"/>
              </w:rPr>
              <w:t xml:space="preserve"> ou révisées pour tenir compte du PCI et de sa sauvegarde.</w:t>
            </w:r>
          </w:p>
        </w:tc>
      </w:tr>
      <w:tr w:rsidR="00944BBD" w:rsidRPr="00E42343" w14:paraId="3351FA1D" w14:textId="77777777" w:rsidTr="00A82031">
        <w:trPr>
          <w:cantSplit/>
          <w:trHeight w:val="393"/>
        </w:trPr>
        <w:tc>
          <w:tcPr>
            <w:tcW w:w="918" w:type="pct"/>
            <w:vMerge/>
            <w:shd w:val="clear" w:color="auto" w:fill="auto"/>
            <w:vAlign w:val="center"/>
          </w:tcPr>
          <w:p w14:paraId="3E91DF2E" w14:textId="77777777" w:rsidR="00944BBD" w:rsidRPr="00E42343" w:rsidRDefault="00944BBD" w:rsidP="00F21C0B">
            <w:pPr>
              <w:spacing w:before="60" w:after="60"/>
              <w:ind w:left="360"/>
              <w:rPr>
                <w:rFonts w:ascii="Arial" w:hAnsi="Arial" w:cs="Arial"/>
                <w:sz w:val="20"/>
                <w:szCs w:val="20"/>
              </w:rPr>
            </w:pPr>
          </w:p>
        </w:tc>
        <w:tc>
          <w:tcPr>
            <w:tcW w:w="998" w:type="pct"/>
            <w:vMerge/>
            <w:tcBorders>
              <w:bottom w:val="single" w:sz="4" w:space="0" w:color="auto"/>
            </w:tcBorders>
            <w:shd w:val="clear" w:color="auto" w:fill="auto"/>
            <w:vAlign w:val="center"/>
          </w:tcPr>
          <w:p w14:paraId="7D2BCD63" w14:textId="77777777" w:rsidR="00944BBD" w:rsidRPr="00C67212" w:rsidRDefault="00944BBD" w:rsidP="00655685">
            <w:pPr>
              <w:pStyle w:val="ListParagraph"/>
              <w:numPr>
                <w:ilvl w:val="0"/>
                <w:numId w:val="12"/>
              </w:numPr>
              <w:spacing w:before="60" w:after="60"/>
              <w:ind w:left="0" w:hanging="397"/>
              <w:contextualSpacing w:val="0"/>
              <w:jc w:val="both"/>
              <w:rPr>
                <w:rFonts w:ascii="Arial" w:hAnsi="Arial"/>
                <w:sz w:val="20"/>
                <w:szCs w:val="20"/>
              </w:rPr>
            </w:pPr>
          </w:p>
        </w:tc>
        <w:tc>
          <w:tcPr>
            <w:tcW w:w="3084" w:type="pct"/>
            <w:shd w:val="clear" w:color="auto" w:fill="auto"/>
            <w:vAlign w:val="center"/>
          </w:tcPr>
          <w:p w14:paraId="14733B77" w14:textId="77777777" w:rsidR="00944BBD" w:rsidRPr="00E42343" w:rsidRDefault="00944BBD" w:rsidP="00655685">
            <w:pPr>
              <w:pStyle w:val="ListParagraph"/>
              <w:numPr>
                <w:ilvl w:val="1"/>
                <w:numId w:val="17"/>
              </w:numPr>
              <w:spacing w:before="60" w:after="60"/>
              <w:ind w:left="567" w:hanging="567"/>
              <w:contextualSpacing w:val="0"/>
              <w:rPr>
                <w:rFonts w:ascii="Arial" w:hAnsi="Arial"/>
                <w:sz w:val="20"/>
                <w:szCs w:val="20"/>
              </w:rPr>
            </w:pPr>
            <w:r w:rsidRPr="00E42343">
              <w:rPr>
                <w:rFonts w:ascii="Arial" w:hAnsi="Arial"/>
                <w:sz w:val="20"/>
                <w:szCs w:val="20"/>
              </w:rPr>
              <w:t>Des mesures ou incitations financières ou fiscales favorables sont adoptées ou révisées pour faciliter et/ou encourager la pratique et la transmission du PCI et accroître la disponibilité des ressources naturelles et autres nécessaires à sa pratique.</w:t>
            </w:r>
          </w:p>
        </w:tc>
      </w:tr>
      <w:tr w:rsidR="00944BBD" w:rsidRPr="00E42343" w14:paraId="2803C3EB" w14:textId="77777777" w:rsidTr="00A82031">
        <w:trPr>
          <w:cantSplit/>
        </w:trPr>
        <w:tc>
          <w:tcPr>
            <w:tcW w:w="918" w:type="pct"/>
            <w:vMerge/>
            <w:shd w:val="clear" w:color="auto" w:fill="auto"/>
            <w:vAlign w:val="center"/>
          </w:tcPr>
          <w:p w14:paraId="6AF4FBC1" w14:textId="77777777" w:rsidR="00944BBD" w:rsidRPr="00E42343" w:rsidRDefault="00944BBD" w:rsidP="00F21C0B">
            <w:pPr>
              <w:spacing w:before="60" w:after="60"/>
              <w:rPr>
                <w:rFonts w:ascii="Arial" w:hAnsi="Arial" w:cs="Arial"/>
                <w:sz w:val="20"/>
                <w:szCs w:val="20"/>
              </w:rPr>
            </w:pPr>
          </w:p>
        </w:tc>
        <w:tc>
          <w:tcPr>
            <w:tcW w:w="998" w:type="pct"/>
            <w:vMerge w:val="restart"/>
            <w:tcBorders>
              <w:top w:val="single" w:sz="4" w:space="0" w:color="auto"/>
            </w:tcBorders>
            <w:shd w:val="clear" w:color="auto" w:fill="auto"/>
            <w:vAlign w:val="center"/>
          </w:tcPr>
          <w:p w14:paraId="536B176B" w14:textId="1A2BE6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ainsi que</w:t>
            </w:r>
            <w:r w:rsidRPr="00E42343">
              <w:rPr>
                <w:rFonts w:ascii="Arial" w:hAnsi="Arial"/>
                <w:sz w:val="20"/>
                <w:szCs w:val="20"/>
              </w:rPr>
              <w:t xml:space="preserve"> les mesures juridiques et administratives respectent les droits, pratiques et expressions coutumiers, en particulier en ce qui concerne la pratique et la transmission du PCI</w:t>
            </w:r>
          </w:p>
        </w:tc>
        <w:tc>
          <w:tcPr>
            <w:tcW w:w="3084" w:type="pct"/>
            <w:shd w:val="clear" w:color="auto" w:fill="auto"/>
            <w:vAlign w:val="center"/>
          </w:tcPr>
          <w:p w14:paraId="4E6E4AE6" w14:textId="77777777" w:rsidR="00944BBD" w:rsidRPr="00E42343" w:rsidRDefault="00944BBD" w:rsidP="00655685">
            <w:pPr>
              <w:pStyle w:val="ListParagraph"/>
              <w:numPr>
                <w:ilvl w:val="1"/>
                <w:numId w:val="29"/>
              </w:numPr>
              <w:spacing w:before="60" w:after="60"/>
              <w:ind w:left="567" w:hanging="567"/>
              <w:contextualSpacing w:val="0"/>
              <w:rPr>
                <w:rFonts w:ascii="Arial" w:hAnsi="Arial"/>
                <w:vanish/>
                <w:sz w:val="20"/>
                <w:szCs w:val="20"/>
              </w:rPr>
            </w:pPr>
            <w:r w:rsidRPr="00E42343">
              <w:rPr>
                <w:rFonts w:ascii="Arial" w:hAnsi="Arial"/>
                <w:sz w:val="20"/>
                <w:szCs w:val="20"/>
              </w:rPr>
              <w:t>Des formes de protection juridique, telles que les droits de propriété intellectuelle et du droit au respect de la vie privée, sont reconnus aux détenteurs et praticiens du PCI et leurs communautés, lorsque leur PCI est exploité par des tierces parties à des fins commerciales ou autres.</w:t>
            </w:r>
          </w:p>
        </w:tc>
      </w:tr>
      <w:tr w:rsidR="00944BBD" w:rsidRPr="00E42343" w14:paraId="0619DA60" w14:textId="77777777" w:rsidTr="00A82031">
        <w:trPr>
          <w:cantSplit/>
        </w:trPr>
        <w:tc>
          <w:tcPr>
            <w:tcW w:w="918" w:type="pct"/>
            <w:vMerge/>
            <w:shd w:val="clear" w:color="auto" w:fill="auto"/>
            <w:vAlign w:val="center"/>
          </w:tcPr>
          <w:p w14:paraId="337FDB19" w14:textId="77777777" w:rsidR="00944BBD" w:rsidRPr="00E42343" w:rsidRDefault="00944BBD" w:rsidP="00F21C0B">
            <w:pPr>
              <w:spacing w:before="60" w:after="60"/>
              <w:ind w:left="360"/>
              <w:rPr>
                <w:rFonts w:ascii="Arial" w:hAnsi="Arial" w:cs="Arial"/>
                <w:sz w:val="20"/>
                <w:szCs w:val="20"/>
              </w:rPr>
            </w:pPr>
          </w:p>
        </w:tc>
        <w:tc>
          <w:tcPr>
            <w:tcW w:w="998" w:type="pct"/>
            <w:vMerge/>
            <w:shd w:val="clear" w:color="auto" w:fill="auto"/>
            <w:vAlign w:val="center"/>
          </w:tcPr>
          <w:p w14:paraId="4B0527EC"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1FD95A69" w14:textId="77777777" w:rsidR="00944BBD" w:rsidRPr="00E42343" w:rsidRDefault="00944BBD" w:rsidP="00655685">
            <w:pPr>
              <w:pStyle w:val="ListParagraph"/>
              <w:numPr>
                <w:ilvl w:val="1"/>
                <w:numId w:val="29"/>
              </w:numPr>
              <w:spacing w:before="60" w:after="60"/>
              <w:ind w:left="567" w:hanging="567"/>
              <w:contextualSpacing w:val="0"/>
              <w:rPr>
                <w:rFonts w:ascii="Arial" w:hAnsi="Arial"/>
                <w:sz w:val="20"/>
                <w:szCs w:val="20"/>
              </w:rPr>
            </w:pPr>
            <w:r w:rsidRPr="00E42343">
              <w:rPr>
                <w:rFonts w:ascii="Arial" w:hAnsi="Arial"/>
                <w:sz w:val="20"/>
                <w:szCs w:val="20"/>
              </w:rPr>
              <w:t>L</w:t>
            </w:r>
            <w:r>
              <w:rPr>
                <w:rFonts w:ascii="Arial" w:hAnsi="Arial"/>
                <w:sz w:val="20"/>
                <w:szCs w:val="20"/>
              </w:rPr>
              <w:t>’</w:t>
            </w:r>
            <w:r w:rsidRPr="00E42343">
              <w:rPr>
                <w:rFonts w:ascii="Arial" w:hAnsi="Arial"/>
                <w:sz w:val="20"/>
                <w:szCs w:val="20"/>
              </w:rPr>
              <w:t>importance des droits coutumiers des communautés et des groupes sur les écosystèmes terrestres, maritimes et forestiers nécessaires à la pratique et la transmission du PCI est reconnue dans les politiques et/ou</w:t>
            </w:r>
            <w:r>
              <w:rPr>
                <w:rFonts w:ascii="Arial" w:hAnsi="Arial"/>
                <w:sz w:val="20"/>
                <w:szCs w:val="20"/>
              </w:rPr>
              <w:t xml:space="preserve"> les </w:t>
            </w:r>
            <w:r w:rsidRPr="00E42343">
              <w:rPr>
                <w:rFonts w:ascii="Arial" w:hAnsi="Arial"/>
                <w:sz w:val="20"/>
                <w:szCs w:val="20"/>
              </w:rPr>
              <w:t>mesures juridiques et administratives.</w:t>
            </w:r>
          </w:p>
        </w:tc>
      </w:tr>
      <w:tr w:rsidR="00944BBD" w:rsidRPr="00E42343" w14:paraId="6EC5AEC8" w14:textId="77777777" w:rsidTr="00A82031">
        <w:trPr>
          <w:cantSplit/>
        </w:trPr>
        <w:tc>
          <w:tcPr>
            <w:tcW w:w="918" w:type="pct"/>
            <w:vMerge/>
            <w:shd w:val="clear" w:color="auto" w:fill="auto"/>
            <w:vAlign w:val="center"/>
          </w:tcPr>
          <w:p w14:paraId="28DB3A7E" w14:textId="77777777" w:rsidR="00944BBD" w:rsidRPr="00E42343" w:rsidRDefault="00944BBD" w:rsidP="00F21C0B">
            <w:pPr>
              <w:spacing w:before="60" w:after="60"/>
              <w:ind w:left="360"/>
              <w:rPr>
                <w:rFonts w:ascii="Arial" w:hAnsi="Arial" w:cs="Arial"/>
                <w:sz w:val="20"/>
                <w:szCs w:val="20"/>
              </w:rPr>
            </w:pPr>
          </w:p>
        </w:tc>
        <w:tc>
          <w:tcPr>
            <w:tcW w:w="998" w:type="pct"/>
            <w:vMerge/>
            <w:shd w:val="clear" w:color="auto" w:fill="auto"/>
            <w:vAlign w:val="center"/>
          </w:tcPr>
          <w:p w14:paraId="7D5FAE4A"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5AAE47C4" w14:textId="77777777" w:rsidR="00944BBD" w:rsidRPr="00E42343" w:rsidRDefault="00944BBD" w:rsidP="00655685">
            <w:pPr>
              <w:pStyle w:val="ListParagraph"/>
              <w:numPr>
                <w:ilvl w:val="1"/>
                <w:numId w:val="29"/>
              </w:numPr>
              <w:spacing w:before="60" w:after="60"/>
              <w:ind w:left="567" w:hanging="567"/>
              <w:contextualSpacing w:val="0"/>
              <w:rPr>
                <w:rFonts w:ascii="Arial" w:hAnsi="Arial"/>
                <w:sz w:val="20"/>
                <w:szCs w:val="20"/>
              </w:rPr>
            </w:pPr>
            <w:r w:rsidRPr="00E42343">
              <w:rPr>
                <w:rFonts w:ascii="Arial" w:hAnsi="Arial"/>
                <w:sz w:val="20"/>
                <w:szCs w:val="20"/>
              </w:rPr>
              <w:t xml:space="preserve">Les politiques et/ou </w:t>
            </w:r>
            <w:r>
              <w:rPr>
                <w:rFonts w:ascii="Arial" w:hAnsi="Arial"/>
                <w:sz w:val="20"/>
                <w:szCs w:val="20"/>
              </w:rPr>
              <w:t xml:space="preserve">les </w:t>
            </w:r>
            <w:r w:rsidRPr="00E42343">
              <w:rPr>
                <w:rFonts w:ascii="Arial" w:hAnsi="Arial"/>
                <w:sz w:val="20"/>
                <w:szCs w:val="20"/>
              </w:rPr>
              <w:t>mesures juridiques et administratives</w:t>
            </w:r>
            <w:r>
              <w:rPr>
                <w:rFonts w:ascii="Arial" w:hAnsi="Arial"/>
                <w:sz w:val="20"/>
                <w:szCs w:val="20"/>
              </w:rPr>
              <w:t xml:space="preserve"> </w:t>
            </w:r>
            <w:r w:rsidRPr="00E42343">
              <w:rPr>
                <w:rFonts w:ascii="Arial" w:hAnsi="Arial"/>
                <w:sz w:val="20"/>
                <w:szCs w:val="20"/>
              </w:rPr>
              <w:t>reconnaissent les expressions, les pratiques et les représentations du PCI qui contribuent à la prévention des différends et à la résolution pacifique des conflits.</w:t>
            </w:r>
          </w:p>
        </w:tc>
      </w:tr>
      <w:tr w:rsidR="00944BBD" w:rsidRPr="00E42343" w14:paraId="0AE681B7" w14:textId="77777777" w:rsidTr="00A82031">
        <w:trPr>
          <w:cantSplit/>
        </w:trPr>
        <w:tc>
          <w:tcPr>
            <w:tcW w:w="918" w:type="pct"/>
            <w:vMerge w:val="restart"/>
            <w:shd w:val="clear" w:color="auto" w:fill="auto"/>
            <w:vAlign w:val="center"/>
          </w:tcPr>
          <w:p w14:paraId="30CF1C34" w14:textId="77777777" w:rsidR="00944BBD" w:rsidRPr="00E42343" w:rsidRDefault="00944BBD" w:rsidP="00F21C0B">
            <w:pPr>
              <w:spacing w:before="60" w:after="60"/>
              <w:rPr>
                <w:rFonts w:ascii="Arial" w:hAnsi="Arial" w:cs="Arial"/>
                <w:sz w:val="20"/>
                <w:szCs w:val="20"/>
              </w:rPr>
            </w:pPr>
            <w:r w:rsidRPr="00E42343">
              <w:rPr>
                <w:rFonts w:ascii="Arial" w:hAnsi="Arial" w:cs="Arial"/>
                <w:b/>
                <w:sz w:val="20"/>
                <w:szCs w:val="20"/>
              </w:rPr>
              <w:t xml:space="preserve">Rôle du </w:t>
            </w:r>
            <w:r>
              <w:rPr>
                <w:rFonts w:ascii="Arial" w:hAnsi="Arial" w:cs="Arial"/>
                <w:b/>
                <w:sz w:val="20"/>
                <w:szCs w:val="20"/>
              </w:rPr>
              <w:t>patrimoine culturel immatériel</w:t>
            </w:r>
            <w:r w:rsidRPr="00E42343">
              <w:rPr>
                <w:rFonts w:ascii="Arial" w:hAnsi="Arial" w:cs="Arial"/>
                <w:b/>
                <w:sz w:val="20"/>
                <w:szCs w:val="20"/>
              </w:rPr>
              <w:t xml:space="preserve"> et de sa sauvegarde dans la société</w:t>
            </w:r>
          </w:p>
        </w:tc>
        <w:tc>
          <w:tcPr>
            <w:tcW w:w="998" w:type="pct"/>
            <w:vMerge w:val="restart"/>
            <w:shd w:val="clear" w:color="auto" w:fill="auto"/>
            <w:vAlign w:val="center"/>
          </w:tcPr>
          <w:p w14:paraId="1479BFF3"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w:t>
            </w:r>
            <w:r>
              <w:rPr>
                <w:rFonts w:ascii="Arial" w:hAnsi="Arial"/>
                <w:sz w:val="20"/>
                <w:szCs w:val="20"/>
              </w:rPr>
              <w:t>’</w:t>
            </w:r>
            <w:r w:rsidRPr="00E42343">
              <w:rPr>
                <w:rFonts w:ascii="Arial" w:hAnsi="Arial"/>
                <w:sz w:val="20"/>
                <w:szCs w:val="20"/>
              </w:rPr>
              <w:t>importance du PCI et sa sauvegarde dans la société est reconnue, tant par les communautés, les groupes et les individus concernés</w:t>
            </w:r>
            <w:r>
              <w:rPr>
                <w:rFonts w:ascii="Arial" w:hAnsi="Arial"/>
                <w:sz w:val="20"/>
                <w:szCs w:val="20"/>
              </w:rPr>
              <w:t>,</w:t>
            </w:r>
            <w:r w:rsidRPr="00E42343">
              <w:rPr>
                <w:rFonts w:ascii="Arial" w:hAnsi="Arial"/>
                <w:sz w:val="20"/>
                <w:szCs w:val="20"/>
              </w:rPr>
              <w:t xml:space="preserve"> que par la société en général</w:t>
            </w:r>
          </w:p>
        </w:tc>
        <w:tc>
          <w:tcPr>
            <w:tcW w:w="3084" w:type="pct"/>
            <w:shd w:val="clear" w:color="auto" w:fill="auto"/>
            <w:vAlign w:val="center"/>
          </w:tcPr>
          <w:p w14:paraId="1DC58494" w14:textId="77777777" w:rsidR="00944BBD" w:rsidRPr="00E42343" w:rsidRDefault="00944BBD" w:rsidP="00655685">
            <w:pPr>
              <w:pStyle w:val="ListParagraph"/>
              <w:numPr>
                <w:ilvl w:val="1"/>
                <w:numId w:val="30"/>
              </w:numPr>
              <w:spacing w:before="60" w:after="60"/>
              <w:ind w:left="567" w:hanging="567"/>
              <w:contextualSpacing w:val="0"/>
              <w:rPr>
                <w:rFonts w:ascii="Arial" w:hAnsi="Arial"/>
                <w:vanish/>
                <w:sz w:val="20"/>
                <w:szCs w:val="20"/>
              </w:rPr>
            </w:pPr>
            <w:r w:rsidRPr="00E42343">
              <w:rPr>
                <w:rFonts w:ascii="Arial" w:hAnsi="Arial"/>
                <w:sz w:val="20"/>
                <w:szCs w:val="20"/>
              </w:rPr>
              <w:t>Les communautés, les groupes et les individus utilisent leur PCI pour leur bien-être, y compris dans le contexte de programmes de développement durable.</w:t>
            </w:r>
          </w:p>
        </w:tc>
      </w:tr>
      <w:tr w:rsidR="00944BBD" w:rsidRPr="00E42343" w14:paraId="32D58750" w14:textId="77777777" w:rsidTr="00A82031">
        <w:trPr>
          <w:cantSplit/>
        </w:trPr>
        <w:tc>
          <w:tcPr>
            <w:tcW w:w="918" w:type="pct"/>
            <w:vMerge/>
            <w:shd w:val="clear" w:color="auto" w:fill="auto"/>
            <w:vAlign w:val="center"/>
          </w:tcPr>
          <w:p w14:paraId="480AFB15"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684F37E8" w14:textId="77777777" w:rsidR="00944BBD" w:rsidRPr="00E42343" w:rsidRDefault="00944BBD" w:rsidP="00655685">
            <w:pPr>
              <w:pStyle w:val="ListParagraph"/>
              <w:numPr>
                <w:ilvl w:val="0"/>
                <w:numId w:val="12"/>
              </w:numPr>
              <w:spacing w:before="60" w:after="60"/>
              <w:ind w:left="370" w:hanging="397"/>
              <w:contextualSpacing w:val="0"/>
              <w:jc w:val="both"/>
              <w:rPr>
                <w:rFonts w:ascii="Arial" w:hAnsi="Arial"/>
                <w:sz w:val="20"/>
                <w:szCs w:val="20"/>
              </w:rPr>
            </w:pPr>
          </w:p>
        </w:tc>
        <w:tc>
          <w:tcPr>
            <w:tcW w:w="3084" w:type="pct"/>
            <w:shd w:val="clear" w:color="auto" w:fill="auto"/>
            <w:vAlign w:val="center"/>
          </w:tcPr>
          <w:p w14:paraId="4220B2F9" w14:textId="77777777" w:rsidR="00944BBD" w:rsidRPr="00E42343" w:rsidRDefault="00944BBD" w:rsidP="00655685">
            <w:pPr>
              <w:pStyle w:val="ListParagraph"/>
              <w:numPr>
                <w:ilvl w:val="1"/>
                <w:numId w:val="30"/>
              </w:numPr>
              <w:spacing w:before="60" w:after="60"/>
              <w:ind w:left="567" w:hanging="567"/>
              <w:contextualSpacing w:val="0"/>
              <w:rPr>
                <w:rFonts w:ascii="Arial" w:hAnsi="Arial"/>
                <w:sz w:val="20"/>
                <w:szCs w:val="20"/>
              </w:rPr>
            </w:pPr>
            <w:r w:rsidRPr="00E42343">
              <w:rPr>
                <w:rFonts w:ascii="Arial" w:hAnsi="Arial"/>
                <w:sz w:val="20"/>
                <w:szCs w:val="20"/>
              </w:rPr>
              <w:t>Les communautés, les groupes et les individus utilisent leur PCI pour le dialogue en vue de promouvoir le respect mutuel, la résolution des conflits et la consolidation de la paix.</w:t>
            </w:r>
            <w:r>
              <w:rPr>
                <w:rFonts w:ascii="Arial" w:hAnsi="Arial"/>
                <w:sz w:val="20"/>
                <w:szCs w:val="20"/>
              </w:rPr>
              <w:t xml:space="preserve"> </w:t>
            </w:r>
          </w:p>
        </w:tc>
      </w:tr>
      <w:tr w:rsidR="00944BBD" w:rsidRPr="00E42343" w14:paraId="6EE89123" w14:textId="77777777" w:rsidTr="00A82031">
        <w:trPr>
          <w:cantSplit/>
          <w:trHeight w:val="1000"/>
        </w:trPr>
        <w:tc>
          <w:tcPr>
            <w:tcW w:w="918" w:type="pct"/>
            <w:vMerge/>
            <w:shd w:val="clear" w:color="auto" w:fill="auto"/>
            <w:vAlign w:val="center"/>
          </w:tcPr>
          <w:p w14:paraId="44B4C80D"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666B7935" w14:textId="77777777" w:rsidR="00944BBD" w:rsidRPr="00E42343" w:rsidRDefault="00944BBD" w:rsidP="00655685">
            <w:pPr>
              <w:pStyle w:val="ListParagraph"/>
              <w:numPr>
                <w:ilvl w:val="0"/>
                <w:numId w:val="12"/>
              </w:numPr>
              <w:spacing w:before="60" w:after="60"/>
              <w:ind w:left="370" w:hanging="397"/>
              <w:contextualSpacing w:val="0"/>
              <w:jc w:val="both"/>
              <w:rPr>
                <w:rFonts w:ascii="Arial" w:hAnsi="Arial"/>
                <w:sz w:val="20"/>
                <w:szCs w:val="20"/>
              </w:rPr>
            </w:pPr>
          </w:p>
        </w:tc>
        <w:tc>
          <w:tcPr>
            <w:tcW w:w="3084" w:type="pct"/>
            <w:shd w:val="clear" w:color="auto" w:fill="auto"/>
            <w:vAlign w:val="center"/>
          </w:tcPr>
          <w:p w14:paraId="4415C1F7" w14:textId="77777777" w:rsidR="00944BBD" w:rsidRPr="00E42343" w:rsidRDefault="00944BBD" w:rsidP="00655685">
            <w:pPr>
              <w:pStyle w:val="ListParagraph"/>
              <w:numPr>
                <w:ilvl w:val="1"/>
                <w:numId w:val="30"/>
              </w:numPr>
              <w:spacing w:before="60" w:after="60"/>
              <w:ind w:left="567" w:hanging="567"/>
              <w:contextualSpacing w:val="0"/>
              <w:rPr>
                <w:rFonts w:ascii="Arial" w:hAnsi="Arial"/>
                <w:sz w:val="20"/>
                <w:szCs w:val="20"/>
              </w:rPr>
            </w:pPr>
            <w:r w:rsidRPr="00E42343">
              <w:rPr>
                <w:rFonts w:ascii="Arial" w:hAnsi="Arial"/>
                <w:sz w:val="20"/>
                <w:szCs w:val="20"/>
              </w:rPr>
              <w:t>Les interventions de développement reconnaissent l</w:t>
            </w:r>
            <w:r>
              <w:rPr>
                <w:rFonts w:ascii="Arial" w:hAnsi="Arial"/>
                <w:sz w:val="20"/>
                <w:szCs w:val="20"/>
              </w:rPr>
              <w:t>’</w:t>
            </w:r>
            <w:r w:rsidRPr="00E42343">
              <w:rPr>
                <w:rFonts w:ascii="Arial" w:hAnsi="Arial"/>
                <w:sz w:val="20"/>
                <w:szCs w:val="20"/>
              </w:rPr>
              <w:t>importance du PCI dans la société en tant que source d</w:t>
            </w:r>
            <w:r>
              <w:rPr>
                <w:rFonts w:ascii="Arial" w:hAnsi="Arial"/>
                <w:sz w:val="20"/>
                <w:szCs w:val="20"/>
              </w:rPr>
              <w:t>’</w:t>
            </w:r>
            <w:r w:rsidRPr="00E42343">
              <w:rPr>
                <w:rFonts w:ascii="Arial" w:hAnsi="Arial"/>
                <w:sz w:val="20"/>
                <w:szCs w:val="20"/>
              </w:rPr>
              <w:t>identité et de continuité</w:t>
            </w:r>
            <w:r>
              <w:rPr>
                <w:rFonts w:ascii="Arial" w:hAnsi="Arial"/>
                <w:sz w:val="20"/>
                <w:szCs w:val="20"/>
              </w:rPr>
              <w:t xml:space="preserve"> ainsi que de connaissances et de savoir-faire, </w:t>
            </w:r>
            <w:r w:rsidRPr="00E42343">
              <w:rPr>
                <w:rFonts w:ascii="Arial" w:hAnsi="Arial"/>
                <w:sz w:val="20"/>
                <w:szCs w:val="20"/>
              </w:rPr>
              <w:t>et renforcent</w:t>
            </w:r>
            <w:r>
              <w:rPr>
                <w:rFonts w:ascii="Arial" w:hAnsi="Arial"/>
                <w:sz w:val="20"/>
                <w:szCs w:val="20"/>
              </w:rPr>
              <w:t xml:space="preserve"> son rôle en tant que ressource </w:t>
            </w:r>
            <w:r w:rsidRPr="00E42343">
              <w:rPr>
                <w:rFonts w:ascii="Arial" w:hAnsi="Arial"/>
                <w:sz w:val="20"/>
                <w:szCs w:val="20"/>
              </w:rPr>
              <w:t>pour permettre le développement durable.</w:t>
            </w:r>
          </w:p>
        </w:tc>
      </w:tr>
      <w:tr w:rsidR="00944BBD" w:rsidRPr="00052470" w14:paraId="32002A20" w14:textId="77777777" w:rsidTr="00A82031">
        <w:trPr>
          <w:cantSplit/>
        </w:trPr>
        <w:tc>
          <w:tcPr>
            <w:tcW w:w="918" w:type="pct"/>
            <w:vMerge/>
            <w:shd w:val="clear" w:color="auto" w:fill="auto"/>
            <w:vAlign w:val="center"/>
          </w:tcPr>
          <w:p w14:paraId="6B14D284" w14:textId="77777777" w:rsidR="00944BBD" w:rsidRPr="00E42343" w:rsidRDefault="00944BBD" w:rsidP="00F21C0B">
            <w:pPr>
              <w:spacing w:before="60" w:after="60"/>
              <w:rPr>
                <w:rFonts w:ascii="Arial" w:hAnsi="Arial" w:cs="Arial"/>
                <w:b/>
                <w:sz w:val="20"/>
                <w:szCs w:val="20"/>
              </w:rPr>
            </w:pPr>
          </w:p>
        </w:tc>
        <w:tc>
          <w:tcPr>
            <w:tcW w:w="998" w:type="pct"/>
            <w:vMerge w:val="restart"/>
            <w:shd w:val="clear" w:color="auto" w:fill="auto"/>
            <w:vAlign w:val="center"/>
          </w:tcPr>
          <w:p w14:paraId="18DCF3E3"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w:t>
            </w:r>
            <w:r>
              <w:rPr>
                <w:rFonts w:ascii="Arial" w:hAnsi="Arial"/>
                <w:sz w:val="20"/>
                <w:szCs w:val="20"/>
              </w:rPr>
              <w:t>’</w:t>
            </w:r>
            <w:r w:rsidRPr="00E42343">
              <w:rPr>
                <w:rFonts w:ascii="Arial" w:hAnsi="Arial"/>
                <w:sz w:val="20"/>
                <w:szCs w:val="20"/>
              </w:rPr>
              <w:t>importance de la sauvegarde du PCI est reconnue à travers des plans et des programmes inclusifs qui favorisent le respect de soi et le respect mutuel</w:t>
            </w:r>
          </w:p>
        </w:tc>
        <w:tc>
          <w:tcPr>
            <w:tcW w:w="3084" w:type="pct"/>
            <w:shd w:val="clear" w:color="auto" w:fill="auto"/>
            <w:vAlign w:val="center"/>
          </w:tcPr>
          <w:p w14:paraId="6F850E86" w14:textId="77777777" w:rsidR="00944BBD" w:rsidRPr="00E42343" w:rsidRDefault="00944BBD" w:rsidP="00655685">
            <w:pPr>
              <w:pStyle w:val="ListParagraph"/>
              <w:numPr>
                <w:ilvl w:val="1"/>
                <w:numId w:val="31"/>
              </w:numPr>
              <w:spacing w:before="60" w:after="60"/>
              <w:ind w:left="567" w:hanging="567"/>
              <w:contextualSpacing w:val="0"/>
              <w:rPr>
                <w:rFonts w:ascii="Arial" w:hAnsi="Arial"/>
                <w:vanish/>
                <w:sz w:val="20"/>
                <w:szCs w:val="20"/>
              </w:rPr>
            </w:pPr>
            <w:r w:rsidRPr="00E42343">
              <w:rPr>
                <w:rFonts w:ascii="Arial" w:hAnsi="Arial"/>
                <w:sz w:val="20"/>
                <w:szCs w:val="20"/>
              </w:rPr>
              <w:t>Les plans et les programmes de sauvegarde du PCI intègrent tous les secteurs et couches de la société, y compris, sans toutefois s</w:t>
            </w:r>
            <w:r>
              <w:rPr>
                <w:rFonts w:ascii="Arial" w:hAnsi="Arial"/>
                <w:sz w:val="20"/>
                <w:szCs w:val="20"/>
              </w:rPr>
              <w:t>’</w:t>
            </w:r>
            <w:r w:rsidRPr="00E42343">
              <w:rPr>
                <w:rFonts w:ascii="Arial" w:hAnsi="Arial"/>
                <w:sz w:val="20"/>
                <w:szCs w:val="20"/>
              </w:rPr>
              <w:t>y limiter :</w:t>
            </w:r>
          </w:p>
          <w:p w14:paraId="5E8B1A52" w14:textId="461778F1" w:rsidR="00944BBD" w:rsidRPr="00E42343" w:rsidRDefault="00944BBD" w:rsidP="00655685">
            <w:pPr>
              <w:pStyle w:val="ListParagraph"/>
              <w:numPr>
                <w:ilvl w:val="0"/>
                <w:numId w:val="13"/>
              </w:numPr>
              <w:spacing w:before="60" w:after="60"/>
              <w:ind w:left="971" w:hanging="283"/>
              <w:contextualSpacing w:val="0"/>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w:t>
            </w:r>
            <w:r>
              <w:rPr>
                <w:rFonts w:ascii="Arial" w:hAnsi="Arial"/>
                <w:sz w:val="20"/>
                <w:szCs w:val="20"/>
              </w:rPr>
              <w:t xml:space="preserve">peuples </w:t>
            </w:r>
            <w:r w:rsidRPr="00E42343">
              <w:rPr>
                <w:rFonts w:ascii="Arial" w:hAnsi="Arial"/>
                <w:sz w:val="20"/>
                <w:szCs w:val="20"/>
              </w:rPr>
              <w:t>autochtones ;</w:t>
            </w:r>
          </w:p>
          <w:p w14:paraId="197DAE82" w14:textId="3C8E66F2" w:rsidR="00944BBD" w:rsidRPr="007B3E48" w:rsidRDefault="00944BBD" w:rsidP="00655685">
            <w:pPr>
              <w:pStyle w:val="ListParagraph"/>
              <w:numPr>
                <w:ilvl w:val="0"/>
                <w:numId w:val="13"/>
              </w:numPr>
              <w:spacing w:before="60" w:after="60"/>
              <w:ind w:left="971" w:hanging="283"/>
              <w:contextualSpacing w:val="0"/>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groupes avec des identités ethniques différentes ;</w:t>
            </w:r>
          </w:p>
          <w:p w14:paraId="059C683A" w14:textId="77777777" w:rsidR="00944BBD" w:rsidRPr="00E42343" w:rsidRDefault="00944BBD" w:rsidP="00655685">
            <w:pPr>
              <w:pStyle w:val="ListParagraph"/>
              <w:numPr>
                <w:ilvl w:val="0"/>
                <w:numId w:val="13"/>
              </w:numPr>
              <w:spacing w:before="60" w:after="60"/>
              <w:ind w:left="971" w:hanging="283"/>
              <w:contextualSpacing w:val="0"/>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migrants, immigrants et réfugiés ;</w:t>
            </w:r>
          </w:p>
          <w:p w14:paraId="5C5738FC" w14:textId="77777777" w:rsidR="00944BBD" w:rsidRPr="00E42343" w:rsidRDefault="00944BBD" w:rsidP="00655685">
            <w:pPr>
              <w:pStyle w:val="ListParagraph"/>
              <w:numPr>
                <w:ilvl w:val="0"/>
                <w:numId w:val="13"/>
              </w:numPr>
              <w:spacing w:before="60" w:after="60"/>
              <w:ind w:left="971" w:hanging="283"/>
              <w:contextualSpacing w:val="0"/>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personnes de différents âges ;</w:t>
            </w:r>
          </w:p>
          <w:p w14:paraId="1931F311" w14:textId="77777777" w:rsidR="00944BBD" w:rsidRPr="00E42343" w:rsidRDefault="00944BBD" w:rsidP="00655685">
            <w:pPr>
              <w:pStyle w:val="ListParagraph"/>
              <w:numPr>
                <w:ilvl w:val="0"/>
                <w:numId w:val="13"/>
              </w:numPr>
              <w:spacing w:before="60" w:after="60"/>
              <w:ind w:left="971" w:hanging="283"/>
              <w:contextualSpacing w:val="0"/>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personnes de différents genres ;</w:t>
            </w:r>
          </w:p>
          <w:p w14:paraId="2C468CA6" w14:textId="77777777" w:rsidR="00944BBD" w:rsidRPr="00E42343" w:rsidRDefault="00944BBD" w:rsidP="00655685">
            <w:pPr>
              <w:pStyle w:val="ListParagraph"/>
              <w:numPr>
                <w:ilvl w:val="0"/>
                <w:numId w:val="13"/>
              </w:numPr>
              <w:spacing w:before="60" w:after="60"/>
              <w:ind w:left="971" w:hanging="283"/>
              <w:contextualSpacing w:val="0"/>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personnes</w:t>
            </w:r>
            <w:r w:rsidDel="00FF2D83">
              <w:rPr>
                <w:rFonts w:ascii="Arial" w:hAnsi="Arial"/>
                <w:sz w:val="20"/>
                <w:szCs w:val="20"/>
              </w:rPr>
              <w:t xml:space="preserve"> </w:t>
            </w:r>
            <w:r>
              <w:rPr>
                <w:rFonts w:ascii="Arial" w:hAnsi="Arial"/>
                <w:sz w:val="20"/>
                <w:szCs w:val="20"/>
              </w:rPr>
              <w:t>en situation de handicap </w:t>
            </w:r>
            <w:r w:rsidRPr="00E42343">
              <w:rPr>
                <w:rFonts w:ascii="Arial" w:hAnsi="Arial"/>
                <w:sz w:val="20"/>
                <w:szCs w:val="20"/>
              </w:rPr>
              <w:t>;</w:t>
            </w:r>
          </w:p>
          <w:p w14:paraId="298E7BFF" w14:textId="77777777" w:rsidR="00944BBD" w:rsidRPr="00E42343" w:rsidRDefault="00944BBD" w:rsidP="00655685">
            <w:pPr>
              <w:pStyle w:val="ListParagraph"/>
              <w:numPr>
                <w:ilvl w:val="0"/>
                <w:numId w:val="13"/>
              </w:numPr>
              <w:spacing w:before="60" w:after="60"/>
              <w:ind w:left="971" w:hanging="283"/>
              <w:contextualSpacing w:val="0"/>
              <w:rPr>
                <w:rFonts w:ascii="Arial" w:hAnsi="Arial"/>
                <w:sz w:val="20"/>
                <w:szCs w:val="20"/>
              </w:rPr>
            </w:pPr>
            <w:r w:rsidRPr="00E42343">
              <w:rPr>
                <w:rFonts w:ascii="Arial" w:hAnsi="Arial"/>
                <w:sz w:val="20"/>
                <w:szCs w:val="20"/>
              </w:rPr>
              <w:t>les membres des groupes vulnérables.</w:t>
            </w:r>
          </w:p>
        </w:tc>
      </w:tr>
      <w:tr w:rsidR="00944BBD" w:rsidRPr="00052470" w14:paraId="1310ADC2" w14:textId="77777777" w:rsidTr="00A82031">
        <w:trPr>
          <w:cantSplit/>
        </w:trPr>
        <w:tc>
          <w:tcPr>
            <w:tcW w:w="918" w:type="pct"/>
            <w:vMerge/>
            <w:shd w:val="clear" w:color="auto" w:fill="auto"/>
            <w:vAlign w:val="center"/>
          </w:tcPr>
          <w:p w14:paraId="4B5CEAE9" w14:textId="77777777" w:rsidR="00944BBD" w:rsidRPr="003074FE" w:rsidRDefault="00944BBD" w:rsidP="00F21C0B">
            <w:pPr>
              <w:spacing w:before="60" w:after="60"/>
              <w:rPr>
                <w:rFonts w:ascii="Arial" w:hAnsi="Arial" w:cs="Arial"/>
                <w:b/>
                <w:sz w:val="20"/>
                <w:szCs w:val="20"/>
              </w:rPr>
            </w:pPr>
          </w:p>
        </w:tc>
        <w:tc>
          <w:tcPr>
            <w:tcW w:w="998" w:type="pct"/>
            <w:vMerge/>
            <w:shd w:val="clear" w:color="auto" w:fill="auto"/>
            <w:vAlign w:val="center"/>
          </w:tcPr>
          <w:p w14:paraId="46ACCBF4"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6E192B47" w14:textId="77777777" w:rsidR="00944BBD" w:rsidRPr="00E42343" w:rsidRDefault="00944BBD" w:rsidP="00655685">
            <w:pPr>
              <w:pStyle w:val="ListParagraph"/>
              <w:numPr>
                <w:ilvl w:val="1"/>
                <w:numId w:val="31"/>
              </w:numPr>
              <w:spacing w:before="60" w:after="60"/>
              <w:ind w:left="567" w:hanging="567"/>
              <w:contextualSpacing w:val="0"/>
              <w:rPr>
                <w:rFonts w:ascii="Arial" w:hAnsi="Arial"/>
                <w:sz w:val="20"/>
                <w:szCs w:val="20"/>
              </w:rPr>
            </w:pPr>
            <w:r w:rsidRPr="00E42343">
              <w:rPr>
                <w:rFonts w:ascii="Arial" w:hAnsi="Arial"/>
                <w:sz w:val="20"/>
                <w:szCs w:val="20"/>
              </w:rPr>
              <w:t>Le respect de soi et le respect mutuel sont encouragés au sein des communautés, groupes et individus à travers des plans et des programmes de sauvegarde du PCI en général et pour des éléments spécifiques dudit patrimoine, qu</w:t>
            </w:r>
            <w:r>
              <w:rPr>
                <w:rFonts w:ascii="Arial" w:hAnsi="Arial"/>
                <w:sz w:val="20"/>
                <w:szCs w:val="20"/>
              </w:rPr>
              <w:t>’</w:t>
            </w:r>
            <w:r w:rsidRPr="00E42343">
              <w:rPr>
                <w:rFonts w:ascii="Arial" w:hAnsi="Arial"/>
                <w:sz w:val="20"/>
                <w:szCs w:val="20"/>
              </w:rPr>
              <w:t>ils soient inscrits ou non.</w:t>
            </w:r>
          </w:p>
        </w:tc>
      </w:tr>
      <w:tr w:rsidR="00944BBD" w:rsidRPr="00E42343" w14:paraId="038FBE40" w14:textId="77777777" w:rsidTr="00A82031">
        <w:trPr>
          <w:cantSplit/>
        </w:trPr>
        <w:tc>
          <w:tcPr>
            <w:tcW w:w="918" w:type="pct"/>
            <w:vMerge w:val="restart"/>
            <w:shd w:val="clear" w:color="auto" w:fill="auto"/>
            <w:vAlign w:val="center"/>
          </w:tcPr>
          <w:p w14:paraId="01E6960A" w14:textId="77777777" w:rsidR="00944BBD" w:rsidRPr="00E42343" w:rsidRDefault="00944BBD" w:rsidP="00F21C0B">
            <w:pPr>
              <w:spacing w:before="60" w:after="60"/>
              <w:rPr>
                <w:rFonts w:ascii="Arial" w:hAnsi="Arial" w:cs="Arial"/>
                <w:b/>
                <w:sz w:val="20"/>
                <w:szCs w:val="20"/>
              </w:rPr>
            </w:pPr>
            <w:r w:rsidRPr="00E42343">
              <w:rPr>
                <w:rFonts w:ascii="Arial" w:hAnsi="Arial" w:cs="Arial"/>
                <w:b/>
                <w:sz w:val="20"/>
                <w:szCs w:val="20"/>
              </w:rPr>
              <w:t>Sensibilisation</w:t>
            </w:r>
          </w:p>
        </w:tc>
        <w:tc>
          <w:tcPr>
            <w:tcW w:w="998" w:type="pct"/>
            <w:vMerge w:val="restart"/>
            <w:shd w:val="clear" w:color="auto" w:fill="auto"/>
            <w:vAlign w:val="center"/>
          </w:tcPr>
          <w:p w14:paraId="0616B7B5"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les communautés, les groupes et les individus participent largement à la sensibilisation sur l</w:t>
            </w:r>
            <w:r>
              <w:rPr>
                <w:rFonts w:ascii="Arial" w:hAnsi="Arial"/>
                <w:sz w:val="20"/>
                <w:szCs w:val="20"/>
              </w:rPr>
              <w:t>’</w:t>
            </w:r>
            <w:r w:rsidRPr="00E42343">
              <w:rPr>
                <w:rFonts w:ascii="Arial" w:hAnsi="Arial"/>
                <w:sz w:val="20"/>
                <w:szCs w:val="20"/>
              </w:rPr>
              <w:t>importance du PCI et sa sauvegarde</w:t>
            </w:r>
          </w:p>
        </w:tc>
        <w:tc>
          <w:tcPr>
            <w:tcW w:w="3084" w:type="pct"/>
            <w:shd w:val="clear" w:color="auto" w:fill="auto"/>
            <w:vAlign w:val="center"/>
          </w:tcPr>
          <w:p w14:paraId="30924577" w14:textId="77777777" w:rsidR="00944BBD" w:rsidRPr="00E42343" w:rsidRDefault="00944BBD" w:rsidP="00655685">
            <w:pPr>
              <w:pStyle w:val="ListParagraph"/>
              <w:numPr>
                <w:ilvl w:val="1"/>
                <w:numId w:val="32"/>
              </w:numPr>
              <w:spacing w:before="60" w:after="60"/>
              <w:ind w:left="567" w:hanging="567"/>
              <w:contextualSpacing w:val="0"/>
              <w:rPr>
                <w:rFonts w:ascii="Arial" w:hAnsi="Arial"/>
                <w:vanish/>
                <w:sz w:val="20"/>
                <w:szCs w:val="20"/>
              </w:rPr>
            </w:pPr>
            <w:r w:rsidRPr="00E42343">
              <w:rPr>
                <w:rFonts w:ascii="Arial" w:hAnsi="Arial"/>
                <w:sz w:val="20"/>
                <w:szCs w:val="20"/>
              </w:rPr>
              <w:t>Les actions de sensibilisation reflètent la participation inclusive et la plus large possible des communautés, des groupes et des individus concernés.</w:t>
            </w:r>
          </w:p>
        </w:tc>
      </w:tr>
      <w:tr w:rsidR="00944BBD" w:rsidRPr="00E42343" w14:paraId="342E1C6A" w14:textId="77777777" w:rsidTr="00A82031">
        <w:trPr>
          <w:cantSplit/>
        </w:trPr>
        <w:tc>
          <w:tcPr>
            <w:tcW w:w="918" w:type="pct"/>
            <w:vMerge/>
            <w:shd w:val="clear" w:color="auto" w:fill="auto"/>
            <w:vAlign w:val="center"/>
          </w:tcPr>
          <w:p w14:paraId="3C825D17"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703A0BE7"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7DE780DE" w14:textId="77777777" w:rsidR="00944BBD" w:rsidRPr="00E42343" w:rsidRDefault="00944BBD" w:rsidP="00655685">
            <w:pPr>
              <w:pStyle w:val="ListParagraph"/>
              <w:numPr>
                <w:ilvl w:val="1"/>
                <w:numId w:val="32"/>
              </w:numPr>
              <w:spacing w:before="60" w:after="60"/>
              <w:ind w:left="567" w:hanging="567"/>
              <w:contextualSpacing w:val="0"/>
              <w:rPr>
                <w:rFonts w:ascii="Arial" w:hAnsi="Arial"/>
                <w:sz w:val="20"/>
                <w:szCs w:val="20"/>
              </w:rPr>
            </w:pPr>
            <w:r w:rsidRPr="00E42343">
              <w:rPr>
                <w:rFonts w:ascii="Arial" w:hAnsi="Arial"/>
                <w:sz w:val="20"/>
                <w:szCs w:val="20"/>
              </w:rPr>
              <w:t>Le consentement libre, préalable, durable et éclairé des communautés, des groupes et des individus concernés est obtenu pour mener des activités de sensibilisation concernant les éléments spécifiques de leur PCI.</w:t>
            </w:r>
          </w:p>
        </w:tc>
      </w:tr>
      <w:tr w:rsidR="00944BBD" w:rsidRPr="00E42343" w14:paraId="73A594FB" w14:textId="77777777" w:rsidTr="00A82031">
        <w:trPr>
          <w:cantSplit/>
        </w:trPr>
        <w:tc>
          <w:tcPr>
            <w:tcW w:w="918" w:type="pct"/>
            <w:vMerge/>
            <w:shd w:val="clear" w:color="auto" w:fill="auto"/>
            <w:vAlign w:val="center"/>
          </w:tcPr>
          <w:p w14:paraId="6804EE30"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2032A5EB"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5213F339" w14:textId="77777777" w:rsidR="00944BBD" w:rsidRPr="00E42343" w:rsidRDefault="00944BBD" w:rsidP="00655685">
            <w:pPr>
              <w:pStyle w:val="ListParagraph"/>
              <w:numPr>
                <w:ilvl w:val="1"/>
                <w:numId w:val="32"/>
              </w:numPr>
              <w:spacing w:before="60" w:after="60"/>
              <w:ind w:left="567" w:hanging="567"/>
              <w:contextualSpacing w:val="0"/>
              <w:rPr>
                <w:rFonts w:ascii="Arial" w:hAnsi="Arial"/>
                <w:sz w:val="20"/>
                <w:szCs w:val="20"/>
              </w:rPr>
            </w:pPr>
            <w:r w:rsidRPr="00E42343">
              <w:rPr>
                <w:rFonts w:ascii="Arial" w:hAnsi="Arial"/>
                <w:sz w:val="20"/>
                <w:szCs w:val="20"/>
              </w:rPr>
              <w:t>Les droits des communautés, des groupes et des individus ainsi que leurs intérêts moraux et matériels sont dûment protégés lors des activités de sensibilisation sur leur PCI.</w:t>
            </w:r>
          </w:p>
        </w:tc>
      </w:tr>
      <w:tr w:rsidR="00944BBD" w:rsidRPr="00052470" w14:paraId="303D65FF" w14:textId="77777777" w:rsidTr="00A82031">
        <w:trPr>
          <w:cantSplit/>
        </w:trPr>
        <w:tc>
          <w:tcPr>
            <w:tcW w:w="918" w:type="pct"/>
            <w:vMerge/>
            <w:shd w:val="clear" w:color="auto" w:fill="auto"/>
            <w:vAlign w:val="center"/>
          </w:tcPr>
          <w:p w14:paraId="325163B6"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776B00C6"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5F09ACF4" w14:textId="77777777" w:rsidR="00944BBD" w:rsidRPr="00E42343" w:rsidRDefault="00944BBD" w:rsidP="00655685">
            <w:pPr>
              <w:pStyle w:val="ListParagraph"/>
              <w:numPr>
                <w:ilvl w:val="1"/>
                <w:numId w:val="32"/>
              </w:numPr>
              <w:spacing w:before="60" w:after="60"/>
              <w:ind w:left="567" w:hanging="567"/>
              <w:contextualSpacing w:val="0"/>
              <w:rPr>
                <w:rFonts w:ascii="Arial" w:hAnsi="Arial"/>
                <w:sz w:val="20"/>
                <w:szCs w:val="20"/>
              </w:rPr>
            </w:pPr>
            <w:r w:rsidRPr="00E42343">
              <w:rPr>
                <w:rFonts w:ascii="Arial" w:hAnsi="Arial"/>
                <w:sz w:val="20"/>
                <w:szCs w:val="20"/>
              </w:rPr>
              <w:t>Les jeunes participent activement à des activités de sensibilisation, y compris la collecte et la diffusion d</w:t>
            </w:r>
            <w:r>
              <w:rPr>
                <w:rFonts w:ascii="Arial" w:hAnsi="Arial"/>
                <w:sz w:val="20"/>
                <w:szCs w:val="20"/>
              </w:rPr>
              <w:t>’</w:t>
            </w:r>
            <w:r w:rsidRPr="00E42343">
              <w:rPr>
                <w:rFonts w:ascii="Arial" w:hAnsi="Arial"/>
                <w:sz w:val="20"/>
                <w:szCs w:val="20"/>
              </w:rPr>
              <w:t>informations sur le PCI de leurs communautés ou groupes.</w:t>
            </w:r>
          </w:p>
        </w:tc>
      </w:tr>
      <w:tr w:rsidR="00944BBD" w:rsidRPr="00E42343" w14:paraId="7A3056F4" w14:textId="77777777" w:rsidTr="00A82031">
        <w:trPr>
          <w:cantSplit/>
        </w:trPr>
        <w:tc>
          <w:tcPr>
            <w:tcW w:w="918" w:type="pct"/>
            <w:vMerge/>
            <w:shd w:val="clear" w:color="auto" w:fill="auto"/>
            <w:vAlign w:val="center"/>
          </w:tcPr>
          <w:p w14:paraId="3E7EB710" w14:textId="77777777" w:rsidR="00944BBD" w:rsidRPr="003074FE" w:rsidRDefault="00944BBD" w:rsidP="00F21C0B">
            <w:pPr>
              <w:spacing w:before="60" w:after="60"/>
              <w:rPr>
                <w:rFonts w:ascii="Arial" w:hAnsi="Arial" w:cs="Arial"/>
                <w:b/>
                <w:sz w:val="20"/>
                <w:szCs w:val="20"/>
              </w:rPr>
            </w:pPr>
          </w:p>
        </w:tc>
        <w:tc>
          <w:tcPr>
            <w:tcW w:w="998" w:type="pct"/>
            <w:vMerge/>
            <w:shd w:val="clear" w:color="auto" w:fill="auto"/>
            <w:vAlign w:val="center"/>
          </w:tcPr>
          <w:p w14:paraId="1E41A8F9" w14:textId="77777777" w:rsidR="00944BBD" w:rsidRPr="003074FE" w:rsidRDefault="00944BBD" w:rsidP="00655685">
            <w:pPr>
              <w:pStyle w:val="ListParagraph"/>
              <w:numPr>
                <w:ilvl w:val="0"/>
                <w:numId w:val="12"/>
              </w:numPr>
              <w:spacing w:before="60" w:after="60"/>
              <w:ind w:left="370" w:hanging="397"/>
              <w:contextualSpacing w:val="0"/>
              <w:jc w:val="both"/>
              <w:rPr>
                <w:rFonts w:ascii="Arial" w:hAnsi="Arial"/>
                <w:sz w:val="20"/>
                <w:szCs w:val="20"/>
              </w:rPr>
            </w:pPr>
          </w:p>
        </w:tc>
        <w:tc>
          <w:tcPr>
            <w:tcW w:w="3084" w:type="pct"/>
            <w:shd w:val="clear" w:color="auto" w:fill="auto"/>
            <w:vAlign w:val="center"/>
          </w:tcPr>
          <w:p w14:paraId="57FC08DC" w14:textId="77777777" w:rsidR="00944BBD" w:rsidRPr="00E42343" w:rsidRDefault="00944BBD" w:rsidP="00655685">
            <w:pPr>
              <w:pStyle w:val="ListParagraph"/>
              <w:numPr>
                <w:ilvl w:val="1"/>
                <w:numId w:val="32"/>
              </w:numPr>
              <w:spacing w:before="60" w:after="60"/>
              <w:ind w:left="567" w:hanging="567"/>
              <w:contextualSpacing w:val="0"/>
              <w:rPr>
                <w:rFonts w:ascii="Arial" w:hAnsi="Arial"/>
                <w:sz w:val="20"/>
                <w:szCs w:val="20"/>
              </w:rPr>
            </w:pPr>
            <w:r w:rsidRPr="00E42343">
              <w:rPr>
                <w:rFonts w:ascii="Arial" w:hAnsi="Arial"/>
                <w:sz w:val="20"/>
                <w:szCs w:val="20"/>
              </w:rPr>
              <w:t>Les communautés, groupes et individus utilisent les technologies de l</w:t>
            </w:r>
            <w:r>
              <w:rPr>
                <w:rFonts w:ascii="Arial" w:hAnsi="Arial"/>
                <w:sz w:val="20"/>
                <w:szCs w:val="20"/>
              </w:rPr>
              <w:t>’</w:t>
            </w:r>
            <w:r w:rsidRPr="00E42343">
              <w:rPr>
                <w:rFonts w:ascii="Arial" w:hAnsi="Arial"/>
                <w:sz w:val="20"/>
                <w:szCs w:val="20"/>
              </w:rPr>
              <w:t xml:space="preserve">information et </w:t>
            </w:r>
            <w:r>
              <w:rPr>
                <w:rFonts w:ascii="Arial" w:hAnsi="Arial"/>
                <w:sz w:val="20"/>
                <w:szCs w:val="20"/>
              </w:rPr>
              <w:t xml:space="preserve">la </w:t>
            </w:r>
            <w:r w:rsidRPr="00E42343">
              <w:rPr>
                <w:rFonts w:ascii="Arial" w:hAnsi="Arial"/>
                <w:sz w:val="20"/>
                <w:szCs w:val="20"/>
              </w:rPr>
              <w:t xml:space="preserve">communication et </w:t>
            </w:r>
            <w:r>
              <w:rPr>
                <w:rFonts w:ascii="Arial" w:hAnsi="Arial"/>
                <w:sz w:val="20"/>
                <w:szCs w:val="20"/>
              </w:rPr>
              <w:t xml:space="preserve">toutes formes de médias, en particulier </w:t>
            </w:r>
            <w:r w:rsidRPr="00E42343">
              <w:rPr>
                <w:rFonts w:ascii="Arial" w:hAnsi="Arial"/>
                <w:sz w:val="20"/>
                <w:szCs w:val="20"/>
              </w:rPr>
              <w:t>les nouveaux médias</w:t>
            </w:r>
            <w:r>
              <w:rPr>
                <w:rFonts w:ascii="Arial" w:hAnsi="Arial"/>
                <w:sz w:val="20"/>
                <w:szCs w:val="20"/>
              </w:rPr>
              <w:t>,</w:t>
            </w:r>
            <w:r w:rsidRPr="00E42343">
              <w:rPr>
                <w:rFonts w:ascii="Arial" w:hAnsi="Arial"/>
                <w:sz w:val="20"/>
                <w:szCs w:val="20"/>
              </w:rPr>
              <w:t xml:space="preserve"> pour sensibiliser à l</w:t>
            </w:r>
            <w:r>
              <w:rPr>
                <w:rFonts w:ascii="Arial" w:hAnsi="Arial"/>
                <w:sz w:val="20"/>
                <w:szCs w:val="20"/>
              </w:rPr>
              <w:t>’</w:t>
            </w:r>
            <w:r w:rsidRPr="00E42343">
              <w:rPr>
                <w:rFonts w:ascii="Arial" w:hAnsi="Arial"/>
                <w:sz w:val="20"/>
                <w:szCs w:val="20"/>
              </w:rPr>
              <w:t>importance du PCI et à sa sauvegarde.</w:t>
            </w:r>
          </w:p>
        </w:tc>
      </w:tr>
      <w:tr w:rsidR="00944BBD" w:rsidRPr="00E42343" w14:paraId="47DBDF91" w14:textId="77777777" w:rsidTr="00A82031">
        <w:trPr>
          <w:cantSplit/>
        </w:trPr>
        <w:tc>
          <w:tcPr>
            <w:tcW w:w="918" w:type="pct"/>
            <w:vMerge/>
            <w:shd w:val="clear" w:color="auto" w:fill="auto"/>
            <w:vAlign w:val="center"/>
          </w:tcPr>
          <w:p w14:paraId="2B84B7B1" w14:textId="77777777" w:rsidR="00944BBD" w:rsidRPr="00345EB5" w:rsidRDefault="00944BBD" w:rsidP="00F21C0B">
            <w:pPr>
              <w:spacing w:before="60" w:after="60"/>
              <w:rPr>
                <w:rFonts w:ascii="Arial" w:hAnsi="Arial" w:cs="Arial"/>
                <w:b/>
                <w:sz w:val="20"/>
                <w:szCs w:val="20"/>
              </w:rPr>
            </w:pPr>
          </w:p>
        </w:tc>
        <w:tc>
          <w:tcPr>
            <w:tcW w:w="998" w:type="pct"/>
            <w:vMerge w:val="restart"/>
            <w:shd w:val="clear" w:color="auto" w:fill="auto"/>
            <w:vAlign w:val="center"/>
          </w:tcPr>
          <w:p w14:paraId="1D87CE41"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les médias sont impliqués dans la sensibilisation à l</w:t>
            </w:r>
            <w:r>
              <w:rPr>
                <w:rFonts w:ascii="Arial" w:hAnsi="Arial"/>
                <w:sz w:val="20"/>
                <w:szCs w:val="20"/>
              </w:rPr>
              <w:t>’</w:t>
            </w:r>
            <w:r w:rsidRPr="00E42343">
              <w:rPr>
                <w:rFonts w:ascii="Arial" w:hAnsi="Arial"/>
                <w:sz w:val="20"/>
                <w:szCs w:val="20"/>
              </w:rPr>
              <w:t>importance du PCI et à sa sauvegarde et à la promotion de la compréhension et du respect mutuel</w:t>
            </w:r>
          </w:p>
        </w:tc>
        <w:tc>
          <w:tcPr>
            <w:tcW w:w="3084" w:type="pct"/>
            <w:shd w:val="clear" w:color="auto" w:fill="auto"/>
            <w:vAlign w:val="center"/>
          </w:tcPr>
          <w:p w14:paraId="7E005BFE" w14:textId="77777777" w:rsidR="00944BBD" w:rsidRPr="00E42343" w:rsidRDefault="00944BBD" w:rsidP="00655685">
            <w:pPr>
              <w:pStyle w:val="ListParagraph"/>
              <w:numPr>
                <w:ilvl w:val="1"/>
                <w:numId w:val="33"/>
              </w:numPr>
              <w:spacing w:before="60" w:after="60"/>
              <w:ind w:left="567" w:hanging="567"/>
              <w:contextualSpacing w:val="0"/>
              <w:rPr>
                <w:rFonts w:ascii="Arial" w:hAnsi="Arial"/>
                <w:vanish/>
                <w:sz w:val="20"/>
                <w:szCs w:val="20"/>
              </w:rPr>
            </w:pPr>
            <w:r w:rsidRPr="00E42343">
              <w:rPr>
                <w:rFonts w:ascii="Arial" w:hAnsi="Arial"/>
                <w:sz w:val="20"/>
                <w:szCs w:val="20"/>
              </w:rPr>
              <w:t>La couverture médiatique sensibilise à l</w:t>
            </w:r>
            <w:r>
              <w:rPr>
                <w:rFonts w:ascii="Arial" w:hAnsi="Arial"/>
                <w:sz w:val="20"/>
                <w:szCs w:val="20"/>
              </w:rPr>
              <w:t>’</w:t>
            </w:r>
            <w:r w:rsidRPr="00E42343">
              <w:rPr>
                <w:rFonts w:ascii="Arial" w:hAnsi="Arial"/>
                <w:sz w:val="20"/>
                <w:szCs w:val="20"/>
              </w:rPr>
              <w:t>importance du PCI et à sa sauvegarde et promeut le respect mutuel entre communautés, groupes et individus.</w:t>
            </w:r>
          </w:p>
        </w:tc>
      </w:tr>
      <w:tr w:rsidR="00944BBD" w:rsidRPr="00E42343" w14:paraId="3763F8A0" w14:textId="77777777" w:rsidTr="00A82031">
        <w:trPr>
          <w:cantSplit/>
        </w:trPr>
        <w:tc>
          <w:tcPr>
            <w:tcW w:w="918" w:type="pct"/>
            <w:vMerge/>
            <w:shd w:val="clear" w:color="auto" w:fill="auto"/>
            <w:vAlign w:val="center"/>
          </w:tcPr>
          <w:p w14:paraId="591C9B2F"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397A4E4A"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241A3C29" w14:textId="77777777" w:rsidR="00944BBD" w:rsidRPr="00E42343" w:rsidRDefault="00944BBD" w:rsidP="00655685">
            <w:pPr>
              <w:pStyle w:val="ListParagraph"/>
              <w:numPr>
                <w:ilvl w:val="1"/>
                <w:numId w:val="33"/>
              </w:numPr>
              <w:spacing w:before="60" w:after="60"/>
              <w:ind w:left="567" w:hanging="567"/>
              <w:contextualSpacing w:val="0"/>
              <w:rPr>
                <w:rFonts w:ascii="Arial" w:hAnsi="Arial"/>
                <w:sz w:val="20"/>
                <w:szCs w:val="20"/>
              </w:rPr>
            </w:pPr>
            <w:r w:rsidRPr="00E42343">
              <w:rPr>
                <w:rFonts w:ascii="Arial" w:hAnsi="Arial"/>
                <w:sz w:val="20"/>
                <w:szCs w:val="20"/>
              </w:rPr>
              <w:t>Des activités ou des programmes de coopération spécifiques concernant le PCI sont initiés et mis en œuvre entre les diverses parties prenantes du PCI et les médias, y compris des activités de renforcement de capacités.</w:t>
            </w:r>
          </w:p>
        </w:tc>
      </w:tr>
      <w:tr w:rsidR="00944BBD" w:rsidRPr="00E42343" w14:paraId="6E96F5D8" w14:textId="77777777" w:rsidTr="00A82031">
        <w:trPr>
          <w:cantSplit/>
        </w:trPr>
        <w:tc>
          <w:tcPr>
            <w:tcW w:w="918" w:type="pct"/>
            <w:vMerge/>
            <w:shd w:val="clear" w:color="auto" w:fill="auto"/>
            <w:vAlign w:val="center"/>
          </w:tcPr>
          <w:p w14:paraId="1145DBB5"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400A7077"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6B896A88" w14:textId="77777777" w:rsidR="00944BBD" w:rsidRPr="00E42343" w:rsidRDefault="00944BBD" w:rsidP="00655685">
            <w:pPr>
              <w:pStyle w:val="ListParagraph"/>
              <w:numPr>
                <w:ilvl w:val="1"/>
                <w:numId w:val="33"/>
              </w:numPr>
              <w:spacing w:before="60" w:after="60"/>
              <w:ind w:left="567" w:hanging="567"/>
              <w:contextualSpacing w:val="0"/>
              <w:rPr>
                <w:rFonts w:ascii="Arial" w:hAnsi="Arial"/>
                <w:sz w:val="20"/>
                <w:szCs w:val="20"/>
              </w:rPr>
            </w:pPr>
            <w:r w:rsidRPr="00E42343">
              <w:rPr>
                <w:rFonts w:ascii="Arial" w:hAnsi="Arial"/>
                <w:sz w:val="20"/>
                <w:szCs w:val="20"/>
              </w:rPr>
              <w:t>La programmation des médias sur le PCI est inclusive, se fait dans les langues des communautés et groupes concernés et</w:t>
            </w:r>
            <w:r>
              <w:rPr>
                <w:rFonts w:ascii="Arial" w:hAnsi="Arial"/>
                <w:sz w:val="20"/>
                <w:szCs w:val="20"/>
              </w:rPr>
              <w:t>/ou</w:t>
            </w:r>
            <w:r w:rsidRPr="00E42343">
              <w:rPr>
                <w:rFonts w:ascii="Arial" w:hAnsi="Arial"/>
                <w:sz w:val="20"/>
                <w:szCs w:val="20"/>
              </w:rPr>
              <w:t xml:space="preserve"> vise les différents groupes cibles.</w:t>
            </w:r>
          </w:p>
        </w:tc>
      </w:tr>
      <w:tr w:rsidR="00944BBD" w:rsidRPr="00E42343" w14:paraId="65F8297E" w14:textId="77777777" w:rsidTr="00A82031">
        <w:trPr>
          <w:cantSplit/>
        </w:trPr>
        <w:tc>
          <w:tcPr>
            <w:tcW w:w="918" w:type="pct"/>
            <w:vMerge/>
            <w:shd w:val="clear" w:color="auto" w:fill="auto"/>
            <w:vAlign w:val="center"/>
          </w:tcPr>
          <w:p w14:paraId="30624BBE"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46007DA2" w14:textId="77777777" w:rsidR="00944BBD" w:rsidRPr="00E42343" w:rsidRDefault="00944BBD" w:rsidP="00655685">
            <w:pPr>
              <w:pStyle w:val="ListParagraph"/>
              <w:numPr>
                <w:ilvl w:val="0"/>
                <w:numId w:val="12"/>
              </w:numPr>
              <w:spacing w:before="60" w:after="60"/>
              <w:ind w:left="0" w:hanging="397"/>
              <w:contextualSpacing w:val="0"/>
              <w:jc w:val="both"/>
              <w:rPr>
                <w:rFonts w:ascii="Arial" w:hAnsi="Arial"/>
                <w:sz w:val="20"/>
                <w:szCs w:val="20"/>
              </w:rPr>
            </w:pPr>
          </w:p>
        </w:tc>
        <w:tc>
          <w:tcPr>
            <w:tcW w:w="3084" w:type="pct"/>
            <w:shd w:val="clear" w:color="auto" w:fill="auto"/>
            <w:vAlign w:val="center"/>
          </w:tcPr>
          <w:p w14:paraId="1BE07FE1" w14:textId="6EC628C1" w:rsidR="00944BBD" w:rsidRPr="00E42343" w:rsidRDefault="00944BBD" w:rsidP="00655685">
            <w:pPr>
              <w:pStyle w:val="ListParagraph"/>
              <w:numPr>
                <w:ilvl w:val="1"/>
                <w:numId w:val="33"/>
              </w:numPr>
              <w:spacing w:before="60" w:after="60"/>
              <w:ind w:left="567" w:hanging="567"/>
              <w:contextualSpacing w:val="0"/>
              <w:rPr>
                <w:rFonts w:ascii="Arial" w:hAnsi="Arial"/>
                <w:sz w:val="20"/>
                <w:szCs w:val="20"/>
              </w:rPr>
            </w:pPr>
            <w:r w:rsidRPr="00E42343">
              <w:rPr>
                <w:rFonts w:ascii="Arial" w:hAnsi="Arial"/>
                <w:sz w:val="20"/>
                <w:szCs w:val="20"/>
              </w:rPr>
              <w:t>La couverture médiatique du patrimoine culturel immatériel et de sa sauvegarde est conforme aux concepts et à la terminologie de la Convention</w:t>
            </w:r>
            <w:r>
              <w:rPr>
                <w:rFonts w:ascii="Arial" w:hAnsi="Arial"/>
                <w:sz w:val="20"/>
                <w:szCs w:val="20"/>
              </w:rPr>
              <w:t>.</w:t>
            </w:r>
          </w:p>
        </w:tc>
      </w:tr>
      <w:tr w:rsidR="00944BBD" w:rsidRPr="00E42343" w14:paraId="5EB615C4" w14:textId="77777777" w:rsidTr="00A82031">
        <w:trPr>
          <w:cantSplit/>
        </w:trPr>
        <w:tc>
          <w:tcPr>
            <w:tcW w:w="918" w:type="pct"/>
            <w:vMerge/>
            <w:shd w:val="clear" w:color="auto" w:fill="auto"/>
            <w:vAlign w:val="center"/>
          </w:tcPr>
          <w:p w14:paraId="7C5CB9DC" w14:textId="77777777" w:rsidR="00944BBD" w:rsidRPr="00E42343" w:rsidRDefault="00944BBD" w:rsidP="00F21C0B">
            <w:pPr>
              <w:spacing w:before="60" w:after="60"/>
              <w:rPr>
                <w:rFonts w:ascii="Arial" w:hAnsi="Arial" w:cs="Arial"/>
                <w:b/>
                <w:sz w:val="20"/>
                <w:szCs w:val="20"/>
              </w:rPr>
            </w:pPr>
          </w:p>
        </w:tc>
        <w:tc>
          <w:tcPr>
            <w:tcW w:w="998" w:type="pct"/>
            <w:vMerge w:val="restart"/>
            <w:shd w:val="clear" w:color="auto" w:fill="auto"/>
            <w:vAlign w:val="center"/>
          </w:tcPr>
          <w:p w14:paraId="0C532D21"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les actions d</w:t>
            </w:r>
            <w:r>
              <w:rPr>
                <w:rFonts w:ascii="Arial" w:hAnsi="Arial"/>
                <w:sz w:val="20"/>
                <w:szCs w:val="20"/>
              </w:rPr>
              <w:t>’</w:t>
            </w:r>
            <w:r w:rsidRPr="00E42343">
              <w:rPr>
                <w:rFonts w:ascii="Arial" w:hAnsi="Arial"/>
                <w:sz w:val="20"/>
                <w:szCs w:val="20"/>
              </w:rPr>
              <w:t>information du public sensibilisent à l</w:t>
            </w:r>
            <w:r>
              <w:rPr>
                <w:rFonts w:ascii="Arial" w:hAnsi="Arial"/>
                <w:sz w:val="20"/>
                <w:szCs w:val="20"/>
              </w:rPr>
              <w:t>’</w:t>
            </w:r>
            <w:r w:rsidRPr="00E42343">
              <w:rPr>
                <w:rFonts w:ascii="Arial" w:hAnsi="Arial"/>
                <w:sz w:val="20"/>
                <w:szCs w:val="20"/>
              </w:rPr>
              <w:t>importance du PCI et à sa sauvegarde et promeuvent la compréhension et le respect mutuel</w:t>
            </w:r>
          </w:p>
        </w:tc>
        <w:tc>
          <w:tcPr>
            <w:tcW w:w="3084" w:type="pct"/>
            <w:shd w:val="clear" w:color="auto" w:fill="auto"/>
            <w:vAlign w:val="center"/>
          </w:tcPr>
          <w:p w14:paraId="6DF6F65F" w14:textId="77777777" w:rsidR="00944BBD" w:rsidRPr="00E42343" w:rsidRDefault="00944BBD" w:rsidP="00655685">
            <w:pPr>
              <w:pStyle w:val="ListParagraph"/>
              <w:numPr>
                <w:ilvl w:val="1"/>
                <w:numId w:val="34"/>
              </w:numPr>
              <w:spacing w:before="60" w:after="60"/>
              <w:ind w:left="567" w:hanging="567"/>
              <w:contextualSpacing w:val="0"/>
              <w:rPr>
                <w:rFonts w:ascii="Arial" w:hAnsi="Arial"/>
                <w:vanish/>
                <w:sz w:val="20"/>
                <w:szCs w:val="20"/>
              </w:rPr>
            </w:pPr>
            <w:r w:rsidRPr="00E42343">
              <w:rPr>
                <w:rFonts w:ascii="Arial" w:hAnsi="Arial"/>
                <w:sz w:val="20"/>
                <w:szCs w:val="20"/>
              </w:rPr>
              <w:t xml:space="preserve">Les praticiens </w:t>
            </w:r>
            <w:r>
              <w:rPr>
                <w:rFonts w:ascii="Arial" w:hAnsi="Arial"/>
                <w:sz w:val="20"/>
                <w:szCs w:val="20"/>
              </w:rPr>
              <w:t xml:space="preserve">et les </w:t>
            </w:r>
            <w:r w:rsidRPr="00E42343">
              <w:rPr>
                <w:rFonts w:ascii="Arial" w:hAnsi="Arial"/>
                <w:sz w:val="20"/>
                <w:szCs w:val="20"/>
              </w:rPr>
              <w:t>détenteurs du PCI sont reconnus publiquement, sur une base inclusive, à travers des politiques et des programmes.</w:t>
            </w:r>
          </w:p>
        </w:tc>
      </w:tr>
      <w:tr w:rsidR="00944BBD" w:rsidRPr="00E42343" w14:paraId="43915349" w14:textId="77777777" w:rsidTr="00A82031">
        <w:trPr>
          <w:cantSplit/>
        </w:trPr>
        <w:tc>
          <w:tcPr>
            <w:tcW w:w="918" w:type="pct"/>
            <w:vMerge/>
            <w:shd w:val="clear" w:color="auto" w:fill="auto"/>
            <w:vAlign w:val="center"/>
          </w:tcPr>
          <w:p w14:paraId="0A6DE6C9"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353B53AF"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40062FEC" w14:textId="77777777" w:rsidR="00944BBD" w:rsidRPr="00E42343" w:rsidRDefault="00944BBD" w:rsidP="00655685">
            <w:pPr>
              <w:pStyle w:val="ListParagraph"/>
              <w:numPr>
                <w:ilvl w:val="1"/>
                <w:numId w:val="34"/>
              </w:numPr>
              <w:spacing w:before="60" w:after="60"/>
              <w:ind w:left="567" w:hanging="567"/>
              <w:contextualSpacing w:val="0"/>
              <w:rPr>
                <w:rFonts w:ascii="Arial" w:hAnsi="Arial"/>
                <w:sz w:val="20"/>
                <w:szCs w:val="20"/>
              </w:rPr>
            </w:pPr>
            <w:r w:rsidRPr="00E42343">
              <w:rPr>
                <w:rFonts w:ascii="Arial" w:hAnsi="Arial"/>
                <w:sz w:val="20"/>
                <w:szCs w:val="20"/>
              </w:rPr>
              <w:t>Des événements publics sur le PCI, son importance et sa sauvegarde, et sur la Convention, sont organisés à l</w:t>
            </w:r>
            <w:r>
              <w:rPr>
                <w:rFonts w:ascii="Arial" w:hAnsi="Arial"/>
                <w:sz w:val="20"/>
                <w:szCs w:val="20"/>
              </w:rPr>
              <w:t>’</w:t>
            </w:r>
            <w:r w:rsidRPr="00E42343">
              <w:rPr>
                <w:rFonts w:ascii="Arial" w:hAnsi="Arial"/>
                <w:sz w:val="20"/>
                <w:szCs w:val="20"/>
              </w:rPr>
              <w:t>intention des communautés, des groupes et des individus, du grand public, des chercheurs, des médias et d</w:t>
            </w:r>
            <w:r>
              <w:rPr>
                <w:rFonts w:ascii="Arial" w:hAnsi="Arial"/>
                <w:sz w:val="20"/>
                <w:szCs w:val="20"/>
              </w:rPr>
              <w:t>’</w:t>
            </w:r>
            <w:r w:rsidRPr="00E42343">
              <w:rPr>
                <w:rFonts w:ascii="Arial" w:hAnsi="Arial"/>
                <w:sz w:val="20"/>
                <w:szCs w:val="20"/>
              </w:rPr>
              <w:t>autres parties</w:t>
            </w:r>
            <w:r>
              <w:rPr>
                <w:rFonts w:ascii="Arial" w:hAnsi="Arial"/>
                <w:sz w:val="20"/>
                <w:szCs w:val="20"/>
              </w:rPr>
              <w:t xml:space="preserve"> prenantes</w:t>
            </w:r>
            <w:r w:rsidRPr="00E42343">
              <w:rPr>
                <w:rFonts w:ascii="Arial" w:hAnsi="Arial"/>
                <w:sz w:val="20"/>
                <w:szCs w:val="20"/>
              </w:rPr>
              <w:t>.</w:t>
            </w:r>
          </w:p>
        </w:tc>
      </w:tr>
      <w:tr w:rsidR="00944BBD" w:rsidRPr="00E42343" w14:paraId="73B1F7E0" w14:textId="77777777" w:rsidTr="00A82031">
        <w:trPr>
          <w:cantSplit/>
        </w:trPr>
        <w:tc>
          <w:tcPr>
            <w:tcW w:w="918" w:type="pct"/>
            <w:vMerge/>
            <w:shd w:val="clear" w:color="auto" w:fill="auto"/>
            <w:vAlign w:val="center"/>
          </w:tcPr>
          <w:p w14:paraId="3934DD94"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3C254A3C"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7D9DC6F8" w14:textId="77777777" w:rsidR="00944BBD" w:rsidRPr="00E42343" w:rsidRDefault="00944BBD" w:rsidP="00655685">
            <w:pPr>
              <w:pStyle w:val="ListParagraph"/>
              <w:numPr>
                <w:ilvl w:val="1"/>
                <w:numId w:val="34"/>
              </w:numPr>
              <w:spacing w:before="60" w:after="60"/>
              <w:ind w:left="567" w:hanging="567"/>
              <w:contextualSpacing w:val="0"/>
              <w:rPr>
                <w:rFonts w:ascii="Arial" w:hAnsi="Arial"/>
                <w:sz w:val="20"/>
                <w:szCs w:val="20"/>
              </w:rPr>
            </w:pPr>
            <w:r w:rsidRPr="00E42343">
              <w:rPr>
                <w:rFonts w:ascii="Arial" w:hAnsi="Arial"/>
                <w:sz w:val="20"/>
                <w:szCs w:val="20"/>
              </w:rPr>
              <w:t>Les programmes de promotion et de diffusion de bonnes pratiques de sauvegarde sont encouragés</w:t>
            </w:r>
            <w:r>
              <w:rPr>
                <w:rFonts w:ascii="Arial" w:hAnsi="Arial"/>
                <w:sz w:val="20"/>
                <w:szCs w:val="20"/>
              </w:rPr>
              <w:t xml:space="preserve"> et </w:t>
            </w:r>
            <w:r w:rsidRPr="00E42343">
              <w:rPr>
                <w:rFonts w:ascii="Arial" w:hAnsi="Arial"/>
                <w:sz w:val="20"/>
                <w:szCs w:val="20"/>
              </w:rPr>
              <w:t>soutenus.</w:t>
            </w:r>
          </w:p>
        </w:tc>
      </w:tr>
      <w:tr w:rsidR="00944BBD" w:rsidRPr="00E42343" w14:paraId="1F10D0B9" w14:textId="77777777" w:rsidTr="00A82031">
        <w:trPr>
          <w:cantSplit/>
        </w:trPr>
        <w:tc>
          <w:tcPr>
            <w:tcW w:w="918" w:type="pct"/>
            <w:vMerge/>
            <w:shd w:val="clear" w:color="auto" w:fill="auto"/>
            <w:vAlign w:val="center"/>
          </w:tcPr>
          <w:p w14:paraId="0D7F3175"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63990A54"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012E1488" w14:textId="77777777" w:rsidR="00944BBD" w:rsidRPr="00E42343" w:rsidRDefault="00944BBD" w:rsidP="00655685">
            <w:pPr>
              <w:pStyle w:val="ListParagraph"/>
              <w:numPr>
                <w:ilvl w:val="1"/>
                <w:numId w:val="34"/>
              </w:numPr>
              <w:spacing w:before="60" w:after="60"/>
              <w:ind w:left="567" w:hanging="567"/>
              <w:contextualSpacing w:val="0"/>
              <w:rPr>
                <w:rFonts w:ascii="Arial" w:hAnsi="Arial"/>
                <w:sz w:val="20"/>
                <w:szCs w:val="20"/>
              </w:rPr>
            </w:pPr>
            <w:r w:rsidRPr="00E42343">
              <w:rPr>
                <w:rFonts w:ascii="Arial" w:hAnsi="Arial"/>
                <w:sz w:val="20"/>
                <w:szCs w:val="20"/>
              </w:rPr>
              <w:t>L</w:t>
            </w:r>
            <w:r>
              <w:rPr>
                <w:rFonts w:ascii="Arial" w:hAnsi="Arial"/>
                <w:sz w:val="20"/>
                <w:szCs w:val="20"/>
              </w:rPr>
              <w:t>’</w:t>
            </w:r>
            <w:r w:rsidRPr="00E42343">
              <w:rPr>
                <w:rFonts w:ascii="Arial" w:hAnsi="Arial"/>
                <w:sz w:val="20"/>
                <w:szCs w:val="20"/>
              </w:rPr>
              <w:t>information du public sur le PCI promeut le respect et l</w:t>
            </w:r>
            <w:r>
              <w:rPr>
                <w:rFonts w:ascii="Arial" w:hAnsi="Arial"/>
                <w:sz w:val="20"/>
                <w:szCs w:val="20"/>
              </w:rPr>
              <w:t>’</w:t>
            </w:r>
            <w:r w:rsidRPr="00E42343">
              <w:rPr>
                <w:rFonts w:ascii="Arial" w:hAnsi="Arial"/>
                <w:sz w:val="20"/>
                <w:szCs w:val="20"/>
              </w:rPr>
              <w:t>appréciation mutuels au sein et entre les communautés et les groupes.</w:t>
            </w:r>
          </w:p>
        </w:tc>
      </w:tr>
      <w:tr w:rsidR="00944BBD" w:rsidRPr="00E42343" w14:paraId="7B3FBE6A" w14:textId="77777777" w:rsidTr="00A82031">
        <w:trPr>
          <w:cantSplit/>
          <w:trHeight w:val="683"/>
        </w:trPr>
        <w:tc>
          <w:tcPr>
            <w:tcW w:w="918" w:type="pct"/>
            <w:vMerge/>
            <w:shd w:val="clear" w:color="auto" w:fill="auto"/>
            <w:vAlign w:val="center"/>
          </w:tcPr>
          <w:p w14:paraId="632419E7" w14:textId="77777777" w:rsidR="00944BBD" w:rsidRPr="00E42343" w:rsidRDefault="00944BBD" w:rsidP="00F21C0B">
            <w:pPr>
              <w:spacing w:before="60" w:after="60"/>
              <w:rPr>
                <w:rFonts w:ascii="Arial" w:hAnsi="Arial" w:cs="Arial"/>
                <w:b/>
                <w:sz w:val="20"/>
                <w:szCs w:val="20"/>
              </w:rPr>
            </w:pPr>
          </w:p>
        </w:tc>
        <w:tc>
          <w:tcPr>
            <w:tcW w:w="998" w:type="pct"/>
            <w:vMerge w:val="restart"/>
            <w:shd w:val="clear" w:color="auto" w:fill="auto"/>
            <w:vAlign w:val="center"/>
          </w:tcPr>
          <w:p w14:paraId="7B02A4CE"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 xml:space="preserve">Mesure dans laquelle les programmes de sensibilisation sur le PCI respectent </w:t>
            </w:r>
            <w:r>
              <w:rPr>
                <w:rFonts w:ascii="Arial" w:hAnsi="Arial"/>
                <w:sz w:val="20"/>
                <w:szCs w:val="20"/>
              </w:rPr>
              <w:t>les</w:t>
            </w:r>
            <w:r w:rsidRPr="00E42343">
              <w:rPr>
                <w:rFonts w:ascii="Arial" w:hAnsi="Arial"/>
                <w:sz w:val="20"/>
                <w:szCs w:val="20"/>
              </w:rPr>
              <w:t xml:space="preserve"> principes éthiques</w:t>
            </w:r>
            <w:r>
              <w:rPr>
                <w:rFonts w:ascii="Arial" w:hAnsi="Arial"/>
                <w:sz w:val="20"/>
                <w:szCs w:val="20"/>
              </w:rPr>
              <w:t xml:space="preserve"> pertinents</w:t>
            </w:r>
          </w:p>
        </w:tc>
        <w:tc>
          <w:tcPr>
            <w:tcW w:w="3084" w:type="pct"/>
            <w:shd w:val="clear" w:color="auto" w:fill="auto"/>
            <w:vAlign w:val="center"/>
          </w:tcPr>
          <w:p w14:paraId="2F7976A3" w14:textId="77777777" w:rsidR="00944BBD" w:rsidRPr="00E42343" w:rsidRDefault="00944BBD" w:rsidP="00655685">
            <w:pPr>
              <w:pStyle w:val="ListParagraph"/>
              <w:numPr>
                <w:ilvl w:val="1"/>
                <w:numId w:val="35"/>
              </w:numPr>
              <w:spacing w:before="60" w:after="60"/>
              <w:ind w:left="567" w:hanging="567"/>
              <w:contextualSpacing w:val="0"/>
              <w:rPr>
                <w:rFonts w:ascii="Arial" w:hAnsi="Arial"/>
                <w:vanish/>
                <w:sz w:val="20"/>
                <w:szCs w:val="20"/>
              </w:rPr>
            </w:pPr>
            <w:r w:rsidRPr="00E42343">
              <w:rPr>
                <w:rFonts w:ascii="Arial" w:hAnsi="Arial"/>
                <w:sz w:val="20"/>
                <w:szCs w:val="20"/>
              </w:rPr>
              <w:t>Les Principes éthiques pour la sauvegarde du PCI sont respectés dans les activités de sensibilisation.</w:t>
            </w:r>
          </w:p>
        </w:tc>
      </w:tr>
      <w:tr w:rsidR="00944BBD" w:rsidRPr="00E42343" w14:paraId="0C41DE75" w14:textId="77777777" w:rsidTr="00A82031">
        <w:trPr>
          <w:cantSplit/>
          <w:trHeight w:val="692"/>
        </w:trPr>
        <w:tc>
          <w:tcPr>
            <w:tcW w:w="918" w:type="pct"/>
            <w:vMerge/>
            <w:tcBorders>
              <w:bottom w:val="single" w:sz="4" w:space="0" w:color="auto"/>
            </w:tcBorders>
            <w:shd w:val="clear" w:color="auto" w:fill="auto"/>
            <w:vAlign w:val="center"/>
          </w:tcPr>
          <w:p w14:paraId="5778F1DA" w14:textId="77777777" w:rsidR="00944BBD" w:rsidRPr="00E42343" w:rsidRDefault="00944BBD" w:rsidP="00F21C0B">
            <w:pPr>
              <w:spacing w:before="60" w:after="60"/>
              <w:rPr>
                <w:rFonts w:ascii="Arial" w:hAnsi="Arial" w:cs="Arial"/>
                <w:b/>
                <w:sz w:val="20"/>
                <w:szCs w:val="20"/>
              </w:rPr>
            </w:pPr>
          </w:p>
        </w:tc>
        <w:tc>
          <w:tcPr>
            <w:tcW w:w="998" w:type="pct"/>
            <w:vMerge/>
            <w:tcBorders>
              <w:bottom w:val="single" w:sz="4" w:space="0" w:color="auto"/>
            </w:tcBorders>
            <w:shd w:val="clear" w:color="auto" w:fill="auto"/>
            <w:vAlign w:val="center"/>
          </w:tcPr>
          <w:p w14:paraId="55E31016"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tcBorders>
              <w:bottom w:val="single" w:sz="4" w:space="0" w:color="auto"/>
            </w:tcBorders>
            <w:shd w:val="clear" w:color="auto" w:fill="auto"/>
            <w:vAlign w:val="center"/>
          </w:tcPr>
          <w:p w14:paraId="02ECF84F" w14:textId="77777777" w:rsidR="00944BBD" w:rsidRPr="00E42343" w:rsidRDefault="00944BBD" w:rsidP="00655685">
            <w:pPr>
              <w:pStyle w:val="ListParagraph"/>
              <w:numPr>
                <w:ilvl w:val="1"/>
                <w:numId w:val="35"/>
              </w:numPr>
              <w:spacing w:before="60" w:after="60"/>
              <w:ind w:left="567" w:hanging="567"/>
              <w:contextualSpacing w:val="0"/>
              <w:rPr>
                <w:rFonts w:ascii="Arial" w:hAnsi="Arial"/>
                <w:sz w:val="20"/>
                <w:szCs w:val="20"/>
              </w:rPr>
            </w:pPr>
            <w:r w:rsidRPr="00E42343">
              <w:rPr>
                <w:rFonts w:ascii="Arial" w:hAnsi="Arial"/>
                <w:sz w:val="20"/>
                <w:szCs w:val="20"/>
              </w:rPr>
              <w:t>Les principes éthiques, en particulier ceux consignés dans des codes ou des normes de déontologie professionnelle pertinents, sont respectés dans le cadre des activités de sensibilisation.</w:t>
            </w:r>
          </w:p>
        </w:tc>
      </w:tr>
      <w:tr w:rsidR="00944BBD" w:rsidRPr="00FD44C6" w14:paraId="2EB2E948" w14:textId="77777777" w:rsidTr="00A82031">
        <w:trPr>
          <w:cantSplit/>
        </w:trPr>
        <w:tc>
          <w:tcPr>
            <w:tcW w:w="918" w:type="pct"/>
            <w:vMerge w:val="restart"/>
            <w:shd w:val="clear" w:color="auto" w:fill="auto"/>
            <w:vAlign w:val="center"/>
          </w:tcPr>
          <w:p w14:paraId="55FFF011" w14:textId="77777777" w:rsidR="00944BBD" w:rsidRPr="00E42343" w:rsidRDefault="00944BBD" w:rsidP="00F21C0B">
            <w:pPr>
              <w:spacing w:before="60" w:after="60"/>
              <w:rPr>
                <w:rFonts w:ascii="Arial" w:hAnsi="Arial" w:cs="Arial"/>
                <w:b/>
                <w:sz w:val="20"/>
                <w:szCs w:val="20"/>
              </w:rPr>
            </w:pPr>
            <w:r w:rsidRPr="00E42343">
              <w:rPr>
                <w:rFonts w:ascii="Arial" w:hAnsi="Arial" w:cs="Arial"/>
                <w:b/>
                <w:sz w:val="20"/>
                <w:szCs w:val="20"/>
              </w:rPr>
              <w:t xml:space="preserve">Engagement des communautés, groupes et individus ainsi que </w:t>
            </w:r>
            <w:r>
              <w:rPr>
                <w:rFonts w:ascii="Arial" w:hAnsi="Arial" w:cs="Arial"/>
                <w:b/>
                <w:sz w:val="20"/>
                <w:szCs w:val="20"/>
              </w:rPr>
              <w:t>d’autres parties prenantes</w:t>
            </w:r>
          </w:p>
        </w:tc>
        <w:tc>
          <w:tcPr>
            <w:tcW w:w="998" w:type="pct"/>
            <w:vMerge w:val="restart"/>
            <w:shd w:val="clear" w:color="auto" w:fill="auto"/>
            <w:vAlign w:val="center"/>
          </w:tcPr>
          <w:p w14:paraId="56A9938B"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w:t>
            </w:r>
            <w:r>
              <w:rPr>
                <w:rFonts w:ascii="Arial" w:hAnsi="Arial"/>
                <w:sz w:val="20"/>
                <w:szCs w:val="20"/>
              </w:rPr>
              <w:t>’</w:t>
            </w:r>
            <w:r w:rsidRPr="00E42343">
              <w:rPr>
                <w:rFonts w:ascii="Arial" w:hAnsi="Arial"/>
                <w:sz w:val="20"/>
                <w:szCs w:val="20"/>
              </w:rPr>
              <w:t>engagement pour la sauvegarde du PCI est renforcé au sein des parties prenantes</w:t>
            </w:r>
          </w:p>
        </w:tc>
        <w:tc>
          <w:tcPr>
            <w:tcW w:w="3084" w:type="pct"/>
            <w:shd w:val="clear" w:color="auto" w:fill="auto"/>
            <w:vAlign w:val="center"/>
          </w:tcPr>
          <w:p w14:paraId="428E0D65" w14:textId="77777777" w:rsidR="00944BBD" w:rsidRPr="00E42343" w:rsidRDefault="00944BBD" w:rsidP="00655685">
            <w:pPr>
              <w:pStyle w:val="ListParagraph"/>
              <w:numPr>
                <w:ilvl w:val="1"/>
                <w:numId w:val="36"/>
              </w:numPr>
              <w:spacing w:before="60" w:after="60"/>
              <w:ind w:left="567" w:hanging="567"/>
              <w:contextualSpacing w:val="0"/>
              <w:rPr>
                <w:rFonts w:ascii="Arial" w:hAnsi="Arial"/>
                <w:vanish/>
                <w:sz w:val="20"/>
                <w:szCs w:val="20"/>
              </w:rPr>
            </w:pPr>
            <w:r w:rsidRPr="00E42343">
              <w:rPr>
                <w:rFonts w:ascii="Arial" w:hAnsi="Arial"/>
                <w:sz w:val="20"/>
                <w:szCs w:val="20"/>
              </w:rPr>
              <w:t>Les communautés, les groupes et les individus participent, sur une base inclusive et dans toute la mesure du possible, à la sauvegarde du PCI en général et des éléments spécifiques dudit patrimoine, qu</w:t>
            </w:r>
            <w:r>
              <w:rPr>
                <w:rFonts w:ascii="Arial" w:hAnsi="Arial"/>
                <w:sz w:val="20"/>
                <w:szCs w:val="20"/>
              </w:rPr>
              <w:t>’</w:t>
            </w:r>
            <w:r w:rsidRPr="00E42343">
              <w:rPr>
                <w:rFonts w:ascii="Arial" w:hAnsi="Arial"/>
                <w:sz w:val="20"/>
                <w:szCs w:val="20"/>
              </w:rPr>
              <w:t>ils soient inscrits ou non.</w:t>
            </w:r>
          </w:p>
        </w:tc>
      </w:tr>
      <w:tr w:rsidR="00944BBD" w:rsidRPr="00052470" w14:paraId="0476D8BE" w14:textId="77777777" w:rsidTr="00A82031">
        <w:trPr>
          <w:cantSplit/>
        </w:trPr>
        <w:tc>
          <w:tcPr>
            <w:tcW w:w="918" w:type="pct"/>
            <w:vMerge/>
            <w:shd w:val="clear" w:color="auto" w:fill="auto"/>
            <w:vAlign w:val="center"/>
          </w:tcPr>
          <w:p w14:paraId="20AC410E" w14:textId="77777777" w:rsidR="00944BBD" w:rsidRPr="003074FE" w:rsidRDefault="00944BBD" w:rsidP="00F21C0B">
            <w:pPr>
              <w:spacing w:before="60" w:after="60"/>
              <w:rPr>
                <w:rFonts w:ascii="Arial" w:hAnsi="Arial" w:cs="Arial"/>
                <w:b/>
                <w:sz w:val="20"/>
                <w:szCs w:val="20"/>
              </w:rPr>
            </w:pPr>
          </w:p>
        </w:tc>
        <w:tc>
          <w:tcPr>
            <w:tcW w:w="998" w:type="pct"/>
            <w:vMerge/>
            <w:shd w:val="clear" w:color="auto" w:fill="auto"/>
            <w:vAlign w:val="center"/>
          </w:tcPr>
          <w:p w14:paraId="0B487E05"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771747AD" w14:textId="77777777" w:rsidR="00944BBD" w:rsidRPr="00E42343" w:rsidRDefault="00944BBD" w:rsidP="00655685">
            <w:pPr>
              <w:pStyle w:val="ListParagraph"/>
              <w:numPr>
                <w:ilvl w:val="1"/>
                <w:numId w:val="36"/>
              </w:numPr>
              <w:spacing w:before="60" w:after="60"/>
              <w:ind w:left="567" w:hanging="567"/>
              <w:contextualSpacing w:val="0"/>
              <w:rPr>
                <w:rFonts w:ascii="Arial" w:hAnsi="Arial"/>
                <w:sz w:val="20"/>
                <w:szCs w:val="20"/>
              </w:rPr>
            </w:pPr>
            <w:r w:rsidRPr="00E42343">
              <w:rPr>
                <w:rFonts w:ascii="Arial" w:hAnsi="Arial"/>
                <w:sz w:val="20"/>
                <w:szCs w:val="20"/>
              </w:rPr>
              <w:t>Des ONG et d</w:t>
            </w:r>
            <w:r>
              <w:rPr>
                <w:rFonts w:ascii="Arial" w:hAnsi="Arial"/>
                <w:sz w:val="20"/>
                <w:szCs w:val="20"/>
              </w:rPr>
              <w:t>’</w:t>
            </w:r>
            <w:r w:rsidRPr="00E42343">
              <w:rPr>
                <w:rFonts w:ascii="Arial" w:hAnsi="Arial"/>
                <w:sz w:val="20"/>
                <w:szCs w:val="20"/>
              </w:rPr>
              <w:t>autres acteurs de la société civile participent à la sauvegarde du PCI en général, et des éléments spécifiques dudit patrimoine, qu</w:t>
            </w:r>
            <w:r>
              <w:rPr>
                <w:rFonts w:ascii="Arial" w:hAnsi="Arial"/>
                <w:sz w:val="20"/>
                <w:szCs w:val="20"/>
              </w:rPr>
              <w:t>’</w:t>
            </w:r>
            <w:r w:rsidRPr="00E42343">
              <w:rPr>
                <w:rFonts w:ascii="Arial" w:hAnsi="Arial"/>
                <w:sz w:val="20"/>
                <w:szCs w:val="20"/>
              </w:rPr>
              <w:t>ils soient inscrits ou non.</w:t>
            </w:r>
          </w:p>
        </w:tc>
      </w:tr>
      <w:tr w:rsidR="00944BBD" w:rsidRPr="00E42343" w14:paraId="2931F550" w14:textId="77777777" w:rsidTr="00A82031">
        <w:trPr>
          <w:cantSplit/>
        </w:trPr>
        <w:tc>
          <w:tcPr>
            <w:tcW w:w="918" w:type="pct"/>
            <w:vMerge/>
            <w:shd w:val="clear" w:color="auto" w:fill="auto"/>
            <w:vAlign w:val="center"/>
          </w:tcPr>
          <w:p w14:paraId="5E659C8E" w14:textId="77777777" w:rsidR="00944BBD" w:rsidRPr="003074FE" w:rsidRDefault="00944BBD" w:rsidP="00F21C0B">
            <w:pPr>
              <w:spacing w:before="60" w:after="60"/>
              <w:rPr>
                <w:rFonts w:ascii="Arial" w:hAnsi="Arial" w:cs="Arial"/>
                <w:b/>
                <w:sz w:val="20"/>
                <w:szCs w:val="20"/>
              </w:rPr>
            </w:pPr>
          </w:p>
        </w:tc>
        <w:tc>
          <w:tcPr>
            <w:tcW w:w="998" w:type="pct"/>
            <w:vMerge/>
            <w:shd w:val="clear" w:color="auto" w:fill="auto"/>
            <w:vAlign w:val="center"/>
          </w:tcPr>
          <w:p w14:paraId="7B33E1E1"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106D5CF7" w14:textId="77777777" w:rsidR="00944BBD" w:rsidRPr="00E42343" w:rsidRDefault="00944BBD" w:rsidP="00655685">
            <w:pPr>
              <w:pStyle w:val="ListParagraph"/>
              <w:numPr>
                <w:ilvl w:val="1"/>
                <w:numId w:val="36"/>
              </w:numPr>
              <w:spacing w:before="60" w:after="60"/>
              <w:ind w:left="567" w:hanging="567"/>
              <w:contextualSpacing w:val="0"/>
              <w:rPr>
                <w:rFonts w:ascii="Arial" w:hAnsi="Arial"/>
                <w:sz w:val="20"/>
                <w:szCs w:val="20"/>
              </w:rPr>
            </w:pPr>
            <w:r w:rsidRPr="00E42343">
              <w:rPr>
                <w:rFonts w:ascii="Arial" w:hAnsi="Arial"/>
                <w:sz w:val="20"/>
                <w:szCs w:val="20"/>
              </w:rPr>
              <w:t>Des entités du secteur privé participent à la sauvegarde du PCI et des éléments spécifiques dudit patrimoine, qu</w:t>
            </w:r>
            <w:r>
              <w:rPr>
                <w:rFonts w:ascii="Arial" w:hAnsi="Arial"/>
                <w:sz w:val="20"/>
                <w:szCs w:val="20"/>
              </w:rPr>
              <w:t>’</w:t>
            </w:r>
            <w:r w:rsidRPr="00E42343">
              <w:rPr>
                <w:rFonts w:ascii="Arial" w:hAnsi="Arial"/>
                <w:sz w:val="20"/>
                <w:szCs w:val="20"/>
              </w:rPr>
              <w:t>ils soient inscrits ou non, en respectant les Principes éthiques pour la sauvegarde du PCI.</w:t>
            </w:r>
          </w:p>
        </w:tc>
      </w:tr>
      <w:tr w:rsidR="00944BBD" w:rsidRPr="00E42343" w14:paraId="5E09E3F6" w14:textId="77777777" w:rsidTr="00A82031">
        <w:trPr>
          <w:cantSplit/>
        </w:trPr>
        <w:tc>
          <w:tcPr>
            <w:tcW w:w="918" w:type="pct"/>
            <w:vMerge/>
            <w:shd w:val="clear" w:color="auto" w:fill="auto"/>
            <w:vAlign w:val="center"/>
          </w:tcPr>
          <w:p w14:paraId="7C9CD893" w14:textId="77777777" w:rsidR="00944BBD" w:rsidRPr="00E42343" w:rsidRDefault="00944BBD" w:rsidP="00F21C0B">
            <w:pPr>
              <w:spacing w:before="60" w:after="60"/>
              <w:rPr>
                <w:rFonts w:ascii="Arial" w:hAnsi="Arial" w:cs="Arial"/>
                <w:b/>
                <w:sz w:val="20"/>
                <w:szCs w:val="20"/>
              </w:rPr>
            </w:pPr>
          </w:p>
        </w:tc>
        <w:tc>
          <w:tcPr>
            <w:tcW w:w="998" w:type="pct"/>
            <w:vMerge w:val="restart"/>
            <w:shd w:val="clear" w:color="auto" w:fill="auto"/>
            <w:vAlign w:val="center"/>
          </w:tcPr>
          <w:p w14:paraId="282D696D"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Mesure dans laquelle la société civile contribue au suivi de la sauvegarde du PCI</w:t>
            </w:r>
          </w:p>
        </w:tc>
        <w:tc>
          <w:tcPr>
            <w:tcW w:w="3084" w:type="pct"/>
            <w:shd w:val="clear" w:color="auto" w:fill="auto"/>
            <w:vAlign w:val="center"/>
          </w:tcPr>
          <w:p w14:paraId="71325555" w14:textId="77777777" w:rsidR="00944BBD" w:rsidRPr="00E42343" w:rsidRDefault="00944BBD" w:rsidP="00655685">
            <w:pPr>
              <w:pStyle w:val="ListParagraph"/>
              <w:numPr>
                <w:ilvl w:val="1"/>
                <w:numId w:val="37"/>
              </w:numPr>
              <w:spacing w:before="60" w:after="60"/>
              <w:ind w:left="567" w:hanging="567"/>
              <w:contextualSpacing w:val="0"/>
              <w:rPr>
                <w:rFonts w:ascii="Arial" w:hAnsi="Arial"/>
                <w:vanish/>
                <w:sz w:val="20"/>
                <w:szCs w:val="20"/>
              </w:rPr>
            </w:pPr>
            <w:r w:rsidRPr="00E42343">
              <w:rPr>
                <w:rFonts w:ascii="Arial" w:hAnsi="Arial"/>
                <w:sz w:val="20"/>
                <w:szCs w:val="20"/>
              </w:rPr>
              <w:t>Il existe un environnement propice pour les communautés, les groupes et les individus concernés pour assurer le suivi et entreprendre des études scientifiques</w:t>
            </w:r>
            <w:r>
              <w:rPr>
                <w:rFonts w:ascii="Arial" w:hAnsi="Arial"/>
                <w:sz w:val="20"/>
                <w:szCs w:val="20"/>
              </w:rPr>
              <w:t>,</w:t>
            </w:r>
            <w:r w:rsidRPr="00E42343">
              <w:rPr>
                <w:rFonts w:ascii="Arial" w:hAnsi="Arial"/>
                <w:sz w:val="20"/>
                <w:szCs w:val="20"/>
              </w:rPr>
              <w:t xml:space="preserve"> </w:t>
            </w:r>
            <w:r>
              <w:rPr>
                <w:rFonts w:ascii="Arial" w:hAnsi="Arial"/>
                <w:sz w:val="20"/>
                <w:szCs w:val="20"/>
              </w:rPr>
              <w:t xml:space="preserve">techniques et artistiques </w:t>
            </w:r>
            <w:r w:rsidRPr="00E42343">
              <w:rPr>
                <w:rFonts w:ascii="Arial" w:hAnsi="Arial"/>
                <w:sz w:val="20"/>
                <w:szCs w:val="20"/>
              </w:rPr>
              <w:t>sur des programmes et des mesures de sauvegarde du PCI.</w:t>
            </w:r>
          </w:p>
        </w:tc>
      </w:tr>
      <w:tr w:rsidR="00944BBD" w:rsidRPr="00E42343" w14:paraId="7F10FEE9" w14:textId="77777777" w:rsidTr="00A82031">
        <w:trPr>
          <w:cantSplit/>
        </w:trPr>
        <w:tc>
          <w:tcPr>
            <w:tcW w:w="918" w:type="pct"/>
            <w:vMerge/>
            <w:shd w:val="clear" w:color="auto" w:fill="auto"/>
            <w:vAlign w:val="center"/>
          </w:tcPr>
          <w:p w14:paraId="3C7B3A58"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5E7A23F9"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0EC2F7C7" w14:textId="77777777" w:rsidR="00944BBD" w:rsidRPr="00E42343" w:rsidRDefault="00944BBD" w:rsidP="00655685">
            <w:pPr>
              <w:pStyle w:val="ListParagraph"/>
              <w:numPr>
                <w:ilvl w:val="1"/>
                <w:numId w:val="37"/>
              </w:numPr>
              <w:spacing w:before="60" w:after="60"/>
              <w:ind w:left="567" w:hanging="567"/>
              <w:contextualSpacing w:val="0"/>
              <w:rPr>
                <w:rFonts w:ascii="Arial" w:hAnsi="Arial"/>
                <w:sz w:val="20"/>
                <w:szCs w:val="20"/>
              </w:rPr>
            </w:pPr>
            <w:r w:rsidRPr="00E42343">
              <w:rPr>
                <w:rFonts w:ascii="Arial" w:hAnsi="Arial"/>
                <w:sz w:val="20"/>
                <w:szCs w:val="20"/>
              </w:rPr>
              <w:t>Il existe un environnement propice pour les ONG, et d</w:t>
            </w:r>
            <w:r>
              <w:rPr>
                <w:rFonts w:ascii="Arial" w:hAnsi="Arial"/>
                <w:sz w:val="20"/>
                <w:szCs w:val="20"/>
              </w:rPr>
              <w:t>’</w:t>
            </w:r>
            <w:r w:rsidRPr="00E42343">
              <w:rPr>
                <w:rFonts w:ascii="Arial" w:hAnsi="Arial"/>
                <w:sz w:val="20"/>
                <w:szCs w:val="20"/>
              </w:rPr>
              <w:t>autres organisations de la société civile pour assurer le suivi et entreprendre des études scientifiques</w:t>
            </w:r>
            <w:r>
              <w:rPr>
                <w:rFonts w:ascii="Arial" w:hAnsi="Arial"/>
                <w:sz w:val="20"/>
                <w:szCs w:val="20"/>
              </w:rPr>
              <w:t>,</w:t>
            </w:r>
            <w:r w:rsidRPr="00E42343">
              <w:rPr>
                <w:rFonts w:ascii="Arial" w:hAnsi="Arial"/>
                <w:sz w:val="20"/>
                <w:szCs w:val="20"/>
              </w:rPr>
              <w:t xml:space="preserve"> </w:t>
            </w:r>
            <w:r>
              <w:rPr>
                <w:rFonts w:ascii="Arial" w:hAnsi="Arial"/>
                <w:sz w:val="20"/>
                <w:szCs w:val="20"/>
              </w:rPr>
              <w:t xml:space="preserve">techniques et artistiques </w:t>
            </w:r>
            <w:r w:rsidRPr="00E42343">
              <w:rPr>
                <w:rFonts w:ascii="Arial" w:hAnsi="Arial"/>
                <w:sz w:val="20"/>
                <w:szCs w:val="20"/>
              </w:rPr>
              <w:t xml:space="preserve">sur des programmes et des mesures de sauvegarde du PCI. </w:t>
            </w:r>
          </w:p>
        </w:tc>
      </w:tr>
      <w:tr w:rsidR="00944BBD" w:rsidRPr="00E42343" w14:paraId="3883ECC7" w14:textId="77777777" w:rsidTr="00A82031">
        <w:trPr>
          <w:cantSplit/>
        </w:trPr>
        <w:tc>
          <w:tcPr>
            <w:tcW w:w="918" w:type="pct"/>
            <w:vMerge/>
            <w:shd w:val="clear" w:color="auto" w:fill="auto"/>
            <w:vAlign w:val="center"/>
          </w:tcPr>
          <w:p w14:paraId="4A103471"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6AB8C05E"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4CB8D6E0" w14:textId="77777777" w:rsidR="00944BBD" w:rsidRPr="00E42343" w:rsidRDefault="00944BBD" w:rsidP="00655685">
            <w:pPr>
              <w:pStyle w:val="ListParagraph"/>
              <w:numPr>
                <w:ilvl w:val="1"/>
                <w:numId w:val="37"/>
              </w:numPr>
              <w:spacing w:before="60" w:after="60"/>
              <w:ind w:left="567" w:hanging="567"/>
              <w:contextualSpacing w:val="0"/>
              <w:rPr>
                <w:rFonts w:ascii="Arial" w:hAnsi="Arial"/>
                <w:sz w:val="20"/>
                <w:szCs w:val="20"/>
              </w:rPr>
            </w:pPr>
            <w:r w:rsidRPr="00E42343">
              <w:rPr>
                <w:rFonts w:ascii="Arial" w:hAnsi="Arial"/>
                <w:sz w:val="20"/>
                <w:szCs w:val="20"/>
              </w:rPr>
              <w:t xml:space="preserve">Il existe un environnement propice pour les chercheurs, les experts, les </w:t>
            </w:r>
            <w:r>
              <w:rPr>
                <w:rFonts w:ascii="Arial" w:hAnsi="Arial"/>
                <w:sz w:val="20"/>
                <w:szCs w:val="20"/>
              </w:rPr>
              <w:t xml:space="preserve">instituts de recherche </w:t>
            </w:r>
            <w:r w:rsidRPr="00E42343">
              <w:rPr>
                <w:rFonts w:ascii="Arial" w:hAnsi="Arial"/>
                <w:sz w:val="20"/>
                <w:szCs w:val="20"/>
              </w:rPr>
              <w:t>et les centres d</w:t>
            </w:r>
            <w:r>
              <w:rPr>
                <w:rFonts w:ascii="Arial" w:hAnsi="Arial"/>
                <w:sz w:val="20"/>
                <w:szCs w:val="20"/>
              </w:rPr>
              <w:t>’</w:t>
            </w:r>
            <w:r w:rsidRPr="00E42343">
              <w:rPr>
                <w:rFonts w:ascii="Arial" w:hAnsi="Arial"/>
                <w:sz w:val="20"/>
                <w:szCs w:val="20"/>
              </w:rPr>
              <w:t>expertise pour assurer le suivi et entreprendre des études</w:t>
            </w:r>
            <w:r>
              <w:rPr>
                <w:rFonts w:ascii="Arial" w:hAnsi="Arial"/>
                <w:sz w:val="20"/>
                <w:szCs w:val="20"/>
              </w:rPr>
              <w:t xml:space="preserve"> </w:t>
            </w:r>
            <w:r w:rsidRPr="00E42343">
              <w:rPr>
                <w:rFonts w:ascii="Arial" w:hAnsi="Arial"/>
                <w:sz w:val="20"/>
                <w:szCs w:val="20"/>
              </w:rPr>
              <w:t>scientifiques</w:t>
            </w:r>
            <w:r>
              <w:rPr>
                <w:rFonts w:ascii="Arial" w:hAnsi="Arial"/>
                <w:sz w:val="20"/>
                <w:szCs w:val="20"/>
              </w:rPr>
              <w:t>,</w:t>
            </w:r>
            <w:r w:rsidRPr="00E42343">
              <w:rPr>
                <w:rFonts w:ascii="Arial" w:hAnsi="Arial"/>
                <w:sz w:val="20"/>
                <w:szCs w:val="20"/>
              </w:rPr>
              <w:t xml:space="preserve"> </w:t>
            </w:r>
            <w:r>
              <w:rPr>
                <w:rFonts w:ascii="Arial" w:hAnsi="Arial"/>
                <w:sz w:val="20"/>
                <w:szCs w:val="20"/>
              </w:rPr>
              <w:t>techniques</w:t>
            </w:r>
            <w:r w:rsidRPr="00E42343">
              <w:rPr>
                <w:rFonts w:ascii="Arial" w:hAnsi="Arial"/>
                <w:sz w:val="20"/>
                <w:szCs w:val="20"/>
              </w:rPr>
              <w:t xml:space="preserve"> </w:t>
            </w:r>
            <w:r>
              <w:rPr>
                <w:rFonts w:ascii="Arial" w:hAnsi="Arial"/>
                <w:sz w:val="20"/>
                <w:szCs w:val="20"/>
              </w:rPr>
              <w:t xml:space="preserve">et artistiques </w:t>
            </w:r>
            <w:r w:rsidRPr="00E42343">
              <w:rPr>
                <w:rFonts w:ascii="Arial" w:hAnsi="Arial"/>
                <w:sz w:val="20"/>
                <w:szCs w:val="20"/>
              </w:rPr>
              <w:t>sur des programmes et des mesures de sauvegarde du PCI.</w:t>
            </w:r>
          </w:p>
        </w:tc>
      </w:tr>
      <w:tr w:rsidR="00944BBD" w:rsidRPr="00E42343" w14:paraId="75C212CA" w14:textId="77777777" w:rsidTr="00A82031">
        <w:trPr>
          <w:cantSplit/>
        </w:trPr>
        <w:tc>
          <w:tcPr>
            <w:tcW w:w="918" w:type="pct"/>
            <w:vMerge w:val="restart"/>
            <w:shd w:val="clear" w:color="auto" w:fill="auto"/>
            <w:vAlign w:val="center"/>
          </w:tcPr>
          <w:p w14:paraId="381F67C2" w14:textId="77777777" w:rsidR="00944BBD" w:rsidRPr="00E42343" w:rsidRDefault="00944BBD" w:rsidP="00F21C0B">
            <w:pPr>
              <w:spacing w:before="60" w:after="60"/>
              <w:rPr>
                <w:rFonts w:ascii="Arial" w:hAnsi="Arial" w:cs="Arial"/>
                <w:b/>
                <w:sz w:val="20"/>
                <w:szCs w:val="20"/>
              </w:rPr>
            </w:pPr>
            <w:r w:rsidRPr="00E42343">
              <w:rPr>
                <w:rFonts w:ascii="Arial" w:hAnsi="Arial" w:cs="Arial"/>
                <w:b/>
                <w:sz w:val="20"/>
                <w:szCs w:val="20"/>
              </w:rPr>
              <w:t>Engagement international</w:t>
            </w:r>
          </w:p>
        </w:tc>
        <w:tc>
          <w:tcPr>
            <w:tcW w:w="998" w:type="pct"/>
            <w:vMerge w:val="restart"/>
            <w:shd w:val="clear" w:color="auto" w:fill="auto"/>
            <w:vAlign w:val="center"/>
          </w:tcPr>
          <w:p w14:paraId="27DC52AC"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Nombre et répartition géographique des ONG, organismes publics et privés et des personnes privées impliquées par le Comité à titre consultatif</w:t>
            </w:r>
            <w:r w:rsidRPr="00E42343">
              <w:rPr>
                <w:rStyle w:val="FootnoteReference"/>
                <w:rFonts w:ascii="Arial" w:hAnsi="Arial"/>
                <w:sz w:val="20"/>
                <w:szCs w:val="20"/>
                <w:lang w:val="en-GB"/>
              </w:rPr>
              <w:footnoteReference w:id="9"/>
            </w:r>
          </w:p>
        </w:tc>
        <w:tc>
          <w:tcPr>
            <w:tcW w:w="3084" w:type="pct"/>
            <w:shd w:val="clear" w:color="auto" w:fill="auto"/>
            <w:vAlign w:val="center"/>
          </w:tcPr>
          <w:p w14:paraId="4A5C581E" w14:textId="77777777" w:rsidR="00944BBD" w:rsidRPr="00E42343" w:rsidRDefault="00944BBD" w:rsidP="00655685">
            <w:pPr>
              <w:pStyle w:val="ListParagraph"/>
              <w:numPr>
                <w:ilvl w:val="1"/>
                <w:numId w:val="38"/>
              </w:numPr>
              <w:spacing w:before="60" w:after="60"/>
              <w:ind w:left="567" w:hanging="567"/>
              <w:contextualSpacing w:val="0"/>
              <w:rPr>
                <w:rFonts w:ascii="Arial" w:hAnsi="Arial"/>
                <w:sz w:val="20"/>
                <w:szCs w:val="20"/>
              </w:rPr>
            </w:pPr>
            <w:r w:rsidRPr="00E42343">
              <w:rPr>
                <w:rFonts w:ascii="Arial" w:hAnsi="Arial"/>
                <w:sz w:val="20"/>
                <w:szCs w:val="20"/>
              </w:rPr>
              <w:t>Nombre d</w:t>
            </w:r>
            <w:r>
              <w:rPr>
                <w:rFonts w:ascii="Arial" w:hAnsi="Arial"/>
                <w:sz w:val="20"/>
                <w:szCs w:val="20"/>
              </w:rPr>
              <w:t>’</w:t>
            </w:r>
            <w:r w:rsidRPr="00E42343">
              <w:rPr>
                <w:rFonts w:ascii="Arial" w:hAnsi="Arial"/>
                <w:sz w:val="20"/>
                <w:szCs w:val="20"/>
              </w:rPr>
              <w:t>ONG accréditées pour fournir des services consultatifs, leur répartition géographique et la représentation des différents domaines.</w:t>
            </w:r>
          </w:p>
        </w:tc>
      </w:tr>
      <w:tr w:rsidR="00944BBD" w:rsidRPr="00E42343" w14:paraId="5CA30AC1" w14:textId="77777777" w:rsidTr="00A82031">
        <w:trPr>
          <w:cantSplit/>
        </w:trPr>
        <w:tc>
          <w:tcPr>
            <w:tcW w:w="918" w:type="pct"/>
            <w:vMerge/>
            <w:shd w:val="clear" w:color="auto" w:fill="auto"/>
            <w:vAlign w:val="center"/>
          </w:tcPr>
          <w:p w14:paraId="3157D595"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11A974E5" w14:textId="77777777" w:rsidR="00944BBD" w:rsidRPr="00E42343" w:rsidRDefault="00944BBD" w:rsidP="00F21C0B">
            <w:pPr>
              <w:spacing w:before="60" w:after="60"/>
              <w:rPr>
                <w:rFonts w:ascii="Arial" w:hAnsi="Arial" w:cs="Arial"/>
                <w:sz w:val="20"/>
                <w:szCs w:val="20"/>
              </w:rPr>
            </w:pPr>
          </w:p>
        </w:tc>
        <w:tc>
          <w:tcPr>
            <w:tcW w:w="3084" w:type="pct"/>
            <w:shd w:val="clear" w:color="auto" w:fill="auto"/>
            <w:vAlign w:val="center"/>
          </w:tcPr>
          <w:p w14:paraId="2CF63EC6" w14:textId="77777777" w:rsidR="00944BBD" w:rsidRPr="00E42343" w:rsidRDefault="00944BBD" w:rsidP="00655685">
            <w:pPr>
              <w:pStyle w:val="ListParagraph"/>
              <w:numPr>
                <w:ilvl w:val="1"/>
                <w:numId w:val="38"/>
              </w:numPr>
              <w:spacing w:before="60" w:after="60"/>
              <w:ind w:left="567" w:hanging="567"/>
              <w:contextualSpacing w:val="0"/>
              <w:rPr>
                <w:rFonts w:ascii="Arial" w:hAnsi="Arial"/>
                <w:sz w:val="20"/>
                <w:szCs w:val="20"/>
              </w:rPr>
            </w:pPr>
            <w:r w:rsidRPr="00E42343">
              <w:rPr>
                <w:rFonts w:ascii="Arial" w:hAnsi="Arial"/>
                <w:sz w:val="20"/>
                <w:szCs w:val="20"/>
              </w:rPr>
              <w:t>Pourcentage d</w:t>
            </w:r>
            <w:r>
              <w:rPr>
                <w:rFonts w:ascii="Arial" w:hAnsi="Arial"/>
                <w:sz w:val="20"/>
                <w:szCs w:val="20"/>
              </w:rPr>
              <w:t>’</w:t>
            </w:r>
            <w:r w:rsidRPr="00E42343">
              <w:rPr>
                <w:rFonts w:ascii="Arial" w:hAnsi="Arial"/>
                <w:sz w:val="20"/>
                <w:szCs w:val="20"/>
              </w:rPr>
              <w:t>ONG accréditées participant aux sessions et groupes de travail des organes directeurs de la Convention et leur répartition géographique.</w:t>
            </w:r>
          </w:p>
        </w:tc>
      </w:tr>
      <w:tr w:rsidR="00944BBD" w:rsidRPr="00E42343" w14:paraId="72A3A89E" w14:textId="77777777" w:rsidTr="00A82031">
        <w:trPr>
          <w:cantSplit/>
        </w:trPr>
        <w:tc>
          <w:tcPr>
            <w:tcW w:w="918" w:type="pct"/>
            <w:vMerge/>
            <w:shd w:val="clear" w:color="auto" w:fill="auto"/>
            <w:vAlign w:val="center"/>
          </w:tcPr>
          <w:p w14:paraId="75E07D27"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402E48B7" w14:textId="77777777" w:rsidR="00944BBD" w:rsidRPr="00E42343" w:rsidRDefault="00944BBD" w:rsidP="00F21C0B">
            <w:pPr>
              <w:spacing w:before="60" w:after="60"/>
              <w:rPr>
                <w:rFonts w:ascii="Arial" w:hAnsi="Arial" w:cs="Arial"/>
                <w:sz w:val="20"/>
                <w:szCs w:val="20"/>
              </w:rPr>
            </w:pPr>
          </w:p>
        </w:tc>
        <w:tc>
          <w:tcPr>
            <w:tcW w:w="3084" w:type="pct"/>
            <w:shd w:val="clear" w:color="auto" w:fill="auto"/>
            <w:vAlign w:val="center"/>
          </w:tcPr>
          <w:p w14:paraId="4AA85E96" w14:textId="77777777" w:rsidR="00944BBD" w:rsidRPr="00E42343" w:rsidDel="00A83E05" w:rsidRDefault="00944BBD" w:rsidP="00655685">
            <w:pPr>
              <w:pStyle w:val="ListParagraph"/>
              <w:numPr>
                <w:ilvl w:val="1"/>
                <w:numId w:val="38"/>
              </w:numPr>
              <w:spacing w:before="60" w:after="60"/>
              <w:ind w:left="567" w:hanging="567"/>
              <w:contextualSpacing w:val="0"/>
              <w:rPr>
                <w:rFonts w:ascii="Arial" w:hAnsi="Arial"/>
                <w:sz w:val="20"/>
                <w:szCs w:val="20"/>
              </w:rPr>
            </w:pPr>
            <w:r w:rsidRPr="00E42343">
              <w:rPr>
                <w:rFonts w:ascii="Arial" w:hAnsi="Arial"/>
                <w:sz w:val="20"/>
                <w:szCs w:val="20"/>
              </w:rPr>
              <w:t>Nombre d</w:t>
            </w:r>
            <w:r>
              <w:rPr>
                <w:rFonts w:ascii="Arial" w:hAnsi="Arial"/>
                <w:sz w:val="20"/>
                <w:szCs w:val="20"/>
              </w:rPr>
              <w:t>’</w:t>
            </w:r>
            <w:r w:rsidRPr="00E42343">
              <w:rPr>
                <w:rFonts w:ascii="Arial" w:hAnsi="Arial"/>
                <w:sz w:val="20"/>
                <w:szCs w:val="20"/>
              </w:rPr>
              <w:t>occasions et activités dans lesquelles des ONG accréditées sont impliquées par le Comité à titre consultatif en dehors des mécanismes d</w:t>
            </w:r>
            <w:r>
              <w:rPr>
                <w:rFonts w:ascii="Arial" w:hAnsi="Arial"/>
                <w:sz w:val="20"/>
                <w:szCs w:val="20"/>
              </w:rPr>
              <w:t>’</w:t>
            </w:r>
            <w:r w:rsidRPr="00E42343">
              <w:rPr>
                <w:rFonts w:ascii="Arial" w:hAnsi="Arial"/>
                <w:sz w:val="20"/>
                <w:szCs w:val="20"/>
              </w:rPr>
              <w:t>évaluation.</w:t>
            </w:r>
          </w:p>
        </w:tc>
      </w:tr>
      <w:tr w:rsidR="00944BBD" w:rsidRPr="00E42343" w14:paraId="1D20DC46" w14:textId="77777777" w:rsidTr="00A82031">
        <w:trPr>
          <w:cantSplit/>
        </w:trPr>
        <w:tc>
          <w:tcPr>
            <w:tcW w:w="918" w:type="pct"/>
            <w:vMerge/>
            <w:shd w:val="clear" w:color="auto" w:fill="auto"/>
            <w:vAlign w:val="center"/>
          </w:tcPr>
          <w:p w14:paraId="0B88B228" w14:textId="77777777" w:rsidR="00944BBD" w:rsidRPr="00E42343" w:rsidRDefault="00944BBD" w:rsidP="00F21C0B">
            <w:pPr>
              <w:spacing w:before="60" w:after="60"/>
              <w:rPr>
                <w:rFonts w:ascii="Arial" w:hAnsi="Arial" w:cs="Arial"/>
                <w:b/>
                <w:sz w:val="20"/>
                <w:szCs w:val="20"/>
              </w:rPr>
            </w:pPr>
          </w:p>
        </w:tc>
        <w:tc>
          <w:tcPr>
            <w:tcW w:w="998" w:type="pct"/>
            <w:vMerge w:val="restart"/>
            <w:shd w:val="clear" w:color="auto" w:fill="auto"/>
            <w:vAlign w:val="center"/>
          </w:tcPr>
          <w:p w14:paraId="16276CA5"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Pourcentage des États parties activement engagés dans la coopération au service de la sauvegarde avec d</w:t>
            </w:r>
            <w:r>
              <w:rPr>
                <w:rFonts w:ascii="Arial" w:hAnsi="Arial"/>
                <w:sz w:val="20"/>
                <w:szCs w:val="20"/>
              </w:rPr>
              <w:t>’</w:t>
            </w:r>
            <w:r w:rsidRPr="00E42343">
              <w:rPr>
                <w:rFonts w:ascii="Arial" w:hAnsi="Arial"/>
                <w:sz w:val="20"/>
                <w:szCs w:val="20"/>
              </w:rPr>
              <w:t>autres États parties</w:t>
            </w:r>
          </w:p>
        </w:tc>
        <w:tc>
          <w:tcPr>
            <w:tcW w:w="3084" w:type="pct"/>
            <w:shd w:val="clear" w:color="auto" w:fill="auto"/>
            <w:vAlign w:val="center"/>
          </w:tcPr>
          <w:p w14:paraId="017FADB1" w14:textId="77777777" w:rsidR="00944BBD" w:rsidRPr="00E42343" w:rsidRDefault="00944BBD" w:rsidP="00655685">
            <w:pPr>
              <w:pStyle w:val="ListParagraph"/>
              <w:numPr>
                <w:ilvl w:val="1"/>
                <w:numId w:val="39"/>
              </w:numPr>
              <w:spacing w:before="60" w:after="60"/>
              <w:ind w:left="567" w:hanging="567"/>
              <w:contextualSpacing w:val="0"/>
              <w:rPr>
                <w:rFonts w:ascii="Arial" w:hAnsi="Arial"/>
                <w:vanish/>
                <w:sz w:val="20"/>
                <w:szCs w:val="20"/>
              </w:rPr>
            </w:pPr>
            <w:r w:rsidRPr="00E42343">
              <w:rPr>
                <w:rFonts w:ascii="Arial" w:hAnsi="Arial"/>
                <w:sz w:val="20"/>
                <w:szCs w:val="20"/>
              </w:rPr>
              <w:t>Une coopération bilatérale, multilatérale, régionale ou internationale est entreprise pour mettre en œuvre des mesures de sauvegarde du PCI en général.</w:t>
            </w:r>
          </w:p>
        </w:tc>
      </w:tr>
      <w:tr w:rsidR="00944BBD" w:rsidRPr="00E42343" w14:paraId="7637B9D8" w14:textId="77777777" w:rsidTr="00A82031">
        <w:trPr>
          <w:cantSplit/>
        </w:trPr>
        <w:tc>
          <w:tcPr>
            <w:tcW w:w="918" w:type="pct"/>
            <w:vMerge/>
            <w:shd w:val="clear" w:color="auto" w:fill="auto"/>
            <w:vAlign w:val="center"/>
          </w:tcPr>
          <w:p w14:paraId="10AF34E3"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2C8C9892" w14:textId="77777777" w:rsidR="00944BBD" w:rsidRPr="00E42343" w:rsidRDefault="00944BBD" w:rsidP="00655685">
            <w:pPr>
              <w:pStyle w:val="ListParagraph"/>
              <w:numPr>
                <w:ilvl w:val="0"/>
                <w:numId w:val="12"/>
              </w:numPr>
              <w:spacing w:before="60" w:after="60"/>
              <w:ind w:left="370" w:hanging="397"/>
              <w:contextualSpacing w:val="0"/>
              <w:jc w:val="both"/>
              <w:rPr>
                <w:rFonts w:ascii="Arial" w:hAnsi="Arial"/>
                <w:sz w:val="20"/>
                <w:szCs w:val="20"/>
              </w:rPr>
            </w:pPr>
          </w:p>
        </w:tc>
        <w:tc>
          <w:tcPr>
            <w:tcW w:w="3084" w:type="pct"/>
            <w:shd w:val="clear" w:color="auto" w:fill="auto"/>
            <w:vAlign w:val="center"/>
          </w:tcPr>
          <w:p w14:paraId="28C5E40B" w14:textId="77777777" w:rsidR="00944BBD" w:rsidRPr="00E42343" w:rsidRDefault="00944BBD" w:rsidP="00655685">
            <w:pPr>
              <w:pStyle w:val="ListParagraph"/>
              <w:numPr>
                <w:ilvl w:val="1"/>
                <w:numId w:val="39"/>
              </w:numPr>
              <w:spacing w:before="60" w:after="60"/>
              <w:ind w:left="567" w:hanging="567"/>
              <w:contextualSpacing w:val="0"/>
              <w:rPr>
                <w:rFonts w:ascii="Arial" w:hAnsi="Arial"/>
                <w:sz w:val="20"/>
                <w:szCs w:val="20"/>
              </w:rPr>
            </w:pPr>
            <w:r w:rsidRPr="00E42343">
              <w:rPr>
                <w:rFonts w:ascii="Arial" w:hAnsi="Arial"/>
                <w:sz w:val="20"/>
                <w:szCs w:val="20"/>
              </w:rPr>
              <w:t>Une coopération bilatérale, multilatérale, régionale ou internationale est entreprise pour mettre en œuvre des mesures de sauvegarde pour des éléments spécifiques du PCI, notamment ceux en danger, ceux présents sur les territoires de plusieurs pays et les éléments transfrontaliers.</w:t>
            </w:r>
          </w:p>
        </w:tc>
      </w:tr>
      <w:tr w:rsidR="00944BBD" w:rsidRPr="00E42343" w14:paraId="7EA6E7E2" w14:textId="77777777" w:rsidTr="00A82031">
        <w:trPr>
          <w:cantSplit/>
        </w:trPr>
        <w:tc>
          <w:tcPr>
            <w:tcW w:w="918" w:type="pct"/>
            <w:vMerge/>
            <w:shd w:val="clear" w:color="auto" w:fill="auto"/>
            <w:vAlign w:val="center"/>
          </w:tcPr>
          <w:p w14:paraId="52E18C54"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31D14BE8" w14:textId="77777777" w:rsidR="00944BBD" w:rsidRPr="00E42343" w:rsidRDefault="00944BBD" w:rsidP="00F21C0B">
            <w:pPr>
              <w:spacing w:before="60" w:after="60"/>
              <w:rPr>
                <w:rFonts w:ascii="Arial" w:hAnsi="Arial" w:cs="Arial"/>
                <w:sz w:val="20"/>
                <w:szCs w:val="20"/>
              </w:rPr>
            </w:pPr>
          </w:p>
        </w:tc>
        <w:tc>
          <w:tcPr>
            <w:tcW w:w="3084" w:type="pct"/>
            <w:shd w:val="clear" w:color="auto" w:fill="auto"/>
            <w:vAlign w:val="center"/>
          </w:tcPr>
          <w:p w14:paraId="4559D182" w14:textId="77777777" w:rsidR="00944BBD" w:rsidRPr="00E42343" w:rsidRDefault="00944BBD" w:rsidP="00655685">
            <w:pPr>
              <w:pStyle w:val="ListParagraph"/>
              <w:numPr>
                <w:ilvl w:val="1"/>
                <w:numId w:val="39"/>
              </w:numPr>
              <w:spacing w:before="60" w:after="60"/>
              <w:ind w:left="567" w:hanging="567"/>
              <w:contextualSpacing w:val="0"/>
              <w:rPr>
                <w:rFonts w:ascii="Arial" w:hAnsi="Arial"/>
                <w:sz w:val="20"/>
                <w:szCs w:val="20"/>
              </w:rPr>
            </w:pPr>
            <w:r w:rsidRPr="00E42343">
              <w:rPr>
                <w:rFonts w:ascii="Arial" w:hAnsi="Arial"/>
                <w:sz w:val="20"/>
                <w:szCs w:val="20"/>
              </w:rPr>
              <w:t>Des informations et des expériences sur le PCI et sa sauvegarde, y compris sur des bonnes pratiques de sauvegarde, sont échangées avec d</w:t>
            </w:r>
            <w:r>
              <w:rPr>
                <w:rFonts w:ascii="Arial" w:hAnsi="Arial"/>
                <w:sz w:val="20"/>
                <w:szCs w:val="20"/>
              </w:rPr>
              <w:t>’</w:t>
            </w:r>
            <w:r w:rsidRPr="00E42343">
              <w:rPr>
                <w:rFonts w:ascii="Arial" w:hAnsi="Arial"/>
                <w:sz w:val="20"/>
                <w:szCs w:val="20"/>
              </w:rPr>
              <w:t>autres États parties.</w:t>
            </w:r>
          </w:p>
        </w:tc>
      </w:tr>
      <w:tr w:rsidR="00944BBD" w:rsidRPr="00E42343" w14:paraId="441E76FC" w14:textId="77777777" w:rsidTr="00A82031">
        <w:trPr>
          <w:cantSplit/>
        </w:trPr>
        <w:tc>
          <w:tcPr>
            <w:tcW w:w="918" w:type="pct"/>
            <w:vMerge/>
            <w:shd w:val="clear" w:color="auto" w:fill="auto"/>
            <w:vAlign w:val="center"/>
          </w:tcPr>
          <w:p w14:paraId="641ACC13"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7313E238" w14:textId="77777777" w:rsidR="00944BBD" w:rsidRPr="00E42343" w:rsidRDefault="00944BBD" w:rsidP="00F21C0B">
            <w:pPr>
              <w:spacing w:before="60" w:after="60"/>
              <w:rPr>
                <w:rFonts w:ascii="Arial" w:hAnsi="Arial" w:cs="Arial"/>
                <w:sz w:val="20"/>
                <w:szCs w:val="20"/>
              </w:rPr>
            </w:pPr>
          </w:p>
        </w:tc>
        <w:tc>
          <w:tcPr>
            <w:tcW w:w="3084" w:type="pct"/>
            <w:shd w:val="clear" w:color="auto" w:fill="auto"/>
            <w:vAlign w:val="center"/>
          </w:tcPr>
          <w:p w14:paraId="5CDA7F12" w14:textId="77777777" w:rsidR="00944BBD" w:rsidRPr="00E42343" w:rsidRDefault="00944BBD" w:rsidP="00655685">
            <w:pPr>
              <w:pStyle w:val="ListParagraph"/>
              <w:numPr>
                <w:ilvl w:val="1"/>
                <w:numId w:val="39"/>
              </w:numPr>
              <w:spacing w:before="60" w:after="60"/>
              <w:ind w:left="567" w:hanging="567"/>
              <w:contextualSpacing w:val="0"/>
              <w:rPr>
                <w:rFonts w:ascii="Arial" w:hAnsi="Arial"/>
                <w:sz w:val="20"/>
                <w:szCs w:val="20"/>
              </w:rPr>
            </w:pPr>
            <w:r w:rsidRPr="00E42343">
              <w:rPr>
                <w:rFonts w:ascii="Arial" w:hAnsi="Arial"/>
                <w:sz w:val="20"/>
                <w:szCs w:val="20"/>
              </w:rPr>
              <w:t>La documentation sur un élément du PCI présent sur le territoire d</w:t>
            </w:r>
            <w:r>
              <w:rPr>
                <w:rFonts w:ascii="Arial" w:hAnsi="Arial"/>
                <w:sz w:val="20"/>
                <w:szCs w:val="20"/>
              </w:rPr>
              <w:t>’</w:t>
            </w:r>
            <w:r w:rsidRPr="00E42343">
              <w:rPr>
                <w:rFonts w:ascii="Arial" w:hAnsi="Arial"/>
                <w:sz w:val="20"/>
                <w:szCs w:val="20"/>
              </w:rPr>
              <w:t>un autre État partie est partagée avec celui-ci.</w:t>
            </w:r>
          </w:p>
        </w:tc>
      </w:tr>
      <w:tr w:rsidR="00944BBD" w:rsidRPr="00E42343" w14:paraId="6B585A70" w14:textId="77777777" w:rsidTr="00A82031">
        <w:trPr>
          <w:cantSplit/>
        </w:trPr>
        <w:tc>
          <w:tcPr>
            <w:tcW w:w="918" w:type="pct"/>
            <w:vMerge/>
            <w:shd w:val="clear" w:color="auto" w:fill="auto"/>
            <w:vAlign w:val="center"/>
          </w:tcPr>
          <w:p w14:paraId="5FC76FB2" w14:textId="77777777" w:rsidR="00944BBD" w:rsidRPr="00E42343" w:rsidRDefault="00944BBD" w:rsidP="00F21C0B">
            <w:pPr>
              <w:spacing w:before="60" w:after="60"/>
              <w:rPr>
                <w:rFonts w:ascii="Arial" w:hAnsi="Arial" w:cs="Arial"/>
                <w:b/>
                <w:sz w:val="20"/>
                <w:szCs w:val="20"/>
              </w:rPr>
            </w:pPr>
          </w:p>
        </w:tc>
        <w:tc>
          <w:tcPr>
            <w:tcW w:w="998" w:type="pct"/>
            <w:vMerge w:val="restart"/>
            <w:shd w:val="clear" w:color="auto" w:fill="auto"/>
            <w:vAlign w:val="center"/>
          </w:tcPr>
          <w:p w14:paraId="0114EAD1"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Pourcentage d</w:t>
            </w:r>
            <w:r>
              <w:rPr>
                <w:rFonts w:ascii="Arial" w:hAnsi="Arial"/>
                <w:sz w:val="20"/>
                <w:szCs w:val="20"/>
              </w:rPr>
              <w:t>’</w:t>
            </w:r>
            <w:r w:rsidRPr="00E42343">
              <w:rPr>
                <w:rFonts w:ascii="Arial" w:hAnsi="Arial"/>
                <w:sz w:val="20"/>
                <w:szCs w:val="20"/>
              </w:rPr>
              <w:t>États parties engagés activement dans des réseaux internationaux et de coopération institutionnelle</w:t>
            </w:r>
          </w:p>
        </w:tc>
        <w:tc>
          <w:tcPr>
            <w:tcW w:w="3084" w:type="pct"/>
            <w:shd w:val="clear" w:color="auto" w:fill="auto"/>
            <w:vAlign w:val="center"/>
          </w:tcPr>
          <w:p w14:paraId="1A80FDAA" w14:textId="21352BC3" w:rsidR="00944BBD" w:rsidRPr="00E42343" w:rsidRDefault="00944BBD" w:rsidP="00D50A1B">
            <w:pPr>
              <w:pStyle w:val="ListParagraph"/>
              <w:numPr>
                <w:ilvl w:val="1"/>
                <w:numId w:val="40"/>
              </w:numPr>
              <w:spacing w:before="60" w:after="60"/>
              <w:ind w:left="567" w:hanging="567"/>
              <w:contextualSpacing w:val="0"/>
              <w:rPr>
                <w:rFonts w:ascii="Arial" w:hAnsi="Arial"/>
                <w:vanish/>
                <w:sz w:val="20"/>
                <w:szCs w:val="20"/>
              </w:rPr>
            </w:pPr>
            <w:r w:rsidRPr="00E42343">
              <w:rPr>
                <w:rFonts w:ascii="Arial" w:hAnsi="Arial"/>
                <w:sz w:val="20"/>
                <w:szCs w:val="20"/>
              </w:rPr>
              <w:t>L</w:t>
            </w:r>
            <w:r>
              <w:rPr>
                <w:rFonts w:ascii="Arial" w:hAnsi="Arial"/>
                <w:sz w:val="20"/>
                <w:szCs w:val="20"/>
              </w:rPr>
              <w:t>’</w:t>
            </w:r>
            <w:r w:rsidRPr="00E42343">
              <w:rPr>
                <w:rFonts w:ascii="Arial" w:hAnsi="Arial"/>
                <w:sz w:val="20"/>
                <w:szCs w:val="20"/>
              </w:rPr>
              <w:t>État partie s</w:t>
            </w:r>
            <w:r>
              <w:rPr>
                <w:rFonts w:ascii="Arial" w:hAnsi="Arial"/>
                <w:sz w:val="20"/>
                <w:szCs w:val="20"/>
              </w:rPr>
              <w:t>’</w:t>
            </w:r>
            <w:r w:rsidRPr="00E42343">
              <w:rPr>
                <w:rFonts w:ascii="Arial" w:hAnsi="Arial"/>
                <w:sz w:val="20"/>
                <w:szCs w:val="20"/>
              </w:rPr>
              <w:t>engage, en tant qu</w:t>
            </w:r>
            <w:r>
              <w:rPr>
                <w:rFonts w:ascii="Arial" w:hAnsi="Arial"/>
                <w:sz w:val="20"/>
                <w:szCs w:val="20"/>
              </w:rPr>
              <w:t>’</w:t>
            </w:r>
            <w:r w:rsidRPr="00E42343">
              <w:rPr>
                <w:rFonts w:ascii="Arial" w:hAnsi="Arial"/>
                <w:sz w:val="20"/>
                <w:szCs w:val="20"/>
              </w:rPr>
              <w:t>hôte ou bénéficiaire, dans les activités de centres de catégorie 2 pour le PCI.</w:t>
            </w:r>
          </w:p>
        </w:tc>
      </w:tr>
      <w:tr w:rsidR="00944BBD" w:rsidRPr="00E42343" w14:paraId="6A71311E" w14:textId="77777777" w:rsidTr="00A82031">
        <w:trPr>
          <w:cantSplit/>
        </w:trPr>
        <w:tc>
          <w:tcPr>
            <w:tcW w:w="918" w:type="pct"/>
            <w:vMerge/>
            <w:shd w:val="clear" w:color="auto" w:fill="F2DBDB"/>
            <w:vAlign w:val="center"/>
          </w:tcPr>
          <w:p w14:paraId="37925B1F"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04BE856A" w14:textId="77777777" w:rsidR="00944BBD" w:rsidRPr="00E42343" w:rsidRDefault="00944BBD" w:rsidP="00F21C0B">
            <w:pPr>
              <w:spacing w:before="60" w:after="60"/>
              <w:rPr>
                <w:rFonts w:ascii="Arial" w:hAnsi="Arial" w:cs="Arial"/>
                <w:sz w:val="20"/>
                <w:szCs w:val="20"/>
              </w:rPr>
            </w:pPr>
          </w:p>
        </w:tc>
        <w:tc>
          <w:tcPr>
            <w:tcW w:w="3084" w:type="pct"/>
            <w:shd w:val="clear" w:color="auto" w:fill="auto"/>
            <w:vAlign w:val="center"/>
          </w:tcPr>
          <w:p w14:paraId="1C10DC1F" w14:textId="77777777" w:rsidR="00944BBD" w:rsidRPr="00E42343" w:rsidRDefault="00944BBD" w:rsidP="00655685">
            <w:pPr>
              <w:pStyle w:val="ListParagraph"/>
              <w:numPr>
                <w:ilvl w:val="1"/>
                <w:numId w:val="40"/>
              </w:numPr>
              <w:spacing w:before="60" w:after="60"/>
              <w:ind w:left="567" w:hanging="567"/>
              <w:contextualSpacing w:val="0"/>
              <w:rPr>
                <w:rFonts w:ascii="Arial" w:hAnsi="Arial"/>
                <w:sz w:val="20"/>
                <w:szCs w:val="20"/>
              </w:rPr>
            </w:pPr>
            <w:r w:rsidRPr="00E42343">
              <w:rPr>
                <w:rFonts w:ascii="Arial" w:hAnsi="Arial"/>
                <w:sz w:val="20"/>
                <w:szCs w:val="20"/>
              </w:rPr>
              <w:t>Les réseaux internationaux sont favorisés</w:t>
            </w:r>
            <w:r w:rsidRPr="00E42343" w:rsidDel="00536E9E">
              <w:rPr>
                <w:rFonts w:ascii="Arial" w:hAnsi="Arial"/>
                <w:sz w:val="20"/>
                <w:szCs w:val="20"/>
              </w:rPr>
              <w:t xml:space="preserve"> </w:t>
            </w:r>
            <w:r w:rsidRPr="00E42343">
              <w:rPr>
                <w:rFonts w:ascii="Arial" w:hAnsi="Arial"/>
                <w:sz w:val="20"/>
                <w:szCs w:val="20"/>
              </w:rPr>
              <w:t>parmi les communautés, groupes et individus, les ONG,</w:t>
            </w:r>
            <w:r w:rsidRPr="00E42343" w:rsidDel="00FF5062">
              <w:rPr>
                <w:rFonts w:ascii="Arial" w:hAnsi="Arial"/>
                <w:sz w:val="20"/>
                <w:szCs w:val="20"/>
              </w:rPr>
              <w:t xml:space="preserve"> </w:t>
            </w:r>
            <w:r w:rsidRPr="00E42343">
              <w:rPr>
                <w:rFonts w:ascii="Arial" w:hAnsi="Arial"/>
                <w:sz w:val="20"/>
                <w:szCs w:val="20"/>
              </w:rPr>
              <w:t>les experts, les centres d</w:t>
            </w:r>
            <w:r>
              <w:rPr>
                <w:rFonts w:ascii="Arial" w:hAnsi="Arial"/>
                <w:sz w:val="20"/>
                <w:szCs w:val="20"/>
              </w:rPr>
              <w:t>’</w:t>
            </w:r>
            <w:r w:rsidRPr="00E42343">
              <w:rPr>
                <w:rFonts w:ascii="Arial" w:hAnsi="Arial"/>
                <w:sz w:val="20"/>
                <w:szCs w:val="20"/>
              </w:rPr>
              <w:t>expertise et les instituts de recherche actifs dans le domaine du PCI.</w:t>
            </w:r>
          </w:p>
        </w:tc>
      </w:tr>
      <w:tr w:rsidR="00944BBD" w:rsidRPr="00E42343" w14:paraId="61D9ECC9" w14:textId="77777777" w:rsidTr="00A82031">
        <w:trPr>
          <w:cantSplit/>
        </w:trPr>
        <w:tc>
          <w:tcPr>
            <w:tcW w:w="918" w:type="pct"/>
            <w:vMerge/>
            <w:shd w:val="clear" w:color="auto" w:fill="auto"/>
            <w:vAlign w:val="center"/>
          </w:tcPr>
          <w:p w14:paraId="137649EE"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3BFEF6DE" w14:textId="77777777" w:rsidR="00944BBD" w:rsidRPr="00E42343" w:rsidRDefault="00944BBD" w:rsidP="00F21C0B">
            <w:pPr>
              <w:spacing w:before="60" w:after="60"/>
              <w:rPr>
                <w:rFonts w:ascii="Arial" w:hAnsi="Arial" w:cs="Arial"/>
                <w:sz w:val="20"/>
                <w:szCs w:val="20"/>
              </w:rPr>
            </w:pPr>
          </w:p>
        </w:tc>
        <w:tc>
          <w:tcPr>
            <w:tcW w:w="3084" w:type="pct"/>
            <w:shd w:val="clear" w:color="auto" w:fill="auto"/>
            <w:vAlign w:val="center"/>
          </w:tcPr>
          <w:p w14:paraId="3F518076" w14:textId="77777777" w:rsidR="00944BBD" w:rsidRPr="00E42343" w:rsidRDefault="00944BBD" w:rsidP="00655685">
            <w:pPr>
              <w:pStyle w:val="ListParagraph"/>
              <w:numPr>
                <w:ilvl w:val="1"/>
                <w:numId w:val="40"/>
              </w:numPr>
              <w:spacing w:before="60" w:after="60"/>
              <w:ind w:left="567" w:hanging="567"/>
              <w:contextualSpacing w:val="0"/>
              <w:rPr>
                <w:rFonts w:ascii="Arial" w:hAnsi="Arial"/>
                <w:sz w:val="20"/>
                <w:szCs w:val="20"/>
              </w:rPr>
            </w:pPr>
            <w:r w:rsidRPr="00E42343">
              <w:rPr>
                <w:rFonts w:ascii="Arial" w:hAnsi="Arial"/>
                <w:sz w:val="20"/>
                <w:szCs w:val="20"/>
              </w:rPr>
              <w:t>L</w:t>
            </w:r>
            <w:r>
              <w:rPr>
                <w:rFonts w:ascii="Arial" w:hAnsi="Arial"/>
                <w:sz w:val="20"/>
                <w:szCs w:val="20"/>
              </w:rPr>
              <w:t>’</w:t>
            </w:r>
            <w:r w:rsidRPr="00E42343">
              <w:rPr>
                <w:rFonts w:ascii="Arial" w:hAnsi="Arial"/>
                <w:sz w:val="20"/>
                <w:szCs w:val="20"/>
              </w:rPr>
              <w:t>État partie participe aux activités relatives au PCI menées par des organismes internationaux et régionaux autres que l</w:t>
            </w:r>
            <w:r>
              <w:rPr>
                <w:rFonts w:ascii="Arial" w:hAnsi="Arial"/>
                <w:sz w:val="20"/>
                <w:szCs w:val="20"/>
              </w:rPr>
              <w:t>’</w:t>
            </w:r>
            <w:r w:rsidRPr="00E42343">
              <w:rPr>
                <w:rFonts w:ascii="Arial" w:hAnsi="Arial"/>
                <w:sz w:val="20"/>
                <w:szCs w:val="20"/>
              </w:rPr>
              <w:t>UNESCO.</w:t>
            </w:r>
          </w:p>
        </w:tc>
      </w:tr>
      <w:tr w:rsidR="00944BBD" w:rsidRPr="00E42343" w14:paraId="284215EB" w14:textId="77777777" w:rsidTr="00A82031">
        <w:trPr>
          <w:cantSplit/>
        </w:trPr>
        <w:tc>
          <w:tcPr>
            <w:tcW w:w="918" w:type="pct"/>
            <w:vMerge/>
            <w:shd w:val="clear" w:color="auto" w:fill="auto"/>
            <w:vAlign w:val="center"/>
          </w:tcPr>
          <w:p w14:paraId="005DD24F" w14:textId="77777777" w:rsidR="00944BBD" w:rsidRPr="00E42343" w:rsidRDefault="00944BBD" w:rsidP="00F21C0B">
            <w:pPr>
              <w:spacing w:before="60" w:after="60"/>
              <w:rPr>
                <w:rFonts w:ascii="Arial" w:hAnsi="Arial" w:cs="Arial"/>
                <w:b/>
                <w:sz w:val="20"/>
                <w:szCs w:val="20"/>
              </w:rPr>
            </w:pPr>
          </w:p>
        </w:tc>
        <w:tc>
          <w:tcPr>
            <w:tcW w:w="998" w:type="pct"/>
            <w:vMerge w:val="restart"/>
            <w:shd w:val="clear" w:color="auto" w:fill="auto"/>
            <w:vAlign w:val="center"/>
          </w:tcPr>
          <w:p w14:paraId="2A59DAC5" w14:textId="77777777" w:rsidR="00944BBD" w:rsidRPr="00E42343" w:rsidRDefault="00944BBD" w:rsidP="00655685">
            <w:pPr>
              <w:pStyle w:val="ListParagraph"/>
              <w:numPr>
                <w:ilvl w:val="0"/>
                <w:numId w:val="14"/>
              </w:numPr>
              <w:spacing w:before="60" w:after="60"/>
              <w:ind w:left="370" w:hanging="370"/>
              <w:contextualSpacing w:val="0"/>
              <w:rPr>
                <w:rFonts w:ascii="Arial" w:hAnsi="Arial"/>
                <w:sz w:val="20"/>
                <w:szCs w:val="20"/>
              </w:rPr>
            </w:pPr>
            <w:r w:rsidRPr="00E42343">
              <w:rPr>
                <w:rFonts w:ascii="Arial" w:hAnsi="Arial"/>
                <w:sz w:val="20"/>
                <w:szCs w:val="20"/>
              </w:rPr>
              <w:t xml:space="preserve">Le Fonds du PCI appuie efficacement la </w:t>
            </w:r>
            <w:r w:rsidRPr="00E42343">
              <w:rPr>
                <w:rFonts w:ascii="Arial" w:hAnsi="Arial"/>
                <w:sz w:val="20"/>
                <w:szCs w:val="20"/>
              </w:rPr>
              <w:lastRenderedPageBreak/>
              <w:t>sauvegarde et l</w:t>
            </w:r>
            <w:r>
              <w:rPr>
                <w:rFonts w:ascii="Arial" w:hAnsi="Arial"/>
                <w:sz w:val="20"/>
                <w:szCs w:val="20"/>
              </w:rPr>
              <w:t>’</w:t>
            </w:r>
            <w:r w:rsidRPr="00E42343">
              <w:rPr>
                <w:rFonts w:ascii="Arial" w:hAnsi="Arial"/>
                <w:sz w:val="20"/>
                <w:szCs w:val="20"/>
              </w:rPr>
              <w:t>engagement international</w:t>
            </w:r>
            <w:r w:rsidRPr="00E42343">
              <w:rPr>
                <w:rStyle w:val="FootnoteReference"/>
                <w:rFonts w:ascii="Arial" w:hAnsi="Arial"/>
                <w:sz w:val="20"/>
                <w:szCs w:val="20"/>
                <w:lang w:val="en-GB"/>
              </w:rPr>
              <w:footnoteReference w:id="10"/>
            </w:r>
          </w:p>
        </w:tc>
        <w:tc>
          <w:tcPr>
            <w:tcW w:w="3084" w:type="pct"/>
            <w:shd w:val="clear" w:color="auto" w:fill="auto"/>
            <w:vAlign w:val="center"/>
          </w:tcPr>
          <w:p w14:paraId="542A88A4" w14:textId="77777777" w:rsidR="00944BBD" w:rsidRPr="00E42343" w:rsidRDefault="00944BBD" w:rsidP="00655685">
            <w:pPr>
              <w:pStyle w:val="ListParagraph"/>
              <w:numPr>
                <w:ilvl w:val="1"/>
                <w:numId w:val="41"/>
              </w:numPr>
              <w:spacing w:before="60" w:after="60"/>
              <w:ind w:left="567" w:hanging="567"/>
              <w:contextualSpacing w:val="0"/>
              <w:rPr>
                <w:rFonts w:ascii="Arial" w:hAnsi="Arial"/>
                <w:vanish/>
                <w:sz w:val="20"/>
                <w:szCs w:val="20"/>
              </w:rPr>
            </w:pPr>
            <w:r w:rsidRPr="00E42343">
              <w:rPr>
                <w:rFonts w:ascii="Arial" w:hAnsi="Arial"/>
                <w:sz w:val="20"/>
                <w:szCs w:val="20"/>
              </w:rPr>
              <w:lastRenderedPageBreak/>
              <w:t>Les États parties sollicitent une aide financière ou technique auprès du Fonds du PCI et l</w:t>
            </w:r>
            <w:r>
              <w:rPr>
                <w:rFonts w:ascii="Arial" w:hAnsi="Arial"/>
                <w:sz w:val="20"/>
                <w:szCs w:val="20"/>
              </w:rPr>
              <w:t>’</w:t>
            </w:r>
            <w:r w:rsidRPr="00E42343">
              <w:rPr>
                <w:rFonts w:ascii="Arial" w:hAnsi="Arial"/>
                <w:sz w:val="20"/>
                <w:szCs w:val="20"/>
              </w:rPr>
              <w:t>utilisent pour mettre en œuvre des programmes de sauvegarde.</w:t>
            </w:r>
          </w:p>
        </w:tc>
      </w:tr>
      <w:tr w:rsidR="00944BBD" w:rsidRPr="00E42343" w14:paraId="6D551434" w14:textId="77777777" w:rsidTr="00A82031">
        <w:trPr>
          <w:cantSplit/>
          <w:trHeight w:val="1230"/>
        </w:trPr>
        <w:tc>
          <w:tcPr>
            <w:tcW w:w="918" w:type="pct"/>
            <w:vMerge/>
            <w:shd w:val="clear" w:color="auto" w:fill="F2DBDB"/>
            <w:vAlign w:val="center"/>
          </w:tcPr>
          <w:p w14:paraId="0A4F9571"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2A24C4F4" w14:textId="77777777" w:rsidR="00944BBD" w:rsidRPr="003074FE" w:rsidRDefault="00944BBD" w:rsidP="00655685">
            <w:pPr>
              <w:pStyle w:val="ListParagraph"/>
              <w:numPr>
                <w:ilvl w:val="0"/>
                <w:numId w:val="14"/>
              </w:numPr>
              <w:spacing w:before="60" w:after="60"/>
              <w:ind w:left="370" w:hanging="370"/>
              <w:contextualSpacing w:val="0"/>
              <w:rPr>
                <w:rFonts w:ascii="Arial" w:hAnsi="Arial"/>
                <w:sz w:val="20"/>
                <w:szCs w:val="20"/>
              </w:rPr>
            </w:pPr>
          </w:p>
        </w:tc>
        <w:tc>
          <w:tcPr>
            <w:tcW w:w="3084" w:type="pct"/>
            <w:shd w:val="clear" w:color="auto" w:fill="auto"/>
            <w:vAlign w:val="center"/>
          </w:tcPr>
          <w:p w14:paraId="5FA48142" w14:textId="77777777" w:rsidR="00944BBD" w:rsidRPr="00E42343" w:rsidRDefault="00944BBD" w:rsidP="00655685">
            <w:pPr>
              <w:pStyle w:val="ListParagraph"/>
              <w:numPr>
                <w:ilvl w:val="1"/>
                <w:numId w:val="41"/>
              </w:numPr>
              <w:spacing w:before="60" w:after="60"/>
              <w:ind w:left="567" w:hanging="567"/>
              <w:contextualSpacing w:val="0"/>
              <w:rPr>
                <w:rFonts w:ascii="Arial" w:hAnsi="Arial"/>
                <w:sz w:val="20"/>
                <w:szCs w:val="20"/>
              </w:rPr>
            </w:pPr>
            <w:r w:rsidRPr="00E42343">
              <w:rPr>
                <w:rFonts w:ascii="Arial" w:hAnsi="Arial"/>
                <w:sz w:val="20"/>
                <w:szCs w:val="20"/>
              </w:rPr>
              <w:t>Les États parties ou d</w:t>
            </w:r>
            <w:r>
              <w:rPr>
                <w:rFonts w:ascii="Arial" w:hAnsi="Arial"/>
                <w:sz w:val="20"/>
                <w:szCs w:val="20"/>
              </w:rPr>
              <w:t>’</w:t>
            </w:r>
            <w:r w:rsidRPr="00E42343">
              <w:rPr>
                <w:rFonts w:ascii="Arial" w:hAnsi="Arial"/>
                <w:sz w:val="20"/>
                <w:szCs w:val="20"/>
              </w:rPr>
              <w:t>autres entités versent des contributions volontaires supplémentaires au Fonds du PCI, à des fins générales ou spécifiques, en particulier, le programme global de renforcement de capacités.</w:t>
            </w:r>
          </w:p>
        </w:tc>
      </w:tr>
      <w:tr w:rsidR="00944BBD" w:rsidRPr="00E42343" w14:paraId="00BCA1C4" w14:textId="77777777" w:rsidTr="00A82031">
        <w:trPr>
          <w:cantSplit/>
        </w:trPr>
        <w:tc>
          <w:tcPr>
            <w:tcW w:w="918" w:type="pct"/>
            <w:vMerge/>
            <w:shd w:val="clear" w:color="auto" w:fill="F2DBDB"/>
            <w:vAlign w:val="center"/>
          </w:tcPr>
          <w:p w14:paraId="73F5135C" w14:textId="77777777" w:rsidR="00944BBD" w:rsidRPr="00E42343" w:rsidRDefault="00944BBD" w:rsidP="00F21C0B">
            <w:pPr>
              <w:spacing w:before="60" w:after="60"/>
              <w:rPr>
                <w:rFonts w:ascii="Arial" w:hAnsi="Arial" w:cs="Arial"/>
                <w:b/>
                <w:sz w:val="20"/>
                <w:szCs w:val="20"/>
              </w:rPr>
            </w:pPr>
          </w:p>
        </w:tc>
        <w:tc>
          <w:tcPr>
            <w:tcW w:w="998" w:type="pct"/>
            <w:vMerge/>
            <w:shd w:val="clear" w:color="auto" w:fill="auto"/>
            <w:vAlign w:val="center"/>
          </w:tcPr>
          <w:p w14:paraId="1BF4B606" w14:textId="77777777" w:rsidR="00944BBD" w:rsidRPr="00E42343" w:rsidRDefault="00944BBD" w:rsidP="00F21C0B">
            <w:pPr>
              <w:spacing w:before="60" w:after="60"/>
              <w:rPr>
                <w:rFonts w:ascii="Arial" w:hAnsi="Arial" w:cs="Arial"/>
                <w:sz w:val="20"/>
                <w:szCs w:val="20"/>
              </w:rPr>
            </w:pPr>
          </w:p>
        </w:tc>
        <w:tc>
          <w:tcPr>
            <w:tcW w:w="3084" w:type="pct"/>
            <w:shd w:val="clear" w:color="auto" w:fill="auto"/>
            <w:vAlign w:val="center"/>
          </w:tcPr>
          <w:p w14:paraId="15F7B290" w14:textId="77777777" w:rsidR="00944BBD" w:rsidRPr="00E42343" w:rsidRDefault="00944BBD" w:rsidP="00655685">
            <w:pPr>
              <w:pStyle w:val="ListParagraph"/>
              <w:numPr>
                <w:ilvl w:val="1"/>
                <w:numId w:val="41"/>
              </w:numPr>
              <w:spacing w:before="60" w:after="60"/>
              <w:ind w:left="567" w:hanging="567"/>
              <w:contextualSpacing w:val="0"/>
              <w:rPr>
                <w:rFonts w:ascii="Arial" w:hAnsi="Arial"/>
                <w:sz w:val="20"/>
                <w:szCs w:val="20"/>
              </w:rPr>
            </w:pPr>
            <w:r w:rsidRPr="00875E59">
              <w:rPr>
                <w:rFonts w:ascii="Arial" w:hAnsi="Arial"/>
                <w:sz w:val="20"/>
                <w:szCs w:val="20"/>
              </w:rPr>
              <w:t>Le Fonds du PCI est utilisé pour financer les coûts de participation aux réunions des organes directeurs de la Convention par un large éventail de parties prenantes</w:t>
            </w:r>
            <w:r>
              <w:rPr>
                <w:rFonts w:ascii="Arial" w:hAnsi="Arial"/>
                <w:sz w:val="20"/>
                <w:szCs w:val="20"/>
              </w:rPr>
              <w:t xml:space="preserve"> qui auront des fonctions consultatives</w:t>
            </w:r>
            <w:r w:rsidRPr="00875E59">
              <w:rPr>
                <w:rFonts w:ascii="Arial" w:hAnsi="Arial"/>
                <w:sz w:val="20"/>
                <w:szCs w:val="20"/>
              </w:rPr>
              <w:t xml:space="preserve">, notamment les experts du </w:t>
            </w:r>
            <w:r>
              <w:rPr>
                <w:rFonts w:ascii="Arial" w:hAnsi="Arial"/>
                <w:sz w:val="20"/>
                <w:szCs w:val="20"/>
              </w:rPr>
              <w:t>PCI</w:t>
            </w:r>
            <w:r w:rsidRPr="00875E59">
              <w:rPr>
                <w:rFonts w:ascii="Arial" w:hAnsi="Arial"/>
                <w:sz w:val="20"/>
                <w:szCs w:val="20"/>
              </w:rPr>
              <w:t xml:space="preserve"> ou les ONG accréditées de pays en développement, les organismes publics ou privés ainsi que les membres des communautés et des groupes invités auxdites réunions.</w:t>
            </w:r>
          </w:p>
        </w:tc>
      </w:tr>
    </w:tbl>
    <w:p w14:paraId="7F45D2C4" w14:textId="00AFF719" w:rsidR="00AD4A27" w:rsidRDefault="00AD4A27" w:rsidP="000D0704">
      <w:pPr>
        <w:pStyle w:val="5GATitleResolution"/>
        <w:ind w:left="0"/>
        <w:rPr>
          <w:snapToGrid w:val="0"/>
          <w:vanish/>
          <w:lang w:eastAsia="en-US"/>
        </w:rPr>
        <w:sectPr w:rsidR="00AD4A27" w:rsidSect="00A82031">
          <w:headerReference w:type="even" r:id="rId24"/>
          <w:headerReference w:type="default" r:id="rId25"/>
          <w:headerReference w:type="first" r:id="rId26"/>
          <w:footnotePr>
            <w:numRestart w:val="eachSect"/>
          </w:footnotePr>
          <w:pgSz w:w="16838" w:h="11906" w:orient="landscape" w:code="9"/>
          <w:pgMar w:top="1134" w:right="1134" w:bottom="1276" w:left="1418" w:header="397" w:footer="284" w:gutter="0"/>
          <w:cols w:space="708"/>
          <w:docGrid w:linePitch="360"/>
        </w:sectPr>
      </w:pPr>
    </w:p>
    <w:p w14:paraId="235BA9BB" w14:textId="495FE4F9" w:rsidR="000D0704" w:rsidRPr="00A762EF" w:rsidRDefault="000D0704" w:rsidP="00F475EF">
      <w:pPr>
        <w:pStyle w:val="5GATitleResolution"/>
        <w:spacing w:before="360"/>
        <w:ind w:left="0"/>
      </w:pPr>
      <w:r w:rsidRPr="00A762EF">
        <w:lastRenderedPageBreak/>
        <w:t>RÉSOLUTION 7.GA 10</w:t>
      </w:r>
    </w:p>
    <w:p w14:paraId="0E8B4094" w14:textId="77777777" w:rsidR="000D0704" w:rsidRPr="00285BB4" w:rsidRDefault="000D0704" w:rsidP="000D0704">
      <w:pPr>
        <w:pStyle w:val="COMPreambulaDecisions"/>
        <w:ind w:left="0"/>
        <w:rPr>
          <w:rFonts w:eastAsia="SimSun"/>
        </w:rPr>
      </w:pPr>
      <w:r w:rsidRPr="00DB6C7F">
        <w:rPr>
          <w:lang w:val="fr-FR"/>
        </w:rPr>
        <w:t>L’Assemblée générale</w:t>
      </w:r>
      <w:r>
        <w:t>,</w:t>
      </w:r>
    </w:p>
    <w:p w14:paraId="0F3938D9" w14:textId="28543B95" w:rsidR="000D0704" w:rsidRPr="00345CB4" w:rsidRDefault="000D0704" w:rsidP="000D0704">
      <w:pPr>
        <w:pStyle w:val="COMParaDecision"/>
        <w:numPr>
          <w:ilvl w:val="0"/>
          <w:numId w:val="51"/>
        </w:numPr>
        <w:ind w:left="567" w:hanging="567"/>
      </w:pPr>
      <w:r>
        <w:t>Ayant examiné</w:t>
      </w:r>
      <w:r>
        <w:rPr>
          <w:u w:val="none"/>
        </w:rPr>
        <w:t xml:space="preserve"> le document </w:t>
      </w:r>
      <w:hyperlink r:id="rId27" w:history="1">
        <w:r w:rsidRPr="00B037E4">
          <w:rPr>
            <w:rStyle w:val="Hyperlink"/>
          </w:rPr>
          <w:t xml:space="preserve">ITH/18/7.GA/10 </w:t>
        </w:r>
        <w:proofErr w:type="spellStart"/>
        <w:r w:rsidRPr="00B037E4">
          <w:rPr>
            <w:rStyle w:val="Hyperlink"/>
          </w:rPr>
          <w:t>Rev</w:t>
        </w:r>
        <w:proofErr w:type="spellEnd"/>
        <w:r w:rsidRPr="00B037E4">
          <w:rPr>
            <w:rStyle w:val="Hyperlink"/>
          </w:rPr>
          <w:t>.</w:t>
        </w:r>
      </w:hyperlink>
      <w:r>
        <w:rPr>
          <w:u w:val="none"/>
        </w:rPr>
        <w:t>,</w:t>
      </w:r>
    </w:p>
    <w:p w14:paraId="21469076" w14:textId="77777777" w:rsidR="000D0704" w:rsidRDefault="000D0704" w:rsidP="000D0704">
      <w:pPr>
        <w:pStyle w:val="COMParaDecision"/>
        <w:numPr>
          <w:ilvl w:val="0"/>
          <w:numId w:val="51"/>
        </w:numPr>
        <w:ind w:left="567" w:hanging="567"/>
      </w:pPr>
      <w:r>
        <w:t>Accueille favorablement</w:t>
      </w:r>
      <w:r>
        <w:rPr>
          <w:u w:val="none"/>
        </w:rPr>
        <w:t xml:space="preserve"> la réforme du processus de soumission des rapports périodiques initiée par le Comité et </w:t>
      </w:r>
      <w:r>
        <w:t>souscrit</w:t>
      </w:r>
      <w:r>
        <w:rPr>
          <w:u w:val="none"/>
        </w:rPr>
        <w:t xml:space="preserve"> à sa décision de passer à un cycle régional de rapports ;</w:t>
      </w:r>
    </w:p>
    <w:p w14:paraId="2B20B81D" w14:textId="77777777" w:rsidR="000D0704" w:rsidRDefault="000D0704" w:rsidP="000D0704">
      <w:pPr>
        <w:pStyle w:val="COMParaDecision"/>
        <w:numPr>
          <w:ilvl w:val="0"/>
          <w:numId w:val="51"/>
        </w:numPr>
        <w:ind w:left="567" w:hanging="567"/>
        <w:rPr>
          <w:u w:val="none"/>
        </w:rPr>
      </w:pPr>
      <w:r>
        <w:t>Approuve</w:t>
      </w:r>
      <w:r>
        <w:rPr>
          <w:u w:val="none"/>
        </w:rPr>
        <w:t xml:space="preserve"> les amendements aux Directives opérationnelles annexés à la présente résolution.</w:t>
      </w:r>
    </w:p>
    <w:p w14:paraId="6251FB1B" w14:textId="163D7082" w:rsidR="006311D9" w:rsidRPr="00F475EF" w:rsidRDefault="00D365B1" w:rsidP="00F475EF">
      <w:pPr>
        <w:autoSpaceDE w:val="0"/>
        <w:autoSpaceDN w:val="0"/>
        <w:adjustRightInd w:val="0"/>
        <w:spacing w:before="360" w:after="240"/>
        <w:jc w:val="center"/>
        <w:rPr>
          <w:rFonts w:ascii="Arial" w:hAnsi="Arial" w:cs="Arial"/>
          <w:b/>
          <w:bCs/>
          <w:szCs w:val="22"/>
        </w:rPr>
      </w:pPr>
      <w:r w:rsidRPr="00F475EF">
        <w:rPr>
          <w:rFonts w:ascii="Arial" w:hAnsi="Arial" w:cs="Arial"/>
          <w:b/>
          <w:bCs/>
          <w:sz w:val="22"/>
          <w:szCs w:val="22"/>
        </w:rPr>
        <w:t>ANNEXE</w:t>
      </w:r>
    </w:p>
    <w:p w14:paraId="6F7D552D" w14:textId="5E329266" w:rsidR="00465A46" w:rsidRDefault="00465A46" w:rsidP="0085441F">
      <w:pPr>
        <w:pStyle w:val="Marge"/>
        <w:ind w:left="567" w:hanging="567"/>
        <w:rPr>
          <w:color w:val="000000"/>
          <w:szCs w:val="22"/>
        </w:rPr>
      </w:pPr>
      <w:r w:rsidRPr="00465A46">
        <w:rPr>
          <w:bCs/>
        </w:rPr>
        <w:t>152.</w:t>
      </w:r>
      <w:r w:rsidR="0085441F">
        <w:rPr>
          <w:bCs/>
        </w:rPr>
        <w:tab/>
      </w:r>
      <w:r w:rsidRPr="00465A46">
        <w:rPr>
          <w:color w:val="000000"/>
          <w:szCs w:val="22"/>
        </w:rPr>
        <w:t>Les États parties soumettent leur</w:t>
      </w:r>
      <w:r w:rsidR="00052470">
        <w:rPr>
          <w:color w:val="000000"/>
          <w:szCs w:val="22"/>
        </w:rPr>
        <w:t>s</w:t>
      </w:r>
      <w:r w:rsidRPr="00465A46">
        <w:rPr>
          <w:color w:val="000000"/>
          <w:szCs w:val="22"/>
        </w:rPr>
        <w:t xml:space="preserve"> rapport</w:t>
      </w:r>
      <w:r w:rsidR="00052470">
        <w:rPr>
          <w:color w:val="000000"/>
          <w:szCs w:val="22"/>
        </w:rPr>
        <w:t>s</w:t>
      </w:r>
      <w:r w:rsidRPr="00465A46">
        <w:rPr>
          <w:color w:val="000000"/>
          <w:szCs w:val="22"/>
        </w:rPr>
        <w:t xml:space="preserve"> périodique</w:t>
      </w:r>
      <w:r w:rsidR="00052470">
        <w:rPr>
          <w:color w:val="000000"/>
          <w:szCs w:val="22"/>
        </w:rPr>
        <w:t>s</w:t>
      </w:r>
      <w:r w:rsidRPr="00465A46">
        <w:rPr>
          <w:color w:val="000000"/>
          <w:szCs w:val="22"/>
        </w:rPr>
        <w:t xml:space="preserve"> au Comité, au plus tard le 15 décembre, tous les six ans selon une rotation région par région. L’ordre de cette rotation est établi par le Comité au début du cycle de soumission des rapports p</w:t>
      </w:r>
      <w:bookmarkStart w:id="0" w:name="_GoBack"/>
      <w:bookmarkEnd w:id="0"/>
      <w:r w:rsidRPr="00465A46">
        <w:rPr>
          <w:color w:val="000000"/>
          <w:szCs w:val="22"/>
        </w:rPr>
        <w:t>ériodiques de six ans</w:t>
      </w:r>
      <w:r>
        <w:rPr>
          <w:color w:val="000000"/>
          <w:szCs w:val="22"/>
        </w:rPr>
        <w:t>.</w:t>
      </w:r>
      <w:r w:rsidRPr="00465A46">
        <w:rPr>
          <w:color w:val="000000"/>
          <w:szCs w:val="22"/>
        </w:rPr>
        <w:t xml:space="preserve"> </w:t>
      </w:r>
      <w:r w:rsidRPr="00465A46">
        <w:rPr>
          <w:szCs w:val="22"/>
        </w:rPr>
        <w:t>Les États parties utilisent le processus de soumission des rapports périodiques pour renforcer les mesures de suivi</w:t>
      </w:r>
      <w:r w:rsidR="00814D09">
        <w:rPr>
          <w:szCs w:val="22"/>
        </w:rPr>
        <w:t>,</w:t>
      </w:r>
      <w:r w:rsidRPr="00465A46">
        <w:rPr>
          <w:szCs w:val="22"/>
        </w:rPr>
        <w:t xml:space="preserve"> ainsi que la coopération et les échanges actifs au niveau régional</w:t>
      </w:r>
      <w:r w:rsidR="00814D09">
        <w:rPr>
          <w:szCs w:val="22"/>
        </w:rPr>
        <w:t>,</w:t>
      </w:r>
      <w:r w:rsidRPr="00465A46">
        <w:rPr>
          <w:szCs w:val="22"/>
        </w:rPr>
        <w:t xml:space="preserve"> afin d’assurer une sauvegarde efficace du patrimoine culturel immatériel.</w:t>
      </w:r>
      <w:r w:rsidRPr="00465A46">
        <w:rPr>
          <w:color w:val="000000"/>
          <w:szCs w:val="22"/>
        </w:rPr>
        <w:t xml:space="preserve"> </w:t>
      </w:r>
      <w:r>
        <w:rPr>
          <w:color w:val="000000"/>
          <w:szCs w:val="22"/>
        </w:rPr>
        <w:t xml:space="preserve">Le formulaire ICH-10 </w:t>
      </w:r>
      <w:r w:rsidRPr="00052470">
        <w:rPr>
          <w:color w:val="000000"/>
          <w:szCs w:val="22"/>
        </w:rPr>
        <w:t>est utilisé pour ces rapports</w:t>
      </w:r>
      <w:r>
        <w:rPr>
          <w:color w:val="000000"/>
          <w:szCs w:val="22"/>
        </w:rPr>
        <w:t xml:space="preserve">, </w:t>
      </w:r>
      <w:r w:rsidR="00814D09">
        <w:rPr>
          <w:color w:val="000000"/>
          <w:szCs w:val="22"/>
        </w:rPr>
        <w:t xml:space="preserve">il </w:t>
      </w:r>
      <w:r w:rsidRPr="00465A46">
        <w:rPr>
          <w:color w:val="000000"/>
          <w:szCs w:val="22"/>
        </w:rPr>
        <w:t>peut être rempli en ligne par chaque État partie (</w:t>
      </w:r>
      <w:hyperlink r:id="rId28" w:history="1">
        <w:r w:rsidRPr="003074FE">
          <w:rPr>
            <w:rStyle w:val="Hyperlink"/>
            <w:b/>
            <w:color w:val="auto"/>
            <w:szCs w:val="22"/>
            <w:u w:val="none"/>
          </w:rPr>
          <w:t>https://ich.unesco.org/</w:t>
        </w:r>
      </w:hyperlink>
      <w:r w:rsidRPr="00465A46">
        <w:rPr>
          <w:color w:val="000000"/>
          <w:szCs w:val="22"/>
        </w:rPr>
        <w:t>)</w:t>
      </w:r>
      <w:r w:rsidR="00814D09">
        <w:rPr>
          <w:color w:val="000000"/>
          <w:szCs w:val="22"/>
        </w:rPr>
        <w:t>,</w:t>
      </w:r>
      <w:r w:rsidRPr="00465A46">
        <w:rPr>
          <w:color w:val="000000"/>
          <w:szCs w:val="22"/>
        </w:rPr>
        <w:t xml:space="preserve"> et </w:t>
      </w:r>
      <w:r w:rsidR="00814D09">
        <w:rPr>
          <w:color w:val="000000"/>
          <w:szCs w:val="22"/>
        </w:rPr>
        <w:t xml:space="preserve">il </w:t>
      </w:r>
      <w:r w:rsidRPr="00465A46">
        <w:rPr>
          <w:color w:val="000000"/>
          <w:szCs w:val="22"/>
        </w:rPr>
        <w:t>est révisé par le Secrétariat à intervalles appropriés.</w:t>
      </w:r>
    </w:p>
    <w:p w14:paraId="64192861" w14:textId="47889556" w:rsidR="00465A46" w:rsidRDefault="00465A46" w:rsidP="0085441F">
      <w:pPr>
        <w:pStyle w:val="Marge"/>
        <w:ind w:left="567" w:hanging="567"/>
        <w:rPr>
          <w:szCs w:val="22"/>
        </w:rPr>
      </w:pPr>
      <w:r>
        <w:rPr>
          <w:szCs w:val="22"/>
        </w:rPr>
        <w:t>159.</w:t>
      </w:r>
      <w:r w:rsidR="0085441F">
        <w:rPr>
          <w:szCs w:val="22"/>
        </w:rPr>
        <w:tab/>
      </w:r>
      <w:r>
        <w:rPr>
          <w:szCs w:val="22"/>
        </w:rPr>
        <w:t xml:space="preserve">Les États parties répondent, en temps utile, aux demandes d’informations complémentaires spécifiques qui leur sont adressées par le Comité, si nécessaire </w:t>
      </w:r>
      <w:r w:rsidRPr="00465A46">
        <w:rPr>
          <w:szCs w:val="22"/>
        </w:rPr>
        <w:t>et indépendamment du cycle régional établi par le Comité, conformément</w:t>
      </w:r>
      <w:r>
        <w:rPr>
          <w:szCs w:val="22"/>
        </w:rPr>
        <w:t xml:space="preserve"> au paragraphe 152 ci-dessus.</w:t>
      </w:r>
    </w:p>
    <w:p w14:paraId="798EDEED" w14:textId="4E13306E" w:rsidR="00465A46" w:rsidRDefault="00465A46" w:rsidP="0085441F">
      <w:pPr>
        <w:pStyle w:val="Marge"/>
        <w:ind w:left="567" w:hanging="567"/>
        <w:rPr>
          <w:szCs w:val="22"/>
        </w:rPr>
      </w:pPr>
      <w:r>
        <w:rPr>
          <w:szCs w:val="22"/>
        </w:rPr>
        <w:t>161.</w:t>
      </w:r>
      <w:r w:rsidR="0085441F">
        <w:rPr>
          <w:szCs w:val="22"/>
        </w:rPr>
        <w:tab/>
      </w:r>
      <w:r>
        <w:rPr>
          <w:szCs w:val="22"/>
        </w:rPr>
        <w:t xml:space="preserve">Ces rapports sont normalement soumis au Comité, au plus tard le 15 décembre de la quatrième année qui suit l’année au cours de laquelle l’élément a été inscrit, et ensuite tous les quatre ans. Le formulaire ICH-11 </w:t>
      </w:r>
      <w:r w:rsidRPr="00052470">
        <w:rPr>
          <w:szCs w:val="22"/>
        </w:rPr>
        <w:t>est utilisé pour ces rapports</w:t>
      </w:r>
      <w:r>
        <w:rPr>
          <w:szCs w:val="22"/>
        </w:rPr>
        <w:t xml:space="preserve">, </w:t>
      </w:r>
      <w:r w:rsidR="00814D09">
        <w:rPr>
          <w:szCs w:val="22"/>
        </w:rPr>
        <w:t xml:space="preserve">il </w:t>
      </w:r>
      <w:r w:rsidRPr="00465A46">
        <w:rPr>
          <w:color w:val="000000"/>
          <w:szCs w:val="22"/>
        </w:rPr>
        <w:t>peut être rempli en ligne par chaque État partie (</w:t>
      </w:r>
      <w:hyperlink r:id="rId29" w:history="1">
        <w:r w:rsidRPr="003074FE">
          <w:rPr>
            <w:rStyle w:val="Hyperlink"/>
            <w:b/>
            <w:color w:val="auto"/>
            <w:szCs w:val="22"/>
            <w:u w:val="none"/>
          </w:rPr>
          <w:t>https://ich.unesco.org/</w:t>
        </w:r>
      </w:hyperlink>
      <w:r w:rsidRPr="00465A46">
        <w:rPr>
          <w:color w:val="000000"/>
          <w:szCs w:val="22"/>
        </w:rPr>
        <w:t>)</w:t>
      </w:r>
      <w:r w:rsidR="00814D09">
        <w:rPr>
          <w:color w:val="000000"/>
          <w:szCs w:val="22"/>
        </w:rPr>
        <w:t>,</w:t>
      </w:r>
      <w:r w:rsidRPr="00465A46">
        <w:rPr>
          <w:color w:val="000000"/>
          <w:szCs w:val="22"/>
        </w:rPr>
        <w:t xml:space="preserve"> et </w:t>
      </w:r>
      <w:r w:rsidR="00814D09">
        <w:rPr>
          <w:color w:val="000000"/>
          <w:szCs w:val="22"/>
        </w:rPr>
        <w:t xml:space="preserve">il </w:t>
      </w:r>
      <w:r w:rsidRPr="00465A46">
        <w:rPr>
          <w:color w:val="000000"/>
          <w:szCs w:val="22"/>
        </w:rPr>
        <w:t>est révisé par le Secrétariat à intervalles appropriés.</w:t>
      </w:r>
      <w:r>
        <w:rPr>
          <w:szCs w:val="22"/>
        </w:rPr>
        <w:t xml:space="preserve"> Au moment de l’inscription, le Comité peut, au cas par cas, établir un calendrier spécifique pour la présentation des rapports qui prévaudra sur le cycle normal de quatre ans.</w:t>
      </w:r>
    </w:p>
    <w:p w14:paraId="5A0C3B0D" w14:textId="078E272A" w:rsidR="00465A46" w:rsidRDefault="00465A46" w:rsidP="0085441F">
      <w:pPr>
        <w:pStyle w:val="Marge"/>
        <w:ind w:left="567" w:hanging="567"/>
        <w:rPr>
          <w:rFonts w:cs="Arial"/>
          <w:szCs w:val="22"/>
        </w:rPr>
      </w:pPr>
      <w:r>
        <w:rPr>
          <w:szCs w:val="22"/>
        </w:rPr>
        <w:t>162.</w:t>
      </w:r>
      <w:r w:rsidR="0085441F">
        <w:rPr>
          <w:szCs w:val="22"/>
        </w:rPr>
        <w:tab/>
      </w:r>
      <w:r>
        <w:rPr>
          <w:szCs w:val="22"/>
        </w:rPr>
        <w:t>L’État partie accorde une attention particulière au rôle du genre et fournit des informations décrivant l’état actuel de l’élément, notamment :</w:t>
      </w:r>
    </w:p>
    <w:p w14:paraId="2242495A" w14:textId="77777777" w:rsidR="00465A46" w:rsidRPr="005E4569" w:rsidRDefault="00465A46" w:rsidP="0085441F">
      <w:pPr>
        <w:pStyle w:val="ListParagraph"/>
        <w:numPr>
          <w:ilvl w:val="0"/>
          <w:numId w:val="50"/>
        </w:numPr>
        <w:tabs>
          <w:tab w:val="left" w:pos="1134"/>
        </w:tabs>
        <w:spacing w:before="120" w:after="120"/>
        <w:ind w:left="1134" w:hanging="567"/>
        <w:contextualSpacing w:val="0"/>
        <w:jc w:val="both"/>
        <w:rPr>
          <w:rFonts w:ascii="Arial" w:hAnsi="Arial" w:cs="Arial"/>
          <w:sz w:val="22"/>
          <w:szCs w:val="22"/>
        </w:rPr>
      </w:pPr>
      <w:proofErr w:type="gramStart"/>
      <w:r>
        <w:rPr>
          <w:rFonts w:ascii="Arial" w:hAnsi="Arial"/>
          <w:sz w:val="22"/>
          <w:szCs w:val="22"/>
        </w:rPr>
        <w:t>ses</w:t>
      </w:r>
      <w:proofErr w:type="gramEnd"/>
      <w:r>
        <w:rPr>
          <w:rFonts w:ascii="Arial" w:hAnsi="Arial"/>
          <w:sz w:val="22"/>
          <w:szCs w:val="22"/>
        </w:rPr>
        <w:t xml:space="preserve"> fonctions sociales et culturelles ;</w:t>
      </w:r>
    </w:p>
    <w:p w14:paraId="6404BD30" w14:textId="77777777" w:rsidR="00465A46" w:rsidRPr="005E4569" w:rsidRDefault="00465A46" w:rsidP="0085441F">
      <w:pPr>
        <w:pStyle w:val="ListParagraph"/>
        <w:numPr>
          <w:ilvl w:val="0"/>
          <w:numId w:val="50"/>
        </w:numPr>
        <w:tabs>
          <w:tab w:val="left" w:pos="1134"/>
        </w:tabs>
        <w:spacing w:before="120" w:after="120"/>
        <w:ind w:left="1134" w:hanging="567"/>
        <w:contextualSpacing w:val="0"/>
        <w:jc w:val="both"/>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analyse de sa viabilité et des risques actuels auxquels il est confronté ;</w:t>
      </w:r>
    </w:p>
    <w:p w14:paraId="24DABCD2" w14:textId="77777777" w:rsidR="00465A46" w:rsidRPr="005E4569" w:rsidRDefault="00465A46" w:rsidP="0085441F">
      <w:pPr>
        <w:pStyle w:val="ListParagraph"/>
        <w:numPr>
          <w:ilvl w:val="0"/>
          <w:numId w:val="50"/>
        </w:numPr>
        <w:tabs>
          <w:tab w:val="left" w:pos="1134"/>
        </w:tabs>
        <w:spacing w:before="120" w:after="120"/>
        <w:ind w:left="1134" w:hanging="567"/>
        <w:contextualSpacing w:val="0"/>
        <w:jc w:val="both"/>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impacts des efforts de sauvegarde de l’élément, en particulier la mise en œuvre du plan de sauvegarde qui a été soumis au moment de la candidature ;</w:t>
      </w:r>
    </w:p>
    <w:p w14:paraId="768A8AB8" w14:textId="54D25283" w:rsidR="00465A46" w:rsidRPr="00465A46" w:rsidRDefault="00465A46" w:rsidP="0085441F">
      <w:pPr>
        <w:pStyle w:val="ListParagraph"/>
        <w:numPr>
          <w:ilvl w:val="0"/>
          <w:numId w:val="50"/>
        </w:numPr>
        <w:tabs>
          <w:tab w:val="left" w:pos="1134"/>
        </w:tabs>
        <w:spacing w:before="120" w:after="120"/>
        <w:ind w:left="1134" w:hanging="567"/>
        <w:contextualSpacing w:val="0"/>
        <w:jc w:val="both"/>
        <w:rPr>
          <w:rFonts w:ascii="Arial" w:hAnsi="Arial" w:cs="Arial"/>
          <w:sz w:val="22"/>
          <w:szCs w:val="22"/>
        </w:rPr>
      </w:pPr>
      <w:proofErr w:type="gramStart"/>
      <w:r w:rsidRPr="00465A46">
        <w:rPr>
          <w:rFonts w:ascii="Arial" w:hAnsi="Arial"/>
          <w:sz w:val="22"/>
          <w:szCs w:val="22"/>
        </w:rPr>
        <w:t>une</w:t>
      </w:r>
      <w:proofErr w:type="gramEnd"/>
      <w:r w:rsidRPr="00465A46">
        <w:rPr>
          <w:rFonts w:ascii="Arial" w:hAnsi="Arial"/>
          <w:sz w:val="22"/>
          <w:szCs w:val="22"/>
        </w:rPr>
        <w:t xml:space="preserve"> mise à jour du plan de sauvegarde inclus dans le dossier de candidature ou le précédent rapport ;</w:t>
      </w:r>
    </w:p>
    <w:p w14:paraId="61ED5AA3" w14:textId="26EE9D40" w:rsidR="00465A46" w:rsidRPr="00465A46" w:rsidRDefault="00465A46" w:rsidP="0085441F">
      <w:pPr>
        <w:pStyle w:val="ListParagraph"/>
        <w:numPr>
          <w:ilvl w:val="0"/>
          <w:numId w:val="50"/>
        </w:numPr>
        <w:tabs>
          <w:tab w:val="left" w:pos="1134"/>
        </w:tabs>
        <w:spacing w:before="120" w:after="120"/>
        <w:ind w:left="1134" w:hanging="567"/>
        <w:contextualSpacing w:val="0"/>
        <w:jc w:val="both"/>
        <w:rPr>
          <w:rFonts w:ascii="Arial" w:hAnsi="Arial" w:cs="Arial"/>
          <w:sz w:val="22"/>
          <w:szCs w:val="22"/>
          <w:u w:val="single"/>
        </w:rPr>
      </w:pPr>
      <w:proofErr w:type="gramStart"/>
      <w:r w:rsidRPr="00465A46">
        <w:rPr>
          <w:rFonts w:ascii="Arial" w:hAnsi="Arial"/>
          <w:sz w:val="22"/>
          <w:szCs w:val="22"/>
        </w:rPr>
        <w:t>la</w:t>
      </w:r>
      <w:proofErr w:type="gramEnd"/>
      <w:r w:rsidRPr="00465A46">
        <w:rPr>
          <w:rFonts w:ascii="Arial" w:hAnsi="Arial"/>
          <w:sz w:val="22"/>
          <w:szCs w:val="22"/>
        </w:rPr>
        <w:t xml:space="preserve"> participation des communautés, des groupes et des individus ainsi que des organisations non gouvernementales pertinentes à la sauvegarde de l’élément et leur volonté constante d’en assurer une sauvegarde continue.</w:t>
      </w:r>
    </w:p>
    <w:p w14:paraId="2B135A2C" w14:textId="6A7FA852" w:rsidR="00465A46" w:rsidRDefault="00465A46" w:rsidP="0085441F">
      <w:pPr>
        <w:pStyle w:val="Marge"/>
        <w:ind w:left="567" w:hanging="567"/>
        <w:rPr>
          <w:szCs w:val="22"/>
        </w:rPr>
      </w:pPr>
      <w:r>
        <w:rPr>
          <w:szCs w:val="22"/>
        </w:rPr>
        <w:t>166.</w:t>
      </w:r>
      <w:r w:rsidR="0085441F">
        <w:rPr>
          <w:szCs w:val="22"/>
        </w:rPr>
        <w:tab/>
      </w:r>
      <w:r>
        <w:rPr>
          <w:szCs w:val="22"/>
        </w:rPr>
        <w:t xml:space="preserve">Le Secrétariat transmet au Comité, quatre semaines avant sa session, un aperçu de tous les rapports reçus </w:t>
      </w:r>
      <w:r w:rsidRPr="00465A46">
        <w:rPr>
          <w:szCs w:val="22"/>
        </w:rPr>
        <w:t>conformément aux paragraphe 152.</w:t>
      </w:r>
      <w:r>
        <w:rPr>
          <w:szCs w:val="22"/>
        </w:rPr>
        <w:t xml:space="preserve"> Cet aperçu </w:t>
      </w:r>
      <w:r w:rsidRPr="00465A46">
        <w:rPr>
          <w:szCs w:val="22"/>
        </w:rPr>
        <w:t>est également mis en ligne pour consultation publique, de même que les rapports reçus conformément aux paragraphes 152 et 161, dans la langue dans laquelle ils ont été soumis par les États parties, sauf si le Comité en décide autrement dans des cas exceptionnels.</w:t>
      </w:r>
    </w:p>
    <w:p w14:paraId="3868F8B4" w14:textId="50A376A3" w:rsidR="00465A46" w:rsidRDefault="00465A46" w:rsidP="0085441F">
      <w:pPr>
        <w:pStyle w:val="Marge"/>
        <w:ind w:left="567" w:hanging="567"/>
        <w:rPr>
          <w:szCs w:val="22"/>
        </w:rPr>
      </w:pPr>
      <w:r w:rsidRPr="00052470">
        <w:rPr>
          <w:szCs w:val="22"/>
        </w:rPr>
        <w:t>167.</w:t>
      </w:r>
      <w:r w:rsidR="0085441F">
        <w:rPr>
          <w:szCs w:val="22"/>
        </w:rPr>
        <w:tab/>
      </w:r>
      <w:r w:rsidRPr="00052470">
        <w:rPr>
          <w:szCs w:val="22"/>
        </w:rPr>
        <w:t>Supprimé</w:t>
      </w:r>
      <w:r>
        <w:rPr>
          <w:szCs w:val="22"/>
        </w:rPr>
        <w:t>.</w:t>
      </w:r>
    </w:p>
    <w:p w14:paraId="1136291D" w14:textId="717F5310" w:rsidR="00465A46" w:rsidRDefault="00465A46" w:rsidP="0085441F">
      <w:pPr>
        <w:pStyle w:val="Marge"/>
        <w:ind w:left="567" w:hanging="567"/>
        <w:rPr>
          <w:szCs w:val="22"/>
        </w:rPr>
      </w:pPr>
      <w:r w:rsidRPr="00052470">
        <w:rPr>
          <w:szCs w:val="22"/>
        </w:rPr>
        <w:t>168</w:t>
      </w:r>
      <w:r>
        <w:rPr>
          <w:szCs w:val="22"/>
        </w:rPr>
        <w:t>.</w:t>
      </w:r>
      <w:r w:rsidR="0085441F">
        <w:rPr>
          <w:szCs w:val="22"/>
        </w:rPr>
        <w:tab/>
      </w:r>
      <w:r>
        <w:rPr>
          <w:szCs w:val="22"/>
        </w:rPr>
        <w:t>Les paragraphes</w:t>
      </w:r>
      <w:r w:rsidR="00D42267">
        <w:rPr>
          <w:szCs w:val="22"/>
        </w:rPr>
        <w:t xml:space="preserve"> </w:t>
      </w:r>
      <w:r>
        <w:rPr>
          <w:szCs w:val="22"/>
        </w:rPr>
        <w:t>157 à</w:t>
      </w:r>
      <w:r w:rsidR="00797E4D">
        <w:rPr>
          <w:szCs w:val="22"/>
        </w:rPr>
        <w:t xml:space="preserve"> </w:t>
      </w:r>
      <w:r>
        <w:rPr>
          <w:szCs w:val="22"/>
        </w:rPr>
        <w:t>159 et</w:t>
      </w:r>
      <w:r w:rsidR="00797E4D">
        <w:rPr>
          <w:szCs w:val="22"/>
        </w:rPr>
        <w:t xml:space="preserve"> </w:t>
      </w:r>
      <w:r>
        <w:rPr>
          <w:szCs w:val="22"/>
        </w:rPr>
        <w:t>165 à</w:t>
      </w:r>
      <w:r w:rsidR="00797E4D">
        <w:rPr>
          <w:szCs w:val="22"/>
        </w:rPr>
        <w:t xml:space="preserve"> </w:t>
      </w:r>
      <w:r>
        <w:rPr>
          <w:szCs w:val="22"/>
        </w:rPr>
        <w:t>16</w:t>
      </w:r>
      <w:r w:rsidRPr="00465A46">
        <w:rPr>
          <w:bCs/>
          <w:szCs w:val="22"/>
        </w:rPr>
        <w:t>6</w:t>
      </w:r>
      <w:r>
        <w:rPr>
          <w:szCs w:val="22"/>
        </w:rPr>
        <w:t xml:space="preserve"> des présentes Directives opérationnelles s’appliquent dans leur intégralité aux États non parties à la Convention qui ont sur leur territoire des </w:t>
      </w:r>
      <w:r>
        <w:rPr>
          <w:szCs w:val="22"/>
        </w:rPr>
        <w:lastRenderedPageBreak/>
        <w:t>éléments proclamés Chefs-d’œuvre ayant été intégrés dans la Liste représentative du patrimoine culturel immatériel de l’humanité, et qui ont consenti à accepter les droits et à assumer les obligations qui en découlent.</w:t>
      </w:r>
    </w:p>
    <w:p w14:paraId="63EF5177" w14:textId="4687F218" w:rsidR="00465A46" w:rsidRPr="00465A46" w:rsidRDefault="0085441F" w:rsidP="0085441F">
      <w:pPr>
        <w:pStyle w:val="Marge"/>
        <w:ind w:left="567" w:hanging="567"/>
        <w:rPr>
          <w:rFonts w:cs="Arial"/>
          <w:szCs w:val="22"/>
          <w:u w:val="single"/>
        </w:rPr>
      </w:pPr>
      <w:r>
        <w:rPr>
          <w:szCs w:val="22"/>
        </w:rPr>
        <w:t>169.</w:t>
      </w:r>
      <w:r>
        <w:rPr>
          <w:szCs w:val="22"/>
        </w:rPr>
        <w:tab/>
      </w:r>
      <w:r w:rsidR="00465A46">
        <w:rPr>
          <w:szCs w:val="22"/>
        </w:rPr>
        <w:t xml:space="preserve">Ces rapports sont présentés au Comité par les États non parties au plus tard le 15 décembre 2014 et ensuite tous les six ans. Le formulaire ICH-10 </w:t>
      </w:r>
      <w:r w:rsidR="00465A46" w:rsidRPr="00052470">
        <w:rPr>
          <w:szCs w:val="22"/>
        </w:rPr>
        <w:t>est utilisé pour ces rapports</w:t>
      </w:r>
      <w:r w:rsidR="00465A46">
        <w:rPr>
          <w:szCs w:val="22"/>
        </w:rPr>
        <w:t xml:space="preserve">, </w:t>
      </w:r>
      <w:r w:rsidR="00814D09">
        <w:rPr>
          <w:szCs w:val="22"/>
        </w:rPr>
        <w:t xml:space="preserve">il </w:t>
      </w:r>
      <w:r w:rsidR="00465A46" w:rsidRPr="00465A46">
        <w:rPr>
          <w:color w:val="000000"/>
          <w:szCs w:val="22"/>
        </w:rPr>
        <w:t xml:space="preserve">peut être rempli en ligne par chaque État </w:t>
      </w:r>
      <w:r w:rsidR="00D5059C">
        <w:rPr>
          <w:color w:val="000000"/>
          <w:szCs w:val="22"/>
        </w:rPr>
        <w:t>concerné</w:t>
      </w:r>
      <w:r w:rsidR="00D5059C" w:rsidRPr="00465A46">
        <w:rPr>
          <w:color w:val="000000"/>
          <w:szCs w:val="22"/>
        </w:rPr>
        <w:t xml:space="preserve"> </w:t>
      </w:r>
      <w:r w:rsidR="00465A46" w:rsidRPr="00465A46">
        <w:rPr>
          <w:color w:val="000000"/>
          <w:szCs w:val="22"/>
        </w:rPr>
        <w:t>(</w:t>
      </w:r>
      <w:hyperlink r:id="rId30" w:history="1">
        <w:r w:rsidR="00465A46" w:rsidRPr="003074FE">
          <w:rPr>
            <w:rStyle w:val="Hyperlink"/>
            <w:b/>
            <w:color w:val="auto"/>
            <w:szCs w:val="22"/>
            <w:u w:val="none"/>
          </w:rPr>
          <w:t>https://ich.unesco.org/</w:t>
        </w:r>
      </w:hyperlink>
      <w:r w:rsidR="00465A46" w:rsidRPr="00465A46">
        <w:rPr>
          <w:color w:val="000000"/>
          <w:szCs w:val="22"/>
        </w:rPr>
        <w:t>)</w:t>
      </w:r>
      <w:r w:rsidR="00814D09">
        <w:rPr>
          <w:color w:val="000000"/>
          <w:szCs w:val="22"/>
        </w:rPr>
        <w:t>,</w:t>
      </w:r>
      <w:r w:rsidR="00465A46" w:rsidRPr="00465A46">
        <w:rPr>
          <w:color w:val="000000"/>
          <w:szCs w:val="22"/>
        </w:rPr>
        <w:t xml:space="preserve"> et </w:t>
      </w:r>
      <w:r w:rsidR="00814D09">
        <w:rPr>
          <w:color w:val="000000"/>
          <w:szCs w:val="22"/>
        </w:rPr>
        <w:t xml:space="preserve">il </w:t>
      </w:r>
      <w:r w:rsidR="00465A46" w:rsidRPr="00465A46">
        <w:rPr>
          <w:color w:val="000000"/>
          <w:szCs w:val="22"/>
        </w:rPr>
        <w:t>est révisé par le Secrétariat à intervalles appropriés.</w:t>
      </w:r>
    </w:p>
    <w:p w14:paraId="46476F63" w14:textId="24107A32" w:rsidR="007335D3" w:rsidRPr="0049163C" w:rsidRDefault="007335D3" w:rsidP="003074FE">
      <w:pPr>
        <w:pStyle w:val="GATitleResolution"/>
        <w:ind w:left="567" w:hanging="567"/>
      </w:pPr>
      <w:r w:rsidRPr="0049163C">
        <w:t>RÉSOLU</w:t>
      </w:r>
      <w:r w:rsidR="00655685">
        <w:t>TION 7</w:t>
      </w:r>
      <w:r w:rsidRPr="0049163C">
        <w:t>.GA 11</w:t>
      </w:r>
    </w:p>
    <w:p w14:paraId="1A0C02C2" w14:textId="77777777" w:rsidR="00655685" w:rsidRPr="005A4A42" w:rsidRDefault="00655685" w:rsidP="00655685">
      <w:pPr>
        <w:pStyle w:val="GAPreambulaResolution"/>
      </w:pPr>
      <w:r>
        <w:t>L’Assemblée générale,</w:t>
      </w:r>
    </w:p>
    <w:p w14:paraId="59D2917C" w14:textId="50C73633" w:rsidR="00655685" w:rsidRPr="00E917DD" w:rsidRDefault="00655685" w:rsidP="00655685">
      <w:pPr>
        <w:pStyle w:val="GAParaResolution"/>
        <w:numPr>
          <w:ilvl w:val="0"/>
          <w:numId w:val="52"/>
        </w:numPr>
        <w:ind w:left="567" w:hanging="567"/>
      </w:pPr>
      <w:r>
        <w:t>Ayant examiné</w:t>
      </w:r>
      <w:r w:rsidRPr="00655685">
        <w:rPr>
          <w:u w:val="none"/>
        </w:rPr>
        <w:t xml:space="preserve"> le document </w:t>
      </w:r>
      <w:hyperlink r:id="rId31" w:history="1">
        <w:r w:rsidRPr="00B037E4">
          <w:rPr>
            <w:rStyle w:val="Hyperlink"/>
          </w:rPr>
          <w:t>ITH/18/7.GA/11</w:t>
        </w:r>
      </w:hyperlink>
      <w:r w:rsidRPr="00655685">
        <w:rPr>
          <w:u w:val="none"/>
        </w:rPr>
        <w:t>,</w:t>
      </w:r>
    </w:p>
    <w:p w14:paraId="7E24270C" w14:textId="77777777" w:rsidR="00655685" w:rsidRPr="00CB07F0" w:rsidRDefault="00655685" w:rsidP="00655685">
      <w:pPr>
        <w:pStyle w:val="COMParaDecision"/>
        <w:numPr>
          <w:ilvl w:val="0"/>
          <w:numId w:val="3"/>
        </w:numPr>
        <w:ind w:left="567" w:hanging="567"/>
      </w:pPr>
      <w:r>
        <w:t>Rappelant</w:t>
      </w:r>
      <w:r>
        <w:rPr>
          <w:u w:val="none"/>
        </w:rPr>
        <w:t xml:space="preserve"> l’article 9 de la Convention et les paragraphes 91-99 des Directives opérationnelles,</w:t>
      </w:r>
    </w:p>
    <w:p w14:paraId="4BFAF1DE" w14:textId="0FDCAB17" w:rsidR="00655685" w:rsidRPr="00E917DD" w:rsidRDefault="00655685" w:rsidP="00655685">
      <w:pPr>
        <w:pStyle w:val="COMParaDecision"/>
        <w:numPr>
          <w:ilvl w:val="0"/>
          <w:numId w:val="3"/>
        </w:numPr>
        <w:ind w:left="567" w:hanging="567"/>
      </w:pPr>
      <w:r>
        <w:t>Rappelant également</w:t>
      </w:r>
      <w:r>
        <w:rPr>
          <w:u w:val="none"/>
        </w:rPr>
        <w:t xml:space="preserve"> la </w:t>
      </w:r>
      <w:r w:rsidR="00D50A1B">
        <w:rPr>
          <w:u w:val="none"/>
        </w:rPr>
        <w:t>d</w:t>
      </w:r>
      <w:r>
        <w:rPr>
          <w:u w:val="none"/>
        </w:rPr>
        <w:t>écision </w:t>
      </w:r>
      <w:hyperlink r:id="rId32" w:history="1">
        <w:r w:rsidRPr="00B037E4">
          <w:rPr>
            <w:rStyle w:val="Hyperlink"/>
          </w:rPr>
          <w:t>12.COM 17</w:t>
        </w:r>
      </w:hyperlink>
      <w:r>
        <w:rPr>
          <w:u w:val="none"/>
        </w:rPr>
        <w:t>,</w:t>
      </w:r>
    </w:p>
    <w:p w14:paraId="751DAAE3" w14:textId="77777777" w:rsidR="00655685" w:rsidRPr="00E917DD" w:rsidRDefault="00655685" w:rsidP="00655685">
      <w:pPr>
        <w:pStyle w:val="COMParaDecision"/>
        <w:numPr>
          <w:ilvl w:val="0"/>
          <w:numId w:val="3"/>
        </w:numPr>
        <w:ind w:left="567" w:hanging="567"/>
      </w:pPr>
      <w:r>
        <w:t>Accrédite</w:t>
      </w:r>
      <w:r>
        <w:rPr>
          <w:u w:val="none"/>
        </w:rPr>
        <w:t xml:space="preserve"> les vingt-neuf organisations non gouvernementales dont la liste figure en annexe à la présente résolution, pour qu’elles exercent des fonctions consultatives auprès du Comité ;</w:t>
      </w:r>
    </w:p>
    <w:p w14:paraId="0E31AD1F" w14:textId="1D4EC5ED" w:rsidR="00655685" w:rsidRPr="00E917DD" w:rsidRDefault="00655685" w:rsidP="00655685">
      <w:pPr>
        <w:pStyle w:val="COMParaDecision"/>
        <w:numPr>
          <w:ilvl w:val="0"/>
          <w:numId w:val="3"/>
        </w:numPr>
        <w:ind w:left="567" w:hanging="567"/>
        <w:rPr>
          <w:u w:val="none"/>
        </w:rPr>
      </w:pPr>
      <w:r>
        <w:t>Encourage</w:t>
      </w:r>
      <w:r>
        <w:rPr>
          <w:u w:val="none"/>
        </w:rPr>
        <w:t xml:space="preserve"> les ONG des groupes électoraux sous-représentés qui répondent aux critères d’accréditation à soumettre leurs demandes d’accréditation dans les meilleurs délais afin d’améliorer la répartition géographique des ONG accréditées et </w:t>
      </w:r>
      <w:r>
        <w:t>invite</w:t>
      </w:r>
      <w:r>
        <w:rPr>
          <w:u w:val="none"/>
        </w:rPr>
        <w:t xml:space="preserve"> les États parties de ces groupes électoraux à transmettre largement cet appel aux ONG opérant sur leur territoire</w:t>
      </w:r>
      <w:r w:rsidR="00AA0DD0">
        <w:rPr>
          <w:u w:val="none"/>
        </w:rPr>
        <w:t> ;</w:t>
      </w:r>
    </w:p>
    <w:p w14:paraId="22CB2C0C" w14:textId="77777777" w:rsidR="00655685" w:rsidRPr="00E917DD" w:rsidRDefault="00655685" w:rsidP="00655685">
      <w:pPr>
        <w:pStyle w:val="COMParaDecision"/>
        <w:numPr>
          <w:ilvl w:val="0"/>
          <w:numId w:val="3"/>
        </w:numPr>
        <w:ind w:left="567" w:hanging="567"/>
      </w:pPr>
      <w:r>
        <w:t>Invite</w:t>
      </w:r>
      <w:r>
        <w:rPr>
          <w:u w:val="none"/>
        </w:rPr>
        <w:t xml:space="preserve"> les ONG accréditées en 2014 à remettre au Secrétariat leur rapport quadriennal en 2019, afin qu’à sa quatorzième session le Comité puisse étudier la contribution et l’implication de chaque organisation consultative ;</w:t>
      </w:r>
    </w:p>
    <w:p w14:paraId="67657B29" w14:textId="168A07B1" w:rsidR="00655685" w:rsidRPr="00833E45" w:rsidRDefault="00655685" w:rsidP="00655685">
      <w:pPr>
        <w:pStyle w:val="COMParaDecision"/>
        <w:numPr>
          <w:ilvl w:val="0"/>
          <w:numId w:val="3"/>
        </w:numPr>
        <w:ind w:left="567" w:hanging="567"/>
      </w:pPr>
      <w:r>
        <w:t>Prend note</w:t>
      </w:r>
      <w:r>
        <w:rPr>
          <w:u w:val="none"/>
        </w:rPr>
        <w:t xml:space="preserve"> de la réflexion menée par le Secrétariat et le groupe de travail informel ad hoc</w:t>
      </w:r>
      <w:r w:rsidR="00A23323" w:rsidRPr="00A23323">
        <w:rPr>
          <w:u w:val="none"/>
        </w:rPr>
        <w:t xml:space="preserve"> </w:t>
      </w:r>
      <w:r w:rsidR="00A23323">
        <w:rPr>
          <w:u w:val="none"/>
        </w:rPr>
        <w:t>co-présidé par l’Algérie et les Philippines</w:t>
      </w:r>
      <w:r>
        <w:rPr>
          <w:u w:val="none"/>
        </w:rPr>
        <w:t xml:space="preserve">, en consultation avec des ONG accréditées, sur la participation des ONG à la Convention de 2003 et </w:t>
      </w:r>
      <w:r>
        <w:t>demande</w:t>
      </w:r>
      <w:r>
        <w:rPr>
          <w:u w:val="none"/>
        </w:rPr>
        <w:t xml:space="preserve"> que le Comité et le Secrétariat présentent les </w:t>
      </w:r>
      <w:r w:rsidR="00A23323">
        <w:rPr>
          <w:u w:val="none"/>
        </w:rPr>
        <w:t>progrès</w:t>
      </w:r>
      <w:r>
        <w:rPr>
          <w:u w:val="none"/>
        </w:rPr>
        <w:t xml:space="preserve"> de cette réflexion à </w:t>
      </w:r>
      <w:r w:rsidR="00A23323">
        <w:rPr>
          <w:u w:val="none"/>
        </w:rPr>
        <w:t xml:space="preserve">la prochaine </w:t>
      </w:r>
      <w:r>
        <w:rPr>
          <w:u w:val="none"/>
        </w:rPr>
        <w:t>session de l’Assemblée générale.</w:t>
      </w:r>
    </w:p>
    <w:p w14:paraId="6A475985" w14:textId="3223DDA5" w:rsidR="00655685" w:rsidRPr="00655685" w:rsidRDefault="00655685" w:rsidP="00F475EF">
      <w:pPr>
        <w:pStyle w:val="5GAparabodytext"/>
      </w:pPr>
      <w:r w:rsidRPr="00655685">
        <w:rPr>
          <w:lang w:eastAsia="en-US"/>
        </w:rPr>
        <w:t>ANNEXE</w:t>
      </w:r>
    </w:p>
    <w:tbl>
      <w:tblPr>
        <w:tblW w:w="9497" w:type="dxa"/>
        <w:tblInd w:w="212" w:type="dxa"/>
        <w:tblCellMar>
          <w:left w:w="70" w:type="dxa"/>
          <w:right w:w="70" w:type="dxa"/>
        </w:tblCellMar>
        <w:tblLook w:val="04A0" w:firstRow="1" w:lastRow="0" w:firstColumn="1" w:lastColumn="0" w:noHBand="0" w:noVBand="1"/>
      </w:tblPr>
      <w:tblGrid>
        <w:gridCol w:w="4864"/>
        <w:gridCol w:w="2849"/>
        <w:gridCol w:w="1784"/>
      </w:tblGrid>
      <w:tr w:rsidR="00655685" w:rsidRPr="00D1780C" w14:paraId="1AD86F78" w14:textId="77777777" w:rsidTr="0003619B">
        <w:trPr>
          <w:trHeight w:val="164"/>
        </w:trPr>
        <w:tc>
          <w:tcPr>
            <w:tcW w:w="2560" w:type="pct"/>
            <w:shd w:val="clear" w:color="auto" w:fill="808080" w:themeFill="background1" w:themeFillShade="80"/>
            <w:vAlign w:val="center"/>
            <w:hideMark/>
          </w:tcPr>
          <w:p w14:paraId="4E422FAA" w14:textId="77777777" w:rsidR="00655685" w:rsidRPr="0046644C" w:rsidRDefault="00655685" w:rsidP="0003619B">
            <w:pPr>
              <w:keepNext/>
              <w:jc w:val="center"/>
              <w:rPr>
                <w:rFonts w:ascii="Arial" w:hAnsi="Arial" w:cs="Arial"/>
                <w:b/>
                <w:bCs/>
                <w:color w:val="000000"/>
                <w:sz w:val="22"/>
                <w:szCs w:val="22"/>
              </w:rPr>
            </w:pPr>
            <w:r>
              <w:rPr>
                <w:rFonts w:ascii="Arial" w:hAnsi="Arial"/>
                <w:b/>
                <w:bCs/>
                <w:color w:val="000000"/>
                <w:sz w:val="22"/>
                <w:szCs w:val="22"/>
              </w:rPr>
              <w:t>Nom de l’organisation</w:t>
            </w:r>
          </w:p>
        </w:tc>
        <w:tc>
          <w:tcPr>
            <w:tcW w:w="1500" w:type="pct"/>
            <w:shd w:val="clear" w:color="auto" w:fill="808080" w:themeFill="background1" w:themeFillShade="80"/>
            <w:vAlign w:val="center"/>
            <w:hideMark/>
          </w:tcPr>
          <w:p w14:paraId="5C2B5942" w14:textId="77777777" w:rsidR="00655685" w:rsidRPr="0046644C" w:rsidRDefault="00655685" w:rsidP="0003619B">
            <w:pPr>
              <w:jc w:val="center"/>
              <w:rPr>
                <w:rFonts w:ascii="Arial" w:hAnsi="Arial" w:cs="Arial"/>
                <w:b/>
                <w:bCs/>
                <w:color w:val="000000"/>
                <w:sz w:val="22"/>
                <w:szCs w:val="22"/>
              </w:rPr>
            </w:pPr>
            <w:r>
              <w:rPr>
                <w:rFonts w:ascii="Arial" w:hAnsi="Arial"/>
                <w:b/>
                <w:bCs/>
                <w:color w:val="000000"/>
                <w:sz w:val="22"/>
                <w:szCs w:val="22"/>
              </w:rPr>
              <w:t>Pays d’établissement</w:t>
            </w:r>
          </w:p>
        </w:tc>
        <w:tc>
          <w:tcPr>
            <w:tcW w:w="939" w:type="pct"/>
            <w:shd w:val="clear" w:color="auto" w:fill="808080" w:themeFill="background1" w:themeFillShade="80"/>
            <w:vAlign w:val="center"/>
            <w:hideMark/>
          </w:tcPr>
          <w:p w14:paraId="060C2447" w14:textId="77777777" w:rsidR="00655685" w:rsidRPr="0046644C" w:rsidRDefault="00655685" w:rsidP="0003619B">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655685" w:rsidRPr="00D1780C" w14:paraId="147EA191" w14:textId="77777777" w:rsidTr="0003619B">
        <w:trPr>
          <w:trHeight w:val="164"/>
        </w:trPr>
        <w:tc>
          <w:tcPr>
            <w:tcW w:w="2560" w:type="pct"/>
            <w:tcBorders>
              <w:top w:val="single" w:sz="4" w:space="0" w:color="auto"/>
              <w:bottom w:val="single" w:sz="4" w:space="0" w:color="auto"/>
            </w:tcBorders>
            <w:shd w:val="clear" w:color="auto" w:fill="auto"/>
            <w:hideMark/>
          </w:tcPr>
          <w:p w14:paraId="7C39007E" w14:textId="77777777" w:rsidR="00655685" w:rsidRPr="001A69E4" w:rsidRDefault="00655685" w:rsidP="0003619B">
            <w:pPr>
              <w:rPr>
                <w:rFonts w:ascii="Arial" w:hAnsi="Arial" w:cs="Arial"/>
                <w:color w:val="000000"/>
                <w:sz w:val="22"/>
                <w:szCs w:val="22"/>
              </w:rPr>
            </w:pPr>
            <w:proofErr w:type="spellStart"/>
            <w:r>
              <w:rPr>
                <w:rFonts w:ascii="Arial" w:hAnsi="Arial"/>
                <w:color w:val="000000"/>
                <w:sz w:val="22"/>
                <w:szCs w:val="22"/>
              </w:rPr>
              <w:t>Amagugu</w:t>
            </w:r>
            <w:proofErr w:type="spellEnd"/>
            <w:r>
              <w:rPr>
                <w:rFonts w:ascii="Arial" w:hAnsi="Arial"/>
                <w:color w:val="000000"/>
                <w:sz w:val="22"/>
                <w:szCs w:val="22"/>
              </w:rPr>
              <w:t xml:space="preserve"> International Heritage Centre</w:t>
            </w:r>
          </w:p>
        </w:tc>
        <w:tc>
          <w:tcPr>
            <w:tcW w:w="1500" w:type="pct"/>
            <w:tcBorders>
              <w:top w:val="single" w:sz="4" w:space="0" w:color="auto"/>
              <w:bottom w:val="single" w:sz="4" w:space="0" w:color="auto"/>
            </w:tcBorders>
            <w:shd w:val="clear" w:color="auto" w:fill="auto"/>
            <w:hideMark/>
          </w:tcPr>
          <w:p w14:paraId="31D4E0EE"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Zimbabwe</w:t>
            </w:r>
          </w:p>
        </w:tc>
        <w:tc>
          <w:tcPr>
            <w:tcW w:w="939" w:type="pct"/>
            <w:tcBorders>
              <w:top w:val="single" w:sz="4" w:space="0" w:color="auto"/>
              <w:bottom w:val="single" w:sz="4" w:space="0" w:color="auto"/>
            </w:tcBorders>
            <w:shd w:val="clear" w:color="auto" w:fill="auto"/>
            <w:hideMark/>
          </w:tcPr>
          <w:p w14:paraId="4EC5C761" w14:textId="688A83B3" w:rsidR="00655685" w:rsidRPr="001A69E4" w:rsidRDefault="00B03B7D" w:rsidP="0003619B">
            <w:pPr>
              <w:jc w:val="center"/>
              <w:rPr>
                <w:rFonts w:ascii="Arial" w:hAnsi="Arial" w:cs="Arial"/>
                <w:color w:val="000000"/>
                <w:sz w:val="22"/>
                <w:szCs w:val="22"/>
              </w:rPr>
            </w:pPr>
            <w:hyperlink r:id="rId33" w:history="1">
              <w:r w:rsidR="00655685" w:rsidRPr="00B90FF7">
                <w:rPr>
                  <w:rStyle w:val="Hyperlink"/>
                  <w:rFonts w:ascii="Arial" w:hAnsi="Arial"/>
                  <w:sz w:val="22"/>
                  <w:szCs w:val="22"/>
                </w:rPr>
                <w:t>NGO-90383</w:t>
              </w:r>
            </w:hyperlink>
          </w:p>
        </w:tc>
      </w:tr>
      <w:tr w:rsidR="00655685" w:rsidRPr="00D1780C" w14:paraId="2D5DFA68" w14:textId="77777777" w:rsidTr="0003619B">
        <w:trPr>
          <w:trHeight w:val="164"/>
        </w:trPr>
        <w:tc>
          <w:tcPr>
            <w:tcW w:w="2560" w:type="pct"/>
            <w:tcBorders>
              <w:top w:val="single" w:sz="4" w:space="0" w:color="auto"/>
              <w:bottom w:val="single" w:sz="4" w:space="0" w:color="auto"/>
            </w:tcBorders>
            <w:shd w:val="clear" w:color="auto" w:fill="auto"/>
            <w:hideMark/>
          </w:tcPr>
          <w:p w14:paraId="5908FC89"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Association Île du Monde</w:t>
            </w:r>
          </w:p>
        </w:tc>
        <w:tc>
          <w:tcPr>
            <w:tcW w:w="1500" w:type="pct"/>
            <w:tcBorders>
              <w:top w:val="single" w:sz="4" w:space="0" w:color="auto"/>
              <w:bottom w:val="single" w:sz="4" w:space="0" w:color="auto"/>
            </w:tcBorders>
            <w:shd w:val="clear" w:color="auto" w:fill="auto"/>
            <w:hideMark/>
          </w:tcPr>
          <w:p w14:paraId="48CCEAD6"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7859F020" w14:textId="0C8EBEE5" w:rsidR="00655685" w:rsidRPr="001A69E4" w:rsidRDefault="00B03B7D" w:rsidP="0003619B">
            <w:pPr>
              <w:jc w:val="center"/>
              <w:rPr>
                <w:rFonts w:ascii="Arial" w:hAnsi="Arial" w:cs="Arial"/>
                <w:color w:val="000000"/>
                <w:sz w:val="22"/>
                <w:szCs w:val="22"/>
              </w:rPr>
            </w:pPr>
            <w:hyperlink r:id="rId34" w:history="1">
              <w:r w:rsidR="00655685" w:rsidRPr="00B90FF7">
                <w:rPr>
                  <w:rStyle w:val="Hyperlink"/>
                  <w:rFonts w:ascii="Arial" w:hAnsi="Arial"/>
                  <w:sz w:val="22"/>
                  <w:szCs w:val="22"/>
                </w:rPr>
                <w:t>NGO-90388</w:t>
              </w:r>
            </w:hyperlink>
          </w:p>
        </w:tc>
      </w:tr>
      <w:tr w:rsidR="00655685" w:rsidRPr="00D1780C" w14:paraId="40F136C4" w14:textId="77777777" w:rsidTr="0003619B">
        <w:trPr>
          <w:trHeight w:val="281"/>
        </w:trPr>
        <w:tc>
          <w:tcPr>
            <w:tcW w:w="2560" w:type="pct"/>
            <w:tcBorders>
              <w:top w:val="single" w:sz="4" w:space="0" w:color="auto"/>
              <w:bottom w:val="single" w:sz="4" w:space="0" w:color="auto"/>
            </w:tcBorders>
            <w:shd w:val="clear" w:color="auto" w:fill="auto"/>
            <w:hideMark/>
          </w:tcPr>
          <w:p w14:paraId="095C2826"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Association of Folk Artists</w:t>
            </w:r>
          </w:p>
        </w:tc>
        <w:tc>
          <w:tcPr>
            <w:tcW w:w="1500" w:type="pct"/>
            <w:tcBorders>
              <w:top w:val="single" w:sz="4" w:space="0" w:color="auto"/>
              <w:bottom w:val="single" w:sz="4" w:space="0" w:color="auto"/>
            </w:tcBorders>
            <w:shd w:val="clear" w:color="auto" w:fill="auto"/>
            <w:hideMark/>
          </w:tcPr>
          <w:p w14:paraId="2F7CEE68"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Pologne</w:t>
            </w:r>
          </w:p>
        </w:tc>
        <w:tc>
          <w:tcPr>
            <w:tcW w:w="939" w:type="pct"/>
            <w:tcBorders>
              <w:top w:val="single" w:sz="4" w:space="0" w:color="auto"/>
              <w:bottom w:val="single" w:sz="4" w:space="0" w:color="auto"/>
            </w:tcBorders>
            <w:shd w:val="clear" w:color="auto" w:fill="auto"/>
            <w:hideMark/>
          </w:tcPr>
          <w:p w14:paraId="66D2D2E3" w14:textId="6397F7AC" w:rsidR="00655685" w:rsidRPr="001A69E4" w:rsidRDefault="00B03B7D" w:rsidP="0003619B">
            <w:pPr>
              <w:jc w:val="center"/>
              <w:rPr>
                <w:rFonts w:ascii="Arial" w:hAnsi="Arial" w:cs="Arial"/>
                <w:color w:val="000000"/>
                <w:sz w:val="22"/>
                <w:szCs w:val="22"/>
              </w:rPr>
            </w:pPr>
            <w:hyperlink r:id="rId35" w:history="1">
              <w:r w:rsidR="00655685" w:rsidRPr="00B90FF7">
                <w:rPr>
                  <w:rStyle w:val="Hyperlink"/>
                  <w:rFonts w:ascii="Arial" w:hAnsi="Arial"/>
                  <w:sz w:val="22"/>
                  <w:szCs w:val="22"/>
                </w:rPr>
                <w:t>NGO-90372</w:t>
              </w:r>
            </w:hyperlink>
          </w:p>
        </w:tc>
      </w:tr>
      <w:tr w:rsidR="00655685" w:rsidRPr="00D1780C" w14:paraId="2C700219" w14:textId="77777777" w:rsidTr="0003619B">
        <w:trPr>
          <w:trHeight w:val="281"/>
        </w:trPr>
        <w:tc>
          <w:tcPr>
            <w:tcW w:w="2560" w:type="pct"/>
            <w:tcBorders>
              <w:top w:val="single" w:sz="4" w:space="0" w:color="auto"/>
              <w:bottom w:val="single" w:sz="4" w:space="0" w:color="auto"/>
            </w:tcBorders>
            <w:shd w:val="clear" w:color="auto" w:fill="auto"/>
            <w:hideMark/>
          </w:tcPr>
          <w:p w14:paraId="00CED10D"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Centre de valorisation du patrimoine vivant</w:t>
            </w:r>
          </w:p>
        </w:tc>
        <w:tc>
          <w:tcPr>
            <w:tcW w:w="1500" w:type="pct"/>
            <w:tcBorders>
              <w:top w:val="single" w:sz="4" w:space="0" w:color="auto"/>
              <w:bottom w:val="single" w:sz="4" w:space="0" w:color="auto"/>
            </w:tcBorders>
            <w:shd w:val="clear" w:color="auto" w:fill="auto"/>
            <w:hideMark/>
          </w:tcPr>
          <w:p w14:paraId="19369D04"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Canada</w:t>
            </w:r>
          </w:p>
        </w:tc>
        <w:tc>
          <w:tcPr>
            <w:tcW w:w="939" w:type="pct"/>
            <w:tcBorders>
              <w:top w:val="single" w:sz="4" w:space="0" w:color="auto"/>
              <w:bottom w:val="single" w:sz="4" w:space="0" w:color="auto"/>
            </w:tcBorders>
            <w:shd w:val="clear" w:color="auto" w:fill="auto"/>
            <w:hideMark/>
          </w:tcPr>
          <w:p w14:paraId="5F326C42" w14:textId="172DE1D3" w:rsidR="00655685" w:rsidRPr="001A69E4" w:rsidRDefault="00B03B7D" w:rsidP="0003619B">
            <w:pPr>
              <w:jc w:val="center"/>
              <w:rPr>
                <w:rFonts w:ascii="Arial" w:hAnsi="Arial" w:cs="Arial"/>
                <w:color w:val="000000"/>
                <w:sz w:val="22"/>
                <w:szCs w:val="22"/>
              </w:rPr>
            </w:pPr>
            <w:hyperlink r:id="rId36" w:history="1">
              <w:r w:rsidR="00655685" w:rsidRPr="00B90FF7">
                <w:rPr>
                  <w:rStyle w:val="Hyperlink"/>
                  <w:rFonts w:ascii="Arial" w:hAnsi="Arial"/>
                  <w:sz w:val="22"/>
                  <w:szCs w:val="22"/>
                </w:rPr>
                <w:t>NGO-90394</w:t>
              </w:r>
            </w:hyperlink>
          </w:p>
        </w:tc>
      </w:tr>
      <w:tr w:rsidR="00655685" w:rsidRPr="00D1780C" w14:paraId="4AA92780" w14:textId="77777777" w:rsidTr="0003619B">
        <w:trPr>
          <w:trHeight w:val="281"/>
        </w:trPr>
        <w:tc>
          <w:tcPr>
            <w:tcW w:w="2560" w:type="pct"/>
            <w:tcBorders>
              <w:top w:val="single" w:sz="4" w:space="0" w:color="auto"/>
              <w:bottom w:val="single" w:sz="4" w:space="0" w:color="auto"/>
            </w:tcBorders>
            <w:shd w:val="clear" w:color="auto" w:fill="auto"/>
            <w:hideMark/>
          </w:tcPr>
          <w:p w14:paraId="600D3A45"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Centre des musiques traditionnelles Rhône-Alpes (CMTRA) - CMTRA</w:t>
            </w:r>
          </w:p>
        </w:tc>
        <w:tc>
          <w:tcPr>
            <w:tcW w:w="1500" w:type="pct"/>
            <w:tcBorders>
              <w:top w:val="single" w:sz="4" w:space="0" w:color="auto"/>
              <w:bottom w:val="single" w:sz="4" w:space="0" w:color="auto"/>
            </w:tcBorders>
            <w:shd w:val="clear" w:color="auto" w:fill="auto"/>
            <w:hideMark/>
          </w:tcPr>
          <w:p w14:paraId="768143F4"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5818CE24" w14:textId="0B8359FC" w:rsidR="00655685" w:rsidRPr="001A69E4" w:rsidRDefault="00B03B7D" w:rsidP="0003619B">
            <w:pPr>
              <w:jc w:val="center"/>
              <w:rPr>
                <w:rFonts w:ascii="Arial" w:hAnsi="Arial" w:cs="Arial"/>
                <w:color w:val="000000"/>
                <w:sz w:val="22"/>
                <w:szCs w:val="22"/>
              </w:rPr>
            </w:pPr>
            <w:hyperlink r:id="rId37" w:history="1">
              <w:r w:rsidR="00655685" w:rsidRPr="00B90FF7">
                <w:rPr>
                  <w:rStyle w:val="Hyperlink"/>
                  <w:rFonts w:ascii="Arial" w:hAnsi="Arial"/>
                  <w:sz w:val="22"/>
                  <w:szCs w:val="22"/>
                </w:rPr>
                <w:t>NGO-90387</w:t>
              </w:r>
            </w:hyperlink>
          </w:p>
        </w:tc>
      </w:tr>
      <w:tr w:rsidR="00655685" w:rsidRPr="00D1780C" w14:paraId="22799311" w14:textId="77777777" w:rsidTr="0003619B">
        <w:trPr>
          <w:trHeight w:val="164"/>
        </w:trPr>
        <w:tc>
          <w:tcPr>
            <w:tcW w:w="2560" w:type="pct"/>
            <w:tcBorders>
              <w:top w:val="single" w:sz="4" w:space="0" w:color="auto"/>
              <w:bottom w:val="single" w:sz="4" w:space="0" w:color="auto"/>
            </w:tcBorders>
            <w:shd w:val="clear" w:color="auto" w:fill="auto"/>
            <w:hideMark/>
          </w:tcPr>
          <w:p w14:paraId="565D2CF8"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Centre d’interprétation de la culture traditionnelle Marius-Barbeau</w:t>
            </w:r>
          </w:p>
        </w:tc>
        <w:tc>
          <w:tcPr>
            <w:tcW w:w="1500" w:type="pct"/>
            <w:tcBorders>
              <w:top w:val="single" w:sz="4" w:space="0" w:color="auto"/>
              <w:bottom w:val="single" w:sz="4" w:space="0" w:color="auto"/>
            </w:tcBorders>
            <w:shd w:val="clear" w:color="auto" w:fill="auto"/>
            <w:hideMark/>
          </w:tcPr>
          <w:p w14:paraId="4F930D45"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Canada</w:t>
            </w:r>
          </w:p>
        </w:tc>
        <w:tc>
          <w:tcPr>
            <w:tcW w:w="939" w:type="pct"/>
            <w:tcBorders>
              <w:top w:val="single" w:sz="4" w:space="0" w:color="auto"/>
              <w:bottom w:val="single" w:sz="4" w:space="0" w:color="auto"/>
            </w:tcBorders>
            <w:shd w:val="clear" w:color="auto" w:fill="auto"/>
            <w:hideMark/>
          </w:tcPr>
          <w:p w14:paraId="5770EE7A" w14:textId="19E4D9CE" w:rsidR="00655685" w:rsidRPr="001A69E4" w:rsidRDefault="00B03B7D" w:rsidP="0003619B">
            <w:pPr>
              <w:jc w:val="center"/>
              <w:rPr>
                <w:rFonts w:ascii="Arial" w:hAnsi="Arial" w:cs="Arial"/>
                <w:color w:val="000000"/>
                <w:sz w:val="22"/>
                <w:szCs w:val="22"/>
              </w:rPr>
            </w:pPr>
            <w:hyperlink r:id="rId38" w:history="1">
              <w:r w:rsidR="00655685" w:rsidRPr="00B90FF7">
                <w:rPr>
                  <w:rStyle w:val="Hyperlink"/>
                  <w:rFonts w:ascii="Arial" w:hAnsi="Arial"/>
                  <w:sz w:val="22"/>
                  <w:szCs w:val="22"/>
                </w:rPr>
                <w:t>NGO-90414</w:t>
              </w:r>
            </w:hyperlink>
          </w:p>
        </w:tc>
      </w:tr>
      <w:tr w:rsidR="00655685" w:rsidRPr="00D1780C" w14:paraId="60B8D214" w14:textId="77777777" w:rsidTr="0003619B">
        <w:trPr>
          <w:trHeight w:val="164"/>
        </w:trPr>
        <w:tc>
          <w:tcPr>
            <w:tcW w:w="2560" w:type="pct"/>
            <w:tcBorders>
              <w:top w:val="single" w:sz="4" w:space="0" w:color="auto"/>
              <w:bottom w:val="single" w:sz="4" w:space="0" w:color="auto"/>
            </w:tcBorders>
            <w:shd w:val="clear" w:color="auto" w:fill="auto"/>
            <w:hideMark/>
          </w:tcPr>
          <w:p w14:paraId="2D0BB75D" w14:textId="77777777" w:rsidR="00655685" w:rsidRPr="00500F69" w:rsidRDefault="00655685" w:rsidP="0003619B">
            <w:pPr>
              <w:rPr>
                <w:rFonts w:ascii="Arial" w:hAnsi="Arial" w:cs="Arial"/>
                <w:color w:val="000000"/>
                <w:sz w:val="22"/>
                <w:szCs w:val="22"/>
                <w:lang w:val="en-US"/>
              </w:rPr>
            </w:pPr>
            <w:proofErr w:type="spellStart"/>
            <w:r w:rsidRPr="00500F69">
              <w:rPr>
                <w:rFonts w:ascii="Arial" w:hAnsi="Arial"/>
                <w:color w:val="000000"/>
                <w:sz w:val="22"/>
                <w:szCs w:val="22"/>
                <w:lang w:val="en-US"/>
              </w:rPr>
              <w:t>Colles</w:t>
            </w:r>
            <w:proofErr w:type="spellEnd"/>
            <w:r w:rsidRPr="00500F69">
              <w:rPr>
                <w:rFonts w:ascii="Arial" w:hAnsi="Arial"/>
                <w:color w:val="000000"/>
                <w:sz w:val="22"/>
                <w:szCs w:val="22"/>
                <w:lang w:val="en-US"/>
              </w:rPr>
              <w:t xml:space="preserve"> </w:t>
            </w:r>
            <w:proofErr w:type="spellStart"/>
            <w:r w:rsidRPr="00500F69">
              <w:rPr>
                <w:rFonts w:ascii="Arial" w:hAnsi="Arial"/>
                <w:color w:val="000000"/>
                <w:sz w:val="22"/>
                <w:szCs w:val="22"/>
                <w:lang w:val="en-US"/>
              </w:rPr>
              <w:t>Castelleres</w:t>
            </w:r>
            <w:proofErr w:type="spellEnd"/>
            <w:r w:rsidRPr="00500F69">
              <w:rPr>
                <w:rFonts w:ascii="Arial" w:hAnsi="Arial"/>
                <w:color w:val="000000"/>
                <w:sz w:val="22"/>
                <w:szCs w:val="22"/>
                <w:lang w:val="en-US"/>
              </w:rPr>
              <w:t xml:space="preserve"> Coordinating Body in Catalonia (Federation)</w:t>
            </w:r>
          </w:p>
        </w:tc>
        <w:tc>
          <w:tcPr>
            <w:tcW w:w="1500" w:type="pct"/>
            <w:tcBorders>
              <w:top w:val="single" w:sz="4" w:space="0" w:color="auto"/>
              <w:bottom w:val="single" w:sz="4" w:space="0" w:color="auto"/>
            </w:tcBorders>
            <w:shd w:val="clear" w:color="auto" w:fill="auto"/>
            <w:hideMark/>
          </w:tcPr>
          <w:p w14:paraId="35862980"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Espagne</w:t>
            </w:r>
          </w:p>
        </w:tc>
        <w:tc>
          <w:tcPr>
            <w:tcW w:w="939" w:type="pct"/>
            <w:tcBorders>
              <w:top w:val="single" w:sz="4" w:space="0" w:color="auto"/>
              <w:bottom w:val="single" w:sz="4" w:space="0" w:color="auto"/>
            </w:tcBorders>
            <w:shd w:val="clear" w:color="auto" w:fill="auto"/>
            <w:hideMark/>
          </w:tcPr>
          <w:p w14:paraId="76F2EE9C" w14:textId="66F1E896" w:rsidR="00655685" w:rsidRPr="001A69E4" w:rsidRDefault="00B03B7D" w:rsidP="0003619B">
            <w:pPr>
              <w:jc w:val="center"/>
              <w:rPr>
                <w:rFonts w:ascii="Arial" w:hAnsi="Arial" w:cs="Arial"/>
                <w:color w:val="000000"/>
                <w:sz w:val="22"/>
                <w:szCs w:val="22"/>
              </w:rPr>
            </w:pPr>
            <w:hyperlink r:id="rId39" w:history="1">
              <w:r w:rsidR="00655685" w:rsidRPr="00B90FF7">
                <w:rPr>
                  <w:rStyle w:val="Hyperlink"/>
                  <w:rFonts w:ascii="Arial" w:hAnsi="Arial"/>
                  <w:sz w:val="22"/>
                  <w:szCs w:val="22"/>
                </w:rPr>
                <w:t>NGO-90366</w:t>
              </w:r>
            </w:hyperlink>
          </w:p>
        </w:tc>
      </w:tr>
      <w:tr w:rsidR="00655685" w:rsidRPr="00D1780C" w14:paraId="1CC6542A" w14:textId="77777777" w:rsidTr="0003619B">
        <w:trPr>
          <w:trHeight w:val="164"/>
        </w:trPr>
        <w:tc>
          <w:tcPr>
            <w:tcW w:w="2560" w:type="pct"/>
            <w:tcBorders>
              <w:top w:val="single" w:sz="4" w:space="0" w:color="auto"/>
              <w:bottom w:val="single" w:sz="4" w:space="0" w:color="auto"/>
            </w:tcBorders>
            <w:shd w:val="clear" w:color="auto" w:fill="auto"/>
            <w:hideMark/>
          </w:tcPr>
          <w:p w14:paraId="2D602966" w14:textId="77777777" w:rsidR="00655685" w:rsidRPr="001A69E4" w:rsidRDefault="00655685" w:rsidP="0003619B">
            <w:pPr>
              <w:rPr>
                <w:rFonts w:ascii="Arial" w:hAnsi="Arial" w:cs="Arial"/>
                <w:color w:val="000000"/>
                <w:sz w:val="22"/>
                <w:szCs w:val="22"/>
              </w:rPr>
            </w:pPr>
            <w:proofErr w:type="spellStart"/>
            <w:r>
              <w:rPr>
                <w:rFonts w:ascii="Arial" w:hAnsi="Arial"/>
                <w:color w:val="000000"/>
                <w:sz w:val="22"/>
                <w:szCs w:val="22"/>
              </w:rPr>
              <w:t>Ethnographic</w:t>
            </w:r>
            <w:proofErr w:type="spellEnd"/>
            <w:r>
              <w:rPr>
                <w:rFonts w:ascii="Arial" w:hAnsi="Arial"/>
                <w:color w:val="000000"/>
                <w:sz w:val="22"/>
                <w:szCs w:val="22"/>
              </w:rPr>
              <w:t xml:space="preserve"> Society of </w:t>
            </w:r>
            <w:proofErr w:type="spellStart"/>
            <w:r>
              <w:rPr>
                <w:rFonts w:ascii="Arial" w:hAnsi="Arial"/>
                <w:color w:val="000000"/>
                <w:sz w:val="22"/>
                <w:szCs w:val="22"/>
              </w:rPr>
              <w:t>Slovakia</w:t>
            </w:r>
            <w:proofErr w:type="spellEnd"/>
          </w:p>
        </w:tc>
        <w:tc>
          <w:tcPr>
            <w:tcW w:w="1500" w:type="pct"/>
            <w:tcBorders>
              <w:top w:val="single" w:sz="4" w:space="0" w:color="auto"/>
              <w:bottom w:val="single" w:sz="4" w:space="0" w:color="auto"/>
            </w:tcBorders>
            <w:shd w:val="clear" w:color="auto" w:fill="auto"/>
            <w:hideMark/>
          </w:tcPr>
          <w:p w14:paraId="5D21099E"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Slovaquie</w:t>
            </w:r>
          </w:p>
        </w:tc>
        <w:tc>
          <w:tcPr>
            <w:tcW w:w="939" w:type="pct"/>
            <w:tcBorders>
              <w:top w:val="single" w:sz="4" w:space="0" w:color="auto"/>
              <w:bottom w:val="single" w:sz="4" w:space="0" w:color="auto"/>
            </w:tcBorders>
            <w:shd w:val="clear" w:color="auto" w:fill="auto"/>
            <w:hideMark/>
          </w:tcPr>
          <w:p w14:paraId="577ACAE3" w14:textId="0127BBEE" w:rsidR="00655685" w:rsidRPr="001A69E4" w:rsidRDefault="00B03B7D" w:rsidP="0003619B">
            <w:pPr>
              <w:jc w:val="center"/>
              <w:rPr>
                <w:rFonts w:ascii="Arial" w:hAnsi="Arial" w:cs="Arial"/>
                <w:color w:val="000000"/>
                <w:sz w:val="22"/>
                <w:szCs w:val="22"/>
              </w:rPr>
            </w:pPr>
            <w:hyperlink r:id="rId40" w:history="1">
              <w:r w:rsidR="00655685" w:rsidRPr="00B90FF7">
                <w:rPr>
                  <w:rStyle w:val="Hyperlink"/>
                  <w:rFonts w:ascii="Arial" w:hAnsi="Arial"/>
                  <w:sz w:val="22"/>
                  <w:szCs w:val="22"/>
                </w:rPr>
                <w:t>NGO-90369</w:t>
              </w:r>
            </w:hyperlink>
          </w:p>
        </w:tc>
      </w:tr>
      <w:tr w:rsidR="00655685" w:rsidRPr="00D1780C" w14:paraId="3F52E0FA" w14:textId="77777777" w:rsidTr="0003619B">
        <w:trPr>
          <w:trHeight w:val="281"/>
        </w:trPr>
        <w:tc>
          <w:tcPr>
            <w:tcW w:w="2560" w:type="pct"/>
            <w:tcBorders>
              <w:top w:val="single" w:sz="4" w:space="0" w:color="auto"/>
              <w:bottom w:val="single" w:sz="4" w:space="0" w:color="auto"/>
            </w:tcBorders>
            <w:shd w:val="clear" w:color="auto" w:fill="auto"/>
            <w:hideMark/>
          </w:tcPr>
          <w:p w14:paraId="7F977FBC"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Fédération européenne pour les métiers du patrimoine bâti</w:t>
            </w:r>
          </w:p>
        </w:tc>
        <w:tc>
          <w:tcPr>
            <w:tcW w:w="1500" w:type="pct"/>
            <w:tcBorders>
              <w:top w:val="single" w:sz="4" w:space="0" w:color="auto"/>
              <w:bottom w:val="single" w:sz="4" w:space="0" w:color="auto"/>
            </w:tcBorders>
            <w:shd w:val="clear" w:color="auto" w:fill="auto"/>
            <w:hideMark/>
          </w:tcPr>
          <w:p w14:paraId="720C3D24"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Belgique</w:t>
            </w:r>
          </w:p>
        </w:tc>
        <w:tc>
          <w:tcPr>
            <w:tcW w:w="939" w:type="pct"/>
            <w:tcBorders>
              <w:top w:val="single" w:sz="4" w:space="0" w:color="auto"/>
              <w:bottom w:val="single" w:sz="4" w:space="0" w:color="auto"/>
            </w:tcBorders>
            <w:shd w:val="clear" w:color="auto" w:fill="auto"/>
            <w:hideMark/>
          </w:tcPr>
          <w:p w14:paraId="5A927301" w14:textId="2E52AD8C" w:rsidR="00655685" w:rsidRPr="001A69E4" w:rsidRDefault="00B03B7D" w:rsidP="0003619B">
            <w:pPr>
              <w:jc w:val="center"/>
              <w:rPr>
                <w:rFonts w:ascii="Arial" w:hAnsi="Arial" w:cs="Arial"/>
                <w:color w:val="000000"/>
                <w:sz w:val="22"/>
                <w:szCs w:val="22"/>
              </w:rPr>
            </w:pPr>
            <w:hyperlink r:id="rId41" w:history="1">
              <w:r w:rsidR="00655685" w:rsidRPr="00B90FF7">
                <w:rPr>
                  <w:rStyle w:val="Hyperlink"/>
                  <w:rFonts w:ascii="Arial" w:hAnsi="Arial"/>
                  <w:sz w:val="22"/>
                  <w:szCs w:val="22"/>
                </w:rPr>
                <w:t>NGO-90370</w:t>
              </w:r>
            </w:hyperlink>
          </w:p>
        </w:tc>
      </w:tr>
      <w:tr w:rsidR="00655685" w:rsidRPr="00D1780C" w14:paraId="69B04315" w14:textId="77777777" w:rsidTr="0003619B">
        <w:trPr>
          <w:trHeight w:val="281"/>
        </w:trPr>
        <w:tc>
          <w:tcPr>
            <w:tcW w:w="2560" w:type="pct"/>
            <w:tcBorders>
              <w:top w:val="single" w:sz="4" w:space="0" w:color="auto"/>
              <w:bottom w:val="single" w:sz="4" w:space="0" w:color="auto"/>
            </w:tcBorders>
            <w:shd w:val="clear" w:color="auto" w:fill="auto"/>
            <w:hideMark/>
          </w:tcPr>
          <w:p w14:paraId="698DBB12"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Folk Music Institute</w:t>
            </w:r>
          </w:p>
        </w:tc>
        <w:tc>
          <w:tcPr>
            <w:tcW w:w="1500" w:type="pct"/>
            <w:tcBorders>
              <w:top w:val="single" w:sz="4" w:space="0" w:color="auto"/>
              <w:bottom w:val="single" w:sz="4" w:space="0" w:color="auto"/>
            </w:tcBorders>
            <w:shd w:val="clear" w:color="auto" w:fill="auto"/>
            <w:hideMark/>
          </w:tcPr>
          <w:p w14:paraId="7D4EA316"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Finlande</w:t>
            </w:r>
          </w:p>
        </w:tc>
        <w:tc>
          <w:tcPr>
            <w:tcW w:w="939" w:type="pct"/>
            <w:tcBorders>
              <w:top w:val="single" w:sz="4" w:space="0" w:color="auto"/>
              <w:bottom w:val="single" w:sz="4" w:space="0" w:color="auto"/>
            </w:tcBorders>
            <w:shd w:val="clear" w:color="auto" w:fill="auto"/>
            <w:hideMark/>
          </w:tcPr>
          <w:p w14:paraId="4CD3855E" w14:textId="13F8DB5E" w:rsidR="00655685" w:rsidRPr="001A69E4" w:rsidRDefault="00B03B7D" w:rsidP="0003619B">
            <w:pPr>
              <w:jc w:val="center"/>
              <w:rPr>
                <w:rFonts w:ascii="Arial" w:hAnsi="Arial" w:cs="Arial"/>
                <w:color w:val="000000"/>
                <w:sz w:val="22"/>
                <w:szCs w:val="22"/>
              </w:rPr>
            </w:pPr>
            <w:hyperlink r:id="rId42" w:history="1">
              <w:r w:rsidR="00655685" w:rsidRPr="00B90FF7">
                <w:rPr>
                  <w:rStyle w:val="Hyperlink"/>
                  <w:rFonts w:ascii="Arial" w:hAnsi="Arial"/>
                  <w:sz w:val="22"/>
                  <w:szCs w:val="22"/>
                </w:rPr>
                <w:t>NGO-90407</w:t>
              </w:r>
            </w:hyperlink>
          </w:p>
        </w:tc>
      </w:tr>
      <w:tr w:rsidR="00655685" w:rsidRPr="00D1780C" w14:paraId="6316B694" w14:textId="77777777" w:rsidTr="0003619B">
        <w:trPr>
          <w:trHeight w:val="281"/>
        </w:trPr>
        <w:tc>
          <w:tcPr>
            <w:tcW w:w="2560" w:type="pct"/>
            <w:tcBorders>
              <w:top w:val="single" w:sz="4" w:space="0" w:color="auto"/>
              <w:bottom w:val="single" w:sz="4" w:space="0" w:color="auto"/>
            </w:tcBorders>
            <w:shd w:val="clear" w:color="auto" w:fill="auto"/>
            <w:hideMark/>
          </w:tcPr>
          <w:p w14:paraId="2A0A77F6" w14:textId="77777777" w:rsidR="00655685" w:rsidRPr="00500F69" w:rsidRDefault="00655685" w:rsidP="0003619B">
            <w:pPr>
              <w:rPr>
                <w:rFonts w:ascii="Arial" w:hAnsi="Arial" w:cs="Arial"/>
                <w:color w:val="000000"/>
                <w:sz w:val="22"/>
                <w:szCs w:val="22"/>
                <w:lang w:val="en-US"/>
              </w:rPr>
            </w:pPr>
            <w:r w:rsidRPr="00500F69">
              <w:rPr>
                <w:rFonts w:ascii="Arial" w:hAnsi="Arial"/>
                <w:color w:val="000000"/>
                <w:sz w:val="22"/>
                <w:szCs w:val="22"/>
                <w:lang w:val="en-US"/>
              </w:rPr>
              <w:t>Georgian Arts and Culture Center</w:t>
            </w:r>
          </w:p>
        </w:tc>
        <w:tc>
          <w:tcPr>
            <w:tcW w:w="1500" w:type="pct"/>
            <w:tcBorders>
              <w:top w:val="single" w:sz="4" w:space="0" w:color="auto"/>
              <w:bottom w:val="single" w:sz="4" w:space="0" w:color="auto"/>
            </w:tcBorders>
            <w:shd w:val="clear" w:color="auto" w:fill="auto"/>
            <w:hideMark/>
          </w:tcPr>
          <w:p w14:paraId="6EA8F174"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Géorgie</w:t>
            </w:r>
          </w:p>
        </w:tc>
        <w:tc>
          <w:tcPr>
            <w:tcW w:w="939" w:type="pct"/>
            <w:tcBorders>
              <w:top w:val="single" w:sz="4" w:space="0" w:color="auto"/>
              <w:bottom w:val="single" w:sz="4" w:space="0" w:color="auto"/>
            </w:tcBorders>
            <w:shd w:val="clear" w:color="auto" w:fill="auto"/>
            <w:hideMark/>
          </w:tcPr>
          <w:p w14:paraId="6243EE38" w14:textId="16C74FA9" w:rsidR="00655685" w:rsidRPr="001A69E4" w:rsidRDefault="00B03B7D" w:rsidP="0003619B">
            <w:pPr>
              <w:jc w:val="center"/>
              <w:rPr>
                <w:rFonts w:ascii="Arial" w:hAnsi="Arial" w:cs="Arial"/>
                <w:color w:val="000000"/>
                <w:sz w:val="22"/>
                <w:szCs w:val="22"/>
              </w:rPr>
            </w:pPr>
            <w:hyperlink r:id="rId43" w:history="1">
              <w:r w:rsidR="00655685" w:rsidRPr="00B90FF7">
                <w:rPr>
                  <w:rStyle w:val="Hyperlink"/>
                  <w:rFonts w:ascii="Arial" w:hAnsi="Arial"/>
                  <w:sz w:val="22"/>
                  <w:szCs w:val="22"/>
                </w:rPr>
                <w:t>NGO-90390</w:t>
              </w:r>
            </w:hyperlink>
          </w:p>
        </w:tc>
      </w:tr>
      <w:tr w:rsidR="00655685" w:rsidRPr="00D1780C" w14:paraId="01DA1DC0" w14:textId="77777777" w:rsidTr="0003619B">
        <w:trPr>
          <w:trHeight w:val="281"/>
        </w:trPr>
        <w:tc>
          <w:tcPr>
            <w:tcW w:w="2560" w:type="pct"/>
            <w:tcBorders>
              <w:top w:val="single" w:sz="4" w:space="0" w:color="auto"/>
              <w:bottom w:val="single" w:sz="4" w:space="0" w:color="auto"/>
            </w:tcBorders>
            <w:shd w:val="clear" w:color="auto" w:fill="auto"/>
            <w:hideMark/>
          </w:tcPr>
          <w:p w14:paraId="79673C9B" w14:textId="77777777" w:rsidR="00655685" w:rsidRPr="00500F69" w:rsidRDefault="00655685" w:rsidP="0003619B">
            <w:pPr>
              <w:rPr>
                <w:rFonts w:ascii="Arial" w:hAnsi="Arial" w:cs="Arial"/>
                <w:color w:val="000000"/>
                <w:sz w:val="22"/>
                <w:szCs w:val="22"/>
                <w:lang w:val="en-US"/>
              </w:rPr>
            </w:pPr>
            <w:r w:rsidRPr="00500F69">
              <w:rPr>
                <w:rFonts w:ascii="Arial" w:hAnsi="Arial"/>
                <w:color w:val="000000"/>
                <w:sz w:val="22"/>
                <w:szCs w:val="22"/>
                <w:lang w:val="en-US"/>
              </w:rPr>
              <w:t>German Confederation of Skilled Crafts</w:t>
            </w:r>
          </w:p>
        </w:tc>
        <w:tc>
          <w:tcPr>
            <w:tcW w:w="1500" w:type="pct"/>
            <w:tcBorders>
              <w:top w:val="single" w:sz="4" w:space="0" w:color="auto"/>
              <w:bottom w:val="single" w:sz="4" w:space="0" w:color="auto"/>
            </w:tcBorders>
            <w:shd w:val="clear" w:color="auto" w:fill="auto"/>
            <w:hideMark/>
          </w:tcPr>
          <w:p w14:paraId="088CF548"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Allemagne</w:t>
            </w:r>
          </w:p>
        </w:tc>
        <w:tc>
          <w:tcPr>
            <w:tcW w:w="939" w:type="pct"/>
            <w:tcBorders>
              <w:top w:val="single" w:sz="4" w:space="0" w:color="auto"/>
              <w:bottom w:val="single" w:sz="4" w:space="0" w:color="auto"/>
            </w:tcBorders>
            <w:shd w:val="clear" w:color="auto" w:fill="auto"/>
            <w:hideMark/>
          </w:tcPr>
          <w:p w14:paraId="22AA7F15" w14:textId="3544324D" w:rsidR="00655685" w:rsidRPr="001A69E4" w:rsidRDefault="00B03B7D" w:rsidP="0003619B">
            <w:pPr>
              <w:jc w:val="center"/>
              <w:rPr>
                <w:rFonts w:ascii="Arial" w:hAnsi="Arial" w:cs="Arial"/>
                <w:color w:val="000000"/>
                <w:sz w:val="22"/>
                <w:szCs w:val="22"/>
              </w:rPr>
            </w:pPr>
            <w:hyperlink r:id="rId44" w:history="1">
              <w:r w:rsidR="00655685" w:rsidRPr="00B90FF7">
                <w:rPr>
                  <w:rStyle w:val="Hyperlink"/>
                  <w:rFonts w:ascii="Arial" w:hAnsi="Arial"/>
                  <w:sz w:val="22"/>
                  <w:szCs w:val="22"/>
                </w:rPr>
                <w:t>NGO-90413</w:t>
              </w:r>
            </w:hyperlink>
          </w:p>
        </w:tc>
      </w:tr>
      <w:tr w:rsidR="00655685" w:rsidRPr="00D1780C" w14:paraId="142632B8" w14:textId="77777777" w:rsidTr="0003619B">
        <w:trPr>
          <w:trHeight w:val="164"/>
        </w:trPr>
        <w:tc>
          <w:tcPr>
            <w:tcW w:w="2560" w:type="pct"/>
            <w:tcBorders>
              <w:top w:val="single" w:sz="4" w:space="0" w:color="auto"/>
              <w:bottom w:val="single" w:sz="4" w:space="0" w:color="auto"/>
            </w:tcBorders>
            <w:shd w:val="clear" w:color="auto" w:fill="auto"/>
            <w:hideMark/>
          </w:tcPr>
          <w:p w14:paraId="27B40F6A" w14:textId="77777777" w:rsidR="00655685" w:rsidRPr="00500F69" w:rsidRDefault="00655685" w:rsidP="0003619B">
            <w:pPr>
              <w:rPr>
                <w:rFonts w:ascii="Arial" w:hAnsi="Arial" w:cs="Arial"/>
                <w:color w:val="000000"/>
                <w:sz w:val="22"/>
                <w:szCs w:val="22"/>
                <w:lang w:val="en-US"/>
              </w:rPr>
            </w:pPr>
            <w:r w:rsidRPr="00500F69">
              <w:rPr>
                <w:rFonts w:ascii="Arial" w:hAnsi="Arial"/>
                <w:color w:val="000000"/>
                <w:sz w:val="22"/>
                <w:szCs w:val="22"/>
                <w:lang w:val="en-US"/>
              </w:rPr>
              <w:t>Institute for Intangible Cultural Heritage</w:t>
            </w:r>
          </w:p>
        </w:tc>
        <w:tc>
          <w:tcPr>
            <w:tcW w:w="1500" w:type="pct"/>
            <w:tcBorders>
              <w:top w:val="single" w:sz="4" w:space="0" w:color="auto"/>
              <w:bottom w:val="single" w:sz="4" w:space="0" w:color="auto"/>
            </w:tcBorders>
            <w:shd w:val="clear" w:color="auto" w:fill="auto"/>
            <w:hideMark/>
          </w:tcPr>
          <w:p w14:paraId="41C025FC"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Turquie</w:t>
            </w:r>
          </w:p>
        </w:tc>
        <w:tc>
          <w:tcPr>
            <w:tcW w:w="939" w:type="pct"/>
            <w:tcBorders>
              <w:top w:val="single" w:sz="4" w:space="0" w:color="auto"/>
              <w:bottom w:val="single" w:sz="4" w:space="0" w:color="auto"/>
            </w:tcBorders>
            <w:shd w:val="clear" w:color="auto" w:fill="auto"/>
            <w:hideMark/>
          </w:tcPr>
          <w:p w14:paraId="037E022D" w14:textId="34D48A4C" w:rsidR="00655685" w:rsidRPr="001A69E4" w:rsidRDefault="00B03B7D" w:rsidP="0003619B">
            <w:pPr>
              <w:jc w:val="center"/>
              <w:rPr>
                <w:rFonts w:ascii="Arial" w:hAnsi="Arial" w:cs="Arial"/>
                <w:color w:val="000000"/>
                <w:sz w:val="22"/>
                <w:szCs w:val="22"/>
              </w:rPr>
            </w:pPr>
            <w:hyperlink r:id="rId45" w:history="1">
              <w:r w:rsidR="00655685" w:rsidRPr="00B90FF7">
                <w:rPr>
                  <w:rStyle w:val="Hyperlink"/>
                  <w:rFonts w:ascii="Arial" w:hAnsi="Arial"/>
                  <w:sz w:val="22"/>
                  <w:szCs w:val="22"/>
                </w:rPr>
                <w:t>NGO-90400</w:t>
              </w:r>
            </w:hyperlink>
          </w:p>
        </w:tc>
      </w:tr>
      <w:tr w:rsidR="00655685" w:rsidRPr="00D1780C" w14:paraId="7CCD60E7" w14:textId="77777777" w:rsidTr="0003619B">
        <w:trPr>
          <w:trHeight w:val="281"/>
        </w:trPr>
        <w:tc>
          <w:tcPr>
            <w:tcW w:w="2560" w:type="pct"/>
            <w:tcBorders>
              <w:top w:val="single" w:sz="4" w:space="0" w:color="auto"/>
              <w:bottom w:val="single" w:sz="4" w:space="0" w:color="auto"/>
            </w:tcBorders>
            <w:shd w:val="clear" w:color="auto" w:fill="auto"/>
            <w:hideMark/>
          </w:tcPr>
          <w:p w14:paraId="1874836E" w14:textId="77777777" w:rsidR="00655685" w:rsidRPr="001A69E4" w:rsidRDefault="00655685" w:rsidP="0003619B">
            <w:pPr>
              <w:rPr>
                <w:rFonts w:ascii="Arial" w:hAnsi="Arial" w:cs="Arial"/>
                <w:color w:val="000000"/>
                <w:sz w:val="22"/>
                <w:szCs w:val="22"/>
              </w:rPr>
            </w:pPr>
            <w:r>
              <w:rPr>
                <w:rFonts w:ascii="Arial" w:hAnsi="Arial"/>
                <w:color w:val="000000"/>
                <w:sz w:val="22"/>
                <w:szCs w:val="22"/>
              </w:rPr>
              <w:lastRenderedPageBreak/>
              <w:t>Conseil international des musées ICOM</w:t>
            </w:r>
          </w:p>
        </w:tc>
        <w:tc>
          <w:tcPr>
            <w:tcW w:w="1500" w:type="pct"/>
            <w:tcBorders>
              <w:top w:val="single" w:sz="4" w:space="0" w:color="auto"/>
              <w:bottom w:val="single" w:sz="4" w:space="0" w:color="auto"/>
            </w:tcBorders>
            <w:shd w:val="clear" w:color="auto" w:fill="auto"/>
            <w:hideMark/>
          </w:tcPr>
          <w:p w14:paraId="48E2CA7C"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3F7EC160" w14:textId="0A6E1F50" w:rsidR="00655685" w:rsidRPr="001A69E4" w:rsidRDefault="00B03B7D" w:rsidP="0003619B">
            <w:pPr>
              <w:jc w:val="center"/>
              <w:rPr>
                <w:rFonts w:ascii="Arial" w:hAnsi="Arial" w:cs="Arial"/>
                <w:color w:val="000000"/>
                <w:sz w:val="22"/>
                <w:szCs w:val="22"/>
              </w:rPr>
            </w:pPr>
            <w:hyperlink r:id="rId46" w:history="1">
              <w:r w:rsidR="00655685" w:rsidRPr="00B90FF7">
                <w:rPr>
                  <w:rStyle w:val="Hyperlink"/>
                  <w:rFonts w:ascii="Arial" w:hAnsi="Arial"/>
                  <w:sz w:val="22"/>
                  <w:szCs w:val="22"/>
                </w:rPr>
                <w:t>NGO-90376</w:t>
              </w:r>
            </w:hyperlink>
          </w:p>
        </w:tc>
      </w:tr>
      <w:tr w:rsidR="00655685" w:rsidRPr="00D1780C" w14:paraId="3653A52D" w14:textId="77777777" w:rsidTr="0003619B">
        <w:trPr>
          <w:trHeight w:val="281"/>
        </w:trPr>
        <w:tc>
          <w:tcPr>
            <w:tcW w:w="2560" w:type="pct"/>
            <w:tcBorders>
              <w:top w:val="single" w:sz="4" w:space="0" w:color="auto"/>
              <w:bottom w:val="single" w:sz="4" w:space="0" w:color="auto"/>
            </w:tcBorders>
            <w:shd w:val="clear" w:color="auto" w:fill="auto"/>
            <w:hideMark/>
          </w:tcPr>
          <w:p w14:paraId="6E0B86BC"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Conseil international des monuments et des sites - ICOMOS</w:t>
            </w:r>
          </w:p>
        </w:tc>
        <w:tc>
          <w:tcPr>
            <w:tcW w:w="1500" w:type="pct"/>
            <w:tcBorders>
              <w:top w:val="single" w:sz="4" w:space="0" w:color="auto"/>
              <w:bottom w:val="single" w:sz="4" w:space="0" w:color="auto"/>
            </w:tcBorders>
            <w:shd w:val="clear" w:color="auto" w:fill="auto"/>
            <w:hideMark/>
          </w:tcPr>
          <w:p w14:paraId="4B3CCE36"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76BFC774" w14:textId="274D72EC" w:rsidR="00655685" w:rsidRPr="001A69E4" w:rsidRDefault="00B03B7D" w:rsidP="0003619B">
            <w:pPr>
              <w:jc w:val="center"/>
              <w:rPr>
                <w:rFonts w:ascii="Arial" w:hAnsi="Arial" w:cs="Arial"/>
                <w:color w:val="000000"/>
                <w:sz w:val="22"/>
                <w:szCs w:val="22"/>
              </w:rPr>
            </w:pPr>
            <w:hyperlink r:id="rId47" w:history="1">
              <w:r w:rsidR="00655685" w:rsidRPr="00B90FF7">
                <w:rPr>
                  <w:rStyle w:val="Hyperlink"/>
                  <w:rFonts w:ascii="Arial" w:hAnsi="Arial"/>
                  <w:sz w:val="22"/>
                  <w:szCs w:val="22"/>
                </w:rPr>
                <w:t>NGO-90412</w:t>
              </w:r>
            </w:hyperlink>
          </w:p>
        </w:tc>
      </w:tr>
      <w:tr w:rsidR="00655685" w:rsidRPr="00D1780C" w14:paraId="708028B9" w14:textId="77777777" w:rsidTr="0003619B">
        <w:trPr>
          <w:trHeight w:val="281"/>
        </w:trPr>
        <w:tc>
          <w:tcPr>
            <w:tcW w:w="2560" w:type="pct"/>
            <w:tcBorders>
              <w:top w:val="single" w:sz="4" w:space="0" w:color="auto"/>
              <w:bottom w:val="single" w:sz="4" w:space="0" w:color="auto"/>
            </w:tcBorders>
            <w:shd w:val="clear" w:color="auto" w:fill="auto"/>
            <w:hideMark/>
          </w:tcPr>
          <w:p w14:paraId="41F488E3" w14:textId="77777777" w:rsidR="00655685" w:rsidRPr="00500F69" w:rsidRDefault="00655685" w:rsidP="0003619B">
            <w:pPr>
              <w:rPr>
                <w:rFonts w:ascii="Arial" w:hAnsi="Arial" w:cs="Arial"/>
                <w:color w:val="000000"/>
                <w:sz w:val="22"/>
                <w:szCs w:val="22"/>
                <w:lang w:val="en-US"/>
              </w:rPr>
            </w:pPr>
            <w:r w:rsidRPr="00500F69">
              <w:rPr>
                <w:rFonts w:ascii="Arial" w:hAnsi="Arial"/>
                <w:color w:val="000000"/>
                <w:sz w:val="22"/>
                <w:szCs w:val="22"/>
                <w:lang w:val="en-US"/>
              </w:rPr>
              <w:t>International Society for Ethnology and Folklore</w:t>
            </w:r>
          </w:p>
        </w:tc>
        <w:tc>
          <w:tcPr>
            <w:tcW w:w="1500" w:type="pct"/>
            <w:tcBorders>
              <w:top w:val="single" w:sz="4" w:space="0" w:color="auto"/>
              <w:bottom w:val="single" w:sz="4" w:space="0" w:color="auto"/>
            </w:tcBorders>
            <w:shd w:val="clear" w:color="auto" w:fill="auto"/>
            <w:hideMark/>
          </w:tcPr>
          <w:p w14:paraId="5D3448A0"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Pays-Bas</w:t>
            </w:r>
          </w:p>
        </w:tc>
        <w:tc>
          <w:tcPr>
            <w:tcW w:w="939" w:type="pct"/>
            <w:tcBorders>
              <w:top w:val="single" w:sz="4" w:space="0" w:color="auto"/>
              <w:bottom w:val="single" w:sz="4" w:space="0" w:color="auto"/>
            </w:tcBorders>
            <w:shd w:val="clear" w:color="auto" w:fill="auto"/>
            <w:hideMark/>
          </w:tcPr>
          <w:p w14:paraId="39D30C00" w14:textId="3BCBD9AF" w:rsidR="00655685" w:rsidRPr="001A69E4" w:rsidRDefault="00B03B7D" w:rsidP="0003619B">
            <w:pPr>
              <w:jc w:val="center"/>
              <w:rPr>
                <w:rFonts w:ascii="Arial" w:hAnsi="Arial" w:cs="Arial"/>
                <w:color w:val="000000"/>
                <w:sz w:val="22"/>
                <w:szCs w:val="22"/>
              </w:rPr>
            </w:pPr>
            <w:hyperlink r:id="rId48" w:history="1">
              <w:r w:rsidR="00655685" w:rsidRPr="00B90FF7">
                <w:rPr>
                  <w:rStyle w:val="Hyperlink"/>
                  <w:rFonts w:ascii="Arial" w:hAnsi="Arial"/>
                  <w:sz w:val="22"/>
                  <w:szCs w:val="22"/>
                </w:rPr>
                <w:t>NGO-90385</w:t>
              </w:r>
            </w:hyperlink>
          </w:p>
        </w:tc>
      </w:tr>
      <w:tr w:rsidR="00655685" w:rsidRPr="00D1780C" w14:paraId="435FD46A" w14:textId="77777777" w:rsidTr="0003619B">
        <w:trPr>
          <w:trHeight w:val="164"/>
        </w:trPr>
        <w:tc>
          <w:tcPr>
            <w:tcW w:w="2560" w:type="pct"/>
            <w:tcBorders>
              <w:top w:val="single" w:sz="4" w:space="0" w:color="auto"/>
              <w:bottom w:val="single" w:sz="4" w:space="0" w:color="auto"/>
            </w:tcBorders>
            <w:shd w:val="clear" w:color="auto" w:fill="auto"/>
            <w:hideMark/>
          </w:tcPr>
          <w:p w14:paraId="7FA74168" w14:textId="77777777" w:rsidR="00655685" w:rsidRPr="00DC38B3" w:rsidRDefault="00655685" w:rsidP="0003619B">
            <w:pPr>
              <w:rPr>
                <w:rFonts w:ascii="Arial" w:hAnsi="Arial" w:cs="Arial"/>
                <w:color w:val="000000"/>
                <w:sz w:val="22"/>
                <w:szCs w:val="22"/>
                <w:lang w:val="en-US"/>
              </w:rPr>
            </w:pPr>
            <w:r w:rsidRPr="00DC38B3">
              <w:rPr>
                <w:rFonts w:ascii="Arial" w:hAnsi="Arial"/>
                <w:color w:val="000000"/>
                <w:sz w:val="22"/>
                <w:szCs w:val="22"/>
                <w:lang w:val="en-US"/>
              </w:rPr>
              <w:t xml:space="preserve">Istanbul </w:t>
            </w:r>
            <w:proofErr w:type="spellStart"/>
            <w:r w:rsidRPr="00DC38B3">
              <w:rPr>
                <w:rFonts w:ascii="Arial" w:hAnsi="Arial"/>
                <w:color w:val="000000"/>
                <w:sz w:val="22"/>
                <w:szCs w:val="22"/>
                <w:lang w:val="en-US"/>
              </w:rPr>
              <w:t>Camlıca</w:t>
            </w:r>
            <w:proofErr w:type="spellEnd"/>
            <w:r w:rsidRPr="00DC38B3">
              <w:rPr>
                <w:rFonts w:ascii="Arial" w:hAnsi="Arial"/>
                <w:color w:val="000000"/>
                <w:sz w:val="22"/>
                <w:szCs w:val="22"/>
                <w:lang w:val="en-US"/>
              </w:rPr>
              <w:t xml:space="preserve"> Classic Art Center</w:t>
            </w:r>
          </w:p>
        </w:tc>
        <w:tc>
          <w:tcPr>
            <w:tcW w:w="1500" w:type="pct"/>
            <w:tcBorders>
              <w:top w:val="single" w:sz="4" w:space="0" w:color="auto"/>
              <w:bottom w:val="single" w:sz="4" w:space="0" w:color="auto"/>
            </w:tcBorders>
            <w:shd w:val="clear" w:color="auto" w:fill="auto"/>
            <w:hideMark/>
          </w:tcPr>
          <w:p w14:paraId="4E852AE4"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Turquie</w:t>
            </w:r>
          </w:p>
        </w:tc>
        <w:tc>
          <w:tcPr>
            <w:tcW w:w="939" w:type="pct"/>
            <w:tcBorders>
              <w:top w:val="single" w:sz="4" w:space="0" w:color="auto"/>
              <w:bottom w:val="single" w:sz="4" w:space="0" w:color="auto"/>
            </w:tcBorders>
            <w:shd w:val="clear" w:color="auto" w:fill="auto"/>
            <w:hideMark/>
          </w:tcPr>
          <w:p w14:paraId="65CB4D42" w14:textId="30D3A85E" w:rsidR="00655685" w:rsidRPr="001A69E4" w:rsidRDefault="00B03B7D" w:rsidP="0003619B">
            <w:pPr>
              <w:jc w:val="center"/>
              <w:rPr>
                <w:rFonts w:ascii="Arial" w:hAnsi="Arial" w:cs="Arial"/>
                <w:color w:val="000000"/>
                <w:sz w:val="22"/>
                <w:szCs w:val="22"/>
              </w:rPr>
            </w:pPr>
            <w:hyperlink r:id="rId49" w:history="1">
              <w:r w:rsidR="00655685" w:rsidRPr="00B90FF7">
                <w:rPr>
                  <w:rStyle w:val="Hyperlink"/>
                  <w:rFonts w:ascii="Arial" w:hAnsi="Arial"/>
                  <w:sz w:val="22"/>
                  <w:szCs w:val="22"/>
                </w:rPr>
                <w:t>NGO-90410</w:t>
              </w:r>
            </w:hyperlink>
          </w:p>
        </w:tc>
      </w:tr>
      <w:tr w:rsidR="00655685" w:rsidRPr="00D1780C" w14:paraId="38D2F515" w14:textId="77777777" w:rsidTr="0003619B">
        <w:trPr>
          <w:trHeight w:val="164"/>
        </w:trPr>
        <w:tc>
          <w:tcPr>
            <w:tcW w:w="2560" w:type="pct"/>
            <w:tcBorders>
              <w:top w:val="single" w:sz="4" w:space="0" w:color="auto"/>
              <w:bottom w:val="single" w:sz="4" w:space="0" w:color="auto"/>
            </w:tcBorders>
            <w:shd w:val="clear" w:color="auto" w:fill="auto"/>
            <w:hideMark/>
          </w:tcPr>
          <w:p w14:paraId="4E64AE83"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Mali Cultural Heritage Agency</w:t>
            </w:r>
          </w:p>
        </w:tc>
        <w:tc>
          <w:tcPr>
            <w:tcW w:w="1500" w:type="pct"/>
            <w:tcBorders>
              <w:top w:val="single" w:sz="4" w:space="0" w:color="auto"/>
              <w:bottom w:val="single" w:sz="4" w:space="0" w:color="auto"/>
            </w:tcBorders>
            <w:shd w:val="clear" w:color="auto" w:fill="auto"/>
            <w:hideMark/>
          </w:tcPr>
          <w:p w14:paraId="0787C6CA"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Mali</w:t>
            </w:r>
          </w:p>
        </w:tc>
        <w:tc>
          <w:tcPr>
            <w:tcW w:w="939" w:type="pct"/>
            <w:tcBorders>
              <w:top w:val="single" w:sz="4" w:space="0" w:color="auto"/>
              <w:bottom w:val="single" w:sz="4" w:space="0" w:color="auto"/>
            </w:tcBorders>
            <w:shd w:val="clear" w:color="auto" w:fill="auto"/>
            <w:hideMark/>
          </w:tcPr>
          <w:p w14:paraId="7EE1D5C5" w14:textId="72A4E1FD" w:rsidR="00655685" w:rsidRPr="001A69E4" w:rsidRDefault="00B03B7D" w:rsidP="0003619B">
            <w:pPr>
              <w:jc w:val="center"/>
              <w:rPr>
                <w:rFonts w:ascii="Arial" w:hAnsi="Arial" w:cs="Arial"/>
                <w:color w:val="000000"/>
                <w:sz w:val="22"/>
                <w:szCs w:val="22"/>
              </w:rPr>
            </w:pPr>
            <w:hyperlink r:id="rId50" w:history="1">
              <w:r w:rsidR="00655685" w:rsidRPr="00B90FF7">
                <w:rPr>
                  <w:rStyle w:val="Hyperlink"/>
                  <w:rFonts w:ascii="Arial" w:hAnsi="Arial"/>
                  <w:sz w:val="22"/>
                  <w:szCs w:val="22"/>
                </w:rPr>
                <w:t>NGO-90409</w:t>
              </w:r>
            </w:hyperlink>
          </w:p>
        </w:tc>
      </w:tr>
      <w:tr w:rsidR="00655685" w:rsidRPr="00D1780C" w14:paraId="0B15487E" w14:textId="77777777" w:rsidTr="0003619B">
        <w:trPr>
          <w:trHeight w:val="164"/>
        </w:trPr>
        <w:tc>
          <w:tcPr>
            <w:tcW w:w="2560" w:type="pct"/>
            <w:tcBorders>
              <w:bottom w:val="single" w:sz="4" w:space="0" w:color="auto"/>
            </w:tcBorders>
            <w:shd w:val="clear" w:color="auto" w:fill="auto"/>
            <w:hideMark/>
          </w:tcPr>
          <w:p w14:paraId="1010ECB1" w14:textId="77777777" w:rsidR="00655685" w:rsidRPr="001A69E4" w:rsidRDefault="00655685" w:rsidP="0003619B">
            <w:pPr>
              <w:rPr>
                <w:rFonts w:ascii="Arial" w:hAnsi="Arial" w:cs="Arial"/>
                <w:color w:val="000000"/>
                <w:sz w:val="22"/>
                <w:szCs w:val="22"/>
              </w:rPr>
            </w:pPr>
            <w:proofErr w:type="spellStart"/>
            <w:r>
              <w:rPr>
                <w:rFonts w:ascii="Arial" w:hAnsi="Arial"/>
                <w:color w:val="000000"/>
                <w:sz w:val="22"/>
                <w:szCs w:val="22"/>
              </w:rPr>
              <w:t>Many</w:t>
            </w:r>
            <w:proofErr w:type="spellEnd"/>
            <w:r>
              <w:rPr>
                <w:rFonts w:ascii="Arial" w:hAnsi="Arial"/>
                <w:color w:val="000000"/>
                <w:sz w:val="22"/>
                <w:szCs w:val="22"/>
              </w:rPr>
              <w:t xml:space="preserve"> Hands International</w:t>
            </w:r>
          </w:p>
        </w:tc>
        <w:tc>
          <w:tcPr>
            <w:tcW w:w="1500" w:type="pct"/>
            <w:tcBorders>
              <w:bottom w:val="single" w:sz="4" w:space="0" w:color="auto"/>
            </w:tcBorders>
            <w:shd w:val="clear" w:color="auto" w:fill="auto"/>
            <w:hideMark/>
          </w:tcPr>
          <w:p w14:paraId="7454EF68"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Australie</w:t>
            </w:r>
          </w:p>
        </w:tc>
        <w:tc>
          <w:tcPr>
            <w:tcW w:w="939" w:type="pct"/>
            <w:tcBorders>
              <w:bottom w:val="single" w:sz="4" w:space="0" w:color="auto"/>
            </w:tcBorders>
            <w:shd w:val="clear" w:color="auto" w:fill="auto"/>
            <w:hideMark/>
          </w:tcPr>
          <w:p w14:paraId="79714FF4" w14:textId="2ECCA597" w:rsidR="00655685" w:rsidRPr="001A69E4" w:rsidRDefault="00B03B7D" w:rsidP="0003619B">
            <w:pPr>
              <w:jc w:val="center"/>
              <w:rPr>
                <w:rFonts w:ascii="Arial" w:hAnsi="Arial" w:cs="Arial"/>
                <w:color w:val="000000"/>
                <w:sz w:val="22"/>
                <w:szCs w:val="22"/>
              </w:rPr>
            </w:pPr>
            <w:hyperlink r:id="rId51" w:history="1">
              <w:r w:rsidR="00655685" w:rsidRPr="00B90FF7">
                <w:rPr>
                  <w:rStyle w:val="Hyperlink"/>
                  <w:rFonts w:ascii="Arial" w:hAnsi="Arial"/>
                  <w:sz w:val="22"/>
                  <w:szCs w:val="22"/>
                </w:rPr>
                <w:t>NGO-90379</w:t>
              </w:r>
            </w:hyperlink>
          </w:p>
        </w:tc>
      </w:tr>
      <w:tr w:rsidR="00655685" w:rsidRPr="00D1780C" w14:paraId="003D1320" w14:textId="77777777" w:rsidTr="0003619B">
        <w:trPr>
          <w:trHeight w:val="164"/>
        </w:trPr>
        <w:tc>
          <w:tcPr>
            <w:tcW w:w="2560" w:type="pct"/>
            <w:tcBorders>
              <w:top w:val="single" w:sz="4" w:space="0" w:color="auto"/>
              <w:bottom w:val="single" w:sz="4" w:space="0" w:color="auto"/>
            </w:tcBorders>
            <w:shd w:val="clear" w:color="auto" w:fill="auto"/>
            <w:hideMark/>
          </w:tcPr>
          <w:p w14:paraId="4A8ABF32" w14:textId="77777777" w:rsidR="00655685" w:rsidRPr="00500F69" w:rsidRDefault="00655685" w:rsidP="0003619B">
            <w:pPr>
              <w:rPr>
                <w:rFonts w:ascii="Arial" w:hAnsi="Arial" w:cs="Arial"/>
                <w:color w:val="000000"/>
                <w:sz w:val="22"/>
                <w:szCs w:val="22"/>
                <w:lang w:val="en-US"/>
              </w:rPr>
            </w:pPr>
            <w:r w:rsidRPr="00500F69">
              <w:rPr>
                <w:rFonts w:ascii="Arial" w:hAnsi="Arial"/>
                <w:color w:val="000000"/>
                <w:sz w:val="22"/>
                <w:szCs w:val="22"/>
                <w:lang w:val="en-US"/>
              </w:rPr>
              <w:t xml:space="preserve">Norwegian Institute of </w:t>
            </w:r>
            <w:proofErr w:type="spellStart"/>
            <w:r w:rsidRPr="00500F69">
              <w:rPr>
                <w:rFonts w:ascii="Arial" w:hAnsi="Arial"/>
                <w:color w:val="000000"/>
                <w:sz w:val="22"/>
                <w:szCs w:val="22"/>
                <w:lang w:val="en-US"/>
              </w:rPr>
              <w:t>bunad</w:t>
            </w:r>
            <w:proofErr w:type="spellEnd"/>
            <w:r w:rsidRPr="00500F69">
              <w:rPr>
                <w:rFonts w:ascii="Arial" w:hAnsi="Arial"/>
                <w:color w:val="000000"/>
                <w:sz w:val="22"/>
                <w:szCs w:val="22"/>
                <w:lang w:val="en-US"/>
              </w:rPr>
              <w:t xml:space="preserve"> and folk costume</w:t>
            </w:r>
          </w:p>
        </w:tc>
        <w:tc>
          <w:tcPr>
            <w:tcW w:w="1500" w:type="pct"/>
            <w:tcBorders>
              <w:top w:val="single" w:sz="4" w:space="0" w:color="auto"/>
              <w:bottom w:val="single" w:sz="4" w:space="0" w:color="auto"/>
            </w:tcBorders>
            <w:shd w:val="clear" w:color="auto" w:fill="auto"/>
            <w:hideMark/>
          </w:tcPr>
          <w:p w14:paraId="47D5CE8F"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Norvège</w:t>
            </w:r>
          </w:p>
        </w:tc>
        <w:tc>
          <w:tcPr>
            <w:tcW w:w="939" w:type="pct"/>
            <w:tcBorders>
              <w:top w:val="single" w:sz="4" w:space="0" w:color="auto"/>
              <w:bottom w:val="single" w:sz="4" w:space="0" w:color="auto"/>
            </w:tcBorders>
            <w:shd w:val="clear" w:color="auto" w:fill="auto"/>
            <w:hideMark/>
          </w:tcPr>
          <w:p w14:paraId="70622547" w14:textId="02E540B5" w:rsidR="00655685" w:rsidRPr="001A69E4" w:rsidRDefault="00B03B7D" w:rsidP="0003619B">
            <w:pPr>
              <w:jc w:val="center"/>
              <w:rPr>
                <w:rFonts w:ascii="Arial" w:hAnsi="Arial" w:cs="Arial"/>
                <w:color w:val="000000"/>
                <w:sz w:val="22"/>
                <w:szCs w:val="22"/>
              </w:rPr>
            </w:pPr>
            <w:hyperlink r:id="rId52" w:history="1">
              <w:r w:rsidR="00655685" w:rsidRPr="00B90FF7">
                <w:rPr>
                  <w:rStyle w:val="Hyperlink"/>
                  <w:rFonts w:ascii="Arial" w:hAnsi="Arial"/>
                  <w:sz w:val="22"/>
                  <w:szCs w:val="22"/>
                </w:rPr>
                <w:t>NGO-90384</w:t>
              </w:r>
            </w:hyperlink>
          </w:p>
        </w:tc>
      </w:tr>
      <w:tr w:rsidR="00655685" w:rsidRPr="00D1780C" w14:paraId="50108B4E" w14:textId="77777777" w:rsidTr="0003619B">
        <w:trPr>
          <w:trHeight w:val="281"/>
        </w:trPr>
        <w:tc>
          <w:tcPr>
            <w:tcW w:w="2560" w:type="pct"/>
            <w:tcBorders>
              <w:top w:val="single" w:sz="4" w:space="0" w:color="auto"/>
              <w:bottom w:val="single" w:sz="4" w:space="0" w:color="auto"/>
            </w:tcBorders>
            <w:shd w:val="clear" w:color="auto" w:fill="auto"/>
          </w:tcPr>
          <w:p w14:paraId="42136FB1"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 xml:space="preserve">Public Association </w:t>
            </w:r>
            <w:proofErr w:type="spellStart"/>
            <w:r>
              <w:rPr>
                <w:rFonts w:ascii="Arial" w:hAnsi="Arial"/>
                <w:color w:val="000000"/>
                <w:sz w:val="22"/>
                <w:szCs w:val="22"/>
              </w:rPr>
              <w:t>Kuhhoi</w:t>
            </w:r>
            <w:proofErr w:type="spellEnd"/>
            <w:r>
              <w:rPr>
                <w:rFonts w:ascii="Arial" w:hAnsi="Arial"/>
                <w:color w:val="000000"/>
                <w:sz w:val="22"/>
                <w:szCs w:val="22"/>
              </w:rPr>
              <w:t xml:space="preserve"> </w:t>
            </w:r>
            <w:proofErr w:type="spellStart"/>
            <w:r>
              <w:rPr>
                <w:rFonts w:ascii="Arial" w:hAnsi="Arial"/>
                <w:color w:val="000000"/>
                <w:sz w:val="22"/>
                <w:szCs w:val="22"/>
              </w:rPr>
              <w:t>Pomir</w:t>
            </w:r>
            <w:proofErr w:type="spellEnd"/>
            <w:r>
              <w:rPr>
                <w:rFonts w:ascii="Arial" w:hAnsi="Arial"/>
                <w:color w:val="000000"/>
                <w:sz w:val="22"/>
                <w:szCs w:val="22"/>
              </w:rPr>
              <w:t xml:space="preserve"> (Pamir </w:t>
            </w:r>
            <w:proofErr w:type="spellStart"/>
            <w:r>
              <w:rPr>
                <w:rFonts w:ascii="Arial" w:hAnsi="Arial"/>
                <w:color w:val="000000"/>
                <w:sz w:val="22"/>
                <w:szCs w:val="22"/>
              </w:rPr>
              <w:t>mountains</w:t>
            </w:r>
            <w:proofErr w:type="spellEnd"/>
            <w:r>
              <w:rPr>
                <w:rFonts w:ascii="Arial" w:hAnsi="Arial"/>
                <w:color w:val="000000"/>
                <w:sz w:val="22"/>
                <w:szCs w:val="22"/>
              </w:rPr>
              <w:t>)</w:t>
            </w:r>
          </w:p>
        </w:tc>
        <w:tc>
          <w:tcPr>
            <w:tcW w:w="1500" w:type="pct"/>
            <w:tcBorders>
              <w:top w:val="single" w:sz="4" w:space="0" w:color="auto"/>
              <w:bottom w:val="single" w:sz="4" w:space="0" w:color="auto"/>
            </w:tcBorders>
            <w:shd w:val="clear" w:color="auto" w:fill="auto"/>
          </w:tcPr>
          <w:p w14:paraId="7EB0B490"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Tadjikistan</w:t>
            </w:r>
          </w:p>
        </w:tc>
        <w:tc>
          <w:tcPr>
            <w:tcW w:w="939" w:type="pct"/>
            <w:tcBorders>
              <w:top w:val="single" w:sz="4" w:space="0" w:color="auto"/>
              <w:bottom w:val="single" w:sz="4" w:space="0" w:color="auto"/>
            </w:tcBorders>
            <w:shd w:val="clear" w:color="auto" w:fill="auto"/>
          </w:tcPr>
          <w:p w14:paraId="5C0BE9AD" w14:textId="7335E34C" w:rsidR="00655685" w:rsidRPr="001A69E4" w:rsidRDefault="00B03B7D" w:rsidP="0003619B">
            <w:pPr>
              <w:jc w:val="center"/>
              <w:rPr>
                <w:rFonts w:ascii="Arial" w:hAnsi="Arial" w:cs="Arial"/>
                <w:color w:val="000000"/>
                <w:sz w:val="22"/>
                <w:szCs w:val="22"/>
              </w:rPr>
            </w:pPr>
            <w:hyperlink r:id="rId53" w:history="1">
              <w:r w:rsidR="00655685" w:rsidRPr="00B90FF7">
                <w:rPr>
                  <w:rStyle w:val="Hyperlink"/>
                  <w:rFonts w:ascii="Arial" w:hAnsi="Arial"/>
                  <w:sz w:val="22"/>
                  <w:szCs w:val="22"/>
                </w:rPr>
                <w:t>NGO-90403</w:t>
              </w:r>
            </w:hyperlink>
          </w:p>
        </w:tc>
      </w:tr>
      <w:tr w:rsidR="00655685" w:rsidRPr="00D1780C" w14:paraId="54330F1A" w14:textId="77777777" w:rsidTr="0003619B">
        <w:trPr>
          <w:trHeight w:val="164"/>
        </w:trPr>
        <w:tc>
          <w:tcPr>
            <w:tcW w:w="2560" w:type="pct"/>
            <w:tcBorders>
              <w:top w:val="single" w:sz="4" w:space="0" w:color="auto"/>
              <w:bottom w:val="single" w:sz="4" w:space="0" w:color="auto"/>
            </w:tcBorders>
            <w:shd w:val="clear" w:color="auto" w:fill="auto"/>
            <w:hideMark/>
          </w:tcPr>
          <w:p w14:paraId="25BD1A09"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Routes Nomades</w:t>
            </w:r>
          </w:p>
        </w:tc>
        <w:tc>
          <w:tcPr>
            <w:tcW w:w="1500" w:type="pct"/>
            <w:tcBorders>
              <w:top w:val="single" w:sz="4" w:space="0" w:color="auto"/>
              <w:bottom w:val="single" w:sz="4" w:space="0" w:color="auto"/>
            </w:tcBorders>
            <w:shd w:val="clear" w:color="auto" w:fill="auto"/>
            <w:hideMark/>
          </w:tcPr>
          <w:p w14:paraId="629C97EB"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France</w:t>
            </w:r>
          </w:p>
        </w:tc>
        <w:tc>
          <w:tcPr>
            <w:tcW w:w="939" w:type="pct"/>
            <w:tcBorders>
              <w:top w:val="single" w:sz="4" w:space="0" w:color="auto"/>
              <w:bottom w:val="single" w:sz="4" w:space="0" w:color="auto"/>
            </w:tcBorders>
            <w:shd w:val="clear" w:color="auto" w:fill="auto"/>
            <w:hideMark/>
          </w:tcPr>
          <w:p w14:paraId="2C7D0B9B" w14:textId="3C80C594" w:rsidR="00655685" w:rsidRPr="001A69E4" w:rsidRDefault="00B03B7D" w:rsidP="0003619B">
            <w:pPr>
              <w:jc w:val="center"/>
              <w:rPr>
                <w:rFonts w:ascii="Arial" w:hAnsi="Arial" w:cs="Arial"/>
                <w:color w:val="000000"/>
                <w:sz w:val="22"/>
                <w:szCs w:val="22"/>
              </w:rPr>
            </w:pPr>
            <w:hyperlink r:id="rId54" w:history="1">
              <w:r w:rsidR="00655685" w:rsidRPr="00B90FF7">
                <w:rPr>
                  <w:rStyle w:val="Hyperlink"/>
                  <w:rFonts w:ascii="Arial" w:hAnsi="Arial"/>
                  <w:sz w:val="22"/>
                  <w:szCs w:val="22"/>
                </w:rPr>
                <w:t>NGO-90371</w:t>
              </w:r>
            </w:hyperlink>
          </w:p>
        </w:tc>
      </w:tr>
      <w:tr w:rsidR="00655685" w:rsidRPr="00D1780C" w14:paraId="0C8DCCF3" w14:textId="77777777" w:rsidTr="0003619B">
        <w:trPr>
          <w:trHeight w:val="164"/>
        </w:trPr>
        <w:tc>
          <w:tcPr>
            <w:tcW w:w="2560" w:type="pct"/>
            <w:tcBorders>
              <w:top w:val="single" w:sz="4" w:space="0" w:color="auto"/>
              <w:bottom w:val="single" w:sz="4" w:space="0" w:color="auto"/>
            </w:tcBorders>
            <w:shd w:val="clear" w:color="auto" w:fill="auto"/>
            <w:hideMark/>
          </w:tcPr>
          <w:p w14:paraId="45D73176" w14:textId="77777777" w:rsidR="00655685" w:rsidRPr="00500F69" w:rsidRDefault="00655685" w:rsidP="0003619B">
            <w:pPr>
              <w:rPr>
                <w:rFonts w:ascii="Arial" w:hAnsi="Arial" w:cs="Arial"/>
                <w:color w:val="000000"/>
                <w:sz w:val="22"/>
                <w:szCs w:val="22"/>
                <w:lang w:val="en-US"/>
              </w:rPr>
            </w:pPr>
            <w:r w:rsidRPr="00500F69">
              <w:rPr>
                <w:rFonts w:ascii="Arial" w:hAnsi="Arial"/>
                <w:color w:val="000000"/>
                <w:sz w:val="22"/>
                <w:szCs w:val="22"/>
                <w:lang w:val="en-US"/>
              </w:rPr>
              <w:t xml:space="preserve">Smithsonian Center for </w:t>
            </w:r>
            <w:proofErr w:type="spellStart"/>
            <w:r w:rsidRPr="00500F69">
              <w:rPr>
                <w:rFonts w:ascii="Arial" w:hAnsi="Arial"/>
                <w:color w:val="000000"/>
                <w:sz w:val="22"/>
                <w:szCs w:val="22"/>
                <w:lang w:val="en-US"/>
              </w:rPr>
              <w:t>Folklife</w:t>
            </w:r>
            <w:proofErr w:type="spellEnd"/>
            <w:r w:rsidRPr="00500F69">
              <w:rPr>
                <w:rFonts w:ascii="Arial" w:hAnsi="Arial"/>
                <w:color w:val="000000"/>
                <w:sz w:val="22"/>
                <w:szCs w:val="22"/>
                <w:lang w:val="en-US"/>
              </w:rPr>
              <w:t xml:space="preserve"> and Cultural Heritage</w:t>
            </w:r>
          </w:p>
        </w:tc>
        <w:tc>
          <w:tcPr>
            <w:tcW w:w="1500" w:type="pct"/>
            <w:tcBorders>
              <w:top w:val="single" w:sz="4" w:space="0" w:color="auto"/>
              <w:bottom w:val="single" w:sz="4" w:space="0" w:color="auto"/>
            </w:tcBorders>
            <w:shd w:val="clear" w:color="auto" w:fill="auto"/>
            <w:hideMark/>
          </w:tcPr>
          <w:p w14:paraId="6B914D9D"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États-Unis d’Amérique</w:t>
            </w:r>
          </w:p>
        </w:tc>
        <w:tc>
          <w:tcPr>
            <w:tcW w:w="939" w:type="pct"/>
            <w:tcBorders>
              <w:top w:val="single" w:sz="4" w:space="0" w:color="auto"/>
              <w:bottom w:val="single" w:sz="4" w:space="0" w:color="auto"/>
            </w:tcBorders>
            <w:shd w:val="clear" w:color="auto" w:fill="auto"/>
            <w:hideMark/>
          </w:tcPr>
          <w:p w14:paraId="405B6065" w14:textId="59E11332" w:rsidR="00655685" w:rsidRPr="001A69E4" w:rsidRDefault="00B03B7D" w:rsidP="0003619B">
            <w:pPr>
              <w:jc w:val="center"/>
              <w:rPr>
                <w:rFonts w:ascii="Arial" w:hAnsi="Arial" w:cs="Arial"/>
                <w:color w:val="000000"/>
                <w:sz w:val="22"/>
                <w:szCs w:val="22"/>
              </w:rPr>
            </w:pPr>
            <w:hyperlink r:id="rId55" w:history="1">
              <w:r w:rsidR="00655685" w:rsidRPr="00B90FF7">
                <w:rPr>
                  <w:rStyle w:val="Hyperlink"/>
                  <w:rFonts w:ascii="Arial" w:hAnsi="Arial"/>
                  <w:sz w:val="22"/>
                  <w:szCs w:val="22"/>
                </w:rPr>
                <w:t>NGO-90391</w:t>
              </w:r>
            </w:hyperlink>
          </w:p>
        </w:tc>
      </w:tr>
      <w:tr w:rsidR="00655685" w:rsidRPr="00D1780C" w14:paraId="263114FB" w14:textId="77777777" w:rsidTr="0003619B">
        <w:trPr>
          <w:trHeight w:val="281"/>
        </w:trPr>
        <w:tc>
          <w:tcPr>
            <w:tcW w:w="2560" w:type="pct"/>
            <w:tcBorders>
              <w:top w:val="single" w:sz="4" w:space="0" w:color="auto"/>
              <w:bottom w:val="single" w:sz="4" w:space="0" w:color="auto"/>
            </w:tcBorders>
            <w:shd w:val="clear" w:color="auto" w:fill="auto"/>
            <w:hideMark/>
          </w:tcPr>
          <w:p w14:paraId="36FC39FB"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 xml:space="preserve">Sozopol </w:t>
            </w:r>
            <w:proofErr w:type="spellStart"/>
            <w:r>
              <w:rPr>
                <w:rFonts w:ascii="Arial" w:hAnsi="Arial"/>
                <w:color w:val="000000"/>
                <w:sz w:val="22"/>
                <w:szCs w:val="22"/>
              </w:rPr>
              <w:t>Foundation</w:t>
            </w:r>
            <w:proofErr w:type="spellEnd"/>
          </w:p>
        </w:tc>
        <w:tc>
          <w:tcPr>
            <w:tcW w:w="1500" w:type="pct"/>
            <w:tcBorders>
              <w:top w:val="single" w:sz="4" w:space="0" w:color="auto"/>
              <w:bottom w:val="single" w:sz="4" w:space="0" w:color="auto"/>
            </w:tcBorders>
            <w:shd w:val="clear" w:color="auto" w:fill="auto"/>
            <w:hideMark/>
          </w:tcPr>
          <w:p w14:paraId="05491267"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Bulgarie</w:t>
            </w:r>
          </w:p>
        </w:tc>
        <w:tc>
          <w:tcPr>
            <w:tcW w:w="939" w:type="pct"/>
            <w:tcBorders>
              <w:top w:val="single" w:sz="4" w:space="0" w:color="auto"/>
              <w:bottom w:val="single" w:sz="4" w:space="0" w:color="auto"/>
            </w:tcBorders>
            <w:shd w:val="clear" w:color="auto" w:fill="auto"/>
            <w:hideMark/>
          </w:tcPr>
          <w:p w14:paraId="5F53A014" w14:textId="0CFC171A" w:rsidR="00655685" w:rsidRPr="001A69E4" w:rsidRDefault="00B03B7D" w:rsidP="0003619B">
            <w:pPr>
              <w:jc w:val="center"/>
              <w:rPr>
                <w:rFonts w:ascii="Arial" w:hAnsi="Arial" w:cs="Arial"/>
                <w:color w:val="000000"/>
                <w:sz w:val="22"/>
                <w:szCs w:val="22"/>
              </w:rPr>
            </w:pPr>
            <w:hyperlink r:id="rId56" w:history="1">
              <w:r w:rsidR="00655685" w:rsidRPr="00B90FF7">
                <w:rPr>
                  <w:rStyle w:val="Hyperlink"/>
                  <w:rFonts w:ascii="Arial" w:hAnsi="Arial"/>
                  <w:sz w:val="22"/>
                  <w:szCs w:val="22"/>
                </w:rPr>
                <w:t>NGO-90389</w:t>
              </w:r>
            </w:hyperlink>
          </w:p>
        </w:tc>
      </w:tr>
      <w:tr w:rsidR="00655685" w:rsidRPr="00D1780C" w14:paraId="5D228001" w14:textId="77777777" w:rsidTr="0003619B">
        <w:trPr>
          <w:trHeight w:val="164"/>
        </w:trPr>
        <w:tc>
          <w:tcPr>
            <w:tcW w:w="2560" w:type="pct"/>
            <w:tcBorders>
              <w:top w:val="single" w:sz="4" w:space="0" w:color="auto"/>
              <w:bottom w:val="single" w:sz="4" w:space="0" w:color="auto"/>
            </w:tcBorders>
            <w:shd w:val="clear" w:color="auto" w:fill="auto"/>
            <w:hideMark/>
          </w:tcPr>
          <w:p w14:paraId="43FEA25F" w14:textId="77777777" w:rsidR="00655685" w:rsidRPr="001A69E4" w:rsidRDefault="00655685" w:rsidP="0003619B">
            <w:pPr>
              <w:rPr>
                <w:rFonts w:ascii="Arial" w:hAnsi="Arial" w:cs="Arial"/>
                <w:color w:val="000000"/>
                <w:sz w:val="22"/>
                <w:szCs w:val="22"/>
              </w:rPr>
            </w:pPr>
            <w:proofErr w:type="spellStart"/>
            <w:r>
              <w:rPr>
                <w:rFonts w:ascii="Arial" w:hAnsi="Arial"/>
                <w:color w:val="000000"/>
                <w:sz w:val="22"/>
                <w:szCs w:val="22"/>
              </w:rPr>
              <w:t>Teje</w:t>
            </w:r>
            <w:proofErr w:type="spellEnd"/>
            <w:r>
              <w:rPr>
                <w:rFonts w:ascii="Arial" w:hAnsi="Arial"/>
                <w:color w:val="000000"/>
                <w:sz w:val="22"/>
                <w:szCs w:val="22"/>
              </w:rPr>
              <w:t xml:space="preserve"> </w:t>
            </w:r>
            <w:proofErr w:type="spellStart"/>
            <w:r>
              <w:rPr>
                <w:rFonts w:ascii="Arial" w:hAnsi="Arial"/>
                <w:color w:val="000000"/>
                <w:sz w:val="22"/>
                <w:szCs w:val="22"/>
              </w:rPr>
              <w:t>Teje</w:t>
            </w:r>
            <w:proofErr w:type="spellEnd"/>
          </w:p>
        </w:tc>
        <w:tc>
          <w:tcPr>
            <w:tcW w:w="1500" w:type="pct"/>
            <w:tcBorders>
              <w:top w:val="single" w:sz="4" w:space="0" w:color="auto"/>
              <w:bottom w:val="single" w:sz="4" w:space="0" w:color="auto"/>
            </w:tcBorders>
            <w:shd w:val="clear" w:color="auto" w:fill="auto"/>
            <w:hideMark/>
          </w:tcPr>
          <w:p w14:paraId="1AA7F167"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Colombie</w:t>
            </w:r>
          </w:p>
        </w:tc>
        <w:tc>
          <w:tcPr>
            <w:tcW w:w="939" w:type="pct"/>
            <w:tcBorders>
              <w:top w:val="single" w:sz="4" w:space="0" w:color="auto"/>
              <w:bottom w:val="single" w:sz="4" w:space="0" w:color="auto"/>
            </w:tcBorders>
            <w:shd w:val="clear" w:color="auto" w:fill="auto"/>
            <w:hideMark/>
          </w:tcPr>
          <w:p w14:paraId="37E4BC8F" w14:textId="7F6B62BB" w:rsidR="00655685" w:rsidRPr="001A69E4" w:rsidRDefault="00B03B7D" w:rsidP="0003619B">
            <w:pPr>
              <w:jc w:val="center"/>
              <w:rPr>
                <w:rFonts w:ascii="Arial" w:hAnsi="Arial" w:cs="Arial"/>
                <w:color w:val="000000"/>
                <w:sz w:val="22"/>
                <w:szCs w:val="22"/>
              </w:rPr>
            </w:pPr>
            <w:hyperlink r:id="rId57" w:history="1">
              <w:r w:rsidR="00655685" w:rsidRPr="00B90FF7">
                <w:rPr>
                  <w:rStyle w:val="Hyperlink"/>
                  <w:rFonts w:ascii="Arial" w:hAnsi="Arial"/>
                  <w:sz w:val="22"/>
                  <w:szCs w:val="22"/>
                </w:rPr>
                <w:t>NGO-90368</w:t>
              </w:r>
            </w:hyperlink>
          </w:p>
        </w:tc>
      </w:tr>
      <w:tr w:rsidR="00655685" w:rsidRPr="00D1780C" w14:paraId="0B672333" w14:textId="77777777" w:rsidTr="0003619B">
        <w:trPr>
          <w:trHeight w:val="164"/>
        </w:trPr>
        <w:tc>
          <w:tcPr>
            <w:tcW w:w="2560" w:type="pct"/>
            <w:tcBorders>
              <w:top w:val="single" w:sz="4" w:space="0" w:color="auto"/>
              <w:bottom w:val="single" w:sz="4" w:space="0" w:color="auto"/>
            </w:tcBorders>
            <w:shd w:val="clear" w:color="auto" w:fill="auto"/>
            <w:hideMark/>
          </w:tcPr>
          <w:p w14:paraId="0F95A033"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THAAP</w:t>
            </w:r>
          </w:p>
        </w:tc>
        <w:tc>
          <w:tcPr>
            <w:tcW w:w="1500" w:type="pct"/>
            <w:tcBorders>
              <w:top w:val="single" w:sz="4" w:space="0" w:color="auto"/>
              <w:bottom w:val="single" w:sz="4" w:space="0" w:color="auto"/>
            </w:tcBorders>
            <w:shd w:val="clear" w:color="auto" w:fill="auto"/>
            <w:hideMark/>
          </w:tcPr>
          <w:p w14:paraId="7A2F8556"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Pakistan</w:t>
            </w:r>
          </w:p>
        </w:tc>
        <w:tc>
          <w:tcPr>
            <w:tcW w:w="939" w:type="pct"/>
            <w:tcBorders>
              <w:top w:val="single" w:sz="4" w:space="0" w:color="auto"/>
              <w:bottom w:val="single" w:sz="4" w:space="0" w:color="auto"/>
            </w:tcBorders>
            <w:shd w:val="clear" w:color="auto" w:fill="auto"/>
            <w:hideMark/>
          </w:tcPr>
          <w:p w14:paraId="0C1B3905" w14:textId="52290C1D" w:rsidR="00655685" w:rsidRPr="001A69E4" w:rsidRDefault="00B03B7D" w:rsidP="0003619B">
            <w:pPr>
              <w:jc w:val="center"/>
              <w:rPr>
                <w:rFonts w:ascii="Arial" w:hAnsi="Arial" w:cs="Arial"/>
                <w:color w:val="000000"/>
                <w:sz w:val="22"/>
                <w:szCs w:val="22"/>
              </w:rPr>
            </w:pPr>
            <w:hyperlink r:id="rId58" w:history="1">
              <w:r w:rsidR="00655685" w:rsidRPr="00B90FF7">
                <w:rPr>
                  <w:rStyle w:val="Hyperlink"/>
                  <w:rFonts w:ascii="Arial" w:hAnsi="Arial"/>
                  <w:sz w:val="22"/>
                  <w:szCs w:val="22"/>
                </w:rPr>
                <w:t>NGO-90367</w:t>
              </w:r>
            </w:hyperlink>
          </w:p>
        </w:tc>
      </w:tr>
      <w:tr w:rsidR="00655685" w:rsidRPr="00D1780C" w14:paraId="64E92BD6" w14:textId="77777777" w:rsidTr="0003619B">
        <w:trPr>
          <w:trHeight w:val="164"/>
        </w:trPr>
        <w:tc>
          <w:tcPr>
            <w:tcW w:w="2560" w:type="pct"/>
            <w:tcBorders>
              <w:top w:val="single" w:sz="4" w:space="0" w:color="auto"/>
              <w:bottom w:val="single" w:sz="4" w:space="0" w:color="auto"/>
            </w:tcBorders>
            <w:shd w:val="clear" w:color="auto" w:fill="auto"/>
          </w:tcPr>
          <w:p w14:paraId="0EBE1FB7" w14:textId="77777777" w:rsidR="00655685" w:rsidRPr="00500F69" w:rsidRDefault="00655685" w:rsidP="0003619B">
            <w:pPr>
              <w:rPr>
                <w:rFonts w:ascii="Arial" w:hAnsi="Arial" w:cs="Arial"/>
                <w:color w:val="000000"/>
                <w:sz w:val="22"/>
                <w:szCs w:val="22"/>
                <w:lang w:val="en-US"/>
              </w:rPr>
            </w:pPr>
            <w:r w:rsidRPr="00500F69">
              <w:rPr>
                <w:rFonts w:ascii="Arial" w:hAnsi="Arial"/>
                <w:color w:val="000000"/>
                <w:sz w:val="22"/>
                <w:szCs w:val="22"/>
                <w:lang w:val="en-US"/>
              </w:rPr>
              <w:t>The Norwegian Society of Rural Women</w:t>
            </w:r>
          </w:p>
        </w:tc>
        <w:tc>
          <w:tcPr>
            <w:tcW w:w="1500" w:type="pct"/>
            <w:tcBorders>
              <w:top w:val="single" w:sz="4" w:space="0" w:color="auto"/>
              <w:bottom w:val="single" w:sz="4" w:space="0" w:color="auto"/>
            </w:tcBorders>
            <w:shd w:val="clear" w:color="auto" w:fill="auto"/>
          </w:tcPr>
          <w:p w14:paraId="2ED36E32"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Norvège</w:t>
            </w:r>
          </w:p>
        </w:tc>
        <w:tc>
          <w:tcPr>
            <w:tcW w:w="939" w:type="pct"/>
            <w:tcBorders>
              <w:top w:val="single" w:sz="4" w:space="0" w:color="auto"/>
              <w:bottom w:val="single" w:sz="4" w:space="0" w:color="auto"/>
            </w:tcBorders>
            <w:shd w:val="clear" w:color="auto" w:fill="auto"/>
          </w:tcPr>
          <w:p w14:paraId="00374F48" w14:textId="7CD5778B" w:rsidR="00655685" w:rsidRPr="001A69E4" w:rsidRDefault="00B03B7D" w:rsidP="0003619B">
            <w:pPr>
              <w:jc w:val="center"/>
              <w:rPr>
                <w:rFonts w:ascii="Arial" w:hAnsi="Arial" w:cs="Arial"/>
                <w:color w:val="000000"/>
                <w:sz w:val="22"/>
                <w:szCs w:val="22"/>
              </w:rPr>
            </w:pPr>
            <w:hyperlink r:id="rId59" w:history="1">
              <w:r w:rsidR="00655685" w:rsidRPr="00B90FF7">
                <w:rPr>
                  <w:rStyle w:val="Hyperlink"/>
                  <w:rFonts w:ascii="Arial" w:hAnsi="Arial"/>
                  <w:sz w:val="22"/>
                  <w:szCs w:val="22"/>
                </w:rPr>
                <w:t>NGO-90395</w:t>
              </w:r>
            </w:hyperlink>
          </w:p>
        </w:tc>
      </w:tr>
      <w:tr w:rsidR="00655685" w:rsidRPr="00D1780C" w14:paraId="771FC458" w14:textId="77777777" w:rsidTr="0003619B">
        <w:trPr>
          <w:trHeight w:val="164"/>
        </w:trPr>
        <w:tc>
          <w:tcPr>
            <w:tcW w:w="2560" w:type="pct"/>
            <w:tcBorders>
              <w:top w:val="single" w:sz="4" w:space="0" w:color="auto"/>
              <w:bottom w:val="single" w:sz="4" w:space="0" w:color="auto"/>
            </w:tcBorders>
            <w:shd w:val="clear" w:color="auto" w:fill="auto"/>
            <w:hideMark/>
          </w:tcPr>
          <w:p w14:paraId="604390CD" w14:textId="77777777" w:rsidR="00655685" w:rsidRPr="001A69E4" w:rsidRDefault="00655685" w:rsidP="0003619B">
            <w:pPr>
              <w:rPr>
                <w:rFonts w:ascii="Arial" w:hAnsi="Arial" w:cs="Arial"/>
                <w:color w:val="000000"/>
                <w:sz w:val="22"/>
                <w:szCs w:val="22"/>
              </w:rPr>
            </w:pPr>
            <w:r>
              <w:rPr>
                <w:rFonts w:ascii="Arial" w:hAnsi="Arial"/>
                <w:color w:val="000000"/>
                <w:sz w:val="22"/>
                <w:szCs w:val="22"/>
              </w:rPr>
              <w:t xml:space="preserve">The </w:t>
            </w:r>
            <w:proofErr w:type="spellStart"/>
            <w:r>
              <w:rPr>
                <w:rFonts w:ascii="Arial" w:hAnsi="Arial"/>
                <w:color w:val="000000"/>
                <w:sz w:val="22"/>
                <w:szCs w:val="22"/>
              </w:rPr>
              <w:t>Serfenta</w:t>
            </w:r>
            <w:proofErr w:type="spellEnd"/>
            <w:r>
              <w:rPr>
                <w:rFonts w:ascii="Arial" w:hAnsi="Arial"/>
                <w:color w:val="000000"/>
                <w:sz w:val="22"/>
                <w:szCs w:val="22"/>
              </w:rPr>
              <w:t xml:space="preserve"> Association</w:t>
            </w:r>
          </w:p>
        </w:tc>
        <w:tc>
          <w:tcPr>
            <w:tcW w:w="1500" w:type="pct"/>
            <w:tcBorders>
              <w:top w:val="single" w:sz="4" w:space="0" w:color="auto"/>
              <w:bottom w:val="single" w:sz="4" w:space="0" w:color="auto"/>
            </w:tcBorders>
            <w:shd w:val="clear" w:color="auto" w:fill="auto"/>
            <w:hideMark/>
          </w:tcPr>
          <w:p w14:paraId="1B16EB75"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Pologne</w:t>
            </w:r>
          </w:p>
        </w:tc>
        <w:tc>
          <w:tcPr>
            <w:tcW w:w="939" w:type="pct"/>
            <w:tcBorders>
              <w:top w:val="single" w:sz="4" w:space="0" w:color="auto"/>
              <w:bottom w:val="single" w:sz="4" w:space="0" w:color="auto"/>
            </w:tcBorders>
            <w:shd w:val="clear" w:color="auto" w:fill="auto"/>
            <w:hideMark/>
          </w:tcPr>
          <w:p w14:paraId="595398F5" w14:textId="551D5E1D" w:rsidR="00655685" w:rsidRPr="001A69E4" w:rsidRDefault="00B03B7D" w:rsidP="0003619B">
            <w:pPr>
              <w:jc w:val="center"/>
              <w:rPr>
                <w:rFonts w:ascii="Arial" w:hAnsi="Arial" w:cs="Arial"/>
                <w:color w:val="000000"/>
                <w:sz w:val="22"/>
                <w:szCs w:val="22"/>
              </w:rPr>
            </w:pPr>
            <w:hyperlink r:id="rId60" w:history="1">
              <w:r w:rsidR="00655685" w:rsidRPr="00B90FF7">
                <w:rPr>
                  <w:rStyle w:val="Hyperlink"/>
                  <w:rFonts w:ascii="Arial" w:hAnsi="Arial"/>
                  <w:sz w:val="22"/>
                  <w:szCs w:val="22"/>
                </w:rPr>
                <w:t>NGO-90373</w:t>
              </w:r>
            </w:hyperlink>
          </w:p>
        </w:tc>
      </w:tr>
      <w:tr w:rsidR="00655685" w:rsidRPr="00D1780C" w14:paraId="40F088AF" w14:textId="77777777" w:rsidTr="0003619B">
        <w:trPr>
          <w:trHeight w:val="164"/>
        </w:trPr>
        <w:tc>
          <w:tcPr>
            <w:tcW w:w="2560" w:type="pct"/>
            <w:tcBorders>
              <w:top w:val="single" w:sz="4" w:space="0" w:color="auto"/>
              <w:bottom w:val="single" w:sz="4" w:space="0" w:color="auto"/>
            </w:tcBorders>
            <w:shd w:val="clear" w:color="auto" w:fill="auto"/>
            <w:hideMark/>
          </w:tcPr>
          <w:p w14:paraId="18BC5FE7" w14:textId="77777777" w:rsidR="00655685" w:rsidRPr="001A69E4" w:rsidRDefault="00655685" w:rsidP="0003619B">
            <w:pPr>
              <w:rPr>
                <w:rFonts w:ascii="Arial" w:hAnsi="Arial" w:cs="Arial"/>
                <w:color w:val="000000"/>
                <w:sz w:val="22"/>
                <w:szCs w:val="22"/>
              </w:rPr>
            </w:pPr>
            <w:proofErr w:type="spellStart"/>
            <w:r>
              <w:rPr>
                <w:rFonts w:ascii="Arial" w:hAnsi="Arial"/>
                <w:color w:val="000000"/>
                <w:sz w:val="22"/>
                <w:szCs w:val="22"/>
              </w:rPr>
              <w:t>Traditional</w:t>
            </w:r>
            <w:proofErr w:type="spellEnd"/>
            <w:r>
              <w:rPr>
                <w:rFonts w:ascii="Arial" w:hAnsi="Arial"/>
                <w:color w:val="000000"/>
                <w:sz w:val="22"/>
                <w:szCs w:val="22"/>
              </w:rPr>
              <w:t xml:space="preserve"> Art Association</w:t>
            </w:r>
          </w:p>
        </w:tc>
        <w:tc>
          <w:tcPr>
            <w:tcW w:w="1500" w:type="pct"/>
            <w:tcBorders>
              <w:top w:val="single" w:sz="4" w:space="0" w:color="auto"/>
              <w:bottom w:val="single" w:sz="4" w:space="0" w:color="auto"/>
            </w:tcBorders>
            <w:shd w:val="clear" w:color="auto" w:fill="auto"/>
            <w:hideMark/>
          </w:tcPr>
          <w:p w14:paraId="0DB7E52E" w14:textId="77777777" w:rsidR="00655685" w:rsidRPr="001A69E4" w:rsidRDefault="00655685" w:rsidP="0003619B">
            <w:pPr>
              <w:jc w:val="center"/>
              <w:rPr>
                <w:rFonts w:ascii="Arial" w:hAnsi="Arial" w:cs="Arial"/>
                <w:color w:val="000000"/>
                <w:sz w:val="22"/>
                <w:szCs w:val="22"/>
              </w:rPr>
            </w:pPr>
            <w:r>
              <w:rPr>
                <w:rFonts w:ascii="Arial" w:hAnsi="Arial"/>
                <w:color w:val="000000"/>
                <w:sz w:val="22"/>
                <w:szCs w:val="22"/>
              </w:rPr>
              <w:t>Turquie</w:t>
            </w:r>
          </w:p>
        </w:tc>
        <w:tc>
          <w:tcPr>
            <w:tcW w:w="939" w:type="pct"/>
            <w:tcBorders>
              <w:top w:val="single" w:sz="4" w:space="0" w:color="auto"/>
              <w:bottom w:val="single" w:sz="4" w:space="0" w:color="auto"/>
            </w:tcBorders>
            <w:shd w:val="clear" w:color="auto" w:fill="auto"/>
            <w:hideMark/>
          </w:tcPr>
          <w:p w14:paraId="62DFDB64" w14:textId="6DFF5AC5" w:rsidR="00655685" w:rsidRPr="001A69E4" w:rsidRDefault="00B03B7D" w:rsidP="0003619B">
            <w:pPr>
              <w:jc w:val="center"/>
              <w:rPr>
                <w:rFonts w:ascii="Arial" w:hAnsi="Arial" w:cs="Arial"/>
                <w:color w:val="000000"/>
                <w:sz w:val="22"/>
                <w:szCs w:val="22"/>
              </w:rPr>
            </w:pPr>
            <w:hyperlink r:id="rId61" w:history="1">
              <w:r w:rsidR="00655685" w:rsidRPr="00B90FF7">
                <w:rPr>
                  <w:rStyle w:val="Hyperlink"/>
                  <w:rFonts w:ascii="Arial" w:hAnsi="Arial"/>
                  <w:sz w:val="22"/>
                  <w:szCs w:val="22"/>
                </w:rPr>
                <w:t>NGO-90408</w:t>
              </w:r>
            </w:hyperlink>
          </w:p>
        </w:tc>
      </w:tr>
    </w:tbl>
    <w:p w14:paraId="113272CD" w14:textId="2BEA1BC7" w:rsidR="00655685" w:rsidRPr="0049163C" w:rsidRDefault="00655685" w:rsidP="003074FE">
      <w:pPr>
        <w:pStyle w:val="GATitleResolution"/>
        <w:ind w:left="567" w:hanging="567"/>
      </w:pPr>
      <w:r w:rsidRPr="0049163C">
        <w:t>RÉSOLU</w:t>
      </w:r>
      <w:r>
        <w:t>TION 7</w:t>
      </w:r>
      <w:r w:rsidRPr="0049163C">
        <w:t>.GA 1</w:t>
      </w:r>
      <w:r>
        <w:t>2</w:t>
      </w:r>
    </w:p>
    <w:p w14:paraId="06F6A460" w14:textId="77777777" w:rsidR="00655685" w:rsidRPr="005A4A42" w:rsidRDefault="00655685" w:rsidP="00655685">
      <w:pPr>
        <w:pStyle w:val="GAPreambulaResolution"/>
      </w:pPr>
      <w:r>
        <w:t>L’Assemblée générale,</w:t>
      </w:r>
    </w:p>
    <w:p w14:paraId="3F0CA99A" w14:textId="00312C70" w:rsidR="00655685" w:rsidRPr="00345CB4" w:rsidRDefault="00655685" w:rsidP="00AD241C">
      <w:pPr>
        <w:pStyle w:val="GAParaResolution"/>
        <w:numPr>
          <w:ilvl w:val="0"/>
          <w:numId w:val="62"/>
        </w:numPr>
        <w:ind w:left="567" w:hanging="567"/>
        <w:jc w:val="left"/>
      </w:pPr>
      <w:r>
        <w:t>Ayant examiné</w:t>
      </w:r>
      <w:r w:rsidRPr="00AD241C">
        <w:rPr>
          <w:u w:val="none"/>
        </w:rPr>
        <w:t xml:space="preserve"> le document </w:t>
      </w:r>
      <w:hyperlink r:id="rId62" w:history="1">
        <w:r w:rsidRPr="00D53F4C">
          <w:rPr>
            <w:rStyle w:val="Hyperlink"/>
          </w:rPr>
          <w:t>ITH/18/7.GA/12</w:t>
        </w:r>
      </w:hyperlink>
      <w:r w:rsidRPr="00AD241C">
        <w:rPr>
          <w:u w:val="none"/>
        </w:rPr>
        <w:t xml:space="preserve"> et son annexe,</w:t>
      </w:r>
    </w:p>
    <w:p w14:paraId="63D351A9" w14:textId="31D0CDE5" w:rsidR="00655685" w:rsidRPr="00345CB4" w:rsidRDefault="00655685" w:rsidP="00AD241C">
      <w:pPr>
        <w:pStyle w:val="COMParaDecision"/>
        <w:numPr>
          <w:ilvl w:val="0"/>
          <w:numId w:val="3"/>
        </w:numPr>
        <w:ind w:left="567" w:hanging="567"/>
        <w:jc w:val="left"/>
      </w:pPr>
      <w:r>
        <w:t>Prenant note</w:t>
      </w:r>
      <w:r w:rsidRPr="008D7D7C">
        <w:rPr>
          <w:u w:val="none"/>
        </w:rPr>
        <w:t xml:space="preserve"> </w:t>
      </w:r>
      <w:r>
        <w:rPr>
          <w:u w:val="none"/>
        </w:rPr>
        <w:t xml:space="preserve">du document </w:t>
      </w:r>
      <w:hyperlink r:id="rId63" w:history="1">
        <w:r w:rsidRPr="00D53F4C">
          <w:rPr>
            <w:rStyle w:val="Hyperlink"/>
          </w:rPr>
          <w:t>ITH/18/7.GA/13</w:t>
        </w:r>
      </w:hyperlink>
      <w:r>
        <w:rPr>
          <w:u w:val="none"/>
        </w:rPr>
        <w:t xml:space="preserve"> et de son annexe,</w:t>
      </w:r>
      <w:r>
        <w:t xml:space="preserve"> </w:t>
      </w:r>
    </w:p>
    <w:p w14:paraId="3CF09CA2" w14:textId="77777777" w:rsidR="00655685" w:rsidRPr="00345CB4" w:rsidRDefault="00655685" w:rsidP="00AD241C">
      <w:pPr>
        <w:pStyle w:val="COMParaDecision"/>
        <w:numPr>
          <w:ilvl w:val="0"/>
          <w:numId w:val="3"/>
        </w:numPr>
        <w:ind w:left="567" w:hanging="567"/>
      </w:pPr>
      <w:r>
        <w:t>Rappelant</w:t>
      </w:r>
      <w:r>
        <w:rPr>
          <w:u w:val="none"/>
        </w:rPr>
        <w:t xml:space="preserve"> les décisions </w:t>
      </w:r>
      <w:hyperlink r:id="rId64" w:history="1">
        <w:r>
          <w:rPr>
            <w:rStyle w:val="Hyperlink"/>
          </w:rPr>
          <w:t>11.COM 7</w:t>
        </w:r>
      </w:hyperlink>
      <w:r>
        <w:rPr>
          <w:u w:val="none"/>
        </w:rPr>
        <w:t xml:space="preserve">, </w:t>
      </w:r>
      <w:hyperlink r:id="rId65" w:history="1">
        <w:r>
          <w:rPr>
            <w:rStyle w:val="Hyperlink"/>
          </w:rPr>
          <w:t>12.COM 13</w:t>
        </w:r>
      </w:hyperlink>
      <w:r>
        <w:rPr>
          <w:u w:val="none"/>
        </w:rPr>
        <w:t xml:space="preserve">, </w:t>
      </w:r>
      <w:hyperlink r:id="rId66" w:history="1">
        <w:r>
          <w:rPr>
            <w:rStyle w:val="Hyperlink"/>
          </w:rPr>
          <w:t>12.COM 16</w:t>
        </w:r>
      </w:hyperlink>
      <w:r>
        <w:rPr>
          <w:u w:val="none"/>
        </w:rPr>
        <w:t xml:space="preserve"> et la résolution </w:t>
      </w:r>
      <w:hyperlink r:id="rId67" w:history="1">
        <w:r>
          <w:rPr>
            <w:rStyle w:val="Hyperlink"/>
          </w:rPr>
          <w:t>6.GA 11</w:t>
        </w:r>
      </w:hyperlink>
      <w:r>
        <w:rPr>
          <w:u w:val="none"/>
        </w:rPr>
        <w:t>,</w:t>
      </w:r>
    </w:p>
    <w:p w14:paraId="75B5BD54" w14:textId="1F9C3D44" w:rsidR="00655685" w:rsidRPr="00942976" w:rsidRDefault="00655685" w:rsidP="00AD241C">
      <w:pPr>
        <w:pStyle w:val="COMParaDecision"/>
        <w:numPr>
          <w:ilvl w:val="0"/>
          <w:numId w:val="3"/>
        </w:numPr>
        <w:ind w:left="567" w:hanging="567"/>
        <w:jc w:val="left"/>
      </w:pPr>
      <w:r>
        <w:t>Rappelant également</w:t>
      </w:r>
      <w:r>
        <w:rPr>
          <w:u w:val="none"/>
        </w:rPr>
        <w:t xml:space="preserve"> la </w:t>
      </w:r>
      <w:r w:rsidR="00ED55F1">
        <w:rPr>
          <w:u w:val="none"/>
        </w:rPr>
        <w:t>r</w:t>
      </w:r>
      <w:r>
        <w:rPr>
          <w:u w:val="none"/>
        </w:rPr>
        <w:t>ésolution </w:t>
      </w:r>
      <w:hyperlink r:id="rId68" w:history="1">
        <w:r w:rsidRPr="00D53F4C">
          <w:rPr>
            <w:rStyle w:val="Hyperlink"/>
          </w:rPr>
          <w:t>39 C/87</w:t>
        </w:r>
      </w:hyperlink>
      <w:r>
        <w:rPr>
          <w:u w:val="none"/>
        </w:rPr>
        <w:t>,</w:t>
      </w:r>
    </w:p>
    <w:p w14:paraId="582D2E7C" w14:textId="2E453B53" w:rsidR="00655685" w:rsidRPr="00134502" w:rsidRDefault="0082334A" w:rsidP="00AD241C">
      <w:pPr>
        <w:pStyle w:val="COMParaDecision"/>
        <w:numPr>
          <w:ilvl w:val="0"/>
          <w:numId w:val="3"/>
        </w:numPr>
        <w:ind w:left="567" w:hanging="567"/>
      </w:pPr>
      <w:r>
        <w:t>Reconna</w:t>
      </w:r>
      <w:r w:rsidR="00500445">
        <w:t>î</w:t>
      </w:r>
      <w:r>
        <w:t>t</w:t>
      </w:r>
      <w:r w:rsidR="00655685">
        <w:rPr>
          <w:u w:val="none"/>
        </w:rPr>
        <w:t xml:space="preserve"> </w:t>
      </w:r>
      <w:r>
        <w:rPr>
          <w:u w:val="none"/>
        </w:rPr>
        <w:t>l</w:t>
      </w:r>
      <w:r w:rsidR="00655685">
        <w:rPr>
          <w:u w:val="none"/>
        </w:rPr>
        <w:t xml:space="preserve">es recommandations </w:t>
      </w:r>
      <w:r>
        <w:rPr>
          <w:u w:val="none"/>
        </w:rPr>
        <w:t>de la 39</w:t>
      </w:r>
      <w:r w:rsidRPr="00F24655">
        <w:rPr>
          <w:u w:val="none"/>
          <w:vertAlign w:val="superscript"/>
        </w:rPr>
        <w:t>ème</w:t>
      </w:r>
      <w:r w:rsidR="00213BCD">
        <w:rPr>
          <w:u w:val="none"/>
        </w:rPr>
        <w:t> </w:t>
      </w:r>
      <w:r w:rsidR="00524717">
        <w:rPr>
          <w:u w:val="none"/>
        </w:rPr>
        <w:t xml:space="preserve">session de la </w:t>
      </w:r>
      <w:r>
        <w:rPr>
          <w:u w:val="none"/>
        </w:rPr>
        <w:t xml:space="preserve">Conférence générale </w:t>
      </w:r>
      <w:r w:rsidR="00655685">
        <w:rPr>
          <w:u w:val="none"/>
        </w:rPr>
        <w:t>sur la gouvernance, les procédures et les méthodes de travail des organes directeurs de l’UNESCO qui sont pertinentes pour les organes directeurs de la Convention de 2003 ;</w:t>
      </w:r>
    </w:p>
    <w:p w14:paraId="585D2556" w14:textId="43BF0E8E" w:rsidR="00655685" w:rsidRPr="0049025A" w:rsidRDefault="00655685" w:rsidP="00AD241C">
      <w:pPr>
        <w:pStyle w:val="COMParaDecision"/>
        <w:numPr>
          <w:ilvl w:val="0"/>
          <w:numId w:val="3"/>
        </w:numPr>
        <w:ind w:left="567" w:hanging="567"/>
        <w:rPr>
          <w:u w:val="none"/>
        </w:rPr>
      </w:pPr>
      <w:r>
        <w:t>Demande</w:t>
      </w:r>
      <w:r>
        <w:rPr>
          <w:u w:val="none"/>
        </w:rPr>
        <w:t xml:space="preserve"> que le Secrétariat, en concertation avec les États parties, propose des moyens de favoriser la mise en œuvre des recommandations (celles dont la mise en œuvre n’est pas achevée), notamment en proposant des amendements au Règlement intérieur de l’Assemblée générale et en tenant compte des propositions déjà reçues suite à la résolution </w:t>
      </w:r>
      <w:hyperlink r:id="rId69" w:history="1">
        <w:r w:rsidRPr="00FA6B4B">
          <w:rPr>
            <w:rStyle w:val="Hyperlink"/>
          </w:rPr>
          <w:t>6.GA 11</w:t>
        </w:r>
        <w:r w:rsidRPr="00F475EF">
          <w:rPr>
            <w:rStyle w:val="Hyperlink"/>
            <w:u w:val="none"/>
          </w:rPr>
          <w:t> </w:t>
        </w:r>
      </w:hyperlink>
      <w:r>
        <w:rPr>
          <w:u w:val="none"/>
        </w:rPr>
        <w:t>;</w:t>
      </w:r>
    </w:p>
    <w:p w14:paraId="086E295D" w14:textId="77777777" w:rsidR="00655685" w:rsidRPr="0049025A" w:rsidRDefault="00655685" w:rsidP="00AD241C">
      <w:pPr>
        <w:pStyle w:val="COMParaDecision"/>
        <w:numPr>
          <w:ilvl w:val="0"/>
          <w:numId w:val="3"/>
        </w:numPr>
        <w:ind w:left="567" w:hanging="567"/>
        <w:rPr>
          <w:u w:val="none"/>
        </w:rPr>
      </w:pPr>
      <w:r>
        <w:t>Demande en outre</w:t>
      </w:r>
      <w:r>
        <w:rPr>
          <w:u w:val="none"/>
        </w:rPr>
        <w:t xml:space="preserve"> au Secrétariat de veiller à adopter un langage neutre du point de vue du genre lors de la révision de Textes fondamentaux de la Convention dont une nouvelle version doit paraître en 2018 ;</w:t>
      </w:r>
    </w:p>
    <w:p w14:paraId="109E7402" w14:textId="4C64BD35" w:rsidR="0082334A" w:rsidRPr="003074FE" w:rsidRDefault="00655685" w:rsidP="00AD241C">
      <w:pPr>
        <w:pStyle w:val="COMParaDecision"/>
        <w:numPr>
          <w:ilvl w:val="0"/>
          <w:numId w:val="3"/>
        </w:numPr>
        <w:ind w:left="567" w:hanging="567"/>
      </w:pPr>
      <w:r>
        <w:t>Invite</w:t>
      </w:r>
      <w:r>
        <w:rPr>
          <w:u w:val="none"/>
        </w:rPr>
        <w:t xml:space="preserve"> l’Assemblée générale, le Comité et leurs bureaux respectifs à poursuivre leurs travaux dans le respect des recommandations </w:t>
      </w:r>
      <w:r w:rsidR="0082334A">
        <w:rPr>
          <w:u w:val="none"/>
        </w:rPr>
        <w:t>de la 39</w:t>
      </w:r>
      <w:r w:rsidR="0082334A" w:rsidRPr="00D47BDE">
        <w:rPr>
          <w:u w:val="none"/>
          <w:vertAlign w:val="superscript"/>
        </w:rPr>
        <w:t>ème</w:t>
      </w:r>
      <w:r w:rsidR="0082334A">
        <w:rPr>
          <w:u w:val="none"/>
        </w:rPr>
        <w:t xml:space="preserve"> </w:t>
      </w:r>
      <w:r w:rsidR="00524717">
        <w:rPr>
          <w:u w:val="none"/>
        </w:rPr>
        <w:t xml:space="preserve">session de la </w:t>
      </w:r>
      <w:r w:rsidR="0082334A">
        <w:rPr>
          <w:u w:val="none"/>
        </w:rPr>
        <w:t>Conférence générale</w:t>
      </w:r>
      <w:r w:rsidR="0082334A" w:rsidDel="0082334A">
        <w:rPr>
          <w:u w:val="none"/>
        </w:rPr>
        <w:t xml:space="preserve"> </w:t>
      </w:r>
      <w:r>
        <w:rPr>
          <w:u w:val="none"/>
        </w:rPr>
        <w:t>sur la gouvernance de l’UNESCO</w:t>
      </w:r>
      <w:r w:rsidR="0082334A">
        <w:rPr>
          <w:u w:val="none"/>
        </w:rPr>
        <w:t>,</w:t>
      </w:r>
      <w:r>
        <w:rPr>
          <w:u w:val="none"/>
        </w:rPr>
        <w:t xml:space="preserve"> en particulier en ce qui concerne les principes directeurs et les responsabilités des représentants des groupes électoraux au sein des bureaux, tels qu’ils figurent à l’</w:t>
      </w:r>
      <w:r w:rsidR="00D50A1B">
        <w:rPr>
          <w:u w:val="none"/>
        </w:rPr>
        <w:t>a</w:t>
      </w:r>
      <w:r>
        <w:rPr>
          <w:u w:val="none"/>
        </w:rPr>
        <w:t>ppendice 2 du rapport du Groupe de travail</w:t>
      </w:r>
      <w:r w:rsidR="0082334A">
        <w:rPr>
          <w:u w:val="none"/>
        </w:rPr>
        <w:t> ;</w:t>
      </w:r>
    </w:p>
    <w:p w14:paraId="05359574" w14:textId="4FBB6B67" w:rsidR="00655685" w:rsidRPr="00345CB4" w:rsidRDefault="0082334A" w:rsidP="00AD241C">
      <w:pPr>
        <w:pStyle w:val="COMParaDecision"/>
        <w:numPr>
          <w:ilvl w:val="0"/>
          <w:numId w:val="3"/>
        </w:numPr>
        <w:ind w:left="567" w:hanging="567"/>
      </w:pPr>
      <w:r w:rsidRPr="0064516A">
        <w:t>Décide</w:t>
      </w:r>
      <w:r w:rsidRPr="00AF72CE">
        <w:rPr>
          <w:u w:val="none"/>
        </w:rPr>
        <w:t xml:space="preserve"> d’inscrire</w:t>
      </w:r>
      <w:r>
        <w:rPr>
          <w:u w:val="none"/>
        </w:rPr>
        <w:t xml:space="preserve"> ce point à l’ordre du jour de sa prochaine session en 2020 afin de faire le point à nouveau sur la mise en œuvre des recommandations pertinentes.</w:t>
      </w:r>
    </w:p>
    <w:p w14:paraId="254563FE" w14:textId="7BD498BF" w:rsidR="00655685" w:rsidRDefault="00655685" w:rsidP="003074FE">
      <w:pPr>
        <w:pStyle w:val="GATitleResolution"/>
        <w:ind w:left="567" w:hanging="567"/>
        <w:rPr>
          <w:lang w:val="en-GB"/>
        </w:rPr>
      </w:pPr>
      <w:r w:rsidRPr="00121150">
        <w:t>RÉSOLUTION 7.GA 13</w:t>
      </w:r>
    </w:p>
    <w:p w14:paraId="7D498CD1" w14:textId="77777777" w:rsidR="00655685" w:rsidRPr="00121150" w:rsidRDefault="00655685" w:rsidP="00655685">
      <w:pPr>
        <w:pStyle w:val="GAPreambulaResolution"/>
      </w:pPr>
      <w:r w:rsidRPr="00121150">
        <w:t>L</w:t>
      </w:r>
      <w:r>
        <w:t>’</w:t>
      </w:r>
      <w:r w:rsidRPr="00121150">
        <w:t>Assemblée générale,</w:t>
      </w:r>
    </w:p>
    <w:p w14:paraId="09AC3B78" w14:textId="59F632CF" w:rsidR="00655685" w:rsidRPr="00121150" w:rsidRDefault="00655685" w:rsidP="00655685">
      <w:pPr>
        <w:pStyle w:val="GAParaResolution"/>
        <w:numPr>
          <w:ilvl w:val="0"/>
          <w:numId w:val="61"/>
        </w:numPr>
        <w:ind w:left="567" w:hanging="567"/>
      </w:pPr>
      <w:r w:rsidRPr="00121150">
        <w:t>Ayant examiné</w:t>
      </w:r>
      <w:r w:rsidRPr="00655685">
        <w:rPr>
          <w:u w:val="none"/>
        </w:rPr>
        <w:t xml:space="preserve"> le document </w:t>
      </w:r>
      <w:hyperlink r:id="rId70" w:history="1">
        <w:r w:rsidRPr="00D53F4C">
          <w:rPr>
            <w:rStyle w:val="Hyperlink"/>
          </w:rPr>
          <w:t>ITH/18/7.GA/13</w:t>
        </w:r>
      </w:hyperlink>
      <w:r w:rsidRPr="00655685">
        <w:rPr>
          <w:u w:val="none"/>
        </w:rPr>
        <w:t xml:space="preserve"> et son annexe,</w:t>
      </w:r>
    </w:p>
    <w:p w14:paraId="2F7222B7" w14:textId="3D2E5B37" w:rsidR="00655685" w:rsidRPr="00121150" w:rsidRDefault="00655685" w:rsidP="00655685">
      <w:pPr>
        <w:pStyle w:val="GAParaResolution"/>
        <w:numPr>
          <w:ilvl w:val="0"/>
          <w:numId w:val="61"/>
        </w:numPr>
        <w:ind w:left="567" w:hanging="567"/>
      </w:pPr>
      <w:r w:rsidRPr="00121150">
        <w:t>Rappelant</w:t>
      </w:r>
      <w:r w:rsidRPr="00121150">
        <w:rPr>
          <w:u w:val="none"/>
        </w:rPr>
        <w:t xml:space="preserve"> la </w:t>
      </w:r>
      <w:r w:rsidR="0037656E">
        <w:rPr>
          <w:u w:val="none"/>
        </w:rPr>
        <w:t>r</w:t>
      </w:r>
      <w:r w:rsidRPr="00121150">
        <w:rPr>
          <w:u w:val="none"/>
        </w:rPr>
        <w:t>ésolution </w:t>
      </w:r>
      <w:hyperlink r:id="rId71" w:history="1">
        <w:r w:rsidRPr="00121150">
          <w:rPr>
            <w:rStyle w:val="Hyperlink"/>
          </w:rPr>
          <w:t>6.GA 11</w:t>
        </w:r>
      </w:hyperlink>
      <w:r w:rsidRPr="00121150">
        <w:rPr>
          <w:rStyle w:val="Hyperlink"/>
          <w:u w:val="none"/>
        </w:rPr>
        <w:t xml:space="preserve"> </w:t>
      </w:r>
      <w:r w:rsidRPr="003074FE">
        <w:rPr>
          <w:rStyle w:val="Hyperlink"/>
          <w:color w:val="auto"/>
          <w:u w:val="none"/>
        </w:rPr>
        <w:t xml:space="preserve">et </w:t>
      </w:r>
      <w:r w:rsidRPr="00121150">
        <w:rPr>
          <w:u w:val="none"/>
        </w:rPr>
        <w:t xml:space="preserve">la </w:t>
      </w:r>
      <w:r w:rsidR="0037656E">
        <w:rPr>
          <w:u w:val="none"/>
        </w:rPr>
        <w:t>d</w:t>
      </w:r>
      <w:r w:rsidRPr="00121150">
        <w:rPr>
          <w:u w:val="none"/>
        </w:rPr>
        <w:t>écision </w:t>
      </w:r>
      <w:hyperlink r:id="rId72" w:history="1">
        <w:r w:rsidRPr="00121150">
          <w:rPr>
            <w:rStyle w:val="Hyperlink"/>
          </w:rPr>
          <w:t>12.COM 13</w:t>
        </w:r>
      </w:hyperlink>
      <w:r w:rsidRPr="00121150">
        <w:rPr>
          <w:u w:val="none"/>
        </w:rPr>
        <w:t>,</w:t>
      </w:r>
    </w:p>
    <w:p w14:paraId="48AAA231" w14:textId="28BCE88D" w:rsidR="00655685" w:rsidRPr="00655685" w:rsidRDefault="00655685" w:rsidP="00655685">
      <w:pPr>
        <w:pStyle w:val="GAParaResolution"/>
        <w:numPr>
          <w:ilvl w:val="0"/>
          <w:numId w:val="61"/>
        </w:numPr>
        <w:ind w:left="567" w:hanging="567"/>
        <w:rPr>
          <w:u w:val="none"/>
        </w:rPr>
      </w:pPr>
      <w:r w:rsidRPr="00D50A1B">
        <w:lastRenderedPageBreak/>
        <w:t>Rappelant</w:t>
      </w:r>
      <w:r w:rsidRPr="003074FE">
        <w:t xml:space="preserve"> également</w:t>
      </w:r>
      <w:r w:rsidRPr="00655685">
        <w:rPr>
          <w:u w:val="none"/>
        </w:rPr>
        <w:t xml:space="preserve"> la </w:t>
      </w:r>
      <w:r w:rsidR="0037656E">
        <w:rPr>
          <w:u w:val="none"/>
        </w:rPr>
        <w:t>r</w:t>
      </w:r>
      <w:r w:rsidRPr="00655685">
        <w:rPr>
          <w:u w:val="none"/>
        </w:rPr>
        <w:t>ésolution </w:t>
      </w:r>
      <w:hyperlink r:id="rId73" w:history="1">
        <w:r w:rsidRPr="00D53F4C">
          <w:rPr>
            <w:rStyle w:val="Hyperlink"/>
          </w:rPr>
          <w:t>39 C/87</w:t>
        </w:r>
      </w:hyperlink>
      <w:r w:rsidRPr="00655685">
        <w:rPr>
          <w:u w:val="none"/>
        </w:rPr>
        <w:t>,</w:t>
      </w:r>
    </w:p>
    <w:p w14:paraId="551D183A" w14:textId="77777777" w:rsidR="00655685" w:rsidRPr="00121150" w:rsidRDefault="00655685" w:rsidP="00655685">
      <w:pPr>
        <w:pStyle w:val="GAParaResolution"/>
        <w:numPr>
          <w:ilvl w:val="0"/>
          <w:numId w:val="61"/>
        </w:numPr>
        <w:ind w:left="567" w:hanging="567"/>
      </w:pPr>
      <w:r w:rsidRPr="00121150">
        <w:t>Prend note</w:t>
      </w:r>
      <w:r w:rsidRPr="00655685">
        <w:rPr>
          <w:u w:val="none"/>
        </w:rPr>
        <w:t xml:space="preserve"> de la proposition soumise par les États parties ;</w:t>
      </w:r>
    </w:p>
    <w:p w14:paraId="58374E86" w14:textId="2EE5D3EC" w:rsidR="00655685" w:rsidRPr="00121150" w:rsidRDefault="00655685" w:rsidP="00655685">
      <w:pPr>
        <w:pStyle w:val="GAParaResolution"/>
        <w:numPr>
          <w:ilvl w:val="0"/>
          <w:numId w:val="61"/>
        </w:numPr>
        <w:ind w:left="567" w:hanging="567"/>
      </w:pPr>
      <w:r w:rsidRPr="00121150">
        <w:t>Prend également note</w:t>
      </w:r>
      <w:r w:rsidRPr="00655685">
        <w:rPr>
          <w:u w:val="none"/>
        </w:rPr>
        <w:t xml:space="preserve"> du document </w:t>
      </w:r>
      <w:hyperlink r:id="rId74" w:history="1">
        <w:r w:rsidRPr="00D53F4C">
          <w:rPr>
            <w:rStyle w:val="Hyperlink"/>
          </w:rPr>
          <w:t>ITH/18/7.GA/12</w:t>
        </w:r>
      </w:hyperlink>
      <w:r w:rsidRPr="00655685">
        <w:rPr>
          <w:u w:val="none"/>
        </w:rPr>
        <w:t> ;</w:t>
      </w:r>
    </w:p>
    <w:p w14:paraId="44C2EA89" w14:textId="3C82DE7D" w:rsidR="007517CB" w:rsidRPr="003074FE" w:rsidRDefault="00655685" w:rsidP="00655685">
      <w:pPr>
        <w:pStyle w:val="GAParaResolution"/>
        <w:numPr>
          <w:ilvl w:val="0"/>
          <w:numId w:val="61"/>
        </w:numPr>
        <w:ind w:left="567" w:hanging="567"/>
      </w:pPr>
      <w:r w:rsidRPr="005A6463">
        <w:t>Demande</w:t>
      </w:r>
      <w:r w:rsidRPr="005A6463">
        <w:rPr>
          <w:u w:val="none"/>
        </w:rPr>
        <w:t xml:space="preserve"> au Secrétariat </w:t>
      </w:r>
      <w:r w:rsidR="00D50A1B" w:rsidRPr="005A6463">
        <w:rPr>
          <w:u w:val="none"/>
        </w:rPr>
        <w:t>d’examiner</w:t>
      </w:r>
      <w:r w:rsidRPr="005A6463">
        <w:rPr>
          <w:u w:val="none"/>
        </w:rPr>
        <w:t xml:space="preserve"> les amendements </w:t>
      </w:r>
      <w:r w:rsidR="00D50A1B" w:rsidRPr="005A6463">
        <w:rPr>
          <w:u w:val="none"/>
        </w:rPr>
        <w:t xml:space="preserve">au </w:t>
      </w:r>
      <w:r w:rsidRPr="005A6463">
        <w:rPr>
          <w:u w:val="none"/>
        </w:rPr>
        <w:t xml:space="preserve">Règlement intérieur soumis par les États parties </w:t>
      </w:r>
      <w:r w:rsidR="005561D1" w:rsidRPr="005A6463">
        <w:rPr>
          <w:u w:val="none"/>
        </w:rPr>
        <w:t>à la lumière</w:t>
      </w:r>
      <w:r w:rsidR="005561D1" w:rsidRPr="003074FE">
        <w:rPr>
          <w:u w:val="none"/>
        </w:rPr>
        <w:t xml:space="preserve"> des</w:t>
      </w:r>
      <w:r w:rsidR="007517CB" w:rsidRPr="005A6463">
        <w:rPr>
          <w:u w:val="none"/>
        </w:rPr>
        <w:t xml:space="preserve"> </w:t>
      </w:r>
      <w:r w:rsidRPr="005A6463">
        <w:rPr>
          <w:u w:val="none"/>
        </w:rPr>
        <w:t xml:space="preserve">recommandations pertinentes </w:t>
      </w:r>
      <w:r w:rsidR="007517CB" w:rsidRPr="005A6463">
        <w:rPr>
          <w:u w:val="none"/>
        </w:rPr>
        <w:t>de la Conférence générale</w:t>
      </w:r>
      <w:r w:rsidR="00524717" w:rsidRPr="005A6463">
        <w:rPr>
          <w:u w:val="none"/>
        </w:rPr>
        <w:t xml:space="preserve"> à sa 39</w:t>
      </w:r>
      <w:r w:rsidR="00524717" w:rsidRPr="003074FE">
        <w:rPr>
          <w:u w:val="none"/>
          <w:vertAlign w:val="superscript"/>
        </w:rPr>
        <w:t>ème</w:t>
      </w:r>
      <w:r w:rsidR="00524717" w:rsidRPr="005A6463">
        <w:rPr>
          <w:u w:val="none"/>
        </w:rPr>
        <w:t xml:space="preserve"> session</w:t>
      </w:r>
      <w:r w:rsidR="007517CB" w:rsidRPr="005A6463">
        <w:rPr>
          <w:u w:val="none"/>
        </w:rPr>
        <w:t xml:space="preserve"> </w:t>
      </w:r>
      <w:r w:rsidRPr="005A6463">
        <w:rPr>
          <w:u w:val="none"/>
        </w:rPr>
        <w:t>sur la gouvernance, les procédures et les méthodes de travail des organes directeurs de l’UNESCO</w:t>
      </w:r>
      <w:r w:rsidR="007517CB" w:rsidRPr="005A6463">
        <w:rPr>
          <w:u w:val="none"/>
        </w:rPr>
        <w:t>, en particulier</w:t>
      </w:r>
      <w:r w:rsidR="007517CB">
        <w:rPr>
          <w:u w:val="none"/>
        </w:rPr>
        <w:t xml:space="preserve"> celles concernant l’harmonisation des règlements intérieurs des six conventions culturelles, le cas échéant,</w:t>
      </w:r>
      <w:r w:rsidR="007517CB" w:rsidRPr="003501CD">
        <w:rPr>
          <w:u w:val="none"/>
        </w:rPr>
        <w:t xml:space="preserve"> </w:t>
      </w:r>
      <w:r w:rsidRPr="00655685">
        <w:rPr>
          <w:u w:val="none"/>
        </w:rPr>
        <w:t xml:space="preserve">et, en consultation avec les États parties, de soumettre un ensemble de projets d’amendements </w:t>
      </w:r>
      <w:r w:rsidR="007517CB">
        <w:rPr>
          <w:u w:val="none"/>
        </w:rPr>
        <w:t>consolidé</w:t>
      </w:r>
      <w:r w:rsidR="007517CB" w:rsidRPr="00655685" w:rsidDel="007517CB">
        <w:rPr>
          <w:u w:val="none"/>
        </w:rPr>
        <w:t xml:space="preserve"> </w:t>
      </w:r>
      <w:r w:rsidRPr="00655685">
        <w:rPr>
          <w:u w:val="none"/>
        </w:rPr>
        <w:t>qui sera examiné lors de la huitième session de l’Assemblée générale</w:t>
      </w:r>
      <w:r w:rsidR="007517CB">
        <w:rPr>
          <w:u w:val="none"/>
        </w:rPr>
        <w:t> ;</w:t>
      </w:r>
    </w:p>
    <w:p w14:paraId="5CCC4245" w14:textId="21208433" w:rsidR="00655685" w:rsidRPr="00121150" w:rsidRDefault="007517CB" w:rsidP="00655685">
      <w:pPr>
        <w:pStyle w:val="GAParaResolution"/>
        <w:numPr>
          <w:ilvl w:val="0"/>
          <w:numId w:val="61"/>
        </w:numPr>
        <w:ind w:left="567" w:hanging="567"/>
      </w:pPr>
      <w:r w:rsidRPr="00AF72CE">
        <w:t>Reconna</w:t>
      </w:r>
      <w:r w:rsidR="00500445">
        <w:t>î</w:t>
      </w:r>
      <w:r w:rsidRPr="00AF72CE">
        <w:t>t</w:t>
      </w:r>
      <w:r>
        <w:rPr>
          <w:u w:val="none"/>
        </w:rPr>
        <w:t xml:space="preserve"> la nécessité d’harmoniser, le cas échéant, les règlements intérieurs des organes directeurs des six conventions culturelles et </w:t>
      </w:r>
      <w:r w:rsidRPr="00AF72CE">
        <w:t>souligne</w:t>
      </w:r>
      <w:r w:rsidRPr="003074FE">
        <w:rPr>
          <w:u w:val="none"/>
        </w:rPr>
        <w:t xml:space="preserve"> le rôle crucial du Secteur de la culture </w:t>
      </w:r>
      <w:r w:rsidR="00524717">
        <w:rPr>
          <w:u w:val="none"/>
        </w:rPr>
        <w:t>qui pourrait aider</w:t>
      </w:r>
      <w:r w:rsidRPr="003074FE">
        <w:rPr>
          <w:u w:val="none"/>
        </w:rPr>
        <w:t xml:space="preserve"> et faciliter ce processus en </w:t>
      </w:r>
      <w:r w:rsidR="00524717">
        <w:rPr>
          <w:u w:val="none"/>
        </w:rPr>
        <w:t>mettant à disposition</w:t>
      </w:r>
      <w:r w:rsidRPr="003074FE">
        <w:rPr>
          <w:u w:val="none"/>
        </w:rPr>
        <w:t xml:space="preserve"> une matrice contenant les amendements </w:t>
      </w:r>
      <w:r w:rsidR="0037656E">
        <w:rPr>
          <w:u w:val="none"/>
        </w:rPr>
        <w:t>consolidés</w:t>
      </w:r>
      <w:r w:rsidRPr="003074FE">
        <w:rPr>
          <w:u w:val="none"/>
        </w:rPr>
        <w:t xml:space="preserve"> aux règlements intérieurs des organes susmentionnés.</w:t>
      </w:r>
    </w:p>
    <w:p w14:paraId="7341CE90" w14:textId="619EBCB4" w:rsidR="005A6287" w:rsidRDefault="005A6287" w:rsidP="003074FE">
      <w:pPr>
        <w:pStyle w:val="GATitleResolution"/>
        <w:ind w:left="567" w:hanging="567"/>
      </w:pPr>
      <w:r>
        <w:t>RÉSOLUTION 7.GA 14</w:t>
      </w:r>
    </w:p>
    <w:p w14:paraId="2F475009" w14:textId="4854AB70" w:rsidR="005A6287" w:rsidRPr="00C909F2" w:rsidRDefault="005A6287" w:rsidP="00C66FA0">
      <w:pPr>
        <w:pStyle w:val="GAPreambulaResolution"/>
      </w:pPr>
      <w:r>
        <w:t>L’Assemblée générale,</w:t>
      </w:r>
    </w:p>
    <w:p w14:paraId="5DD62EBA" w14:textId="5067A56D" w:rsidR="005A6287" w:rsidRPr="00C909F2" w:rsidRDefault="005A6287" w:rsidP="00C66FA0">
      <w:pPr>
        <w:pStyle w:val="b"/>
        <w:tabs>
          <w:tab w:val="clear" w:pos="1134"/>
          <w:tab w:val="left" w:pos="567"/>
        </w:tabs>
        <w:spacing w:after="120"/>
        <w:ind w:left="567"/>
        <w:rPr>
          <w:szCs w:val="22"/>
        </w:rPr>
      </w:pPr>
      <w:r>
        <w:t>1.</w:t>
      </w:r>
      <w:r>
        <w:tab/>
      </w:r>
      <w:r>
        <w:rPr>
          <w:szCs w:val="22"/>
          <w:u w:val="single"/>
        </w:rPr>
        <w:t>Ayant examiné</w:t>
      </w:r>
      <w:r>
        <w:t xml:space="preserve"> le document </w:t>
      </w:r>
      <w:hyperlink r:id="rId75" w:history="1">
        <w:r w:rsidRPr="00D53F4C">
          <w:rPr>
            <w:rStyle w:val="Hyperlink"/>
            <w:lang w:eastAsia="en-US"/>
          </w:rPr>
          <w:t>ITH/18/7.GA/14</w:t>
        </w:r>
      </w:hyperlink>
      <w:r>
        <w:t>,</w:t>
      </w:r>
    </w:p>
    <w:p w14:paraId="7CCB7E04" w14:textId="77777777" w:rsidR="005A6287" w:rsidRPr="00C909F2" w:rsidRDefault="005A6287" w:rsidP="00C66FA0">
      <w:pPr>
        <w:pStyle w:val="b"/>
        <w:tabs>
          <w:tab w:val="clear" w:pos="1134"/>
          <w:tab w:val="left" w:pos="567"/>
        </w:tabs>
        <w:spacing w:after="120"/>
        <w:ind w:left="567"/>
        <w:rPr>
          <w:szCs w:val="22"/>
        </w:rPr>
      </w:pPr>
      <w:r>
        <w:t>2.</w:t>
      </w:r>
      <w:r>
        <w:tab/>
      </w:r>
      <w:r>
        <w:rPr>
          <w:szCs w:val="22"/>
          <w:u w:val="single"/>
        </w:rPr>
        <w:t>Rappelant</w:t>
      </w:r>
      <w:r>
        <w:t xml:space="preserve"> les articles 5, 6 et 26.5 de la Convention et les articles 13, 14 et 15 de son Règlement intérieur,</w:t>
      </w:r>
    </w:p>
    <w:p w14:paraId="25AE679A" w14:textId="4368A4C3" w:rsidR="005A6287" w:rsidRPr="00C909F2" w:rsidRDefault="005A6287" w:rsidP="00C66FA0">
      <w:pPr>
        <w:pStyle w:val="b"/>
        <w:tabs>
          <w:tab w:val="clear" w:pos="1134"/>
          <w:tab w:val="left" w:pos="567"/>
        </w:tabs>
        <w:spacing w:after="120"/>
        <w:ind w:left="567"/>
        <w:rPr>
          <w:szCs w:val="22"/>
        </w:rPr>
      </w:pPr>
      <w:r>
        <w:t>3.</w:t>
      </w:r>
      <w:r>
        <w:tab/>
      </w:r>
      <w:r>
        <w:rPr>
          <w:szCs w:val="22"/>
          <w:u w:val="single"/>
        </w:rPr>
        <w:t>Rappelant en outre</w:t>
      </w:r>
      <w:r>
        <w:t xml:space="preserve"> la résolution </w:t>
      </w:r>
      <w:r w:rsidRPr="00FA6B4B">
        <w:t>7.GA</w:t>
      </w:r>
      <w:r w:rsidR="00FA6B4B">
        <w:t> </w:t>
      </w:r>
      <w:r w:rsidRPr="00FA6B4B">
        <w:t>4</w:t>
      </w:r>
      <w:r>
        <w:t>,</w:t>
      </w:r>
    </w:p>
    <w:p w14:paraId="2EC93412" w14:textId="77777777" w:rsidR="005A6287" w:rsidRPr="00C909F2" w:rsidRDefault="005A6287" w:rsidP="00C66FA0">
      <w:pPr>
        <w:pStyle w:val="b"/>
        <w:tabs>
          <w:tab w:val="clear" w:pos="1134"/>
          <w:tab w:val="left" w:pos="567"/>
        </w:tabs>
        <w:spacing w:after="120"/>
        <w:ind w:left="567"/>
        <w:rPr>
          <w:szCs w:val="22"/>
        </w:rPr>
      </w:pPr>
      <w:r>
        <w:t>4.</w:t>
      </w:r>
      <w:r>
        <w:tab/>
      </w:r>
      <w:r>
        <w:rPr>
          <w:szCs w:val="22"/>
          <w:u w:val="single"/>
        </w:rPr>
        <w:t>Élit</w:t>
      </w:r>
      <w:r>
        <w:t xml:space="preserve"> les 12 États parties ci-après membres du Comité intergouvernemental de sauvegarde du patrimoine culturel immatériel pour un mandat de quatre ans à compter de la date de leur élection :</w:t>
      </w:r>
    </w:p>
    <w:p w14:paraId="77DF680F" w14:textId="4A63246A" w:rsidR="005A6287" w:rsidRPr="00C909F2" w:rsidRDefault="005A6287" w:rsidP="00C66FA0">
      <w:pPr>
        <w:pStyle w:val="c"/>
        <w:tabs>
          <w:tab w:val="left" w:pos="567"/>
        </w:tabs>
        <w:spacing w:after="120"/>
        <w:ind w:left="567" w:firstLine="0"/>
        <w:rPr>
          <w:sz w:val="22"/>
          <w:szCs w:val="22"/>
        </w:rPr>
      </w:pPr>
      <w:r>
        <w:rPr>
          <w:sz w:val="22"/>
          <w:szCs w:val="22"/>
        </w:rPr>
        <w:t>Groupe I :</w:t>
      </w:r>
      <w:r w:rsidR="00C462F9">
        <w:rPr>
          <w:sz w:val="22"/>
          <w:szCs w:val="22"/>
        </w:rPr>
        <w:t xml:space="preserve"> </w:t>
      </w:r>
      <w:r w:rsidR="001363F8">
        <w:rPr>
          <w:sz w:val="22"/>
          <w:szCs w:val="22"/>
        </w:rPr>
        <w:t>Pays-Bas</w:t>
      </w:r>
    </w:p>
    <w:p w14:paraId="50A7F944" w14:textId="3FEE3E2F" w:rsidR="005A6287" w:rsidRPr="00C909F2" w:rsidRDefault="005A6287" w:rsidP="00C66FA0">
      <w:pPr>
        <w:pStyle w:val="c"/>
        <w:tabs>
          <w:tab w:val="left" w:pos="567"/>
        </w:tabs>
        <w:spacing w:after="120"/>
        <w:ind w:left="567" w:firstLine="0"/>
        <w:rPr>
          <w:sz w:val="22"/>
          <w:szCs w:val="22"/>
        </w:rPr>
      </w:pPr>
      <w:r>
        <w:rPr>
          <w:sz w:val="22"/>
          <w:szCs w:val="22"/>
        </w:rPr>
        <w:t>Groupe II :</w:t>
      </w:r>
      <w:r w:rsidR="00907100">
        <w:rPr>
          <w:sz w:val="22"/>
          <w:szCs w:val="22"/>
        </w:rPr>
        <w:t xml:space="preserve"> Azerbaïdjan et Pologne</w:t>
      </w:r>
    </w:p>
    <w:p w14:paraId="57127C3F" w14:textId="64C2B06E" w:rsidR="005A6287" w:rsidRPr="00C909F2" w:rsidRDefault="005A6287" w:rsidP="00C66FA0">
      <w:pPr>
        <w:pStyle w:val="c"/>
        <w:tabs>
          <w:tab w:val="left" w:pos="567"/>
        </w:tabs>
        <w:spacing w:after="120"/>
        <w:ind w:left="567" w:firstLine="0"/>
        <w:rPr>
          <w:sz w:val="22"/>
          <w:szCs w:val="22"/>
        </w:rPr>
      </w:pPr>
      <w:r>
        <w:rPr>
          <w:sz w:val="22"/>
          <w:szCs w:val="22"/>
        </w:rPr>
        <w:t>Groupe III :</w:t>
      </w:r>
      <w:r w:rsidR="001363F8">
        <w:rPr>
          <w:sz w:val="22"/>
          <w:szCs w:val="22"/>
        </w:rPr>
        <w:t xml:space="preserve"> Jamaïque</w:t>
      </w:r>
    </w:p>
    <w:p w14:paraId="7B354EDB" w14:textId="2B7CD7A6" w:rsidR="005A6287" w:rsidRPr="00C909F2" w:rsidRDefault="005A6287" w:rsidP="00C66FA0">
      <w:pPr>
        <w:pStyle w:val="c"/>
        <w:tabs>
          <w:tab w:val="left" w:pos="567"/>
        </w:tabs>
        <w:spacing w:after="120"/>
        <w:ind w:left="567" w:firstLine="0"/>
        <w:rPr>
          <w:sz w:val="22"/>
          <w:szCs w:val="22"/>
        </w:rPr>
      </w:pPr>
      <w:r>
        <w:rPr>
          <w:sz w:val="22"/>
          <w:szCs w:val="22"/>
        </w:rPr>
        <w:t>Groupe IV :</w:t>
      </w:r>
      <w:r w:rsidR="00907100">
        <w:rPr>
          <w:sz w:val="22"/>
          <w:szCs w:val="22"/>
        </w:rPr>
        <w:t xml:space="preserve"> Chine, Japon, Kazakhstan et Sri Lanka</w:t>
      </w:r>
    </w:p>
    <w:p w14:paraId="471F1CD2" w14:textId="230BE5FB" w:rsidR="005A6287" w:rsidRPr="00C909F2" w:rsidRDefault="005A6287" w:rsidP="00C66FA0">
      <w:pPr>
        <w:pStyle w:val="c"/>
        <w:tabs>
          <w:tab w:val="left" w:pos="567"/>
        </w:tabs>
        <w:spacing w:after="120"/>
        <w:ind w:left="567" w:firstLine="0"/>
        <w:rPr>
          <w:sz w:val="22"/>
          <w:szCs w:val="22"/>
        </w:rPr>
      </w:pPr>
      <w:r>
        <w:rPr>
          <w:sz w:val="22"/>
          <w:szCs w:val="22"/>
        </w:rPr>
        <w:t>Groupe V(a) :</w:t>
      </w:r>
      <w:r w:rsidR="001363F8">
        <w:rPr>
          <w:sz w:val="22"/>
          <w:szCs w:val="22"/>
        </w:rPr>
        <w:t xml:space="preserve"> Cameroun, Djibouti et Togo</w:t>
      </w:r>
    </w:p>
    <w:p w14:paraId="0FA18879" w14:textId="777C560A" w:rsidR="005A6287" w:rsidRDefault="005A6287" w:rsidP="00C66FA0">
      <w:pPr>
        <w:pStyle w:val="c"/>
        <w:tabs>
          <w:tab w:val="left" w:pos="567"/>
        </w:tabs>
        <w:spacing w:after="120"/>
        <w:ind w:left="567" w:firstLine="0"/>
      </w:pPr>
      <w:r>
        <w:rPr>
          <w:sz w:val="22"/>
          <w:szCs w:val="22"/>
        </w:rPr>
        <w:t>Groupe V(b) :</w:t>
      </w:r>
      <w:r w:rsidR="00907100">
        <w:rPr>
          <w:sz w:val="22"/>
          <w:szCs w:val="22"/>
        </w:rPr>
        <w:t xml:space="preserve"> Koweït</w:t>
      </w:r>
    </w:p>
    <w:sectPr w:rsidR="005A6287" w:rsidSect="00D24360">
      <w:headerReference w:type="even" r:id="rId76"/>
      <w:headerReference w:type="default" r:id="rId77"/>
      <w:headerReference w:type="first" r:id="rId78"/>
      <w:pgSz w:w="11906" w:h="16838" w:code="9"/>
      <w:pgMar w:top="1134" w:right="1134" w:bottom="1418"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33FC" w14:textId="77777777" w:rsidR="00D70BE7" w:rsidRDefault="00D70BE7" w:rsidP="00655736">
      <w:r>
        <w:separator/>
      </w:r>
    </w:p>
    <w:p w14:paraId="5ADE097C" w14:textId="77777777" w:rsidR="00D70BE7" w:rsidRDefault="00D70BE7"/>
    <w:p w14:paraId="131ECA11" w14:textId="77777777" w:rsidR="00D70BE7" w:rsidRDefault="00D70BE7" w:rsidP="002E58D4"/>
    <w:p w14:paraId="1F3AB6DC" w14:textId="77777777" w:rsidR="00D70BE7" w:rsidRDefault="00D70BE7" w:rsidP="002E58D4"/>
    <w:p w14:paraId="2A85D0BE" w14:textId="77777777" w:rsidR="00D70BE7" w:rsidRDefault="00D70BE7" w:rsidP="002E58D4"/>
  </w:endnote>
  <w:endnote w:type="continuationSeparator" w:id="0">
    <w:p w14:paraId="769E853E" w14:textId="77777777" w:rsidR="00D70BE7" w:rsidRDefault="00D70BE7" w:rsidP="00655736">
      <w:r>
        <w:continuationSeparator/>
      </w:r>
    </w:p>
    <w:p w14:paraId="3A6A8E77" w14:textId="77777777" w:rsidR="00D70BE7" w:rsidRDefault="00D70BE7"/>
    <w:p w14:paraId="24E83749" w14:textId="77777777" w:rsidR="00D70BE7" w:rsidRDefault="00D70BE7" w:rsidP="002E58D4"/>
    <w:p w14:paraId="7B9DAD01" w14:textId="77777777" w:rsidR="00D70BE7" w:rsidRDefault="00D70BE7" w:rsidP="002E58D4"/>
    <w:p w14:paraId="6B02F61F" w14:textId="77777777" w:rsidR="00D70BE7" w:rsidRDefault="00D70BE7"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FBCC" w14:textId="4208D88F" w:rsidR="00D70BE7" w:rsidRDefault="00D70BE7" w:rsidP="00814017">
      <w:r>
        <w:separator/>
      </w:r>
    </w:p>
  </w:footnote>
  <w:footnote w:type="continuationSeparator" w:id="0">
    <w:p w14:paraId="4BFDCE6E" w14:textId="77777777" w:rsidR="00D70BE7" w:rsidRDefault="00D70BE7" w:rsidP="00655736">
      <w:r>
        <w:continuationSeparator/>
      </w:r>
    </w:p>
    <w:p w14:paraId="62E5213C" w14:textId="77777777" w:rsidR="00D70BE7" w:rsidRDefault="00D70BE7"/>
    <w:p w14:paraId="0B38DB62" w14:textId="77777777" w:rsidR="00D70BE7" w:rsidRDefault="00D70BE7" w:rsidP="002E58D4"/>
    <w:p w14:paraId="1F44F740" w14:textId="77777777" w:rsidR="00D70BE7" w:rsidRDefault="00D70BE7" w:rsidP="002E58D4"/>
    <w:p w14:paraId="33CE1204" w14:textId="77777777" w:rsidR="00D70BE7" w:rsidRDefault="00D70BE7" w:rsidP="002E58D4"/>
  </w:footnote>
  <w:footnote w:id="1">
    <w:p w14:paraId="6D86EE93" w14:textId="77777777" w:rsidR="00D70BE7" w:rsidRPr="00BF3230" w:rsidRDefault="00D70BE7" w:rsidP="00633880">
      <w:pPr>
        <w:pStyle w:val="FootnoteText"/>
        <w:ind w:left="567" w:hanging="567"/>
        <w:jc w:val="both"/>
        <w:rPr>
          <w:rFonts w:ascii="Arial" w:hAnsi="Arial" w:cs="Arial"/>
          <w:sz w:val="18"/>
          <w:szCs w:val="18"/>
        </w:rPr>
      </w:pPr>
      <w:r>
        <w:rPr>
          <w:rFonts w:ascii="Arial" w:hAnsi="Arial" w:cs="Arial"/>
          <w:sz w:val="18"/>
          <w:szCs w:val="18"/>
        </w:rPr>
        <w:footnoteRef/>
      </w:r>
      <w:r>
        <w:rPr>
          <w:rFonts w:ascii="Arial" w:hAnsi="Arial"/>
          <w:sz w:val="18"/>
          <w:szCs w:val="18"/>
        </w:rPr>
        <w:t>.</w:t>
      </w:r>
      <w:r>
        <w:rPr>
          <w:rFonts w:ascii="Arial" w:hAnsi="Arial"/>
          <w:sz w:val="18"/>
          <w:szCs w:val="18"/>
        </w:rPr>
        <w:tab/>
        <w:t>Les pourcentages sont appliqués au solde du Fonds au 31 décembre 2017. Ce solde n’inclut pas le Fonds de réserve (1 million de dollars des États-Unis).</w:t>
      </w:r>
    </w:p>
  </w:footnote>
  <w:footnote w:id="2">
    <w:p w14:paraId="2F016D27" w14:textId="77777777" w:rsidR="00D70BE7" w:rsidRPr="00745A44" w:rsidRDefault="00D70BE7" w:rsidP="00F21C0B">
      <w:pPr>
        <w:pStyle w:val="FootnoteText"/>
        <w:spacing w:before="60" w:after="60"/>
        <w:ind w:left="567" w:hanging="567"/>
        <w:jc w:val="both"/>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w:t>
      </w:r>
      <w:r>
        <w:rPr>
          <w:rFonts w:ascii="Arial" w:hAnsi="Arial"/>
          <w:sz w:val="18"/>
          <w:szCs w:val="18"/>
        </w:rPr>
        <w:t>’</w:t>
      </w:r>
      <w:r w:rsidRPr="00745A44">
        <w:rPr>
          <w:rFonts w:ascii="Arial" w:hAnsi="Arial"/>
          <w:sz w:val="18"/>
          <w:szCs w:val="18"/>
        </w:rPr>
        <w:t>objet de suivi et de rapport seulement au niveau mondial.</w:t>
      </w:r>
    </w:p>
  </w:footnote>
  <w:footnote w:id="3">
    <w:p w14:paraId="64C532E1" w14:textId="77777777" w:rsidR="00D70BE7" w:rsidRPr="00745A44" w:rsidRDefault="00D70BE7" w:rsidP="00F21C0B">
      <w:pPr>
        <w:pStyle w:val="FootnoteText"/>
        <w:spacing w:before="60" w:after="60"/>
        <w:ind w:left="567" w:hanging="567"/>
        <w:jc w:val="both"/>
        <w:rPr>
          <w:rFonts w:ascii="Arial" w:hAnsi="Arial" w:cs="Arial"/>
          <w:sz w:val="18"/>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w:t>
      </w:r>
      <w:r>
        <w:rPr>
          <w:rFonts w:ascii="Arial" w:hAnsi="Arial"/>
          <w:sz w:val="18"/>
          <w:szCs w:val="18"/>
        </w:rPr>
        <w:t>’</w:t>
      </w:r>
      <w:r w:rsidRPr="00745A44">
        <w:rPr>
          <w:rFonts w:ascii="Arial" w:hAnsi="Arial"/>
          <w:sz w:val="18"/>
          <w:szCs w:val="18"/>
        </w:rPr>
        <w:t>objet de suivi et de rapport seulement au niveau mondial.</w:t>
      </w:r>
    </w:p>
  </w:footnote>
  <w:footnote w:id="4">
    <w:p w14:paraId="6909BAA6" w14:textId="77777777" w:rsidR="00D70BE7" w:rsidRPr="00745A44" w:rsidRDefault="00D70BE7" w:rsidP="00F21C0B">
      <w:pPr>
        <w:pStyle w:val="FootnoteText"/>
        <w:spacing w:before="60" w:after="60"/>
        <w:ind w:left="567" w:hanging="567"/>
        <w:jc w:val="both"/>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L</w:t>
      </w:r>
      <w:r>
        <w:rPr>
          <w:rFonts w:ascii="Arial" w:hAnsi="Arial"/>
          <w:sz w:val="18"/>
          <w:szCs w:val="18"/>
        </w:rPr>
        <w:t>’</w:t>
      </w:r>
      <w:r w:rsidRPr="00745A44">
        <w:rPr>
          <w:rFonts w:ascii="Arial" w:hAnsi="Arial"/>
          <w:sz w:val="18"/>
          <w:szCs w:val="18"/>
        </w:rPr>
        <w:t>expression « inscrit ou non » doit s</w:t>
      </w:r>
      <w:r>
        <w:rPr>
          <w:rFonts w:ascii="Arial" w:hAnsi="Arial"/>
          <w:sz w:val="18"/>
          <w:szCs w:val="18"/>
        </w:rPr>
        <w:t>’</w:t>
      </w:r>
      <w:r w:rsidRPr="00745A44">
        <w:rPr>
          <w:rFonts w:ascii="Arial" w:hAnsi="Arial"/>
          <w:sz w:val="18"/>
          <w:szCs w:val="18"/>
        </w:rPr>
        <w:t>entendre comme « inscrit sur la Liste du patrimoine culturel immatériel nécessitant une sauvegarde urgente ou la Liste représentative du patrimoine culturel immatériel de l</w:t>
      </w:r>
      <w:r>
        <w:rPr>
          <w:rFonts w:ascii="Arial" w:hAnsi="Arial"/>
          <w:sz w:val="18"/>
          <w:szCs w:val="18"/>
        </w:rPr>
        <w:t>’</w:t>
      </w:r>
      <w:r w:rsidRPr="00745A44">
        <w:rPr>
          <w:rFonts w:ascii="Arial" w:hAnsi="Arial"/>
          <w:sz w:val="18"/>
          <w:szCs w:val="18"/>
        </w:rPr>
        <w:t>humanité ».</w:t>
      </w:r>
    </w:p>
  </w:footnote>
  <w:footnote w:id="5">
    <w:p w14:paraId="354A616D" w14:textId="77777777" w:rsidR="00D70BE7" w:rsidRPr="00745A44" w:rsidRDefault="00D70BE7" w:rsidP="00F21C0B">
      <w:pPr>
        <w:pStyle w:val="FootnoteText"/>
        <w:spacing w:before="60" w:after="60"/>
        <w:ind w:left="567" w:hanging="567"/>
        <w:jc w:val="both"/>
        <w:rPr>
          <w:sz w:val="18"/>
        </w:rPr>
      </w:pPr>
      <w:r w:rsidRPr="003074FE">
        <w:rPr>
          <w:rStyle w:val="FootnoteReference"/>
          <w:rFonts w:ascii="Arial" w:hAnsi="Arial" w:cs="Arial"/>
          <w:sz w:val="18"/>
          <w:vertAlign w:val="baseline"/>
        </w:rPr>
        <w:footnoteRef/>
      </w:r>
      <w:r w:rsidRPr="003074FE">
        <w:rPr>
          <w:rFonts w:ascii="Arial" w:hAnsi="Arial" w:cs="Arial"/>
          <w:sz w:val="18"/>
        </w:rPr>
        <w:t>.</w:t>
      </w:r>
      <w:r w:rsidRPr="003074FE">
        <w:rPr>
          <w:rFonts w:ascii="Arial" w:hAnsi="Arial" w:cs="Arial"/>
          <w:sz w:val="18"/>
        </w:rPr>
        <w:tab/>
      </w:r>
      <w:r w:rsidRPr="00D50A1B">
        <w:rPr>
          <w:rFonts w:ascii="Arial" w:hAnsi="Arial" w:cs="Arial"/>
          <w:sz w:val="18"/>
          <w:szCs w:val="18"/>
        </w:rPr>
        <w:t>Les termes et expressions « inclusif », « de manière inclusive » ou « sur une base inclusive » doivent être compris comme « intégrant tous les secteurs et couches de la</w:t>
      </w:r>
      <w:r w:rsidRPr="00745A44">
        <w:rPr>
          <w:rFonts w:ascii="Arial" w:hAnsi="Arial"/>
          <w:sz w:val="18"/>
          <w:szCs w:val="18"/>
        </w:rPr>
        <w:t xml:space="preserve"> société, ainsi que les peuples autochtones, les migrants, les immigrants et les réfugiés, les personnes de différents âges et sexes, les personnes handicapées et les membres des groupes vulnérables » (cf. Directives opérationnelles 174 et 194). Une fois ces actions et effets présentés, les États parties seront encouragés à fournir des données ventilées ou à expliquer comment cette intégration est assurée.</w:t>
      </w:r>
    </w:p>
  </w:footnote>
  <w:footnote w:id="6">
    <w:p w14:paraId="01885464" w14:textId="77777777" w:rsidR="00D70BE7" w:rsidRPr="00745A44" w:rsidRDefault="00D70BE7" w:rsidP="00F21C0B">
      <w:pPr>
        <w:pStyle w:val="FootnoteText"/>
        <w:spacing w:before="60" w:after="60"/>
        <w:ind w:left="567" w:hanging="567"/>
        <w:jc w:val="both"/>
        <w:rPr>
          <w:sz w:val="18"/>
          <w:szCs w:val="18"/>
        </w:rPr>
      </w:pPr>
      <w:r w:rsidRPr="00745A44">
        <w:rPr>
          <w:rFonts w:ascii="Arial" w:hAnsi="Arial"/>
          <w:sz w:val="18"/>
          <w:szCs w:val="18"/>
        </w:rPr>
        <w:footnoteRef/>
      </w:r>
      <w:r w:rsidRPr="00745A44">
        <w:rPr>
          <w:rFonts w:ascii="Arial" w:hAnsi="Arial"/>
          <w:sz w:val="18"/>
          <w:szCs w:val="18"/>
        </w:rPr>
        <w:t>.</w:t>
      </w:r>
      <w:r w:rsidRPr="00745A44">
        <w:rPr>
          <w:rFonts w:ascii="Arial" w:hAnsi="Arial"/>
          <w:sz w:val="18"/>
          <w:szCs w:val="18"/>
        </w:rPr>
        <w:tab/>
        <w:t>Bien que la Convention utilise systématiquement le libellé « les communautés, les groupes et les individus », plusieurs facteurs d</w:t>
      </w:r>
      <w:r>
        <w:rPr>
          <w:rFonts w:ascii="Arial" w:hAnsi="Arial"/>
          <w:sz w:val="18"/>
          <w:szCs w:val="18"/>
        </w:rPr>
        <w:t>’</w:t>
      </w:r>
      <w:r w:rsidRPr="00745A44">
        <w:rPr>
          <w:rFonts w:ascii="Arial" w:hAnsi="Arial"/>
          <w:sz w:val="18"/>
          <w:szCs w:val="18"/>
        </w:rPr>
        <w:t>appréciation, tout comme plusieurs Directives opérationnelles, choisissent de se référer à « praticiens et détenteurs » pour mieux identifier certains de leurs membres qui jouent un rôle spécifique en ce qui concerne leur patrimoine culturel immatériel.</w:t>
      </w:r>
    </w:p>
  </w:footnote>
  <w:footnote w:id="7">
    <w:p w14:paraId="661A1FDF" w14:textId="77777777" w:rsidR="00D70BE7" w:rsidRPr="00745A44" w:rsidRDefault="00D70BE7" w:rsidP="00A82031">
      <w:pPr>
        <w:pStyle w:val="FootnoteText"/>
        <w:spacing w:before="60" w:after="60"/>
        <w:ind w:left="509" w:hangingChars="283" w:hanging="509"/>
        <w:jc w:val="both"/>
        <w:rPr>
          <w:rFonts w:ascii="Arial" w:hAnsi="Arial" w:cs="Arial"/>
          <w:sz w:val="16"/>
          <w:szCs w:val="18"/>
        </w:rPr>
      </w:pPr>
      <w:r w:rsidRPr="00745A44">
        <w:rPr>
          <w:rFonts w:ascii="Arial" w:hAnsi="Arial" w:cs="Arial"/>
          <w:sz w:val="18"/>
          <w:szCs w:val="18"/>
        </w:rPr>
        <w:footnoteRef/>
      </w:r>
      <w:r w:rsidRPr="00745A44">
        <w:rPr>
          <w:rFonts w:ascii="Arial" w:hAnsi="Arial" w:cs="Arial"/>
          <w:sz w:val="18"/>
          <w:szCs w:val="18"/>
        </w:rPr>
        <w:t>.</w:t>
      </w:r>
      <w:r w:rsidRPr="00745A44">
        <w:rPr>
          <w:rFonts w:ascii="Arial" w:hAnsi="Arial" w:cs="Arial"/>
          <w:sz w:val="18"/>
          <w:szCs w:val="18"/>
        </w:rPr>
        <w:tab/>
        <w:t>Conformément au chapitre VI des Directives opérationnelles, le développement social inclusif englobe la sécurité alimentaire, les soins de santé, l</w:t>
      </w:r>
      <w:r>
        <w:rPr>
          <w:rFonts w:ascii="Arial" w:hAnsi="Arial" w:cs="Arial"/>
          <w:sz w:val="18"/>
          <w:szCs w:val="18"/>
        </w:rPr>
        <w:t>’</w:t>
      </w:r>
      <w:r w:rsidRPr="00745A44">
        <w:rPr>
          <w:rFonts w:ascii="Arial" w:hAnsi="Arial" w:cs="Arial"/>
          <w:sz w:val="18"/>
          <w:szCs w:val="18"/>
        </w:rPr>
        <w:t>égalité des genres, l</w:t>
      </w:r>
      <w:r>
        <w:rPr>
          <w:rFonts w:ascii="Arial" w:hAnsi="Arial" w:cs="Arial"/>
          <w:sz w:val="18"/>
          <w:szCs w:val="18"/>
        </w:rPr>
        <w:t>’</w:t>
      </w:r>
      <w:r w:rsidRPr="00745A44">
        <w:rPr>
          <w:rFonts w:ascii="Arial" w:hAnsi="Arial" w:cs="Arial"/>
          <w:sz w:val="18"/>
          <w:szCs w:val="18"/>
        </w:rPr>
        <w:t>accès à l</w:t>
      </w:r>
      <w:r>
        <w:rPr>
          <w:rFonts w:ascii="Arial" w:hAnsi="Arial" w:cs="Arial"/>
          <w:sz w:val="18"/>
          <w:szCs w:val="18"/>
        </w:rPr>
        <w:t>’</w:t>
      </w:r>
      <w:r w:rsidRPr="00745A44">
        <w:rPr>
          <w:rFonts w:ascii="Arial" w:hAnsi="Arial" w:cs="Arial"/>
          <w:sz w:val="18"/>
          <w:szCs w:val="18"/>
        </w:rPr>
        <w:t>eau propre et potable et l</w:t>
      </w:r>
      <w:r>
        <w:rPr>
          <w:rFonts w:ascii="Arial" w:hAnsi="Arial" w:cs="Arial"/>
          <w:sz w:val="18"/>
          <w:szCs w:val="18"/>
        </w:rPr>
        <w:t>’</w:t>
      </w:r>
      <w:r w:rsidRPr="00745A44">
        <w:rPr>
          <w:rFonts w:ascii="Arial" w:hAnsi="Arial" w:cs="Arial"/>
          <w:sz w:val="18"/>
          <w:szCs w:val="18"/>
        </w:rPr>
        <w:t>utilisation durable de l</w:t>
      </w:r>
      <w:r>
        <w:rPr>
          <w:rFonts w:ascii="Arial" w:hAnsi="Arial" w:cs="Arial"/>
          <w:sz w:val="18"/>
          <w:szCs w:val="18"/>
        </w:rPr>
        <w:t>’</w:t>
      </w:r>
      <w:r w:rsidRPr="00745A44">
        <w:rPr>
          <w:rFonts w:ascii="Arial" w:hAnsi="Arial" w:cs="Arial"/>
          <w:sz w:val="18"/>
          <w:szCs w:val="18"/>
        </w:rPr>
        <w:t>eau ; l</w:t>
      </w:r>
      <w:r>
        <w:rPr>
          <w:rFonts w:ascii="Arial" w:hAnsi="Arial" w:cs="Arial"/>
          <w:sz w:val="18"/>
          <w:szCs w:val="18"/>
        </w:rPr>
        <w:t>’</w:t>
      </w:r>
      <w:r w:rsidRPr="00745A44">
        <w:rPr>
          <w:rFonts w:ascii="Arial" w:hAnsi="Arial" w:cs="Arial"/>
          <w:sz w:val="18"/>
          <w:szCs w:val="18"/>
        </w:rPr>
        <w:t>éducation de qualité étant quant à elle couverte par l</w:t>
      </w:r>
      <w:r>
        <w:rPr>
          <w:rFonts w:ascii="Arial" w:hAnsi="Arial" w:cs="Arial"/>
          <w:sz w:val="18"/>
          <w:szCs w:val="18"/>
        </w:rPr>
        <w:t>’</w:t>
      </w:r>
      <w:r w:rsidRPr="00745A44">
        <w:rPr>
          <w:rFonts w:ascii="Arial" w:hAnsi="Arial" w:cs="Arial"/>
          <w:sz w:val="18"/>
          <w:szCs w:val="18"/>
        </w:rPr>
        <w:t>indicateur 12.</w:t>
      </w:r>
    </w:p>
  </w:footnote>
  <w:footnote w:id="8">
    <w:p w14:paraId="134599EA" w14:textId="77777777" w:rsidR="00D70BE7" w:rsidRPr="00745A44" w:rsidRDefault="00D70BE7" w:rsidP="00F21C0B">
      <w:pPr>
        <w:pStyle w:val="FootnoteText"/>
        <w:spacing w:before="60" w:after="60"/>
        <w:ind w:left="509" w:hangingChars="283" w:hanging="509"/>
        <w:jc w:val="both"/>
      </w:pPr>
      <w:r w:rsidRPr="00745A44">
        <w:rPr>
          <w:rFonts w:ascii="Arial" w:hAnsi="Arial" w:cs="Arial"/>
          <w:sz w:val="18"/>
          <w:szCs w:val="18"/>
        </w:rPr>
        <w:footnoteRef/>
      </w:r>
      <w:r w:rsidRPr="00745A44">
        <w:rPr>
          <w:rFonts w:ascii="Arial" w:hAnsi="Arial" w:cs="Arial"/>
          <w:sz w:val="18"/>
          <w:szCs w:val="18"/>
        </w:rPr>
        <w:t>.</w:t>
      </w:r>
      <w:r w:rsidRPr="00745A44">
        <w:rPr>
          <w:rFonts w:ascii="Arial" w:hAnsi="Arial" w:cs="Arial"/>
          <w:sz w:val="18"/>
          <w:szCs w:val="18"/>
        </w:rPr>
        <w:tab/>
        <w:t>Conformément au chapitre VI des Directives opérationnelles, le développement économique inclusif englobe la génération de revenus et moyens de subsistance durables, l</w:t>
      </w:r>
      <w:r>
        <w:rPr>
          <w:rFonts w:ascii="Arial" w:hAnsi="Arial" w:cs="Arial"/>
          <w:sz w:val="18"/>
          <w:szCs w:val="18"/>
        </w:rPr>
        <w:t>’</w:t>
      </w:r>
      <w:r w:rsidRPr="00745A44">
        <w:rPr>
          <w:rFonts w:ascii="Arial" w:hAnsi="Arial" w:cs="Arial"/>
          <w:sz w:val="18"/>
          <w:szCs w:val="18"/>
        </w:rPr>
        <w:t>emploi productif et le travail décent et l</w:t>
      </w:r>
      <w:r>
        <w:rPr>
          <w:rFonts w:ascii="Arial" w:hAnsi="Arial" w:cs="Arial"/>
          <w:sz w:val="18"/>
          <w:szCs w:val="18"/>
        </w:rPr>
        <w:t>’</w:t>
      </w:r>
      <w:r w:rsidRPr="00745A44">
        <w:rPr>
          <w:rFonts w:ascii="Arial" w:hAnsi="Arial" w:cs="Arial"/>
          <w:sz w:val="18"/>
          <w:szCs w:val="18"/>
        </w:rPr>
        <w:t>impact du tourisme sur la sauvegarde du PCI et réciproquement.</w:t>
      </w:r>
    </w:p>
  </w:footnote>
  <w:footnote w:id="9">
    <w:p w14:paraId="702E5429" w14:textId="77777777" w:rsidR="00D70BE7" w:rsidRPr="00745A44" w:rsidRDefault="00D70BE7" w:rsidP="00F21C0B">
      <w:pPr>
        <w:pStyle w:val="FootnoteText"/>
        <w:tabs>
          <w:tab w:val="left" w:pos="567"/>
        </w:tabs>
        <w:spacing w:before="60" w:after="60"/>
        <w:ind w:left="567" w:hanging="567"/>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w:t>
      </w:r>
      <w:r>
        <w:rPr>
          <w:rFonts w:ascii="Arial" w:hAnsi="Arial"/>
          <w:sz w:val="18"/>
          <w:szCs w:val="18"/>
        </w:rPr>
        <w:t>’</w:t>
      </w:r>
      <w:r w:rsidRPr="00745A44">
        <w:rPr>
          <w:rFonts w:ascii="Arial" w:hAnsi="Arial"/>
          <w:sz w:val="18"/>
          <w:szCs w:val="18"/>
        </w:rPr>
        <w:t>objet de suivi et de rapport seulement au niveau mondial.</w:t>
      </w:r>
    </w:p>
  </w:footnote>
  <w:footnote w:id="10">
    <w:p w14:paraId="3C5FA4E7" w14:textId="77777777" w:rsidR="00D70BE7" w:rsidRPr="00745A44" w:rsidRDefault="00D70BE7" w:rsidP="00F21C0B">
      <w:pPr>
        <w:pStyle w:val="FootnoteText"/>
        <w:tabs>
          <w:tab w:val="left" w:pos="567"/>
        </w:tabs>
        <w:spacing w:before="60" w:after="60"/>
        <w:ind w:left="567" w:hanging="567"/>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w:t>
      </w:r>
      <w:r>
        <w:rPr>
          <w:rFonts w:ascii="Arial" w:hAnsi="Arial"/>
          <w:sz w:val="18"/>
          <w:szCs w:val="18"/>
        </w:rPr>
        <w:t>’</w:t>
      </w:r>
      <w:r w:rsidRPr="00745A44">
        <w:rPr>
          <w:rFonts w:ascii="Arial" w:hAnsi="Arial"/>
          <w:sz w:val="18"/>
          <w:szCs w:val="18"/>
        </w:rPr>
        <w:t>objet de suivi et de rapport seulement au niveau mondial.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FD12" w14:textId="64F6C943" w:rsidR="00D70BE7" w:rsidRPr="005C03BC" w:rsidRDefault="00D70BE7" w:rsidP="00F21C0B">
    <w:pPr>
      <w:pStyle w:val="Header"/>
      <w:rPr>
        <w:rFonts w:ascii="Arial" w:hAnsi="Arial" w:cs="Arial"/>
      </w:rPr>
    </w:pPr>
    <w:r>
      <w:rPr>
        <w:rFonts w:ascii="Arial" w:hAnsi="Arial"/>
        <w:sz w:val="20"/>
        <w:szCs w:val="20"/>
      </w:rPr>
      <w:t>ITH/18/7.GA/</w:t>
    </w:r>
    <w:r w:rsidRPr="00D70BE7">
      <w:rPr>
        <w:rFonts w:ascii="Arial" w:hAnsi="Arial"/>
        <w:sz w:val="20"/>
        <w:szCs w:val="20"/>
      </w:rPr>
      <w:t>Résolutions</w:t>
    </w:r>
    <w:r>
      <w:rPr>
        <w:rFonts w:ascii="Arial" w:hAnsi="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B03B7D">
      <w:rPr>
        <w:rStyle w:val="PageNumber"/>
        <w:rFonts w:ascii="Arial" w:hAnsi="Arial" w:cs="Arial"/>
        <w:noProof/>
        <w:sz w:val="20"/>
        <w:szCs w:val="20"/>
      </w:rPr>
      <w:t>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EFA1" w14:textId="4BBAE976" w:rsidR="00D70BE7" w:rsidRPr="00A82031" w:rsidRDefault="00D70BE7" w:rsidP="00D70BE7">
    <w:pPr>
      <w:pStyle w:val="Header"/>
      <w:jc w:val="right"/>
      <w:rPr>
        <w:rFonts w:ascii="Arial" w:hAnsi="Arial" w:cs="Arial"/>
        <w:sz w:val="20"/>
        <w:szCs w:val="20"/>
      </w:rPr>
    </w:pPr>
    <w:r w:rsidRPr="00A82031">
      <w:rPr>
        <w:rFonts w:ascii="Arial" w:hAnsi="Arial"/>
        <w:sz w:val="20"/>
        <w:szCs w:val="20"/>
      </w:rPr>
      <w:t xml:space="preserve">ITH/18/7.GA/Résolutions – page </w:t>
    </w:r>
    <w:r w:rsidRPr="00A82031">
      <w:rPr>
        <w:rStyle w:val="PageNumber"/>
        <w:rFonts w:ascii="Arial" w:hAnsi="Arial" w:cs="Arial"/>
        <w:sz w:val="20"/>
        <w:szCs w:val="20"/>
      </w:rPr>
      <w:fldChar w:fldCharType="begin"/>
    </w:r>
    <w:r w:rsidRPr="00A82031">
      <w:rPr>
        <w:rStyle w:val="PageNumber"/>
        <w:rFonts w:ascii="Arial" w:hAnsi="Arial" w:cs="Arial"/>
        <w:sz w:val="20"/>
        <w:szCs w:val="20"/>
      </w:rPr>
      <w:instrText xml:space="preserve"> PAGE </w:instrText>
    </w:r>
    <w:r w:rsidRPr="00A82031">
      <w:rPr>
        <w:rStyle w:val="PageNumber"/>
        <w:rFonts w:ascii="Arial" w:hAnsi="Arial" w:cs="Arial"/>
        <w:sz w:val="20"/>
        <w:szCs w:val="20"/>
      </w:rPr>
      <w:fldChar w:fldCharType="separate"/>
    </w:r>
    <w:r w:rsidR="00B03B7D">
      <w:rPr>
        <w:rStyle w:val="PageNumber"/>
        <w:rFonts w:ascii="Arial" w:hAnsi="Arial" w:cs="Arial"/>
        <w:noProof/>
        <w:sz w:val="20"/>
        <w:szCs w:val="20"/>
      </w:rPr>
      <w:t>7</w:t>
    </w:r>
    <w:r w:rsidRPr="00A82031">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11C1" w14:textId="77777777" w:rsidR="00D70BE7" w:rsidRPr="00F32C23" w:rsidRDefault="00D70BE7">
    <w:pPr>
      <w:pStyle w:val="Header"/>
    </w:pPr>
    <w:r>
      <w:rPr>
        <w:noProof/>
        <w:lang w:val="en-US" w:eastAsia="ko-KR"/>
      </w:rPr>
      <w:drawing>
        <wp:anchor distT="0" distB="0" distL="114300" distR="114300" simplePos="0" relativeHeight="251656704" behindDoc="0" locked="0" layoutInCell="1" allowOverlap="1" wp14:anchorId="3EE24CA0" wp14:editId="0AA26806">
          <wp:simplePos x="0" y="0"/>
          <wp:positionH relativeFrom="page">
            <wp:posOffset>342265</wp:posOffset>
          </wp:positionH>
          <wp:positionV relativeFrom="page">
            <wp:posOffset>255905</wp:posOffset>
          </wp:positionV>
          <wp:extent cx="2037600" cy="1530000"/>
          <wp:effectExtent l="0" t="0" r="1270" b="0"/>
          <wp:wrapNone/>
          <wp:docPr id="3" name="Pictur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218E" w14:textId="77777777" w:rsidR="00D70BE7" w:rsidRPr="00127F14" w:rsidRDefault="00D70BE7" w:rsidP="00655736">
    <w:pPr>
      <w:pStyle w:val="Header"/>
      <w:spacing w:after="520"/>
      <w:jc w:val="right"/>
      <w:rPr>
        <w:rFonts w:ascii="Arial" w:hAnsi="Arial" w:cs="Arial"/>
        <w:b/>
        <w:sz w:val="44"/>
        <w:szCs w:val="44"/>
        <w:lang w:val="nl-NL"/>
      </w:rPr>
    </w:pPr>
    <w:r w:rsidRPr="00127F14">
      <w:rPr>
        <w:rFonts w:ascii="Arial" w:hAnsi="Arial"/>
        <w:b/>
        <w:sz w:val="44"/>
        <w:szCs w:val="44"/>
        <w:lang w:val="nl-NL"/>
      </w:rPr>
      <w:t>7 </w:t>
    </w:r>
    <w:proofErr w:type="gramStart"/>
    <w:r w:rsidRPr="00127F14">
      <w:rPr>
        <w:rFonts w:ascii="Arial" w:hAnsi="Arial"/>
        <w:b/>
        <w:sz w:val="44"/>
        <w:szCs w:val="44"/>
        <w:lang w:val="nl-NL"/>
      </w:rPr>
      <w:t>GA</w:t>
    </w:r>
    <w:proofErr w:type="gramEnd"/>
  </w:p>
  <w:p w14:paraId="4B9A3D95" w14:textId="14C7724B" w:rsidR="00D70BE7" w:rsidRPr="00C73BCC" w:rsidRDefault="00D70BE7" w:rsidP="00C73BCC">
    <w:pPr>
      <w:jc w:val="right"/>
      <w:rPr>
        <w:rFonts w:ascii="Arial" w:hAnsi="Arial" w:cs="Arial"/>
        <w:b/>
        <w:sz w:val="22"/>
        <w:szCs w:val="22"/>
      </w:rPr>
    </w:pPr>
    <w:r w:rsidRPr="00C73BCC">
      <w:rPr>
        <w:rFonts w:ascii="Arial" w:hAnsi="Arial"/>
        <w:b/>
        <w:sz w:val="22"/>
      </w:rPr>
      <w:t>ITH/1</w:t>
    </w:r>
    <w:r>
      <w:rPr>
        <w:rFonts w:ascii="Arial" w:hAnsi="Arial"/>
        <w:b/>
        <w:sz w:val="22"/>
      </w:rPr>
      <w:t>8</w:t>
    </w:r>
    <w:r w:rsidRPr="00C73BCC">
      <w:rPr>
        <w:rFonts w:ascii="Arial" w:hAnsi="Arial"/>
        <w:b/>
        <w:sz w:val="22"/>
      </w:rPr>
      <w:t>/</w:t>
    </w:r>
    <w:r>
      <w:rPr>
        <w:rFonts w:ascii="Arial" w:hAnsi="Arial"/>
        <w:b/>
        <w:sz w:val="22"/>
      </w:rPr>
      <w:t>7</w:t>
    </w:r>
    <w:r w:rsidRPr="00C73BCC">
      <w:rPr>
        <w:rFonts w:ascii="Arial" w:hAnsi="Arial"/>
        <w:b/>
        <w:sz w:val="22"/>
      </w:rPr>
      <w:t>.GA/Résolutions</w:t>
    </w:r>
  </w:p>
  <w:p w14:paraId="773951CB" w14:textId="4B02F731" w:rsidR="00D70BE7" w:rsidRPr="00C73BCC" w:rsidRDefault="00D70BE7" w:rsidP="00C73BCC">
    <w:pPr>
      <w:jc w:val="right"/>
      <w:rPr>
        <w:rFonts w:ascii="Arial" w:hAnsi="Arial" w:cs="Arial"/>
        <w:b/>
        <w:sz w:val="22"/>
        <w:szCs w:val="22"/>
      </w:rPr>
    </w:pPr>
    <w:r w:rsidRPr="00C73BCC">
      <w:rPr>
        <w:rFonts w:ascii="Arial" w:hAnsi="Arial"/>
        <w:b/>
        <w:sz w:val="22"/>
      </w:rPr>
      <w:t xml:space="preserve">Paris, le </w:t>
    </w:r>
    <w:r w:rsidRPr="003074FE">
      <w:rPr>
        <w:rFonts w:ascii="Arial" w:hAnsi="Arial"/>
        <w:b/>
        <w:sz w:val="22"/>
      </w:rPr>
      <w:t>6 juin 2018</w:t>
    </w:r>
  </w:p>
  <w:p w14:paraId="6D03E2B0" w14:textId="77777777" w:rsidR="00D70BE7" w:rsidRPr="00C73BCC" w:rsidRDefault="00D70BE7" w:rsidP="00C73BCC">
    <w:pPr>
      <w:jc w:val="right"/>
      <w:rPr>
        <w:rFonts w:ascii="Arial" w:hAnsi="Arial" w:cs="Arial"/>
        <w:b/>
        <w:sz w:val="22"/>
        <w:szCs w:val="22"/>
      </w:rPr>
    </w:pPr>
    <w:r w:rsidRPr="00C73BCC">
      <w:rPr>
        <w:rFonts w:ascii="Arial" w:hAnsi="Arial"/>
        <w:b/>
        <w:sz w:val="22"/>
      </w:rPr>
      <w:t>Original : anglais/français</w:t>
    </w:r>
  </w:p>
  <w:p w14:paraId="38D2B562" w14:textId="77777777" w:rsidR="00D70BE7" w:rsidRPr="00D838E4" w:rsidRDefault="00D70BE7" w:rsidP="00F21C0B">
    <w:pPr>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2549" w14:textId="0F43E659" w:rsidR="00D70BE7" w:rsidRPr="00F475EF" w:rsidRDefault="00D70BE7" w:rsidP="00F475EF">
    <w:pPr>
      <w:pStyle w:val="Header"/>
      <w:rPr>
        <w:rFonts w:ascii="Arial" w:hAnsi="Arial" w:cs="Arial"/>
      </w:rPr>
    </w:pPr>
    <w:r>
      <w:rPr>
        <w:rFonts w:ascii="Arial" w:hAnsi="Arial"/>
        <w:sz w:val="20"/>
        <w:szCs w:val="20"/>
      </w:rPr>
      <w:t xml:space="preserve">ITH/18/7.GA/10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B03B7D">
      <w:rPr>
        <w:rStyle w:val="PageNumber"/>
        <w:rFonts w:ascii="Arial" w:hAnsi="Arial" w:cs="Arial"/>
        <w:noProof/>
        <w:sz w:val="20"/>
        <w:szCs w:val="20"/>
      </w:rPr>
      <w:t>18</w:t>
    </w:r>
    <w:r w:rsidRPr="00C23A97">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BE13" w14:textId="3284017F" w:rsidR="00D70BE7" w:rsidRPr="00F475EF" w:rsidRDefault="00D70BE7" w:rsidP="00F475EF">
    <w:pPr>
      <w:pStyle w:val="Header"/>
      <w:jc w:val="right"/>
      <w:rPr>
        <w:rFonts w:ascii="Arial" w:hAnsi="Arial" w:cs="Arial"/>
        <w:sz w:val="20"/>
        <w:szCs w:val="20"/>
      </w:rPr>
    </w:pPr>
    <w:r w:rsidRPr="00A82031">
      <w:rPr>
        <w:rFonts w:ascii="Arial" w:hAnsi="Arial"/>
        <w:sz w:val="20"/>
        <w:szCs w:val="20"/>
      </w:rPr>
      <w:t xml:space="preserve">ITH/18/7.GA/Résolutions – page </w:t>
    </w:r>
    <w:r w:rsidRPr="00A82031">
      <w:rPr>
        <w:rStyle w:val="PageNumber"/>
        <w:rFonts w:ascii="Arial" w:hAnsi="Arial" w:cs="Arial"/>
        <w:sz w:val="20"/>
        <w:szCs w:val="20"/>
      </w:rPr>
      <w:fldChar w:fldCharType="begin"/>
    </w:r>
    <w:r w:rsidRPr="00A82031">
      <w:rPr>
        <w:rStyle w:val="PageNumber"/>
        <w:rFonts w:ascii="Arial" w:hAnsi="Arial" w:cs="Arial"/>
        <w:sz w:val="20"/>
        <w:szCs w:val="20"/>
      </w:rPr>
      <w:instrText xml:space="preserve"> PAGE </w:instrText>
    </w:r>
    <w:r w:rsidRPr="00A82031">
      <w:rPr>
        <w:rStyle w:val="PageNumber"/>
        <w:rFonts w:ascii="Arial" w:hAnsi="Arial" w:cs="Arial"/>
        <w:sz w:val="20"/>
        <w:szCs w:val="20"/>
      </w:rPr>
      <w:fldChar w:fldCharType="separate"/>
    </w:r>
    <w:r w:rsidR="00B03B7D">
      <w:rPr>
        <w:rStyle w:val="PageNumber"/>
        <w:rFonts w:ascii="Arial" w:hAnsi="Arial" w:cs="Arial"/>
        <w:noProof/>
        <w:sz w:val="20"/>
        <w:szCs w:val="20"/>
      </w:rPr>
      <w:t>17</w:t>
    </w:r>
    <w:r w:rsidRPr="00A82031">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87A3" w14:textId="77777777" w:rsidR="00D70BE7" w:rsidRPr="00F32C23" w:rsidRDefault="00D70BE7">
    <w:pPr>
      <w:pStyle w:val="Header"/>
    </w:pPr>
    <w:r>
      <w:rPr>
        <w:noProof/>
        <w:lang w:val="en-US" w:eastAsia="ko-KR"/>
      </w:rPr>
      <w:drawing>
        <wp:anchor distT="0" distB="0" distL="114300" distR="114300" simplePos="0" relativeHeight="251658752" behindDoc="0" locked="0" layoutInCell="1" allowOverlap="1" wp14:anchorId="2C0DD47E" wp14:editId="299DB367">
          <wp:simplePos x="0" y="0"/>
          <wp:positionH relativeFrom="page">
            <wp:posOffset>342265</wp:posOffset>
          </wp:positionH>
          <wp:positionV relativeFrom="page">
            <wp:posOffset>255905</wp:posOffset>
          </wp:positionV>
          <wp:extent cx="2037600" cy="1530000"/>
          <wp:effectExtent l="0" t="0" r="1270" b="0"/>
          <wp:wrapNone/>
          <wp:docPr id="20" name="Picture 20"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36A8F" w14:textId="77777777" w:rsidR="00D70BE7" w:rsidRPr="00603019" w:rsidRDefault="00D70BE7" w:rsidP="00655736">
    <w:pPr>
      <w:pStyle w:val="Header"/>
      <w:spacing w:after="520"/>
      <w:jc w:val="right"/>
      <w:rPr>
        <w:rFonts w:ascii="Arial" w:hAnsi="Arial" w:cs="Arial"/>
        <w:b/>
        <w:sz w:val="44"/>
        <w:szCs w:val="44"/>
        <w:lang w:val="nl-NL"/>
      </w:rPr>
    </w:pPr>
    <w:r w:rsidRPr="00603019">
      <w:rPr>
        <w:rFonts w:ascii="Arial" w:hAnsi="Arial"/>
        <w:b/>
        <w:sz w:val="44"/>
        <w:szCs w:val="44"/>
        <w:lang w:val="nl-NL"/>
      </w:rPr>
      <w:t xml:space="preserve">7 </w:t>
    </w:r>
    <w:proofErr w:type="gramStart"/>
    <w:r w:rsidRPr="00603019">
      <w:rPr>
        <w:rFonts w:ascii="Arial" w:hAnsi="Arial"/>
        <w:b/>
        <w:sz w:val="44"/>
        <w:szCs w:val="44"/>
        <w:lang w:val="nl-NL"/>
      </w:rPr>
      <w:t>GA</w:t>
    </w:r>
    <w:proofErr w:type="gramEnd"/>
  </w:p>
  <w:p w14:paraId="7F5BC178" w14:textId="77777777" w:rsidR="00D70BE7" w:rsidRPr="00603019" w:rsidRDefault="00D70BE7" w:rsidP="00655736">
    <w:pPr>
      <w:jc w:val="right"/>
      <w:rPr>
        <w:rFonts w:ascii="Arial" w:hAnsi="Arial" w:cs="Arial"/>
        <w:b/>
        <w:sz w:val="22"/>
        <w:szCs w:val="22"/>
        <w:lang w:val="nl-NL"/>
      </w:rPr>
    </w:pPr>
    <w:r w:rsidRPr="00603019">
      <w:rPr>
        <w:rFonts w:ascii="Arial" w:hAnsi="Arial"/>
        <w:b/>
        <w:sz w:val="22"/>
        <w:szCs w:val="22"/>
        <w:lang w:val="nl-NL"/>
      </w:rPr>
      <w:t>ITH/18/7.GA/10</w:t>
    </w:r>
  </w:p>
  <w:p w14:paraId="7E1A0A68" w14:textId="77777777" w:rsidR="00D70BE7" w:rsidRPr="00603019" w:rsidRDefault="00D70BE7" w:rsidP="00D365B1">
    <w:pPr>
      <w:jc w:val="right"/>
      <w:rPr>
        <w:rFonts w:ascii="Arial" w:eastAsiaTheme="minorEastAsia" w:hAnsi="Arial" w:cs="Arial"/>
        <w:b/>
        <w:sz w:val="22"/>
        <w:szCs w:val="22"/>
        <w:lang w:val="nl-NL"/>
      </w:rPr>
    </w:pPr>
    <w:r w:rsidRPr="00603019">
      <w:rPr>
        <w:rFonts w:ascii="Arial" w:hAnsi="Arial"/>
        <w:b/>
        <w:sz w:val="22"/>
        <w:szCs w:val="22"/>
        <w:lang w:val="nl-NL"/>
      </w:rPr>
      <w:t xml:space="preserve">Paris, </w:t>
    </w:r>
    <w:proofErr w:type="spellStart"/>
    <w:r>
      <w:rPr>
        <w:rFonts w:ascii="Arial" w:hAnsi="Arial"/>
        <w:b/>
        <w:sz w:val="22"/>
        <w:szCs w:val="22"/>
        <w:lang w:val="nl-NL"/>
      </w:rPr>
      <w:t>le</w:t>
    </w:r>
    <w:proofErr w:type="spellEnd"/>
    <w:r>
      <w:rPr>
        <w:rFonts w:ascii="Arial" w:hAnsi="Arial"/>
        <w:b/>
        <w:sz w:val="22"/>
        <w:szCs w:val="22"/>
        <w:lang w:val="nl-NL"/>
      </w:rPr>
      <w:t xml:space="preserve"> 4 </w:t>
    </w:r>
    <w:proofErr w:type="spellStart"/>
    <w:r>
      <w:rPr>
        <w:rFonts w:ascii="Arial" w:hAnsi="Arial"/>
        <w:b/>
        <w:sz w:val="22"/>
        <w:szCs w:val="22"/>
        <w:lang w:val="nl-NL"/>
      </w:rPr>
      <w:t>mai</w:t>
    </w:r>
    <w:proofErr w:type="spellEnd"/>
    <w:r w:rsidRPr="00603019">
      <w:rPr>
        <w:rFonts w:ascii="Arial" w:hAnsi="Arial"/>
        <w:b/>
        <w:sz w:val="22"/>
        <w:szCs w:val="22"/>
        <w:lang w:val="nl-NL"/>
      </w:rPr>
      <w:t xml:space="preserve"> 2018</w:t>
    </w:r>
  </w:p>
  <w:p w14:paraId="480E34B0" w14:textId="77777777" w:rsidR="00D70BE7" w:rsidRPr="00F32C23" w:rsidRDefault="00D70BE7" w:rsidP="00D365B1">
    <w:pPr>
      <w:jc w:val="right"/>
      <w:rPr>
        <w:rFonts w:ascii="Arial" w:hAnsi="Arial" w:cs="Arial"/>
        <w:b/>
        <w:sz w:val="22"/>
        <w:szCs w:val="22"/>
      </w:rPr>
    </w:pPr>
    <w:r>
      <w:rPr>
        <w:rFonts w:ascii="Arial" w:hAnsi="Arial"/>
        <w:b/>
        <w:sz w:val="22"/>
        <w:szCs w:val="22"/>
      </w:rPr>
      <w:t>Original : anglais</w:t>
    </w:r>
  </w:p>
  <w:p w14:paraId="640815FB" w14:textId="77777777" w:rsidR="00D70BE7" w:rsidRPr="008D270B" w:rsidRDefault="00D70BE7">
    <w:pPr>
      <w:pStyle w:val="Header"/>
    </w:pPr>
  </w:p>
  <w:p w14:paraId="76DFFC4F" w14:textId="77777777" w:rsidR="00D70BE7" w:rsidRDefault="00D70BE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AB23" w14:textId="2648D6B3" w:rsidR="00D70BE7" w:rsidRPr="00C23A97" w:rsidRDefault="00D70BE7" w:rsidP="00F475EF">
    <w:pPr>
      <w:pStyle w:val="Header"/>
      <w:rPr>
        <w:rFonts w:ascii="Arial" w:hAnsi="Arial" w:cs="Arial"/>
      </w:rPr>
    </w:pPr>
    <w:r>
      <w:rPr>
        <w:rFonts w:ascii="Arial" w:hAnsi="Arial"/>
        <w:sz w:val="20"/>
        <w:szCs w:val="20"/>
      </w:rPr>
      <w:t>ITH/18/7.GA/</w:t>
    </w:r>
    <w:r w:rsidR="00F475EF" w:rsidRPr="00F475EF">
      <w:rPr>
        <w:rFonts w:ascii="Arial" w:hAnsi="Arial"/>
        <w:sz w:val="20"/>
        <w:szCs w:val="20"/>
      </w:rPr>
      <w:t xml:space="preserve">Résolutions </w:t>
    </w:r>
    <w:r>
      <w:rPr>
        <w:rFonts w:ascii="Arial" w:hAnsi="Arial"/>
        <w:sz w:val="20"/>
        <w:szCs w:val="20"/>
      </w:rPr>
      <w:t xml:space="preserve">–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B03B7D">
      <w:rPr>
        <w:rStyle w:val="PageNumber"/>
        <w:rFonts w:ascii="Arial" w:hAnsi="Arial" w:cs="Arial"/>
        <w:noProof/>
        <w:sz w:val="20"/>
        <w:szCs w:val="20"/>
      </w:rPr>
      <w:t>22</w:t>
    </w:r>
    <w:r w:rsidRPr="00C23A97">
      <w:rPr>
        <w:rStyle w:val="PageNumber"/>
        <w:rFonts w:ascii="Arial" w:hAnsi="Arial" w:cs="Arial"/>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2E3C" w14:textId="69020C11" w:rsidR="00D70BE7" w:rsidRPr="00F475EF" w:rsidRDefault="00D70BE7" w:rsidP="0003619B">
    <w:pPr>
      <w:pStyle w:val="Header"/>
      <w:jc w:val="right"/>
      <w:rPr>
        <w:rFonts w:ascii="Arial" w:hAnsi="Arial" w:cs="Arial"/>
        <w:sz w:val="20"/>
        <w:szCs w:val="20"/>
      </w:rPr>
    </w:pPr>
    <w:r w:rsidRPr="00F475EF">
      <w:rPr>
        <w:rFonts w:ascii="Arial" w:hAnsi="Arial"/>
        <w:sz w:val="20"/>
        <w:szCs w:val="20"/>
      </w:rPr>
      <w:t xml:space="preserve">ITH/18/7.GA/Résolutions – page </w:t>
    </w:r>
    <w:r w:rsidRPr="00F475EF">
      <w:rPr>
        <w:rStyle w:val="PageNumber"/>
        <w:rFonts w:ascii="Arial" w:hAnsi="Arial" w:cs="Arial"/>
        <w:sz w:val="20"/>
        <w:szCs w:val="20"/>
      </w:rPr>
      <w:fldChar w:fldCharType="begin"/>
    </w:r>
    <w:r w:rsidRPr="00F475EF">
      <w:rPr>
        <w:rStyle w:val="PageNumber"/>
        <w:rFonts w:ascii="Arial" w:hAnsi="Arial" w:cs="Arial"/>
        <w:sz w:val="20"/>
        <w:szCs w:val="20"/>
      </w:rPr>
      <w:instrText xml:space="preserve"> PAGE </w:instrText>
    </w:r>
    <w:r w:rsidRPr="00F475EF">
      <w:rPr>
        <w:rStyle w:val="PageNumber"/>
        <w:rFonts w:ascii="Arial" w:hAnsi="Arial" w:cs="Arial"/>
        <w:sz w:val="20"/>
        <w:szCs w:val="20"/>
      </w:rPr>
      <w:fldChar w:fldCharType="separate"/>
    </w:r>
    <w:r w:rsidR="00B03B7D">
      <w:rPr>
        <w:rStyle w:val="PageNumber"/>
        <w:rFonts w:ascii="Arial" w:hAnsi="Arial" w:cs="Arial"/>
        <w:noProof/>
        <w:sz w:val="20"/>
        <w:szCs w:val="20"/>
      </w:rPr>
      <w:t>21</w:t>
    </w:r>
    <w:r w:rsidRPr="00F475EF">
      <w:rPr>
        <w:rStyle w:val="PageNumber"/>
        <w:rFonts w:ascii="Arial" w:hAnsi="Arial" w:cs="Arial"/>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5CFC" w14:textId="77777777" w:rsidR="00D70BE7" w:rsidRPr="00121150" w:rsidRDefault="00D70BE7">
    <w:pPr>
      <w:pStyle w:val="Header"/>
      <w:rPr>
        <w:lang w:val="en-US"/>
      </w:rPr>
    </w:pPr>
    <w:r>
      <w:rPr>
        <w:noProof/>
        <w:lang w:val="en-US" w:eastAsia="ko-KR"/>
      </w:rPr>
      <w:drawing>
        <wp:anchor distT="0" distB="0" distL="114300" distR="114300" simplePos="0" relativeHeight="251665408" behindDoc="0" locked="0" layoutInCell="1" allowOverlap="1" wp14:anchorId="014AE666" wp14:editId="3175995E">
          <wp:simplePos x="0" y="0"/>
          <wp:positionH relativeFrom="page">
            <wp:posOffset>342265</wp:posOffset>
          </wp:positionH>
          <wp:positionV relativeFrom="page">
            <wp:posOffset>255905</wp:posOffset>
          </wp:positionV>
          <wp:extent cx="2037600" cy="1530000"/>
          <wp:effectExtent l="0" t="0" r="1270" b="0"/>
          <wp:wrapNone/>
          <wp:docPr id="7" name="Picture 7"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22243" w14:textId="77777777" w:rsidR="00D70BE7" w:rsidRPr="00C23A97" w:rsidRDefault="00D70BE7" w:rsidP="00655736">
    <w:pPr>
      <w:pStyle w:val="Header"/>
      <w:spacing w:after="520"/>
      <w:jc w:val="right"/>
      <w:rPr>
        <w:rFonts w:ascii="Arial" w:hAnsi="Arial" w:cs="Arial"/>
        <w:b/>
        <w:sz w:val="44"/>
        <w:szCs w:val="44"/>
      </w:rPr>
    </w:pPr>
    <w:r>
      <w:rPr>
        <w:rFonts w:ascii="Arial" w:hAnsi="Arial"/>
        <w:b/>
        <w:sz w:val="44"/>
        <w:szCs w:val="44"/>
      </w:rPr>
      <w:t>7 GA</w:t>
    </w:r>
  </w:p>
  <w:p w14:paraId="6FE941B3" w14:textId="77777777" w:rsidR="00D70BE7" w:rsidRPr="00C23A97" w:rsidRDefault="00D70BE7" w:rsidP="00655736">
    <w:pPr>
      <w:jc w:val="right"/>
      <w:rPr>
        <w:rFonts w:ascii="Arial" w:hAnsi="Arial" w:cs="Arial"/>
        <w:b/>
        <w:sz w:val="22"/>
        <w:szCs w:val="22"/>
      </w:rPr>
    </w:pPr>
    <w:r>
      <w:rPr>
        <w:rFonts w:ascii="Arial" w:hAnsi="Arial"/>
        <w:b/>
        <w:sz w:val="22"/>
        <w:szCs w:val="22"/>
      </w:rPr>
      <w:t>ITH/18/7.GA/13</w:t>
    </w:r>
  </w:p>
  <w:p w14:paraId="628A564D" w14:textId="77777777" w:rsidR="00D70BE7" w:rsidRPr="00C23A97" w:rsidRDefault="00D70BE7" w:rsidP="0003619B">
    <w:pPr>
      <w:jc w:val="right"/>
      <w:rPr>
        <w:rFonts w:ascii="Arial" w:hAnsi="Arial" w:cs="Arial"/>
        <w:b/>
        <w:sz w:val="22"/>
        <w:szCs w:val="22"/>
      </w:rPr>
    </w:pPr>
    <w:r>
      <w:rPr>
        <w:rFonts w:ascii="Arial" w:hAnsi="Arial"/>
        <w:b/>
        <w:sz w:val="22"/>
        <w:szCs w:val="22"/>
      </w:rPr>
      <w:t>Paris, 4 mai 2018</w:t>
    </w:r>
  </w:p>
  <w:p w14:paraId="701DC5ED" w14:textId="77777777" w:rsidR="00D70BE7" w:rsidRDefault="00D70BE7" w:rsidP="0003619B">
    <w:pPr>
      <w:jc w:val="right"/>
      <w:rPr>
        <w:rFonts w:ascii="Arial" w:hAnsi="Arial" w:cs="Arial"/>
        <w:b/>
        <w:sz w:val="22"/>
        <w:szCs w:val="22"/>
      </w:rPr>
    </w:pPr>
    <w:r>
      <w:rPr>
        <w:rFonts w:ascii="Arial" w:hAnsi="Arial"/>
        <w:b/>
        <w:sz w:val="22"/>
        <w:szCs w:val="22"/>
      </w:rPr>
      <w:t>Original : anglais</w:t>
    </w:r>
  </w:p>
  <w:p w14:paraId="413EFBE6" w14:textId="77777777" w:rsidR="00D70BE7" w:rsidRPr="003501CD" w:rsidRDefault="00D70BE7" w:rsidP="000361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166B316E"/>
    <w:multiLevelType w:val="hybridMultilevel"/>
    <w:tmpl w:val="2D267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1"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AE0956"/>
    <w:multiLevelType w:val="hybridMultilevel"/>
    <w:tmpl w:val="C1E2AD1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4C76A9"/>
    <w:multiLevelType w:val="hybridMultilevel"/>
    <w:tmpl w:val="3A5EB622"/>
    <w:lvl w:ilvl="0" w:tplc="2F54011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344E47B5"/>
    <w:multiLevelType w:val="hybridMultilevel"/>
    <w:tmpl w:val="2F44D062"/>
    <w:lvl w:ilvl="0" w:tplc="4A82B6A4">
      <w:start w:val="1"/>
      <w:numFmt w:val="upperRoman"/>
      <w:pStyle w:val="Heading4"/>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F07BFE"/>
    <w:multiLevelType w:val="hybridMultilevel"/>
    <w:tmpl w:val="5B706B54"/>
    <w:lvl w:ilvl="0" w:tplc="6FB8652A">
      <w:start w:val="1"/>
      <w:numFmt w:val="decimal"/>
      <w:pStyle w:val="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CE778A"/>
    <w:multiLevelType w:val="hybridMultilevel"/>
    <w:tmpl w:val="A9A0FB06"/>
    <w:lvl w:ilvl="0" w:tplc="CB6A386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7A4DB1"/>
    <w:multiLevelType w:val="hybridMultilevel"/>
    <w:tmpl w:val="C4A44636"/>
    <w:lvl w:ilvl="0" w:tplc="B35A244C">
      <w:start w:val="1"/>
      <w:numFmt w:val="decimal"/>
      <w:pStyle w:val="GAParaResolu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0368E"/>
    <w:multiLevelType w:val="hybridMultilevel"/>
    <w:tmpl w:val="2582636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7A66CBA"/>
    <w:multiLevelType w:val="hybridMultilevel"/>
    <w:tmpl w:val="2676D780"/>
    <w:lvl w:ilvl="0" w:tplc="77080C30">
      <w:start w:val="1"/>
      <w:numFmt w:val="decimal"/>
      <w:lvlText w:val="%1."/>
      <w:lvlJc w:val="left"/>
      <w:pPr>
        <w:ind w:left="1137" w:hanging="570"/>
      </w:pPr>
      <w:rPr>
        <w:rFonts w:hint="default"/>
      </w:rPr>
    </w:lvl>
    <w:lvl w:ilvl="1" w:tplc="C8561FE2" w:tentative="1">
      <w:start w:val="1"/>
      <w:numFmt w:val="lowerLetter"/>
      <w:lvlText w:val="%2."/>
      <w:lvlJc w:val="left"/>
      <w:pPr>
        <w:ind w:left="1647" w:hanging="360"/>
      </w:pPr>
    </w:lvl>
    <w:lvl w:ilvl="2" w:tplc="8ED27B6C" w:tentative="1">
      <w:start w:val="1"/>
      <w:numFmt w:val="lowerRoman"/>
      <w:lvlText w:val="%3."/>
      <w:lvlJc w:val="right"/>
      <w:pPr>
        <w:ind w:left="2367" w:hanging="180"/>
      </w:pPr>
    </w:lvl>
    <w:lvl w:ilvl="3" w:tplc="4EF6A39E" w:tentative="1">
      <w:start w:val="1"/>
      <w:numFmt w:val="decimal"/>
      <w:lvlText w:val="%4."/>
      <w:lvlJc w:val="left"/>
      <w:pPr>
        <w:ind w:left="3087" w:hanging="360"/>
      </w:pPr>
    </w:lvl>
    <w:lvl w:ilvl="4" w:tplc="624C5D1A" w:tentative="1">
      <w:start w:val="1"/>
      <w:numFmt w:val="lowerLetter"/>
      <w:lvlText w:val="%5."/>
      <w:lvlJc w:val="left"/>
      <w:pPr>
        <w:ind w:left="3807" w:hanging="360"/>
      </w:pPr>
    </w:lvl>
    <w:lvl w:ilvl="5" w:tplc="33EE84A0" w:tentative="1">
      <w:start w:val="1"/>
      <w:numFmt w:val="lowerRoman"/>
      <w:lvlText w:val="%6."/>
      <w:lvlJc w:val="right"/>
      <w:pPr>
        <w:ind w:left="4527" w:hanging="180"/>
      </w:pPr>
    </w:lvl>
    <w:lvl w:ilvl="6" w:tplc="7A323466" w:tentative="1">
      <w:start w:val="1"/>
      <w:numFmt w:val="decimal"/>
      <w:lvlText w:val="%7."/>
      <w:lvlJc w:val="left"/>
      <w:pPr>
        <w:ind w:left="5247" w:hanging="360"/>
      </w:pPr>
    </w:lvl>
    <w:lvl w:ilvl="7" w:tplc="876830A4" w:tentative="1">
      <w:start w:val="1"/>
      <w:numFmt w:val="lowerLetter"/>
      <w:lvlText w:val="%8."/>
      <w:lvlJc w:val="left"/>
      <w:pPr>
        <w:ind w:left="5967" w:hanging="360"/>
      </w:pPr>
    </w:lvl>
    <w:lvl w:ilvl="8" w:tplc="5E265756" w:tentative="1">
      <w:start w:val="1"/>
      <w:numFmt w:val="lowerRoman"/>
      <w:lvlText w:val="%9."/>
      <w:lvlJc w:val="right"/>
      <w:pPr>
        <w:ind w:left="6687" w:hanging="180"/>
      </w:pPr>
    </w:lvl>
  </w:abstractNum>
  <w:abstractNum w:abstractNumId="35"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6"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1" w15:restartNumberingAfterBreak="0">
    <w:nsid w:val="5B5A4266"/>
    <w:multiLevelType w:val="hybridMultilevel"/>
    <w:tmpl w:val="F2D68366"/>
    <w:lvl w:ilvl="0" w:tplc="5C6872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6"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4"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45"/>
  </w:num>
  <w:num w:numId="2">
    <w:abstractNumId w:val="7"/>
  </w:num>
  <w:num w:numId="3">
    <w:abstractNumId w:val="26"/>
  </w:num>
  <w:num w:numId="4">
    <w:abstractNumId w:val="20"/>
  </w:num>
  <w:num w:numId="5">
    <w:abstractNumId w:val="34"/>
  </w:num>
  <w:num w:numId="6">
    <w:abstractNumId w:val="53"/>
  </w:num>
  <w:num w:numId="7">
    <w:abstractNumId w:val="22"/>
  </w:num>
  <w:num w:numId="8">
    <w:abstractNumId w:val="49"/>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23"/>
  </w:num>
  <w:num w:numId="13">
    <w:abstractNumId w:val="12"/>
  </w:num>
  <w:num w:numId="14">
    <w:abstractNumId w:val="15"/>
  </w:num>
  <w:num w:numId="15">
    <w:abstractNumId w:val="43"/>
  </w:num>
  <w:num w:numId="16">
    <w:abstractNumId w:val="13"/>
  </w:num>
  <w:num w:numId="17">
    <w:abstractNumId w:val="27"/>
  </w:num>
  <w:num w:numId="18">
    <w:abstractNumId w:val="10"/>
  </w:num>
  <w:num w:numId="19">
    <w:abstractNumId w:val="52"/>
  </w:num>
  <w:num w:numId="20">
    <w:abstractNumId w:val="8"/>
  </w:num>
  <w:num w:numId="21">
    <w:abstractNumId w:val="36"/>
  </w:num>
  <w:num w:numId="22">
    <w:abstractNumId w:val="55"/>
  </w:num>
  <w:num w:numId="23">
    <w:abstractNumId w:val="30"/>
  </w:num>
  <w:num w:numId="24">
    <w:abstractNumId w:val="28"/>
  </w:num>
  <w:num w:numId="25">
    <w:abstractNumId w:val="24"/>
  </w:num>
  <w:num w:numId="26">
    <w:abstractNumId w:val="40"/>
  </w:num>
  <w:num w:numId="27">
    <w:abstractNumId w:val="11"/>
  </w:num>
  <w:num w:numId="28">
    <w:abstractNumId w:val="3"/>
  </w:num>
  <w:num w:numId="29">
    <w:abstractNumId w:val="33"/>
  </w:num>
  <w:num w:numId="30">
    <w:abstractNumId w:val="42"/>
  </w:num>
  <w:num w:numId="31">
    <w:abstractNumId w:val="0"/>
  </w:num>
  <w:num w:numId="32">
    <w:abstractNumId w:val="6"/>
  </w:num>
  <w:num w:numId="33">
    <w:abstractNumId w:val="46"/>
  </w:num>
  <w:num w:numId="34">
    <w:abstractNumId w:val="5"/>
  </w:num>
  <w:num w:numId="35">
    <w:abstractNumId w:val="29"/>
  </w:num>
  <w:num w:numId="36">
    <w:abstractNumId w:val="18"/>
  </w:num>
  <w:num w:numId="37">
    <w:abstractNumId w:val="50"/>
  </w:num>
  <w:num w:numId="38">
    <w:abstractNumId w:val="14"/>
  </w:num>
  <w:num w:numId="39">
    <w:abstractNumId w:val="21"/>
  </w:num>
  <w:num w:numId="40">
    <w:abstractNumId w:val="48"/>
  </w:num>
  <w:num w:numId="41">
    <w:abstractNumId w:val="37"/>
  </w:num>
  <w:num w:numId="42">
    <w:abstractNumId w:val="35"/>
  </w:num>
  <w:num w:numId="43">
    <w:abstractNumId w:val="53"/>
    <w:lvlOverride w:ilvl="0">
      <w:startOverride w:val="1"/>
    </w:lvlOverride>
  </w:num>
  <w:num w:numId="44">
    <w:abstractNumId w:val="47"/>
  </w:num>
  <w:num w:numId="45">
    <w:abstractNumId w:val="56"/>
  </w:num>
  <w:num w:numId="46">
    <w:abstractNumId w:val="2"/>
  </w:num>
  <w:num w:numId="47">
    <w:abstractNumId w:val="25"/>
  </w:num>
  <w:num w:numId="48">
    <w:abstractNumId w:val="39"/>
  </w:num>
  <w:num w:numId="49">
    <w:abstractNumId w:val="4"/>
  </w:num>
  <w:num w:numId="50">
    <w:abstractNumId w:val="41"/>
  </w:num>
  <w:num w:numId="51">
    <w:abstractNumId w:val="16"/>
  </w:num>
  <w:num w:numId="52">
    <w:abstractNumId w:val="26"/>
    <w:lvlOverride w:ilvl="0">
      <w:startOverride w:val="1"/>
    </w:lvlOverride>
  </w:num>
  <w:num w:numId="53">
    <w:abstractNumId w:val="17"/>
  </w:num>
  <w:num w:numId="54">
    <w:abstractNumId w:val="54"/>
  </w:num>
  <w:num w:numId="55">
    <w:abstractNumId w:val="19"/>
  </w:num>
  <w:num w:numId="56">
    <w:abstractNumId w:val="38"/>
  </w:num>
  <w:num w:numId="57">
    <w:abstractNumId w:val="44"/>
  </w:num>
  <w:num w:numId="58">
    <w:abstractNumId w:val="31"/>
  </w:num>
  <w:num w:numId="59">
    <w:abstractNumId w:val="51"/>
  </w:num>
  <w:num w:numId="60">
    <w:abstractNumId w:val="1"/>
  </w:num>
  <w:num w:numId="61">
    <w:abstractNumId w:val="9"/>
  </w:num>
  <w:num w:numId="62">
    <w:abstractNumId w:val="26"/>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nl-NL" w:vendorID="64" w:dllVersion="131078" w:nlCheck="1" w:checkStyle="0"/>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601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4B"/>
    <w:rsid w:val="00005970"/>
    <w:rsid w:val="00020BFC"/>
    <w:rsid w:val="0003619B"/>
    <w:rsid w:val="0005176E"/>
    <w:rsid w:val="00052470"/>
    <w:rsid w:val="00071C40"/>
    <w:rsid w:val="00077AB7"/>
    <w:rsid w:val="00081CD8"/>
    <w:rsid w:val="0008329C"/>
    <w:rsid w:val="00083F35"/>
    <w:rsid w:val="000A4F2C"/>
    <w:rsid w:val="000A7F0E"/>
    <w:rsid w:val="000D0704"/>
    <w:rsid w:val="000D0FAF"/>
    <w:rsid w:val="000E68E1"/>
    <w:rsid w:val="000E6CD7"/>
    <w:rsid w:val="000E7939"/>
    <w:rsid w:val="000F3A3F"/>
    <w:rsid w:val="001363F8"/>
    <w:rsid w:val="001451A4"/>
    <w:rsid w:val="00153278"/>
    <w:rsid w:val="0015535E"/>
    <w:rsid w:val="001623CA"/>
    <w:rsid w:val="001633DA"/>
    <w:rsid w:val="00164D56"/>
    <w:rsid w:val="00167B10"/>
    <w:rsid w:val="001752F8"/>
    <w:rsid w:val="00176044"/>
    <w:rsid w:val="00190AB3"/>
    <w:rsid w:val="00196759"/>
    <w:rsid w:val="00196C1B"/>
    <w:rsid w:val="0019760E"/>
    <w:rsid w:val="001A74D3"/>
    <w:rsid w:val="001A766C"/>
    <w:rsid w:val="001B0F73"/>
    <w:rsid w:val="001F5452"/>
    <w:rsid w:val="00201966"/>
    <w:rsid w:val="00213BCD"/>
    <w:rsid w:val="00222A2D"/>
    <w:rsid w:val="002407AF"/>
    <w:rsid w:val="00243FDD"/>
    <w:rsid w:val="00261664"/>
    <w:rsid w:val="00263278"/>
    <w:rsid w:val="00287DDB"/>
    <w:rsid w:val="002A0D32"/>
    <w:rsid w:val="002A6C11"/>
    <w:rsid w:val="002B7905"/>
    <w:rsid w:val="002C0D14"/>
    <w:rsid w:val="002E3D25"/>
    <w:rsid w:val="002E58D4"/>
    <w:rsid w:val="003074FE"/>
    <w:rsid w:val="00317CBB"/>
    <w:rsid w:val="00320F7B"/>
    <w:rsid w:val="00330E08"/>
    <w:rsid w:val="00343487"/>
    <w:rsid w:val="00360B2D"/>
    <w:rsid w:val="0037656E"/>
    <w:rsid w:val="003845BE"/>
    <w:rsid w:val="003878B7"/>
    <w:rsid w:val="003C1678"/>
    <w:rsid w:val="003D069C"/>
    <w:rsid w:val="003D0709"/>
    <w:rsid w:val="003E07D8"/>
    <w:rsid w:val="003E0FBD"/>
    <w:rsid w:val="003E2A08"/>
    <w:rsid w:val="003E747B"/>
    <w:rsid w:val="003F113A"/>
    <w:rsid w:val="004071AE"/>
    <w:rsid w:val="00410A8C"/>
    <w:rsid w:val="00412348"/>
    <w:rsid w:val="00415AF0"/>
    <w:rsid w:val="004239C7"/>
    <w:rsid w:val="00426825"/>
    <w:rsid w:val="004318D0"/>
    <w:rsid w:val="00440F9B"/>
    <w:rsid w:val="004421E5"/>
    <w:rsid w:val="00443880"/>
    <w:rsid w:val="00447D03"/>
    <w:rsid w:val="00452284"/>
    <w:rsid w:val="004566DE"/>
    <w:rsid w:val="00465A46"/>
    <w:rsid w:val="00486380"/>
    <w:rsid w:val="00486D23"/>
    <w:rsid w:val="00486FF0"/>
    <w:rsid w:val="0049163C"/>
    <w:rsid w:val="0049705E"/>
    <w:rsid w:val="004B1243"/>
    <w:rsid w:val="004C7353"/>
    <w:rsid w:val="004E136D"/>
    <w:rsid w:val="004E236F"/>
    <w:rsid w:val="00500445"/>
    <w:rsid w:val="00514793"/>
    <w:rsid w:val="00523EED"/>
    <w:rsid w:val="00524717"/>
    <w:rsid w:val="00526B7B"/>
    <w:rsid w:val="005308CE"/>
    <w:rsid w:val="00547E42"/>
    <w:rsid w:val="005561D1"/>
    <w:rsid w:val="005601B8"/>
    <w:rsid w:val="0057439C"/>
    <w:rsid w:val="005A0C6A"/>
    <w:rsid w:val="005A6287"/>
    <w:rsid w:val="005A6463"/>
    <w:rsid w:val="005B0127"/>
    <w:rsid w:val="005B4A07"/>
    <w:rsid w:val="005C094D"/>
    <w:rsid w:val="005C20A6"/>
    <w:rsid w:val="005C4B73"/>
    <w:rsid w:val="005E4A5F"/>
    <w:rsid w:val="005E6D52"/>
    <w:rsid w:val="005F3EEB"/>
    <w:rsid w:val="00600D93"/>
    <w:rsid w:val="00627C5C"/>
    <w:rsid w:val="006311D9"/>
    <w:rsid w:val="00633880"/>
    <w:rsid w:val="00637A63"/>
    <w:rsid w:val="006475C8"/>
    <w:rsid w:val="00655685"/>
    <w:rsid w:val="00655736"/>
    <w:rsid w:val="00663B8D"/>
    <w:rsid w:val="00686698"/>
    <w:rsid w:val="006923BD"/>
    <w:rsid w:val="00694B1C"/>
    <w:rsid w:val="00696C8D"/>
    <w:rsid w:val="006A2AC2"/>
    <w:rsid w:val="006A3617"/>
    <w:rsid w:val="006A71D7"/>
    <w:rsid w:val="006B5001"/>
    <w:rsid w:val="006C572E"/>
    <w:rsid w:val="006C72EA"/>
    <w:rsid w:val="006D21D9"/>
    <w:rsid w:val="006E3DEA"/>
    <w:rsid w:val="006E46E4"/>
    <w:rsid w:val="006F1495"/>
    <w:rsid w:val="00700AE3"/>
    <w:rsid w:val="00717DBD"/>
    <w:rsid w:val="007335D3"/>
    <w:rsid w:val="00737590"/>
    <w:rsid w:val="007517CB"/>
    <w:rsid w:val="007558DC"/>
    <w:rsid w:val="00757C2A"/>
    <w:rsid w:val="0077205E"/>
    <w:rsid w:val="007836A9"/>
    <w:rsid w:val="00784B8C"/>
    <w:rsid w:val="00797E4D"/>
    <w:rsid w:val="007A587F"/>
    <w:rsid w:val="007B1A2E"/>
    <w:rsid w:val="007B4071"/>
    <w:rsid w:val="007E398A"/>
    <w:rsid w:val="008064F0"/>
    <w:rsid w:val="00812DD3"/>
    <w:rsid w:val="00814017"/>
    <w:rsid w:val="00814D09"/>
    <w:rsid w:val="00822FBE"/>
    <w:rsid w:val="0082334A"/>
    <w:rsid w:val="00823A11"/>
    <w:rsid w:val="00824EF7"/>
    <w:rsid w:val="00824FA0"/>
    <w:rsid w:val="00834A9C"/>
    <w:rsid w:val="00843CE2"/>
    <w:rsid w:val="0085414A"/>
    <w:rsid w:val="0085441F"/>
    <w:rsid w:val="00857276"/>
    <w:rsid w:val="0086269D"/>
    <w:rsid w:val="00863FAD"/>
    <w:rsid w:val="008712A2"/>
    <w:rsid w:val="008724E5"/>
    <w:rsid w:val="00884A9D"/>
    <w:rsid w:val="008968DE"/>
    <w:rsid w:val="008A4E1E"/>
    <w:rsid w:val="008C12E1"/>
    <w:rsid w:val="008C296C"/>
    <w:rsid w:val="008D4305"/>
    <w:rsid w:val="008D4E95"/>
    <w:rsid w:val="008E5F36"/>
    <w:rsid w:val="008E7076"/>
    <w:rsid w:val="00907100"/>
    <w:rsid w:val="00913D86"/>
    <w:rsid w:val="0091520B"/>
    <w:rsid w:val="009163A7"/>
    <w:rsid w:val="009166DB"/>
    <w:rsid w:val="00925054"/>
    <w:rsid w:val="0092679B"/>
    <w:rsid w:val="00944BBD"/>
    <w:rsid w:val="00962119"/>
    <w:rsid w:val="00974249"/>
    <w:rsid w:val="0099095E"/>
    <w:rsid w:val="009A0D28"/>
    <w:rsid w:val="009A18CD"/>
    <w:rsid w:val="009A28E7"/>
    <w:rsid w:val="009F3C4B"/>
    <w:rsid w:val="00A0254B"/>
    <w:rsid w:val="00A12558"/>
    <w:rsid w:val="00A13903"/>
    <w:rsid w:val="00A23323"/>
    <w:rsid w:val="00A26A0A"/>
    <w:rsid w:val="00A2717E"/>
    <w:rsid w:val="00A34ED5"/>
    <w:rsid w:val="00A45DBF"/>
    <w:rsid w:val="00A52E74"/>
    <w:rsid w:val="00A62C81"/>
    <w:rsid w:val="00A755A2"/>
    <w:rsid w:val="00A82031"/>
    <w:rsid w:val="00A841F7"/>
    <w:rsid w:val="00A90761"/>
    <w:rsid w:val="00AA0DD0"/>
    <w:rsid w:val="00AB2C36"/>
    <w:rsid w:val="00AC08F9"/>
    <w:rsid w:val="00AD0B35"/>
    <w:rsid w:val="00AD14C3"/>
    <w:rsid w:val="00AD1A86"/>
    <w:rsid w:val="00AD241C"/>
    <w:rsid w:val="00AD3888"/>
    <w:rsid w:val="00AD4A27"/>
    <w:rsid w:val="00AE0C2C"/>
    <w:rsid w:val="00AE103E"/>
    <w:rsid w:val="00AF0A07"/>
    <w:rsid w:val="00AF625E"/>
    <w:rsid w:val="00B010EE"/>
    <w:rsid w:val="00B037E4"/>
    <w:rsid w:val="00B03B7D"/>
    <w:rsid w:val="00B26636"/>
    <w:rsid w:val="00B33257"/>
    <w:rsid w:val="00B45FAE"/>
    <w:rsid w:val="00B668C2"/>
    <w:rsid w:val="00B90FF7"/>
    <w:rsid w:val="00B910A5"/>
    <w:rsid w:val="00B93246"/>
    <w:rsid w:val="00BA05DD"/>
    <w:rsid w:val="00BC149D"/>
    <w:rsid w:val="00BD52C9"/>
    <w:rsid w:val="00BD7C1C"/>
    <w:rsid w:val="00BE6354"/>
    <w:rsid w:val="00C11FA1"/>
    <w:rsid w:val="00C15398"/>
    <w:rsid w:val="00C345CC"/>
    <w:rsid w:val="00C462F9"/>
    <w:rsid w:val="00C5038B"/>
    <w:rsid w:val="00C55D60"/>
    <w:rsid w:val="00C61E85"/>
    <w:rsid w:val="00C668C5"/>
    <w:rsid w:val="00C66FA0"/>
    <w:rsid w:val="00C70EA7"/>
    <w:rsid w:val="00C73BCC"/>
    <w:rsid w:val="00C7516E"/>
    <w:rsid w:val="00C92689"/>
    <w:rsid w:val="00C929B3"/>
    <w:rsid w:val="00CA1415"/>
    <w:rsid w:val="00CB6A9E"/>
    <w:rsid w:val="00CC23A6"/>
    <w:rsid w:val="00CE3C89"/>
    <w:rsid w:val="00D134C7"/>
    <w:rsid w:val="00D24360"/>
    <w:rsid w:val="00D24877"/>
    <w:rsid w:val="00D365B1"/>
    <w:rsid w:val="00D42267"/>
    <w:rsid w:val="00D42591"/>
    <w:rsid w:val="00D5059C"/>
    <w:rsid w:val="00D50A1B"/>
    <w:rsid w:val="00D53F4C"/>
    <w:rsid w:val="00D70BE7"/>
    <w:rsid w:val="00D74B95"/>
    <w:rsid w:val="00D75D42"/>
    <w:rsid w:val="00DA36ED"/>
    <w:rsid w:val="00DA4385"/>
    <w:rsid w:val="00DB4A84"/>
    <w:rsid w:val="00DB6C7F"/>
    <w:rsid w:val="00DE032F"/>
    <w:rsid w:val="00DE34F1"/>
    <w:rsid w:val="00DE3B07"/>
    <w:rsid w:val="00DE55BF"/>
    <w:rsid w:val="00DF1061"/>
    <w:rsid w:val="00DF4942"/>
    <w:rsid w:val="00E04D98"/>
    <w:rsid w:val="00E2026D"/>
    <w:rsid w:val="00E22288"/>
    <w:rsid w:val="00E26319"/>
    <w:rsid w:val="00E270A6"/>
    <w:rsid w:val="00E35363"/>
    <w:rsid w:val="00E375AE"/>
    <w:rsid w:val="00E375E6"/>
    <w:rsid w:val="00E5496D"/>
    <w:rsid w:val="00E627B1"/>
    <w:rsid w:val="00E75669"/>
    <w:rsid w:val="00E9376C"/>
    <w:rsid w:val="00E9422B"/>
    <w:rsid w:val="00EA13E6"/>
    <w:rsid w:val="00EB00BC"/>
    <w:rsid w:val="00EB0D99"/>
    <w:rsid w:val="00EB1658"/>
    <w:rsid w:val="00EB5519"/>
    <w:rsid w:val="00EC2F2D"/>
    <w:rsid w:val="00ED55F1"/>
    <w:rsid w:val="00ED72CD"/>
    <w:rsid w:val="00EE3254"/>
    <w:rsid w:val="00EF57EE"/>
    <w:rsid w:val="00EF64C8"/>
    <w:rsid w:val="00F022E3"/>
    <w:rsid w:val="00F079E6"/>
    <w:rsid w:val="00F155F9"/>
    <w:rsid w:val="00F21C0B"/>
    <w:rsid w:val="00F27E8F"/>
    <w:rsid w:val="00F430E0"/>
    <w:rsid w:val="00F475EF"/>
    <w:rsid w:val="00F576CB"/>
    <w:rsid w:val="00F62449"/>
    <w:rsid w:val="00F71460"/>
    <w:rsid w:val="00F8150E"/>
    <w:rsid w:val="00FA3E69"/>
    <w:rsid w:val="00FA6B4B"/>
    <w:rsid w:val="00FC2940"/>
    <w:rsid w:val="00FC2DE6"/>
    <w:rsid w:val="00FC314F"/>
    <w:rsid w:val="00FC63DD"/>
    <w:rsid w:val="00FD122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8E9F2B1"/>
  <w15:docId w15:val="{E23BD822-32F8-4B08-B1CD-B8A9E019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2A08"/>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2E58D4"/>
    <w:pPr>
      <w:keepNext/>
      <w:numPr>
        <w:numId w:val="4"/>
      </w:numPr>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bodytext">
    <w:name w:val="GA Para body text"/>
    <w:basedOn w:val="Marge"/>
    <w:qFormat/>
    <w:rsid w:val="00F62449"/>
    <w:pPr>
      <w:numPr>
        <w:numId w:val="7"/>
      </w:numPr>
      <w:spacing w:after="120"/>
      <w:ind w:left="567" w:hanging="567"/>
    </w:pPr>
    <w:rPr>
      <w:rFonts w:cs="Arial"/>
      <w:szCs w:val="22"/>
    </w:rPr>
  </w:style>
  <w:style w:type="paragraph" w:customStyle="1" w:styleId="GATitleResolution">
    <w:name w:val="GA Title Resolution"/>
    <w:basedOn w:val="Marge"/>
    <w:qFormat/>
    <w:rsid w:val="00BC149D"/>
    <w:pPr>
      <w:keepNext/>
      <w:spacing w:before="360" w:after="120"/>
    </w:pPr>
    <w:rPr>
      <w:rFonts w:eastAsia="SimSun" w:cs="Arial"/>
      <w:b/>
      <w:szCs w:val="22"/>
    </w:rPr>
  </w:style>
  <w:style w:type="paragraph" w:customStyle="1" w:styleId="GAPreambulaResolution">
    <w:name w:val="GA Preambula Resolution"/>
    <w:basedOn w:val="Marge"/>
    <w:qFormat/>
    <w:rsid w:val="00BC149D"/>
    <w:pPr>
      <w:keepNext/>
      <w:spacing w:after="120"/>
    </w:pPr>
    <w:rPr>
      <w:rFonts w:eastAsia="SimSun" w:cs="Arial"/>
      <w:szCs w:val="22"/>
    </w:rPr>
  </w:style>
  <w:style w:type="paragraph" w:customStyle="1" w:styleId="GAParaResolution">
    <w:name w:val="GA Para Resolution"/>
    <w:basedOn w:val="Normal"/>
    <w:qFormat/>
    <w:rsid w:val="001A766C"/>
    <w:pPr>
      <w:numPr>
        <w:numId w:val="3"/>
      </w:numPr>
      <w:autoSpaceDE w:val="0"/>
      <w:autoSpaceDN w:val="0"/>
      <w:adjustRightInd w:val="0"/>
      <w:spacing w:after="120"/>
      <w:jc w:val="both"/>
    </w:pPr>
    <w:rPr>
      <w:rFonts w:ascii="Arial" w:hAnsi="Arial" w:cs="Arial"/>
      <w:sz w:val="22"/>
      <w:szCs w:val="22"/>
      <w:u w:val="single"/>
    </w:rPr>
  </w:style>
  <w:style w:type="paragraph" w:styleId="ListParagraph">
    <w:name w:val="List Paragraph"/>
    <w:basedOn w:val="Normal"/>
    <w:uiPriority w:val="34"/>
    <w:qFormat/>
    <w:rsid w:val="00A0254B"/>
    <w:pPr>
      <w:ind w:left="720"/>
      <w:contextualSpacing/>
    </w:pPr>
  </w:style>
  <w:style w:type="character" w:customStyle="1" w:styleId="hps">
    <w:name w:val="hps"/>
    <w:rsid w:val="00A0254B"/>
  </w:style>
  <w:style w:type="paragraph" w:customStyle="1" w:styleId="5GAparabodytext">
    <w:name w:val="5GA para body text"/>
    <w:basedOn w:val="Marge"/>
    <w:autoRedefine/>
    <w:qFormat/>
    <w:rsid w:val="00F475EF"/>
    <w:pPr>
      <w:keepNext/>
      <w:tabs>
        <w:tab w:val="clear" w:pos="567"/>
      </w:tabs>
      <w:snapToGrid/>
      <w:spacing w:before="360"/>
      <w:jc w:val="center"/>
    </w:pPr>
    <w:rPr>
      <w:rFonts w:cs="Arial"/>
      <w:b/>
      <w:szCs w:val="22"/>
      <w:lang w:eastAsia="fr-FR"/>
    </w:rPr>
  </w:style>
  <w:style w:type="character" w:styleId="Hyperlink">
    <w:name w:val="Hyperlink"/>
    <w:unhideWhenUsed/>
    <w:rsid w:val="00A0254B"/>
    <w:rPr>
      <w:color w:val="0000FF"/>
      <w:u w:val="single"/>
      <w:lang w:val="fr-FR" w:eastAsia="fr-FR"/>
    </w:rPr>
  </w:style>
  <w:style w:type="paragraph" w:styleId="FootnoteText">
    <w:name w:val="footnote text"/>
    <w:basedOn w:val="Normal"/>
    <w:link w:val="FootnoteTextChar"/>
    <w:uiPriority w:val="99"/>
    <w:unhideWhenUsed/>
    <w:rsid w:val="00A0254B"/>
    <w:rPr>
      <w:sz w:val="20"/>
      <w:szCs w:val="20"/>
    </w:rPr>
  </w:style>
  <w:style w:type="character" w:customStyle="1" w:styleId="FootnoteTextChar">
    <w:name w:val="Footnote Text Char"/>
    <w:basedOn w:val="DefaultParagraphFont"/>
    <w:link w:val="FootnoteText"/>
    <w:uiPriority w:val="99"/>
    <w:rsid w:val="00A0254B"/>
    <w:rPr>
      <w:rFonts w:ascii="Times New Roman" w:eastAsia="Times New Roman" w:hAnsi="Times New Roman"/>
    </w:rPr>
  </w:style>
  <w:style w:type="character" w:styleId="FootnoteReference">
    <w:name w:val="footnote reference"/>
    <w:uiPriority w:val="99"/>
    <w:unhideWhenUsed/>
    <w:rsid w:val="00A0254B"/>
    <w:rPr>
      <w:vertAlign w:val="superscript"/>
      <w:lang w:val="fr-FR" w:eastAsia="fr-FR"/>
    </w:rPr>
  </w:style>
  <w:style w:type="paragraph" w:customStyle="1" w:styleId="Default">
    <w:name w:val="Default"/>
    <w:link w:val="DefaultChar"/>
    <w:uiPriority w:val="99"/>
    <w:rsid w:val="00A0254B"/>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0254B"/>
    <w:rPr>
      <w:rFonts w:ascii="Arial" w:hAnsi="Arial" w:cs="Arial"/>
      <w:color w:val="000000"/>
      <w:sz w:val="24"/>
      <w:szCs w:val="24"/>
    </w:rPr>
  </w:style>
  <w:style w:type="paragraph" w:customStyle="1" w:styleId="5GAParaResolution">
    <w:name w:val="5GA Para Resolution"/>
    <w:basedOn w:val="Normal"/>
    <w:qFormat/>
    <w:rsid w:val="00A0254B"/>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A0254B"/>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A0254B"/>
    <w:pPr>
      <w:keepNext/>
      <w:spacing w:after="120"/>
      <w:ind w:left="567"/>
      <w:jc w:val="both"/>
    </w:pPr>
    <w:rPr>
      <w:rFonts w:ascii="Arial" w:hAnsi="Arial" w:cs="Arial"/>
      <w:sz w:val="22"/>
      <w:szCs w:val="22"/>
    </w:rPr>
  </w:style>
  <w:style w:type="paragraph" w:customStyle="1" w:styleId="GAPara">
    <w:name w:val="GA Para"/>
    <w:qFormat/>
    <w:rsid w:val="00A0254B"/>
    <w:pPr>
      <w:spacing w:after="120"/>
    </w:pPr>
    <w:rPr>
      <w:rFonts w:ascii="Arial" w:eastAsia="Times New Roman" w:hAnsi="Arial" w:cs="Arial"/>
      <w:snapToGrid w:val="0"/>
      <w:sz w:val="22"/>
      <w:szCs w:val="22"/>
    </w:rPr>
  </w:style>
  <w:style w:type="paragraph" w:customStyle="1" w:styleId="COMPreambulaDecision">
    <w:name w:val="COM Preambula Decision"/>
    <w:basedOn w:val="Normal"/>
    <w:qFormat/>
    <w:rsid w:val="00637A63"/>
    <w:pPr>
      <w:keepNext/>
      <w:tabs>
        <w:tab w:val="left" w:pos="567"/>
      </w:tabs>
      <w:snapToGrid w:val="0"/>
      <w:spacing w:after="120"/>
      <w:ind w:left="567"/>
      <w:jc w:val="both"/>
    </w:pPr>
    <w:rPr>
      <w:rFonts w:ascii="Arial" w:eastAsia="SimSun" w:hAnsi="Arial" w:cs="Arial"/>
      <w:snapToGrid w:val="0"/>
      <w:sz w:val="22"/>
      <w:szCs w:val="22"/>
      <w:lang w:eastAsia="en-US"/>
    </w:rPr>
  </w:style>
  <w:style w:type="paragraph" w:customStyle="1" w:styleId="COMParaDecision">
    <w:name w:val="COM Para Decision"/>
    <w:basedOn w:val="Normal"/>
    <w:qFormat/>
    <w:rsid w:val="00637A63"/>
    <w:pPr>
      <w:autoSpaceDE w:val="0"/>
      <w:autoSpaceDN w:val="0"/>
      <w:adjustRightInd w:val="0"/>
      <w:spacing w:after="120"/>
      <w:ind w:left="1134" w:hanging="567"/>
      <w:jc w:val="both"/>
    </w:pPr>
    <w:rPr>
      <w:rFonts w:ascii="Arial" w:hAnsi="Arial" w:cs="Arial"/>
      <w:sz w:val="22"/>
      <w:szCs w:val="22"/>
      <w:u w:val="single"/>
    </w:rPr>
  </w:style>
  <w:style w:type="paragraph" w:customStyle="1" w:styleId="COMTitleDecision">
    <w:name w:val="COM Title Decision"/>
    <w:basedOn w:val="Normal"/>
    <w:qFormat/>
    <w:rsid w:val="00BC149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C149D"/>
    <w:pPr>
      <w:keepNext/>
      <w:spacing w:after="120"/>
      <w:ind w:left="567"/>
      <w:jc w:val="both"/>
    </w:pPr>
    <w:rPr>
      <w:rFonts w:ascii="Arial" w:hAnsi="Arial" w:cs="Arial"/>
      <w:sz w:val="22"/>
      <w:szCs w:val="22"/>
      <w:lang w:val="en-GB"/>
    </w:rPr>
  </w:style>
  <w:style w:type="paragraph" w:customStyle="1" w:styleId="i">
    <w:name w:val="(i)"/>
    <w:basedOn w:val="Normal"/>
    <w:link w:val="iChar"/>
    <w:autoRedefine/>
    <w:qFormat/>
    <w:rsid w:val="00F022E3"/>
    <w:pPr>
      <w:numPr>
        <w:numId w:val="6"/>
      </w:numPr>
      <w:autoSpaceDE w:val="0"/>
      <w:autoSpaceDN w:val="0"/>
      <w:adjustRightInd w:val="0"/>
      <w:spacing w:before="120" w:after="120"/>
      <w:ind w:right="284"/>
      <w:jc w:val="both"/>
    </w:pPr>
    <w:rPr>
      <w:rFonts w:ascii="Arial" w:eastAsia="SimSun" w:hAnsi="Arial" w:cs="Arial"/>
      <w:w w:val="90"/>
      <w:sz w:val="22"/>
      <w:szCs w:val="22"/>
      <w:lang w:bidi="fr-FR"/>
    </w:rPr>
  </w:style>
  <w:style w:type="paragraph" w:customStyle="1" w:styleId="U1">
    <w:name w:val="U.1"/>
    <w:basedOn w:val="Normal"/>
    <w:qFormat/>
    <w:rsid w:val="00083F35"/>
    <w:pPr>
      <w:widowControl w:val="0"/>
      <w:tabs>
        <w:tab w:val="left" w:pos="1701"/>
      </w:tabs>
      <w:autoSpaceDE w:val="0"/>
      <w:autoSpaceDN w:val="0"/>
      <w:adjustRightInd w:val="0"/>
      <w:spacing w:after="120"/>
      <w:ind w:left="1701" w:hanging="567"/>
    </w:pPr>
    <w:rPr>
      <w:rFonts w:ascii="Arial" w:eastAsia="SimSun" w:hAnsi="Arial" w:cs="Arial"/>
      <w:sz w:val="22"/>
      <w:szCs w:val="22"/>
      <w:lang w:bidi="fr-FR"/>
    </w:rPr>
  </w:style>
  <w:style w:type="paragraph" w:customStyle="1" w:styleId="dates">
    <w:name w:val="dates"/>
    <w:basedOn w:val="Normal"/>
    <w:qFormat/>
    <w:rsid w:val="00083F35"/>
    <w:pPr>
      <w:widowControl w:val="0"/>
      <w:tabs>
        <w:tab w:val="left" w:pos="2268"/>
      </w:tabs>
      <w:autoSpaceDE w:val="0"/>
      <w:autoSpaceDN w:val="0"/>
      <w:adjustRightInd w:val="0"/>
      <w:spacing w:after="120"/>
      <w:ind w:left="2268" w:hanging="1134"/>
    </w:pPr>
    <w:rPr>
      <w:rFonts w:ascii="Arial" w:eastAsia="SimSun" w:hAnsi="Arial" w:cs="Arial"/>
      <w:w w:val="90"/>
      <w:sz w:val="22"/>
      <w:szCs w:val="22"/>
      <w:lang w:bidi="fr-FR"/>
    </w:rPr>
  </w:style>
  <w:style w:type="paragraph" w:customStyle="1" w:styleId="1">
    <w:name w:val="1."/>
    <w:basedOn w:val="Normal"/>
    <w:link w:val="1Char"/>
    <w:qFormat/>
    <w:rsid w:val="00083F35"/>
    <w:pPr>
      <w:widowControl w:val="0"/>
      <w:tabs>
        <w:tab w:val="left" w:pos="1134"/>
      </w:tabs>
      <w:autoSpaceDE w:val="0"/>
      <w:autoSpaceDN w:val="0"/>
      <w:adjustRightInd w:val="0"/>
      <w:spacing w:after="120"/>
      <w:ind w:left="1134" w:hanging="567"/>
    </w:pPr>
    <w:rPr>
      <w:rFonts w:ascii="Arial" w:eastAsiaTheme="minorEastAsia" w:hAnsi="Arial" w:cs="Arial"/>
      <w:sz w:val="22"/>
      <w:szCs w:val="22"/>
      <w:lang w:bidi="fr-FR"/>
    </w:rPr>
  </w:style>
  <w:style w:type="character" w:customStyle="1" w:styleId="1Char">
    <w:name w:val="1. Char"/>
    <w:basedOn w:val="DefaultParagraphFont"/>
    <w:link w:val="1"/>
    <w:rsid w:val="00083F35"/>
    <w:rPr>
      <w:rFonts w:ascii="Arial" w:eastAsiaTheme="minorEastAsia" w:hAnsi="Arial" w:cs="Arial"/>
      <w:sz w:val="22"/>
      <w:szCs w:val="22"/>
      <w:lang w:bidi="fr-FR"/>
    </w:rPr>
  </w:style>
  <w:style w:type="paragraph" w:customStyle="1" w:styleId="COMParabodytext">
    <w:name w:val="COM Para body text"/>
    <w:basedOn w:val="Marge"/>
    <w:qFormat/>
    <w:rsid w:val="00E2026D"/>
    <w:pPr>
      <w:spacing w:after="120"/>
      <w:ind w:left="567" w:hanging="567"/>
    </w:pPr>
    <w:rPr>
      <w:rFonts w:cs="Arial"/>
      <w:szCs w:val="22"/>
      <w:lang w:val="en-US"/>
    </w:rPr>
  </w:style>
  <w:style w:type="character" w:customStyle="1" w:styleId="st1">
    <w:name w:val="st1"/>
    <w:rsid w:val="006C72EA"/>
  </w:style>
  <w:style w:type="character" w:customStyle="1" w:styleId="iChar">
    <w:name w:val="(i) Char"/>
    <w:link w:val="i"/>
    <w:locked/>
    <w:rsid w:val="00514793"/>
    <w:rPr>
      <w:rFonts w:ascii="Arial" w:hAnsi="Arial" w:cs="Arial"/>
      <w:w w:val="90"/>
      <w:sz w:val="22"/>
      <w:szCs w:val="22"/>
      <w:lang w:bidi="fr-FR"/>
    </w:rPr>
  </w:style>
  <w:style w:type="paragraph" w:customStyle="1" w:styleId="alina">
    <w:name w:val="alinéa"/>
    <w:basedOn w:val="Normal"/>
    <w:rsid w:val="00C92689"/>
    <w:pPr>
      <w:spacing w:after="240"/>
      <w:ind w:left="567"/>
      <w:jc w:val="both"/>
    </w:pPr>
    <w:rPr>
      <w:rFonts w:ascii="Arial" w:hAnsi="Arial"/>
      <w:snapToGrid w:val="0"/>
      <w:lang w:bidi="fr-FR"/>
    </w:rPr>
  </w:style>
  <w:style w:type="paragraph" w:customStyle="1" w:styleId="c">
    <w:name w:val="(c)"/>
    <w:basedOn w:val="Normal"/>
    <w:rsid w:val="00C92689"/>
    <w:pPr>
      <w:tabs>
        <w:tab w:val="left" w:pos="1701"/>
      </w:tabs>
      <w:spacing w:after="240"/>
      <w:ind w:left="1701" w:hanging="567"/>
      <w:jc w:val="both"/>
    </w:pPr>
    <w:rPr>
      <w:rFonts w:ascii="Arial" w:hAnsi="Arial"/>
      <w:lang w:bidi="fr-FR"/>
    </w:rPr>
  </w:style>
  <w:style w:type="character" w:styleId="CommentReference">
    <w:name w:val="annotation reference"/>
    <w:basedOn w:val="DefaultParagraphFont"/>
    <w:uiPriority w:val="99"/>
    <w:semiHidden/>
    <w:unhideWhenUsed/>
    <w:rsid w:val="00E26319"/>
    <w:rPr>
      <w:sz w:val="16"/>
      <w:szCs w:val="16"/>
    </w:rPr>
  </w:style>
  <w:style w:type="paragraph" w:styleId="CommentText">
    <w:name w:val="annotation text"/>
    <w:basedOn w:val="Normal"/>
    <w:link w:val="CommentTextChar"/>
    <w:uiPriority w:val="99"/>
    <w:semiHidden/>
    <w:unhideWhenUsed/>
    <w:rsid w:val="00E26319"/>
    <w:rPr>
      <w:sz w:val="20"/>
      <w:szCs w:val="20"/>
    </w:rPr>
  </w:style>
  <w:style w:type="character" w:customStyle="1" w:styleId="CommentTextChar">
    <w:name w:val="Comment Text Char"/>
    <w:basedOn w:val="DefaultParagraphFont"/>
    <w:link w:val="CommentText"/>
    <w:uiPriority w:val="99"/>
    <w:semiHidden/>
    <w:rsid w:val="00E2631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26319"/>
    <w:rPr>
      <w:b/>
      <w:bCs/>
    </w:rPr>
  </w:style>
  <w:style w:type="character" w:customStyle="1" w:styleId="CommentSubjectChar">
    <w:name w:val="Comment Subject Char"/>
    <w:basedOn w:val="CommentTextChar"/>
    <w:link w:val="CommentSubject"/>
    <w:uiPriority w:val="99"/>
    <w:semiHidden/>
    <w:rsid w:val="00E26319"/>
    <w:rPr>
      <w:rFonts w:ascii="Times New Roman" w:eastAsia="Times New Roman" w:hAnsi="Times New Roman"/>
      <w:b/>
      <w:bCs/>
    </w:rPr>
  </w:style>
  <w:style w:type="paragraph" w:styleId="Revision">
    <w:name w:val="Revision"/>
    <w:hidden/>
    <w:uiPriority w:val="99"/>
    <w:semiHidden/>
    <w:rsid w:val="00330E08"/>
    <w:rPr>
      <w:rFonts w:ascii="Times New Roman" w:eastAsia="Times New Roman" w:hAnsi="Times New Roman"/>
      <w:sz w:val="24"/>
      <w:szCs w:val="24"/>
    </w:rPr>
  </w:style>
  <w:style w:type="paragraph" w:customStyle="1" w:styleId="COMPara">
    <w:name w:val="COM Para"/>
    <w:qFormat/>
    <w:rsid w:val="00AE0C2C"/>
    <w:p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655685"/>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E5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1.xml"/><Relationship Id="rId42" Type="http://schemas.openxmlformats.org/officeDocument/2006/relationships/hyperlink" Target="https://ich.unesco.org/doc/src/37594.pdf" TargetMode="External"/><Relationship Id="rId47" Type="http://schemas.openxmlformats.org/officeDocument/2006/relationships/hyperlink" Target="https://ich.unesco.org/doc/src/37599.pdf" TargetMode="External"/><Relationship Id="rId63" Type="http://schemas.openxmlformats.org/officeDocument/2006/relationships/hyperlink" Target="https://ich.unesco.org/doc/src/ITH-18-7.GA-13-FR.docx" TargetMode="External"/><Relationship Id="rId68" Type="http://schemas.openxmlformats.org/officeDocument/2006/relationships/hyperlink" Target="http://unesdoc.unesco.org/images/0026/002608/260889f.pdf" TargetMode="External"/><Relationship Id="rId16" Type="http://schemas.openxmlformats.org/officeDocument/2006/relationships/hyperlink" Target="https://ich.unesco.org/doc/src/ITH-18-7.GA-7-FR.docx" TargetMode="External"/><Relationship Id="rId11" Type="http://schemas.openxmlformats.org/officeDocument/2006/relationships/hyperlink" Target="https://ich.unesco.org/fr/Resolutions/3.GA/12" TargetMode="External"/><Relationship Id="rId24" Type="http://schemas.openxmlformats.org/officeDocument/2006/relationships/header" Target="header4.xml"/><Relationship Id="rId32" Type="http://schemas.openxmlformats.org/officeDocument/2006/relationships/hyperlink" Target="https://ich.unesco.org/fr/Decisions/12.COM/17" TargetMode="External"/><Relationship Id="rId37" Type="http://schemas.openxmlformats.org/officeDocument/2006/relationships/hyperlink" Target="https://ich.unesco.org/doc/src/37604-FR.pdf" TargetMode="External"/><Relationship Id="rId40" Type="http://schemas.openxmlformats.org/officeDocument/2006/relationships/hyperlink" Target="https://ich.unesco.org/doc/src/37505.pdf" TargetMode="External"/><Relationship Id="rId45" Type="http://schemas.openxmlformats.org/officeDocument/2006/relationships/hyperlink" Target="https://ich.unesco.org/doc/src/37586.pdf" TargetMode="External"/><Relationship Id="rId53" Type="http://schemas.openxmlformats.org/officeDocument/2006/relationships/hyperlink" Target="https://ich.unesco.org/doc/src/37589.pdf" TargetMode="External"/><Relationship Id="rId58" Type="http://schemas.openxmlformats.org/officeDocument/2006/relationships/hyperlink" Target="https://ich.unesco.org/doc/src/37503-EN.pdf" TargetMode="External"/><Relationship Id="rId66" Type="http://schemas.openxmlformats.org/officeDocument/2006/relationships/hyperlink" Target="https://ich.unesco.org/fr/Decisions/12.COM/16" TargetMode="External"/><Relationship Id="rId74" Type="http://schemas.openxmlformats.org/officeDocument/2006/relationships/hyperlink" Target="https://ich.unesco.org/doc/src/ITH-18-7.GA-12-FR.docx"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ch.unesco.org/doc/src/37595.pdf" TargetMode="External"/><Relationship Id="rId19" Type="http://schemas.openxmlformats.org/officeDocument/2006/relationships/hyperlink" Target="https://ich.unesco.org/doc/src/ITH-18-7.GA-INF.8-FR.docx" TargetMode="External"/><Relationship Id="rId14" Type="http://schemas.openxmlformats.org/officeDocument/2006/relationships/hyperlink" Target="https://ich.unesco.org/fr/Decisions/11.COM/10" TargetMode="External"/><Relationship Id="rId22" Type="http://schemas.openxmlformats.org/officeDocument/2006/relationships/header" Target="header2.xml"/><Relationship Id="rId27" Type="http://schemas.openxmlformats.org/officeDocument/2006/relationships/hyperlink" Target="https://ich.unesco.org/doc/src/ITH-18-7.GA-10_Rev.-FR.docx" TargetMode="External"/><Relationship Id="rId30" Type="http://schemas.openxmlformats.org/officeDocument/2006/relationships/hyperlink" Target="https://ich.unesco.org/fr" TargetMode="External"/><Relationship Id="rId35" Type="http://schemas.openxmlformats.org/officeDocument/2006/relationships/hyperlink" Target="https://ich.unesco.org/doc/src/37519.pdf" TargetMode="External"/><Relationship Id="rId43" Type="http://schemas.openxmlformats.org/officeDocument/2006/relationships/hyperlink" Target="https://ich.unesco.org/doc/src/37576.pdf" TargetMode="External"/><Relationship Id="rId48" Type="http://schemas.openxmlformats.org/officeDocument/2006/relationships/hyperlink" Target="https://ich.unesco.org/doc/src/37568-EN.pdf" TargetMode="External"/><Relationship Id="rId56" Type="http://schemas.openxmlformats.org/officeDocument/2006/relationships/hyperlink" Target="https://ich.unesco.org/doc/src/37571.pdf" TargetMode="External"/><Relationship Id="rId64" Type="http://schemas.openxmlformats.org/officeDocument/2006/relationships/hyperlink" Target="https://ich.unesco.org/fr/Decisions/11.COM/7" TargetMode="External"/><Relationship Id="rId69" Type="http://schemas.openxmlformats.org/officeDocument/2006/relationships/hyperlink" Target="https://ich.unesco.org/fr/resolutions/6.GA/11?dec=resolutions&amp;ref_decision=6.GA" TargetMode="External"/><Relationship Id="rId77" Type="http://schemas.openxmlformats.org/officeDocument/2006/relationships/header" Target="header8.xml"/><Relationship Id="rId8" Type="http://schemas.openxmlformats.org/officeDocument/2006/relationships/hyperlink" Target="https://ich.unesco.org/doc/src/ITH-18-7.GA-2-FR.docx" TargetMode="External"/><Relationship Id="rId51" Type="http://schemas.openxmlformats.org/officeDocument/2006/relationships/hyperlink" Target="https://ich.unesco.org/doc/src/37551-EN.pdf" TargetMode="External"/><Relationship Id="rId72" Type="http://schemas.openxmlformats.org/officeDocument/2006/relationships/hyperlink" Target="https://ich.unesco.org/fr/decisions/12.COM/13"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doc/src/ITH-18-7.GA-7-FR.docx" TargetMode="External"/><Relationship Id="rId17" Type="http://schemas.openxmlformats.org/officeDocument/2006/relationships/hyperlink" Target="http://unesdoc.unesco.org/images/0025/002527/252788f.pdf" TargetMode="External"/><Relationship Id="rId25" Type="http://schemas.openxmlformats.org/officeDocument/2006/relationships/header" Target="header5.xml"/><Relationship Id="rId33" Type="http://schemas.openxmlformats.org/officeDocument/2006/relationships/hyperlink" Target="https://ich.unesco.org/doc/src/37566-EN.pdf" TargetMode="External"/><Relationship Id="rId38" Type="http://schemas.openxmlformats.org/officeDocument/2006/relationships/hyperlink" Target="https://ich.unesco.org/doc/src/37601-FR.pdf" TargetMode="External"/><Relationship Id="rId46" Type="http://schemas.openxmlformats.org/officeDocument/2006/relationships/hyperlink" Target="https://ich.unesco.org/doc/src/37523.pdf" TargetMode="External"/><Relationship Id="rId59" Type="http://schemas.openxmlformats.org/officeDocument/2006/relationships/hyperlink" Target="https://ich.unesco.org/doc/src/37581-EN.pdf" TargetMode="External"/><Relationship Id="rId67" Type="http://schemas.openxmlformats.org/officeDocument/2006/relationships/hyperlink" Target="https://ich.unesco.org/fr/Resolutions/6.GA/11" TargetMode="External"/><Relationship Id="rId20" Type="http://schemas.openxmlformats.org/officeDocument/2006/relationships/hyperlink" Target="https://ich.unesco.org/doc/src/ITH-18-7.GA-9-FR.docx" TargetMode="External"/><Relationship Id="rId41" Type="http://schemas.openxmlformats.org/officeDocument/2006/relationships/hyperlink" Target="https://ich.unesco.org/doc/src/37507.pdf" TargetMode="External"/><Relationship Id="rId54" Type="http://schemas.openxmlformats.org/officeDocument/2006/relationships/hyperlink" Target="https://ich.unesco.org/doc/src/37518-FR.pdf" TargetMode="External"/><Relationship Id="rId62" Type="http://schemas.openxmlformats.org/officeDocument/2006/relationships/hyperlink" Target="https://ich.unesco.org/doc/src/ITH-18-7.GA-12-FR.docx" TargetMode="External"/><Relationship Id="rId70" Type="http://schemas.openxmlformats.org/officeDocument/2006/relationships/hyperlink" Target="https://ich.unesco.org/doc/src/ITH-18-7.GA-13-FR.docx" TargetMode="External"/><Relationship Id="rId75" Type="http://schemas.openxmlformats.org/officeDocument/2006/relationships/hyperlink" Target="https://ich.unesco.org/doc/src/ITH-18-7.GA-14-FR.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Decisions/12.COM/13" TargetMode="External"/><Relationship Id="rId23" Type="http://schemas.openxmlformats.org/officeDocument/2006/relationships/header" Target="header3.xml"/><Relationship Id="rId28" Type="http://schemas.openxmlformats.org/officeDocument/2006/relationships/hyperlink" Target="https://ich.unesco.org/fr" TargetMode="External"/><Relationship Id="rId36" Type="http://schemas.openxmlformats.org/officeDocument/2006/relationships/hyperlink" Target="https://ich.unesco.org/doc/src/37579-FR.pdf" TargetMode="External"/><Relationship Id="rId49" Type="http://schemas.openxmlformats.org/officeDocument/2006/relationships/hyperlink" Target="https://ich.unesco.org/doc/src/37597.pdf" TargetMode="External"/><Relationship Id="rId57" Type="http://schemas.openxmlformats.org/officeDocument/2006/relationships/hyperlink" Target="https://ich.unesco.org/doc/src/37504.pdf" TargetMode="External"/><Relationship Id="rId10" Type="http://schemas.openxmlformats.org/officeDocument/2006/relationships/hyperlink" Target="https://ich.unesco.org/doc/src/ITH-18-7.GA-4-FR.docx" TargetMode="External"/><Relationship Id="rId31" Type="http://schemas.openxmlformats.org/officeDocument/2006/relationships/hyperlink" Target="https://ich.unesco.org/doc/src/ITH-18-7.GA-11-FR.docx" TargetMode="External"/><Relationship Id="rId44" Type="http://schemas.openxmlformats.org/officeDocument/2006/relationships/hyperlink" Target="https://ich.unesco.org/doc/src/37600.pdf" TargetMode="External"/><Relationship Id="rId52" Type="http://schemas.openxmlformats.org/officeDocument/2006/relationships/hyperlink" Target="https://ich.unesco.org/doc/src/37567.pdf" TargetMode="External"/><Relationship Id="rId60" Type="http://schemas.openxmlformats.org/officeDocument/2006/relationships/hyperlink" Target="https://ich.unesco.org/doc/src/37520.pdf" TargetMode="External"/><Relationship Id="rId65" Type="http://schemas.openxmlformats.org/officeDocument/2006/relationships/hyperlink" Target="https://ich.unesco.org/fr/Decisions/12.COM/13" TargetMode="External"/><Relationship Id="rId73" Type="http://schemas.openxmlformats.org/officeDocument/2006/relationships/hyperlink" Target="http://unesdoc.unesco.org/images/0026/002608/260889f.pdf" TargetMode="External"/><Relationship Id="rId78"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ich.unesco.org/doc/src/ITH-18-7.GA-3-FR.docx" TargetMode="External"/><Relationship Id="rId13" Type="http://schemas.openxmlformats.org/officeDocument/2006/relationships/hyperlink" Target="https://ich.unesco.org/doc/src/ITH-18-7.GA-6-FR.docx" TargetMode="External"/><Relationship Id="rId18" Type="http://schemas.openxmlformats.org/officeDocument/2006/relationships/hyperlink" Target="https://ich.unesco.org/doc/src/ITH-18-7.GA-8-FR.docx" TargetMode="External"/><Relationship Id="rId39" Type="http://schemas.openxmlformats.org/officeDocument/2006/relationships/hyperlink" Target="https://ich.unesco.org/doc/src/37502-EN.pdf" TargetMode="External"/><Relationship Id="rId34" Type="http://schemas.openxmlformats.org/officeDocument/2006/relationships/hyperlink" Target="https://ich.unesco.org/doc/src/37570-FR.pdf" TargetMode="External"/><Relationship Id="rId50" Type="http://schemas.openxmlformats.org/officeDocument/2006/relationships/hyperlink" Target="https://ich.unesco.org/doc/src/37596.pdf" TargetMode="External"/><Relationship Id="rId55" Type="http://schemas.openxmlformats.org/officeDocument/2006/relationships/hyperlink" Target="https://ich.unesco.org/doc/src/37577-EN.pdf" TargetMode="External"/><Relationship Id="rId7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s://ich.unesco.org/fr/resolutions/6.GA/11" TargetMode="External"/><Relationship Id="rId2" Type="http://schemas.openxmlformats.org/officeDocument/2006/relationships/numbering" Target="numbering.xml"/><Relationship Id="rId29" Type="http://schemas.openxmlformats.org/officeDocument/2006/relationships/hyperlink" Target="https://ich.unesco.org/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866C-C4C6-4E78-83FE-6D599C8F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document_FR.dotx</Template>
  <TotalTime>0</TotalTime>
  <Pages>22</Pages>
  <Words>8649</Words>
  <Characters>49302</Characters>
  <Application>Microsoft Office Word</Application>
  <DocSecurity>0</DocSecurity>
  <Lines>410</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2</cp:revision>
  <cp:lastPrinted>2018-06-06T13:45:00Z</cp:lastPrinted>
  <dcterms:created xsi:type="dcterms:W3CDTF">2018-07-20T12:58:00Z</dcterms:created>
  <dcterms:modified xsi:type="dcterms:W3CDTF">2018-07-20T12:58:00Z</dcterms:modified>
</cp:coreProperties>
</file>