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A0E5" w14:textId="6A577EAC" w:rsidR="00F87EDD" w:rsidRPr="00F87EDD" w:rsidRDefault="00055648" w:rsidP="00F87EDD">
      <w:pPr>
        <w:keepNext/>
        <w:keepLines/>
        <w:tabs>
          <w:tab w:val="clear" w:pos="567"/>
        </w:tabs>
        <w:bidi/>
        <w:snapToGrid/>
        <w:spacing w:after="200" w:line="240" w:lineRule="auto"/>
        <w:ind w:left="0"/>
        <w:outlineLvl w:val="1"/>
        <w:rPr>
          <w:rFonts w:cs="Traditional Arabic"/>
          <w:b/>
          <w:bCs/>
          <w:sz w:val="44"/>
          <w:szCs w:val="44"/>
          <w:rtl/>
          <w:lang w:eastAsia="en-US" w:bidi="ar-SY"/>
        </w:rPr>
      </w:pPr>
      <w:bookmarkStart w:id="0" w:name="_Toc370733351"/>
      <w:r w:rsidRPr="00F87EDD">
        <w:rPr>
          <w:rFonts w:cs="Traditional Arabic"/>
          <w:b/>
          <w:bCs/>
          <w:sz w:val="44"/>
          <w:szCs w:val="44"/>
          <w:rtl/>
          <w:lang w:eastAsia="en-US" w:bidi="ar-SY"/>
        </w:rPr>
        <w:t xml:space="preserve">دراسة </w:t>
      </w:r>
      <w:r w:rsidR="00C56CEB">
        <w:rPr>
          <w:rFonts w:cs="Traditional Arabic"/>
          <w:b/>
          <w:bCs/>
          <w:sz w:val="44"/>
          <w:szCs w:val="44"/>
          <w:rtl/>
          <w:lang w:eastAsia="en-US" w:bidi="ar-SY"/>
        </w:rPr>
        <w:t>ال</w:t>
      </w:r>
      <w:r w:rsidRPr="00F87EDD">
        <w:rPr>
          <w:rFonts w:cs="Traditional Arabic"/>
          <w:b/>
          <w:bCs/>
          <w:sz w:val="44"/>
          <w:szCs w:val="44"/>
          <w:rtl/>
          <w:lang w:eastAsia="en-US" w:bidi="ar-SY"/>
        </w:rPr>
        <w:t>حالة 3</w:t>
      </w:r>
    </w:p>
    <w:p w14:paraId="1EEBC2D9" w14:textId="3E99D41C" w:rsidR="00055648" w:rsidRPr="00F87EDD" w:rsidRDefault="00055648" w:rsidP="00F87EDD">
      <w:pPr>
        <w:keepNext/>
        <w:keepLines/>
        <w:tabs>
          <w:tab w:val="clear" w:pos="567"/>
        </w:tabs>
        <w:bidi/>
        <w:snapToGrid/>
        <w:spacing w:after="200" w:line="240" w:lineRule="auto"/>
        <w:ind w:left="0"/>
        <w:outlineLvl w:val="1"/>
        <w:rPr>
          <w:rFonts w:cs="Traditional Arabic"/>
          <w:b/>
          <w:bCs/>
          <w:color w:val="0000FF"/>
          <w:sz w:val="40"/>
          <w:szCs w:val="40"/>
          <w:rtl/>
          <w:lang w:eastAsia="en-US" w:bidi="ar-SY"/>
        </w:rPr>
      </w:pPr>
      <w:r w:rsidRPr="00F87EDD">
        <w:rPr>
          <w:rFonts w:cs="Traditional Arabic"/>
          <w:b/>
          <w:bCs/>
          <w:color w:val="0000FF"/>
          <w:sz w:val="40"/>
          <w:szCs w:val="40"/>
          <w:rtl/>
          <w:lang w:eastAsia="en-US" w:bidi="ar-SY"/>
        </w:rPr>
        <w:t>التوعية: أنشطة التوعية في كولومبيا</w:t>
      </w:r>
      <w:bookmarkEnd w:id="0"/>
    </w:p>
    <w:p w14:paraId="48F3DB47" w14:textId="051CB62F" w:rsidR="00055648" w:rsidRPr="00055648" w:rsidRDefault="00055648" w:rsidP="00FD0034">
      <w:pPr>
        <w:tabs>
          <w:tab w:val="clear" w:pos="567"/>
        </w:tabs>
        <w:bidi/>
        <w:snapToGrid/>
        <w:spacing w:after="200" w:line="240" w:lineRule="auto"/>
        <w:rPr>
          <w:rFonts w:eastAsia="Arial" w:cs="Traditional Arabic"/>
          <w:spacing w:val="1"/>
          <w:sz w:val="22"/>
          <w:szCs w:val="32"/>
          <w:rtl/>
          <w:lang w:eastAsia="en-US" w:bidi="ar-SY"/>
        </w:rPr>
      </w:pPr>
      <w:r w:rsidRPr="00055648">
        <w:rPr>
          <w:rFonts w:eastAsia="Arial" w:cs="Traditional Arabic"/>
          <w:spacing w:val="1"/>
          <w:sz w:val="22"/>
          <w:szCs w:val="32"/>
          <w:rtl/>
          <w:lang w:eastAsia="en-US" w:bidi="ar-SY"/>
        </w:rPr>
        <w:t xml:space="preserve">أطلقت الحكومة الكولومبية في عام 2002، بدعم من اليونسكو وبفضل مساعدة مالية من الحكومة اليابانية، حملةً وطنية غرضها لفت انتباه المجتمعات المحلية والمجتمع المدني والمؤسسات العلمية والوكالات الحكومية </w:t>
      </w:r>
      <w:r w:rsidR="00846E03">
        <w:rPr>
          <w:rFonts w:eastAsia="Arial" w:cs="Traditional Arabic" w:hint="cs"/>
          <w:spacing w:val="1"/>
          <w:sz w:val="22"/>
          <w:szCs w:val="32"/>
          <w:rtl/>
          <w:lang w:eastAsia="en-US" w:bidi="ar-SY"/>
        </w:rPr>
        <w:t>إلى</w:t>
      </w:r>
      <w:r w:rsidR="00846E03" w:rsidRPr="00055648">
        <w:rPr>
          <w:rFonts w:eastAsia="Arial" w:cs="Traditional Arabic"/>
          <w:spacing w:val="1"/>
          <w:sz w:val="22"/>
          <w:szCs w:val="32"/>
          <w:rtl/>
          <w:lang w:eastAsia="en-US" w:bidi="ar-SY"/>
        </w:rPr>
        <w:t xml:space="preserve"> </w:t>
      </w:r>
      <w:r w:rsidRPr="00055648">
        <w:rPr>
          <w:rFonts w:eastAsia="Arial" w:cs="Traditional Arabic"/>
          <w:spacing w:val="1"/>
          <w:sz w:val="22"/>
          <w:szCs w:val="32"/>
          <w:rtl/>
          <w:lang w:eastAsia="en-US" w:bidi="ar-SY"/>
        </w:rPr>
        <w:t xml:space="preserve">أهمية صون تراث كولومبيا غير المادي. وهدفت هذه الحملة إلى حشد الدعم لأنشطة تعزيز التراث الثقافي غير المادي في أوساط </w:t>
      </w:r>
      <w:r w:rsidR="00102F1C">
        <w:rPr>
          <w:rFonts w:eastAsia="Arial" w:cs="Traditional Arabic" w:hint="cs"/>
          <w:spacing w:val="1"/>
          <w:sz w:val="22"/>
          <w:szCs w:val="32"/>
          <w:rtl/>
          <w:lang w:eastAsia="en-US" w:bidi="ar-SY"/>
        </w:rPr>
        <w:t>راسمي</w:t>
      </w:r>
      <w:r w:rsidR="00102F1C" w:rsidRPr="00055648">
        <w:rPr>
          <w:rFonts w:eastAsia="Arial" w:cs="Traditional Arabic"/>
          <w:spacing w:val="1"/>
          <w:sz w:val="22"/>
          <w:szCs w:val="32"/>
          <w:rtl/>
          <w:lang w:eastAsia="en-US" w:bidi="ar-SY"/>
        </w:rPr>
        <w:t xml:space="preserve"> </w:t>
      </w:r>
      <w:r w:rsidRPr="00055648">
        <w:rPr>
          <w:rFonts w:eastAsia="Arial" w:cs="Traditional Arabic"/>
          <w:spacing w:val="1"/>
          <w:sz w:val="22"/>
          <w:szCs w:val="32"/>
          <w:rtl/>
          <w:lang w:eastAsia="en-US" w:bidi="ar-SY"/>
        </w:rPr>
        <w:t xml:space="preserve">السياسات والمسؤولين المنتخبين </w:t>
      </w:r>
      <w:r w:rsidR="00FD0034">
        <w:rPr>
          <w:rFonts w:eastAsia="Arial" w:cs="Traditional Arabic" w:hint="cs"/>
          <w:spacing w:val="1"/>
          <w:sz w:val="22"/>
          <w:szCs w:val="32"/>
          <w:rtl/>
          <w:lang w:eastAsia="en-US" w:bidi="ar-SY"/>
        </w:rPr>
        <w:t>وإلى</w:t>
      </w:r>
      <w:r w:rsidR="00FD0034" w:rsidRPr="00055648">
        <w:rPr>
          <w:rFonts w:eastAsia="Arial" w:cs="Traditional Arabic"/>
          <w:spacing w:val="1"/>
          <w:sz w:val="22"/>
          <w:szCs w:val="32"/>
          <w:rtl/>
          <w:lang w:eastAsia="en-US" w:bidi="ar-SY"/>
        </w:rPr>
        <w:t xml:space="preserve"> </w:t>
      </w:r>
      <w:r w:rsidRPr="00055648">
        <w:rPr>
          <w:rFonts w:eastAsia="Arial" w:cs="Traditional Arabic"/>
          <w:spacing w:val="1"/>
          <w:sz w:val="22"/>
          <w:szCs w:val="32"/>
          <w:rtl/>
          <w:lang w:eastAsia="en-US" w:bidi="ar-SY"/>
        </w:rPr>
        <w:t>إشراك الرأي العام وجهات أخرى في أنشطة صون التراث الثقافي غير المادي. وشملت هذه الأنشطة ما يلي:</w:t>
      </w:r>
    </w:p>
    <w:p w14:paraId="4E301553" w14:textId="652D7DFF" w:rsidR="00055648" w:rsidRPr="00055648" w:rsidRDefault="00055648" w:rsidP="00A05DE9">
      <w:pPr>
        <w:widowControl w:val="0"/>
        <w:numPr>
          <w:ilvl w:val="0"/>
          <w:numId w:val="497"/>
        </w:numPr>
        <w:tabs>
          <w:tab w:val="clear" w:pos="567"/>
        </w:tabs>
        <w:bidi/>
        <w:spacing w:after="100" w:line="240" w:lineRule="auto"/>
        <w:ind w:left="1208" w:hanging="357"/>
        <w:rPr>
          <w:rFonts w:eastAsia="Arial" w:cs="Traditional Arabic"/>
          <w:spacing w:val="1"/>
          <w:sz w:val="22"/>
          <w:szCs w:val="32"/>
          <w:lang w:eastAsia="en-US" w:bidi="ar-SY"/>
        </w:rPr>
      </w:pPr>
      <w:r w:rsidRPr="00055648">
        <w:rPr>
          <w:rFonts w:eastAsia="Arial" w:cs="Traditional Arabic"/>
          <w:spacing w:val="1"/>
          <w:sz w:val="22"/>
          <w:szCs w:val="32"/>
          <w:rtl/>
          <w:lang w:eastAsia="en-US" w:bidi="ar-SY"/>
        </w:rPr>
        <w:t xml:space="preserve">إنشاء لجنة التراث غير المادي (2004)، وهي هيئة </w:t>
      </w:r>
      <w:r w:rsidR="00C703B4">
        <w:rPr>
          <w:rFonts w:eastAsia="Arial" w:cs="Traditional Arabic" w:hint="cs"/>
          <w:spacing w:val="1"/>
          <w:sz w:val="22"/>
          <w:szCs w:val="32"/>
          <w:rtl/>
          <w:lang w:eastAsia="en-US" w:bidi="ar-SY"/>
        </w:rPr>
        <w:t>ا</w:t>
      </w:r>
      <w:r w:rsidRPr="00055648">
        <w:rPr>
          <w:rFonts w:eastAsia="Arial" w:cs="Traditional Arabic"/>
          <w:spacing w:val="1"/>
          <w:sz w:val="22"/>
          <w:szCs w:val="32"/>
          <w:rtl/>
          <w:lang w:eastAsia="en-US" w:bidi="ar-SY"/>
        </w:rPr>
        <w:t xml:space="preserve">ستشارية تقدّم المشورة إلى وزارة الثقافة الكولومبية </w:t>
      </w:r>
      <w:r w:rsidR="00437F35">
        <w:rPr>
          <w:rFonts w:eastAsia="Arial" w:cs="Traditional Arabic" w:hint="cs"/>
          <w:spacing w:val="1"/>
          <w:sz w:val="22"/>
          <w:szCs w:val="32"/>
          <w:rtl/>
          <w:lang w:eastAsia="en-US" w:bidi="ar-SY"/>
        </w:rPr>
        <w:t xml:space="preserve">في مجال </w:t>
      </w:r>
      <w:r w:rsidRPr="00055648">
        <w:rPr>
          <w:rFonts w:eastAsia="Arial" w:cs="Traditional Arabic"/>
          <w:spacing w:val="1"/>
          <w:sz w:val="22"/>
          <w:szCs w:val="32"/>
          <w:rtl/>
          <w:lang w:eastAsia="en-US" w:bidi="ar-SY"/>
        </w:rPr>
        <w:t>صياغة السياسات؛</w:t>
      </w:r>
    </w:p>
    <w:p w14:paraId="25AEE586" w14:textId="5BE379C8" w:rsidR="00055648" w:rsidRPr="00A05DE9" w:rsidRDefault="00055648" w:rsidP="00A05DE9">
      <w:pPr>
        <w:widowControl w:val="0"/>
        <w:numPr>
          <w:ilvl w:val="0"/>
          <w:numId w:val="497"/>
        </w:numPr>
        <w:tabs>
          <w:tab w:val="clear" w:pos="567"/>
        </w:tabs>
        <w:bidi/>
        <w:spacing w:after="100" w:line="240" w:lineRule="auto"/>
        <w:ind w:left="1208" w:hanging="357"/>
        <w:rPr>
          <w:rFonts w:eastAsia="Arial" w:cs="Traditional Arabic"/>
          <w:spacing w:val="-4"/>
          <w:sz w:val="22"/>
          <w:szCs w:val="32"/>
          <w:lang w:eastAsia="en-US" w:bidi="ar-SY"/>
        </w:rPr>
      </w:pPr>
      <w:r w:rsidRPr="00A05DE9">
        <w:rPr>
          <w:rFonts w:eastAsia="Arial" w:cs="Traditional Arabic"/>
          <w:spacing w:val="-4"/>
          <w:sz w:val="22"/>
          <w:szCs w:val="32"/>
          <w:rtl/>
          <w:lang w:eastAsia="en-US" w:bidi="ar-SY"/>
        </w:rPr>
        <w:t xml:space="preserve">تنظيم الملتقى الوطني الأول للتراث الثقافي غير المادي (ميديلين، أيلول/سبتمبر 2005)، </w:t>
      </w:r>
      <w:r w:rsidR="006B18FE" w:rsidRPr="00A05DE9">
        <w:rPr>
          <w:rFonts w:eastAsia="Arial" w:cs="Traditional Arabic" w:hint="cs"/>
          <w:spacing w:val="-4"/>
          <w:sz w:val="22"/>
          <w:szCs w:val="32"/>
          <w:rtl/>
          <w:lang w:eastAsia="en-US" w:bidi="ar-SY"/>
        </w:rPr>
        <w:t>م</w:t>
      </w:r>
      <w:r w:rsidRPr="00A05DE9">
        <w:rPr>
          <w:rFonts w:eastAsia="Arial" w:cs="Traditional Arabic"/>
          <w:spacing w:val="-4"/>
          <w:sz w:val="22"/>
          <w:szCs w:val="32"/>
          <w:rtl/>
          <w:lang w:eastAsia="en-US" w:bidi="ar-SY"/>
        </w:rPr>
        <w:t xml:space="preserve">ما أدّى </w:t>
      </w:r>
      <w:r w:rsidR="00831B4D" w:rsidRPr="00A05DE9">
        <w:rPr>
          <w:rFonts w:eastAsia="Arial" w:cs="Traditional Arabic" w:hint="cs"/>
          <w:spacing w:val="-4"/>
          <w:sz w:val="22"/>
          <w:szCs w:val="32"/>
          <w:rtl/>
          <w:lang w:eastAsia="en-US" w:bidi="ar-SY"/>
        </w:rPr>
        <w:t>إلى</w:t>
      </w:r>
      <w:r w:rsidR="00831B4D" w:rsidRPr="00A05DE9">
        <w:rPr>
          <w:rFonts w:eastAsia="Arial" w:cs="Traditional Arabic"/>
          <w:spacing w:val="-4"/>
          <w:sz w:val="22"/>
          <w:szCs w:val="32"/>
          <w:rtl/>
          <w:lang w:eastAsia="en-US" w:bidi="ar-SY"/>
        </w:rPr>
        <w:t xml:space="preserve"> </w:t>
      </w:r>
      <w:r w:rsidRPr="00A05DE9">
        <w:rPr>
          <w:rFonts w:eastAsia="Arial" w:cs="Traditional Arabic"/>
          <w:spacing w:val="-4"/>
          <w:sz w:val="22"/>
          <w:szCs w:val="32"/>
          <w:rtl/>
          <w:lang w:eastAsia="en-US" w:bidi="ar-SY"/>
        </w:rPr>
        <w:t>إنشاء شبكات وطنية وشجّع صانعي القرار السياسي على دعم التصديق على الاتفاقية</w:t>
      </w:r>
      <w:r w:rsidR="005756D1" w:rsidRPr="00A05DE9">
        <w:rPr>
          <w:rFonts w:eastAsia="Arial" w:cs="Traditional Arabic" w:hint="cs"/>
          <w:spacing w:val="-4"/>
          <w:sz w:val="22"/>
          <w:szCs w:val="32"/>
          <w:rtl/>
          <w:lang w:eastAsia="en-US" w:bidi="ar-SY"/>
        </w:rPr>
        <w:t>؛</w:t>
      </w:r>
    </w:p>
    <w:p w14:paraId="41A80D63" w14:textId="3D471A6E" w:rsidR="00055648" w:rsidRPr="00055648" w:rsidRDefault="00055648" w:rsidP="00A05DE9">
      <w:pPr>
        <w:widowControl w:val="0"/>
        <w:numPr>
          <w:ilvl w:val="0"/>
          <w:numId w:val="497"/>
        </w:numPr>
        <w:tabs>
          <w:tab w:val="clear" w:pos="567"/>
        </w:tabs>
        <w:bidi/>
        <w:spacing w:after="100" w:line="240" w:lineRule="auto"/>
        <w:ind w:left="1208" w:hanging="357"/>
        <w:rPr>
          <w:rFonts w:eastAsia="Arial" w:cs="Traditional Arabic"/>
          <w:spacing w:val="1"/>
          <w:sz w:val="22"/>
          <w:szCs w:val="32"/>
          <w:lang w:eastAsia="en-US" w:bidi="ar-SY"/>
        </w:rPr>
      </w:pPr>
      <w:r w:rsidRPr="00055648">
        <w:rPr>
          <w:rFonts w:eastAsia="Arial" w:cs="Traditional Arabic"/>
          <w:spacing w:val="1"/>
          <w:sz w:val="22"/>
          <w:szCs w:val="32"/>
          <w:rtl/>
          <w:lang w:eastAsia="en-US" w:bidi="ar-SY"/>
        </w:rPr>
        <w:t xml:space="preserve">إطلاق حملة إعلامية بعنوان "أظهر من أنت" </w:t>
      </w:r>
      <w:r w:rsidR="00E32A2B">
        <w:rPr>
          <w:rFonts w:eastAsia="Arial" w:cs="Traditional Arabic" w:hint="cs"/>
          <w:spacing w:val="1"/>
          <w:sz w:val="22"/>
          <w:szCs w:val="32"/>
          <w:rtl/>
          <w:lang w:eastAsia="en-US" w:bidi="ar-SY"/>
        </w:rPr>
        <w:t>(</w:t>
      </w:r>
      <w:r w:rsidRPr="00055648">
        <w:rPr>
          <w:rFonts w:eastAsia="Arial Unicode MS" w:cs="Traditional Arabic"/>
          <w:spacing w:val="-1"/>
          <w:position w:val="-1"/>
          <w:sz w:val="22"/>
          <w:szCs w:val="32"/>
          <w:lang w:eastAsia="en-US" w:bidi="ar-SY"/>
        </w:rPr>
        <w:t>S</w:t>
      </w:r>
      <w:r w:rsidRPr="00055648">
        <w:rPr>
          <w:rFonts w:eastAsia="Arial Unicode MS" w:cs="Traditional Arabic"/>
          <w:position w:val="-1"/>
          <w:sz w:val="22"/>
          <w:szCs w:val="32"/>
          <w:lang w:eastAsia="en-US" w:bidi="ar-SY"/>
        </w:rPr>
        <w:t>h</w:t>
      </w:r>
      <w:r w:rsidRPr="00055648">
        <w:rPr>
          <w:rFonts w:eastAsia="Arial Unicode MS" w:cs="Traditional Arabic"/>
          <w:spacing w:val="-1"/>
          <w:position w:val="-1"/>
          <w:sz w:val="22"/>
          <w:szCs w:val="32"/>
          <w:lang w:eastAsia="en-US" w:bidi="ar-SY"/>
        </w:rPr>
        <w:t>o</w:t>
      </w:r>
      <w:r w:rsidRPr="00055648">
        <w:rPr>
          <w:rFonts w:eastAsia="Arial Unicode MS" w:cs="Traditional Arabic"/>
          <w:position w:val="-1"/>
          <w:sz w:val="22"/>
          <w:szCs w:val="32"/>
          <w:lang w:eastAsia="en-US" w:bidi="ar-SY"/>
        </w:rPr>
        <w:t xml:space="preserve">w </w:t>
      </w:r>
      <w:r w:rsidRPr="00055648">
        <w:rPr>
          <w:rFonts w:eastAsia="Arial Unicode MS" w:cs="Traditional Arabic"/>
          <w:spacing w:val="7"/>
          <w:position w:val="-1"/>
          <w:sz w:val="22"/>
          <w:szCs w:val="32"/>
          <w:lang w:eastAsia="en-US" w:bidi="ar-SY"/>
        </w:rPr>
        <w:t>W</w:t>
      </w:r>
      <w:r w:rsidRPr="00055648">
        <w:rPr>
          <w:rFonts w:eastAsia="Arial Unicode MS" w:cs="Traditional Arabic"/>
          <w:position w:val="-1"/>
          <w:sz w:val="22"/>
          <w:szCs w:val="32"/>
          <w:lang w:eastAsia="en-US" w:bidi="ar-SY"/>
        </w:rPr>
        <w:t>ho</w:t>
      </w:r>
      <w:r w:rsidRPr="00055648">
        <w:rPr>
          <w:rFonts w:eastAsia="Arial Unicode MS" w:cs="Traditional Arabic"/>
          <w:spacing w:val="5"/>
          <w:position w:val="-1"/>
          <w:sz w:val="22"/>
          <w:szCs w:val="32"/>
          <w:lang w:eastAsia="en-US" w:bidi="ar-SY"/>
        </w:rPr>
        <w:t xml:space="preserve"> </w:t>
      </w:r>
      <w:r w:rsidRPr="00055648">
        <w:rPr>
          <w:rFonts w:eastAsia="Arial Unicode MS" w:cs="Traditional Arabic"/>
          <w:spacing w:val="-1"/>
          <w:position w:val="-1"/>
          <w:sz w:val="22"/>
          <w:szCs w:val="32"/>
          <w:lang w:eastAsia="en-US" w:bidi="ar-SY"/>
        </w:rPr>
        <w:t>Y</w:t>
      </w:r>
      <w:r w:rsidRPr="00055648">
        <w:rPr>
          <w:rFonts w:eastAsia="Arial Unicode MS" w:cs="Traditional Arabic"/>
          <w:position w:val="-1"/>
          <w:sz w:val="22"/>
          <w:szCs w:val="32"/>
          <w:lang w:eastAsia="en-US" w:bidi="ar-SY"/>
        </w:rPr>
        <w:t>ou</w:t>
      </w:r>
      <w:r w:rsidRPr="00055648">
        <w:rPr>
          <w:rFonts w:eastAsia="Arial Unicode MS" w:cs="Traditional Arabic"/>
          <w:spacing w:val="8"/>
          <w:position w:val="-1"/>
          <w:sz w:val="22"/>
          <w:szCs w:val="32"/>
          <w:lang w:eastAsia="en-US" w:bidi="ar-SY"/>
        </w:rPr>
        <w:t xml:space="preserve"> </w:t>
      </w:r>
      <w:r w:rsidRPr="00055648">
        <w:rPr>
          <w:rFonts w:eastAsia="Arial Unicode MS" w:cs="Traditional Arabic"/>
          <w:spacing w:val="-1"/>
          <w:position w:val="-1"/>
          <w:sz w:val="22"/>
          <w:szCs w:val="32"/>
          <w:lang w:eastAsia="en-US" w:bidi="ar-SY"/>
        </w:rPr>
        <w:t>A</w:t>
      </w:r>
      <w:r w:rsidRPr="00055648">
        <w:rPr>
          <w:rFonts w:eastAsia="Arial Unicode MS" w:cs="Traditional Arabic"/>
          <w:spacing w:val="-2"/>
          <w:position w:val="-1"/>
          <w:sz w:val="22"/>
          <w:szCs w:val="32"/>
          <w:lang w:eastAsia="en-US" w:bidi="ar-SY"/>
        </w:rPr>
        <w:t>r</w:t>
      </w:r>
      <w:r w:rsidRPr="00055648">
        <w:rPr>
          <w:rFonts w:eastAsia="Arial Unicode MS" w:cs="Traditional Arabic"/>
          <w:position w:val="-1"/>
          <w:sz w:val="22"/>
          <w:szCs w:val="32"/>
          <w:lang w:eastAsia="en-US" w:bidi="ar-SY"/>
        </w:rPr>
        <w:t>e</w:t>
      </w:r>
      <w:r w:rsidR="00E32A2B">
        <w:rPr>
          <w:rFonts w:eastAsia="Arial Unicode MS" w:cs="Traditional Arabic" w:hint="cs"/>
          <w:position w:val="-1"/>
          <w:sz w:val="22"/>
          <w:szCs w:val="32"/>
          <w:rtl/>
          <w:lang w:eastAsia="en-US" w:bidi="ar-SY"/>
        </w:rPr>
        <w:t>)</w:t>
      </w:r>
      <w:r w:rsidRPr="00055648">
        <w:rPr>
          <w:rFonts w:eastAsia="Arial" w:cs="Traditional Arabic"/>
          <w:spacing w:val="1"/>
          <w:sz w:val="22"/>
          <w:szCs w:val="32"/>
          <w:rtl/>
          <w:lang w:eastAsia="en-US" w:bidi="ar-SY"/>
        </w:rPr>
        <w:t xml:space="preserve"> لنشر الوعي، </w:t>
      </w:r>
      <w:r w:rsidR="00A05DE9">
        <w:rPr>
          <w:rFonts w:eastAsia="Arial" w:cs="Traditional Arabic" w:hint="cs"/>
          <w:spacing w:val="1"/>
          <w:sz w:val="22"/>
          <w:szCs w:val="32"/>
          <w:rtl/>
          <w:lang w:eastAsia="en-US" w:bidi="ar-SY"/>
        </w:rPr>
        <w:t>و</w:t>
      </w:r>
      <w:r w:rsidR="00A05DE9" w:rsidRPr="00055648">
        <w:rPr>
          <w:rFonts w:eastAsia="Arial" w:cs="Traditional Arabic"/>
          <w:spacing w:val="1"/>
          <w:sz w:val="22"/>
          <w:szCs w:val="32"/>
          <w:rtl/>
          <w:lang w:eastAsia="en-US" w:bidi="ar-SY"/>
        </w:rPr>
        <w:t>لا</w:t>
      </w:r>
      <w:r w:rsidR="00A05DE9">
        <w:rPr>
          <w:rFonts w:eastAsia="Arial" w:cs="Traditional Arabic" w:hint="cs"/>
          <w:spacing w:val="1"/>
          <w:sz w:val="22"/>
          <w:szCs w:val="32"/>
          <w:rtl/>
          <w:lang w:eastAsia="en-US" w:bidi="ar-SY"/>
        </w:rPr>
        <w:t> </w:t>
      </w:r>
      <w:r w:rsidRPr="00055648">
        <w:rPr>
          <w:rFonts w:eastAsia="Arial" w:cs="Traditional Arabic"/>
          <w:spacing w:val="1"/>
          <w:sz w:val="22"/>
          <w:szCs w:val="32"/>
          <w:rtl/>
          <w:lang w:eastAsia="en-US" w:bidi="ar-SY"/>
        </w:rPr>
        <w:t xml:space="preserve">سيّما في أوساط الشباب في كولومبيا، </w:t>
      </w:r>
      <w:r w:rsidR="007C760D">
        <w:rPr>
          <w:rFonts w:eastAsia="Arial" w:cs="Traditional Arabic" w:hint="cs"/>
          <w:spacing w:val="1"/>
          <w:sz w:val="22"/>
          <w:szCs w:val="32"/>
          <w:rtl/>
          <w:lang w:eastAsia="en-US" w:bidi="ar-SY"/>
        </w:rPr>
        <w:t>ب</w:t>
      </w:r>
      <w:r w:rsidRPr="00055648">
        <w:rPr>
          <w:rFonts w:eastAsia="Arial" w:cs="Traditional Arabic"/>
          <w:spacing w:val="1"/>
          <w:sz w:val="22"/>
          <w:szCs w:val="32"/>
          <w:rtl/>
          <w:lang w:eastAsia="en-US" w:bidi="ar-SY"/>
        </w:rPr>
        <w:t>أهمية المحافظة على التنوّع الثقافي الكولومبي. وقد تضمّنت الحملة 3 إعلانات تلفزيونية على القنوات المحلية والإقليمية، و40 رسالة على حوالى 200 محطة إذاعية تجارية إقليمية ومحلية، وحملة إعلانية في الصحف الرئيس</w:t>
      </w:r>
      <w:r w:rsidR="002E0330">
        <w:rPr>
          <w:rFonts w:eastAsia="Arial" w:cs="Traditional Arabic" w:hint="cs"/>
          <w:spacing w:val="1"/>
          <w:sz w:val="22"/>
          <w:szCs w:val="32"/>
          <w:rtl/>
          <w:lang w:eastAsia="en-US" w:bidi="ar-SY"/>
        </w:rPr>
        <w:t>ي</w:t>
      </w:r>
      <w:r w:rsidRPr="00055648">
        <w:rPr>
          <w:rFonts w:eastAsia="Arial" w:cs="Traditional Arabic"/>
          <w:spacing w:val="1"/>
          <w:sz w:val="22"/>
          <w:szCs w:val="32"/>
          <w:rtl/>
          <w:lang w:eastAsia="en-US" w:bidi="ar-SY"/>
        </w:rPr>
        <w:t>ة؛</w:t>
      </w:r>
    </w:p>
    <w:p w14:paraId="67166248" w14:textId="77777777" w:rsidR="00055648" w:rsidRPr="00055648" w:rsidRDefault="00055648" w:rsidP="00A05DE9">
      <w:pPr>
        <w:widowControl w:val="0"/>
        <w:numPr>
          <w:ilvl w:val="0"/>
          <w:numId w:val="497"/>
        </w:numPr>
        <w:tabs>
          <w:tab w:val="clear" w:pos="567"/>
        </w:tabs>
        <w:bidi/>
        <w:spacing w:after="100" w:line="240" w:lineRule="auto"/>
        <w:ind w:left="1208" w:hanging="357"/>
        <w:rPr>
          <w:rFonts w:eastAsia="Arial" w:cs="Traditional Arabic"/>
          <w:spacing w:val="1"/>
          <w:sz w:val="22"/>
          <w:szCs w:val="32"/>
          <w:lang w:eastAsia="en-US" w:bidi="ar-SY"/>
        </w:rPr>
      </w:pPr>
      <w:r w:rsidRPr="00055648">
        <w:rPr>
          <w:rFonts w:eastAsia="Arial" w:cs="Traditional Arabic"/>
          <w:spacing w:val="1"/>
          <w:sz w:val="22"/>
          <w:szCs w:val="32"/>
          <w:rtl/>
          <w:lang w:eastAsia="en-US" w:bidi="ar-SY"/>
        </w:rPr>
        <w:t>تنظيم خمس ندوات إقليمية لتشجيع الجماعات والوكلاء الثقافيين والشعوب الأصلية والمحترفين في مجال التعليم والاتصالات على المشاركة الفعلية في تدابير الصون؛</w:t>
      </w:r>
    </w:p>
    <w:p w14:paraId="60C563C2" w14:textId="622BDF9B" w:rsidR="00055648" w:rsidRPr="00055648" w:rsidRDefault="00055648" w:rsidP="00A61BAF">
      <w:pPr>
        <w:widowControl w:val="0"/>
        <w:numPr>
          <w:ilvl w:val="0"/>
          <w:numId w:val="497"/>
        </w:numPr>
        <w:tabs>
          <w:tab w:val="clear" w:pos="567"/>
        </w:tabs>
        <w:bidi/>
        <w:spacing w:after="120" w:line="240" w:lineRule="auto"/>
        <w:ind w:left="1208" w:hanging="357"/>
        <w:rPr>
          <w:rFonts w:eastAsia="Arial" w:cs="Traditional Arabic"/>
          <w:spacing w:val="1"/>
          <w:sz w:val="22"/>
          <w:szCs w:val="32"/>
          <w:lang w:eastAsia="en-US" w:bidi="ar-SY"/>
        </w:rPr>
      </w:pPr>
      <w:r w:rsidRPr="00055648">
        <w:rPr>
          <w:rFonts w:eastAsia="Arial" w:cs="Traditional Arabic"/>
          <w:spacing w:val="1"/>
          <w:sz w:val="22"/>
          <w:szCs w:val="32"/>
          <w:rtl/>
          <w:lang w:eastAsia="en-US" w:bidi="ar-SY"/>
        </w:rPr>
        <w:t xml:space="preserve">إصدار نشرة تثقيفية ودليل يتضمّنان إرشادات بشأن الأساليب التي يجب استخدامها لوضع القائمة الأولى لحصر التراث الثقافي غير المادي في كولومبيا (سجل قائمة حصر التراث غير المادي الكولومبي)، بالإضافة إلى </w:t>
      </w:r>
      <w:r w:rsidR="00A61BAF">
        <w:rPr>
          <w:rFonts w:eastAsia="Arial" w:cs="Traditional Arabic" w:hint="cs"/>
          <w:spacing w:val="1"/>
          <w:sz w:val="22"/>
          <w:szCs w:val="32"/>
          <w:rtl/>
          <w:lang w:eastAsia="en-US" w:bidi="ar-SY"/>
        </w:rPr>
        <w:t>إنشاء</w:t>
      </w:r>
      <w:r w:rsidR="00A61BAF" w:rsidRPr="00055648">
        <w:rPr>
          <w:rFonts w:eastAsia="Arial" w:cs="Traditional Arabic"/>
          <w:spacing w:val="1"/>
          <w:sz w:val="22"/>
          <w:szCs w:val="32"/>
          <w:rtl/>
          <w:lang w:eastAsia="en-US" w:bidi="ar-SY"/>
        </w:rPr>
        <w:t xml:space="preserve"> </w:t>
      </w:r>
      <w:r w:rsidRPr="00055648">
        <w:rPr>
          <w:rFonts w:eastAsia="Arial" w:cs="Traditional Arabic"/>
          <w:spacing w:val="1"/>
          <w:sz w:val="22"/>
          <w:szCs w:val="32"/>
          <w:rtl/>
          <w:lang w:eastAsia="en-US" w:bidi="ar-SY"/>
        </w:rPr>
        <w:t xml:space="preserve">قاعدة بيانات تتماشى </w:t>
      </w:r>
      <w:r w:rsidR="00C53957">
        <w:rPr>
          <w:rFonts w:eastAsia="Arial" w:cs="Traditional Arabic" w:hint="cs"/>
          <w:spacing w:val="1"/>
          <w:sz w:val="22"/>
          <w:szCs w:val="32"/>
          <w:rtl/>
          <w:lang w:eastAsia="en-US" w:bidi="ar-SY"/>
        </w:rPr>
        <w:t xml:space="preserve">مع </w:t>
      </w:r>
      <w:r w:rsidRPr="00055648">
        <w:rPr>
          <w:rFonts w:eastAsia="Arial" w:cs="Traditional Arabic"/>
          <w:spacing w:val="1"/>
          <w:sz w:val="22"/>
          <w:szCs w:val="32"/>
          <w:rtl/>
          <w:lang w:eastAsia="en-US" w:bidi="ar-SY"/>
        </w:rPr>
        <w:t xml:space="preserve">النظم الوطنية القائمة، </w:t>
      </w:r>
      <w:r w:rsidR="00EF3498">
        <w:rPr>
          <w:rFonts w:eastAsia="Arial" w:cs="Traditional Arabic" w:hint="cs"/>
          <w:spacing w:val="1"/>
          <w:sz w:val="22"/>
          <w:szCs w:val="32"/>
          <w:rtl/>
          <w:lang w:eastAsia="en-US" w:bidi="ar-SY"/>
        </w:rPr>
        <w:t>م</w:t>
      </w:r>
      <w:r w:rsidRPr="00055648">
        <w:rPr>
          <w:rFonts w:eastAsia="Arial" w:cs="Traditional Arabic"/>
          <w:spacing w:val="1"/>
          <w:sz w:val="22"/>
          <w:szCs w:val="32"/>
          <w:rtl/>
          <w:lang w:eastAsia="en-US" w:bidi="ar-SY"/>
        </w:rPr>
        <w:t>ما ساعد على اختبار مشاريع قوائم الحصر الرائدة.</w:t>
      </w:r>
      <w:r w:rsidRPr="00055648">
        <w:rPr>
          <w:rFonts w:eastAsia="Arial" w:cs="Traditional Arabic"/>
          <w:spacing w:val="1"/>
          <w:sz w:val="22"/>
          <w:szCs w:val="32"/>
          <w:vertAlign w:val="superscript"/>
          <w:rtl/>
          <w:lang w:eastAsia="en-US" w:bidi="ar-SY"/>
        </w:rPr>
        <w:footnoteReference w:id="1"/>
      </w:r>
      <w:r w:rsidRPr="00055648">
        <w:rPr>
          <w:rFonts w:eastAsia="Arial" w:cs="Traditional Arabic"/>
          <w:spacing w:val="1"/>
          <w:sz w:val="22"/>
          <w:szCs w:val="32"/>
          <w:rtl/>
          <w:lang w:eastAsia="en-US" w:bidi="ar-SY"/>
        </w:rPr>
        <w:t xml:space="preserve"> </w:t>
      </w:r>
    </w:p>
    <w:p w14:paraId="4658F5FC" w14:textId="77777777" w:rsidR="00055648" w:rsidRPr="00055648" w:rsidRDefault="00055648" w:rsidP="00055648">
      <w:pPr>
        <w:tabs>
          <w:tab w:val="clear" w:pos="567"/>
        </w:tabs>
        <w:bidi/>
        <w:snapToGrid/>
        <w:spacing w:after="200" w:line="240" w:lineRule="auto"/>
        <w:ind w:left="0"/>
        <w:rPr>
          <w:rFonts w:eastAsia="Arial" w:cs="Traditional Arabic"/>
          <w:b/>
          <w:bCs/>
          <w:spacing w:val="1"/>
          <w:sz w:val="22"/>
          <w:szCs w:val="32"/>
          <w:rtl/>
          <w:lang w:eastAsia="en-US" w:bidi="ar-SY"/>
        </w:rPr>
      </w:pPr>
      <w:r w:rsidRPr="00055648">
        <w:rPr>
          <w:rFonts w:eastAsia="Arial" w:cs="Traditional Arabic"/>
          <w:b/>
          <w:bCs/>
          <w:spacing w:val="1"/>
          <w:sz w:val="22"/>
          <w:szCs w:val="32"/>
          <w:rtl/>
          <w:lang w:eastAsia="en-US" w:bidi="ar-SY"/>
        </w:rPr>
        <w:lastRenderedPageBreak/>
        <w:t xml:space="preserve">الترشيحات للإدراج في قائمتَي الاتفاقية وسجلّها </w:t>
      </w:r>
    </w:p>
    <w:p w14:paraId="5DE18FC6" w14:textId="75CFEAD3" w:rsidR="00055648" w:rsidRPr="00055648" w:rsidRDefault="00055648" w:rsidP="00040998">
      <w:pPr>
        <w:tabs>
          <w:tab w:val="clear" w:pos="567"/>
        </w:tabs>
        <w:bidi/>
        <w:snapToGrid/>
        <w:spacing w:after="200" w:line="240" w:lineRule="auto"/>
        <w:rPr>
          <w:rFonts w:eastAsia="Arial" w:cs="Traditional Arabic"/>
          <w:spacing w:val="1"/>
          <w:sz w:val="22"/>
          <w:szCs w:val="32"/>
          <w:rtl/>
          <w:lang w:eastAsia="en-US" w:bidi="ar-SY"/>
        </w:rPr>
      </w:pPr>
      <w:r w:rsidRPr="00055648">
        <w:rPr>
          <w:rFonts w:eastAsia="Arial" w:cs="Traditional Arabic"/>
          <w:spacing w:val="1"/>
          <w:sz w:val="22"/>
          <w:szCs w:val="32"/>
          <w:rtl/>
          <w:lang w:eastAsia="en-US" w:bidi="ar-SY"/>
        </w:rPr>
        <w:t xml:space="preserve">يُعتبر ترشيح عناصر التراث الثقافي غير المادي للإدراج في إحدى قائمتَي اتفاقية </w:t>
      </w:r>
      <w:r w:rsidR="00895FCF">
        <w:rPr>
          <w:rFonts w:eastAsia="Arial" w:cs="Traditional Arabic" w:hint="cs"/>
          <w:spacing w:val="1"/>
          <w:sz w:val="22"/>
          <w:szCs w:val="32"/>
          <w:rtl/>
          <w:lang w:eastAsia="en-US" w:bidi="ar-SY"/>
        </w:rPr>
        <w:t>التراث غير ال</w:t>
      </w:r>
      <w:r w:rsidR="007F5637">
        <w:rPr>
          <w:rFonts w:eastAsia="Arial" w:cs="Traditional Arabic" w:hint="cs"/>
          <w:spacing w:val="1"/>
          <w:sz w:val="22"/>
          <w:szCs w:val="32"/>
          <w:rtl/>
          <w:lang w:eastAsia="en-US" w:bidi="ar-SY"/>
        </w:rPr>
        <w:t xml:space="preserve">مادي </w:t>
      </w:r>
      <w:r w:rsidRPr="00055648">
        <w:rPr>
          <w:rFonts w:eastAsia="Arial" w:cs="Traditional Arabic"/>
          <w:spacing w:val="1"/>
          <w:sz w:val="22"/>
          <w:szCs w:val="32"/>
          <w:rtl/>
          <w:lang w:eastAsia="en-US" w:bidi="ar-SY"/>
        </w:rPr>
        <w:t>و</w:t>
      </w:r>
      <w:r w:rsidR="006B20EF">
        <w:rPr>
          <w:rFonts w:eastAsia="Arial" w:cs="Traditional Arabic" w:hint="cs"/>
          <w:spacing w:val="1"/>
          <w:sz w:val="22"/>
          <w:szCs w:val="32"/>
          <w:rtl/>
          <w:lang w:eastAsia="en-US" w:bidi="ar-SY"/>
        </w:rPr>
        <w:t xml:space="preserve">ترشيح </w:t>
      </w:r>
      <w:r w:rsidRPr="00055648">
        <w:rPr>
          <w:rFonts w:eastAsia="Arial" w:cs="Traditional Arabic"/>
          <w:spacing w:val="1"/>
          <w:sz w:val="22"/>
          <w:szCs w:val="32"/>
          <w:rtl/>
          <w:lang w:eastAsia="en-US" w:bidi="ar-SY"/>
        </w:rPr>
        <w:t xml:space="preserve">ممارسات الصون للإدراج في سجل </w:t>
      </w:r>
      <w:r w:rsidR="00965602">
        <w:rPr>
          <w:rFonts w:eastAsia="Arial" w:cs="Traditional Arabic" w:hint="cs"/>
          <w:spacing w:val="1"/>
          <w:sz w:val="22"/>
          <w:szCs w:val="32"/>
          <w:rtl/>
          <w:lang w:eastAsia="en-US" w:bidi="ar-SY"/>
        </w:rPr>
        <w:t xml:space="preserve">الاتفاقية </w:t>
      </w:r>
      <w:r w:rsidRPr="00055648">
        <w:rPr>
          <w:rFonts w:eastAsia="Arial" w:cs="Traditional Arabic"/>
          <w:spacing w:val="1"/>
          <w:sz w:val="22"/>
          <w:szCs w:val="32"/>
          <w:rtl/>
          <w:lang w:eastAsia="en-US" w:bidi="ar-SY"/>
        </w:rPr>
        <w:t>طريقةً أخرى للتوعية بالتراث الثقافي غير المادي على المستوى الدولي وعلى المستوى الوطني</w:t>
      </w:r>
      <w:r w:rsidR="004B7ED2" w:rsidRPr="004B7ED2">
        <w:rPr>
          <w:rFonts w:eastAsia="Arial" w:cs="Traditional Arabic"/>
          <w:spacing w:val="1"/>
          <w:sz w:val="22"/>
          <w:szCs w:val="32"/>
          <w:rtl/>
          <w:lang w:eastAsia="en-US" w:bidi="ar-SY"/>
        </w:rPr>
        <w:t xml:space="preserve"> </w:t>
      </w:r>
      <w:r w:rsidR="004B7ED2" w:rsidRPr="00055648">
        <w:rPr>
          <w:rFonts w:eastAsia="Arial" w:cs="Traditional Arabic"/>
          <w:spacing w:val="1"/>
          <w:sz w:val="22"/>
          <w:szCs w:val="32"/>
          <w:rtl/>
          <w:lang w:eastAsia="en-US" w:bidi="ar-SY"/>
        </w:rPr>
        <w:t>في حالات عدّة</w:t>
      </w:r>
      <w:r w:rsidRPr="00055648">
        <w:rPr>
          <w:rFonts w:eastAsia="Arial" w:cs="Traditional Arabic"/>
          <w:spacing w:val="1"/>
          <w:sz w:val="22"/>
          <w:szCs w:val="32"/>
          <w:rtl/>
          <w:lang w:eastAsia="en-US" w:bidi="ar-SY"/>
        </w:rPr>
        <w:t xml:space="preserve">. </w:t>
      </w:r>
    </w:p>
    <w:p w14:paraId="315586DB" w14:textId="66D00135" w:rsidR="00055648" w:rsidRPr="00055648" w:rsidRDefault="00055648" w:rsidP="00F87EDD">
      <w:pPr>
        <w:tabs>
          <w:tab w:val="clear" w:pos="567"/>
        </w:tabs>
        <w:bidi/>
        <w:snapToGrid/>
        <w:spacing w:after="200" w:line="240" w:lineRule="auto"/>
        <w:rPr>
          <w:rFonts w:eastAsia="Arial" w:cs="Traditional Arabic"/>
          <w:spacing w:val="1"/>
          <w:sz w:val="22"/>
          <w:szCs w:val="32"/>
          <w:rtl/>
          <w:lang w:eastAsia="en-US" w:bidi="ar-SY"/>
        </w:rPr>
      </w:pPr>
      <w:r w:rsidRPr="00055648">
        <w:rPr>
          <w:rFonts w:eastAsia="Arial" w:cs="Traditional Arabic"/>
          <w:spacing w:val="1"/>
          <w:sz w:val="22"/>
          <w:szCs w:val="32"/>
          <w:rtl/>
          <w:lang w:eastAsia="en-US" w:bidi="ar-SY"/>
        </w:rPr>
        <w:t>وينظّ</w:t>
      </w:r>
      <w:r w:rsidR="007F6F29">
        <w:rPr>
          <w:rFonts w:eastAsia="Arial" w:cs="Traditional Arabic" w:hint="cs"/>
          <w:spacing w:val="1"/>
          <w:sz w:val="22"/>
          <w:szCs w:val="32"/>
          <w:rtl/>
          <w:lang w:eastAsia="en-US" w:bidi="ar-SY"/>
        </w:rPr>
        <w:t>َ</w:t>
      </w:r>
      <w:r w:rsidRPr="00055648">
        <w:rPr>
          <w:rFonts w:eastAsia="Arial" w:cs="Traditional Arabic"/>
          <w:spacing w:val="1"/>
          <w:sz w:val="22"/>
          <w:szCs w:val="32"/>
          <w:rtl/>
          <w:lang w:eastAsia="en-US" w:bidi="ar-SY"/>
        </w:rPr>
        <w:t xml:space="preserve">م مهرجان بارانكيلا </w:t>
      </w:r>
      <w:r w:rsidR="00A23A11">
        <w:rPr>
          <w:rFonts w:eastAsia="Arial" w:cs="Traditional Arabic" w:hint="cs"/>
          <w:spacing w:val="1"/>
          <w:sz w:val="22"/>
          <w:szCs w:val="32"/>
          <w:rtl/>
          <w:lang w:eastAsia="en-US" w:bidi="ar-SY"/>
        </w:rPr>
        <w:t>(</w:t>
      </w:r>
      <w:r w:rsidRPr="00055648">
        <w:rPr>
          <w:rFonts w:eastAsia="Arial" w:cs="Traditional Arabic"/>
          <w:spacing w:val="-1"/>
          <w:sz w:val="22"/>
          <w:szCs w:val="32"/>
          <w:lang w:eastAsia="en-US" w:bidi="ar-SY"/>
        </w:rPr>
        <w:t>B</w:t>
      </w:r>
      <w:r w:rsidRPr="00055648">
        <w:rPr>
          <w:rFonts w:eastAsia="Arial" w:cs="Traditional Arabic"/>
          <w:sz w:val="22"/>
          <w:szCs w:val="32"/>
          <w:lang w:eastAsia="en-US" w:bidi="ar-SY"/>
        </w:rPr>
        <w:t>ar</w:t>
      </w:r>
      <w:r w:rsidRPr="00055648">
        <w:rPr>
          <w:rFonts w:eastAsia="Arial" w:cs="Traditional Arabic"/>
          <w:spacing w:val="1"/>
          <w:sz w:val="22"/>
          <w:szCs w:val="32"/>
          <w:lang w:eastAsia="en-US" w:bidi="ar-SY"/>
        </w:rPr>
        <w:t>r</w:t>
      </w:r>
      <w:r w:rsidRPr="00055648">
        <w:rPr>
          <w:rFonts w:eastAsia="Arial" w:cs="Traditional Arabic"/>
          <w:sz w:val="22"/>
          <w:szCs w:val="32"/>
          <w:lang w:eastAsia="en-US" w:bidi="ar-SY"/>
        </w:rPr>
        <w:t>a</w:t>
      </w:r>
      <w:r w:rsidRPr="00055648">
        <w:rPr>
          <w:rFonts w:eastAsia="Arial" w:cs="Traditional Arabic"/>
          <w:spacing w:val="-3"/>
          <w:sz w:val="22"/>
          <w:szCs w:val="32"/>
          <w:lang w:eastAsia="en-US" w:bidi="ar-SY"/>
        </w:rPr>
        <w:t>n</w:t>
      </w:r>
      <w:r w:rsidRPr="00055648">
        <w:rPr>
          <w:rFonts w:eastAsia="Arial" w:cs="Traditional Arabic"/>
          <w:sz w:val="22"/>
          <w:szCs w:val="32"/>
          <w:lang w:eastAsia="en-US" w:bidi="ar-SY"/>
        </w:rPr>
        <w:t>q</w:t>
      </w:r>
      <w:r w:rsidRPr="00055648">
        <w:rPr>
          <w:rFonts w:eastAsia="Arial" w:cs="Traditional Arabic"/>
          <w:spacing w:val="-1"/>
          <w:sz w:val="22"/>
          <w:szCs w:val="32"/>
          <w:lang w:eastAsia="en-US" w:bidi="ar-SY"/>
        </w:rPr>
        <w:t>uill</w:t>
      </w:r>
      <w:r w:rsidRPr="00055648">
        <w:rPr>
          <w:rFonts w:eastAsia="Arial" w:cs="Traditional Arabic"/>
          <w:sz w:val="22"/>
          <w:szCs w:val="32"/>
          <w:lang w:eastAsia="en-US" w:bidi="ar-SY"/>
        </w:rPr>
        <w:t>a</w:t>
      </w:r>
      <w:r w:rsidR="00A23A11">
        <w:rPr>
          <w:rFonts w:eastAsia="Arial" w:cs="Traditional Arabic" w:hint="cs"/>
          <w:sz w:val="22"/>
          <w:szCs w:val="32"/>
          <w:rtl/>
          <w:lang w:eastAsia="en-US" w:bidi="ar-SY"/>
        </w:rPr>
        <w:t>)</w:t>
      </w:r>
      <w:r w:rsidRPr="00055648">
        <w:rPr>
          <w:rFonts w:eastAsia="Arial" w:cs="Traditional Arabic"/>
          <w:spacing w:val="1"/>
          <w:sz w:val="22"/>
          <w:szCs w:val="32"/>
          <w:rtl/>
          <w:lang w:eastAsia="en-US" w:bidi="ar-SY"/>
        </w:rPr>
        <w:t>، الذي يشمل الرقص والموسيقى من مختلف الثقافات الفرعية الكولومبية، في مدينة بارانكيلا الساحلية في كولومبيا كل عام في الأيام الأربعة التي تسبق فترة الصوم الكبير عند المسيحيين. وأُدرج المهرجان في القائمة التمثيلية في عام 2008، بعد أن أُعلن من روائع التراث الشفهي وغير المادي للبشرية في عام 2003. وساهم إدراجه هذا في توعية عالمية واسعة ب</w:t>
      </w:r>
      <w:r w:rsidR="006C7A4E">
        <w:rPr>
          <w:rFonts w:eastAsia="Arial" w:cs="Traditional Arabic"/>
          <w:spacing w:val="1"/>
          <w:sz w:val="22"/>
          <w:szCs w:val="32"/>
          <w:rtl/>
          <w:lang w:eastAsia="en-US" w:bidi="ar-SY"/>
        </w:rPr>
        <w:t>شأنه وزاد من رواجه في كولومبيا.</w:t>
      </w:r>
      <w:bookmarkStart w:id="1" w:name="_GoBack"/>
      <w:bookmarkEnd w:id="1"/>
    </w:p>
    <w:sectPr w:rsidR="00055648" w:rsidRPr="00055648"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E063" w14:textId="77777777" w:rsidR="003F7036" w:rsidRDefault="003F7036" w:rsidP="000F4C6A">
      <w:r>
        <w:separator/>
      </w:r>
    </w:p>
    <w:p w14:paraId="23DB2E14" w14:textId="77777777" w:rsidR="003F7036" w:rsidRDefault="003F7036"/>
  </w:endnote>
  <w:endnote w:type="continuationSeparator" w:id="0">
    <w:p w14:paraId="0F530751" w14:textId="77777777" w:rsidR="003F7036" w:rsidRDefault="003F7036" w:rsidP="000F4C6A">
      <w:r>
        <w:continuationSeparator/>
      </w:r>
    </w:p>
    <w:p w14:paraId="7F4C766E" w14:textId="77777777" w:rsidR="003F7036" w:rsidRDefault="003F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C56CEB" w:rsidRPr="00BB7269" w14:paraId="70589165" w14:textId="77777777" w:rsidTr="002062B0">
      <w:tc>
        <w:tcPr>
          <w:tcW w:w="1234" w:type="pct"/>
          <w:vAlign w:val="center"/>
        </w:tcPr>
        <w:p w14:paraId="231B296A" w14:textId="77777777" w:rsidR="00C56CEB" w:rsidRDefault="00C56CEB" w:rsidP="002062B0">
          <w:pPr>
            <w:pStyle w:val="Footer"/>
            <w:tabs>
              <w:tab w:val="clear" w:pos="4423"/>
              <w:tab w:val="clear" w:pos="8845"/>
              <w:tab w:val="right" w:pos="2018"/>
            </w:tabs>
            <w:spacing w:line="240" w:lineRule="auto"/>
            <w:jc w:val="right"/>
          </w:pPr>
          <w:r>
            <w:rPr>
              <w:noProof/>
              <w:snapToGrid/>
              <w:lang w:eastAsia="ja-JP"/>
            </w:rPr>
            <w:drawing>
              <wp:inline distT="0" distB="0" distL="0" distR="0" wp14:anchorId="10CED538" wp14:editId="69D66CA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64108DB7" w14:textId="311CA742" w:rsidR="00C56CEB" w:rsidRPr="00BB7269" w:rsidRDefault="00C56CEB" w:rsidP="002062B0">
          <w:pPr>
            <w:pStyle w:val="Footer"/>
            <w:bidi/>
            <w:spacing w:line="240" w:lineRule="auto"/>
            <w:jc w:val="center"/>
            <w:rPr>
              <w:lang w:val="en-US"/>
            </w:rPr>
          </w:pPr>
        </w:p>
      </w:tc>
      <w:tc>
        <w:tcPr>
          <w:tcW w:w="1260" w:type="pct"/>
          <w:vAlign w:val="bottom"/>
        </w:tcPr>
        <w:p w14:paraId="6A1986E3" w14:textId="5DB4BE29" w:rsidR="00C56CEB" w:rsidRPr="00BB7269" w:rsidRDefault="00C56CEB" w:rsidP="00C56CEB">
          <w:pPr>
            <w:pStyle w:val="Footer"/>
            <w:spacing w:line="240" w:lineRule="auto"/>
            <w:rPr>
              <w:lang w:val="en-US"/>
            </w:rPr>
          </w:pPr>
          <w:r w:rsidRPr="0020341B">
            <w:rPr>
              <w:lang w:val="en-US"/>
            </w:rPr>
            <w:t>CS</w:t>
          </w:r>
          <w:r>
            <w:rPr>
              <w:lang w:val="en-US"/>
            </w:rPr>
            <w:t>3</w:t>
          </w:r>
          <w:r w:rsidRPr="0020341B">
            <w:rPr>
              <w:lang w:val="en-US"/>
            </w:rPr>
            <w:t>-v1.</w:t>
          </w:r>
          <w:r w:rsidR="00FD2BB9">
            <w:rPr>
              <w:lang w:val="en-US"/>
            </w:rPr>
            <w:t>0</w:t>
          </w:r>
          <w:r w:rsidRPr="0020341B">
            <w:rPr>
              <w:lang w:val="en-US"/>
            </w:rPr>
            <w:t>-</w:t>
          </w:r>
          <w:r w:rsidR="00FD2BB9">
            <w:rPr>
              <w:lang w:val="en-US"/>
            </w:rPr>
            <w:t>AR</w:t>
          </w:r>
        </w:p>
      </w:tc>
    </w:tr>
  </w:tbl>
  <w:p w14:paraId="7D367C67" w14:textId="334955A3" w:rsidR="00F87EDD" w:rsidRPr="00C56CEB" w:rsidRDefault="002927C1" w:rsidP="00C56CEB">
    <w:pPr>
      <w:pStyle w:val="Footer"/>
    </w:pPr>
    <w:r>
      <w:rPr>
        <w:noProof/>
        <w:lang w:eastAsia="ja-JP"/>
      </w:rPr>
      <w:drawing>
        <wp:anchor distT="0" distB="0" distL="114300" distR="114300" simplePos="0" relativeHeight="251659264" behindDoc="0" locked="0" layoutInCell="1" allowOverlap="1" wp14:anchorId="36D971BB" wp14:editId="072904CB">
          <wp:simplePos x="0" y="0"/>
          <wp:positionH relativeFrom="column">
            <wp:posOffset>2319020</wp:posOffset>
          </wp:positionH>
          <wp:positionV relativeFrom="paragraph">
            <wp:posOffset>-55245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3055B3" w:rsidRDefault="00443DE5" w:rsidP="00CB334B">
    <w:pPr>
      <w:pStyle w:val="Footer"/>
      <w:rPr>
        <w:lang w:val="en-US"/>
      </w:rPr>
    </w:pPr>
    <w:r w:rsidRPr="003055B3">
      <w:rPr>
        <w:lang w:val="en-US"/>
      </w:rPr>
      <w:t>CS33-v1.0-EN</w:t>
    </w:r>
    <w:r w:rsidRPr="003055B3">
      <w:rPr>
        <w:lang w:val="en-US"/>
      </w:rPr>
      <w:tab/>
      <w:t>© UNESCO • Not to be reproduced without permission</w:t>
    </w:r>
    <w:r w:rsidRPr="003055B3">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C56CEB" w:rsidRPr="00BB7269" w14:paraId="649D021B" w14:textId="77777777" w:rsidTr="002062B0">
      <w:tc>
        <w:tcPr>
          <w:tcW w:w="1234" w:type="pct"/>
          <w:vAlign w:val="center"/>
        </w:tcPr>
        <w:p w14:paraId="69D30D4C" w14:textId="77777777" w:rsidR="00C56CEB" w:rsidRDefault="00C56CEB" w:rsidP="002062B0">
          <w:pPr>
            <w:pStyle w:val="Footer"/>
            <w:tabs>
              <w:tab w:val="clear" w:pos="4423"/>
              <w:tab w:val="clear" w:pos="8845"/>
              <w:tab w:val="right" w:pos="2018"/>
            </w:tabs>
            <w:spacing w:line="240" w:lineRule="auto"/>
          </w:pPr>
          <w:r>
            <w:rPr>
              <w:noProof/>
              <w:snapToGrid/>
              <w:lang w:eastAsia="ja-JP"/>
            </w:rPr>
            <w:drawing>
              <wp:inline distT="0" distB="0" distL="0" distR="0" wp14:anchorId="5D742D88" wp14:editId="4D039CF0">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60B1FD57" w14:textId="448F1E44" w:rsidR="00C56CEB" w:rsidRPr="00BB7269" w:rsidRDefault="00C56CEB" w:rsidP="002062B0">
          <w:pPr>
            <w:pStyle w:val="Footer"/>
            <w:bidi/>
            <w:spacing w:line="240" w:lineRule="auto"/>
            <w:jc w:val="center"/>
            <w:rPr>
              <w:lang w:val="en-US"/>
            </w:rPr>
          </w:pPr>
        </w:p>
      </w:tc>
      <w:tc>
        <w:tcPr>
          <w:tcW w:w="1260" w:type="pct"/>
          <w:vAlign w:val="bottom"/>
        </w:tcPr>
        <w:p w14:paraId="2750DF8E" w14:textId="27AAB484" w:rsidR="00C56CEB" w:rsidRPr="00BB7269" w:rsidRDefault="00C56CEB" w:rsidP="00C56CEB">
          <w:pPr>
            <w:pStyle w:val="Footer"/>
            <w:spacing w:line="240" w:lineRule="auto"/>
            <w:jc w:val="right"/>
            <w:rPr>
              <w:lang w:val="en-US"/>
            </w:rPr>
          </w:pPr>
          <w:r w:rsidRPr="0020341B">
            <w:rPr>
              <w:lang w:val="en-US"/>
            </w:rPr>
            <w:t>CS</w:t>
          </w:r>
          <w:r>
            <w:rPr>
              <w:lang w:val="en-US"/>
            </w:rPr>
            <w:t>3</w:t>
          </w:r>
          <w:r w:rsidRPr="0020341B">
            <w:rPr>
              <w:lang w:val="en-US"/>
            </w:rPr>
            <w:t>-v1.</w:t>
          </w:r>
          <w:r w:rsidR="00FD2BB9">
            <w:rPr>
              <w:lang w:val="en-US"/>
            </w:rPr>
            <w:t>0</w:t>
          </w:r>
          <w:r w:rsidRPr="0020341B">
            <w:rPr>
              <w:lang w:val="en-US"/>
            </w:rPr>
            <w:t>-</w:t>
          </w:r>
          <w:r w:rsidR="00FD2BB9">
            <w:rPr>
              <w:lang w:val="en-US"/>
            </w:rPr>
            <w:t>AR</w:t>
          </w:r>
        </w:p>
      </w:tc>
    </w:tr>
  </w:tbl>
  <w:p w14:paraId="7666B67F" w14:textId="4188F8A2" w:rsidR="00C56CEB" w:rsidRPr="00BB7269" w:rsidRDefault="002927C1" w:rsidP="00C56CEB">
    <w:pPr>
      <w:pStyle w:val="Footer"/>
      <w:rPr>
        <w:lang w:val="en-US"/>
      </w:rPr>
    </w:pPr>
    <w:r>
      <w:rPr>
        <w:noProof/>
        <w:lang w:eastAsia="ja-JP"/>
      </w:rPr>
      <w:drawing>
        <wp:anchor distT="0" distB="0" distL="114300" distR="114300" simplePos="0" relativeHeight="251657216" behindDoc="0" locked="0" layoutInCell="1" allowOverlap="1" wp14:anchorId="2FE45A06" wp14:editId="3FDDC032">
          <wp:simplePos x="0" y="0"/>
          <wp:positionH relativeFrom="column">
            <wp:posOffset>2536190</wp:posOffset>
          </wp:positionH>
          <wp:positionV relativeFrom="paragraph">
            <wp:posOffset>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DBB5" w14:textId="77777777" w:rsidR="003F7036" w:rsidRDefault="003F7036" w:rsidP="00F87EDD">
      <w:pPr>
        <w:bidi/>
        <w:ind w:left="0"/>
      </w:pPr>
      <w:r>
        <w:separator/>
      </w:r>
    </w:p>
  </w:footnote>
  <w:footnote w:type="continuationSeparator" w:id="0">
    <w:p w14:paraId="2239C3A0" w14:textId="77777777" w:rsidR="003F7036" w:rsidRDefault="003F7036" w:rsidP="000F4C6A">
      <w:r>
        <w:continuationSeparator/>
      </w:r>
    </w:p>
    <w:p w14:paraId="1D1294A3" w14:textId="77777777" w:rsidR="003F7036" w:rsidRDefault="003F7036"/>
  </w:footnote>
  <w:footnote w:id="1">
    <w:p w14:paraId="392356ED" w14:textId="5AF3B038" w:rsidR="00055648" w:rsidRPr="00F87EDD" w:rsidRDefault="00055648" w:rsidP="00037BF2">
      <w:pPr>
        <w:bidi/>
        <w:spacing w:line="240" w:lineRule="auto"/>
        <w:ind w:left="340" w:hanging="340"/>
        <w:rPr>
          <w:rFonts w:eastAsia="Arial" w:cs="Traditional Arabic"/>
          <w:sz w:val="18"/>
          <w:szCs w:val="24"/>
          <w:rtl/>
        </w:rPr>
      </w:pPr>
      <w:r w:rsidRPr="00F87EDD">
        <w:rPr>
          <w:rStyle w:val="FootnoteReference"/>
          <w:rFonts w:cs="Traditional Arabic"/>
          <w:szCs w:val="24"/>
        </w:rPr>
        <w:footnoteRef/>
      </w:r>
      <w:r w:rsidR="00F87EDD" w:rsidRPr="00F87EDD">
        <w:rPr>
          <w:rFonts w:cs="Traditional Arabic"/>
          <w:sz w:val="18"/>
          <w:szCs w:val="24"/>
        </w:rPr>
        <w:tab/>
      </w:r>
      <w:r w:rsidRPr="00F87EDD">
        <w:rPr>
          <w:rFonts w:cs="Traditional Arabic" w:hint="cs"/>
          <w:sz w:val="18"/>
          <w:szCs w:val="24"/>
          <w:rtl/>
        </w:rPr>
        <w:t xml:space="preserve">انظر صحيفة </w:t>
      </w:r>
      <w:r w:rsidR="00037BF2">
        <w:rPr>
          <w:rFonts w:cs="Traditional Arabic" w:hint="cs"/>
          <w:sz w:val="18"/>
          <w:szCs w:val="24"/>
          <w:rtl/>
        </w:rPr>
        <w:t>البيانات المتعلقة</w:t>
      </w:r>
      <w:r w:rsidR="00037BF2" w:rsidRPr="00F87EDD">
        <w:rPr>
          <w:rFonts w:cs="Traditional Arabic" w:hint="cs"/>
          <w:sz w:val="18"/>
          <w:szCs w:val="24"/>
          <w:rtl/>
        </w:rPr>
        <w:t xml:space="preserve"> </w:t>
      </w:r>
      <w:r w:rsidR="00037BF2">
        <w:rPr>
          <w:rFonts w:cs="Traditional Arabic" w:hint="cs"/>
          <w:sz w:val="18"/>
          <w:szCs w:val="24"/>
          <w:rtl/>
        </w:rPr>
        <w:t>ب</w:t>
      </w:r>
      <w:r w:rsidRPr="00F87EDD">
        <w:rPr>
          <w:rFonts w:cs="Traditional Arabic" w:hint="cs"/>
          <w:sz w:val="18"/>
          <w:szCs w:val="24"/>
          <w:rtl/>
        </w:rPr>
        <w:t xml:space="preserve">التراث الثقافي غير المادي، مجموعة اليونسكو التعليمية </w:t>
      </w:r>
      <w:r w:rsidR="00577C79">
        <w:rPr>
          <w:rFonts w:cs="Traditional Arabic" w:hint="cs"/>
          <w:sz w:val="18"/>
          <w:szCs w:val="24"/>
          <w:rtl/>
        </w:rPr>
        <w:t>ا</w:t>
      </w:r>
      <w:r w:rsidRPr="00F87EDD">
        <w:rPr>
          <w:rFonts w:cs="Traditional Arabic" w:hint="cs"/>
          <w:sz w:val="18"/>
          <w:szCs w:val="24"/>
          <w:rtl/>
        </w:rPr>
        <w:t xml:space="preserve">لخاصة بالتراث الثقافي غير المادي: </w:t>
      </w:r>
      <w:hyperlink r:id="rId1">
        <w:r w:rsidRPr="00F87EDD">
          <w:rPr>
            <w:rFonts w:eastAsia="Arial" w:cs="Traditional Arabic"/>
            <w:sz w:val="18"/>
            <w:szCs w:val="24"/>
          </w:rPr>
          <w:t>ht</w:t>
        </w:r>
        <w:r w:rsidRPr="00F87EDD">
          <w:rPr>
            <w:rFonts w:eastAsia="Arial" w:cs="Traditional Arabic"/>
            <w:spacing w:val="-1"/>
            <w:sz w:val="18"/>
            <w:szCs w:val="24"/>
          </w:rPr>
          <w:t>t</w:t>
        </w:r>
        <w:r w:rsidRPr="00F87EDD">
          <w:rPr>
            <w:rFonts w:eastAsia="Arial" w:cs="Traditional Arabic"/>
            <w:sz w:val="18"/>
            <w:szCs w:val="24"/>
          </w:rPr>
          <w:t>p:</w:t>
        </w:r>
        <w:r w:rsidRPr="00F87EDD">
          <w:rPr>
            <w:rFonts w:eastAsia="Arial" w:cs="Traditional Arabic"/>
            <w:spacing w:val="-1"/>
            <w:sz w:val="18"/>
            <w:szCs w:val="24"/>
          </w:rPr>
          <w:t>/</w:t>
        </w:r>
        <w:r w:rsidRPr="00F87EDD">
          <w:rPr>
            <w:rFonts w:eastAsia="Arial" w:cs="Traditional Arabic"/>
            <w:spacing w:val="2"/>
            <w:sz w:val="18"/>
            <w:szCs w:val="24"/>
          </w:rPr>
          <w:t>/</w:t>
        </w:r>
        <w:r w:rsidRPr="00F87EDD">
          <w:rPr>
            <w:rFonts w:eastAsia="Arial" w:cs="Traditional Arabic"/>
            <w:sz w:val="18"/>
            <w:szCs w:val="24"/>
          </w:rPr>
          <w:t>www</w:t>
        </w:r>
        <w:r w:rsidRPr="00F87EDD">
          <w:rPr>
            <w:rFonts w:eastAsia="Arial" w:cs="Traditional Arabic"/>
            <w:spacing w:val="3"/>
            <w:sz w:val="18"/>
            <w:szCs w:val="24"/>
          </w:rPr>
          <w:t>.</w:t>
        </w:r>
        <w:r w:rsidRPr="00F87EDD">
          <w:rPr>
            <w:rFonts w:eastAsia="Arial" w:cs="Traditional Arabic"/>
            <w:sz w:val="18"/>
            <w:szCs w:val="24"/>
          </w:rPr>
          <w:t>u</w:t>
        </w:r>
        <w:r w:rsidRPr="00F87EDD">
          <w:rPr>
            <w:rFonts w:eastAsia="Arial" w:cs="Traditional Arabic"/>
            <w:spacing w:val="-1"/>
            <w:sz w:val="18"/>
            <w:szCs w:val="24"/>
          </w:rPr>
          <w:t>n</w:t>
        </w:r>
        <w:r w:rsidRPr="00F87EDD">
          <w:rPr>
            <w:rFonts w:eastAsia="Arial" w:cs="Traditional Arabic"/>
            <w:sz w:val="18"/>
            <w:szCs w:val="24"/>
          </w:rPr>
          <w:t>e</w:t>
        </w:r>
        <w:r w:rsidRPr="00F87EDD">
          <w:rPr>
            <w:rFonts w:eastAsia="Arial" w:cs="Traditional Arabic"/>
            <w:spacing w:val="1"/>
            <w:sz w:val="18"/>
            <w:szCs w:val="24"/>
          </w:rPr>
          <w:t>sc</w:t>
        </w:r>
        <w:r w:rsidRPr="00F87EDD">
          <w:rPr>
            <w:rFonts w:eastAsia="Arial" w:cs="Traditional Arabic"/>
            <w:sz w:val="18"/>
            <w:szCs w:val="24"/>
          </w:rPr>
          <w:t>o.</w:t>
        </w:r>
        <w:r w:rsidRPr="00F87EDD">
          <w:rPr>
            <w:rFonts w:eastAsia="Arial" w:cs="Traditional Arabic"/>
            <w:spacing w:val="1"/>
            <w:sz w:val="18"/>
            <w:szCs w:val="24"/>
          </w:rPr>
          <w:t>o</w:t>
        </w:r>
        <w:r w:rsidRPr="00F87EDD">
          <w:rPr>
            <w:rFonts w:eastAsia="Arial" w:cs="Traditional Arabic"/>
            <w:spacing w:val="3"/>
            <w:sz w:val="18"/>
            <w:szCs w:val="24"/>
          </w:rPr>
          <w:t>r</w:t>
        </w:r>
        <w:r w:rsidRPr="00F87EDD">
          <w:rPr>
            <w:rFonts w:eastAsia="Arial" w:cs="Traditional Arabic"/>
            <w:sz w:val="18"/>
            <w:szCs w:val="24"/>
          </w:rPr>
          <w:t>g/cu</w:t>
        </w:r>
        <w:r w:rsidRPr="00F87EDD">
          <w:rPr>
            <w:rFonts w:eastAsia="Arial" w:cs="Traditional Arabic"/>
            <w:spacing w:val="-1"/>
            <w:sz w:val="18"/>
            <w:szCs w:val="24"/>
          </w:rPr>
          <w:t>l</w:t>
        </w:r>
        <w:r w:rsidRPr="00F87EDD">
          <w:rPr>
            <w:rFonts w:eastAsia="Arial" w:cs="Traditional Arabic"/>
            <w:spacing w:val="2"/>
            <w:sz w:val="18"/>
            <w:szCs w:val="24"/>
          </w:rPr>
          <w:t>t</w:t>
        </w:r>
        <w:r w:rsidRPr="00F87EDD">
          <w:rPr>
            <w:rFonts w:eastAsia="Arial" w:cs="Traditional Arabic"/>
            <w:sz w:val="18"/>
            <w:szCs w:val="24"/>
          </w:rPr>
          <w:t>ure/</w:t>
        </w:r>
        <w:r w:rsidRPr="00F87EDD">
          <w:rPr>
            <w:rFonts w:eastAsia="Arial" w:cs="Traditional Arabic"/>
            <w:spacing w:val="-1"/>
            <w:sz w:val="18"/>
            <w:szCs w:val="24"/>
          </w:rPr>
          <w:t>i</w:t>
        </w:r>
        <w:r w:rsidRPr="00F87EDD">
          <w:rPr>
            <w:rFonts w:eastAsia="Arial" w:cs="Traditional Arabic"/>
            <w:spacing w:val="1"/>
            <w:sz w:val="18"/>
            <w:szCs w:val="24"/>
          </w:rPr>
          <w:t>c</w:t>
        </w:r>
        <w:r w:rsidRPr="00F87EDD">
          <w:rPr>
            <w:rFonts w:eastAsia="Arial" w:cs="Traditional Arabic"/>
            <w:sz w:val="18"/>
            <w:szCs w:val="24"/>
          </w:rPr>
          <w:t>h</w:t>
        </w:r>
        <w:r w:rsidRPr="00F87EDD">
          <w:rPr>
            <w:rFonts w:eastAsia="Arial" w:cs="Traditional Arabic"/>
            <w:spacing w:val="2"/>
            <w:sz w:val="18"/>
            <w:szCs w:val="24"/>
          </w:rPr>
          <w:t>/</w:t>
        </w:r>
        <w:r w:rsidRPr="00F87EDD">
          <w:rPr>
            <w:rFonts w:eastAsia="Arial" w:cs="Traditional Arabic"/>
            <w:sz w:val="18"/>
            <w:szCs w:val="24"/>
          </w:rPr>
          <w:t>d</w:t>
        </w:r>
        <w:r w:rsidRPr="00F87EDD">
          <w:rPr>
            <w:rFonts w:eastAsia="Arial" w:cs="Traditional Arabic"/>
            <w:spacing w:val="-1"/>
            <w:sz w:val="18"/>
            <w:szCs w:val="24"/>
          </w:rPr>
          <w:t>o</w:t>
        </w:r>
        <w:r w:rsidRPr="00F87EDD">
          <w:rPr>
            <w:rFonts w:eastAsia="Arial" w:cs="Traditional Arabic"/>
            <w:spacing w:val="1"/>
            <w:sz w:val="18"/>
            <w:szCs w:val="24"/>
          </w:rPr>
          <w:t>c</w:t>
        </w:r>
        <w:r w:rsidRPr="00F87EDD">
          <w:rPr>
            <w:rFonts w:eastAsia="Arial" w:cs="Traditional Arabic"/>
            <w:sz w:val="18"/>
            <w:szCs w:val="24"/>
          </w:rPr>
          <w:t>/</w:t>
        </w:r>
        <w:r w:rsidRPr="00F87EDD">
          <w:rPr>
            <w:rFonts w:eastAsia="Arial" w:cs="Traditional Arabic"/>
            <w:spacing w:val="1"/>
            <w:sz w:val="18"/>
            <w:szCs w:val="24"/>
          </w:rPr>
          <w:t>src</w:t>
        </w:r>
        <w:r w:rsidRPr="00F87EDD">
          <w:rPr>
            <w:rFonts w:eastAsia="Arial" w:cs="Traditional Arabic"/>
            <w:sz w:val="18"/>
            <w:szCs w:val="24"/>
          </w:rPr>
          <w:t>/0</w:t>
        </w:r>
        <w:r w:rsidRPr="00F87EDD">
          <w:rPr>
            <w:rFonts w:eastAsia="Arial" w:cs="Traditional Arabic"/>
            <w:spacing w:val="-1"/>
            <w:sz w:val="18"/>
            <w:szCs w:val="24"/>
          </w:rPr>
          <w:t>1</w:t>
        </w:r>
        <w:r w:rsidRPr="00F87EDD">
          <w:rPr>
            <w:rFonts w:eastAsia="Arial" w:cs="Traditional Arabic"/>
            <w:sz w:val="18"/>
            <w:szCs w:val="24"/>
          </w:rPr>
          <w:t>8</w:t>
        </w:r>
        <w:r w:rsidRPr="00F87EDD">
          <w:rPr>
            <w:rFonts w:eastAsia="Arial" w:cs="Traditional Arabic"/>
            <w:spacing w:val="1"/>
            <w:sz w:val="18"/>
            <w:szCs w:val="24"/>
          </w:rPr>
          <w:t>5</w:t>
        </w:r>
        <w:r w:rsidRPr="00F87EDD">
          <w:rPr>
            <w:rFonts w:eastAsia="Arial" w:cs="Traditional Arabic"/>
            <w:spacing w:val="2"/>
            <w:sz w:val="18"/>
            <w:szCs w:val="24"/>
          </w:rPr>
          <w:t>8</w:t>
        </w:r>
        <w:r w:rsidRPr="00F87EDD">
          <w:rPr>
            <w:rFonts w:eastAsia="Arial" w:cs="Traditional Arabic"/>
            <w:spacing w:val="1"/>
            <w:sz w:val="18"/>
            <w:szCs w:val="24"/>
          </w:rPr>
          <w:t>-</w:t>
        </w:r>
        <w:r w:rsidRPr="00F87EDD">
          <w:rPr>
            <w:rFonts w:eastAsia="Arial" w:cs="Traditional Arabic"/>
            <w:spacing w:val="-1"/>
            <w:sz w:val="18"/>
            <w:szCs w:val="24"/>
          </w:rPr>
          <w:t>E</w:t>
        </w:r>
        <w:r w:rsidRPr="00F87EDD">
          <w:rPr>
            <w:rFonts w:eastAsia="Arial" w:cs="Traditional Arabic"/>
            <w:sz w:val="18"/>
            <w:szCs w:val="24"/>
          </w:rPr>
          <w:t>N</w:t>
        </w:r>
        <w:r w:rsidRPr="00F87EDD">
          <w:rPr>
            <w:rFonts w:eastAsia="Arial" w:cs="Traditional Arabic"/>
            <w:spacing w:val="2"/>
            <w:sz w:val="18"/>
            <w:szCs w:val="24"/>
          </w:rPr>
          <w:t>.p</w:t>
        </w:r>
        <w:r w:rsidRPr="00F87EDD">
          <w:rPr>
            <w:rFonts w:eastAsia="Arial" w:cs="Traditional Arabic"/>
            <w:sz w:val="18"/>
            <w:szCs w:val="24"/>
          </w:rPr>
          <w:t>df</w:t>
        </w:r>
      </w:hyperlink>
      <w:r w:rsidR="002D33A7">
        <w:rPr>
          <w:rFonts w:eastAsia="Arial" w:cs="Traditional Arabic" w:hint="cs"/>
          <w:sz w:val="18"/>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8"/>
      <w:gridCol w:w="3019"/>
      <w:gridCol w:w="3017"/>
    </w:tblGrid>
    <w:tr w:rsidR="00C56CEB" w:rsidRPr="00503035" w14:paraId="78196530" w14:textId="77777777" w:rsidTr="002062B0">
      <w:trPr>
        <w:jc w:val="center"/>
      </w:trPr>
      <w:tc>
        <w:tcPr>
          <w:tcW w:w="1667" w:type="pct"/>
        </w:tcPr>
        <w:p w14:paraId="79A9B092" w14:textId="77777777" w:rsidR="00C56CEB" w:rsidRPr="00503035" w:rsidRDefault="00C56CEB" w:rsidP="002062B0">
          <w:pPr>
            <w:pStyle w:val="Header"/>
            <w:bidi/>
            <w:spacing w:line="240" w:lineRule="auto"/>
            <w:jc w:val="right"/>
            <w:rPr>
              <w:rFonts w:cs="Traditional Arabic"/>
              <w:sz w:val="18"/>
              <w:szCs w:val="24"/>
            </w:rPr>
          </w:pPr>
          <w:r w:rsidRPr="00503035">
            <w:rPr>
              <w:rFonts w:cs="Traditional Arabic"/>
              <w:sz w:val="18"/>
              <w:szCs w:val="24"/>
              <w:rtl/>
            </w:rPr>
            <w:t>دراس</w:t>
          </w:r>
          <w:r>
            <w:rPr>
              <w:rFonts w:cs="Traditional Arabic" w:hint="cs"/>
              <w:sz w:val="18"/>
              <w:szCs w:val="24"/>
              <w:rtl/>
            </w:rPr>
            <w:t>ات</w:t>
          </w:r>
          <w:r w:rsidRPr="00503035">
            <w:rPr>
              <w:rFonts w:cs="Traditional Arabic"/>
              <w:sz w:val="18"/>
              <w:szCs w:val="24"/>
              <w:rtl/>
            </w:rPr>
            <w:t xml:space="preserve"> </w:t>
          </w:r>
          <w:r>
            <w:rPr>
              <w:rFonts w:cs="Traditional Arabic" w:hint="cs"/>
              <w:sz w:val="18"/>
              <w:szCs w:val="24"/>
              <w:rtl/>
            </w:rPr>
            <w:t>ال</w:t>
          </w:r>
          <w:r w:rsidRPr="00503035">
            <w:rPr>
              <w:rFonts w:cs="Traditional Arabic"/>
              <w:sz w:val="18"/>
              <w:szCs w:val="24"/>
              <w:rtl/>
            </w:rPr>
            <w:t>حالات</w:t>
          </w:r>
        </w:p>
      </w:tc>
      <w:tc>
        <w:tcPr>
          <w:tcW w:w="1667" w:type="pct"/>
        </w:tcPr>
        <w:p w14:paraId="7DE7DBBA" w14:textId="0D0F12AB" w:rsidR="00C56CEB" w:rsidRPr="00503035" w:rsidRDefault="00C56CEB" w:rsidP="00C56CEB">
          <w:pPr>
            <w:pStyle w:val="Header"/>
            <w:bidi/>
            <w:spacing w:line="240" w:lineRule="auto"/>
            <w:jc w:val="center"/>
            <w:rPr>
              <w:rFonts w:cs="Traditional Arabic"/>
              <w:sz w:val="18"/>
              <w:szCs w:val="24"/>
              <w:rtl/>
              <w:lang w:val="fr-FR" w:bidi="ar-SY"/>
            </w:rPr>
          </w:pPr>
          <w:r w:rsidRPr="00503035">
            <w:rPr>
              <w:rFonts w:cs="Traditional Arabic" w:hint="cs"/>
              <w:sz w:val="18"/>
              <w:szCs w:val="24"/>
              <w:rtl/>
            </w:rPr>
            <w:t xml:space="preserve">دراسة </w:t>
          </w:r>
          <w:r>
            <w:rPr>
              <w:rFonts w:cs="Traditional Arabic" w:hint="cs"/>
              <w:sz w:val="18"/>
              <w:szCs w:val="24"/>
              <w:rtl/>
            </w:rPr>
            <w:t>ال</w:t>
          </w:r>
          <w:r w:rsidRPr="00503035">
            <w:rPr>
              <w:rFonts w:cs="Traditional Arabic" w:hint="cs"/>
              <w:sz w:val="18"/>
              <w:szCs w:val="24"/>
              <w:rtl/>
            </w:rPr>
            <w:t>حال</w:t>
          </w:r>
          <w:r w:rsidRPr="00503035">
            <w:rPr>
              <w:rFonts w:cs="Traditional Arabic" w:hint="cs"/>
              <w:sz w:val="18"/>
              <w:szCs w:val="24"/>
              <w:rtl/>
              <w:lang w:val="fr-FR" w:bidi="ar-SY"/>
            </w:rPr>
            <w:t xml:space="preserve">ة </w:t>
          </w:r>
          <w:r>
            <w:rPr>
              <w:rFonts w:cs="Traditional Arabic" w:hint="cs"/>
              <w:sz w:val="18"/>
              <w:szCs w:val="24"/>
              <w:rtl/>
              <w:lang w:val="fr-FR" w:bidi="ar-SY"/>
            </w:rPr>
            <w:t>3</w:t>
          </w:r>
        </w:p>
      </w:tc>
      <w:tc>
        <w:tcPr>
          <w:tcW w:w="1667" w:type="pct"/>
        </w:tcPr>
        <w:p w14:paraId="42E5772A" w14:textId="1751D2ED" w:rsidR="00C56CEB" w:rsidRPr="00503035" w:rsidRDefault="00C56CEB" w:rsidP="002062B0">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2927C1" w:rsidRPr="002927C1">
            <w:rPr>
              <w:rFonts w:cs="Traditional Arabic"/>
              <w:noProof/>
              <w:sz w:val="18"/>
              <w:szCs w:val="24"/>
              <w:lang w:val="fr-FR"/>
            </w:rPr>
            <w:t>2</w:t>
          </w:r>
          <w:r w:rsidRPr="00503035">
            <w:rPr>
              <w:rFonts w:cs="Traditional Arabic"/>
              <w:sz w:val="18"/>
              <w:szCs w:val="24"/>
            </w:rPr>
            <w:fldChar w:fldCharType="end"/>
          </w:r>
        </w:p>
      </w:tc>
    </w:tr>
  </w:tbl>
  <w:p w14:paraId="3FCECBA6" w14:textId="0DD00D94" w:rsidR="00443DE5" w:rsidRDefault="00443DE5" w:rsidP="00C56CE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4D38" w14:textId="77777777" w:rsidR="00C56CEB" w:rsidRPr="00AB5AD8" w:rsidRDefault="00F87EDD" w:rsidP="00C56CEB">
    <w:pPr>
      <w:pStyle w:val="Header"/>
      <w:ind w:right="360" w:firstLine="360"/>
      <w:rPr>
        <w:rFonts w:ascii="Traditional Arabic" w:hAnsi="Traditional Arabic" w:cs="Traditional Arabic"/>
        <w:sz w:val="24"/>
        <w:szCs w:val="24"/>
      </w:rPr>
    </w:pPr>
    <w:r w:rsidRPr="00AB5AD8">
      <w:rPr>
        <w:sz w:val="24"/>
        <w:szCs w:val="24"/>
      </w:rPr>
      <w:tab/>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9"/>
      <w:gridCol w:w="3019"/>
    </w:tblGrid>
    <w:tr w:rsidR="00C56CEB" w:rsidRPr="00BB7269" w14:paraId="204DF909" w14:textId="77777777" w:rsidTr="002062B0">
      <w:trPr>
        <w:jc w:val="center"/>
      </w:trPr>
      <w:tc>
        <w:tcPr>
          <w:tcW w:w="1666" w:type="pct"/>
        </w:tcPr>
        <w:p w14:paraId="45873DA0" w14:textId="77777777" w:rsidR="00C56CEB" w:rsidRPr="00BB7269" w:rsidRDefault="00C56CEB" w:rsidP="002062B0">
          <w:pPr>
            <w:pStyle w:val="Header"/>
            <w:bidi/>
            <w:spacing w:line="240" w:lineRule="auto"/>
            <w:jc w:val="right"/>
            <w:rPr>
              <w:rFonts w:cs="Traditional Arabic"/>
              <w:szCs w:val="24"/>
            </w:rPr>
          </w:pPr>
        </w:p>
      </w:tc>
      <w:tc>
        <w:tcPr>
          <w:tcW w:w="1667" w:type="pct"/>
        </w:tcPr>
        <w:p w14:paraId="70540C9F" w14:textId="77777777" w:rsidR="00C56CEB" w:rsidRPr="00503035" w:rsidRDefault="00C56CEB" w:rsidP="002062B0">
          <w:pPr>
            <w:pStyle w:val="Header"/>
            <w:bidi/>
            <w:spacing w:line="240" w:lineRule="auto"/>
            <w:jc w:val="center"/>
            <w:rPr>
              <w:rFonts w:cs="Traditional Arabic"/>
              <w:szCs w:val="24"/>
              <w:rtl/>
              <w:lang w:val="fr-FR" w:bidi="ar-SY"/>
            </w:rPr>
          </w:pPr>
          <w:r w:rsidRPr="00AB5AD8">
            <w:rPr>
              <w:rFonts w:ascii="Traditional Arabic" w:hAnsi="Traditional Arabic" w:cs="Traditional Arabic"/>
              <w:sz w:val="24"/>
              <w:szCs w:val="24"/>
              <w:rtl/>
            </w:rPr>
            <w:t>دراس</w:t>
          </w:r>
          <w:r>
            <w:rPr>
              <w:rFonts w:ascii="Traditional Arabic" w:hAnsi="Traditional Arabic" w:cs="Traditional Arabic" w:hint="cs"/>
              <w:sz w:val="24"/>
              <w:szCs w:val="24"/>
              <w:rtl/>
            </w:rPr>
            <w:t>ات</w:t>
          </w:r>
          <w:r w:rsidRPr="00AB5AD8">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الحالات</w:t>
          </w:r>
          <w:r w:rsidRPr="00BB7269">
            <w:rPr>
              <w:rFonts w:cs="Traditional Arabic" w:hint="cs"/>
              <w:szCs w:val="24"/>
              <w:rtl/>
            </w:rPr>
            <w:t xml:space="preserve"> </w:t>
          </w:r>
        </w:p>
      </w:tc>
      <w:tc>
        <w:tcPr>
          <w:tcW w:w="1667" w:type="pct"/>
        </w:tcPr>
        <w:p w14:paraId="6375265F" w14:textId="77777777" w:rsidR="00C56CEB" w:rsidRPr="00BB7269" w:rsidRDefault="00C56CEB" w:rsidP="002062B0">
          <w:pPr>
            <w:pStyle w:val="Header"/>
            <w:spacing w:line="240" w:lineRule="auto"/>
            <w:jc w:val="right"/>
            <w:rPr>
              <w:rFonts w:cs="Traditional Arabic"/>
              <w:szCs w:val="24"/>
            </w:rPr>
          </w:pPr>
        </w:p>
      </w:tc>
    </w:tr>
  </w:tbl>
  <w:p w14:paraId="32C0EC3D" w14:textId="6773AEDD" w:rsidR="00F87EDD" w:rsidRPr="00AB5AD8" w:rsidRDefault="00F87EDD" w:rsidP="00C56CEB">
    <w:pPr>
      <w:pStyle w:val="Header"/>
      <w:ind w:right="360" w:firstLine="360"/>
      <w:rPr>
        <w:rFonts w:ascii="Traditional Arabic" w:hAnsi="Traditional Arabic" w:cs="Traditional Arab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EBA40B9"/>
    <w:multiLevelType w:val="hybridMultilevel"/>
    <w:tmpl w:val="5560DDC6"/>
    <w:lvl w:ilvl="0" w:tplc="97369F6A">
      <w:start w:val="1"/>
      <w:numFmt w:val="bullet"/>
      <w:lvlText w:val=""/>
      <w:lvlJc w:val="left"/>
      <w:pPr>
        <w:ind w:left="731" w:hanging="360"/>
      </w:pPr>
      <w:rPr>
        <w:rFonts w:ascii="Symbol" w:hAnsi="Symbol" w:cs="Traditional Arabic" w:hint="default"/>
        <w:szCs w:val="32"/>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3"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4"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6"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7"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8"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0"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4"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8"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9"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0"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2"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4"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5"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6"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7"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8"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9"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0"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1"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3"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4"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8"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1"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3"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4"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6"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7"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8"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0"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1"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2"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3"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5"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6"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8"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9"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3"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4"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5"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7"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9"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1"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2"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3"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5"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9"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2"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3"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4"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5"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6"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7"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1"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2"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3"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9"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1"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3"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6"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8"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0"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1"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2"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4"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6"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7"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9"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0"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1"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2"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4"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5"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8"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2"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4"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7"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8"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9"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1"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2"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6"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8"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9"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2"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3"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5"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7"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8"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9"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0"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1"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4"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6"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7"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0"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1"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2"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3"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4"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5"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7"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0"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1"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2"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2"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3"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6"/>
  </w:num>
  <w:num w:numId="2">
    <w:abstractNumId w:val="201"/>
  </w:num>
  <w:num w:numId="3">
    <w:abstractNumId w:val="265"/>
  </w:num>
  <w:num w:numId="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3"/>
  </w:num>
  <w:num w:numId="7">
    <w:abstractNumId w:val="274"/>
  </w:num>
  <w:num w:numId="8">
    <w:abstractNumId w:val="232"/>
  </w:num>
  <w:num w:numId="9">
    <w:abstractNumId w:val="283"/>
  </w:num>
  <w:num w:numId="10">
    <w:abstractNumId w:val="214"/>
  </w:num>
  <w:num w:numId="11">
    <w:abstractNumId w:val="218"/>
  </w:num>
  <w:num w:numId="12">
    <w:abstractNumId w:val="255"/>
  </w:num>
  <w:num w:numId="13">
    <w:abstractNumId w:val="2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8"/>
  </w:num>
  <w:num w:numId="18">
    <w:abstractNumId w:val="21"/>
  </w:num>
  <w:num w:numId="19">
    <w:abstractNumId w:val="40"/>
  </w:num>
  <w:num w:numId="20">
    <w:abstractNumId w:val="326"/>
  </w:num>
  <w:num w:numId="21">
    <w:abstractNumId w:val="73"/>
  </w:num>
  <w:num w:numId="22">
    <w:abstractNumId w:val="246"/>
  </w:num>
  <w:num w:numId="23">
    <w:abstractNumId w:val="29"/>
  </w:num>
  <w:num w:numId="24">
    <w:abstractNumId w:val="163"/>
  </w:num>
  <w:num w:numId="25">
    <w:abstractNumId w:val="227"/>
  </w:num>
  <w:num w:numId="26">
    <w:abstractNumId w:val="88"/>
  </w:num>
  <w:num w:numId="27">
    <w:abstractNumId w:val="55"/>
  </w:num>
  <w:num w:numId="28">
    <w:abstractNumId w:val="217"/>
  </w:num>
  <w:num w:numId="29">
    <w:abstractNumId w:val="63"/>
  </w:num>
  <w:num w:numId="30">
    <w:abstractNumId w:val="306"/>
  </w:num>
  <w:num w:numId="31">
    <w:abstractNumId w:val="18"/>
  </w:num>
  <w:num w:numId="32">
    <w:abstractNumId w:val="76"/>
  </w:num>
  <w:num w:numId="33">
    <w:abstractNumId w:val="184"/>
  </w:num>
  <w:num w:numId="34">
    <w:abstractNumId w:val="233"/>
  </w:num>
  <w:num w:numId="35">
    <w:abstractNumId w:val="99"/>
  </w:num>
  <w:num w:numId="36">
    <w:abstractNumId w:val="139"/>
  </w:num>
  <w:num w:numId="37">
    <w:abstractNumId w:val="331"/>
  </w:num>
  <w:num w:numId="38">
    <w:abstractNumId w:val="5"/>
  </w:num>
  <w:num w:numId="39">
    <w:abstractNumId w:val="308"/>
  </w:num>
  <w:num w:numId="40">
    <w:abstractNumId w:val="181"/>
  </w:num>
  <w:num w:numId="41">
    <w:abstractNumId w:val="208"/>
  </w:num>
  <w:num w:numId="42">
    <w:abstractNumId w:val="153"/>
  </w:num>
  <w:num w:numId="43">
    <w:abstractNumId w:val="145"/>
  </w:num>
  <w:num w:numId="44">
    <w:abstractNumId w:val="261"/>
  </w:num>
  <w:num w:numId="45">
    <w:abstractNumId w:val="143"/>
  </w:num>
  <w:num w:numId="46">
    <w:abstractNumId w:val="141"/>
  </w:num>
  <w:num w:numId="47">
    <w:abstractNumId w:val="241"/>
  </w:num>
  <w:num w:numId="48">
    <w:abstractNumId w:val="186"/>
  </w:num>
  <w:num w:numId="49">
    <w:abstractNumId w:val="132"/>
  </w:num>
  <w:num w:numId="50">
    <w:abstractNumId w:val="126"/>
  </w:num>
  <w:num w:numId="51">
    <w:abstractNumId w:val="106"/>
  </w:num>
  <w:num w:numId="52">
    <w:abstractNumId w:val="280"/>
  </w:num>
  <w:num w:numId="53">
    <w:abstractNumId w:val="295"/>
  </w:num>
  <w:num w:numId="54">
    <w:abstractNumId w:val="187"/>
  </w:num>
  <w:num w:numId="55">
    <w:abstractNumId w:val="80"/>
  </w:num>
  <w:num w:numId="56">
    <w:abstractNumId w:val="169"/>
  </w:num>
  <w:num w:numId="57">
    <w:abstractNumId w:val="129"/>
  </w:num>
  <w:num w:numId="58">
    <w:abstractNumId w:val="89"/>
  </w:num>
  <w:num w:numId="59">
    <w:abstractNumId w:val="31"/>
  </w:num>
  <w:num w:numId="60">
    <w:abstractNumId w:val="23"/>
  </w:num>
  <w:num w:numId="61">
    <w:abstractNumId w:val="278"/>
  </w:num>
  <w:num w:numId="62">
    <w:abstractNumId w:val="248"/>
  </w:num>
  <w:num w:numId="63">
    <w:abstractNumId w:val="305"/>
  </w:num>
  <w:num w:numId="64">
    <w:abstractNumId w:val="171"/>
  </w:num>
  <w:num w:numId="65">
    <w:abstractNumId w:val="32"/>
  </w:num>
  <w:num w:numId="66">
    <w:abstractNumId w:val="84"/>
  </w:num>
  <w:num w:numId="67">
    <w:abstractNumId w:val="58"/>
  </w:num>
  <w:num w:numId="68">
    <w:abstractNumId w:val="113"/>
  </w:num>
  <w:num w:numId="69">
    <w:abstractNumId w:val="253"/>
  </w:num>
  <w:num w:numId="70">
    <w:abstractNumId w:val="236"/>
  </w:num>
  <w:num w:numId="71">
    <w:abstractNumId w:val="68"/>
  </w:num>
  <w:num w:numId="72">
    <w:abstractNumId w:val="107"/>
  </w:num>
  <w:num w:numId="73">
    <w:abstractNumId w:val="285"/>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3"/>
  </w:num>
  <w:num w:numId="76">
    <w:abstractNumId w:val="155"/>
  </w:num>
  <w:num w:numId="7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6"/>
  </w:num>
  <w:num w:numId="85">
    <w:abstractNumId w:val="17"/>
  </w:num>
  <w:num w:numId="86">
    <w:abstractNumId w:val="172"/>
  </w:num>
  <w:num w:numId="87">
    <w:abstractNumId w:val="123"/>
  </w:num>
  <w:num w:numId="88">
    <w:abstractNumId w:val="168"/>
  </w:num>
  <w:num w:numId="89">
    <w:abstractNumId w:val="317"/>
  </w:num>
  <w:num w:numId="90">
    <w:abstractNumId w:val="237"/>
  </w:num>
  <w:num w:numId="91">
    <w:abstractNumId w:val="14"/>
  </w:num>
  <w:num w:numId="92">
    <w:abstractNumId w:val="303"/>
  </w:num>
  <w:num w:numId="93">
    <w:abstractNumId w:val="200"/>
  </w:num>
  <w:num w:numId="94">
    <w:abstractNumId w:val="252"/>
  </w:num>
  <w:num w:numId="95">
    <w:abstractNumId w:val="336"/>
  </w:num>
  <w:num w:numId="96">
    <w:abstractNumId w:val="86"/>
  </w:num>
  <w:num w:numId="97">
    <w:abstractNumId w:val="276"/>
  </w:num>
  <w:num w:numId="98">
    <w:abstractNumId w:val="43"/>
  </w:num>
  <w:num w:numId="99">
    <w:abstractNumId w:val="314"/>
  </w:num>
  <w:num w:numId="100">
    <w:abstractNumId w:val="130"/>
  </w:num>
  <w:num w:numId="101">
    <w:abstractNumId w:val="131"/>
  </w:num>
  <w:num w:numId="102">
    <w:abstractNumId w:val="277"/>
    <w:lvlOverride w:ilvl="0">
      <w:startOverride w:val="1"/>
    </w:lvlOverride>
  </w:num>
  <w:num w:numId="103">
    <w:abstractNumId w:val="277"/>
  </w:num>
  <w:num w:numId="104">
    <w:abstractNumId w:val="110"/>
  </w:num>
  <w:num w:numId="105">
    <w:abstractNumId w:val="66"/>
  </w:num>
  <w:num w:numId="106">
    <w:abstractNumId w:val="338"/>
  </w:num>
  <w:num w:numId="107">
    <w:abstractNumId w:val="198"/>
  </w:num>
  <w:num w:numId="108">
    <w:abstractNumId w:val="0"/>
  </w:num>
  <w:num w:numId="109">
    <w:abstractNumId w:val="281"/>
  </w:num>
  <w:num w:numId="110">
    <w:abstractNumId w:val="293"/>
  </w:num>
  <w:num w:numId="111">
    <w:abstractNumId w:val="293"/>
  </w:num>
  <w:num w:numId="112">
    <w:abstractNumId w:val="293"/>
  </w:num>
  <w:num w:numId="113">
    <w:abstractNumId w:val="293"/>
  </w:num>
  <w:num w:numId="114">
    <w:abstractNumId w:val="293"/>
  </w:num>
  <w:num w:numId="115">
    <w:abstractNumId w:val="293"/>
  </w:num>
  <w:num w:numId="116">
    <w:abstractNumId w:val="293"/>
  </w:num>
  <w:num w:numId="117">
    <w:abstractNumId w:val="293"/>
  </w:num>
  <w:num w:numId="118">
    <w:abstractNumId w:val="293"/>
  </w:num>
  <w:num w:numId="119">
    <w:abstractNumId w:val="293"/>
  </w:num>
  <w:num w:numId="120">
    <w:abstractNumId w:val="293"/>
  </w:num>
  <w:num w:numId="121">
    <w:abstractNumId w:val="293"/>
  </w:num>
  <w:num w:numId="122">
    <w:abstractNumId w:val="293"/>
  </w:num>
  <w:num w:numId="123">
    <w:abstractNumId w:val="293"/>
  </w:num>
  <w:num w:numId="124">
    <w:abstractNumId w:val="293"/>
  </w:num>
  <w:num w:numId="125">
    <w:abstractNumId w:val="293"/>
  </w:num>
  <w:num w:numId="126">
    <w:abstractNumId w:val="293"/>
  </w:num>
  <w:num w:numId="127">
    <w:abstractNumId w:val="293"/>
  </w:num>
  <w:num w:numId="128">
    <w:abstractNumId w:val="293"/>
  </w:num>
  <w:num w:numId="129">
    <w:abstractNumId w:val="293"/>
  </w:num>
  <w:num w:numId="130">
    <w:abstractNumId w:val="293"/>
  </w:num>
  <w:num w:numId="131">
    <w:abstractNumId w:val="293"/>
  </w:num>
  <w:num w:numId="132">
    <w:abstractNumId w:val="293"/>
  </w:num>
  <w:num w:numId="133">
    <w:abstractNumId w:val="293"/>
  </w:num>
  <w:num w:numId="134">
    <w:abstractNumId w:val="293"/>
  </w:num>
  <w:num w:numId="135">
    <w:abstractNumId w:val="293"/>
  </w:num>
  <w:num w:numId="136">
    <w:abstractNumId w:val="293"/>
  </w:num>
  <w:num w:numId="137">
    <w:abstractNumId w:val="293"/>
  </w:num>
  <w:num w:numId="138">
    <w:abstractNumId w:val="293"/>
  </w:num>
  <w:num w:numId="139">
    <w:abstractNumId w:val="293"/>
  </w:num>
  <w:num w:numId="140">
    <w:abstractNumId w:val="291"/>
  </w:num>
  <w:num w:numId="141">
    <w:abstractNumId w:val="332"/>
  </w:num>
  <w:num w:numId="142">
    <w:abstractNumId w:val="54"/>
  </w:num>
  <w:num w:numId="143">
    <w:abstractNumId w:val="256"/>
  </w:num>
  <w:num w:numId="144">
    <w:abstractNumId w:val="219"/>
  </w:num>
  <w:num w:numId="145">
    <w:abstractNumId w:val="254"/>
  </w:num>
  <w:num w:numId="146">
    <w:abstractNumId w:val="150"/>
  </w:num>
  <w:num w:numId="147">
    <w:abstractNumId w:val="307"/>
  </w:num>
  <w:num w:numId="148">
    <w:abstractNumId w:val="138"/>
  </w:num>
  <w:num w:numId="149">
    <w:abstractNumId w:val="267"/>
  </w:num>
  <w:num w:numId="150">
    <w:abstractNumId w:val="150"/>
  </w:num>
  <w:num w:numId="151">
    <w:abstractNumId w:val="259"/>
  </w:num>
  <w:num w:numId="152">
    <w:abstractNumId w:val="215"/>
  </w:num>
  <w:num w:numId="153">
    <w:abstractNumId w:val="116"/>
  </w:num>
  <w:num w:numId="154">
    <w:abstractNumId w:val="164"/>
  </w:num>
  <w:num w:numId="155">
    <w:abstractNumId w:val="166"/>
  </w:num>
  <w:num w:numId="156">
    <w:abstractNumId w:val="335"/>
  </w:num>
  <w:num w:numId="157">
    <w:abstractNumId w:val="288"/>
  </w:num>
  <w:num w:numId="158">
    <w:abstractNumId w:val="103"/>
  </w:num>
  <w:num w:numId="159">
    <w:abstractNumId w:val="142"/>
  </w:num>
  <w:num w:numId="160">
    <w:abstractNumId w:val="288"/>
    <w:lvlOverride w:ilvl="0">
      <w:startOverride w:val="1"/>
    </w:lvlOverride>
  </w:num>
  <w:num w:numId="161">
    <w:abstractNumId w:val="35"/>
  </w:num>
  <w:num w:numId="162">
    <w:abstractNumId w:val="294"/>
  </w:num>
  <w:num w:numId="163">
    <w:abstractNumId w:val="105"/>
  </w:num>
  <w:num w:numId="164">
    <w:abstractNumId w:val="220"/>
  </w:num>
  <w:num w:numId="165">
    <w:abstractNumId w:val="10"/>
  </w:num>
  <w:num w:numId="166">
    <w:abstractNumId w:val="330"/>
  </w:num>
  <w:num w:numId="167">
    <w:abstractNumId w:val="330"/>
  </w:num>
  <w:num w:numId="168">
    <w:abstractNumId w:val="330"/>
  </w:num>
  <w:num w:numId="169">
    <w:abstractNumId w:val="330"/>
  </w:num>
  <w:num w:numId="170">
    <w:abstractNumId w:val="293"/>
  </w:num>
  <w:num w:numId="171">
    <w:abstractNumId w:val="293"/>
  </w:num>
  <w:num w:numId="172">
    <w:abstractNumId w:val="293"/>
  </w:num>
  <w:num w:numId="173">
    <w:abstractNumId w:val="293"/>
  </w:num>
  <w:num w:numId="174">
    <w:abstractNumId w:val="293"/>
  </w:num>
  <w:num w:numId="175">
    <w:abstractNumId w:val="293"/>
  </w:num>
  <w:num w:numId="176">
    <w:abstractNumId w:val="229"/>
  </w:num>
  <w:num w:numId="177">
    <w:abstractNumId w:val="320"/>
  </w:num>
  <w:num w:numId="178">
    <w:abstractNumId w:val="289"/>
  </w:num>
  <w:num w:numId="179">
    <w:abstractNumId w:val="293"/>
  </w:num>
  <w:num w:numId="180">
    <w:abstractNumId w:val="234"/>
  </w:num>
  <w:num w:numId="181">
    <w:abstractNumId w:val="211"/>
  </w:num>
  <w:num w:numId="182">
    <w:abstractNumId w:val="46"/>
  </w:num>
  <w:num w:numId="183">
    <w:abstractNumId w:val="197"/>
  </w:num>
  <w:num w:numId="184">
    <w:abstractNumId w:val="174"/>
  </w:num>
  <w:num w:numId="185">
    <w:abstractNumId w:val="197"/>
  </w:num>
  <w:num w:numId="186">
    <w:abstractNumId w:val="197"/>
  </w:num>
  <w:num w:numId="187">
    <w:abstractNumId w:val="197"/>
  </w:num>
  <w:num w:numId="188">
    <w:abstractNumId w:val="197"/>
  </w:num>
  <w:num w:numId="189">
    <w:abstractNumId w:val="318"/>
  </w:num>
  <w:num w:numId="190">
    <w:abstractNumId w:val="19"/>
  </w:num>
  <w:num w:numId="191">
    <w:abstractNumId w:val="36"/>
  </w:num>
  <w:num w:numId="192">
    <w:abstractNumId w:val="179"/>
  </w:num>
  <w:num w:numId="193">
    <w:abstractNumId w:val="323"/>
  </w:num>
  <w:num w:numId="194">
    <w:abstractNumId w:val="207"/>
  </w:num>
  <w:num w:numId="195">
    <w:abstractNumId w:val="79"/>
  </w:num>
  <w:num w:numId="196">
    <w:abstractNumId w:val="90"/>
  </w:num>
  <w:num w:numId="197">
    <w:abstractNumId w:val="83"/>
  </w:num>
  <w:num w:numId="198">
    <w:abstractNumId w:val="279"/>
  </w:num>
  <w:num w:numId="199">
    <w:abstractNumId w:val="279"/>
  </w:num>
  <w:num w:numId="200">
    <w:abstractNumId w:val="279"/>
  </w:num>
  <w:num w:numId="201">
    <w:abstractNumId w:val="279"/>
  </w:num>
  <w:num w:numId="202">
    <w:abstractNumId w:val="279"/>
  </w:num>
  <w:num w:numId="203">
    <w:abstractNumId w:val="279"/>
  </w:num>
  <w:num w:numId="204">
    <w:abstractNumId w:val="279"/>
  </w:num>
  <w:num w:numId="205">
    <w:abstractNumId w:val="263"/>
  </w:num>
  <w:num w:numId="206">
    <w:abstractNumId w:val="1"/>
  </w:num>
  <w:num w:numId="207">
    <w:abstractNumId w:val="12"/>
  </w:num>
  <w:num w:numId="208">
    <w:abstractNumId w:val="30"/>
  </w:num>
  <w:num w:numId="209">
    <w:abstractNumId w:val="62"/>
  </w:num>
  <w:num w:numId="210">
    <w:abstractNumId w:val="262"/>
  </w:num>
  <w:num w:numId="211">
    <w:abstractNumId w:val="161"/>
  </w:num>
  <w:num w:numId="212">
    <w:abstractNumId w:val="270"/>
  </w:num>
  <w:num w:numId="213">
    <w:abstractNumId w:val="286"/>
  </w:num>
  <w:num w:numId="214">
    <w:abstractNumId w:val="340"/>
  </w:num>
  <w:num w:numId="215">
    <w:abstractNumId w:val="340"/>
  </w:num>
  <w:num w:numId="216">
    <w:abstractNumId w:val="4"/>
  </w:num>
  <w:num w:numId="217">
    <w:abstractNumId w:val="340"/>
    <w:lvlOverride w:ilvl="0">
      <w:startOverride w:val="1"/>
    </w:lvlOverride>
  </w:num>
  <w:num w:numId="218">
    <w:abstractNumId w:val="165"/>
  </w:num>
  <w:num w:numId="219">
    <w:abstractNumId w:val="329"/>
  </w:num>
  <w:num w:numId="220">
    <w:abstractNumId w:val="297"/>
  </w:num>
  <w:num w:numId="221">
    <w:abstractNumId w:val="324"/>
  </w:num>
  <w:num w:numId="222">
    <w:abstractNumId w:val="175"/>
  </w:num>
  <w:num w:numId="223">
    <w:abstractNumId w:val="250"/>
  </w:num>
  <w:num w:numId="224">
    <w:abstractNumId w:val="269"/>
  </w:num>
  <w:num w:numId="225">
    <w:abstractNumId w:val="264"/>
  </w:num>
  <w:num w:numId="226">
    <w:abstractNumId w:val="75"/>
  </w:num>
  <w:num w:numId="227">
    <w:abstractNumId w:val="339"/>
  </w:num>
  <w:num w:numId="228">
    <w:abstractNumId w:val="221"/>
  </w:num>
  <w:num w:numId="229">
    <w:abstractNumId w:val="20"/>
  </w:num>
  <w:num w:numId="230">
    <w:abstractNumId w:val="293"/>
  </w:num>
  <w:num w:numId="231">
    <w:abstractNumId w:val="183"/>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7"/>
  </w:num>
  <w:num w:numId="238">
    <w:abstractNumId w:val="202"/>
  </w:num>
  <w:num w:numId="239">
    <w:abstractNumId w:val="28"/>
  </w:num>
  <w:num w:numId="240">
    <w:abstractNumId w:val="239"/>
  </w:num>
  <w:num w:numId="241">
    <w:abstractNumId w:val="91"/>
  </w:num>
  <w:num w:numId="242">
    <w:abstractNumId w:val="322"/>
  </w:num>
  <w:num w:numId="243">
    <w:abstractNumId w:val="9"/>
  </w:num>
  <w:num w:numId="244">
    <w:abstractNumId w:val="104"/>
  </w:num>
  <w:num w:numId="245">
    <w:abstractNumId w:val="50"/>
  </w:num>
  <w:num w:numId="246">
    <w:abstractNumId w:val="64"/>
  </w:num>
  <w:num w:numId="247">
    <w:abstractNumId w:val="101"/>
  </w:num>
  <w:num w:numId="248">
    <w:abstractNumId w:val="222"/>
  </w:num>
  <w:num w:numId="249">
    <w:abstractNumId w:val="275"/>
  </w:num>
  <w:num w:numId="250">
    <w:abstractNumId w:val="199"/>
  </w:num>
  <w:num w:numId="251">
    <w:abstractNumId w:val="260"/>
  </w:num>
  <w:num w:numId="252">
    <w:abstractNumId w:val="6"/>
  </w:num>
  <w:num w:numId="253">
    <w:abstractNumId w:val="293"/>
  </w:num>
  <w:num w:numId="254">
    <w:abstractNumId w:val="333"/>
  </w:num>
  <w:num w:numId="255">
    <w:abstractNumId w:val="6"/>
    <w:lvlOverride w:ilvl="0">
      <w:startOverride w:val="2"/>
    </w:lvlOverride>
  </w:num>
  <w:num w:numId="256">
    <w:abstractNumId w:val="195"/>
  </w:num>
  <w:num w:numId="257">
    <w:abstractNumId w:val="230"/>
  </w:num>
  <w:num w:numId="258">
    <w:abstractNumId w:val="156"/>
  </w:num>
  <w:num w:numId="259">
    <w:abstractNumId w:val="177"/>
  </w:num>
  <w:num w:numId="260">
    <w:abstractNumId w:val="301"/>
  </w:num>
  <w:num w:numId="261">
    <w:abstractNumId w:val="81"/>
  </w:num>
  <w:num w:numId="262">
    <w:abstractNumId w:val="74"/>
  </w:num>
  <w:num w:numId="263">
    <w:abstractNumId w:val="177"/>
    <w:lvlOverride w:ilvl="0">
      <w:startOverride w:val="2"/>
    </w:lvlOverride>
  </w:num>
  <w:num w:numId="264">
    <w:abstractNumId w:val="39"/>
  </w:num>
  <w:num w:numId="265">
    <w:abstractNumId w:val="135"/>
  </w:num>
  <w:num w:numId="266">
    <w:abstractNumId w:val="41"/>
  </w:num>
  <w:num w:numId="267">
    <w:abstractNumId w:val="287"/>
  </w:num>
  <w:num w:numId="268">
    <w:abstractNumId w:val="11"/>
  </w:num>
  <w:num w:numId="269">
    <w:abstractNumId w:val="136"/>
  </w:num>
  <w:num w:numId="270">
    <w:abstractNumId w:val="11"/>
    <w:lvlOverride w:ilvl="0">
      <w:startOverride w:val="2"/>
    </w:lvlOverride>
  </w:num>
  <w:num w:numId="271">
    <w:abstractNumId w:val="16"/>
  </w:num>
  <w:num w:numId="272">
    <w:abstractNumId w:val="343"/>
  </w:num>
  <w:num w:numId="273">
    <w:abstractNumId w:val="151"/>
  </w:num>
  <w:num w:numId="274">
    <w:abstractNumId w:val="48"/>
  </w:num>
  <w:num w:numId="275">
    <w:abstractNumId w:val="33"/>
  </w:num>
  <w:num w:numId="276">
    <w:abstractNumId w:val="11"/>
  </w:num>
  <w:num w:numId="277">
    <w:abstractNumId w:val="121"/>
  </w:num>
  <w:num w:numId="278">
    <w:abstractNumId w:val="226"/>
  </w:num>
  <w:num w:numId="279">
    <w:abstractNumId w:val="15"/>
  </w:num>
  <w:num w:numId="280">
    <w:abstractNumId w:val="337"/>
  </w:num>
  <w:num w:numId="281">
    <w:abstractNumId w:val="312"/>
  </w:num>
  <w:num w:numId="282">
    <w:abstractNumId w:val="65"/>
  </w:num>
  <w:num w:numId="283">
    <w:abstractNumId w:val="242"/>
  </w:num>
  <w:num w:numId="284">
    <w:abstractNumId w:val="304"/>
  </w:num>
  <w:num w:numId="285">
    <w:abstractNumId w:val="182"/>
  </w:num>
  <w:num w:numId="286">
    <w:abstractNumId w:val="344"/>
  </w:num>
  <w:num w:numId="287">
    <w:abstractNumId w:val="38"/>
  </w:num>
  <w:num w:numId="288">
    <w:abstractNumId w:val="229"/>
  </w:num>
  <w:num w:numId="289">
    <w:abstractNumId w:val="229"/>
  </w:num>
  <w:num w:numId="290">
    <w:abstractNumId w:val="229"/>
  </w:num>
  <w:num w:numId="291">
    <w:abstractNumId w:val="229"/>
  </w:num>
  <w:num w:numId="292">
    <w:abstractNumId w:val="229"/>
  </w:num>
  <w:num w:numId="293">
    <w:abstractNumId w:val="134"/>
  </w:num>
  <w:num w:numId="294">
    <w:abstractNumId w:val="119"/>
  </w:num>
  <w:num w:numId="295">
    <w:abstractNumId w:val="224"/>
  </w:num>
  <w:num w:numId="296">
    <w:abstractNumId w:val="152"/>
  </w:num>
  <w:num w:numId="297">
    <w:abstractNumId w:val="34"/>
  </w:num>
  <w:num w:numId="298">
    <w:abstractNumId w:val="228"/>
  </w:num>
  <w:num w:numId="299">
    <w:abstractNumId w:val="180"/>
  </w:num>
  <w:num w:numId="300">
    <w:abstractNumId w:val="243"/>
  </w:num>
  <w:num w:numId="301">
    <w:abstractNumId w:val="13"/>
  </w:num>
  <w:num w:numId="302">
    <w:abstractNumId w:val="315"/>
  </w:num>
  <w:num w:numId="303">
    <w:abstractNumId w:val="189"/>
  </w:num>
  <w:num w:numId="304">
    <w:abstractNumId w:val="137"/>
  </w:num>
  <w:num w:numId="305">
    <w:abstractNumId w:val="125"/>
  </w:num>
  <w:num w:numId="306">
    <w:abstractNumId w:val="328"/>
  </w:num>
  <w:num w:numId="307">
    <w:abstractNumId w:val="327"/>
  </w:num>
  <w:num w:numId="308">
    <w:abstractNumId w:val="193"/>
  </w:num>
  <w:num w:numId="309">
    <w:abstractNumId w:val="97"/>
  </w:num>
  <w:num w:numId="310">
    <w:abstractNumId w:val="206"/>
  </w:num>
  <w:num w:numId="311">
    <w:abstractNumId w:val="53"/>
  </w:num>
  <w:num w:numId="312">
    <w:abstractNumId w:val="194"/>
  </w:num>
  <w:num w:numId="313">
    <w:abstractNumId w:val="158"/>
  </w:num>
  <w:num w:numId="314">
    <w:abstractNumId w:val="158"/>
  </w:num>
  <w:num w:numId="315">
    <w:abstractNumId w:val="225"/>
  </w:num>
  <w:num w:numId="316">
    <w:abstractNumId w:val="272"/>
  </w:num>
  <w:num w:numId="317">
    <w:abstractNumId w:val="118"/>
  </w:num>
  <w:num w:numId="318">
    <w:abstractNumId w:val="149"/>
  </w:num>
  <w:num w:numId="319">
    <w:abstractNumId w:val="212"/>
  </w:num>
  <w:num w:numId="320">
    <w:abstractNumId w:val="147"/>
  </w:num>
  <w:num w:numId="321">
    <w:abstractNumId w:val="147"/>
  </w:num>
  <w:num w:numId="322">
    <w:abstractNumId w:val="170"/>
  </w:num>
  <w:num w:numId="323">
    <w:abstractNumId w:val="52"/>
  </w:num>
  <w:num w:numId="324">
    <w:abstractNumId w:val="334"/>
  </w:num>
  <w:num w:numId="325">
    <w:abstractNumId w:val="342"/>
  </w:num>
  <w:num w:numId="326">
    <w:abstractNumId w:val="251"/>
  </w:num>
  <w:num w:numId="327">
    <w:abstractNumId w:val="95"/>
  </w:num>
  <w:num w:numId="328">
    <w:abstractNumId w:val="240"/>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4"/>
  </w:num>
  <w:num w:numId="338">
    <w:abstractNumId w:val="311"/>
  </w:num>
  <w:num w:numId="339">
    <w:abstractNumId w:val="284"/>
  </w:num>
  <w:num w:numId="340">
    <w:abstractNumId w:val="316"/>
  </w:num>
  <w:num w:numId="341">
    <w:abstractNumId w:val="223"/>
  </w:num>
  <w:num w:numId="342">
    <w:abstractNumId w:val="302"/>
  </w:num>
  <w:num w:numId="343">
    <w:abstractNumId w:val="77"/>
  </w:num>
  <w:num w:numId="344">
    <w:abstractNumId w:val="293"/>
  </w:num>
  <w:num w:numId="345">
    <w:abstractNumId w:val="293"/>
  </w:num>
  <w:num w:numId="346">
    <w:abstractNumId w:val="298"/>
  </w:num>
  <w:num w:numId="347">
    <w:abstractNumId w:val="159"/>
  </w:num>
  <w:num w:numId="348">
    <w:abstractNumId w:val="173"/>
  </w:num>
  <w:num w:numId="349">
    <w:abstractNumId w:val="231"/>
  </w:num>
  <w:num w:numId="350">
    <w:abstractNumId w:val="298"/>
  </w:num>
  <w:num w:numId="351">
    <w:abstractNumId w:val="45"/>
  </w:num>
  <w:num w:numId="352">
    <w:abstractNumId w:val="37"/>
  </w:num>
  <w:num w:numId="353">
    <w:abstractNumId w:val="37"/>
  </w:num>
  <w:num w:numId="354">
    <w:abstractNumId w:val="209"/>
  </w:num>
  <w:num w:numId="355">
    <w:abstractNumId w:val="325"/>
  </w:num>
  <w:num w:numId="356">
    <w:abstractNumId w:val="282"/>
  </w:num>
  <w:num w:numId="357">
    <w:abstractNumId w:val="258"/>
  </w:num>
  <w:num w:numId="358">
    <w:abstractNumId w:val="185"/>
  </w:num>
  <w:num w:numId="359">
    <w:abstractNumId w:val="249"/>
  </w:num>
  <w:num w:numId="360">
    <w:abstractNumId w:val="229"/>
    <w:lvlOverride w:ilvl="0">
      <w:startOverride w:val="1"/>
    </w:lvlOverride>
  </w:num>
  <w:num w:numId="361">
    <w:abstractNumId w:val="78"/>
  </w:num>
  <w:num w:numId="362">
    <w:abstractNumId w:val="229"/>
    <w:lvlOverride w:ilvl="0">
      <w:startOverride w:val="1"/>
    </w:lvlOverride>
  </w:num>
  <w:num w:numId="363">
    <w:abstractNumId w:val="70"/>
  </w:num>
  <w:num w:numId="364">
    <w:abstractNumId w:val="229"/>
    <w:lvlOverride w:ilvl="0">
      <w:startOverride w:val="1"/>
    </w:lvlOverride>
  </w:num>
  <w:num w:numId="365">
    <w:abstractNumId w:val="120"/>
  </w:num>
  <w:num w:numId="366">
    <w:abstractNumId w:val="229"/>
    <w:lvlOverride w:ilvl="0">
      <w:startOverride w:val="1"/>
    </w:lvlOverride>
  </w:num>
  <w:num w:numId="367">
    <w:abstractNumId w:val="96"/>
  </w:num>
  <w:num w:numId="368">
    <w:abstractNumId w:val="229"/>
    <w:lvlOverride w:ilvl="0">
      <w:startOverride w:val="1"/>
    </w:lvlOverride>
  </w:num>
  <w:num w:numId="369">
    <w:abstractNumId w:val="178"/>
  </w:num>
  <w:num w:numId="370">
    <w:abstractNumId w:val="229"/>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9"/>
    <w:lvlOverride w:ilvl="0">
      <w:startOverride w:val="1"/>
    </w:lvlOverride>
  </w:num>
  <w:num w:numId="379">
    <w:abstractNumId w:val="37"/>
  </w:num>
  <w:num w:numId="380">
    <w:abstractNumId w:val="27"/>
  </w:num>
  <w:num w:numId="381">
    <w:abstractNumId w:val="229"/>
    <w:lvlOverride w:ilvl="0">
      <w:startOverride w:val="1"/>
    </w:lvlOverride>
  </w:num>
  <w:num w:numId="382">
    <w:abstractNumId w:val="100"/>
  </w:num>
  <w:num w:numId="383">
    <w:abstractNumId w:val="60"/>
  </w:num>
  <w:num w:numId="384">
    <w:abstractNumId w:val="196"/>
  </w:num>
  <w:num w:numId="385">
    <w:abstractNumId w:val="140"/>
  </w:num>
  <w:num w:numId="386">
    <w:abstractNumId w:val="22"/>
  </w:num>
  <w:num w:numId="387">
    <w:abstractNumId w:val="321"/>
  </w:num>
  <w:num w:numId="388">
    <w:abstractNumId w:val="245"/>
  </w:num>
  <w:num w:numId="389">
    <w:abstractNumId w:val="31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9"/>
    <w:lvlOverride w:ilvl="0">
      <w:startOverride w:val="1"/>
    </w:lvlOverride>
  </w:num>
  <w:num w:numId="400">
    <w:abstractNumId w:val="229"/>
  </w:num>
  <w:num w:numId="401">
    <w:abstractNumId w:val="61"/>
  </w:num>
  <w:num w:numId="402">
    <w:abstractNumId w:val="229"/>
    <w:lvlOverride w:ilvl="0">
      <w:startOverride w:val="1"/>
    </w:lvlOverride>
  </w:num>
  <w:num w:numId="403">
    <w:abstractNumId w:val="98"/>
  </w:num>
  <w:num w:numId="404">
    <w:abstractNumId w:val="229"/>
    <w:lvlOverride w:ilvl="0">
      <w:startOverride w:val="1"/>
    </w:lvlOverride>
  </w:num>
  <w:num w:numId="405">
    <w:abstractNumId w:val="299"/>
  </w:num>
  <w:num w:numId="406">
    <w:abstractNumId w:val="7"/>
  </w:num>
  <w:num w:numId="407">
    <w:abstractNumId w:val="159"/>
  </w:num>
  <w:num w:numId="408">
    <w:abstractNumId w:val="293"/>
  </w:num>
  <w:num w:numId="409">
    <w:abstractNumId w:val="293"/>
  </w:num>
  <w:num w:numId="410">
    <w:abstractNumId w:val="293"/>
  </w:num>
  <w:num w:numId="411">
    <w:abstractNumId w:val="293"/>
  </w:num>
  <w:num w:numId="412">
    <w:abstractNumId w:val="293"/>
  </w:num>
  <w:num w:numId="413">
    <w:abstractNumId w:val="293"/>
  </w:num>
  <w:num w:numId="414">
    <w:abstractNumId w:val="293"/>
  </w:num>
  <w:num w:numId="415">
    <w:abstractNumId w:val="293"/>
  </w:num>
  <w:num w:numId="416">
    <w:abstractNumId w:val="293"/>
  </w:num>
  <w:num w:numId="417">
    <w:abstractNumId w:val="293"/>
  </w:num>
  <w:num w:numId="418">
    <w:abstractNumId w:val="293"/>
  </w:num>
  <w:num w:numId="419">
    <w:abstractNumId w:val="37"/>
  </w:num>
  <w:num w:numId="420">
    <w:abstractNumId w:val="293"/>
  </w:num>
  <w:num w:numId="421">
    <w:abstractNumId w:val="293"/>
  </w:num>
  <w:num w:numId="422">
    <w:abstractNumId w:val="293"/>
  </w:num>
  <w:num w:numId="423">
    <w:abstractNumId w:val="293"/>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90"/>
  </w:num>
  <w:num w:numId="432">
    <w:abstractNumId w:val="268"/>
  </w:num>
  <w:num w:numId="433">
    <w:abstractNumId w:val="313"/>
  </w:num>
  <w:num w:numId="434">
    <w:abstractNumId w:val="162"/>
  </w:num>
  <w:num w:numId="435">
    <w:abstractNumId w:val="229"/>
    <w:lvlOverride w:ilvl="0">
      <w:startOverride w:val="1"/>
    </w:lvlOverride>
  </w:num>
  <w:num w:numId="436">
    <w:abstractNumId w:val="71"/>
  </w:num>
  <w:num w:numId="437">
    <w:abstractNumId w:val="229"/>
    <w:lvlOverride w:ilvl="0">
      <w:startOverride w:val="1"/>
    </w:lvlOverride>
  </w:num>
  <w:num w:numId="438">
    <w:abstractNumId w:val="37"/>
  </w:num>
  <w:num w:numId="439">
    <w:abstractNumId w:val="37"/>
  </w:num>
  <w:num w:numId="440">
    <w:abstractNumId w:val="271"/>
  </w:num>
  <w:num w:numId="441">
    <w:abstractNumId w:val="229"/>
    <w:lvlOverride w:ilvl="0">
      <w:startOverride w:val="1"/>
    </w:lvlOverride>
  </w:num>
  <w:num w:numId="442">
    <w:abstractNumId w:val="229"/>
  </w:num>
  <w:num w:numId="443">
    <w:abstractNumId w:val="3"/>
  </w:num>
  <w:num w:numId="444">
    <w:abstractNumId w:val="59"/>
  </w:num>
  <w:num w:numId="445">
    <w:abstractNumId w:val="229"/>
    <w:lvlOverride w:ilvl="0">
      <w:startOverride w:val="1"/>
    </w:lvlOverride>
  </w:num>
  <w:num w:numId="446">
    <w:abstractNumId w:val="300"/>
  </w:num>
  <w:num w:numId="447">
    <w:abstractNumId w:val="157"/>
  </w:num>
  <w:num w:numId="448">
    <w:abstractNumId w:val="205"/>
  </w:num>
  <w:num w:numId="449">
    <w:abstractNumId w:val="157"/>
    <w:lvlOverride w:ilvl="0">
      <w:startOverride w:val="1"/>
    </w:lvlOverride>
  </w:num>
  <w:num w:numId="450">
    <w:abstractNumId w:val="37"/>
  </w:num>
  <w:num w:numId="451">
    <w:abstractNumId w:val="235"/>
  </w:num>
  <w:num w:numId="452">
    <w:abstractNumId w:val="157"/>
    <w:lvlOverride w:ilvl="0">
      <w:startOverride w:val="1"/>
    </w:lvlOverride>
  </w:num>
  <w:num w:numId="453">
    <w:abstractNumId w:val="42"/>
  </w:num>
  <w:num w:numId="454">
    <w:abstractNumId w:val="157"/>
    <w:lvlOverride w:ilvl="0">
      <w:startOverride w:val="1"/>
    </w:lvlOverride>
  </w:num>
  <w:num w:numId="455">
    <w:abstractNumId w:val="37"/>
  </w:num>
  <w:num w:numId="456">
    <w:abstractNumId w:val="26"/>
  </w:num>
  <w:num w:numId="457">
    <w:abstractNumId w:val="157"/>
    <w:lvlOverride w:ilvl="0">
      <w:startOverride w:val="1"/>
    </w:lvlOverride>
  </w:num>
  <w:num w:numId="458">
    <w:abstractNumId w:val="203"/>
  </w:num>
  <w:num w:numId="459">
    <w:abstractNumId w:val="115"/>
  </w:num>
  <w:num w:numId="460">
    <w:abstractNumId w:val="192"/>
  </w:num>
  <w:num w:numId="461">
    <w:abstractNumId w:val="160"/>
  </w:num>
  <w:num w:numId="462">
    <w:abstractNumId w:val="92"/>
  </w:num>
  <w:num w:numId="463">
    <w:abstractNumId w:val="244"/>
  </w:num>
  <w:num w:numId="464">
    <w:abstractNumId w:val="216"/>
  </w:num>
  <w:num w:numId="465">
    <w:abstractNumId w:val="157"/>
    <w:lvlOverride w:ilvl="0">
      <w:startOverride w:val="1"/>
    </w:lvlOverride>
  </w:num>
  <w:num w:numId="466">
    <w:abstractNumId w:val="56"/>
  </w:num>
  <w:num w:numId="467">
    <w:abstractNumId w:val="247"/>
  </w:num>
  <w:num w:numId="468">
    <w:abstractNumId w:val="144"/>
  </w:num>
  <w:num w:numId="469">
    <w:abstractNumId w:val="247"/>
  </w:num>
  <w:num w:numId="470">
    <w:abstractNumId w:val="309"/>
  </w:num>
  <w:num w:numId="471">
    <w:abstractNumId w:val="247"/>
    <w:lvlOverride w:ilvl="0">
      <w:startOverride w:val="1"/>
    </w:lvlOverride>
  </w:num>
  <w:num w:numId="472">
    <w:abstractNumId w:val="124"/>
  </w:num>
  <w:num w:numId="473">
    <w:abstractNumId w:val="319"/>
  </w:num>
  <w:num w:numId="474">
    <w:abstractNumId w:val="47"/>
  </w:num>
  <w:num w:numId="475">
    <w:abstractNumId w:val="85"/>
  </w:num>
  <w:num w:numId="476">
    <w:abstractNumId w:val="257"/>
  </w:num>
  <w:num w:numId="477">
    <w:abstractNumId w:val="57"/>
  </w:num>
  <w:num w:numId="478">
    <w:abstractNumId w:val="37"/>
  </w:num>
  <w:num w:numId="479">
    <w:abstractNumId w:val="238"/>
  </w:num>
  <w:num w:numId="480">
    <w:abstractNumId w:val="87"/>
  </w:num>
  <w:num w:numId="481">
    <w:abstractNumId w:val="191"/>
  </w:num>
  <w:num w:numId="482">
    <w:abstractNumId w:val="51"/>
  </w:num>
  <w:num w:numId="483">
    <w:abstractNumId w:val="341"/>
  </w:num>
  <w:num w:numId="484">
    <w:abstractNumId w:val="93"/>
  </w:num>
  <w:num w:numId="485">
    <w:abstractNumId w:val="146"/>
  </w:num>
  <w:num w:numId="486">
    <w:abstractNumId w:val="94"/>
  </w:num>
  <w:num w:numId="487">
    <w:abstractNumId w:val="210"/>
  </w:num>
  <w:num w:numId="488">
    <w:abstractNumId w:val="273"/>
  </w:num>
  <w:num w:numId="489">
    <w:abstractNumId w:val="67"/>
  </w:num>
  <w:num w:numId="490">
    <w:abstractNumId w:val="213"/>
  </w:num>
  <w:num w:numId="491">
    <w:abstractNumId w:val="127"/>
  </w:num>
  <w:num w:numId="492">
    <w:abstractNumId w:val="190"/>
  </w:num>
  <w:num w:numId="493">
    <w:abstractNumId w:val="112"/>
  </w:num>
  <w:num w:numId="494">
    <w:abstractNumId w:val="37"/>
  </w:num>
  <w:num w:numId="495">
    <w:abstractNumId w:val="37"/>
  </w:num>
  <w:num w:numId="496">
    <w:abstractNumId w:val="37"/>
  </w:num>
  <w:num w:numId="497">
    <w:abstractNumId w:val="122"/>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8193"/>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37BF2"/>
    <w:rsid w:val="00040998"/>
    <w:rsid w:val="00041EBF"/>
    <w:rsid w:val="00043DFF"/>
    <w:rsid w:val="00044417"/>
    <w:rsid w:val="00044E3A"/>
    <w:rsid w:val="0004504C"/>
    <w:rsid w:val="00047769"/>
    <w:rsid w:val="00051508"/>
    <w:rsid w:val="00051E75"/>
    <w:rsid w:val="0005226C"/>
    <w:rsid w:val="00053368"/>
    <w:rsid w:val="000542FD"/>
    <w:rsid w:val="0005468C"/>
    <w:rsid w:val="00055648"/>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4387"/>
    <w:rsid w:val="000D5D72"/>
    <w:rsid w:val="000D647B"/>
    <w:rsid w:val="000D7317"/>
    <w:rsid w:val="000E18AA"/>
    <w:rsid w:val="000E5B15"/>
    <w:rsid w:val="000E6438"/>
    <w:rsid w:val="000E6F12"/>
    <w:rsid w:val="000F4C6A"/>
    <w:rsid w:val="001002E2"/>
    <w:rsid w:val="00100F44"/>
    <w:rsid w:val="00102F1C"/>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108A"/>
    <w:rsid w:val="001435BA"/>
    <w:rsid w:val="001442C7"/>
    <w:rsid w:val="00144C96"/>
    <w:rsid w:val="00146D1E"/>
    <w:rsid w:val="00146F25"/>
    <w:rsid w:val="00151D2F"/>
    <w:rsid w:val="00152FA0"/>
    <w:rsid w:val="001533D4"/>
    <w:rsid w:val="00155FF4"/>
    <w:rsid w:val="00160FD6"/>
    <w:rsid w:val="001621D9"/>
    <w:rsid w:val="001658E8"/>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725"/>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27C1"/>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33A7"/>
    <w:rsid w:val="002D5639"/>
    <w:rsid w:val="002E0330"/>
    <w:rsid w:val="002E318B"/>
    <w:rsid w:val="002E5028"/>
    <w:rsid w:val="002E728A"/>
    <w:rsid w:val="002F02A6"/>
    <w:rsid w:val="002F20F5"/>
    <w:rsid w:val="002F2B9E"/>
    <w:rsid w:val="002F54E1"/>
    <w:rsid w:val="002F739D"/>
    <w:rsid w:val="00300F66"/>
    <w:rsid w:val="00301581"/>
    <w:rsid w:val="0030168E"/>
    <w:rsid w:val="0030186B"/>
    <w:rsid w:val="003055B3"/>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036"/>
    <w:rsid w:val="003F7994"/>
    <w:rsid w:val="00400713"/>
    <w:rsid w:val="0040083C"/>
    <w:rsid w:val="0040286F"/>
    <w:rsid w:val="00402BBD"/>
    <w:rsid w:val="0040373D"/>
    <w:rsid w:val="00406D32"/>
    <w:rsid w:val="004150DA"/>
    <w:rsid w:val="0041526A"/>
    <w:rsid w:val="004172D7"/>
    <w:rsid w:val="0042312C"/>
    <w:rsid w:val="004233C1"/>
    <w:rsid w:val="004272A4"/>
    <w:rsid w:val="004301BF"/>
    <w:rsid w:val="00430B70"/>
    <w:rsid w:val="00432261"/>
    <w:rsid w:val="004338FB"/>
    <w:rsid w:val="0043553C"/>
    <w:rsid w:val="0043729F"/>
    <w:rsid w:val="00437F35"/>
    <w:rsid w:val="00441E29"/>
    <w:rsid w:val="00443DE5"/>
    <w:rsid w:val="004449EE"/>
    <w:rsid w:val="00445E2A"/>
    <w:rsid w:val="00447076"/>
    <w:rsid w:val="00450EF9"/>
    <w:rsid w:val="004524B2"/>
    <w:rsid w:val="00460BA9"/>
    <w:rsid w:val="00461004"/>
    <w:rsid w:val="00466D6B"/>
    <w:rsid w:val="00466E93"/>
    <w:rsid w:val="00467DF4"/>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2A2A"/>
    <w:rsid w:val="004B6845"/>
    <w:rsid w:val="004B7014"/>
    <w:rsid w:val="004B7ED2"/>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260"/>
    <w:rsid w:val="00536A95"/>
    <w:rsid w:val="00536F8D"/>
    <w:rsid w:val="0054424B"/>
    <w:rsid w:val="00544344"/>
    <w:rsid w:val="00544CAE"/>
    <w:rsid w:val="00547581"/>
    <w:rsid w:val="00550074"/>
    <w:rsid w:val="00550359"/>
    <w:rsid w:val="005523C8"/>
    <w:rsid w:val="00552655"/>
    <w:rsid w:val="0055393C"/>
    <w:rsid w:val="00554C1F"/>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6D1"/>
    <w:rsid w:val="00575DE5"/>
    <w:rsid w:val="005765F3"/>
    <w:rsid w:val="00576DB1"/>
    <w:rsid w:val="00577621"/>
    <w:rsid w:val="00577C79"/>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26AD"/>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18FE"/>
    <w:rsid w:val="006B20AA"/>
    <w:rsid w:val="006B20EF"/>
    <w:rsid w:val="006B2303"/>
    <w:rsid w:val="006C3379"/>
    <w:rsid w:val="006C6F2C"/>
    <w:rsid w:val="006C7A4E"/>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6F74B3"/>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46F5"/>
    <w:rsid w:val="007C4954"/>
    <w:rsid w:val="007C5026"/>
    <w:rsid w:val="007C5307"/>
    <w:rsid w:val="007C70FB"/>
    <w:rsid w:val="007C760D"/>
    <w:rsid w:val="007D222B"/>
    <w:rsid w:val="007D2C44"/>
    <w:rsid w:val="007D5D4C"/>
    <w:rsid w:val="007E04EC"/>
    <w:rsid w:val="007E0DC4"/>
    <w:rsid w:val="007E60D0"/>
    <w:rsid w:val="007E68F0"/>
    <w:rsid w:val="007F1A48"/>
    <w:rsid w:val="007F1B98"/>
    <w:rsid w:val="007F3DB8"/>
    <w:rsid w:val="007F5637"/>
    <w:rsid w:val="007F6F29"/>
    <w:rsid w:val="00801545"/>
    <w:rsid w:val="00801CFC"/>
    <w:rsid w:val="00802500"/>
    <w:rsid w:val="00802D85"/>
    <w:rsid w:val="00803BA6"/>
    <w:rsid w:val="0080530D"/>
    <w:rsid w:val="00806058"/>
    <w:rsid w:val="00815552"/>
    <w:rsid w:val="00815CFE"/>
    <w:rsid w:val="00816623"/>
    <w:rsid w:val="00816DE1"/>
    <w:rsid w:val="00817479"/>
    <w:rsid w:val="008177E6"/>
    <w:rsid w:val="00817F2E"/>
    <w:rsid w:val="00823812"/>
    <w:rsid w:val="0082423F"/>
    <w:rsid w:val="00824732"/>
    <w:rsid w:val="00826E06"/>
    <w:rsid w:val="00827C34"/>
    <w:rsid w:val="00830A9C"/>
    <w:rsid w:val="00831B4D"/>
    <w:rsid w:val="00832956"/>
    <w:rsid w:val="00836EC2"/>
    <w:rsid w:val="00837BE1"/>
    <w:rsid w:val="008409D7"/>
    <w:rsid w:val="00843B5B"/>
    <w:rsid w:val="00844287"/>
    <w:rsid w:val="00846E03"/>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5FCF"/>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25D8"/>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1BE5"/>
    <w:rsid w:val="00965602"/>
    <w:rsid w:val="009672A6"/>
    <w:rsid w:val="0097127F"/>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497C"/>
    <w:rsid w:val="009F6803"/>
    <w:rsid w:val="00A0061D"/>
    <w:rsid w:val="00A0517A"/>
    <w:rsid w:val="00A05DE9"/>
    <w:rsid w:val="00A06A5A"/>
    <w:rsid w:val="00A121CB"/>
    <w:rsid w:val="00A129FC"/>
    <w:rsid w:val="00A1335D"/>
    <w:rsid w:val="00A14E17"/>
    <w:rsid w:val="00A16055"/>
    <w:rsid w:val="00A162F3"/>
    <w:rsid w:val="00A228F7"/>
    <w:rsid w:val="00A23A11"/>
    <w:rsid w:val="00A26548"/>
    <w:rsid w:val="00A27F81"/>
    <w:rsid w:val="00A42BCC"/>
    <w:rsid w:val="00A45068"/>
    <w:rsid w:val="00A45356"/>
    <w:rsid w:val="00A4618E"/>
    <w:rsid w:val="00A46534"/>
    <w:rsid w:val="00A47CA1"/>
    <w:rsid w:val="00A51122"/>
    <w:rsid w:val="00A528CB"/>
    <w:rsid w:val="00A53AD2"/>
    <w:rsid w:val="00A55396"/>
    <w:rsid w:val="00A5684F"/>
    <w:rsid w:val="00A60C59"/>
    <w:rsid w:val="00A60D82"/>
    <w:rsid w:val="00A61BAF"/>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46A5"/>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6AB6"/>
    <w:rsid w:val="00AE7A78"/>
    <w:rsid w:val="00AE7B2A"/>
    <w:rsid w:val="00AF2898"/>
    <w:rsid w:val="00AF49BA"/>
    <w:rsid w:val="00AF4EA2"/>
    <w:rsid w:val="00B00A46"/>
    <w:rsid w:val="00B10189"/>
    <w:rsid w:val="00B11970"/>
    <w:rsid w:val="00B121E6"/>
    <w:rsid w:val="00B132D8"/>
    <w:rsid w:val="00B139E0"/>
    <w:rsid w:val="00B14A6D"/>
    <w:rsid w:val="00B24530"/>
    <w:rsid w:val="00B245A2"/>
    <w:rsid w:val="00B2590B"/>
    <w:rsid w:val="00B26124"/>
    <w:rsid w:val="00B31B06"/>
    <w:rsid w:val="00B320C1"/>
    <w:rsid w:val="00B32948"/>
    <w:rsid w:val="00B545FC"/>
    <w:rsid w:val="00B54E9D"/>
    <w:rsid w:val="00B554D7"/>
    <w:rsid w:val="00B55B6D"/>
    <w:rsid w:val="00B57BFE"/>
    <w:rsid w:val="00B63045"/>
    <w:rsid w:val="00B701B7"/>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3052"/>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3957"/>
    <w:rsid w:val="00C558BD"/>
    <w:rsid w:val="00C55AA0"/>
    <w:rsid w:val="00C56CEB"/>
    <w:rsid w:val="00C56D36"/>
    <w:rsid w:val="00C570A2"/>
    <w:rsid w:val="00C63065"/>
    <w:rsid w:val="00C703B4"/>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537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0E8A"/>
    <w:rsid w:val="00D31866"/>
    <w:rsid w:val="00D31A5B"/>
    <w:rsid w:val="00D3271E"/>
    <w:rsid w:val="00D41905"/>
    <w:rsid w:val="00D41D2C"/>
    <w:rsid w:val="00D43AB5"/>
    <w:rsid w:val="00D45389"/>
    <w:rsid w:val="00D46566"/>
    <w:rsid w:val="00D50B0A"/>
    <w:rsid w:val="00D55AD1"/>
    <w:rsid w:val="00D56B4E"/>
    <w:rsid w:val="00D57C52"/>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0516"/>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0CC"/>
    <w:rsid w:val="00DF7123"/>
    <w:rsid w:val="00E0099C"/>
    <w:rsid w:val="00E03E22"/>
    <w:rsid w:val="00E0642C"/>
    <w:rsid w:val="00E07B52"/>
    <w:rsid w:val="00E122E3"/>
    <w:rsid w:val="00E13B6A"/>
    <w:rsid w:val="00E144D1"/>
    <w:rsid w:val="00E24688"/>
    <w:rsid w:val="00E251C3"/>
    <w:rsid w:val="00E25329"/>
    <w:rsid w:val="00E327C8"/>
    <w:rsid w:val="00E32A2B"/>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37EC"/>
    <w:rsid w:val="00EB4707"/>
    <w:rsid w:val="00EB4F91"/>
    <w:rsid w:val="00EB6DF4"/>
    <w:rsid w:val="00EC0518"/>
    <w:rsid w:val="00EC0C35"/>
    <w:rsid w:val="00EC1DC2"/>
    <w:rsid w:val="00ED1093"/>
    <w:rsid w:val="00ED4698"/>
    <w:rsid w:val="00EE2067"/>
    <w:rsid w:val="00EE3CAB"/>
    <w:rsid w:val="00EE71AA"/>
    <w:rsid w:val="00EF0733"/>
    <w:rsid w:val="00EF3498"/>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87ED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034"/>
    <w:rsid w:val="00FD060F"/>
    <w:rsid w:val="00FD1B37"/>
    <w:rsid w:val="00FD1E95"/>
    <w:rsid w:val="00FD2BB9"/>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B3E6E5"/>
  <w14:defaultImageDpi w14:val="300"/>
  <w15:docId w15:val="{2921E2F7-16F5-44F5-9EA4-AFC19A3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4B2A2A"/>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01858-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7295-E106-4B83-AE9C-97E013ED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1911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UNESCO</Company>
  <LinksUpToDate>false</LinksUpToDate>
  <CharactersWithSpaces>2254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6</cp:revision>
  <cp:lastPrinted>2014-04-15T11:42:00Z</cp:lastPrinted>
  <dcterms:created xsi:type="dcterms:W3CDTF">2015-10-30T13:35:00Z</dcterms:created>
  <dcterms:modified xsi:type="dcterms:W3CDTF">2018-04-19T08:40:00Z</dcterms:modified>
</cp:coreProperties>
</file>