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BAF12" w14:textId="3684E32F" w:rsidR="00F91721" w:rsidRDefault="00A853D3" w:rsidP="00FF3DCE">
      <w:pPr>
        <w:pStyle w:val="Chapitre"/>
      </w:pPr>
      <w:bookmarkStart w:id="0" w:name="_Toc241229644"/>
      <w:bookmarkStart w:id="1" w:name="_Toc241229848"/>
      <w:bookmarkStart w:id="2" w:name="_Toc242165541"/>
      <w:bookmarkStart w:id="3" w:name="_GoBack"/>
      <w:bookmarkEnd w:id="3"/>
      <w:r w:rsidRPr="00787639">
        <w:t xml:space="preserve">Unit </w:t>
      </w:r>
      <w:r w:rsidR="0061494B" w:rsidRPr="00787639">
        <w:t>1</w:t>
      </w:r>
      <w:r w:rsidR="0061494B" w:rsidRPr="00787639">
        <w:tab/>
      </w:r>
    </w:p>
    <w:p w14:paraId="4A28FF42" w14:textId="40886872" w:rsidR="002B3157" w:rsidRPr="002B3157" w:rsidRDefault="002B3157" w:rsidP="00502D2E">
      <w:pPr>
        <w:pStyle w:val="UPlan"/>
        <w:numPr>
          <w:ilvl w:val="0"/>
          <w:numId w:val="0"/>
        </w:numPr>
        <w:rPr>
          <w:snapToGrid w:val="0"/>
        </w:rPr>
      </w:pPr>
      <w:r w:rsidRPr="002B3157">
        <w:rPr>
          <w:snapToGrid w:val="0"/>
        </w:rPr>
        <w:t>workshop on implementing the co</w:t>
      </w:r>
      <w:r w:rsidR="00981401">
        <w:rPr>
          <w:snapToGrid w:val="0"/>
        </w:rPr>
        <w:t>nvention at national level</w:t>
      </w:r>
      <w:r w:rsidRPr="002B3157">
        <w:rPr>
          <w:snapToGrid w:val="0"/>
        </w:rPr>
        <w:t>: introduction</w:t>
      </w:r>
    </w:p>
    <w:p w14:paraId="5F7D4824" w14:textId="56D77E20" w:rsidR="002B3157" w:rsidRPr="00C05554" w:rsidRDefault="005B0690" w:rsidP="00502D2E">
      <w:pPr>
        <w:pStyle w:val="Titcoul"/>
        <w:numPr>
          <w:ilvl w:val="0"/>
          <w:numId w:val="0"/>
        </w:numPr>
        <w:rPr>
          <w:rFonts w:eastAsia="Times New Roman"/>
          <w:noProof/>
          <w:sz w:val="32"/>
          <w:szCs w:val="32"/>
        </w:rPr>
      </w:pPr>
      <w:r w:rsidRPr="00C05554">
        <w:rPr>
          <w:snapToGrid w:val="0"/>
          <w:sz w:val="32"/>
          <w:szCs w:val="32"/>
        </w:rPr>
        <w:t>participant’s text</w:t>
      </w:r>
    </w:p>
    <w:bookmarkEnd w:id="0"/>
    <w:bookmarkEnd w:id="1"/>
    <w:bookmarkEnd w:id="2"/>
    <w:p w14:paraId="5B1A03CC" w14:textId="1805F7EF" w:rsidR="00741F8D" w:rsidRPr="00787639" w:rsidRDefault="00741F8D" w:rsidP="00A674BB">
      <w:pPr>
        <w:pStyle w:val="Sschap"/>
      </w:pPr>
      <w:r w:rsidRPr="00787639">
        <w:t>This</w:t>
      </w:r>
      <w:r w:rsidRPr="00787639">
        <w:rPr>
          <w:spacing w:val="9"/>
        </w:rPr>
        <w:t xml:space="preserve"> </w:t>
      </w:r>
      <w:r w:rsidR="00A31F35" w:rsidRPr="00787639">
        <w:t>unit</w:t>
      </w:r>
      <w:r w:rsidRPr="00787639">
        <w:rPr>
          <w:spacing w:val="9"/>
        </w:rPr>
        <w:t xml:space="preserve"> </w:t>
      </w:r>
      <w:r w:rsidRPr="00787639">
        <w:t>covers</w:t>
      </w:r>
      <w:r w:rsidRPr="00787639">
        <w:rPr>
          <w:spacing w:val="8"/>
        </w:rPr>
        <w:t xml:space="preserve"> </w:t>
      </w:r>
      <w:r w:rsidRPr="00787639">
        <w:t>the</w:t>
      </w:r>
      <w:r w:rsidRPr="00787639">
        <w:rPr>
          <w:spacing w:val="8"/>
        </w:rPr>
        <w:t xml:space="preserve"> </w:t>
      </w:r>
      <w:r w:rsidRPr="00505FCF">
        <w:t>following</w:t>
      </w:r>
      <w:r w:rsidRPr="00787639">
        <w:rPr>
          <w:spacing w:val="8"/>
        </w:rPr>
        <w:t xml:space="preserve"> </w:t>
      </w:r>
      <w:r w:rsidRPr="00787639">
        <w:t>topics:</w:t>
      </w:r>
    </w:p>
    <w:p w14:paraId="1010898C" w14:textId="65A0BDA1" w:rsidR="00741F8D" w:rsidRPr="00E64463" w:rsidRDefault="00BA7B83" w:rsidP="00FF3DCE">
      <w:pPr>
        <w:pStyle w:val="Txtchap"/>
      </w:pPr>
      <w:r w:rsidRPr="00E64463">
        <w:t>C</w:t>
      </w:r>
      <w:r w:rsidR="00741F8D" w:rsidRPr="00E64463">
        <w:t xml:space="preserve">apacity-building </w:t>
      </w:r>
      <w:r w:rsidR="00741F8D" w:rsidRPr="00A37CA4">
        <w:t>workshops</w:t>
      </w:r>
      <w:r w:rsidR="00741F8D" w:rsidRPr="00E64463">
        <w:t xml:space="preserve"> for implementing the</w:t>
      </w:r>
      <w:r w:rsidR="00DD01F3" w:rsidRPr="00E64463">
        <w:t xml:space="preserve"> </w:t>
      </w:r>
      <w:r w:rsidR="00741F8D" w:rsidRPr="00E64463">
        <w:t>UNESCO Convention for the Safeguarding of the Intangible Cultural Heritage</w:t>
      </w:r>
      <w:r w:rsidR="0098323A">
        <w:t>.</w:t>
      </w:r>
      <w:r w:rsidR="009F15C2">
        <w:rPr>
          <w:rStyle w:val="FootnoteReference"/>
        </w:rPr>
        <w:footnoteReference w:id="1"/>
      </w:r>
    </w:p>
    <w:p w14:paraId="65796A91" w14:textId="0A46E07D" w:rsidR="00741F8D" w:rsidRPr="00E64463" w:rsidRDefault="00BA7B83" w:rsidP="00FF3DCE">
      <w:pPr>
        <w:pStyle w:val="Txtchap"/>
      </w:pPr>
      <w:r w:rsidRPr="00E64463">
        <w:t>T</w:t>
      </w:r>
      <w:r w:rsidR="00741F8D" w:rsidRPr="00E64463">
        <w:t xml:space="preserve">he use of </w:t>
      </w:r>
      <w:r w:rsidR="006825F1" w:rsidRPr="00E64463">
        <w:t xml:space="preserve">the </w:t>
      </w:r>
      <w:r w:rsidR="00D963DE" w:rsidRPr="00E64463">
        <w:t xml:space="preserve">capacity-building </w:t>
      </w:r>
      <w:r w:rsidR="006825F1" w:rsidRPr="00E64463">
        <w:t>materials</w:t>
      </w:r>
      <w:r w:rsidRPr="00E64463">
        <w:t>.</w:t>
      </w:r>
      <w:r w:rsidR="00307B4E" w:rsidRPr="00AD244C">
        <w:rPr>
          <w:noProof/>
          <w:lang w:val="fr-FR" w:eastAsia="zh-TW"/>
        </w:rPr>
        <w:drawing>
          <wp:anchor distT="0" distB="0" distL="114300" distR="114300" simplePos="0" relativeHeight="252115456" behindDoc="1" locked="0" layoutInCell="1" allowOverlap="0" wp14:anchorId="735B9C79" wp14:editId="6448E819">
            <wp:simplePos x="0" y="0"/>
            <wp:positionH relativeFrom="margin">
              <wp:posOffset>360045</wp:posOffset>
            </wp:positionH>
            <wp:positionV relativeFrom="margin">
              <wp:posOffset>1800225</wp:posOffset>
            </wp:positionV>
            <wp:extent cx="4870411" cy="4498145"/>
            <wp:effectExtent l="0" t="0" r="6985" b="0"/>
            <wp:wrapNone/>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7DFA2B0B" w14:textId="77777777" w:rsidR="00741F8D" w:rsidRPr="00E64463" w:rsidRDefault="00BA7B83" w:rsidP="00FF3DCE">
      <w:pPr>
        <w:pStyle w:val="Txtchap"/>
      </w:pPr>
      <w:r w:rsidRPr="00E64463">
        <w:t>T</w:t>
      </w:r>
      <w:r w:rsidR="00741F8D" w:rsidRPr="00E64463">
        <w:t>he definition of intangible cultural heritage (ICH) and safeguarding according to the Convention</w:t>
      </w:r>
      <w:r w:rsidRPr="00E64463">
        <w:t>.</w:t>
      </w:r>
    </w:p>
    <w:p w14:paraId="206688D7" w14:textId="278A0368" w:rsidR="00EA4847" w:rsidRPr="00FF3DCE" w:rsidRDefault="00BA7B83" w:rsidP="00FF3DCE">
      <w:pPr>
        <w:pStyle w:val="Txtchap"/>
      </w:pPr>
      <w:r w:rsidRPr="00FF3DCE">
        <w:t>R</w:t>
      </w:r>
      <w:r w:rsidR="00741F8D" w:rsidRPr="00FF3DCE">
        <w:t>esources, abbreviations and terminology.</w:t>
      </w:r>
    </w:p>
    <w:p w14:paraId="33715CCE" w14:textId="77777777" w:rsidR="00045342" w:rsidRDefault="00AB7F55">
      <w:pPr>
        <w:tabs>
          <w:tab w:val="clear" w:pos="567"/>
        </w:tabs>
        <w:snapToGrid/>
        <w:spacing w:line="240" w:lineRule="auto"/>
        <w:ind w:left="0"/>
        <w:jc w:val="left"/>
        <w:rPr>
          <w:lang w:val="en-GB"/>
        </w:rPr>
      </w:pPr>
      <w:r>
        <w:rPr>
          <w:lang w:val="en-GB"/>
        </w:rPr>
        <w:br w:type="page"/>
      </w:r>
    </w:p>
    <w:p w14:paraId="6AE2DC3C" w14:textId="77777777" w:rsidR="00045342" w:rsidRDefault="00045342" w:rsidP="00045342">
      <w:pPr>
        <w:tabs>
          <w:tab w:val="clear" w:pos="567"/>
        </w:tabs>
        <w:snapToGrid/>
        <w:spacing w:before="480" w:line="240" w:lineRule="auto"/>
        <w:ind w:left="0"/>
        <w:jc w:val="left"/>
        <w:rPr>
          <w:rFonts w:eastAsia="Times New Roman"/>
          <w:sz w:val="22"/>
          <w:szCs w:val="22"/>
          <w:lang w:val="en-GB" w:eastAsia="pt-BR"/>
        </w:rPr>
      </w:pPr>
    </w:p>
    <w:p w14:paraId="75C444E4" w14:textId="10C0D76F" w:rsidR="00045342" w:rsidRPr="00C14A99" w:rsidRDefault="00045342" w:rsidP="00045342">
      <w:pPr>
        <w:tabs>
          <w:tab w:val="clear" w:pos="567"/>
        </w:tabs>
        <w:snapToGrid/>
        <w:spacing w:before="480" w:line="240" w:lineRule="auto"/>
        <w:ind w:left="0"/>
        <w:jc w:val="left"/>
        <w:rPr>
          <w:rFonts w:eastAsia="Times New Roman"/>
          <w:bCs/>
          <w:iCs/>
          <w:sz w:val="22"/>
          <w:szCs w:val="22"/>
          <w:lang w:val="en-GB" w:eastAsia="pt-BR"/>
        </w:rPr>
      </w:pPr>
      <w:r w:rsidRPr="00C14A99">
        <w:rPr>
          <w:rFonts w:eastAsia="Times New Roman"/>
          <w:sz w:val="22"/>
          <w:szCs w:val="22"/>
          <w:lang w:val="en-GB" w:eastAsia="pt-BR"/>
        </w:rPr>
        <w:t xml:space="preserve">Published in </w:t>
      </w:r>
      <w:r w:rsidR="00AE1A80">
        <w:rPr>
          <w:rFonts w:eastAsia="Times New Roman"/>
          <w:sz w:val="22"/>
          <w:szCs w:val="22"/>
          <w:lang w:val="en-GB" w:eastAsia="pt-BR"/>
        </w:rPr>
        <w:t>2016</w:t>
      </w:r>
      <w:r w:rsidRPr="00C14A99">
        <w:rPr>
          <w:rFonts w:eastAsia="Times New Roman"/>
          <w:sz w:val="22"/>
          <w:szCs w:val="22"/>
          <w:lang w:val="en-GB" w:eastAsia="pt-BR"/>
        </w:rPr>
        <w:t xml:space="preserve"> by the United Nations Educational, Scientific and Cultural Organization, </w:t>
      </w:r>
      <w:r w:rsidRPr="00C14A99">
        <w:rPr>
          <w:rFonts w:eastAsia="Times New Roman"/>
          <w:bCs/>
          <w:iCs/>
          <w:sz w:val="22"/>
          <w:szCs w:val="22"/>
          <w:lang w:val="en-GB" w:eastAsia="pt-BR"/>
        </w:rPr>
        <w:t>7, place de Fontenoy, 75352 Paris 07 SP, France</w:t>
      </w:r>
    </w:p>
    <w:p w14:paraId="0593E3E8" w14:textId="77777777" w:rsidR="00045342" w:rsidRPr="00C14A99" w:rsidRDefault="00045342" w:rsidP="00045342">
      <w:pPr>
        <w:tabs>
          <w:tab w:val="clear" w:pos="567"/>
        </w:tabs>
        <w:snapToGrid/>
        <w:spacing w:line="240" w:lineRule="auto"/>
        <w:ind w:left="0"/>
        <w:jc w:val="left"/>
        <w:rPr>
          <w:rFonts w:eastAsia="Times New Roman"/>
          <w:bCs/>
          <w:iCs/>
          <w:sz w:val="22"/>
          <w:szCs w:val="22"/>
          <w:lang w:val="en-GB" w:eastAsia="pt-BR"/>
        </w:rPr>
      </w:pPr>
    </w:p>
    <w:p w14:paraId="159ADF2D" w14:textId="41F95317" w:rsidR="00045342" w:rsidRPr="00C14A99" w:rsidRDefault="00045342" w:rsidP="00045342">
      <w:pPr>
        <w:autoSpaceDE w:val="0"/>
        <w:autoSpaceDN w:val="0"/>
        <w:adjustRightInd w:val="0"/>
        <w:spacing w:before="120" w:after="120" w:line="240" w:lineRule="auto"/>
        <w:ind w:left="0"/>
        <w:rPr>
          <w:snapToGrid w:val="0"/>
          <w:sz w:val="22"/>
          <w:szCs w:val="22"/>
          <w:lang w:val="en-US"/>
        </w:rPr>
      </w:pPr>
      <w:r w:rsidRPr="00C14A99">
        <w:rPr>
          <w:snapToGrid w:val="0"/>
          <w:sz w:val="22"/>
          <w:szCs w:val="22"/>
          <w:lang w:val="en-GB"/>
        </w:rPr>
        <w:t xml:space="preserve">© UNESCO </w:t>
      </w:r>
      <w:r w:rsidR="00AE1A80">
        <w:rPr>
          <w:snapToGrid w:val="0"/>
          <w:sz w:val="22"/>
          <w:szCs w:val="22"/>
          <w:lang w:val="en-GB"/>
        </w:rPr>
        <w:t>2016</w:t>
      </w:r>
    </w:p>
    <w:p w14:paraId="7170750C" w14:textId="77777777" w:rsidR="00045342" w:rsidRPr="00C14A99" w:rsidRDefault="00045342" w:rsidP="00045342">
      <w:pPr>
        <w:autoSpaceDE w:val="0"/>
        <w:autoSpaceDN w:val="0"/>
        <w:adjustRightInd w:val="0"/>
        <w:spacing w:before="120" w:after="120" w:line="240" w:lineRule="auto"/>
        <w:ind w:left="0"/>
        <w:rPr>
          <w:snapToGrid w:val="0"/>
          <w:sz w:val="22"/>
          <w:szCs w:val="22"/>
          <w:lang w:val="en-GB"/>
        </w:rPr>
      </w:pPr>
    </w:p>
    <w:p w14:paraId="024733F1" w14:textId="77777777" w:rsidR="00045342" w:rsidRPr="00C14A99" w:rsidRDefault="00045342" w:rsidP="00045342">
      <w:pPr>
        <w:autoSpaceDE w:val="0"/>
        <w:autoSpaceDN w:val="0"/>
        <w:adjustRightInd w:val="0"/>
        <w:spacing w:before="120" w:after="120" w:line="240" w:lineRule="auto"/>
        <w:ind w:left="0"/>
        <w:rPr>
          <w:snapToGrid w:val="0"/>
          <w:sz w:val="22"/>
          <w:szCs w:val="22"/>
          <w:lang w:val="en-GB"/>
        </w:rPr>
      </w:pPr>
      <w:r w:rsidRPr="00C14A99">
        <w:rPr>
          <w:noProof/>
          <w:snapToGrid w:val="0"/>
          <w:sz w:val="22"/>
          <w:szCs w:val="22"/>
          <w:lang w:eastAsia="zh-TW"/>
        </w:rPr>
        <w:drawing>
          <wp:inline distT="0" distB="0" distL="0" distR="0" wp14:anchorId="2F515463" wp14:editId="5E1F1E86">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0A04B4B" w14:textId="77777777" w:rsidR="00045342" w:rsidRPr="00C14A99" w:rsidRDefault="00045342" w:rsidP="00045342">
      <w:pPr>
        <w:spacing w:before="240" w:after="120" w:line="240" w:lineRule="auto"/>
        <w:ind w:left="0"/>
        <w:rPr>
          <w:snapToGrid w:val="0"/>
          <w:sz w:val="22"/>
          <w:szCs w:val="22"/>
          <w:lang w:val="en-US"/>
        </w:rPr>
      </w:pPr>
      <w:r w:rsidRPr="00C14A99">
        <w:rPr>
          <w:snapToGrid w:val="0"/>
          <w:sz w:val="22"/>
          <w:szCs w:val="22"/>
          <w:lang w:val="en-US"/>
        </w:rPr>
        <w:t>This publication is available in Open Access under the Attribution-ShareAlike 3.0 IGO (CC-BY-SA 3.0 IGO) license (</w:t>
      </w:r>
      <w:hyperlink r:id="rId10" w:history="1">
        <w:r w:rsidRPr="00C14A99">
          <w:rPr>
            <w:rFonts w:eastAsiaTheme="minorHAnsi"/>
            <w:snapToGrid w:val="0"/>
            <w:color w:val="0000FF"/>
            <w:sz w:val="22"/>
            <w:szCs w:val="22"/>
            <w:u w:val="single" w:color="0000FF"/>
            <w:lang w:val="en-GB" w:eastAsia="en-US"/>
          </w:rPr>
          <w:t>http://creativecommons.org/licenses/by-sa/3.0/igo/</w:t>
        </w:r>
      </w:hyperlink>
      <w:r w:rsidRPr="00C14A99">
        <w:rPr>
          <w:snapToGrid w:val="0"/>
          <w:sz w:val="22"/>
          <w:szCs w:val="22"/>
          <w:lang w:val="en-US"/>
        </w:rPr>
        <w:t>). By using the content of this publication, the users accept to be bound by the terms of use of the UNESCO Open Access Repository (</w:t>
      </w:r>
      <w:hyperlink r:id="rId11" w:history="1">
        <w:r w:rsidRPr="00C14A99">
          <w:rPr>
            <w:snapToGrid w:val="0"/>
            <w:color w:val="0000FF"/>
            <w:sz w:val="22"/>
            <w:szCs w:val="22"/>
            <w:u w:val="single"/>
            <w:lang w:val="en-US"/>
          </w:rPr>
          <w:t>http://www.unesco.org/open-access/terms-use-ccbysa-en</w:t>
        </w:r>
      </w:hyperlink>
      <w:r w:rsidRPr="00C14A99">
        <w:rPr>
          <w:snapToGrid w:val="0"/>
          <w:sz w:val="22"/>
          <w:szCs w:val="22"/>
          <w:lang w:val="en-US"/>
        </w:rPr>
        <w:t>).</w:t>
      </w:r>
    </w:p>
    <w:p w14:paraId="20752C34" w14:textId="77777777" w:rsidR="00045342" w:rsidRPr="00C14A99" w:rsidRDefault="00045342" w:rsidP="00045342">
      <w:pPr>
        <w:snapToGrid/>
        <w:spacing w:after="120" w:line="240" w:lineRule="auto"/>
        <w:ind w:left="0"/>
        <w:jc w:val="left"/>
        <w:rPr>
          <w:bCs/>
          <w:iCs/>
          <w:snapToGrid w:val="0"/>
          <w:sz w:val="22"/>
          <w:szCs w:val="22"/>
          <w:lang w:val="en-GB" w:eastAsia="pt-BR"/>
        </w:rPr>
      </w:pPr>
      <w:r w:rsidRPr="00C14A99">
        <w:rPr>
          <w:bCs/>
          <w:iCs/>
          <w:snapToGrid w:val="0"/>
          <w:sz w:val="22"/>
          <w:szCs w:val="22"/>
          <w:lang w:val="en-GB"/>
        </w:rPr>
        <w:t>The images of this publication do not fall under the CC-BY-SA licence and may not be used, reproduced, or commercialized without the prior permission of the copyright holders.</w:t>
      </w:r>
    </w:p>
    <w:p w14:paraId="4A2D9AF4" w14:textId="77777777" w:rsidR="00045342" w:rsidRPr="00C14A99" w:rsidRDefault="00045342" w:rsidP="00045342">
      <w:pPr>
        <w:tabs>
          <w:tab w:val="clear" w:pos="567"/>
        </w:tabs>
        <w:snapToGrid/>
        <w:spacing w:line="240" w:lineRule="auto"/>
        <w:ind w:left="0"/>
        <w:jc w:val="left"/>
        <w:rPr>
          <w:rFonts w:eastAsia="Times New Roman"/>
          <w:bCs/>
          <w:iCs/>
          <w:sz w:val="22"/>
          <w:szCs w:val="22"/>
          <w:lang w:val="en-GB" w:eastAsia="pt-BR"/>
        </w:rPr>
      </w:pPr>
    </w:p>
    <w:p w14:paraId="529E680E" w14:textId="77777777" w:rsidR="00045342" w:rsidRPr="00C14A99" w:rsidRDefault="00045342" w:rsidP="00045342">
      <w:pPr>
        <w:spacing w:before="120" w:after="120" w:line="240" w:lineRule="auto"/>
        <w:ind w:left="0"/>
        <w:rPr>
          <w:bCs/>
          <w:iCs/>
          <w:snapToGrid w:val="0"/>
          <w:sz w:val="22"/>
          <w:szCs w:val="22"/>
          <w:lang w:val="en-GB"/>
        </w:rPr>
      </w:pPr>
      <w:r w:rsidRPr="00C14A99">
        <w:rPr>
          <w:bCs/>
          <w:iCs/>
          <w:snapToGrid w:val="0"/>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220AC857" w14:textId="77777777" w:rsidR="00045342" w:rsidRPr="00C14A99" w:rsidRDefault="00045342" w:rsidP="00045342">
      <w:pPr>
        <w:tabs>
          <w:tab w:val="clear" w:pos="567"/>
        </w:tabs>
        <w:snapToGrid/>
        <w:spacing w:line="240" w:lineRule="auto"/>
        <w:ind w:left="0"/>
        <w:jc w:val="left"/>
        <w:rPr>
          <w:rFonts w:eastAsia="Times New Roman"/>
          <w:bCs/>
          <w:iCs/>
          <w:sz w:val="22"/>
          <w:szCs w:val="22"/>
          <w:lang w:val="en-GB" w:eastAsia="pt-BR"/>
        </w:rPr>
      </w:pPr>
    </w:p>
    <w:p w14:paraId="12B470A0" w14:textId="77777777" w:rsidR="00045342" w:rsidRPr="00C14A99" w:rsidRDefault="00045342" w:rsidP="00045342">
      <w:pPr>
        <w:tabs>
          <w:tab w:val="clear" w:pos="567"/>
        </w:tabs>
        <w:snapToGrid/>
        <w:spacing w:line="240" w:lineRule="auto"/>
        <w:ind w:left="0"/>
        <w:jc w:val="left"/>
        <w:rPr>
          <w:rFonts w:eastAsia="Times New Roman"/>
          <w:bCs/>
          <w:iCs/>
          <w:sz w:val="22"/>
          <w:szCs w:val="22"/>
          <w:lang w:val="en-GB" w:eastAsia="pt-BR"/>
        </w:rPr>
      </w:pPr>
      <w:r w:rsidRPr="00C14A99">
        <w:rPr>
          <w:rFonts w:eastAsia="Times New Roman"/>
          <w:bCs/>
          <w:iCs/>
          <w:sz w:val="22"/>
          <w:szCs w:val="22"/>
          <w:lang w:val="en-GB" w:eastAsia="pt-BR"/>
        </w:rPr>
        <w:t>The ideas and opinions expressed in this publication are those of the authors; they are not necessarily those of UNESCO and do not commit the Organization.</w:t>
      </w:r>
    </w:p>
    <w:p w14:paraId="30C44CD5" w14:textId="77777777" w:rsidR="00045342" w:rsidRDefault="00045342">
      <w:pPr>
        <w:tabs>
          <w:tab w:val="clear" w:pos="567"/>
        </w:tabs>
        <w:snapToGrid/>
        <w:spacing w:line="240" w:lineRule="auto"/>
        <w:ind w:left="0"/>
        <w:jc w:val="left"/>
        <w:rPr>
          <w:lang w:val="en-GB"/>
        </w:rPr>
      </w:pPr>
    </w:p>
    <w:p w14:paraId="51689037" w14:textId="1C27D6AC" w:rsidR="00AB7F55" w:rsidRPr="00045342" w:rsidRDefault="00045342">
      <w:pPr>
        <w:tabs>
          <w:tab w:val="clear" w:pos="567"/>
        </w:tabs>
        <w:snapToGrid/>
        <w:spacing w:line="240" w:lineRule="auto"/>
        <w:ind w:left="0"/>
        <w:jc w:val="left"/>
        <w:rPr>
          <w:lang w:val="en-GB"/>
        </w:rPr>
      </w:pPr>
      <w:r>
        <w:rPr>
          <w:lang w:val="en-GB"/>
        </w:rPr>
        <w:br w:type="page"/>
      </w:r>
    </w:p>
    <w:p w14:paraId="23365B09" w14:textId="68438587" w:rsidR="00862581" w:rsidRPr="00E64463" w:rsidRDefault="00862581" w:rsidP="00677A68">
      <w:pPr>
        <w:pStyle w:val="Titcoul"/>
        <w:numPr>
          <w:ilvl w:val="0"/>
          <w:numId w:val="0"/>
        </w:numPr>
        <w:tabs>
          <w:tab w:val="clear" w:pos="567"/>
        </w:tabs>
        <w:spacing w:before="0"/>
        <w:rPr>
          <w:rFonts w:hint="eastAsia"/>
          <w:lang w:val="en-GB"/>
        </w:rPr>
      </w:pPr>
      <w:bookmarkStart w:id="4" w:name="_Toc241229645"/>
      <w:bookmarkStart w:id="5" w:name="_Toc241229849"/>
      <w:bookmarkStart w:id="6" w:name="_Toc242165542"/>
      <w:r w:rsidRPr="00E64463">
        <w:rPr>
          <w:rFonts w:hint="eastAsia"/>
          <w:lang w:val="en-GB"/>
        </w:rPr>
        <w:lastRenderedPageBreak/>
        <w:t>1.1</w:t>
      </w:r>
      <w:r w:rsidR="00677A68">
        <w:rPr>
          <w:lang w:val="en-GB"/>
        </w:rPr>
        <w:tab/>
      </w:r>
      <w:r w:rsidRPr="00800B6A">
        <w:rPr>
          <w:lang w:val="en-GB"/>
        </w:rPr>
        <w:t xml:space="preserve">A </w:t>
      </w:r>
      <w:bookmarkEnd w:id="4"/>
      <w:bookmarkEnd w:id="5"/>
      <w:bookmarkEnd w:id="6"/>
      <w:r w:rsidR="009A085A" w:rsidRPr="00800B6A">
        <w:rPr>
          <w:lang w:val="en-GB"/>
        </w:rPr>
        <w:t>capacity-building curriculum</w:t>
      </w:r>
    </w:p>
    <w:p w14:paraId="774F25EF" w14:textId="77777777" w:rsidR="00862581" w:rsidRDefault="00862581" w:rsidP="002D5639">
      <w:pPr>
        <w:pStyle w:val="Texte1"/>
      </w:pPr>
      <w:r w:rsidRPr="00787639">
        <w:t>In</w:t>
      </w:r>
      <w:r w:rsidRPr="00D44CAC">
        <w:t xml:space="preserve"> 2003 the General Conference of the United Nations Educational, Scientific and Cultural Organization (UNESCO) adopted the Convention for the Safeguarding of the Intangible Cultural Heritage, which entered into </w:t>
      </w:r>
      <w:r w:rsidRPr="00D90418">
        <w:t xml:space="preserve">force in 2006. Already </w:t>
      </w:r>
      <w:r w:rsidRPr="007240B8">
        <w:t>over two-thirds</w:t>
      </w:r>
      <w:r w:rsidRPr="00D90418">
        <w:t xml:space="preserve"> of the Member States of UNESCO have now ratified this Convention.</w:t>
      </w:r>
    </w:p>
    <w:p w14:paraId="19369B57" w14:textId="5C1ED6AD" w:rsidR="00800B6A" w:rsidRPr="00D90418" w:rsidRDefault="00800B6A" w:rsidP="00800B6A">
      <w:pPr>
        <w:pStyle w:val="Texte1"/>
      </w:pPr>
      <w:r w:rsidRPr="00787639">
        <w:t>The Intergovernmental Committee for the Safeguarding of the I</w:t>
      </w:r>
      <w:r w:rsidR="00432F46">
        <w:t>ntangible Cultural Heritage</w:t>
      </w:r>
      <w:r w:rsidRPr="00787639">
        <w:t xml:space="preserve"> that oversees the implementation of the Convention requested</w:t>
      </w:r>
      <w:r w:rsidR="00432F46">
        <w:t xml:space="preserve"> that</w:t>
      </w:r>
      <w:r w:rsidRPr="00787639">
        <w:t xml:space="preserve"> the UNESCO Secretariat</w:t>
      </w:r>
      <w:r w:rsidR="00432F46">
        <w:t xml:space="preserve"> </w:t>
      </w:r>
      <w:r w:rsidRPr="00787639">
        <w:t xml:space="preserve">organize worldwide trainings aimed at reinforcing capacities for the implementation </w:t>
      </w:r>
      <w:r w:rsidR="00432F46">
        <w:t>of the Convention</w:t>
      </w:r>
      <w:r w:rsidRPr="00787639">
        <w:t>. States Parties provided generous financial support to allow the Secretariat to prepare training materials, train facilitators and fund capacity-building activities.</w:t>
      </w:r>
    </w:p>
    <w:p w14:paraId="326F2E79" w14:textId="015510EA" w:rsidR="00862581" w:rsidRPr="0080518F" w:rsidRDefault="00862581">
      <w:pPr>
        <w:pStyle w:val="Heading4"/>
        <w:rPr>
          <w:w w:val="108"/>
          <w:lang w:val="en-GB"/>
        </w:rPr>
      </w:pPr>
      <w:r w:rsidRPr="0080518F">
        <w:rPr>
          <w:w w:val="108"/>
          <w:lang w:val="en-GB"/>
        </w:rPr>
        <w:t>Capacity-building workshops</w:t>
      </w:r>
    </w:p>
    <w:p w14:paraId="13D45EDD" w14:textId="6EB7A644" w:rsidR="00BE76BA" w:rsidRPr="00496C7B" w:rsidRDefault="004A1DE9" w:rsidP="00502D2E">
      <w:pPr>
        <w:pStyle w:val="Texte1"/>
      </w:pPr>
      <w:r w:rsidRPr="00496C7B">
        <w:t xml:space="preserve">The </w:t>
      </w:r>
      <w:r w:rsidR="00090852" w:rsidRPr="00496C7B">
        <w:t xml:space="preserve">Secretariat has developed a series of </w:t>
      </w:r>
      <w:r w:rsidRPr="00496C7B">
        <w:t>capacity-building workshops</w:t>
      </w:r>
      <w:r w:rsidR="00090852" w:rsidRPr="00496C7B">
        <w:t xml:space="preserve"> that</w:t>
      </w:r>
      <w:r w:rsidRPr="00496C7B">
        <w:t xml:space="preserve"> cover</w:t>
      </w:r>
      <w:r w:rsidR="00B33320" w:rsidRPr="00496C7B">
        <w:t xml:space="preserve"> different themes </w:t>
      </w:r>
      <w:r w:rsidR="00090852" w:rsidRPr="00496C7B">
        <w:t xml:space="preserve">related to the implementation of the Convention </w:t>
      </w:r>
      <w:r w:rsidR="00B33320" w:rsidRPr="00496C7B">
        <w:t>such as ratification, implementation</w:t>
      </w:r>
      <w:r w:rsidR="00090852" w:rsidRPr="00496C7B">
        <w:t xml:space="preserve"> of the Convention at the national level</w:t>
      </w:r>
      <w:r w:rsidR="00B33320" w:rsidRPr="00496C7B">
        <w:t>, community-based inventorying</w:t>
      </w:r>
      <w:r w:rsidR="00540639" w:rsidRPr="00496C7B">
        <w:t>,</w:t>
      </w:r>
      <w:r w:rsidR="00B33320" w:rsidRPr="00496C7B">
        <w:t xml:space="preserve"> nominations </w:t>
      </w:r>
      <w:r w:rsidR="00760875">
        <w:t>and</w:t>
      </w:r>
      <w:r w:rsidR="00B33320" w:rsidRPr="00496C7B">
        <w:t xml:space="preserve"> development of safeguarding plans.</w:t>
      </w:r>
      <w:r w:rsidR="00075EFF" w:rsidRPr="00496C7B">
        <w:t xml:space="preserve"> </w:t>
      </w:r>
      <w:r w:rsidR="00090852" w:rsidRPr="00496C7B">
        <w:t xml:space="preserve">Further themes are currently under development. </w:t>
      </w:r>
      <w:r w:rsidR="00075EFF" w:rsidRPr="00496C7B">
        <w:t xml:space="preserve">The workshops themselves </w:t>
      </w:r>
      <w:r w:rsidR="00B71610" w:rsidRPr="00496C7B">
        <w:t>are</w:t>
      </w:r>
      <w:r w:rsidR="00075EFF" w:rsidRPr="00496C7B">
        <w:t xml:space="preserve"> customized to the needs of the participants and the countries they come from.</w:t>
      </w:r>
      <w:r w:rsidR="002F59FF" w:rsidRPr="00496C7B">
        <w:t xml:space="preserve"> Interactive discussions </w:t>
      </w:r>
      <w:r w:rsidR="00B276AF" w:rsidRPr="00496C7B">
        <w:t>are</w:t>
      </w:r>
      <w:r w:rsidR="002F59FF" w:rsidRPr="00496C7B">
        <w:t xml:space="preserve"> organized around themes that are especially important for participants.</w:t>
      </w:r>
    </w:p>
    <w:p w14:paraId="0B6359A7" w14:textId="2D3F3AC0" w:rsidR="00862581" w:rsidRPr="0001293F" w:rsidRDefault="0055120D" w:rsidP="00A853D3">
      <w:pPr>
        <w:pStyle w:val="Heading4"/>
        <w:rPr>
          <w:w w:val="108"/>
          <w:lang w:val="en-GB"/>
        </w:rPr>
      </w:pPr>
      <w:r w:rsidRPr="0001293F">
        <w:rPr>
          <w:w w:val="108"/>
          <w:lang w:val="en-GB"/>
        </w:rPr>
        <w:t xml:space="preserve">TRAINING </w:t>
      </w:r>
      <w:r w:rsidR="0079365E">
        <w:rPr>
          <w:w w:val="108"/>
          <w:lang w:val="en-GB"/>
        </w:rPr>
        <w:t>Materials</w:t>
      </w:r>
    </w:p>
    <w:p w14:paraId="180CD0BF" w14:textId="2CC960EC" w:rsidR="0030639A" w:rsidRPr="002C4999" w:rsidRDefault="00CF7E9C" w:rsidP="003A3354">
      <w:pPr>
        <w:pStyle w:val="Texte1"/>
      </w:pPr>
      <w:r>
        <w:t>T</w:t>
      </w:r>
      <w:r w:rsidR="00272FC4">
        <w:t>raining</w:t>
      </w:r>
      <w:r w:rsidR="00272FC4" w:rsidRPr="0001293F">
        <w:t xml:space="preserve"> </w:t>
      </w:r>
      <w:r w:rsidR="00F60D75" w:rsidRPr="0001293F">
        <w:t xml:space="preserve">materials </w:t>
      </w:r>
      <w:r>
        <w:t xml:space="preserve">for the workshops </w:t>
      </w:r>
      <w:r w:rsidR="00F60D75" w:rsidRPr="0001293F">
        <w:t xml:space="preserve">were developed by internationally recognized experts in the field of </w:t>
      </w:r>
      <w:r w:rsidR="00302388">
        <w:t>ICH</w:t>
      </w:r>
      <w:r w:rsidR="00F60D75" w:rsidRPr="0001293F">
        <w:t>. Designed to be easily adaptable to local needs, these materials</w:t>
      </w:r>
      <w:r w:rsidR="00760875">
        <w:t xml:space="preserve"> are divided into units which include Facilitator’s notes, Participant’s texts, PowerPoint presentations,</w:t>
      </w:r>
      <w:r w:rsidR="00F60D75" w:rsidRPr="0001293F">
        <w:t xml:space="preserve"> exercises</w:t>
      </w:r>
      <w:r w:rsidR="0030639A">
        <w:t>,</w:t>
      </w:r>
      <w:r w:rsidR="00F60D75" w:rsidRPr="0001293F">
        <w:t xml:space="preserve"> quizzes</w:t>
      </w:r>
      <w:r w:rsidR="002F0C20">
        <w:t xml:space="preserve"> and a wide range of</w:t>
      </w:r>
      <w:r w:rsidR="0030639A">
        <w:t xml:space="preserve"> case studies</w:t>
      </w:r>
      <w:r w:rsidR="00F60D75" w:rsidRPr="0001293F">
        <w:t>.</w:t>
      </w:r>
      <w:r w:rsidR="003A3354">
        <w:t xml:space="preserve"> </w:t>
      </w:r>
      <w:r w:rsidR="003A3354" w:rsidRPr="00787639">
        <w:t xml:space="preserve">The training materials frequently refer to </w:t>
      </w:r>
      <w:r w:rsidR="00F416E5">
        <w:t>A</w:t>
      </w:r>
      <w:r w:rsidR="003A3354" w:rsidRPr="00787639">
        <w:t xml:space="preserve">rticles of the Convention and paragraphs of the </w:t>
      </w:r>
      <w:r w:rsidR="003A3354">
        <w:t>Operational Directives (ODs)</w:t>
      </w:r>
      <w:r w:rsidR="00760875">
        <w:t>.</w:t>
      </w:r>
      <w:r w:rsidR="003A3354" w:rsidRPr="00787639">
        <w:t xml:space="preserve"> </w:t>
      </w:r>
      <w:r w:rsidR="00760875">
        <w:t>T</w:t>
      </w:r>
      <w:r w:rsidR="003A3354" w:rsidRPr="00787639">
        <w:t xml:space="preserve">hese texts </w:t>
      </w:r>
      <w:r w:rsidR="00760875">
        <w:t>should</w:t>
      </w:r>
      <w:r w:rsidR="003A3354" w:rsidRPr="00787639">
        <w:t xml:space="preserve"> therefore also be used during the </w:t>
      </w:r>
      <w:r w:rsidR="009D6F85">
        <w:t>workshops</w:t>
      </w:r>
      <w:r w:rsidR="003A3354" w:rsidRPr="002C4999">
        <w:t>.</w:t>
      </w:r>
      <w:r w:rsidR="00BE76BA" w:rsidRPr="002C4999">
        <w:t xml:space="preserve"> </w:t>
      </w:r>
      <w:r w:rsidR="00D1648A" w:rsidRPr="002C4999">
        <w:t>The B</w:t>
      </w:r>
      <w:r w:rsidR="00D1648A" w:rsidRPr="002C4999">
        <w:rPr>
          <w:lang w:val="en-US"/>
        </w:rPr>
        <w:t>asic Texts of the Convention also contain Ethical Principles for Safeguarding Intangible Cultural Heritage, which can be another useful reference tool for participants.</w:t>
      </w:r>
    </w:p>
    <w:p w14:paraId="0A0DA540" w14:textId="6CA9FB80" w:rsidR="00F60D75" w:rsidRPr="0001293F" w:rsidRDefault="00272FC4">
      <w:pPr>
        <w:pStyle w:val="Texte1"/>
      </w:pPr>
      <w:r>
        <w:t>M</w:t>
      </w:r>
      <w:r w:rsidR="00F60D75" w:rsidRPr="0001293F">
        <w:t xml:space="preserve">aterials </w:t>
      </w:r>
      <w:r w:rsidR="00540639">
        <w:t>were</w:t>
      </w:r>
      <w:r w:rsidR="00F60D75" w:rsidRPr="0001293F">
        <w:t xml:space="preserve"> tested by facilitators </w:t>
      </w:r>
      <w:r w:rsidR="00760875">
        <w:t>with</w:t>
      </w:r>
      <w:r w:rsidR="00F60D75" w:rsidRPr="0001293F">
        <w:t xml:space="preserve"> different audiences around the world</w:t>
      </w:r>
      <w:r w:rsidR="003D41AA" w:rsidRPr="0001293F">
        <w:t>.</w:t>
      </w:r>
      <w:r w:rsidR="00862581" w:rsidRPr="0001293F">
        <w:t xml:space="preserve"> All materials are available electronically for use by facilitators</w:t>
      </w:r>
      <w:r w:rsidR="009D6F85">
        <w:t xml:space="preserve"> </w:t>
      </w:r>
      <w:r w:rsidR="009D6F85" w:rsidRPr="009D6F85">
        <w:t>in English</w:t>
      </w:r>
      <w:r w:rsidR="008825A0">
        <w:t>.</w:t>
      </w:r>
      <w:r w:rsidR="009D6F85" w:rsidRPr="000B0AC0">
        <w:t xml:space="preserve"> </w:t>
      </w:r>
      <w:r w:rsidR="008825A0">
        <w:t>S</w:t>
      </w:r>
      <w:r w:rsidR="009D6F85" w:rsidRPr="000B0AC0">
        <w:t xml:space="preserve">ome </w:t>
      </w:r>
      <w:r w:rsidR="008825A0">
        <w:t>units are also</w:t>
      </w:r>
      <w:r w:rsidR="009D6F85" w:rsidRPr="000B0AC0">
        <w:t xml:space="preserve"> in French, Spanish,</w:t>
      </w:r>
      <w:r w:rsidR="008825A0">
        <w:t xml:space="preserve"> Portugeuse,</w:t>
      </w:r>
      <w:r w:rsidR="009D6F85" w:rsidRPr="000B0AC0">
        <w:t xml:space="preserve"> Russian and Arabic.</w:t>
      </w:r>
    </w:p>
    <w:p w14:paraId="56462367" w14:textId="502242E1" w:rsidR="00F60D75" w:rsidRPr="0001293F" w:rsidRDefault="00F60D75" w:rsidP="008B4139">
      <w:pPr>
        <w:pStyle w:val="Texte1"/>
      </w:pPr>
      <w:r w:rsidRPr="0001293F">
        <w:t>Th</w:t>
      </w:r>
      <w:r w:rsidR="00042916">
        <w:t xml:space="preserve">e </w:t>
      </w:r>
      <w:r w:rsidRPr="0001293F">
        <w:t xml:space="preserve">core curricula is far from closed. On the contrary, the strategy foresees a continuous process of development of new topics and of improvement and adaptation of the existing materials in order to reflect the feedback received from facilitators and participants and to adapt them effectively to the specific needs </w:t>
      </w:r>
      <w:r w:rsidR="008825A0">
        <w:t>of</w:t>
      </w:r>
      <w:r w:rsidRPr="0001293F">
        <w:t xml:space="preserve"> each State. This updating process concerns not only content development but also the design and packaging of the training curricula to increase their educational effectiveness, attractiveness and ease of reproduction.</w:t>
      </w:r>
    </w:p>
    <w:p w14:paraId="7AFF2120" w14:textId="6B71E3ED" w:rsidR="0055120D" w:rsidRPr="00787639" w:rsidRDefault="0055120D" w:rsidP="008B4139">
      <w:pPr>
        <w:pStyle w:val="Texte1"/>
      </w:pPr>
      <w:r w:rsidRPr="0001293F">
        <w:lastRenderedPageBreak/>
        <w:t>Training materials are used not only in the context of workshops. They have also been designed as sources of information to accompany the longer-term initiatives such as policy rev</w:t>
      </w:r>
      <w:r w:rsidR="0079365E">
        <w:t>ision or institutional reforms.</w:t>
      </w:r>
    </w:p>
    <w:p w14:paraId="42AA289B" w14:textId="6EB7C576" w:rsidR="00E960CF" w:rsidRPr="00787639" w:rsidRDefault="00E960CF" w:rsidP="00677A68">
      <w:pPr>
        <w:pStyle w:val="Titcoul"/>
        <w:numPr>
          <w:ilvl w:val="0"/>
          <w:numId w:val="0"/>
        </w:numPr>
        <w:tabs>
          <w:tab w:val="clear" w:pos="567"/>
        </w:tabs>
        <w:rPr>
          <w:rFonts w:hint="eastAsia"/>
        </w:rPr>
      </w:pPr>
      <w:bookmarkStart w:id="7" w:name="_Toc241229646"/>
      <w:bookmarkStart w:id="8" w:name="_Toc241229850"/>
      <w:bookmarkStart w:id="9" w:name="_Toc242165543"/>
      <w:r w:rsidRPr="00787639">
        <w:t>1.2</w:t>
      </w:r>
      <w:r w:rsidR="00C93A79" w:rsidRPr="00787639">
        <w:tab/>
      </w:r>
      <w:r w:rsidR="0079365E">
        <w:tab/>
      </w:r>
      <w:r w:rsidRPr="00787639">
        <w:t xml:space="preserve">ABOUT </w:t>
      </w:r>
      <w:r w:rsidR="0055120D" w:rsidRPr="00787639">
        <w:t xml:space="preserve">THE </w:t>
      </w:r>
      <w:bookmarkEnd w:id="7"/>
      <w:bookmarkEnd w:id="8"/>
      <w:bookmarkEnd w:id="9"/>
      <w:r w:rsidR="00C61BCD" w:rsidRPr="00787639">
        <w:t>Participant</w:t>
      </w:r>
      <w:r w:rsidR="005D3070">
        <w:t>’</w:t>
      </w:r>
      <w:r w:rsidR="00C61BCD" w:rsidRPr="00787639">
        <w:t>s text</w:t>
      </w:r>
    </w:p>
    <w:p w14:paraId="68AF7E1B" w14:textId="0C4E2533" w:rsidR="00B425F0" w:rsidRDefault="00E960CF">
      <w:pPr>
        <w:pStyle w:val="Texte1"/>
      </w:pPr>
      <w:r w:rsidRPr="00787639">
        <w:t xml:space="preserve">The </w:t>
      </w:r>
      <w:r w:rsidR="003D41AA" w:rsidRPr="00787639">
        <w:t>Par</w:t>
      </w:r>
      <w:r w:rsidR="001437AA">
        <w:t>ticipant’s </w:t>
      </w:r>
      <w:r w:rsidR="003D41AA" w:rsidRPr="00787639">
        <w:t>text</w:t>
      </w:r>
      <w:r w:rsidR="003B3F5C" w:rsidRPr="00787639">
        <w:t xml:space="preserve"> </w:t>
      </w:r>
      <w:r w:rsidR="00EB1BDE" w:rsidRPr="00787639">
        <w:t>is</w:t>
      </w:r>
      <w:r w:rsidR="003B3F5C" w:rsidRPr="00787639">
        <w:t xml:space="preserve"> </w:t>
      </w:r>
      <w:r w:rsidRPr="00787639">
        <w:t>meant to serve as a reference in training workshops</w:t>
      </w:r>
      <w:r w:rsidR="00AC0AE6">
        <w:t xml:space="preserve"> and </w:t>
      </w:r>
      <w:r w:rsidRPr="00787639">
        <w:t xml:space="preserve">can </w:t>
      </w:r>
      <w:r w:rsidR="00AC0AE6">
        <w:t xml:space="preserve">later </w:t>
      </w:r>
      <w:r w:rsidRPr="00787639">
        <w:t xml:space="preserve">also be used </w:t>
      </w:r>
      <w:r w:rsidR="00AC0AE6">
        <w:t xml:space="preserve">as a reference for participants </w:t>
      </w:r>
      <w:r w:rsidRPr="00787639">
        <w:t xml:space="preserve">to assist </w:t>
      </w:r>
      <w:r w:rsidR="00AC0AE6">
        <w:t xml:space="preserve">them </w:t>
      </w:r>
      <w:r w:rsidRPr="00787639">
        <w:t xml:space="preserve">in the implementation of the Convention. The </w:t>
      </w:r>
      <w:r w:rsidR="001437AA">
        <w:t>Participant’s </w:t>
      </w:r>
      <w:r w:rsidR="003D41AA" w:rsidRPr="00787639">
        <w:t>text</w:t>
      </w:r>
      <w:r w:rsidR="00EB1BDE" w:rsidRPr="00787639">
        <w:t xml:space="preserve"> </w:t>
      </w:r>
      <w:r w:rsidRPr="00787639">
        <w:t>provide</w:t>
      </w:r>
      <w:r w:rsidR="00EB1BDE" w:rsidRPr="00787639">
        <w:t>s</w:t>
      </w:r>
      <w:r w:rsidRPr="00787639">
        <w:t xml:space="preserve"> general information; during the workshops, more detail and background information will be provided.</w:t>
      </w:r>
    </w:p>
    <w:p w14:paraId="3AF378FB" w14:textId="77777777" w:rsidR="00B425F0" w:rsidRPr="00B425F0" w:rsidRDefault="00B425F0" w:rsidP="00B425F0">
      <w:pPr>
        <w:keepNext/>
        <w:keepLines/>
        <w:tabs>
          <w:tab w:val="clear" w:pos="567"/>
        </w:tabs>
        <w:snapToGrid/>
        <w:spacing w:before="360" w:after="120" w:line="300" w:lineRule="exact"/>
        <w:ind w:left="0"/>
        <w:jc w:val="left"/>
        <w:outlineLvl w:val="3"/>
        <w:rPr>
          <w:rFonts w:cs="Times New Roman"/>
          <w:b/>
          <w:bCs/>
          <w:caps/>
          <w:szCs w:val="24"/>
          <w:lang w:val="it-IT" w:eastAsia="en-US"/>
        </w:rPr>
      </w:pPr>
      <w:r w:rsidRPr="00B425F0">
        <w:rPr>
          <w:rFonts w:cs="Times New Roman"/>
          <w:b/>
          <w:bCs/>
          <w:caps/>
          <w:szCs w:val="24"/>
          <w:lang w:val="it-IT" w:eastAsia="en-US"/>
        </w:rPr>
        <w:t>ICons</w:t>
      </w:r>
    </w:p>
    <w:p w14:paraId="2974FADE" w14:textId="77777777" w:rsidR="00B425F0" w:rsidRPr="00B425F0" w:rsidRDefault="00B425F0" w:rsidP="00B425F0">
      <w:pPr>
        <w:spacing w:after="60"/>
        <w:rPr>
          <w:szCs w:val="24"/>
          <w:lang w:val="en-US"/>
        </w:rPr>
      </w:pPr>
      <w:r w:rsidRPr="00B425F0">
        <w:rPr>
          <w:szCs w:val="24"/>
          <w:lang w:val="en-US"/>
        </w:rPr>
        <w:t>Icons are used throughout the capacity-building materials to draw attention to certain aspects of the text.</w:t>
      </w:r>
    </w:p>
    <w:p w14:paraId="07C8EDA5" w14:textId="77777777" w:rsidR="00B425F0" w:rsidRPr="00B425F0" w:rsidRDefault="00B425F0" w:rsidP="00B425F0">
      <w:pPr>
        <w:spacing w:after="60"/>
        <w:rPr>
          <w:szCs w:val="24"/>
          <w:lang w:val="en-US"/>
        </w:rPr>
      </w:pPr>
      <w:r w:rsidRPr="00B425F0">
        <w:rPr>
          <w:i/>
          <w:noProof/>
          <w:szCs w:val="24"/>
          <w:lang w:eastAsia="zh-TW"/>
        </w:rPr>
        <w:drawing>
          <wp:anchor distT="0" distB="0" distL="114300" distR="114300" simplePos="0" relativeHeight="252180992" behindDoc="0" locked="1" layoutInCell="1" allowOverlap="0" wp14:anchorId="5E62F7BA" wp14:editId="4F3AFE11">
            <wp:simplePos x="0" y="0"/>
            <wp:positionH relativeFrom="margin">
              <wp:align>left</wp:align>
            </wp:positionH>
            <wp:positionV relativeFrom="paragraph">
              <wp:posOffset>-64135</wp:posOffset>
            </wp:positionV>
            <wp:extent cx="285750" cy="355600"/>
            <wp:effectExtent l="0" t="0" r="0" b="635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14:sizeRelH relativeFrom="page">
              <wp14:pctWidth>0</wp14:pctWidth>
            </wp14:sizeRelH>
            <wp14:sizeRelV relativeFrom="page">
              <wp14:pctHeight>0</wp14:pctHeight>
            </wp14:sizeRelV>
          </wp:anchor>
        </w:drawing>
      </w:r>
      <w:r w:rsidRPr="00B425F0">
        <w:rPr>
          <w:szCs w:val="24"/>
          <w:lang w:val="en-US"/>
        </w:rPr>
        <w:t xml:space="preserve">The eye icon indicates a reference to another unit or section of the capacity-building materials not contained within the document or a reference to the </w:t>
      </w:r>
      <w:r w:rsidRPr="000E4DDE">
        <w:rPr>
          <w:szCs w:val="24"/>
          <w:lang w:val="en-US"/>
        </w:rPr>
        <w:t>Basic Texts</w:t>
      </w:r>
      <w:r w:rsidRPr="00B425F0">
        <w:rPr>
          <w:szCs w:val="24"/>
          <w:lang w:val="en-US"/>
        </w:rPr>
        <w:t>.</w:t>
      </w:r>
    </w:p>
    <w:p w14:paraId="425181FF" w14:textId="77777777" w:rsidR="00B425F0" w:rsidRPr="00B425F0" w:rsidRDefault="00B425F0" w:rsidP="00B425F0">
      <w:pPr>
        <w:spacing w:after="60"/>
        <w:rPr>
          <w:szCs w:val="24"/>
          <w:lang w:val="en-US"/>
        </w:rPr>
      </w:pPr>
      <w:r w:rsidRPr="00B425F0">
        <w:rPr>
          <w:noProof/>
          <w:lang w:eastAsia="zh-TW"/>
        </w:rPr>
        <w:drawing>
          <wp:anchor distT="0" distB="0" distL="114300" distR="114300" simplePos="0" relativeHeight="252183040" behindDoc="0" locked="1" layoutInCell="1" allowOverlap="0" wp14:anchorId="79B48E94" wp14:editId="2531B708">
            <wp:simplePos x="0" y="0"/>
            <wp:positionH relativeFrom="margin">
              <wp:align>left</wp:align>
            </wp:positionH>
            <wp:positionV relativeFrom="paragraph">
              <wp:posOffset>-3810</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B425F0">
        <w:rPr>
          <w:szCs w:val="24"/>
          <w:lang w:val="en-US"/>
        </w:rPr>
        <w:t>The paper icon indicates a reference that is not part of the Convention’s capacity-building materials. This may include websites, articles and other external resources.</w:t>
      </w:r>
    </w:p>
    <w:p w14:paraId="4BF4F02C" w14:textId="77777777" w:rsidR="00B425F0" w:rsidRPr="00B425F0" w:rsidRDefault="00B425F0" w:rsidP="00B425F0">
      <w:pPr>
        <w:spacing w:after="60"/>
        <w:rPr>
          <w:szCs w:val="24"/>
          <w:lang w:val="en-US"/>
        </w:rPr>
      </w:pPr>
      <w:r w:rsidRPr="00B425F0">
        <w:rPr>
          <w:noProof/>
          <w:szCs w:val="24"/>
          <w:lang w:eastAsia="zh-TW"/>
        </w:rPr>
        <w:drawing>
          <wp:anchor distT="0" distB="0" distL="114300" distR="114300" simplePos="0" relativeHeight="252179968" behindDoc="0" locked="1" layoutInCell="1" allowOverlap="0" wp14:anchorId="7EFE5EDE" wp14:editId="7F47741C">
            <wp:simplePos x="0" y="0"/>
            <wp:positionH relativeFrom="margin">
              <wp:align>left</wp:align>
            </wp:positionH>
            <wp:positionV relativeFrom="paragraph">
              <wp:posOffset>61595</wp:posOffset>
            </wp:positionV>
            <wp:extent cx="271145" cy="32575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14:sizeRelH relativeFrom="page">
              <wp14:pctWidth>0</wp14:pctWidth>
            </wp14:sizeRelH>
            <wp14:sizeRelV relativeFrom="page">
              <wp14:pctHeight>0</wp14:pctHeight>
            </wp14:sizeRelV>
          </wp:anchor>
        </w:drawing>
      </w:r>
      <w:r w:rsidRPr="00B425F0">
        <w:rPr>
          <w:szCs w:val="24"/>
          <w:lang w:val="en-US"/>
        </w:rPr>
        <w:t>The exclamation mark icon indicates information that is particularly important to pay attention to and remember.</w:t>
      </w:r>
    </w:p>
    <w:p w14:paraId="20EB339E" w14:textId="083853B6" w:rsidR="00E960CF" w:rsidRPr="00502D2E" w:rsidRDefault="00B425F0" w:rsidP="00502D2E">
      <w:pPr>
        <w:spacing w:after="60"/>
        <w:rPr>
          <w:color w:val="FF0000"/>
          <w:szCs w:val="24"/>
          <w:lang w:val="en-US"/>
        </w:rPr>
      </w:pPr>
      <w:r w:rsidRPr="00B425F0">
        <w:rPr>
          <w:noProof/>
          <w:kern w:val="28"/>
          <w:szCs w:val="24"/>
          <w:lang w:eastAsia="zh-TW"/>
        </w:rPr>
        <w:drawing>
          <wp:anchor distT="0" distB="0" distL="114300" distR="114300" simplePos="0" relativeHeight="252182016" behindDoc="0" locked="0" layoutInCell="1" allowOverlap="1" wp14:anchorId="7A7A32CD" wp14:editId="733E5DF0">
            <wp:simplePos x="0" y="0"/>
            <wp:positionH relativeFrom="margin">
              <wp:align>left</wp:align>
            </wp:positionH>
            <wp:positionV relativeFrom="paragraph">
              <wp:posOffset>13335</wp:posOffset>
            </wp:positionV>
            <wp:extent cx="294715" cy="347662"/>
            <wp:effectExtent l="0" t="0" r="0" b="0"/>
            <wp:wrapNone/>
            <wp:docPr id="7" name="Picture 7"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5F0">
        <w:rPr>
          <w:szCs w:val="24"/>
          <w:lang w:val="en-US"/>
        </w:rPr>
        <w:t>The pencil icon indicates an exercise or activity that is part of the unit. These exercises require adequate attention.</w:t>
      </w:r>
    </w:p>
    <w:p w14:paraId="6A69F1DA" w14:textId="38F05FE8" w:rsidR="00E960CF" w:rsidRPr="00A91355" w:rsidRDefault="00A91355" w:rsidP="00677A68">
      <w:pPr>
        <w:pStyle w:val="Titcoul"/>
        <w:numPr>
          <w:ilvl w:val="0"/>
          <w:numId w:val="0"/>
        </w:numPr>
        <w:tabs>
          <w:tab w:val="clear" w:pos="567"/>
        </w:tabs>
        <w:ind w:left="851" w:hanging="851"/>
        <w:rPr>
          <w:rFonts w:hint="eastAsia"/>
        </w:rPr>
      </w:pPr>
      <w:bookmarkStart w:id="10" w:name="_Toc241229647"/>
      <w:bookmarkStart w:id="11" w:name="_Toc241229851"/>
      <w:bookmarkStart w:id="12" w:name="_Toc242165544"/>
      <w:r>
        <w:t>1</w:t>
      </w:r>
      <w:r w:rsidR="00E960CF" w:rsidRPr="00A91355">
        <w:t>.3</w:t>
      </w:r>
      <w:r w:rsidR="00677A68">
        <w:tab/>
      </w:r>
      <w:r w:rsidR="00E960CF" w:rsidRPr="00A91355">
        <w:t>CONTENT</w:t>
      </w:r>
      <w:bookmarkEnd w:id="10"/>
      <w:bookmarkEnd w:id="11"/>
      <w:bookmarkEnd w:id="12"/>
    </w:p>
    <w:p w14:paraId="42644717" w14:textId="7B60BB14" w:rsidR="00651D20" w:rsidRPr="003A56ED" w:rsidRDefault="00E960CF">
      <w:pPr>
        <w:pStyle w:val="Texte1"/>
      </w:pPr>
      <w:r w:rsidRPr="003A56ED">
        <w:t>Th</w:t>
      </w:r>
      <w:r w:rsidR="00EB1BDE" w:rsidRPr="003A56ED">
        <w:t xml:space="preserve">e </w:t>
      </w:r>
      <w:r w:rsidR="001437AA">
        <w:t>Participant’s </w:t>
      </w:r>
      <w:r w:rsidR="003D41AA" w:rsidRPr="00940083">
        <w:t>text</w:t>
      </w:r>
      <w:r w:rsidR="00A31F35" w:rsidRPr="00940083">
        <w:t xml:space="preserve"> </w:t>
      </w:r>
      <w:r w:rsidR="00B078A4" w:rsidRPr="006E7CEB">
        <w:t xml:space="preserve">of the five-day workshop </w:t>
      </w:r>
      <w:r w:rsidRPr="002349E9">
        <w:t>co</w:t>
      </w:r>
      <w:r w:rsidR="00EB1BDE" w:rsidRPr="002349E9">
        <w:t>ver</w:t>
      </w:r>
      <w:r w:rsidR="0081398D" w:rsidRPr="002349E9">
        <w:t>s</w:t>
      </w:r>
      <w:r w:rsidRPr="002349E9">
        <w:t xml:space="preserve"> </w:t>
      </w:r>
      <w:r w:rsidR="00ED5E01" w:rsidRPr="002349E9">
        <w:t>thirteen</w:t>
      </w:r>
      <w:r w:rsidR="00BD485A" w:rsidRPr="002349E9">
        <w:t xml:space="preserve"> </w:t>
      </w:r>
      <w:r w:rsidR="00A31F35" w:rsidRPr="002349E9">
        <w:t>units</w:t>
      </w:r>
      <w:r w:rsidR="00651D20" w:rsidRPr="002349E9">
        <w:t>. Most of the</w:t>
      </w:r>
      <w:r w:rsidR="00B078A4" w:rsidRPr="006E7CEB">
        <w:t>m</w:t>
      </w:r>
      <w:r w:rsidR="00B078A4">
        <w:t xml:space="preserve"> </w:t>
      </w:r>
      <w:r w:rsidR="00651D20" w:rsidRPr="003A56ED">
        <w:t>are quite practical; they contain suggestions for different stakeholders that may be involved in the implementation of the Convention and that may or should be involved in the safeguarding of ICH. The place of the ‘communities concerned’, that is, the people who create, enact and transmit ICH, is a recurring theme in the training materials, reflecting the focus of the Convention and the ODs.</w:t>
      </w:r>
    </w:p>
    <w:p w14:paraId="30BB6E4D" w14:textId="10B0F94D" w:rsidR="00651D20" w:rsidRPr="005F0B1D" w:rsidRDefault="00651D20">
      <w:pPr>
        <w:pStyle w:val="Texte1"/>
      </w:pPr>
      <w:r w:rsidRPr="005F0B1D">
        <w:t xml:space="preserve">The first </w:t>
      </w:r>
      <w:r w:rsidR="0056646B" w:rsidRPr="005F0B1D">
        <w:t>three</w:t>
      </w:r>
      <w:r w:rsidRPr="005F0B1D">
        <w:t xml:space="preserve"> units on implementing the Convention provide a broad overview of the Convention and its ODs, what obligations States take on when ratifying the Convention and possible ways of implementing the Convention, in particular, safeguarding the ICH present in the various States Parties to the Convention</w:t>
      </w:r>
    </w:p>
    <w:p w14:paraId="522DCF82" w14:textId="61197A58" w:rsidR="00CE4441" w:rsidRPr="00CE4441" w:rsidRDefault="00CE4441" w:rsidP="00E217C6">
      <w:pPr>
        <w:tabs>
          <w:tab w:val="num" w:pos="851"/>
        </w:tabs>
        <w:spacing w:after="60"/>
        <w:rPr>
          <w:szCs w:val="24"/>
          <w:lang w:val="en-GB"/>
        </w:rPr>
      </w:pPr>
      <w:r w:rsidRPr="00CE4441">
        <w:rPr>
          <w:b/>
          <w:szCs w:val="24"/>
          <w:lang w:val="en-GB"/>
        </w:rPr>
        <w:t>Unit</w:t>
      </w:r>
      <w:r w:rsidR="00F17154" w:rsidRPr="00CE4441">
        <w:rPr>
          <w:b/>
          <w:szCs w:val="24"/>
          <w:lang w:val="en-GB"/>
        </w:rPr>
        <w:t> </w:t>
      </w:r>
      <w:r w:rsidRPr="00CE4441">
        <w:rPr>
          <w:b/>
          <w:szCs w:val="24"/>
          <w:lang w:val="en-GB"/>
        </w:rPr>
        <w:t xml:space="preserve">1 </w:t>
      </w:r>
      <w:r w:rsidRPr="00CE4441">
        <w:rPr>
          <w:szCs w:val="24"/>
          <w:lang w:val="en-GB"/>
        </w:rPr>
        <w:t>introduces the participants to each other, situates the workshop content in their context and provides an overview of the workshop</w:t>
      </w:r>
      <w:r w:rsidR="00FC3B50">
        <w:rPr>
          <w:szCs w:val="24"/>
          <w:lang w:val="en-GB"/>
        </w:rPr>
        <w:t>.</w:t>
      </w:r>
    </w:p>
    <w:p w14:paraId="427E7E40" w14:textId="664B805D" w:rsidR="00CE4441" w:rsidRPr="00CE4441" w:rsidRDefault="00CE4441" w:rsidP="00CE4441">
      <w:pPr>
        <w:tabs>
          <w:tab w:val="num" w:pos="851"/>
        </w:tabs>
        <w:spacing w:after="60"/>
        <w:ind w:left="1135" w:hanging="284"/>
        <w:rPr>
          <w:szCs w:val="24"/>
          <w:lang w:val="en-GB"/>
        </w:rPr>
      </w:pPr>
      <w:r w:rsidRPr="00CE4441">
        <w:rPr>
          <w:b/>
          <w:szCs w:val="24"/>
          <w:lang w:val="en-GB"/>
        </w:rPr>
        <w:t>Unit</w:t>
      </w:r>
      <w:r w:rsidR="00F17154" w:rsidRPr="00CE4441">
        <w:rPr>
          <w:b/>
          <w:szCs w:val="24"/>
          <w:lang w:val="en-GB"/>
        </w:rPr>
        <w:t> </w:t>
      </w:r>
      <w:r w:rsidRPr="00CE4441">
        <w:rPr>
          <w:b/>
          <w:szCs w:val="24"/>
          <w:lang w:val="en-GB"/>
        </w:rPr>
        <w:t>2</w:t>
      </w:r>
      <w:r w:rsidRPr="00CE4441">
        <w:rPr>
          <w:szCs w:val="24"/>
          <w:lang w:val="en-GB"/>
        </w:rPr>
        <w:t xml:space="preserve"> introduces the Intangible Heritage Convention</w:t>
      </w:r>
      <w:r w:rsidR="00FC3B50">
        <w:rPr>
          <w:szCs w:val="24"/>
          <w:lang w:val="en-GB"/>
        </w:rPr>
        <w:t>.</w:t>
      </w:r>
    </w:p>
    <w:p w14:paraId="09BE36CB" w14:textId="51ADD544" w:rsidR="00CE4441" w:rsidRDefault="00CE4441" w:rsidP="00CE4441">
      <w:pPr>
        <w:tabs>
          <w:tab w:val="num" w:pos="851"/>
        </w:tabs>
        <w:spacing w:after="60"/>
        <w:ind w:left="1135" w:hanging="284"/>
        <w:rPr>
          <w:szCs w:val="24"/>
          <w:lang w:val="en-GB"/>
        </w:rPr>
      </w:pPr>
      <w:r w:rsidRPr="00CE4441">
        <w:rPr>
          <w:b/>
          <w:szCs w:val="24"/>
          <w:lang w:val="en-GB"/>
        </w:rPr>
        <w:t>Unit</w:t>
      </w:r>
      <w:r w:rsidR="00F17154" w:rsidRPr="00CE4441">
        <w:rPr>
          <w:b/>
          <w:szCs w:val="24"/>
          <w:lang w:val="en-GB"/>
        </w:rPr>
        <w:t> </w:t>
      </w:r>
      <w:r w:rsidRPr="00CE4441">
        <w:rPr>
          <w:b/>
          <w:szCs w:val="24"/>
          <w:lang w:val="en-GB"/>
        </w:rPr>
        <w:t>3</w:t>
      </w:r>
      <w:r w:rsidRPr="00CE4441">
        <w:rPr>
          <w:szCs w:val="24"/>
          <w:lang w:val="en-GB"/>
        </w:rPr>
        <w:t xml:space="preserve"> discusses the key concepts of the Convention.</w:t>
      </w:r>
    </w:p>
    <w:p w14:paraId="17A86845" w14:textId="3DC5B05B" w:rsidR="008825A0" w:rsidRPr="008825A0" w:rsidRDefault="008825A0" w:rsidP="008825A0">
      <w:pPr>
        <w:pStyle w:val="Texte1"/>
      </w:pPr>
      <w:r w:rsidRPr="00376AF3">
        <w:t xml:space="preserve">Most of the subsequent units illustrate one or other action that is required or recommended for the effective implementation of the Convention and for the safeguarding </w:t>
      </w:r>
      <w:r w:rsidRPr="00376AF3">
        <w:lastRenderedPageBreak/>
        <w:t>of ICH in the spirit of the Convention.</w:t>
      </w:r>
      <w:r w:rsidR="00D1648A" w:rsidRPr="002C4999">
        <w:rPr>
          <w:color w:val="000000" w:themeColor="text1"/>
        </w:rPr>
        <w:t xml:space="preserve"> The topics of ethics and gender have been integrated throughout the 15 units.</w:t>
      </w:r>
    </w:p>
    <w:p w14:paraId="39F2CDAC" w14:textId="3D4CFF8C" w:rsidR="00CE4441" w:rsidRPr="00CE4441" w:rsidRDefault="00CE4441" w:rsidP="00F72F1C">
      <w:pPr>
        <w:spacing w:after="60"/>
        <w:rPr>
          <w:szCs w:val="24"/>
          <w:lang w:val="en-US"/>
        </w:rPr>
      </w:pPr>
      <w:r w:rsidRPr="00CE4441">
        <w:rPr>
          <w:b/>
          <w:szCs w:val="24"/>
          <w:lang w:val="en-GB"/>
        </w:rPr>
        <w:t>Unit 4</w:t>
      </w:r>
      <w:r w:rsidRPr="00CE4441">
        <w:rPr>
          <w:szCs w:val="24"/>
          <w:lang w:val="en-GB"/>
        </w:rPr>
        <w:t xml:space="preserve"> p</w:t>
      </w:r>
      <w:r w:rsidRPr="00CE4441">
        <w:rPr>
          <w:rFonts w:eastAsia="Calibri"/>
          <w:szCs w:val="22"/>
          <w:lang w:val="en-GB" w:eastAsia="en-US"/>
        </w:rPr>
        <w:t>rovides an overview of what States Parties, bearers, communities, NGOs, other organizations, institutions and experts can do in the safeguarding of the ICH present in the territory of the State.</w:t>
      </w:r>
    </w:p>
    <w:p w14:paraId="1A08EF18" w14:textId="014B9973" w:rsidR="00CE4441" w:rsidRPr="00CE4441" w:rsidRDefault="00CE4441" w:rsidP="00CE4441">
      <w:pPr>
        <w:tabs>
          <w:tab w:val="num" w:pos="851"/>
        </w:tabs>
        <w:spacing w:after="60"/>
        <w:ind w:left="1135" w:hanging="284"/>
        <w:rPr>
          <w:szCs w:val="24"/>
          <w:lang w:val="en-US"/>
        </w:rPr>
      </w:pPr>
      <w:r w:rsidRPr="00CE4441">
        <w:rPr>
          <w:b/>
          <w:szCs w:val="24"/>
          <w:lang w:val="en-US"/>
        </w:rPr>
        <w:t>Unit</w:t>
      </w:r>
      <w:r w:rsidR="00F17154" w:rsidRPr="00CE4441">
        <w:rPr>
          <w:b/>
          <w:szCs w:val="24"/>
          <w:lang w:val="en-GB"/>
        </w:rPr>
        <w:t> </w:t>
      </w:r>
      <w:r w:rsidRPr="00CE4441">
        <w:rPr>
          <w:b/>
          <w:szCs w:val="24"/>
          <w:lang w:val="en-US"/>
        </w:rPr>
        <w:t>5</w:t>
      </w:r>
      <w:r w:rsidRPr="00CE4441">
        <w:rPr>
          <w:szCs w:val="24"/>
          <w:lang w:val="en-US"/>
        </w:rPr>
        <w:t xml:space="preserve"> discusses why and how to raise awareness about ICH</w:t>
      </w:r>
      <w:r w:rsidR="00FC3B50">
        <w:rPr>
          <w:szCs w:val="24"/>
          <w:lang w:val="en-US"/>
        </w:rPr>
        <w:t>.</w:t>
      </w:r>
    </w:p>
    <w:p w14:paraId="63C9349F" w14:textId="2B1C4230" w:rsidR="00CE4441" w:rsidRPr="00CE4441" w:rsidRDefault="00CE4441" w:rsidP="00CE4441">
      <w:pPr>
        <w:tabs>
          <w:tab w:val="num" w:pos="851"/>
        </w:tabs>
        <w:spacing w:after="60"/>
        <w:ind w:left="1135" w:hanging="284"/>
        <w:rPr>
          <w:szCs w:val="24"/>
          <w:lang w:val="en-US"/>
        </w:rPr>
      </w:pPr>
      <w:r w:rsidRPr="00CE4441">
        <w:rPr>
          <w:b/>
          <w:szCs w:val="24"/>
          <w:lang w:val="en-US"/>
        </w:rPr>
        <w:t>Unit 6</w:t>
      </w:r>
      <w:r w:rsidRPr="00CE4441">
        <w:rPr>
          <w:szCs w:val="24"/>
          <w:lang w:val="en-US"/>
        </w:rPr>
        <w:t xml:space="preserve"> deals with the issue of identification and inventorying of ICH</w:t>
      </w:r>
      <w:r w:rsidR="00FC3B50">
        <w:rPr>
          <w:szCs w:val="24"/>
          <w:lang w:val="en-US"/>
        </w:rPr>
        <w:t>.</w:t>
      </w:r>
    </w:p>
    <w:p w14:paraId="38F4ADD9" w14:textId="34A1E6B5" w:rsidR="00CE4441" w:rsidRPr="00CE4441" w:rsidRDefault="00CE4441" w:rsidP="00E32E89">
      <w:pPr>
        <w:tabs>
          <w:tab w:val="num" w:pos="851"/>
        </w:tabs>
        <w:spacing w:after="60"/>
        <w:rPr>
          <w:szCs w:val="24"/>
          <w:lang w:val="en-US"/>
        </w:rPr>
      </w:pPr>
      <w:r w:rsidRPr="00CE4441">
        <w:rPr>
          <w:b/>
          <w:szCs w:val="24"/>
          <w:lang w:val="en-US"/>
        </w:rPr>
        <w:t>Unit 7</w:t>
      </w:r>
      <w:r w:rsidRPr="00CE4441">
        <w:rPr>
          <w:szCs w:val="24"/>
          <w:lang w:val="en-US"/>
        </w:rPr>
        <w:t xml:space="preserve"> discusses why and how to involve the communities concerned in any action concerning their ICH</w:t>
      </w:r>
      <w:r w:rsidR="00FC3B50">
        <w:rPr>
          <w:szCs w:val="24"/>
          <w:lang w:val="en-US"/>
        </w:rPr>
        <w:t>.</w:t>
      </w:r>
    </w:p>
    <w:p w14:paraId="1DBE41DD" w14:textId="58742774" w:rsidR="00CE4441" w:rsidRPr="00CE4441" w:rsidRDefault="00CE4441" w:rsidP="00CE4441">
      <w:pPr>
        <w:tabs>
          <w:tab w:val="num" w:pos="851"/>
        </w:tabs>
        <w:spacing w:after="60"/>
        <w:ind w:left="1135" w:hanging="284"/>
        <w:rPr>
          <w:szCs w:val="24"/>
          <w:lang w:val="en-US"/>
        </w:rPr>
      </w:pPr>
      <w:r w:rsidRPr="00CE4441">
        <w:rPr>
          <w:b/>
          <w:szCs w:val="24"/>
          <w:lang w:val="en-US"/>
        </w:rPr>
        <w:t>Unit 8</w:t>
      </w:r>
      <w:r w:rsidRPr="00CE4441">
        <w:rPr>
          <w:szCs w:val="24"/>
          <w:lang w:val="en-US"/>
        </w:rPr>
        <w:t xml:space="preserve"> discusses the relationship between ICH and sustainable development</w:t>
      </w:r>
      <w:r w:rsidR="00FC3B50">
        <w:rPr>
          <w:szCs w:val="24"/>
          <w:lang w:val="en-US"/>
        </w:rPr>
        <w:t>.</w:t>
      </w:r>
    </w:p>
    <w:p w14:paraId="26F18192" w14:textId="41F879CF" w:rsidR="00CE4441" w:rsidRPr="00CE4441" w:rsidRDefault="00CE4441" w:rsidP="00CE4441">
      <w:pPr>
        <w:tabs>
          <w:tab w:val="num" w:pos="851"/>
        </w:tabs>
        <w:spacing w:after="60"/>
        <w:ind w:left="1135" w:hanging="284"/>
        <w:rPr>
          <w:szCs w:val="24"/>
          <w:lang w:val="en-US"/>
        </w:rPr>
      </w:pPr>
      <w:r w:rsidRPr="00CE4441">
        <w:rPr>
          <w:b/>
          <w:szCs w:val="24"/>
          <w:lang w:val="en-US"/>
        </w:rPr>
        <w:t>Unit 9</w:t>
      </w:r>
      <w:r w:rsidRPr="00CE4441">
        <w:rPr>
          <w:szCs w:val="24"/>
          <w:lang w:val="en-US"/>
        </w:rPr>
        <w:t xml:space="preserve"> discusses safeguarding</w:t>
      </w:r>
      <w:r w:rsidR="00FC3B50">
        <w:rPr>
          <w:szCs w:val="24"/>
          <w:lang w:val="en-US"/>
        </w:rPr>
        <w:t>.</w:t>
      </w:r>
    </w:p>
    <w:p w14:paraId="1A04800E" w14:textId="17BBC582" w:rsidR="00CE4441" w:rsidRPr="00CE4441" w:rsidRDefault="00CE4441" w:rsidP="00E32E89">
      <w:pPr>
        <w:tabs>
          <w:tab w:val="num" w:pos="851"/>
        </w:tabs>
        <w:spacing w:after="60"/>
        <w:rPr>
          <w:szCs w:val="24"/>
          <w:lang w:val="en-US"/>
        </w:rPr>
      </w:pPr>
      <w:r w:rsidRPr="00CE4441">
        <w:rPr>
          <w:b/>
          <w:szCs w:val="24"/>
          <w:lang w:val="en-US"/>
        </w:rPr>
        <w:t>Unit 10</w:t>
      </w:r>
      <w:r w:rsidRPr="00CE4441">
        <w:rPr>
          <w:szCs w:val="24"/>
          <w:lang w:val="en-US"/>
        </w:rPr>
        <w:t xml:space="preserve"> presents and discusses the recommendations made in the Convention and the ODs concerning the development of ICH policies and institutions</w:t>
      </w:r>
      <w:r w:rsidR="00FC3B50">
        <w:rPr>
          <w:szCs w:val="24"/>
          <w:lang w:val="en-US"/>
        </w:rPr>
        <w:t>.</w:t>
      </w:r>
    </w:p>
    <w:p w14:paraId="39B14D89" w14:textId="53668E66" w:rsidR="00CE4441" w:rsidRPr="00CE4441" w:rsidRDefault="00CE4441" w:rsidP="00CE4441">
      <w:pPr>
        <w:tabs>
          <w:tab w:val="num" w:pos="851"/>
        </w:tabs>
        <w:spacing w:after="60"/>
        <w:ind w:left="1135" w:hanging="284"/>
        <w:rPr>
          <w:szCs w:val="24"/>
          <w:lang w:val="en-US"/>
        </w:rPr>
      </w:pPr>
      <w:r w:rsidRPr="00CE4441">
        <w:rPr>
          <w:b/>
          <w:szCs w:val="24"/>
          <w:lang w:val="en-US"/>
        </w:rPr>
        <w:t>Unit 11</w:t>
      </w:r>
      <w:r w:rsidRPr="00CE4441">
        <w:rPr>
          <w:szCs w:val="24"/>
          <w:lang w:val="en-US"/>
        </w:rPr>
        <w:t xml:space="preserve"> deals with an overview of nominations</w:t>
      </w:r>
      <w:r w:rsidR="00FC3B50">
        <w:rPr>
          <w:szCs w:val="24"/>
          <w:lang w:val="en-US"/>
        </w:rPr>
        <w:t>.</w:t>
      </w:r>
    </w:p>
    <w:p w14:paraId="61F8604D" w14:textId="77777777" w:rsidR="00CE4441" w:rsidRPr="00CE4441" w:rsidRDefault="00CE4441" w:rsidP="00CE4441">
      <w:pPr>
        <w:tabs>
          <w:tab w:val="num" w:pos="851"/>
        </w:tabs>
        <w:spacing w:after="60"/>
        <w:ind w:left="1135" w:hanging="284"/>
        <w:rPr>
          <w:szCs w:val="24"/>
          <w:lang w:val="en-US"/>
        </w:rPr>
      </w:pPr>
      <w:r w:rsidRPr="00CE4441">
        <w:rPr>
          <w:b/>
          <w:szCs w:val="24"/>
          <w:lang w:val="en-US"/>
        </w:rPr>
        <w:t>Unit 12</w:t>
      </w:r>
      <w:r w:rsidRPr="00CE4441">
        <w:rPr>
          <w:szCs w:val="24"/>
          <w:lang w:val="en-US"/>
        </w:rPr>
        <w:t xml:space="preserve"> deals with international cooperation and assistance.</w:t>
      </w:r>
    </w:p>
    <w:p w14:paraId="157A749A" w14:textId="0AB26F29" w:rsidR="00CE4441" w:rsidRDefault="00CE4441">
      <w:pPr>
        <w:pStyle w:val="Texte1"/>
      </w:pPr>
      <w:r w:rsidRPr="00C16EED">
        <w:rPr>
          <w:b/>
          <w:lang w:val="en-US"/>
        </w:rPr>
        <w:t>Unit</w:t>
      </w:r>
      <w:r w:rsidR="00F17154" w:rsidRPr="00CE4441">
        <w:rPr>
          <w:b/>
          <w:szCs w:val="24"/>
          <w:lang w:val="en-US"/>
        </w:rPr>
        <w:t> </w:t>
      </w:r>
      <w:r w:rsidRPr="00C16EED">
        <w:rPr>
          <w:b/>
          <w:lang w:val="en-US"/>
        </w:rPr>
        <w:t>13</w:t>
      </w:r>
      <w:r>
        <w:rPr>
          <w:lang w:val="en-US"/>
        </w:rPr>
        <w:t xml:space="preserve"> </w:t>
      </w:r>
      <w:r w:rsidRPr="00917517">
        <w:rPr>
          <w:lang w:val="en-US"/>
        </w:rPr>
        <w:t>compares the Intangible Heritage Convention and the World Heritage Convention. Th</w:t>
      </w:r>
      <w:r>
        <w:rPr>
          <w:lang w:val="en-US"/>
        </w:rPr>
        <w:t>is</w:t>
      </w:r>
      <w:r w:rsidRPr="00917517">
        <w:rPr>
          <w:lang w:val="en-US"/>
        </w:rPr>
        <w:t xml:space="preserve"> </w:t>
      </w:r>
      <w:r>
        <w:rPr>
          <w:lang w:val="en-US"/>
        </w:rPr>
        <w:t>unit</w:t>
      </w:r>
      <w:r w:rsidRPr="00917517">
        <w:rPr>
          <w:lang w:val="en-US"/>
        </w:rPr>
        <w:t xml:space="preserve"> may provide useful background reading for facilitators and for those participants with training or employment </w:t>
      </w:r>
      <w:r>
        <w:rPr>
          <w:lang w:val="en-US"/>
        </w:rPr>
        <w:t xml:space="preserve">in the area of </w:t>
      </w:r>
      <w:r w:rsidRPr="00917517">
        <w:rPr>
          <w:lang w:val="en-US"/>
        </w:rPr>
        <w:t>tangible heritage</w:t>
      </w:r>
      <w:r w:rsidRPr="00753B5E">
        <w:rPr>
          <w:lang w:val="en-US"/>
        </w:rPr>
        <w:t xml:space="preserve"> </w:t>
      </w:r>
      <w:r w:rsidRPr="00917517">
        <w:rPr>
          <w:lang w:val="en-US"/>
        </w:rPr>
        <w:t>management</w:t>
      </w:r>
      <w:r>
        <w:rPr>
          <w:lang w:val="en-US"/>
        </w:rPr>
        <w:t>.</w:t>
      </w:r>
    </w:p>
    <w:p w14:paraId="7A2B2329" w14:textId="69BCC639" w:rsidR="00F22FFD" w:rsidRDefault="005B1ED9">
      <w:pPr>
        <w:pStyle w:val="Texte1"/>
      </w:pPr>
      <w:r w:rsidRPr="006359A9">
        <w:rPr>
          <w:b/>
        </w:rPr>
        <w:t>Units</w:t>
      </w:r>
      <w:r w:rsidR="003E55C6">
        <w:rPr>
          <w:b/>
        </w:rPr>
        <w:t> </w:t>
      </w:r>
      <w:r w:rsidRPr="006359A9">
        <w:rPr>
          <w:b/>
        </w:rPr>
        <w:t>14</w:t>
      </w:r>
      <w:r>
        <w:t xml:space="preserve"> and </w:t>
      </w:r>
      <w:r w:rsidRPr="006359A9">
        <w:rPr>
          <w:b/>
        </w:rPr>
        <w:t>15</w:t>
      </w:r>
      <w:r>
        <w:t xml:space="preserve"> cover conclusions and evaluation of the workshop and do not contain a Participant’s</w:t>
      </w:r>
      <w:r w:rsidR="00E32E89">
        <w:t> text.</w:t>
      </w:r>
    </w:p>
    <w:p w14:paraId="63F0D8B9" w14:textId="1A44C1B4" w:rsidR="00AE7A78" w:rsidRPr="00273802" w:rsidRDefault="00AE7A78" w:rsidP="00677A68">
      <w:pPr>
        <w:pStyle w:val="Titcoul"/>
        <w:widowControl/>
        <w:numPr>
          <w:ilvl w:val="0"/>
          <w:numId w:val="0"/>
        </w:numPr>
        <w:tabs>
          <w:tab w:val="clear" w:pos="567"/>
        </w:tabs>
        <w:rPr>
          <w:rFonts w:hint="eastAsia"/>
          <w:lang w:val="en-GB"/>
        </w:rPr>
      </w:pPr>
      <w:bookmarkStart w:id="13" w:name="_Toc241229648"/>
      <w:bookmarkStart w:id="14" w:name="_Toc241229852"/>
      <w:bookmarkStart w:id="15" w:name="_Toc242165545"/>
      <w:r w:rsidRPr="00273802">
        <w:rPr>
          <w:lang w:val="en-GB"/>
        </w:rPr>
        <w:t>1.4</w:t>
      </w:r>
      <w:r w:rsidR="00677A68">
        <w:rPr>
          <w:lang w:val="en-GB"/>
        </w:rPr>
        <w:tab/>
      </w:r>
      <w:r w:rsidRPr="00273802">
        <w:rPr>
          <w:lang w:val="en-GB"/>
        </w:rPr>
        <w:t xml:space="preserve">INTANGIBLE </w:t>
      </w:r>
      <w:r w:rsidR="006B4812" w:rsidRPr="00273802">
        <w:rPr>
          <w:lang w:val="en-GB"/>
        </w:rPr>
        <w:t xml:space="preserve">CULTURAL </w:t>
      </w:r>
      <w:r w:rsidRPr="00273802">
        <w:rPr>
          <w:lang w:val="en-GB"/>
        </w:rPr>
        <w:t>HERITAGE</w:t>
      </w:r>
      <w:bookmarkEnd w:id="13"/>
      <w:bookmarkEnd w:id="14"/>
      <w:bookmarkEnd w:id="15"/>
    </w:p>
    <w:p w14:paraId="29B722BA" w14:textId="7A5F2DFD" w:rsidR="00AE7A78" w:rsidRPr="00787639" w:rsidRDefault="00AE7A78" w:rsidP="008B4139">
      <w:pPr>
        <w:pStyle w:val="Texte1"/>
        <w:keepNext/>
      </w:pPr>
      <w:r w:rsidRPr="00787639">
        <w:t>The</w:t>
      </w:r>
      <w:r w:rsidRPr="00D44CAC">
        <w:t xml:space="preserve"> Convention provides only a few definitions, most of them in </w:t>
      </w:r>
      <w:r w:rsidR="00DD01F3" w:rsidRPr="00D90418">
        <w:t>Article </w:t>
      </w:r>
      <w:r w:rsidRPr="00787639">
        <w:t xml:space="preserve">2. Both ‘intangible cultural heritage’ and ‘safeguarding’ are defined there. As these are two key concepts of the Convention, they will be introduced briefly here and presented more fully in </w:t>
      </w:r>
      <w:r w:rsidR="001437AA">
        <w:t>Participant’s </w:t>
      </w:r>
      <w:r w:rsidR="00C61BCD" w:rsidRPr="00787639">
        <w:t>text</w:t>
      </w:r>
      <w:r w:rsidR="00FC7761">
        <w:t xml:space="preserve"> </w:t>
      </w:r>
      <w:r w:rsidR="00A81421" w:rsidRPr="00AD244C">
        <w:rPr>
          <w:noProof/>
          <w:lang w:val="fr-FR" w:eastAsia="zh-TW"/>
        </w:rPr>
        <w:drawing>
          <wp:anchor distT="0" distB="0" distL="114300" distR="114300" simplePos="0" relativeHeight="252117504" behindDoc="0" locked="1" layoutInCell="1" allowOverlap="0" wp14:anchorId="1F13B276" wp14:editId="52B4D53B">
            <wp:simplePos x="0" y="0"/>
            <wp:positionH relativeFrom="margin">
              <wp:align>left</wp:align>
            </wp:positionH>
            <wp:positionV relativeFrom="paragraph">
              <wp:posOffset>429895</wp:posOffset>
            </wp:positionV>
            <wp:extent cx="283210" cy="358775"/>
            <wp:effectExtent l="0" t="0" r="2540" b="3175"/>
            <wp:wrapThrough wrapText="right">
              <wp:wrapPolygon edited="0">
                <wp:start x="0" y="0"/>
                <wp:lineTo x="0" y="20644"/>
                <wp:lineTo x="20341" y="20644"/>
                <wp:lineTo x="20341" y="0"/>
                <wp:lineTo x="0" y="0"/>
              </wp:wrapPolygon>
            </wp:wrapThrough>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02A62" w:rsidRPr="00787639">
        <w:t>Unit</w:t>
      </w:r>
      <w:r w:rsidR="00812A5F" w:rsidRPr="00D44CAC">
        <w:t> </w:t>
      </w:r>
      <w:r w:rsidR="00002A62" w:rsidRPr="00D90418">
        <w:t>3</w:t>
      </w:r>
      <w:r w:rsidRPr="00787639">
        <w:t>.</w:t>
      </w:r>
    </w:p>
    <w:p w14:paraId="71BBF429" w14:textId="77777777" w:rsidR="00AE7A78" w:rsidRPr="00787639" w:rsidRDefault="00DD01F3" w:rsidP="002D5639">
      <w:pPr>
        <w:pStyle w:val="Texte1"/>
      </w:pPr>
      <w:r w:rsidRPr="00E32E89">
        <w:t>Article </w:t>
      </w:r>
      <w:r w:rsidR="00AE7A78" w:rsidRPr="00E32E89">
        <w:t>2.1</w:t>
      </w:r>
      <w:r w:rsidR="00AE7A78" w:rsidRPr="00787639">
        <w:t xml:space="preserve"> of the Convention presents the following broad and inclusive definition of ICH, to be used for the purposes of the Convention:</w:t>
      </w:r>
    </w:p>
    <w:p w14:paraId="5292CABF" w14:textId="77777777" w:rsidR="00AE7A78" w:rsidRPr="00787639" w:rsidRDefault="00AE7A78" w:rsidP="008B4139">
      <w:pPr>
        <w:pStyle w:val="citation"/>
      </w:pPr>
      <w:r w:rsidRPr="00787639">
        <w:t>The ‘intangible cultural heritage’ means the practices, representations, expressions, knowledge, skills – as well as the instruments, objects, artefacts and cultural spaces associated therewith – that 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the Convention, consideration will be given solely to such intangible cultural heritage as is compatible with existing human rights instruments, as well as with the requirements of mutual respect among communities, groups and individuals, and of sustainable development.</w:t>
      </w:r>
    </w:p>
    <w:p w14:paraId="6478D2FB" w14:textId="77777777" w:rsidR="00AE7A78" w:rsidRPr="00787639" w:rsidRDefault="00AE7A78" w:rsidP="00A853D3">
      <w:pPr>
        <w:pStyle w:val="Heading4"/>
        <w:rPr>
          <w:w w:val="106"/>
          <w:lang w:val="en-GB"/>
        </w:rPr>
      </w:pPr>
      <w:r w:rsidRPr="00787639">
        <w:rPr>
          <w:w w:val="106"/>
          <w:lang w:val="en-GB"/>
        </w:rPr>
        <w:lastRenderedPageBreak/>
        <w:t>First sentence of the definition</w:t>
      </w:r>
    </w:p>
    <w:p w14:paraId="0A42DFF9" w14:textId="77777777" w:rsidR="00AE7A78" w:rsidRPr="00787639" w:rsidRDefault="00AE7A78" w:rsidP="002D5639">
      <w:pPr>
        <w:pStyle w:val="Texte1"/>
      </w:pPr>
      <w:r w:rsidRPr="00787639">
        <w:t>The focus in the first sentence is on ‘practices, representations, expressions, knowledge [and] skills’, enacted, developed and transmitted by people –</w:t>
      </w:r>
      <w:r w:rsidR="00F8067A" w:rsidRPr="00787639">
        <w:t> </w:t>
      </w:r>
      <w:r w:rsidRPr="00787639">
        <w:t>these are generally referred to as ‘elements’ of ICH. The associated ‘instruments, objects, artefacts and cultural spaces’ are only part of the definition of ICH in their association with ICH manifestations; by themselves, they are not referred to as ICH elements and they need not have separate tangible heritage value. This first sentence also indicates that the people concerned are the ones who are entitled to recognize what belongs and what does not belong to their cultural heritage.</w:t>
      </w:r>
    </w:p>
    <w:p w14:paraId="4296FF71" w14:textId="77777777" w:rsidR="00A46534" w:rsidRPr="00787639" w:rsidRDefault="00A46534" w:rsidP="00C70B5B">
      <w:pPr>
        <w:pStyle w:val="Heading4"/>
        <w:rPr>
          <w:w w:val="106"/>
          <w:lang w:val="en-GB"/>
        </w:rPr>
      </w:pPr>
      <w:r w:rsidRPr="00787639">
        <w:rPr>
          <w:w w:val="106"/>
          <w:lang w:val="en-GB"/>
        </w:rPr>
        <w:t>Second sentence of the definition</w:t>
      </w:r>
    </w:p>
    <w:p w14:paraId="35D25D6E" w14:textId="77777777" w:rsidR="00A46534" w:rsidRPr="00787639" w:rsidRDefault="00A46534" w:rsidP="002D5639">
      <w:pPr>
        <w:pStyle w:val="Texte1"/>
      </w:pPr>
      <w:r w:rsidRPr="00787639">
        <w:t>The main message in the second sentence of the definition is that ICH is living heritage, transmitted by people within communities, and that it is ever changing. ICH has important functions for the communities, groups and individuals concerned, and for the understanding and promotion of cultural diversity and human creativity.</w:t>
      </w:r>
    </w:p>
    <w:p w14:paraId="62571475" w14:textId="4A25E2F3" w:rsidR="00A46534" w:rsidRPr="00787639" w:rsidRDefault="00A46534" w:rsidP="00C70B5B">
      <w:pPr>
        <w:pStyle w:val="Heading4"/>
        <w:rPr>
          <w:lang w:val="en-GB"/>
        </w:rPr>
      </w:pPr>
      <w:r w:rsidRPr="00787639">
        <w:rPr>
          <w:lang w:val="en-GB"/>
        </w:rPr>
        <w:t>Third sentence of the definition</w:t>
      </w:r>
    </w:p>
    <w:p w14:paraId="41B8C1FE" w14:textId="686E1FA7" w:rsidR="00A46534" w:rsidRPr="00787639" w:rsidRDefault="00A46534" w:rsidP="002D5639">
      <w:pPr>
        <w:pStyle w:val="Texte1"/>
      </w:pPr>
      <w:r w:rsidRPr="00787639">
        <w:t xml:space="preserve">ICH profoundly affects communities and plays a role in relationships between them; it may also affect the environment and vice versa. </w:t>
      </w:r>
      <w:r w:rsidR="00DD01F3" w:rsidRPr="00787639">
        <w:t>Article </w:t>
      </w:r>
      <w:r w:rsidRPr="00787639">
        <w:t>2.1 thus further states that under the Convention, ICH can only be taken into account when it is: (a) compatible with human rights and sustainable development; and (b) promotes ‘mutual respect’ between communities, groups and individuals.</w:t>
      </w:r>
    </w:p>
    <w:p w14:paraId="67F6FFEB" w14:textId="79E32285" w:rsidR="00A46534" w:rsidRPr="00787639" w:rsidRDefault="00A46534" w:rsidP="002D5639">
      <w:pPr>
        <w:pStyle w:val="Texte1"/>
      </w:pPr>
      <w:r w:rsidRPr="00787639">
        <w:t xml:space="preserve">For the sake of illustration, the Convention provides a non-exhaustive list of domains of ICH in </w:t>
      </w:r>
      <w:r w:rsidR="00DD01F3" w:rsidRPr="00787639">
        <w:t>Article </w:t>
      </w:r>
      <w:r w:rsidRPr="00787639">
        <w:t>2.2:</w:t>
      </w:r>
    </w:p>
    <w:p w14:paraId="09C4C1A0" w14:textId="3EA15C83" w:rsidR="00A46534" w:rsidRPr="00787639" w:rsidRDefault="00A46534" w:rsidP="002D5639">
      <w:pPr>
        <w:pStyle w:val="numrationa"/>
      </w:pPr>
      <w:r w:rsidRPr="00787639">
        <w:t>(a)</w:t>
      </w:r>
      <w:r w:rsidRPr="00787639">
        <w:rPr>
          <w:spacing w:val="53"/>
        </w:rPr>
        <w:tab/>
      </w:r>
      <w:r w:rsidRPr="00787639">
        <w:t>oral traditions and expressions, including language as a vehicle of the i</w:t>
      </w:r>
      <w:r w:rsidRPr="00787639">
        <w:rPr>
          <w:spacing w:val="-1"/>
        </w:rPr>
        <w:t>n</w:t>
      </w:r>
      <w:r w:rsidRPr="00787639">
        <w:t>tan</w:t>
      </w:r>
      <w:r w:rsidRPr="00787639">
        <w:rPr>
          <w:spacing w:val="-1"/>
        </w:rPr>
        <w:t>g</w:t>
      </w:r>
      <w:r w:rsidRPr="00787639">
        <w:t>ible cultu</w:t>
      </w:r>
      <w:r w:rsidRPr="00787639">
        <w:rPr>
          <w:spacing w:val="-1"/>
        </w:rPr>
        <w:t>r</w:t>
      </w:r>
      <w:r w:rsidRPr="00787639">
        <w:t>al heritage;</w:t>
      </w:r>
    </w:p>
    <w:p w14:paraId="5C44D623" w14:textId="06080DEF" w:rsidR="00A46534" w:rsidRPr="00787639" w:rsidRDefault="00A46534" w:rsidP="002D5639">
      <w:pPr>
        <w:pStyle w:val="numrationa"/>
      </w:pPr>
      <w:r w:rsidRPr="00787639">
        <w:t>(b)</w:t>
      </w:r>
      <w:r w:rsidRPr="00787639">
        <w:rPr>
          <w:spacing w:val="43"/>
        </w:rPr>
        <w:tab/>
      </w:r>
      <w:r w:rsidRPr="00787639">
        <w:t>pe</w:t>
      </w:r>
      <w:r w:rsidRPr="00787639">
        <w:rPr>
          <w:spacing w:val="5"/>
        </w:rPr>
        <w:t>r</w:t>
      </w:r>
      <w:r w:rsidRPr="00787639">
        <w:t>forming a</w:t>
      </w:r>
      <w:r w:rsidRPr="00787639">
        <w:rPr>
          <w:spacing w:val="5"/>
        </w:rPr>
        <w:t>r</w:t>
      </w:r>
      <w:r w:rsidRPr="00787639">
        <w:t>ts;</w:t>
      </w:r>
    </w:p>
    <w:p w14:paraId="57D7F3B3" w14:textId="061353A3" w:rsidR="00A46534" w:rsidRPr="00787639" w:rsidRDefault="00A46534" w:rsidP="002D5639">
      <w:pPr>
        <w:pStyle w:val="numrationa"/>
      </w:pPr>
      <w:r w:rsidRPr="00787639">
        <w:t>(c)</w:t>
      </w:r>
      <w:r w:rsidRPr="00787639">
        <w:rPr>
          <w:spacing w:val="60"/>
        </w:rPr>
        <w:tab/>
      </w:r>
      <w:r w:rsidRPr="00787639">
        <w:t>social practices, rituals and festive events;</w:t>
      </w:r>
    </w:p>
    <w:p w14:paraId="12AD04F4" w14:textId="0C74D038" w:rsidR="00DD01F3" w:rsidRPr="00787639" w:rsidRDefault="00A46534" w:rsidP="002D5639">
      <w:pPr>
        <w:pStyle w:val="numrationa"/>
      </w:pPr>
      <w:r w:rsidRPr="00787639">
        <w:t>(d)</w:t>
      </w:r>
      <w:r w:rsidRPr="00787639">
        <w:rPr>
          <w:spacing w:val="39"/>
        </w:rPr>
        <w:tab/>
      </w:r>
      <w:r w:rsidRPr="00787639">
        <w:t>knowledge and practices concerning nature and the universe;</w:t>
      </w:r>
    </w:p>
    <w:p w14:paraId="12A3BFD6" w14:textId="54B09A0A" w:rsidR="00A46534" w:rsidRPr="00787639" w:rsidRDefault="00ED1A2B" w:rsidP="00EB1959">
      <w:pPr>
        <w:pStyle w:val="numrationa"/>
        <w:ind w:left="1134" w:firstLine="0"/>
      </w:pPr>
      <w:r>
        <w:t>(e)</w:t>
      </w:r>
      <w:r w:rsidRPr="00ED1A2B">
        <w:rPr>
          <w:spacing w:val="39"/>
        </w:rPr>
        <w:t xml:space="preserve"> </w:t>
      </w:r>
      <w:r w:rsidRPr="00787639">
        <w:rPr>
          <w:spacing w:val="39"/>
        </w:rPr>
        <w:tab/>
      </w:r>
      <w:r>
        <w:tab/>
      </w:r>
      <w:r>
        <w:tab/>
      </w:r>
      <w:r>
        <w:tab/>
      </w:r>
      <w:r w:rsidR="00A46534" w:rsidRPr="00787639">
        <w:t>traditional c</w:t>
      </w:r>
      <w:r w:rsidR="00A46534" w:rsidRPr="00787639">
        <w:rPr>
          <w:spacing w:val="-1"/>
        </w:rPr>
        <w:t>r</w:t>
      </w:r>
      <w:r w:rsidR="00A46534" w:rsidRPr="00787639">
        <w:t>aftsmanshi</w:t>
      </w:r>
      <w:r w:rsidR="00A46534" w:rsidRPr="00787639">
        <w:rPr>
          <w:spacing w:val="-5"/>
        </w:rPr>
        <w:t>p</w:t>
      </w:r>
      <w:r w:rsidR="00A46534" w:rsidRPr="00787639">
        <w:t>.</w:t>
      </w:r>
    </w:p>
    <w:p w14:paraId="2F033B40" w14:textId="4CCBCFB2" w:rsidR="00E960CF" w:rsidRPr="00787639" w:rsidRDefault="00C67642" w:rsidP="002D5639">
      <w:pPr>
        <w:pStyle w:val="Informations"/>
      </w:pPr>
      <w:r w:rsidRPr="00AD244C">
        <w:rPr>
          <w:noProof/>
          <w:lang w:val="fr-FR" w:eastAsia="zh-TW"/>
        </w:rPr>
        <w:drawing>
          <wp:anchor distT="0" distB="0" distL="114300" distR="114300" simplePos="0" relativeHeight="252123648" behindDoc="0" locked="1" layoutInCell="1" allowOverlap="0" wp14:anchorId="1EE378E6" wp14:editId="7E6521A1">
            <wp:simplePos x="0" y="0"/>
            <wp:positionH relativeFrom="margin">
              <wp:align>left</wp:align>
            </wp:positionH>
            <wp:positionV relativeFrom="paragraph">
              <wp:posOffset>-68580</wp:posOffset>
            </wp:positionV>
            <wp:extent cx="284480" cy="360045"/>
            <wp:effectExtent l="0" t="0" r="1270" b="1905"/>
            <wp:wrapThrough wrapText="bothSides">
              <wp:wrapPolygon edited="0">
                <wp:start x="0" y="0"/>
                <wp:lineTo x="0" y="20571"/>
                <wp:lineTo x="20250" y="20571"/>
                <wp:lineTo x="20250" y="0"/>
                <wp:lineTo x="0" y="0"/>
              </wp:wrapPolygon>
            </wp:wrapThrough>
            <wp:docPr id="34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534" w:rsidRPr="00787639">
        <w:t xml:space="preserve">For more information, see </w:t>
      </w:r>
      <w:r w:rsidR="001437AA">
        <w:t>Participant’s </w:t>
      </w:r>
      <w:r w:rsidR="00C61BCD" w:rsidRPr="00D44CAC">
        <w:t>text</w:t>
      </w:r>
      <w:r w:rsidR="00A46534" w:rsidRPr="00787639">
        <w:t xml:space="preserve"> </w:t>
      </w:r>
      <w:r w:rsidR="001437AA">
        <w:t>Unit </w:t>
      </w:r>
      <w:r w:rsidR="00002A62" w:rsidRPr="00787639">
        <w:t>3</w:t>
      </w:r>
      <w:r w:rsidR="00A46534" w:rsidRPr="00787639">
        <w:t>: ‘Domains of ICH’</w:t>
      </w:r>
    </w:p>
    <w:p w14:paraId="2A04DD2B" w14:textId="195BDAEE" w:rsidR="00C75B4A" w:rsidRPr="00273802" w:rsidRDefault="00C75B4A" w:rsidP="00677A68">
      <w:pPr>
        <w:pStyle w:val="Titcoul"/>
        <w:numPr>
          <w:ilvl w:val="0"/>
          <w:numId w:val="0"/>
        </w:numPr>
        <w:tabs>
          <w:tab w:val="clear" w:pos="567"/>
        </w:tabs>
        <w:ind w:left="851" w:hanging="851"/>
        <w:rPr>
          <w:rFonts w:hint="eastAsia"/>
          <w:lang w:val="en-GB"/>
        </w:rPr>
      </w:pPr>
      <w:bookmarkStart w:id="16" w:name="_Toc241229649"/>
      <w:bookmarkStart w:id="17" w:name="_Toc241229853"/>
      <w:bookmarkStart w:id="18" w:name="_Toc242165546"/>
      <w:r w:rsidRPr="00273802">
        <w:rPr>
          <w:lang w:val="en-GB"/>
        </w:rPr>
        <w:t>1.5</w:t>
      </w:r>
      <w:r w:rsidR="00677A68">
        <w:rPr>
          <w:lang w:val="en-GB"/>
        </w:rPr>
        <w:tab/>
      </w:r>
      <w:r w:rsidRPr="00273802">
        <w:rPr>
          <w:lang w:val="en-GB"/>
        </w:rPr>
        <w:t>SAFEGUARDING</w:t>
      </w:r>
      <w:bookmarkEnd w:id="16"/>
      <w:bookmarkEnd w:id="17"/>
      <w:bookmarkEnd w:id="18"/>
    </w:p>
    <w:p w14:paraId="17A58913" w14:textId="307448A9" w:rsidR="00C75B4A" w:rsidRPr="00787639" w:rsidRDefault="00DD01F3" w:rsidP="002D5639">
      <w:pPr>
        <w:pStyle w:val="Texte1"/>
      </w:pPr>
      <w:r w:rsidRPr="00E32E89">
        <w:t>Article </w:t>
      </w:r>
      <w:r w:rsidR="00C75B4A" w:rsidRPr="00E32E89">
        <w:t>2.3</w:t>
      </w:r>
      <w:r w:rsidR="00C75B4A" w:rsidRPr="00D90418">
        <w:t xml:space="preserve"> of the Convention defines safeguarding as ‘ensuring the viability of the ICH’; this is often rephrased as ensuring the conti</w:t>
      </w:r>
      <w:r w:rsidR="00C75B4A" w:rsidRPr="00787639">
        <w:t>nued practice and transmission of ICH while maintaining its value and function for the people concerned. Measures for safeguarding may aim to create favourable general conditions in which the ICH present in a country can thrive. Safeguarding measures may also target specific ICH elements, or groups of elements, that face threats or risks to their continued viability.</w:t>
      </w:r>
    </w:p>
    <w:p w14:paraId="44885832" w14:textId="1315AB89" w:rsidR="00C75B4A" w:rsidRPr="00787639" w:rsidRDefault="00C75B4A" w:rsidP="002D5639">
      <w:pPr>
        <w:pStyle w:val="Texte1"/>
      </w:pPr>
      <w:r w:rsidRPr="00787639">
        <w:lastRenderedPageBreak/>
        <w:t xml:space="preserve">The implementation of ICH safeguarding measures at different levels is a task that the international community is increasingly willing to support, as shown by the rapid ratification of the Convention (see also </w:t>
      </w:r>
      <w:r w:rsidR="00DD01F3" w:rsidRPr="00787639">
        <w:t>Article </w:t>
      </w:r>
      <w:r w:rsidRPr="00787639">
        <w:t>19.2).</w:t>
      </w:r>
    </w:p>
    <w:p w14:paraId="3DAC5C24" w14:textId="62AAB874" w:rsidR="00C75B4A" w:rsidRPr="00F91721" w:rsidRDefault="00C75B4A" w:rsidP="002D5639">
      <w:pPr>
        <w:pStyle w:val="Texte1"/>
        <w:rPr>
          <w:w w:val="99"/>
          <w:position w:val="-1"/>
          <w:vertAlign w:val="superscript"/>
        </w:rPr>
      </w:pPr>
      <w:r w:rsidRPr="004D76DA">
        <w:t xml:space="preserve">Since safeguarding intangible heritage means ensuring that it continues to be practised today without compromising the ability of coming generations to enjoy it in the future, it can contribute to and benefit from agendas </w:t>
      </w:r>
      <w:r w:rsidRPr="00F91721">
        <w:t>for sustainable development. Sustainable development was defined in 1987 by the Brundtland Commission as ‘development that meets the needs of the present without compromising the ability of future generations to meet their own needs.</w:t>
      </w:r>
      <w:r w:rsidR="00F416E5">
        <w:t>’</w:t>
      </w:r>
      <w:r w:rsidR="007530FA">
        <w:rPr>
          <w:rStyle w:val="FootnoteReference"/>
        </w:rPr>
        <w:footnoteReference w:id="2"/>
      </w:r>
    </w:p>
    <w:p w14:paraId="1857B316" w14:textId="092D914D" w:rsidR="00C75B4A" w:rsidRPr="00787639" w:rsidRDefault="004524B2" w:rsidP="002D5639">
      <w:pPr>
        <w:pStyle w:val="Informations"/>
      </w:pPr>
      <w:r w:rsidRPr="00AD244C">
        <w:rPr>
          <w:noProof/>
          <w:lang w:val="fr-FR" w:eastAsia="zh-TW"/>
        </w:rPr>
        <w:drawing>
          <wp:anchor distT="0" distB="0" distL="114300" distR="114300" simplePos="0" relativeHeight="251661824" behindDoc="0" locked="1" layoutInCell="1" allowOverlap="0" wp14:anchorId="50A33DB9" wp14:editId="08C81E98">
            <wp:simplePos x="0" y="0"/>
            <wp:positionH relativeFrom="margin">
              <wp:align>left</wp:align>
            </wp:positionH>
            <wp:positionV relativeFrom="paragraph">
              <wp:posOffset>-71755</wp:posOffset>
            </wp:positionV>
            <wp:extent cx="284480" cy="360045"/>
            <wp:effectExtent l="0" t="0" r="1270" b="1905"/>
            <wp:wrapThrough wrapText="bothSides">
              <wp:wrapPolygon edited="0">
                <wp:start x="0" y="0"/>
                <wp:lineTo x="0" y="20571"/>
                <wp:lineTo x="20250" y="20571"/>
                <wp:lineTo x="20250" y="0"/>
                <wp:lineTo x="0" y="0"/>
              </wp:wrapPolygon>
            </wp:wrapThrough>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B4A" w:rsidRPr="00787639">
        <w:rPr>
          <w:spacing w:val="-5"/>
        </w:rPr>
        <w:t>F</w:t>
      </w:r>
      <w:r w:rsidR="00C75B4A" w:rsidRPr="00D44CAC">
        <w:t>or</w:t>
      </w:r>
      <w:r w:rsidR="00C75B4A" w:rsidRPr="00D90418">
        <w:rPr>
          <w:spacing w:val="-5"/>
        </w:rPr>
        <w:t xml:space="preserve"> </w:t>
      </w:r>
      <w:r w:rsidR="00212202">
        <w:t>more information on</w:t>
      </w:r>
      <w:r w:rsidR="00C75B4A" w:rsidRPr="00787639">
        <w:rPr>
          <w:spacing w:val="-5"/>
        </w:rPr>
        <w:t xml:space="preserve"> </w:t>
      </w:r>
      <w:r w:rsidR="00C75B4A" w:rsidRPr="00787639">
        <w:t>the</w:t>
      </w:r>
      <w:r w:rsidR="00C75B4A" w:rsidRPr="00787639">
        <w:rPr>
          <w:spacing w:val="-5"/>
        </w:rPr>
        <w:t xml:space="preserve"> </w:t>
      </w:r>
      <w:r w:rsidR="00C75B4A" w:rsidRPr="00787639">
        <w:rPr>
          <w:spacing w:val="-3"/>
        </w:rPr>
        <w:t>c</w:t>
      </w:r>
      <w:r w:rsidR="00C75B4A" w:rsidRPr="00787639">
        <w:t>on</w:t>
      </w:r>
      <w:r w:rsidR="00C75B4A" w:rsidRPr="00787639">
        <w:rPr>
          <w:spacing w:val="-3"/>
        </w:rPr>
        <w:t>c</w:t>
      </w:r>
      <w:r w:rsidR="00C75B4A" w:rsidRPr="00787639">
        <w:t>ept</w:t>
      </w:r>
      <w:r w:rsidR="00C75B4A" w:rsidRPr="00787639">
        <w:rPr>
          <w:spacing w:val="-6"/>
        </w:rPr>
        <w:t xml:space="preserve"> </w:t>
      </w:r>
      <w:r w:rsidR="00C75B4A" w:rsidRPr="00787639">
        <w:t>of</w:t>
      </w:r>
      <w:r w:rsidR="00C75B4A" w:rsidRPr="00787639">
        <w:rPr>
          <w:spacing w:val="-5"/>
        </w:rPr>
        <w:t xml:space="preserve"> </w:t>
      </w:r>
      <w:r w:rsidR="00C75B4A" w:rsidRPr="00787639">
        <w:t>safeg</w:t>
      </w:r>
      <w:r w:rsidR="00C75B4A" w:rsidRPr="00787639">
        <w:rPr>
          <w:spacing w:val="-2"/>
        </w:rPr>
        <w:t>u</w:t>
      </w:r>
      <w:r w:rsidR="00C75B4A" w:rsidRPr="00787639">
        <w:t>a</w:t>
      </w:r>
      <w:r w:rsidR="00C75B4A" w:rsidRPr="00787639">
        <w:rPr>
          <w:spacing w:val="-1"/>
        </w:rPr>
        <w:t>r</w:t>
      </w:r>
      <w:r w:rsidR="00C75B4A" w:rsidRPr="00787639">
        <w:t>din</w:t>
      </w:r>
      <w:r w:rsidR="00C75B4A" w:rsidRPr="00787639">
        <w:rPr>
          <w:spacing w:val="-3"/>
        </w:rPr>
        <w:t>g</w:t>
      </w:r>
      <w:r w:rsidR="00C75B4A" w:rsidRPr="00787639">
        <w:t>,</w:t>
      </w:r>
      <w:r w:rsidR="00C75B4A" w:rsidRPr="00787639">
        <w:rPr>
          <w:spacing w:val="-6"/>
        </w:rPr>
        <w:t xml:space="preserve"> </w:t>
      </w:r>
      <w:r w:rsidR="001437AA">
        <w:t>see Participant’s </w:t>
      </w:r>
      <w:r w:rsidR="0070249B">
        <w:t>text</w:t>
      </w:r>
      <w:r w:rsidR="00812A5F" w:rsidRPr="00787639">
        <w:t xml:space="preserve"> </w:t>
      </w:r>
      <w:r w:rsidR="001437AA">
        <w:t>Unit </w:t>
      </w:r>
      <w:r w:rsidR="00002A62" w:rsidRPr="00787639">
        <w:t>3</w:t>
      </w:r>
      <w:r w:rsidR="00C75B4A" w:rsidRPr="00787639">
        <w:rPr>
          <w:spacing w:val="-2"/>
        </w:rPr>
        <w:t xml:space="preserve"> </w:t>
      </w:r>
      <w:r w:rsidR="00C75B4A" w:rsidRPr="00787639">
        <w:t>and</w:t>
      </w:r>
      <w:r w:rsidR="00C75B4A" w:rsidRPr="00787639">
        <w:rPr>
          <w:spacing w:val="-4"/>
        </w:rPr>
        <w:t xml:space="preserve"> </w:t>
      </w:r>
      <w:r w:rsidR="001437AA">
        <w:t>Unit </w:t>
      </w:r>
      <w:r w:rsidR="00955176" w:rsidRPr="00787639">
        <w:t>9</w:t>
      </w:r>
      <w:r w:rsidR="00C75B4A" w:rsidRPr="00787639">
        <w:t>.</w:t>
      </w:r>
    </w:p>
    <w:p w14:paraId="777E1CF1" w14:textId="2F36F271" w:rsidR="00C75B4A" w:rsidRPr="00273802" w:rsidRDefault="00677A68" w:rsidP="00677A68">
      <w:pPr>
        <w:pStyle w:val="Titcoul"/>
        <w:numPr>
          <w:ilvl w:val="0"/>
          <w:numId w:val="0"/>
        </w:numPr>
        <w:tabs>
          <w:tab w:val="clear" w:pos="567"/>
        </w:tabs>
        <w:ind w:left="851" w:hanging="851"/>
        <w:rPr>
          <w:rFonts w:hint="eastAsia"/>
          <w:i/>
          <w:iCs/>
          <w:lang w:val="en-GB"/>
        </w:rPr>
      </w:pPr>
      <w:bookmarkStart w:id="19" w:name="_Toc241229650"/>
      <w:bookmarkStart w:id="20" w:name="_Toc241229854"/>
      <w:bookmarkStart w:id="21" w:name="_Toc242165547"/>
      <w:r>
        <w:rPr>
          <w:lang w:val="en-GB"/>
        </w:rPr>
        <w:t>1.6</w:t>
      </w:r>
      <w:r>
        <w:rPr>
          <w:lang w:val="en-GB"/>
        </w:rPr>
        <w:tab/>
      </w:r>
      <w:r w:rsidR="00C75B4A" w:rsidRPr="00273802">
        <w:rPr>
          <w:lang w:val="en-GB"/>
        </w:rPr>
        <w:t>RESOURCES</w:t>
      </w:r>
      <w:bookmarkEnd w:id="19"/>
      <w:bookmarkEnd w:id="20"/>
      <w:bookmarkEnd w:id="21"/>
    </w:p>
    <w:p w14:paraId="189A5072" w14:textId="01A152D1" w:rsidR="00155FF4" w:rsidRPr="00457D56" w:rsidRDefault="00505241" w:rsidP="002D5639">
      <w:pPr>
        <w:pStyle w:val="Texte1"/>
        <w:rPr>
          <w:color w:val="000000" w:themeColor="text1"/>
          <w:w w:val="99"/>
        </w:rPr>
      </w:pPr>
      <w:r w:rsidRPr="002E7C3D">
        <w:rPr>
          <w:noProof/>
          <w:lang w:val="fr-FR" w:eastAsia="zh-TW"/>
        </w:rPr>
        <w:drawing>
          <wp:anchor distT="0" distB="0" distL="114300" distR="114300" simplePos="0" relativeHeight="252185088" behindDoc="0" locked="0" layoutInCell="1" allowOverlap="0" wp14:anchorId="6AC26B1C" wp14:editId="004A5F80">
            <wp:simplePos x="0" y="0"/>
            <wp:positionH relativeFrom="margin">
              <wp:align>left</wp:align>
            </wp:positionH>
            <wp:positionV relativeFrom="paragraph">
              <wp:posOffset>953951</wp:posOffset>
            </wp:positionV>
            <wp:extent cx="282575" cy="357505"/>
            <wp:effectExtent l="0" t="0" r="3175" b="4445"/>
            <wp:wrapNone/>
            <wp:docPr id="9"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C75B4A" w:rsidRPr="004D76DA">
        <w:t xml:space="preserve">Workshop participants will be provided with </w:t>
      </w:r>
      <w:r w:rsidR="00587285" w:rsidRPr="00F91721">
        <w:t xml:space="preserve">either hard or electronic </w:t>
      </w:r>
      <w:r w:rsidR="00C75B4A" w:rsidRPr="00F91721">
        <w:t xml:space="preserve">copies of the </w:t>
      </w:r>
      <w:r w:rsidR="00C75B4A" w:rsidRPr="000E4DDE">
        <w:t>Basic Texts</w:t>
      </w:r>
      <w:r w:rsidR="005076FF">
        <w:rPr>
          <w:i/>
        </w:rPr>
        <w:t>.</w:t>
      </w:r>
      <w:r w:rsidR="00C75B4A" w:rsidRPr="004D76DA">
        <w:t xml:space="preserve"> Available in Arabic, Chinese, English, Fre</w:t>
      </w:r>
      <w:r w:rsidR="00C75B4A" w:rsidRPr="00F91721">
        <w:t xml:space="preserve">nch, Russian and Spanish, this publication presents the text of the Convention, its Operational Directives, the Rules of Procedure of the two Organs of the Convention, Financial Regulations and a number of annexes. All the texts it contains can also be downloaded from the </w:t>
      </w:r>
      <w:r w:rsidR="00D718BE">
        <w:t xml:space="preserve">ICH </w:t>
      </w:r>
      <w:r w:rsidR="00C75B4A" w:rsidRPr="00F91721">
        <w:t>website.</w:t>
      </w:r>
      <w:r w:rsidR="00BD485A" w:rsidRPr="00F91721">
        <w:t xml:space="preserve"> </w:t>
      </w:r>
      <w:r w:rsidR="00155FF4" w:rsidRPr="0043679B">
        <w:t xml:space="preserve">The </w:t>
      </w:r>
      <w:r w:rsidR="009B0F21">
        <w:t>ICH</w:t>
      </w:r>
      <w:r w:rsidR="00155FF4" w:rsidRPr="0043679B">
        <w:t xml:space="preserve"> website,</w:t>
      </w:r>
      <w:r w:rsidR="00F52120">
        <w:t xml:space="preserve"> </w:t>
      </w:r>
      <w:hyperlink r:id="rId17" w:history="1">
        <w:r w:rsidR="00E15326" w:rsidRPr="00457D56">
          <w:rPr>
            <w:rStyle w:val="Hyperlink"/>
            <w:color w:val="000000" w:themeColor="text1"/>
            <w:w w:val="99"/>
          </w:rPr>
          <w:t>http://www.unesco.org/culture/ich/index.php?lg=en&amp;pg=00001</w:t>
        </w:r>
      </w:hyperlink>
      <w:r w:rsidR="00F52120" w:rsidRPr="00457D56">
        <w:rPr>
          <w:rStyle w:val="Hyperlink"/>
          <w:color w:val="000000" w:themeColor="text1"/>
          <w:w w:val="99"/>
        </w:rPr>
        <w:t>,</w:t>
      </w:r>
      <w:r w:rsidR="00F52120" w:rsidRPr="00457D56">
        <w:rPr>
          <w:color w:val="000000" w:themeColor="text1"/>
        </w:rPr>
        <w:t xml:space="preserve"> m</w:t>
      </w:r>
      <w:r w:rsidR="00155FF4" w:rsidRPr="00457D56">
        <w:rPr>
          <w:color w:val="000000" w:themeColor="text1"/>
        </w:rPr>
        <w:t>anaged by the Secretariat to the Convention, is the source of many relevant documents and additional information, such as:</w:t>
      </w:r>
    </w:p>
    <w:p w14:paraId="24AE8024" w14:textId="24F2DFAA" w:rsidR="00155FF4" w:rsidRPr="00457D56" w:rsidRDefault="00615968" w:rsidP="00496C7B">
      <w:pPr>
        <w:pStyle w:val="Txtpucegras"/>
        <w:rPr>
          <w:iCs/>
          <w:color w:val="000000" w:themeColor="text1"/>
        </w:rPr>
      </w:pPr>
      <w:r w:rsidRPr="00457D56">
        <w:rPr>
          <w:color w:val="000000" w:themeColor="text1"/>
        </w:rPr>
        <w:t>T</w:t>
      </w:r>
      <w:r w:rsidR="00155FF4" w:rsidRPr="00457D56">
        <w:rPr>
          <w:color w:val="000000" w:themeColor="text1"/>
        </w:rPr>
        <w:t>he six official versions of the Convention.</w:t>
      </w:r>
      <w:r w:rsidR="00155FF4" w:rsidRPr="00457D56">
        <w:rPr>
          <w:color w:val="000000" w:themeColor="text1"/>
          <w:spacing w:val="-10"/>
        </w:rPr>
        <w:t xml:space="preserve"> </w:t>
      </w:r>
      <w:r w:rsidR="00155FF4" w:rsidRPr="00457D56">
        <w:rPr>
          <w:color w:val="000000" w:themeColor="text1"/>
          <w:spacing w:val="-2"/>
        </w:rPr>
        <w:t>T</w:t>
      </w:r>
      <w:r w:rsidR="00155FF4" w:rsidRPr="00457D56">
        <w:rPr>
          <w:color w:val="000000" w:themeColor="text1"/>
        </w:rPr>
        <w:t xml:space="preserve">he </w:t>
      </w:r>
      <w:r w:rsidR="00155FF4" w:rsidRPr="00457D56">
        <w:rPr>
          <w:color w:val="000000" w:themeColor="text1"/>
          <w:spacing w:val="-3"/>
        </w:rPr>
        <w:t>C</w:t>
      </w:r>
      <w:r w:rsidR="00155FF4" w:rsidRPr="00457D56">
        <w:rPr>
          <w:color w:val="000000" w:themeColor="text1"/>
        </w:rPr>
        <w:t>o</w:t>
      </w:r>
      <w:r w:rsidR="00155FF4" w:rsidRPr="00457D56">
        <w:rPr>
          <w:color w:val="000000" w:themeColor="text1"/>
          <w:spacing w:val="-3"/>
        </w:rPr>
        <w:t>n</w:t>
      </w:r>
      <w:r w:rsidR="00155FF4" w:rsidRPr="00457D56">
        <w:rPr>
          <w:color w:val="000000" w:themeColor="text1"/>
          <w:spacing w:val="-2"/>
        </w:rPr>
        <w:t>v</w:t>
      </w:r>
      <w:r w:rsidR="00155FF4" w:rsidRPr="00457D56">
        <w:rPr>
          <w:color w:val="000000" w:themeColor="text1"/>
        </w:rPr>
        <w:t>ention has been t</w:t>
      </w:r>
      <w:r w:rsidR="00155FF4" w:rsidRPr="00457D56">
        <w:rPr>
          <w:color w:val="000000" w:themeColor="text1"/>
          <w:spacing w:val="-1"/>
        </w:rPr>
        <w:t>r</w:t>
      </w:r>
      <w:r w:rsidR="00155FF4" w:rsidRPr="00457D56">
        <w:rPr>
          <w:color w:val="000000" w:themeColor="text1"/>
        </w:rPr>
        <w:t>ansl</w:t>
      </w:r>
      <w:r w:rsidR="00155FF4" w:rsidRPr="00457D56">
        <w:rPr>
          <w:color w:val="000000" w:themeColor="text1"/>
          <w:spacing w:val="-1"/>
        </w:rPr>
        <w:t>at</w:t>
      </w:r>
      <w:r w:rsidR="00155FF4" w:rsidRPr="00457D56">
        <w:rPr>
          <w:color w:val="000000" w:themeColor="text1"/>
        </w:rPr>
        <w:t>e</w:t>
      </w:r>
      <w:r w:rsidR="00155FF4" w:rsidRPr="00457D56">
        <w:rPr>
          <w:color w:val="000000" w:themeColor="text1"/>
          <w:spacing w:val="-2"/>
        </w:rPr>
        <w:t>d</w:t>
      </w:r>
      <w:r w:rsidR="00155FF4" w:rsidRPr="00457D56">
        <w:rPr>
          <w:color w:val="000000" w:themeColor="text1"/>
        </w:rPr>
        <w:t>, officially or unofficiall</w:t>
      </w:r>
      <w:r w:rsidR="00155FF4" w:rsidRPr="00457D56">
        <w:rPr>
          <w:color w:val="000000" w:themeColor="text1"/>
          <w:spacing w:val="-9"/>
        </w:rPr>
        <w:t>y</w:t>
      </w:r>
      <w:r w:rsidR="00155FF4" w:rsidRPr="00457D56">
        <w:rPr>
          <w:color w:val="000000" w:themeColor="text1"/>
        </w:rPr>
        <w:t>, i</w:t>
      </w:r>
      <w:r w:rsidR="00155FF4" w:rsidRPr="00457D56">
        <w:rPr>
          <w:color w:val="000000" w:themeColor="text1"/>
          <w:spacing w:val="-1"/>
        </w:rPr>
        <w:t>nt</w:t>
      </w:r>
      <w:r w:rsidR="00155FF4" w:rsidRPr="00457D56">
        <w:rPr>
          <w:color w:val="000000" w:themeColor="text1"/>
        </w:rPr>
        <w:t>o a la</w:t>
      </w:r>
      <w:r w:rsidR="00155FF4" w:rsidRPr="00457D56">
        <w:rPr>
          <w:color w:val="000000" w:themeColor="text1"/>
          <w:spacing w:val="-2"/>
        </w:rPr>
        <w:t>r</w:t>
      </w:r>
      <w:r w:rsidR="00155FF4" w:rsidRPr="00457D56">
        <w:rPr>
          <w:color w:val="000000" w:themeColor="text1"/>
        </w:rPr>
        <w:t>ge number of language</w:t>
      </w:r>
      <w:r w:rsidR="00155FF4" w:rsidRPr="00457D56">
        <w:rPr>
          <w:color w:val="000000" w:themeColor="text1"/>
          <w:spacing w:val="-3"/>
        </w:rPr>
        <w:t>s</w:t>
      </w:r>
      <w:r w:rsidR="00155FF4" w:rsidRPr="00457D56">
        <w:rPr>
          <w:color w:val="000000" w:themeColor="text1"/>
        </w:rPr>
        <w:t>. Ma</w:t>
      </w:r>
      <w:r w:rsidR="00155FF4" w:rsidRPr="00457D56">
        <w:rPr>
          <w:color w:val="000000" w:themeColor="text1"/>
          <w:spacing w:val="-2"/>
        </w:rPr>
        <w:t>n</w:t>
      </w:r>
      <w:r w:rsidR="00155FF4" w:rsidRPr="00457D56">
        <w:rPr>
          <w:color w:val="000000" w:themeColor="text1"/>
        </w:rPr>
        <w:t>y of these t</w:t>
      </w:r>
      <w:r w:rsidR="00155FF4" w:rsidRPr="00457D56">
        <w:rPr>
          <w:color w:val="000000" w:themeColor="text1"/>
          <w:spacing w:val="-1"/>
        </w:rPr>
        <w:t>r</w:t>
      </w:r>
      <w:r w:rsidR="00155FF4" w:rsidRPr="00457D56">
        <w:rPr>
          <w:color w:val="000000" w:themeColor="text1"/>
        </w:rPr>
        <w:t>ansl</w:t>
      </w:r>
      <w:r w:rsidR="00155FF4" w:rsidRPr="00457D56">
        <w:rPr>
          <w:color w:val="000000" w:themeColor="text1"/>
          <w:spacing w:val="-1"/>
        </w:rPr>
        <w:t>a</w:t>
      </w:r>
      <w:r w:rsidR="00155FF4" w:rsidRPr="00457D56">
        <w:rPr>
          <w:color w:val="000000" w:themeColor="text1"/>
        </w:rPr>
        <w:t>tions a</w:t>
      </w:r>
      <w:r w:rsidR="00155FF4" w:rsidRPr="00457D56">
        <w:rPr>
          <w:color w:val="000000" w:themeColor="text1"/>
          <w:spacing w:val="-3"/>
        </w:rPr>
        <w:t>r</w:t>
      </w:r>
      <w:r w:rsidR="00155FF4" w:rsidRPr="00457D56">
        <w:rPr>
          <w:color w:val="000000" w:themeColor="text1"/>
        </w:rPr>
        <w:t xml:space="preserve">e </w:t>
      </w:r>
      <w:r w:rsidR="00155FF4" w:rsidRPr="00457D56">
        <w:rPr>
          <w:color w:val="000000" w:themeColor="text1"/>
          <w:spacing w:val="-1"/>
        </w:rPr>
        <w:t>av</w:t>
      </w:r>
      <w:r w:rsidR="00155FF4" w:rsidRPr="00457D56">
        <w:rPr>
          <w:color w:val="000000" w:themeColor="text1"/>
        </w:rPr>
        <w:t xml:space="preserve">ailable </w:t>
      </w:r>
      <w:r w:rsidR="00155FF4" w:rsidRPr="00457D56">
        <w:rPr>
          <w:color w:val="000000" w:themeColor="text1"/>
          <w:spacing w:val="-1"/>
        </w:rPr>
        <w:t>a</w:t>
      </w:r>
      <w:r w:rsidR="00155FF4" w:rsidRPr="00457D56">
        <w:rPr>
          <w:color w:val="000000" w:themeColor="text1"/>
        </w:rPr>
        <w:t>t:</w:t>
      </w:r>
      <w:r w:rsidR="0008689C" w:rsidRPr="00457D56">
        <w:rPr>
          <w:iCs/>
          <w:color w:val="000000" w:themeColor="text1"/>
        </w:rPr>
        <w:t xml:space="preserve"> </w:t>
      </w:r>
      <w:hyperlink r:id="rId18" w:history="1">
        <w:r w:rsidR="00F52120" w:rsidRPr="00457D56">
          <w:rPr>
            <w:rStyle w:val="Hyperlink"/>
            <w:iCs/>
            <w:color w:val="000000" w:themeColor="text1"/>
          </w:rPr>
          <w:t>http://ww</w:t>
        </w:r>
        <w:r w:rsidR="00F52120" w:rsidRPr="00457D56">
          <w:rPr>
            <w:rStyle w:val="Hyperlink"/>
            <w:iCs/>
            <w:color w:val="000000" w:themeColor="text1"/>
            <w:spacing w:val="-5"/>
          </w:rPr>
          <w:t>w</w:t>
        </w:r>
        <w:r w:rsidR="00F52120" w:rsidRPr="00457D56">
          <w:rPr>
            <w:rStyle w:val="Hyperlink"/>
            <w:iCs/>
            <w:color w:val="000000" w:themeColor="text1"/>
          </w:rPr>
          <w:t>.unesc</w:t>
        </w:r>
        <w:r w:rsidR="00F52120" w:rsidRPr="00457D56">
          <w:rPr>
            <w:rStyle w:val="Hyperlink"/>
            <w:iCs/>
            <w:color w:val="000000" w:themeColor="text1"/>
            <w:spacing w:val="-2"/>
          </w:rPr>
          <w:t>o</w:t>
        </w:r>
        <w:r w:rsidR="00F52120" w:rsidRPr="00457D56">
          <w:rPr>
            <w:rStyle w:val="Hyperlink"/>
            <w:iCs/>
            <w:color w:val="000000" w:themeColor="text1"/>
          </w:rPr>
          <w:t>.org/culture/ich/index.php?lg=en&amp;pg=00102</w:t>
        </w:r>
      </w:hyperlink>
    </w:p>
    <w:p w14:paraId="4EDB1525" w14:textId="036F775F" w:rsidR="00155FF4" w:rsidRPr="00457D56" w:rsidRDefault="00615968" w:rsidP="00AD2211">
      <w:pPr>
        <w:pStyle w:val="Txtpucegras"/>
        <w:rPr>
          <w:color w:val="000000" w:themeColor="text1"/>
        </w:rPr>
      </w:pPr>
      <w:r w:rsidRPr="00457D56">
        <w:rPr>
          <w:color w:val="000000" w:themeColor="text1"/>
        </w:rPr>
        <w:t>I</w:t>
      </w:r>
      <w:r w:rsidR="00155FF4" w:rsidRPr="00457D56">
        <w:rPr>
          <w:color w:val="000000" w:themeColor="text1"/>
        </w:rPr>
        <w:t>nformation on the Organs of the Convention, including detailed reports of</w:t>
      </w:r>
      <w:r w:rsidR="00DD01F3" w:rsidRPr="00457D56">
        <w:rPr>
          <w:color w:val="000000" w:themeColor="text1"/>
        </w:rPr>
        <w:t xml:space="preserve"> </w:t>
      </w:r>
      <w:r w:rsidR="00155FF4" w:rsidRPr="00457D56">
        <w:rPr>
          <w:color w:val="000000" w:themeColor="text1"/>
        </w:rPr>
        <w:t>their meetings and lists of their decisions</w:t>
      </w:r>
      <w:r w:rsidRPr="00457D56">
        <w:rPr>
          <w:color w:val="000000" w:themeColor="text1"/>
        </w:rPr>
        <w:t>.</w:t>
      </w:r>
    </w:p>
    <w:p w14:paraId="45C71A83" w14:textId="147B3808" w:rsidR="00155FF4" w:rsidRPr="00457D56" w:rsidRDefault="00615968" w:rsidP="00AD2211">
      <w:pPr>
        <w:pStyle w:val="Txtpucegras"/>
        <w:rPr>
          <w:color w:val="000000" w:themeColor="text1"/>
        </w:rPr>
      </w:pPr>
      <w:r w:rsidRPr="00457D56">
        <w:rPr>
          <w:color w:val="000000" w:themeColor="text1"/>
        </w:rPr>
        <w:t>I</w:t>
      </w:r>
      <w:r w:rsidR="00155FF4" w:rsidRPr="00457D56">
        <w:rPr>
          <w:color w:val="000000" w:themeColor="text1"/>
        </w:rPr>
        <w:t>nformation about meetings relating to ICH and the Convention organized or co-organized by UNESCO from 1992 onwards:</w:t>
      </w:r>
      <w:r w:rsidR="00155FF4" w:rsidRPr="00457D56">
        <w:rPr>
          <w:color w:val="000000" w:themeColor="text1"/>
        </w:rPr>
        <w:tab/>
      </w:r>
      <w:r w:rsidR="00155FF4" w:rsidRPr="00457D56">
        <w:rPr>
          <w:color w:val="000000" w:themeColor="text1"/>
        </w:rPr>
        <w:br/>
      </w:r>
      <w:hyperlink r:id="rId19" w:history="1">
        <w:r w:rsidR="00F52120" w:rsidRPr="00457D56">
          <w:rPr>
            <w:rStyle w:val="Hyperlink"/>
            <w:color w:val="000000" w:themeColor="text1"/>
          </w:rPr>
          <w:t>http://www.unesco.org/culture/ich/index.php?lg=en&amp;pg=00015</w:t>
        </w:r>
      </w:hyperlink>
    </w:p>
    <w:p w14:paraId="0250E6EA" w14:textId="56213D85" w:rsidR="00155FF4" w:rsidRPr="00457D56" w:rsidRDefault="00615968" w:rsidP="00952DBE">
      <w:pPr>
        <w:pStyle w:val="Txtpucegras"/>
        <w:rPr>
          <w:iCs/>
          <w:color w:val="000000" w:themeColor="text1"/>
        </w:rPr>
      </w:pPr>
      <w:r w:rsidRPr="00457D56">
        <w:rPr>
          <w:color w:val="000000" w:themeColor="text1"/>
        </w:rPr>
        <w:t>I</w:t>
      </w:r>
      <w:r w:rsidR="00155FF4" w:rsidRPr="00457D56">
        <w:rPr>
          <w:color w:val="000000" w:themeColor="text1"/>
        </w:rPr>
        <w:t>nformation about accredited non-governmental organizations (NGOs):</w:t>
      </w:r>
      <w:r w:rsidR="00155FF4" w:rsidRPr="00457D56">
        <w:rPr>
          <w:color w:val="000000" w:themeColor="text1"/>
        </w:rPr>
        <w:tab/>
      </w:r>
      <w:r w:rsidR="00155FF4" w:rsidRPr="00457D56">
        <w:rPr>
          <w:color w:val="000000" w:themeColor="text1"/>
        </w:rPr>
        <w:br/>
      </w:r>
      <w:hyperlink r:id="rId20" w:history="1">
        <w:r w:rsidR="009323E0" w:rsidRPr="00457D56">
          <w:rPr>
            <w:rStyle w:val="Hyperlink"/>
            <w:iCs/>
            <w:color w:val="000000" w:themeColor="text1"/>
          </w:rPr>
          <w:t>http://ww</w:t>
        </w:r>
        <w:r w:rsidR="009323E0" w:rsidRPr="00457D56">
          <w:rPr>
            <w:rStyle w:val="Hyperlink"/>
            <w:iCs/>
            <w:color w:val="000000" w:themeColor="text1"/>
            <w:spacing w:val="-2"/>
          </w:rPr>
          <w:t>w</w:t>
        </w:r>
        <w:r w:rsidR="009323E0" w:rsidRPr="00457D56">
          <w:rPr>
            <w:rStyle w:val="Hyperlink"/>
            <w:iCs/>
            <w:color w:val="000000" w:themeColor="text1"/>
          </w:rPr>
          <w:t>.unesco.org/culture/ich/index.php?lg=en&amp;pg=331</w:t>
        </w:r>
      </w:hyperlink>
    </w:p>
    <w:p w14:paraId="74B751E2" w14:textId="5441F8C2" w:rsidR="00155FF4" w:rsidRPr="00457D56" w:rsidRDefault="00615968" w:rsidP="00AD2211">
      <w:pPr>
        <w:pStyle w:val="Txtpucegras"/>
        <w:rPr>
          <w:color w:val="000000" w:themeColor="text1"/>
        </w:rPr>
      </w:pPr>
      <w:r w:rsidRPr="00457D56">
        <w:rPr>
          <w:color w:val="000000" w:themeColor="text1"/>
        </w:rPr>
        <w:t>A</w:t>
      </w:r>
      <w:r w:rsidR="00155FF4" w:rsidRPr="00457D56">
        <w:rPr>
          <w:color w:val="000000" w:themeColor="text1"/>
        </w:rPr>
        <w:t xml:space="preserve"> kit explaining what ICH is and why it is worthwhile safeguarding it:</w:t>
      </w:r>
      <w:r w:rsidR="00DC0EC6" w:rsidRPr="00457D56">
        <w:rPr>
          <w:color w:val="000000" w:themeColor="text1"/>
        </w:rPr>
        <w:tab/>
      </w:r>
      <w:r w:rsidR="00DC0EC6" w:rsidRPr="00457D56">
        <w:rPr>
          <w:color w:val="000000" w:themeColor="text1"/>
        </w:rPr>
        <w:br/>
      </w:r>
      <w:hyperlink r:id="rId21" w:history="1">
        <w:r w:rsidR="009323E0" w:rsidRPr="00457D56">
          <w:rPr>
            <w:rStyle w:val="Hyperlink"/>
            <w:iCs/>
            <w:color w:val="000000" w:themeColor="text1"/>
          </w:rPr>
          <w:t>http://www.unesco.org/culture/ich/index.php?lg=en&amp;pg=00018</w:t>
        </w:r>
      </w:hyperlink>
    </w:p>
    <w:p w14:paraId="37CD31C2" w14:textId="7B5ED3D9" w:rsidR="00155FF4" w:rsidRPr="00457D56" w:rsidRDefault="00615968" w:rsidP="00AD2211">
      <w:pPr>
        <w:pStyle w:val="Txtpucegras"/>
        <w:rPr>
          <w:color w:val="000000" w:themeColor="text1"/>
        </w:rPr>
      </w:pPr>
      <w:r w:rsidRPr="00457D56">
        <w:rPr>
          <w:color w:val="000000" w:themeColor="text1"/>
        </w:rPr>
        <w:t>A</w:t>
      </w:r>
      <w:r w:rsidR="00155FF4" w:rsidRPr="00457D56">
        <w:rPr>
          <w:color w:val="000000" w:themeColor="text1"/>
        </w:rPr>
        <w:t xml:space="preserve"> presentation of the elements inscribed on the Lists of the Convention and of projects or programmes included in the Register of </w:t>
      </w:r>
      <w:r w:rsidR="00F00972">
        <w:rPr>
          <w:color w:val="000000" w:themeColor="text1"/>
        </w:rPr>
        <w:t xml:space="preserve">Good </w:t>
      </w:r>
      <w:r w:rsidR="00155FF4" w:rsidRPr="00457D56">
        <w:rPr>
          <w:color w:val="000000" w:themeColor="text1"/>
        </w:rPr>
        <w:t>Safeguarding Practices:</w:t>
      </w:r>
      <w:r w:rsidR="00DD01F3" w:rsidRPr="00457D56">
        <w:rPr>
          <w:color w:val="000000" w:themeColor="text1"/>
        </w:rPr>
        <w:tab/>
      </w:r>
      <w:r w:rsidR="00DD01F3" w:rsidRPr="00457D56">
        <w:rPr>
          <w:color w:val="000000" w:themeColor="text1"/>
        </w:rPr>
        <w:br/>
      </w:r>
      <w:hyperlink r:id="rId22" w:history="1">
        <w:r w:rsidR="009323E0" w:rsidRPr="00457D56">
          <w:rPr>
            <w:rStyle w:val="Hyperlink"/>
            <w:color w:val="000000" w:themeColor="text1"/>
          </w:rPr>
          <w:t>http://www.unesco.org/culture/ich/index.php?lg=en&amp;pg=00011</w:t>
        </w:r>
      </w:hyperlink>
    </w:p>
    <w:p w14:paraId="55FAA42F" w14:textId="58956B05" w:rsidR="00155FF4" w:rsidRPr="00457D56" w:rsidRDefault="00EF41A3" w:rsidP="00952DBE">
      <w:pPr>
        <w:pStyle w:val="Txtpucegras"/>
        <w:rPr>
          <w:color w:val="000000" w:themeColor="text1"/>
        </w:rPr>
      </w:pPr>
      <w:r w:rsidRPr="00457D56">
        <w:rPr>
          <w:noProof/>
          <w:color w:val="000000" w:themeColor="text1"/>
          <w:lang w:val="fr-FR" w:eastAsia="zh-TW"/>
        </w:rPr>
        <w:drawing>
          <wp:anchor distT="0" distB="0" distL="114300" distR="114300" simplePos="0" relativeHeight="251913728" behindDoc="0" locked="0" layoutInCell="1" allowOverlap="0" wp14:anchorId="59B4621E" wp14:editId="403E6068">
            <wp:simplePos x="0" y="0"/>
            <wp:positionH relativeFrom="margin">
              <wp:align>left</wp:align>
            </wp:positionH>
            <wp:positionV relativeFrom="paragraph">
              <wp:posOffset>927100</wp:posOffset>
            </wp:positionV>
            <wp:extent cx="282575" cy="357505"/>
            <wp:effectExtent l="0" t="0" r="3175" b="4445"/>
            <wp:wrapThrough wrapText="bothSides">
              <wp:wrapPolygon edited="0">
                <wp:start x="0" y="0"/>
                <wp:lineTo x="0" y="20718"/>
                <wp:lineTo x="20387" y="20718"/>
                <wp:lineTo x="20387" y="0"/>
                <wp:lineTo x="0" y="0"/>
              </wp:wrapPolygon>
            </wp:wrapThrough>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615968" w:rsidRPr="00457D56">
        <w:rPr>
          <w:color w:val="000000" w:themeColor="text1"/>
        </w:rPr>
        <w:t>T</w:t>
      </w:r>
      <w:r w:rsidR="00155FF4" w:rsidRPr="00457D56">
        <w:rPr>
          <w:color w:val="000000" w:themeColor="text1"/>
        </w:rPr>
        <w:t xml:space="preserve">he forms to be used for nominating elements to the Lists of the Convention (English and French only), for nominating safeguarding practices for inclusion on the Register of </w:t>
      </w:r>
      <w:r w:rsidR="00F00972">
        <w:rPr>
          <w:color w:val="000000" w:themeColor="text1"/>
        </w:rPr>
        <w:t xml:space="preserve">Good </w:t>
      </w:r>
      <w:r w:rsidR="00155FF4" w:rsidRPr="00457D56">
        <w:rPr>
          <w:color w:val="000000" w:themeColor="text1"/>
        </w:rPr>
        <w:t>Safeguarding Practices</w:t>
      </w:r>
      <w:r w:rsidR="003B63B7" w:rsidRPr="00457D56">
        <w:rPr>
          <w:color w:val="000000" w:themeColor="text1"/>
        </w:rPr>
        <w:t>,</w:t>
      </w:r>
      <w:r w:rsidR="00205B52">
        <w:rPr>
          <w:color w:val="000000" w:themeColor="text1"/>
        </w:rPr>
        <w:t xml:space="preserve"> for requesting international a</w:t>
      </w:r>
      <w:r w:rsidR="00155FF4" w:rsidRPr="00457D56">
        <w:rPr>
          <w:color w:val="000000" w:themeColor="text1"/>
        </w:rPr>
        <w:t>ssistance</w:t>
      </w:r>
      <w:r w:rsidR="003B63B7" w:rsidRPr="00457D56">
        <w:rPr>
          <w:color w:val="000000" w:themeColor="text1"/>
        </w:rPr>
        <w:t>, for accreditation of non-governmental organizations and for periodic reporting</w:t>
      </w:r>
      <w:r w:rsidR="00155FF4" w:rsidRPr="00457D56">
        <w:rPr>
          <w:color w:val="000000" w:themeColor="text1"/>
        </w:rPr>
        <w:t xml:space="preserve">. These can be found at: </w:t>
      </w:r>
      <w:hyperlink r:id="rId23" w:history="1">
        <w:r w:rsidR="003B63B7" w:rsidRPr="00457D56">
          <w:rPr>
            <w:rStyle w:val="Hyperlink"/>
            <w:color w:val="000000" w:themeColor="text1"/>
          </w:rPr>
          <w:t>http://www.unesco.org/culture/ich/en/forms</w:t>
        </w:r>
      </w:hyperlink>
    </w:p>
    <w:p w14:paraId="0B798E92" w14:textId="18000206" w:rsidR="00155FF4" w:rsidRPr="002E7C3D" w:rsidRDefault="00155FF4" w:rsidP="002E7C3D">
      <w:pPr>
        <w:pStyle w:val="Texte1"/>
      </w:pPr>
      <w:r w:rsidRPr="002E7C3D">
        <w:lastRenderedPageBreak/>
        <w:t xml:space="preserve">For the work of the World Intellectual Property Organization on intellectual property and traditional cultural expressions, see </w:t>
      </w:r>
      <w:hyperlink r:id="rId24" w:history="1">
        <w:r w:rsidR="009323E0" w:rsidRPr="002E7C3D">
          <w:rPr>
            <w:rStyle w:val="Hyperlink"/>
            <w:color w:val="auto"/>
            <w:u w:val="none"/>
          </w:rPr>
          <w:t>http://www.wipo.int/tk/en/resources</w:t>
        </w:r>
      </w:hyperlink>
      <w:r w:rsidRPr="002E7C3D">
        <w:t>.</w:t>
      </w:r>
    </w:p>
    <w:p w14:paraId="515F354E" w14:textId="4D89EBB5" w:rsidR="0092630D" w:rsidRPr="002E7C3D" w:rsidRDefault="00DB268B" w:rsidP="002E7C3D">
      <w:pPr>
        <w:pStyle w:val="Texte1"/>
      </w:pPr>
      <w:r w:rsidRPr="002E7C3D">
        <w:t>There is a rapidly growing body of publications on the Convention and its implementation.</w:t>
      </w:r>
    </w:p>
    <w:p w14:paraId="4C8CC900" w14:textId="0B16946D" w:rsidR="00DB268B" w:rsidRPr="00787639" w:rsidRDefault="00C83FF9">
      <w:pPr>
        <w:pStyle w:val="Soustitre"/>
      </w:pPr>
      <w:r w:rsidRPr="00496C7B">
        <w:rPr>
          <w:noProof/>
          <w:lang w:val="fr-FR" w:eastAsia="zh-TW"/>
        </w:rPr>
        <w:drawing>
          <wp:anchor distT="0" distB="0" distL="114300" distR="114300" simplePos="0" relativeHeight="251667968" behindDoc="0" locked="0" layoutInCell="1" allowOverlap="0" wp14:anchorId="54E85397" wp14:editId="34054462">
            <wp:simplePos x="0" y="0"/>
            <wp:positionH relativeFrom="margin">
              <wp:align>left</wp:align>
            </wp:positionH>
            <wp:positionV relativeFrom="paragraph">
              <wp:posOffset>-36104</wp:posOffset>
            </wp:positionV>
            <wp:extent cx="283210" cy="358775"/>
            <wp:effectExtent l="0" t="0" r="254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DB268B" w:rsidRPr="00787639">
        <w:rPr>
          <w:rFonts w:hint="eastAsia"/>
        </w:rPr>
        <w:t>See for example:</w:t>
      </w:r>
    </w:p>
    <w:p w14:paraId="5007F2C5" w14:textId="5717F365" w:rsidR="00DB268B" w:rsidRPr="00496C7B" w:rsidRDefault="00DB268B" w:rsidP="00496C7B">
      <w:pPr>
        <w:pStyle w:val="Txtpucegras"/>
      </w:pPr>
      <w:r w:rsidRPr="00496C7B">
        <w:t xml:space="preserve">Blake, J. 2006. </w:t>
      </w:r>
      <w:r w:rsidRPr="00511F08">
        <w:rPr>
          <w:i/>
        </w:rPr>
        <w:t>Commentary on the UNESCO 2003 Convention on the Safeguarding of the Intangible Cultural Heritage</w:t>
      </w:r>
      <w:r w:rsidR="00511F08">
        <w:t>. Leicester, Institute of Art and</w:t>
      </w:r>
      <w:r w:rsidRPr="00496C7B">
        <w:t xml:space="preserve"> Law.</w:t>
      </w:r>
    </w:p>
    <w:p w14:paraId="5BF94D60" w14:textId="166504DD" w:rsidR="00DB268B" w:rsidRPr="00A91355" w:rsidRDefault="00DB268B" w:rsidP="00496C7B">
      <w:pPr>
        <w:pStyle w:val="Txtpucegras"/>
        <w:rPr>
          <w:lang w:val="fr-FR"/>
        </w:rPr>
      </w:pPr>
      <w:r w:rsidRPr="00496C7B">
        <w:t xml:space="preserve">Hottin, C. and Khaznadar, C. (eds). 2011. </w:t>
      </w:r>
      <w:r w:rsidRPr="00307757">
        <w:rPr>
          <w:i/>
          <w:lang w:val="fr-FR"/>
        </w:rPr>
        <w:t>Le patrimoine culturel immatériel, premières expériences en France</w:t>
      </w:r>
      <w:r w:rsidRPr="00A91355">
        <w:rPr>
          <w:lang w:val="fr-FR"/>
        </w:rPr>
        <w:t xml:space="preserve">. </w:t>
      </w:r>
      <w:r w:rsidR="00162DBC" w:rsidRPr="00A91355">
        <w:rPr>
          <w:lang w:val="fr-FR"/>
        </w:rPr>
        <w:t>Internationale de l’</w:t>
      </w:r>
      <w:r w:rsidR="00162DBC">
        <w:rPr>
          <w:lang w:val="fr-FR"/>
        </w:rPr>
        <w:t xml:space="preserve">imaginaire, new series, No. 25. </w:t>
      </w:r>
      <w:r w:rsidRPr="00A91355">
        <w:rPr>
          <w:lang w:val="fr-FR"/>
        </w:rPr>
        <w:t>Paris, Maiso</w:t>
      </w:r>
      <w:r w:rsidR="00162DBC">
        <w:rPr>
          <w:lang w:val="fr-FR"/>
        </w:rPr>
        <w:t>n des Cultures du Monde/Babel.</w:t>
      </w:r>
    </w:p>
    <w:p w14:paraId="061A459A" w14:textId="77777777" w:rsidR="00DB268B" w:rsidRPr="00496C7B" w:rsidRDefault="00DB268B" w:rsidP="00496C7B">
      <w:pPr>
        <w:pStyle w:val="Txtpucegras"/>
      </w:pPr>
      <w:r w:rsidRPr="00496C7B">
        <w:t xml:space="preserve">Smith, L. and Akagawa, N. 2009. </w:t>
      </w:r>
      <w:r w:rsidRPr="00BF70FA">
        <w:rPr>
          <w:i/>
        </w:rPr>
        <w:t>Intangible Heritage</w:t>
      </w:r>
      <w:r w:rsidRPr="00496C7B">
        <w:t xml:space="preserve"> (Key Issues in Cultural Heritage). London/New York, Routledge.</w:t>
      </w:r>
    </w:p>
    <w:p w14:paraId="38ECE3BC" w14:textId="4F2743F9" w:rsidR="00DB268B" w:rsidRPr="00D05CE0" w:rsidRDefault="00DB268B" w:rsidP="00496C7B">
      <w:pPr>
        <w:pStyle w:val="Txtpucegras"/>
      </w:pPr>
      <w:r w:rsidRPr="000E4DDE">
        <w:rPr>
          <w:lang w:val="en-US"/>
        </w:rPr>
        <w:t xml:space="preserve">UNESCO. 2004. </w:t>
      </w:r>
      <w:r w:rsidRPr="00D05CE0">
        <w:rPr>
          <w:i/>
        </w:rPr>
        <w:t>Museum International</w:t>
      </w:r>
      <w:r w:rsidR="00B43616">
        <w:t>.</w:t>
      </w:r>
      <w:r w:rsidRPr="00D05CE0">
        <w:t xml:space="preserve"> No. 221/222:</w:t>
      </w:r>
      <w:r w:rsidR="00D05CE0">
        <w:t xml:space="preserve"> </w:t>
      </w:r>
      <w:r w:rsidRPr="00496C7B">
        <w:t>Intangible Heritage</w:t>
      </w:r>
      <w:r w:rsidRPr="00D05CE0">
        <w:t>.</w:t>
      </w:r>
    </w:p>
    <w:p w14:paraId="68C7F525" w14:textId="35D121B7" w:rsidR="00903842" w:rsidRPr="007530FA" w:rsidRDefault="00DB268B" w:rsidP="00496C7B">
      <w:pPr>
        <w:pStyle w:val="Txtpucegras"/>
        <w:rPr>
          <w:color w:val="000000" w:themeColor="text1"/>
        </w:rPr>
      </w:pPr>
      <w:r w:rsidRPr="007530FA">
        <w:rPr>
          <w:color w:val="000000" w:themeColor="text1"/>
        </w:rPr>
        <w:t xml:space="preserve">Journals such as the International Journal of Intangible Heritage and the International Journal of Heritage Studies both publish articles dealing with ICH </w:t>
      </w:r>
      <w:r w:rsidR="00D05CE0">
        <w:rPr>
          <w:color w:val="000000" w:themeColor="text1"/>
        </w:rPr>
        <w:t>that are based on case studies.</w:t>
      </w:r>
    </w:p>
    <w:p w14:paraId="4768922E" w14:textId="4C09C91C" w:rsidR="00BF57B3" w:rsidRPr="0070249B" w:rsidRDefault="00DB268B" w:rsidP="00ED1A2B">
      <w:pPr>
        <w:pStyle w:val="Txtpucegras"/>
      </w:pPr>
      <w:r w:rsidRPr="00496C7B">
        <w:t>The International Information and Networking Centre for Intangible Cultural Heritage in the Asia-Pacific Region (ICHCAP)</w:t>
      </w:r>
      <w:r w:rsidR="00A61FEB">
        <w:t xml:space="preserve"> (</w:t>
      </w:r>
      <w:r w:rsidR="00A61FEB" w:rsidRPr="00A61FEB">
        <w:t>http://www.ichcap.org/eng/index/index.php</w:t>
      </w:r>
      <w:r w:rsidR="00A61FEB">
        <w:t>)</w:t>
      </w:r>
      <w:r w:rsidRPr="00496C7B">
        <w:t xml:space="preserve"> and the Asia/Pacific Cultural Centre for UNESCO (ACCU)</w:t>
      </w:r>
      <w:r w:rsidR="00ED1A2B">
        <w:t xml:space="preserve"> (http://www.accu.or.jp/ich/en/)</w:t>
      </w:r>
      <w:r w:rsidRPr="00496C7B">
        <w:t xml:space="preserve"> also have a number of ICH-related reports and case studies on their websites.</w:t>
      </w:r>
    </w:p>
    <w:sectPr w:rsidR="00BF57B3" w:rsidRPr="0070249B" w:rsidSect="00737816">
      <w:headerReference w:type="even" r:id="rId25"/>
      <w:headerReference w:type="default" r:id="rId26"/>
      <w:footerReference w:type="even" r:id="rId27"/>
      <w:footerReference w:type="default" r:id="rId28"/>
      <w:headerReference w:type="first" r:id="rId29"/>
      <w:footerReference w:type="first" r:id="rId30"/>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C74E03" w:rsidRDefault="00C74E03" w:rsidP="000F4C6A">
      <w:r>
        <w:separator/>
      </w:r>
    </w:p>
    <w:p w14:paraId="262E9671" w14:textId="77777777" w:rsidR="00C74E03" w:rsidRDefault="00C74E03"/>
  </w:endnote>
  <w:endnote w:type="continuationSeparator" w:id="0">
    <w:p w14:paraId="26A4114D" w14:textId="77777777" w:rsidR="00C74E03" w:rsidRDefault="00C74E03" w:rsidP="000F4C6A">
      <w:r>
        <w:continuationSeparator/>
      </w:r>
    </w:p>
    <w:p w14:paraId="7F3872B0" w14:textId="77777777" w:rsidR="00C74E03" w:rsidRDefault="00C74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80D7" w14:textId="4FB4D966" w:rsidR="00C74E03" w:rsidRPr="008B4139" w:rsidRDefault="00045342" w:rsidP="009D4AB5">
    <w:pPr>
      <w:pStyle w:val="Footer"/>
      <w:rPr>
        <w:lang w:val="en-US"/>
      </w:rPr>
    </w:pPr>
    <w:r>
      <w:rPr>
        <w:noProof/>
        <w:lang w:eastAsia="zh-TW"/>
      </w:rPr>
      <w:drawing>
        <wp:anchor distT="0" distB="0" distL="114300" distR="114300" simplePos="0" relativeHeight="252058624" behindDoc="0" locked="0" layoutInCell="1" allowOverlap="1" wp14:anchorId="68050381" wp14:editId="4CE48A80">
          <wp:simplePos x="0" y="0"/>
          <wp:positionH relativeFrom="column">
            <wp:posOffset>2407920</wp:posOffset>
          </wp:positionH>
          <wp:positionV relativeFrom="paragraph">
            <wp:posOffset>-6350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74E03" w:rsidRPr="008B4139">
      <w:rPr>
        <w:noProof/>
        <w:lang w:eastAsia="zh-TW"/>
      </w:rPr>
      <w:drawing>
        <wp:anchor distT="0" distB="0" distL="114300" distR="114300" simplePos="0" relativeHeight="251991040" behindDoc="0" locked="1" layoutInCell="1" allowOverlap="0" wp14:anchorId="2403E22E" wp14:editId="29557D4E">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C74E03" w:rsidRPr="008B4139">
      <w:rPr>
        <w:rStyle w:val="PageNumber"/>
        <w:lang w:val="en-US"/>
      </w:rPr>
      <w:tab/>
    </w:r>
    <w:r w:rsidR="00C74E03" w:rsidRPr="008B4139">
      <w:rPr>
        <w:lang w:val="en-US"/>
      </w:rPr>
      <w:tab/>
    </w:r>
    <w:r w:rsidR="00FF0438" w:rsidRPr="008B4139">
      <w:rPr>
        <w:lang w:val="en-US"/>
      </w:rPr>
      <w:t>U0</w:t>
    </w:r>
    <w:r w:rsidR="00FF0438">
      <w:rPr>
        <w:lang w:val="en-US"/>
      </w:rPr>
      <w:t>01</w:t>
    </w:r>
    <w:r w:rsidR="00C74E03" w:rsidRPr="008B4139">
      <w:rPr>
        <w:lang w:val="en-US"/>
      </w:rPr>
      <w:t>-v1.</w:t>
    </w:r>
    <w:r w:rsidR="00A14EE1">
      <w:rPr>
        <w:lang w:val="en-US"/>
      </w:rPr>
      <w:t>2</w:t>
    </w:r>
    <w:r w:rsidR="00C74E03" w:rsidRPr="008B4139">
      <w:rPr>
        <w:lang w:val="en-US"/>
      </w:rPr>
      <w:t>-PT-EN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2942A5A0" w:rsidR="00C74E03" w:rsidRPr="008B4139" w:rsidRDefault="00045342" w:rsidP="00CB334B">
    <w:pPr>
      <w:pStyle w:val="Footer"/>
      <w:rPr>
        <w:lang w:val="en-US"/>
      </w:rPr>
    </w:pPr>
    <w:r>
      <w:rPr>
        <w:noProof/>
        <w:lang w:eastAsia="zh-TW"/>
      </w:rPr>
      <w:drawing>
        <wp:anchor distT="0" distB="0" distL="114300" distR="114300" simplePos="0" relativeHeight="252060672" behindDoc="0" locked="0" layoutInCell="1" allowOverlap="1" wp14:anchorId="7CD8C124" wp14:editId="63ADF1F4">
          <wp:simplePos x="0" y="0"/>
          <wp:positionH relativeFrom="column">
            <wp:posOffset>2522220</wp:posOffset>
          </wp:positionH>
          <wp:positionV relativeFrom="paragraph">
            <wp:posOffset>-6350</wp:posOffset>
          </wp:positionV>
          <wp:extent cx="542925" cy="1905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F0438" w:rsidRPr="008B4139">
      <w:rPr>
        <w:lang w:val="en-US"/>
      </w:rPr>
      <w:t>U0</w:t>
    </w:r>
    <w:r w:rsidR="00FF0438">
      <w:rPr>
        <w:lang w:val="en-US"/>
      </w:rPr>
      <w:t>01</w:t>
    </w:r>
    <w:r w:rsidR="00A14EE1">
      <w:rPr>
        <w:lang w:val="en-US"/>
      </w:rPr>
      <w:t>-v1.2</w:t>
    </w:r>
    <w:r w:rsidR="00C74E03" w:rsidRPr="008B4139">
      <w:rPr>
        <w:lang w:val="en-US"/>
      </w:rPr>
      <w:t>-PT-EN</w:t>
    </w:r>
    <w:r w:rsidR="00C74E03" w:rsidRPr="008B4139">
      <w:rPr>
        <w:lang w:val="en-US"/>
      </w:rPr>
      <w:tab/>
    </w:r>
    <w:r w:rsidR="00C74E03" w:rsidRPr="008B4139">
      <w:rPr>
        <w:lang w:val="en-US"/>
      </w:rPr>
      <w:tab/>
    </w:r>
    <w:r w:rsidR="00C74E03" w:rsidRPr="008B4139">
      <w:rPr>
        <w:noProof/>
        <w:snapToGrid/>
        <w:lang w:eastAsia="zh-TW"/>
      </w:rPr>
      <w:drawing>
        <wp:anchor distT="0" distB="0" distL="114300" distR="114300" simplePos="0" relativeHeight="251988992" behindDoc="0" locked="1" layoutInCell="1" allowOverlap="0" wp14:anchorId="6FEC9B8E" wp14:editId="1AF9A35E">
          <wp:simplePos x="0" y="0"/>
          <wp:positionH relativeFrom="margin">
            <wp:align>right</wp:align>
          </wp:positionH>
          <wp:positionV relativeFrom="margin">
            <wp:posOffset>8745855</wp:posOffset>
          </wp:positionV>
          <wp:extent cx="942975" cy="538480"/>
          <wp:effectExtent l="0" t="0" r="9525"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EDC6" w14:textId="50BBE9FD" w:rsidR="00C74E03" w:rsidRPr="008B4139" w:rsidRDefault="00630568" w:rsidP="00DA711D">
    <w:pPr>
      <w:pStyle w:val="Footer"/>
      <w:rPr>
        <w:lang w:val="en-US"/>
      </w:rPr>
    </w:pPr>
    <w:r>
      <w:rPr>
        <w:noProof/>
        <w:lang w:eastAsia="zh-TW"/>
      </w:rPr>
      <w:drawing>
        <wp:anchor distT="0" distB="0" distL="114300" distR="114300" simplePos="0" relativeHeight="252062720" behindDoc="0" locked="0" layoutInCell="1" allowOverlap="1" wp14:anchorId="540C71D1" wp14:editId="1193300A">
          <wp:simplePos x="0" y="0"/>
          <wp:positionH relativeFrom="column">
            <wp:posOffset>2560320</wp:posOffset>
          </wp:positionH>
          <wp:positionV relativeFrom="paragraph">
            <wp:posOffset>12700</wp:posOffset>
          </wp:positionV>
          <wp:extent cx="542925" cy="19050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74E03" w:rsidRPr="008B4139">
      <w:rPr>
        <w:lang w:val="en-US"/>
      </w:rPr>
      <w:t>U</w:t>
    </w:r>
    <w:r w:rsidR="00C74E03">
      <w:rPr>
        <w:lang w:val="en-US"/>
      </w:rPr>
      <w:t>0</w:t>
    </w:r>
    <w:r w:rsidR="00FF0438">
      <w:rPr>
        <w:lang w:val="en-US"/>
      </w:rPr>
      <w:t>01</w:t>
    </w:r>
    <w:r w:rsidR="00C74E03" w:rsidRPr="008B4139">
      <w:rPr>
        <w:lang w:val="en-US"/>
      </w:rPr>
      <w:t>-v1.</w:t>
    </w:r>
    <w:r w:rsidR="00A14EE1">
      <w:rPr>
        <w:lang w:val="en-US"/>
      </w:rPr>
      <w:t>2</w:t>
    </w:r>
    <w:r w:rsidR="00C74E03" w:rsidRPr="008B4139">
      <w:rPr>
        <w:lang w:val="en-US"/>
      </w:rPr>
      <w:t>-PT-EN</w:t>
    </w:r>
    <w:r w:rsidR="00C74E03" w:rsidRPr="008B4139">
      <w:rPr>
        <w:lang w:val="en-US"/>
      </w:rPr>
      <w:tab/>
    </w:r>
    <w:r w:rsidR="00C74E03" w:rsidRPr="008B4139">
      <w:rPr>
        <w:lang w:val="en-US"/>
      </w:rPr>
      <w:tab/>
    </w:r>
    <w:r w:rsidR="00C74E03" w:rsidRPr="008B4139">
      <w:rPr>
        <w:noProof/>
        <w:snapToGrid/>
        <w:lang w:eastAsia="zh-TW"/>
      </w:rPr>
      <w:drawing>
        <wp:anchor distT="0" distB="0" distL="114300" distR="114300" simplePos="0" relativeHeight="252050432" behindDoc="0" locked="1" layoutInCell="1" allowOverlap="0" wp14:anchorId="26B79FD2" wp14:editId="3BA9573B">
          <wp:simplePos x="0" y="0"/>
          <wp:positionH relativeFrom="margin">
            <wp:posOffset>4737735</wp:posOffset>
          </wp:positionH>
          <wp:positionV relativeFrom="margin">
            <wp:posOffset>8663305</wp:posOffset>
          </wp:positionV>
          <wp:extent cx="942975" cy="538480"/>
          <wp:effectExtent l="0" t="0" r="9525"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C74E03" w:rsidRDefault="00C74E03" w:rsidP="00117DDB">
      <w:pPr>
        <w:ind w:left="0"/>
      </w:pPr>
      <w:r>
        <w:separator/>
      </w:r>
    </w:p>
  </w:footnote>
  <w:footnote w:type="continuationSeparator" w:id="0">
    <w:p w14:paraId="2DF99750" w14:textId="77777777" w:rsidR="00C74E03" w:rsidRDefault="00C74E03" w:rsidP="000F4C6A">
      <w:r>
        <w:continuationSeparator/>
      </w:r>
    </w:p>
    <w:p w14:paraId="5B2EB559" w14:textId="77777777" w:rsidR="00C74E03" w:rsidRDefault="00C74E03"/>
  </w:footnote>
  <w:footnote w:id="1">
    <w:p w14:paraId="6297ADAA" w14:textId="39B62D7C" w:rsidR="009F15C2" w:rsidRPr="009F15C2" w:rsidRDefault="009F15C2" w:rsidP="009F15C2">
      <w:pPr>
        <w:pStyle w:val="FootnoteText"/>
        <w:rPr>
          <w:lang w:val="en-GB"/>
        </w:rPr>
      </w:pPr>
      <w:r w:rsidRPr="009F15C2">
        <w:rPr>
          <w:rStyle w:val="FootnoteReference"/>
          <w:sz w:val="16"/>
          <w:szCs w:val="16"/>
          <w:vertAlign w:val="baseline"/>
        </w:rPr>
        <w:footnoteRef/>
      </w:r>
      <w:r w:rsidRPr="009F15C2">
        <w:rPr>
          <w:lang w:val="en-GB"/>
        </w:rPr>
        <w:t>.</w:t>
      </w:r>
      <w:r w:rsidRPr="009F15C2">
        <w:rPr>
          <w:lang w:val="en-GB"/>
        </w:rPr>
        <w:tab/>
        <w:t>Frequently referred to as the ‘Intangible Heritage Convention’, the ‘2003 Convention’ and, for the purpose of this unit, simply the ‘Convention’.</w:t>
      </w:r>
    </w:p>
  </w:footnote>
  <w:footnote w:id="2">
    <w:p w14:paraId="481A55FB" w14:textId="4ADAE0B9" w:rsidR="007530FA" w:rsidRPr="00713A95" w:rsidRDefault="007530FA" w:rsidP="00713A95">
      <w:pPr>
        <w:pStyle w:val="FootnoteText"/>
        <w:tabs>
          <w:tab w:val="clear" w:pos="340"/>
          <w:tab w:val="left" w:pos="426"/>
        </w:tabs>
        <w:rPr>
          <w:lang w:val="en-GB"/>
        </w:rPr>
      </w:pPr>
      <w:r w:rsidRPr="00713A95">
        <w:rPr>
          <w:rStyle w:val="FootnoteReference"/>
          <w:sz w:val="16"/>
          <w:szCs w:val="16"/>
          <w:vertAlign w:val="baseline"/>
        </w:rPr>
        <w:footnoteRef/>
      </w:r>
      <w:r w:rsidRPr="00713A95">
        <w:rPr>
          <w:lang w:val="en-GB"/>
        </w:rPr>
        <w:t>.</w:t>
      </w:r>
      <w:r w:rsidR="00713A95" w:rsidRPr="00713A95">
        <w:rPr>
          <w:lang w:val="en-GB"/>
        </w:rPr>
        <w:tab/>
      </w:r>
      <w:r w:rsidRPr="00713A95">
        <w:rPr>
          <w:lang w:val="en-GB"/>
        </w:rPr>
        <w:t>World Commission on Environment and Development (the Brundtland</w:t>
      </w:r>
      <w:r w:rsidR="00E47B99">
        <w:rPr>
          <w:lang w:val="en-GB"/>
        </w:rPr>
        <w:t xml:space="preserve"> Commission). 1987.</w:t>
      </w:r>
      <w:r w:rsidRPr="00713A95">
        <w:rPr>
          <w:lang w:val="en-GB"/>
        </w:rPr>
        <w:t xml:space="preserve"> </w:t>
      </w:r>
      <w:r w:rsidRPr="00E47B99">
        <w:rPr>
          <w:i/>
          <w:lang w:val="en-GB"/>
        </w:rPr>
        <w:t>Our Common Future</w:t>
      </w:r>
      <w:r w:rsidR="00E47B99">
        <w:rPr>
          <w:lang w:val="en-GB"/>
        </w:rPr>
        <w:t>.</w:t>
      </w:r>
      <w:r w:rsidRPr="00713A95">
        <w:rPr>
          <w:lang w:val="en-GB"/>
        </w:rPr>
        <w:t xml:space="preserve"> Oxford,</w:t>
      </w:r>
      <w:r w:rsidR="00713A95" w:rsidRPr="00713A95">
        <w:rPr>
          <w:lang w:val="en-GB"/>
        </w:rPr>
        <w:t xml:space="preserve"> O</w:t>
      </w:r>
      <w:r w:rsidRPr="00713A95">
        <w:rPr>
          <w:lang w:val="en-GB"/>
        </w:rPr>
        <w:t>xford University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169E81AF" w:rsidR="00C74E03" w:rsidRDefault="00C74E03">
    <w:pPr>
      <w:pStyle w:val="Header"/>
    </w:pPr>
    <w:r>
      <w:rPr>
        <w:rStyle w:val="PageNumber"/>
      </w:rPr>
      <w:fldChar w:fldCharType="begin"/>
    </w:r>
    <w:r>
      <w:rPr>
        <w:rStyle w:val="PageNumber"/>
      </w:rPr>
      <w:instrText xml:space="preserve"> PAGE </w:instrText>
    </w:r>
    <w:r>
      <w:rPr>
        <w:rStyle w:val="PageNumber"/>
      </w:rPr>
      <w:fldChar w:fldCharType="separate"/>
    </w:r>
    <w:r w:rsidR="00AE1A80">
      <w:rPr>
        <w:rStyle w:val="PageNumber"/>
        <w:noProof/>
      </w:rPr>
      <w:t>8</w:t>
    </w:r>
    <w:r>
      <w:rPr>
        <w:rStyle w:val="PageNumber"/>
      </w:rPr>
      <w:fldChar w:fldCharType="end"/>
    </w:r>
    <w:r>
      <w:tab/>
    </w:r>
    <w:r w:rsidR="00273802">
      <w:rPr>
        <w:szCs w:val="16"/>
      </w:rPr>
      <w:t>Unit 1: IMP Works</w:t>
    </w:r>
    <w:r w:rsidR="00273802">
      <w:rPr>
        <w:rStyle w:val="PageNumber"/>
      </w:rPr>
      <w:t>hop Introduction</w:t>
    </w:r>
    <w:r>
      <w:tab/>
      <w:t xml:space="preserve">Participant’s text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FB59" w14:textId="3E4C882F" w:rsidR="00C74E03" w:rsidRPr="00DB506E" w:rsidRDefault="00C74E03" w:rsidP="009D4AB5">
    <w:pPr>
      <w:pStyle w:val="Header"/>
    </w:pPr>
    <w:r>
      <w:t>Participant’s text</w:t>
    </w:r>
    <w:r>
      <w:tab/>
    </w:r>
    <w:r w:rsidR="00273802">
      <w:rPr>
        <w:szCs w:val="16"/>
      </w:rPr>
      <w:t>Unit 1: IMP Works</w:t>
    </w:r>
    <w:r w:rsidR="00273802">
      <w:rPr>
        <w:rStyle w:val="PageNumber"/>
      </w:rPr>
      <w:t>hop Introduction</w:t>
    </w:r>
    <w:r>
      <w:tab/>
    </w:r>
    <w:r>
      <w:rPr>
        <w:rStyle w:val="PageNumber"/>
      </w:rPr>
      <w:fldChar w:fldCharType="begin"/>
    </w:r>
    <w:r>
      <w:rPr>
        <w:rStyle w:val="PageNumber"/>
      </w:rPr>
      <w:instrText xml:space="preserve"> PAGE </w:instrText>
    </w:r>
    <w:r>
      <w:rPr>
        <w:rStyle w:val="PageNumber"/>
      </w:rPr>
      <w:fldChar w:fldCharType="separate"/>
    </w:r>
    <w:r w:rsidR="00AE1A80">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1B3E" w14:textId="6DBFAA03" w:rsidR="00C74E03" w:rsidRDefault="00C74E03" w:rsidP="00065059">
    <w:pPr>
      <w:pStyle w:val="Header"/>
      <w:ind w:right="360"/>
    </w:pPr>
    <w:r>
      <w:tab/>
      <w:t xml:space="preserve">Participant’s text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45409">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293F"/>
    <w:rsid w:val="00014873"/>
    <w:rsid w:val="00017360"/>
    <w:rsid w:val="00017D71"/>
    <w:rsid w:val="00020DDD"/>
    <w:rsid w:val="000213A8"/>
    <w:rsid w:val="0002203F"/>
    <w:rsid w:val="00022302"/>
    <w:rsid w:val="0002511C"/>
    <w:rsid w:val="00025E6B"/>
    <w:rsid w:val="00027510"/>
    <w:rsid w:val="00033E6C"/>
    <w:rsid w:val="0003412A"/>
    <w:rsid w:val="000349C0"/>
    <w:rsid w:val="000354E3"/>
    <w:rsid w:val="00035D61"/>
    <w:rsid w:val="00036BC5"/>
    <w:rsid w:val="0003710D"/>
    <w:rsid w:val="00037FE6"/>
    <w:rsid w:val="00041EBF"/>
    <w:rsid w:val="00042018"/>
    <w:rsid w:val="00042916"/>
    <w:rsid w:val="00043DFF"/>
    <w:rsid w:val="00044417"/>
    <w:rsid w:val="00044E3A"/>
    <w:rsid w:val="0004504C"/>
    <w:rsid w:val="00045342"/>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5EFF"/>
    <w:rsid w:val="00076221"/>
    <w:rsid w:val="00081E8B"/>
    <w:rsid w:val="000826CD"/>
    <w:rsid w:val="000838BD"/>
    <w:rsid w:val="0008417E"/>
    <w:rsid w:val="00085406"/>
    <w:rsid w:val="0008689C"/>
    <w:rsid w:val="000870DC"/>
    <w:rsid w:val="000877FD"/>
    <w:rsid w:val="00090852"/>
    <w:rsid w:val="00094654"/>
    <w:rsid w:val="00094B61"/>
    <w:rsid w:val="00094E6C"/>
    <w:rsid w:val="000A06A3"/>
    <w:rsid w:val="000A1092"/>
    <w:rsid w:val="000A137F"/>
    <w:rsid w:val="000A7857"/>
    <w:rsid w:val="000A7DE3"/>
    <w:rsid w:val="000B0AC0"/>
    <w:rsid w:val="000B3AC7"/>
    <w:rsid w:val="000B3BEF"/>
    <w:rsid w:val="000B4581"/>
    <w:rsid w:val="000B6CC5"/>
    <w:rsid w:val="000C08B2"/>
    <w:rsid w:val="000C0E6A"/>
    <w:rsid w:val="000C2812"/>
    <w:rsid w:val="000C4C10"/>
    <w:rsid w:val="000C61DA"/>
    <w:rsid w:val="000C65CB"/>
    <w:rsid w:val="000C6BD2"/>
    <w:rsid w:val="000C7B32"/>
    <w:rsid w:val="000D5D72"/>
    <w:rsid w:val="000D647B"/>
    <w:rsid w:val="000D7317"/>
    <w:rsid w:val="000E18AA"/>
    <w:rsid w:val="000E1D9D"/>
    <w:rsid w:val="000E38A5"/>
    <w:rsid w:val="000E487A"/>
    <w:rsid w:val="000E4DDE"/>
    <w:rsid w:val="000E5B15"/>
    <w:rsid w:val="000E6438"/>
    <w:rsid w:val="000E6F12"/>
    <w:rsid w:val="000F0E2D"/>
    <w:rsid w:val="000F2801"/>
    <w:rsid w:val="000F4C6A"/>
    <w:rsid w:val="000F779D"/>
    <w:rsid w:val="001002E2"/>
    <w:rsid w:val="00100F44"/>
    <w:rsid w:val="001044A2"/>
    <w:rsid w:val="00104F6B"/>
    <w:rsid w:val="00106058"/>
    <w:rsid w:val="00106526"/>
    <w:rsid w:val="00111748"/>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936"/>
    <w:rsid w:val="00140E07"/>
    <w:rsid w:val="00142100"/>
    <w:rsid w:val="001435BA"/>
    <w:rsid w:val="001437A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2DBC"/>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D724C"/>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05B52"/>
    <w:rsid w:val="00210630"/>
    <w:rsid w:val="00210AA6"/>
    <w:rsid w:val="00210EAC"/>
    <w:rsid w:val="00212202"/>
    <w:rsid w:val="00212B50"/>
    <w:rsid w:val="002132D2"/>
    <w:rsid w:val="00215FA5"/>
    <w:rsid w:val="00216E1F"/>
    <w:rsid w:val="002207C3"/>
    <w:rsid w:val="00222A7A"/>
    <w:rsid w:val="00227E50"/>
    <w:rsid w:val="002335CF"/>
    <w:rsid w:val="00233CE4"/>
    <w:rsid w:val="002342B8"/>
    <w:rsid w:val="0023454D"/>
    <w:rsid w:val="002349E9"/>
    <w:rsid w:val="0023521F"/>
    <w:rsid w:val="00235DC5"/>
    <w:rsid w:val="00243CC1"/>
    <w:rsid w:val="002440CE"/>
    <w:rsid w:val="00244283"/>
    <w:rsid w:val="00246192"/>
    <w:rsid w:val="00253333"/>
    <w:rsid w:val="0025444A"/>
    <w:rsid w:val="002573B2"/>
    <w:rsid w:val="00261762"/>
    <w:rsid w:val="00261A28"/>
    <w:rsid w:val="00262118"/>
    <w:rsid w:val="00263BAE"/>
    <w:rsid w:val="002650D4"/>
    <w:rsid w:val="002712FD"/>
    <w:rsid w:val="002727D1"/>
    <w:rsid w:val="00272FC4"/>
    <w:rsid w:val="00272FE8"/>
    <w:rsid w:val="00273802"/>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6F9F"/>
    <w:rsid w:val="002A0044"/>
    <w:rsid w:val="002A1F9C"/>
    <w:rsid w:val="002A228F"/>
    <w:rsid w:val="002A22C2"/>
    <w:rsid w:val="002A3011"/>
    <w:rsid w:val="002A3A64"/>
    <w:rsid w:val="002A5E66"/>
    <w:rsid w:val="002A5F35"/>
    <w:rsid w:val="002B1ED4"/>
    <w:rsid w:val="002B3157"/>
    <w:rsid w:val="002B33DC"/>
    <w:rsid w:val="002B5ECD"/>
    <w:rsid w:val="002B6A2C"/>
    <w:rsid w:val="002C078E"/>
    <w:rsid w:val="002C37DF"/>
    <w:rsid w:val="002C4999"/>
    <w:rsid w:val="002C4B1C"/>
    <w:rsid w:val="002C4B32"/>
    <w:rsid w:val="002C53CE"/>
    <w:rsid w:val="002C5DD4"/>
    <w:rsid w:val="002C7C0D"/>
    <w:rsid w:val="002D13BF"/>
    <w:rsid w:val="002D143A"/>
    <w:rsid w:val="002D5639"/>
    <w:rsid w:val="002E318B"/>
    <w:rsid w:val="002E5028"/>
    <w:rsid w:val="002E728A"/>
    <w:rsid w:val="002E7C3D"/>
    <w:rsid w:val="002E7FAC"/>
    <w:rsid w:val="002F02A6"/>
    <w:rsid w:val="002F0C20"/>
    <w:rsid w:val="002F20F5"/>
    <w:rsid w:val="002F2B9E"/>
    <w:rsid w:val="002F4DBD"/>
    <w:rsid w:val="002F54E1"/>
    <w:rsid w:val="002F59FF"/>
    <w:rsid w:val="002F739D"/>
    <w:rsid w:val="00301581"/>
    <w:rsid w:val="0030168E"/>
    <w:rsid w:val="0030186B"/>
    <w:rsid w:val="00302388"/>
    <w:rsid w:val="00305780"/>
    <w:rsid w:val="0030639A"/>
    <w:rsid w:val="00306BB2"/>
    <w:rsid w:val="00307757"/>
    <w:rsid w:val="00307B4E"/>
    <w:rsid w:val="00311EAD"/>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379BD"/>
    <w:rsid w:val="003403F4"/>
    <w:rsid w:val="00340604"/>
    <w:rsid w:val="003408F2"/>
    <w:rsid w:val="00340932"/>
    <w:rsid w:val="00340A29"/>
    <w:rsid w:val="003426FF"/>
    <w:rsid w:val="0034280C"/>
    <w:rsid w:val="00343923"/>
    <w:rsid w:val="00344B54"/>
    <w:rsid w:val="00346A86"/>
    <w:rsid w:val="00346CC4"/>
    <w:rsid w:val="00350705"/>
    <w:rsid w:val="00351040"/>
    <w:rsid w:val="003531BA"/>
    <w:rsid w:val="00356606"/>
    <w:rsid w:val="00360231"/>
    <w:rsid w:val="00361F8E"/>
    <w:rsid w:val="00367858"/>
    <w:rsid w:val="003728E8"/>
    <w:rsid w:val="00375BFE"/>
    <w:rsid w:val="00376601"/>
    <w:rsid w:val="00376AF3"/>
    <w:rsid w:val="00377CF2"/>
    <w:rsid w:val="003801E5"/>
    <w:rsid w:val="00381789"/>
    <w:rsid w:val="00387787"/>
    <w:rsid w:val="0039555D"/>
    <w:rsid w:val="00396449"/>
    <w:rsid w:val="0039678B"/>
    <w:rsid w:val="003967C2"/>
    <w:rsid w:val="0039745B"/>
    <w:rsid w:val="003A0944"/>
    <w:rsid w:val="003A1010"/>
    <w:rsid w:val="003A3354"/>
    <w:rsid w:val="003A33AE"/>
    <w:rsid w:val="003A3469"/>
    <w:rsid w:val="003A56ED"/>
    <w:rsid w:val="003A6CA1"/>
    <w:rsid w:val="003A75C8"/>
    <w:rsid w:val="003B0E03"/>
    <w:rsid w:val="003B2A6E"/>
    <w:rsid w:val="003B3F5C"/>
    <w:rsid w:val="003B4AA2"/>
    <w:rsid w:val="003B5330"/>
    <w:rsid w:val="003B63B7"/>
    <w:rsid w:val="003B70C7"/>
    <w:rsid w:val="003B7126"/>
    <w:rsid w:val="003B7243"/>
    <w:rsid w:val="003B7844"/>
    <w:rsid w:val="003B7D0F"/>
    <w:rsid w:val="003C0A6F"/>
    <w:rsid w:val="003C0C9F"/>
    <w:rsid w:val="003C16F8"/>
    <w:rsid w:val="003C2B71"/>
    <w:rsid w:val="003C2E1E"/>
    <w:rsid w:val="003C3419"/>
    <w:rsid w:val="003C43B9"/>
    <w:rsid w:val="003C698E"/>
    <w:rsid w:val="003C7BB6"/>
    <w:rsid w:val="003D3CA6"/>
    <w:rsid w:val="003D41AA"/>
    <w:rsid w:val="003D4B1D"/>
    <w:rsid w:val="003D5074"/>
    <w:rsid w:val="003D5108"/>
    <w:rsid w:val="003D591B"/>
    <w:rsid w:val="003D7818"/>
    <w:rsid w:val="003D7CC1"/>
    <w:rsid w:val="003E0DFA"/>
    <w:rsid w:val="003E2227"/>
    <w:rsid w:val="003E2928"/>
    <w:rsid w:val="003E3905"/>
    <w:rsid w:val="003E3FB3"/>
    <w:rsid w:val="003E55C6"/>
    <w:rsid w:val="003E687B"/>
    <w:rsid w:val="003E697A"/>
    <w:rsid w:val="003F104E"/>
    <w:rsid w:val="003F586A"/>
    <w:rsid w:val="003F7994"/>
    <w:rsid w:val="004000C8"/>
    <w:rsid w:val="00400713"/>
    <w:rsid w:val="0040083C"/>
    <w:rsid w:val="0040286F"/>
    <w:rsid w:val="00402BBD"/>
    <w:rsid w:val="0040373D"/>
    <w:rsid w:val="00404B18"/>
    <w:rsid w:val="00406DE9"/>
    <w:rsid w:val="00410A29"/>
    <w:rsid w:val="00410AD0"/>
    <w:rsid w:val="004117F7"/>
    <w:rsid w:val="004127A8"/>
    <w:rsid w:val="004150DA"/>
    <w:rsid w:val="0041526A"/>
    <w:rsid w:val="004172D7"/>
    <w:rsid w:val="00421D0E"/>
    <w:rsid w:val="0042312C"/>
    <w:rsid w:val="004233C1"/>
    <w:rsid w:val="00423A98"/>
    <w:rsid w:val="004241EB"/>
    <w:rsid w:val="004272A4"/>
    <w:rsid w:val="00430B70"/>
    <w:rsid w:val="00432261"/>
    <w:rsid w:val="00432F46"/>
    <w:rsid w:val="004338FB"/>
    <w:rsid w:val="0043553C"/>
    <w:rsid w:val="0043679B"/>
    <w:rsid w:val="0043729F"/>
    <w:rsid w:val="00441E29"/>
    <w:rsid w:val="004449EE"/>
    <w:rsid w:val="00445E2A"/>
    <w:rsid w:val="004461BC"/>
    <w:rsid w:val="00446660"/>
    <w:rsid w:val="00447076"/>
    <w:rsid w:val="00450EF9"/>
    <w:rsid w:val="004524B2"/>
    <w:rsid w:val="00452B43"/>
    <w:rsid w:val="0045628D"/>
    <w:rsid w:val="00457D56"/>
    <w:rsid w:val="00460BA9"/>
    <w:rsid w:val="00461004"/>
    <w:rsid w:val="00464B85"/>
    <w:rsid w:val="00466D6B"/>
    <w:rsid w:val="0047474E"/>
    <w:rsid w:val="00475F68"/>
    <w:rsid w:val="00476162"/>
    <w:rsid w:val="00477C3F"/>
    <w:rsid w:val="00480CB1"/>
    <w:rsid w:val="00482544"/>
    <w:rsid w:val="00482FAD"/>
    <w:rsid w:val="00483E5F"/>
    <w:rsid w:val="004873ED"/>
    <w:rsid w:val="00487F47"/>
    <w:rsid w:val="00491B67"/>
    <w:rsid w:val="00493699"/>
    <w:rsid w:val="00494083"/>
    <w:rsid w:val="00494B66"/>
    <w:rsid w:val="00495197"/>
    <w:rsid w:val="00496C7B"/>
    <w:rsid w:val="0049701D"/>
    <w:rsid w:val="00497179"/>
    <w:rsid w:val="004A1DE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09F7"/>
    <w:rsid w:val="00501117"/>
    <w:rsid w:val="005011E9"/>
    <w:rsid w:val="00502D2E"/>
    <w:rsid w:val="00505241"/>
    <w:rsid w:val="005058A4"/>
    <w:rsid w:val="00505F03"/>
    <w:rsid w:val="00505FCF"/>
    <w:rsid w:val="00506791"/>
    <w:rsid w:val="00506ADE"/>
    <w:rsid w:val="005076FF"/>
    <w:rsid w:val="00507FCB"/>
    <w:rsid w:val="0051158F"/>
    <w:rsid w:val="00511F08"/>
    <w:rsid w:val="00513A84"/>
    <w:rsid w:val="005141D8"/>
    <w:rsid w:val="00520CB3"/>
    <w:rsid w:val="00521548"/>
    <w:rsid w:val="00521937"/>
    <w:rsid w:val="005226D5"/>
    <w:rsid w:val="00527CC5"/>
    <w:rsid w:val="00527E16"/>
    <w:rsid w:val="005322A5"/>
    <w:rsid w:val="0053533D"/>
    <w:rsid w:val="005358EF"/>
    <w:rsid w:val="00535CA3"/>
    <w:rsid w:val="00536045"/>
    <w:rsid w:val="00536A95"/>
    <w:rsid w:val="00536F8D"/>
    <w:rsid w:val="00540639"/>
    <w:rsid w:val="0054201F"/>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D29"/>
    <w:rsid w:val="00561EE9"/>
    <w:rsid w:val="00562D85"/>
    <w:rsid w:val="005630DC"/>
    <w:rsid w:val="0056329E"/>
    <w:rsid w:val="00564EBC"/>
    <w:rsid w:val="00565F12"/>
    <w:rsid w:val="0056621E"/>
    <w:rsid w:val="0056646B"/>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950"/>
    <w:rsid w:val="00583AF9"/>
    <w:rsid w:val="00584506"/>
    <w:rsid w:val="005855C9"/>
    <w:rsid w:val="0058637A"/>
    <w:rsid w:val="00587285"/>
    <w:rsid w:val="005904EF"/>
    <w:rsid w:val="00590B2E"/>
    <w:rsid w:val="00590F22"/>
    <w:rsid w:val="0059228C"/>
    <w:rsid w:val="0059367A"/>
    <w:rsid w:val="005951FB"/>
    <w:rsid w:val="00595FA1"/>
    <w:rsid w:val="0059714B"/>
    <w:rsid w:val="00597670"/>
    <w:rsid w:val="005A0707"/>
    <w:rsid w:val="005A221B"/>
    <w:rsid w:val="005A3518"/>
    <w:rsid w:val="005A408C"/>
    <w:rsid w:val="005A68B9"/>
    <w:rsid w:val="005B0690"/>
    <w:rsid w:val="005B0DA6"/>
    <w:rsid w:val="005B0E2C"/>
    <w:rsid w:val="005B1C14"/>
    <w:rsid w:val="005B1ED9"/>
    <w:rsid w:val="005B2CAA"/>
    <w:rsid w:val="005B5922"/>
    <w:rsid w:val="005B5D26"/>
    <w:rsid w:val="005C10EB"/>
    <w:rsid w:val="005C21E7"/>
    <w:rsid w:val="005D15F4"/>
    <w:rsid w:val="005D3070"/>
    <w:rsid w:val="005D35D9"/>
    <w:rsid w:val="005D3954"/>
    <w:rsid w:val="005D4E0C"/>
    <w:rsid w:val="005D5FA7"/>
    <w:rsid w:val="005D72AA"/>
    <w:rsid w:val="005D72E2"/>
    <w:rsid w:val="005E0090"/>
    <w:rsid w:val="005E0EFD"/>
    <w:rsid w:val="005E221C"/>
    <w:rsid w:val="005E274A"/>
    <w:rsid w:val="005E36D5"/>
    <w:rsid w:val="005E3735"/>
    <w:rsid w:val="005E39EF"/>
    <w:rsid w:val="005E45A5"/>
    <w:rsid w:val="005E4F57"/>
    <w:rsid w:val="005E6768"/>
    <w:rsid w:val="005E7014"/>
    <w:rsid w:val="005E7148"/>
    <w:rsid w:val="005E735D"/>
    <w:rsid w:val="005F0B1D"/>
    <w:rsid w:val="005F3328"/>
    <w:rsid w:val="005F3D8C"/>
    <w:rsid w:val="005F6E75"/>
    <w:rsid w:val="005F7B44"/>
    <w:rsid w:val="00600682"/>
    <w:rsid w:val="006073FB"/>
    <w:rsid w:val="00610F11"/>
    <w:rsid w:val="0061203C"/>
    <w:rsid w:val="00612754"/>
    <w:rsid w:val="00612E93"/>
    <w:rsid w:val="00614307"/>
    <w:rsid w:val="0061494B"/>
    <w:rsid w:val="00614CB8"/>
    <w:rsid w:val="00615968"/>
    <w:rsid w:val="00615CE8"/>
    <w:rsid w:val="00616CEB"/>
    <w:rsid w:val="00621FCA"/>
    <w:rsid w:val="00625277"/>
    <w:rsid w:val="006273B9"/>
    <w:rsid w:val="00630559"/>
    <w:rsid w:val="00630568"/>
    <w:rsid w:val="0063095F"/>
    <w:rsid w:val="00630C52"/>
    <w:rsid w:val="00631706"/>
    <w:rsid w:val="00633031"/>
    <w:rsid w:val="00633EDB"/>
    <w:rsid w:val="006359A9"/>
    <w:rsid w:val="006361C2"/>
    <w:rsid w:val="00640640"/>
    <w:rsid w:val="006409CD"/>
    <w:rsid w:val="00640A46"/>
    <w:rsid w:val="00640EB6"/>
    <w:rsid w:val="00645717"/>
    <w:rsid w:val="00645FE7"/>
    <w:rsid w:val="00646C0C"/>
    <w:rsid w:val="00646DFA"/>
    <w:rsid w:val="00651D20"/>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77A68"/>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18CC"/>
    <w:rsid w:val="006A2C05"/>
    <w:rsid w:val="006A34BE"/>
    <w:rsid w:val="006B0E7D"/>
    <w:rsid w:val="006B20AA"/>
    <w:rsid w:val="006B2303"/>
    <w:rsid w:val="006B4812"/>
    <w:rsid w:val="006C3379"/>
    <w:rsid w:val="006C4053"/>
    <w:rsid w:val="006C6F2C"/>
    <w:rsid w:val="006D1DCA"/>
    <w:rsid w:val="006D377F"/>
    <w:rsid w:val="006D3839"/>
    <w:rsid w:val="006D3F50"/>
    <w:rsid w:val="006D52B1"/>
    <w:rsid w:val="006D65B3"/>
    <w:rsid w:val="006D7EAB"/>
    <w:rsid w:val="006E1465"/>
    <w:rsid w:val="006E147C"/>
    <w:rsid w:val="006E14A0"/>
    <w:rsid w:val="006E45F1"/>
    <w:rsid w:val="006E5029"/>
    <w:rsid w:val="006E528B"/>
    <w:rsid w:val="006E61DF"/>
    <w:rsid w:val="006E76BE"/>
    <w:rsid w:val="006E7CEB"/>
    <w:rsid w:val="006F07A6"/>
    <w:rsid w:val="006F146C"/>
    <w:rsid w:val="006F42AA"/>
    <w:rsid w:val="006F4915"/>
    <w:rsid w:val="006F64E6"/>
    <w:rsid w:val="00701EE2"/>
    <w:rsid w:val="0070249B"/>
    <w:rsid w:val="00703853"/>
    <w:rsid w:val="0070388C"/>
    <w:rsid w:val="0070685A"/>
    <w:rsid w:val="007102EC"/>
    <w:rsid w:val="00713A17"/>
    <w:rsid w:val="00713A95"/>
    <w:rsid w:val="00714801"/>
    <w:rsid w:val="00714CFE"/>
    <w:rsid w:val="00722E3D"/>
    <w:rsid w:val="00723BF6"/>
    <w:rsid w:val="00723FDF"/>
    <w:rsid w:val="007240B8"/>
    <w:rsid w:val="00726F77"/>
    <w:rsid w:val="00727C7D"/>
    <w:rsid w:val="007303F8"/>
    <w:rsid w:val="00730D9F"/>
    <w:rsid w:val="00731BEB"/>
    <w:rsid w:val="007322FA"/>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1637"/>
    <w:rsid w:val="007530FA"/>
    <w:rsid w:val="00754559"/>
    <w:rsid w:val="0075609B"/>
    <w:rsid w:val="00757DCB"/>
    <w:rsid w:val="0076010D"/>
    <w:rsid w:val="007603C9"/>
    <w:rsid w:val="00760875"/>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65E"/>
    <w:rsid w:val="00793BB8"/>
    <w:rsid w:val="00795C6B"/>
    <w:rsid w:val="00795D4A"/>
    <w:rsid w:val="007964D2"/>
    <w:rsid w:val="007971CB"/>
    <w:rsid w:val="007A0E22"/>
    <w:rsid w:val="007A15E6"/>
    <w:rsid w:val="007A17E3"/>
    <w:rsid w:val="007A57E4"/>
    <w:rsid w:val="007B3D5A"/>
    <w:rsid w:val="007C222C"/>
    <w:rsid w:val="007C493D"/>
    <w:rsid w:val="007C5026"/>
    <w:rsid w:val="007C5307"/>
    <w:rsid w:val="007C70FB"/>
    <w:rsid w:val="007D0B07"/>
    <w:rsid w:val="007D120D"/>
    <w:rsid w:val="007D222B"/>
    <w:rsid w:val="007D2C44"/>
    <w:rsid w:val="007D5D4C"/>
    <w:rsid w:val="007E04EC"/>
    <w:rsid w:val="007E0DC4"/>
    <w:rsid w:val="007E60D0"/>
    <w:rsid w:val="007E61EF"/>
    <w:rsid w:val="007E68F0"/>
    <w:rsid w:val="007F1A48"/>
    <w:rsid w:val="007F6BE1"/>
    <w:rsid w:val="00800B6A"/>
    <w:rsid w:val="00801545"/>
    <w:rsid w:val="00801CFC"/>
    <w:rsid w:val="00802500"/>
    <w:rsid w:val="00802D85"/>
    <w:rsid w:val="00803BA6"/>
    <w:rsid w:val="00803FB3"/>
    <w:rsid w:val="0080518F"/>
    <w:rsid w:val="0080530D"/>
    <w:rsid w:val="00806058"/>
    <w:rsid w:val="00812A5F"/>
    <w:rsid w:val="0081398D"/>
    <w:rsid w:val="0081535C"/>
    <w:rsid w:val="00815552"/>
    <w:rsid w:val="00816623"/>
    <w:rsid w:val="00816DE1"/>
    <w:rsid w:val="008177E6"/>
    <w:rsid w:val="00817F2E"/>
    <w:rsid w:val="00822E9A"/>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57DC4"/>
    <w:rsid w:val="0086248D"/>
    <w:rsid w:val="00862581"/>
    <w:rsid w:val="00862BBA"/>
    <w:rsid w:val="00863A8E"/>
    <w:rsid w:val="0086683E"/>
    <w:rsid w:val="008708C1"/>
    <w:rsid w:val="00871D61"/>
    <w:rsid w:val="00872CC0"/>
    <w:rsid w:val="00874E4D"/>
    <w:rsid w:val="008750B0"/>
    <w:rsid w:val="008760FD"/>
    <w:rsid w:val="008763F7"/>
    <w:rsid w:val="00876DE9"/>
    <w:rsid w:val="00877EBE"/>
    <w:rsid w:val="00881BF7"/>
    <w:rsid w:val="008821BC"/>
    <w:rsid w:val="008824CF"/>
    <w:rsid w:val="008825A0"/>
    <w:rsid w:val="00882ED1"/>
    <w:rsid w:val="008861A8"/>
    <w:rsid w:val="00890EEB"/>
    <w:rsid w:val="008939D5"/>
    <w:rsid w:val="008A003E"/>
    <w:rsid w:val="008A08B9"/>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0C62"/>
    <w:rsid w:val="008C16F2"/>
    <w:rsid w:val="008C23DE"/>
    <w:rsid w:val="008C4432"/>
    <w:rsid w:val="008C4668"/>
    <w:rsid w:val="008C473C"/>
    <w:rsid w:val="008C56D1"/>
    <w:rsid w:val="008C7B0E"/>
    <w:rsid w:val="008D0161"/>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384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23E0"/>
    <w:rsid w:val="0093356D"/>
    <w:rsid w:val="00933B41"/>
    <w:rsid w:val="009356B4"/>
    <w:rsid w:val="009357BD"/>
    <w:rsid w:val="009373AE"/>
    <w:rsid w:val="00940083"/>
    <w:rsid w:val="009413E6"/>
    <w:rsid w:val="009431BF"/>
    <w:rsid w:val="00943418"/>
    <w:rsid w:val="0094608F"/>
    <w:rsid w:val="009461FC"/>
    <w:rsid w:val="00946262"/>
    <w:rsid w:val="0094639D"/>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401"/>
    <w:rsid w:val="009815DB"/>
    <w:rsid w:val="00982C3E"/>
    <w:rsid w:val="0098323A"/>
    <w:rsid w:val="00985325"/>
    <w:rsid w:val="009867A4"/>
    <w:rsid w:val="009877B9"/>
    <w:rsid w:val="00987925"/>
    <w:rsid w:val="00992155"/>
    <w:rsid w:val="0099219B"/>
    <w:rsid w:val="009940E0"/>
    <w:rsid w:val="009940E4"/>
    <w:rsid w:val="009A05B3"/>
    <w:rsid w:val="009A085A"/>
    <w:rsid w:val="009A18C3"/>
    <w:rsid w:val="009A2615"/>
    <w:rsid w:val="009A3E3D"/>
    <w:rsid w:val="009A3F28"/>
    <w:rsid w:val="009A3F99"/>
    <w:rsid w:val="009A47F4"/>
    <w:rsid w:val="009A543F"/>
    <w:rsid w:val="009A5BFA"/>
    <w:rsid w:val="009A650C"/>
    <w:rsid w:val="009A6C4C"/>
    <w:rsid w:val="009B0F21"/>
    <w:rsid w:val="009B3246"/>
    <w:rsid w:val="009B3F88"/>
    <w:rsid w:val="009B47F5"/>
    <w:rsid w:val="009B4BEA"/>
    <w:rsid w:val="009C12C4"/>
    <w:rsid w:val="009C402D"/>
    <w:rsid w:val="009D15A0"/>
    <w:rsid w:val="009D16DD"/>
    <w:rsid w:val="009D4AB5"/>
    <w:rsid w:val="009D6F85"/>
    <w:rsid w:val="009E1392"/>
    <w:rsid w:val="009E36E3"/>
    <w:rsid w:val="009E3CFB"/>
    <w:rsid w:val="009E459E"/>
    <w:rsid w:val="009E47DA"/>
    <w:rsid w:val="009E59B1"/>
    <w:rsid w:val="009F15C2"/>
    <w:rsid w:val="009F1A6E"/>
    <w:rsid w:val="009F2DD8"/>
    <w:rsid w:val="009F3AAE"/>
    <w:rsid w:val="009F6803"/>
    <w:rsid w:val="00A0101C"/>
    <w:rsid w:val="00A02DF9"/>
    <w:rsid w:val="00A03231"/>
    <w:rsid w:val="00A04665"/>
    <w:rsid w:val="00A0517A"/>
    <w:rsid w:val="00A0562C"/>
    <w:rsid w:val="00A06A5A"/>
    <w:rsid w:val="00A121CB"/>
    <w:rsid w:val="00A129FC"/>
    <w:rsid w:val="00A1335D"/>
    <w:rsid w:val="00A14E17"/>
    <w:rsid w:val="00A14EE1"/>
    <w:rsid w:val="00A15A6A"/>
    <w:rsid w:val="00A162F3"/>
    <w:rsid w:val="00A217A0"/>
    <w:rsid w:val="00A228F7"/>
    <w:rsid w:val="00A26548"/>
    <w:rsid w:val="00A27F81"/>
    <w:rsid w:val="00A31F35"/>
    <w:rsid w:val="00A37CA4"/>
    <w:rsid w:val="00A42BCC"/>
    <w:rsid w:val="00A45068"/>
    <w:rsid w:val="00A45356"/>
    <w:rsid w:val="00A4590E"/>
    <w:rsid w:val="00A45DC5"/>
    <w:rsid w:val="00A4618E"/>
    <w:rsid w:val="00A46534"/>
    <w:rsid w:val="00A47CA1"/>
    <w:rsid w:val="00A528CB"/>
    <w:rsid w:val="00A53781"/>
    <w:rsid w:val="00A53AD2"/>
    <w:rsid w:val="00A55396"/>
    <w:rsid w:val="00A5684F"/>
    <w:rsid w:val="00A60C59"/>
    <w:rsid w:val="00A60D82"/>
    <w:rsid w:val="00A60F56"/>
    <w:rsid w:val="00A61FEB"/>
    <w:rsid w:val="00A62FA8"/>
    <w:rsid w:val="00A63B69"/>
    <w:rsid w:val="00A6597D"/>
    <w:rsid w:val="00A674BB"/>
    <w:rsid w:val="00A67DA7"/>
    <w:rsid w:val="00A716C2"/>
    <w:rsid w:val="00A7170C"/>
    <w:rsid w:val="00A7319A"/>
    <w:rsid w:val="00A734AC"/>
    <w:rsid w:val="00A775DA"/>
    <w:rsid w:val="00A80468"/>
    <w:rsid w:val="00A81058"/>
    <w:rsid w:val="00A81421"/>
    <w:rsid w:val="00A84586"/>
    <w:rsid w:val="00A84809"/>
    <w:rsid w:val="00A84E50"/>
    <w:rsid w:val="00A853D3"/>
    <w:rsid w:val="00A85D64"/>
    <w:rsid w:val="00A861B3"/>
    <w:rsid w:val="00A86D9A"/>
    <w:rsid w:val="00A91355"/>
    <w:rsid w:val="00A935EC"/>
    <w:rsid w:val="00A939E8"/>
    <w:rsid w:val="00A9415D"/>
    <w:rsid w:val="00A96AE7"/>
    <w:rsid w:val="00A96D79"/>
    <w:rsid w:val="00A9799B"/>
    <w:rsid w:val="00AA1129"/>
    <w:rsid w:val="00AA16C5"/>
    <w:rsid w:val="00AA6AD3"/>
    <w:rsid w:val="00AA79CB"/>
    <w:rsid w:val="00AB0D2D"/>
    <w:rsid w:val="00AB1E31"/>
    <w:rsid w:val="00AB3F98"/>
    <w:rsid w:val="00AB54CF"/>
    <w:rsid w:val="00AB6CE7"/>
    <w:rsid w:val="00AB74ED"/>
    <w:rsid w:val="00AB7F55"/>
    <w:rsid w:val="00AC0AE6"/>
    <w:rsid w:val="00AC2953"/>
    <w:rsid w:val="00AC29FC"/>
    <w:rsid w:val="00AC430B"/>
    <w:rsid w:val="00AC5D9F"/>
    <w:rsid w:val="00AC63A5"/>
    <w:rsid w:val="00AC798B"/>
    <w:rsid w:val="00AD1B89"/>
    <w:rsid w:val="00AD2211"/>
    <w:rsid w:val="00AD244C"/>
    <w:rsid w:val="00AD44CF"/>
    <w:rsid w:val="00AE1A80"/>
    <w:rsid w:val="00AE3C66"/>
    <w:rsid w:val="00AE3CA5"/>
    <w:rsid w:val="00AE7A78"/>
    <w:rsid w:val="00AE7B2A"/>
    <w:rsid w:val="00AF2898"/>
    <w:rsid w:val="00AF345B"/>
    <w:rsid w:val="00AF463B"/>
    <w:rsid w:val="00AF49BA"/>
    <w:rsid w:val="00AF4EA2"/>
    <w:rsid w:val="00AF53B4"/>
    <w:rsid w:val="00AF7030"/>
    <w:rsid w:val="00B01F0F"/>
    <w:rsid w:val="00B06CFE"/>
    <w:rsid w:val="00B078A4"/>
    <w:rsid w:val="00B10189"/>
    <w:rsid w:val="00B11970"/>
    <w:rsid w:val="00B121E6"/>
    <w:rsid w:val="00B139E0"/>
    <w:rsid w:val="00B14A6D"/>
    <w:rsid w:val="00B217EE"/>
    <w:rsid w:val="00B24530"/>
    <w:rsid w:val="00B245A2"/>
    <w:rsid w:val="00B2590B"/>
    <w:rsid w:val="00B26124"/>
    <w:rsid w:val="00B276AF"/>
    <w:rsid w:val="00B31B06"/>
    <w:rsid w:val="00B31D6C"/>
    <w:rsid w:val="00B32948"/>
    <w:rsid w:val="00B33320"/>
    <w:rsid w:val="00B425F0"/>
    <w:rsid w:val="00B43374"/>
    <w:rsid w:val="00B43616"/>
    <w:rsid w:val="00B5184E"/>
    <w:rsid w:val="00B545FC"/>
    <w:rsid w:val="00B54BB0"/>
    <w:rsid w:val="00B554D7"/>
    <w:rsid w:val="00B55B6D"/>
    <w:rsid w:val="00B570D4"/>
    <w:rsid w:val="00B57BFE"/>
    <w:rsid w:val="00B603FA"/>
    <w:rsid w:val="00B63045"/>
    <w:rsid w:val="00B674D3"/>
    <w:rsid w:val="00B71610"/>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2B0E"/>
    <w:rsid w:val="00B958DB"/>
    <w:rsid w:val="00B95949"/>
    <w:rsid w:val="00BA06FF"/>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0A75"/>
    <w:rsid w:val="00BE17CC"/>
    <w:rsid w:val="00BE1A87"/>
    <w:rsid w:val="00BE76BA"/>
    <w:rsid w:val="00BF300D"/>
    <w:rsid w:val="00BF4B81"/>
    <w:rsid w:val="00BF57B3"/>
    <w:rsid w:val="00BF70FA"/>
    <w:rsid w:val="00C01918"/>
    <w:rsid w:val="00C05554"/>
    <w:rsid w:val="00C05680"/>
    <w:rsid w:val="00C05A18"/>
    <w:rsid w:val="00C06D96"/>
    <w:rsid w:val="00C07366"/>
    <w:rsid w:val="00C10A1F"/>
    <w:rsid w:val="00C16C54"/>
    <w:rsid w:val="00C17136"/>
    <w:rsid w:val="00C17F25"/>
    <w:rsid w:val="00C209BC"/>
    <w:rsid w:val="00C223B7"/>
    <w:rsid w:val="00C2455A"/>
    <w:rsid w:val="00C3056E"/>
    <w:rsid w:val="00C30C92"/>
    <w:rsid w:val="00C34622"/>
    <w:rsid w:val="00C349F9"/>
    <w:rsid w:val="00C34D22"/>
    <w:rsid w:val="00C35139"/>
    <w:rsid w:val="00C37527"/>
    <w:rsid w:val="00C42BA0"/>
    <w:rsid w:val="00C43050"/>
    <w:rsid w:val="00C430F5"/>
    <w:rsid w:val="00C44811"/>
    <w:rsid w:val="00C44BA2"/>
    <w:rsid w:val="00C4559D"/>
    <w:rsid w:val="00C45626"/>
    <w:rsid w:val="00C457EB"/>
    <w:rsid w:val="00C45C2C"/>
    <w:rsid w:val="00C46DCC"/>
    <w:rsid w:val="00C47438"/>
    <w:rsid w:val="00C50DB8"/>
    <w:rsid w:val="00C5105E"/>
    <w:rsid w:val="00C525E8"/>
    <w:rsid w:val="00C54C76"/>
    <w:rsid w:val="00C558BD"/>
    <w:rsid w:val="00C55AA0"/>
    <w:rsid w:val="00C56D36"/>
    <w:rsid w:val="00C570A2"/>
    <w:rsid w:val="00C605CA"/>
    <w:rsid w:val="00C61BCD"/>
    <w:rsid w:val="00C63065"/>
    <w:rsid w:val="00C67642"/>
    <w:rsid w:val="00C70B5B"/>
    <w:rsid w:val="00C713A3"/>
    <w:rsid w:val="00C71F3C"/>
    <w:rsid w:val="00C74E03"/>
    <w:rsid w:val="00C7573D"/>
    <w:rsid w:val="00C75B4A"/>
    <w:rsid w:val="00C76400"/>
    <w:rsid w:val="00C77A64"/>
    <w:rsid w:val="00C77D06"/>
    <w:rsid w:val="00C82340"/>
    <w:rsid w:val="00C824DE"/>
    <w:rsid w:val="00C82715"/>
    <w:rsid w:val="00C82E38"/>
    <w:rsid w:val="00C83FC7"/>
    <w:rsid w:val="00C83FF9"/>
    <w:rsid w:val="00C84051"/>
    <w:rsid w:val="00C867D7"/>
    <w:rsid w:val="00C86D17"/>
    <w:rsid w:val="00C87A61"/>
    <w:rsid w:val="00C87B34"/>
    <w:rsid w:val="00C87B4E"/>
    <w:rsid w:val="00C90A63"/>
    <w:rsid w:val="00C93A79"/>
    <w:rsid w:val="00C9615E"/>
    <w:rsid w:val="00CA050B"/>
    <w:rsid w:val="00CA05D8"/>
    <w:rsid w:val="00CA0B3D"/>
    <w:rsid w:val="00CA0D12"/>
    <w:rsid w:val="00CA13DD"/>
    <w:rsid w:val="00CA1C08"/>
    <w:rsid w:val="00CA2347"/>
    <w:rsid w:val="00CA2F6A"/>
    <w:rsid w:val="00CA412F"/>
    <w:rsid w:val="00CA440F"/>
    <w:rsid w:val="00CA4EBB"/>
    <w:rsid w:val="00CA546B"/>
    <w:rsid w:val="00CA73D6"/>
    <w:rsid w:val="00CB05C9"/>
    <w:rsid w:val="00CB05ED"/>
    <w:rsid w:val="00CB0859"/>
    <w:rsid w:val="00CB1AE9"/>
    <w:rsid w:val="00CB334B"/>
    <w:rsid w:val="00CB7203"/>
    <w:rsid w:val="00CB7436"/>
    <w:rsid w:val="00CB7619"/>
    <w:rsid w:val="00CC13A0"/>
    <w:rsid w:val="00CC4285"/>
    <w:rsid w:val="00CC4980"/>
    <w:rsid w:val="00CC4C82"/>
    <w:rsid w:val="00CC5641"/>
    <w:rsid w:val="00CD1F3D"/>
    <w:rsid w:val="00CD753F"/>
    <w:rsid w:val="00CE06CF"/>
    <w:rsid w:val="00CE1B8F"/>
    <w:rsid w:val="00CE3D17"/>
    <w:rsid w:val="00CE3E33"/>
    <w:rsid w:val="00CE4441"/>
    <w:rsid w:val="00CE4F34"/>
    <w:rsid w:val="00CE6A9D"/>
    <w:rsid w:val="00CE759F"/>
    <w:rsid w:val="00CF48DA"/>
    <w:rsid w:val="00CF7E9C"/>
    <w:rsid w:val="00D03555"/>
    <w:rsid w:val="00D039E8"/>
    <w:rsid w:val="00D04A6F"/>
    <w:rsid w:val="00D0503F"/>
    <w:rsid w:val="00D056C2"/>
    <w:rsid w:val="00D0595E"/>
    <w:rsid w:val="00D05CE0"/>
    <w:rsid w:val="00D0772C"/>
    <w:rsid w:val="00D0782B"/>
    <w:rsid w:val="00D101F8"/>
    <w:rsid w:val="00D1074D"/>
    <w:rsid w:val="00D12399"/>
    <w:rsid w:val="00D13345"/>
    <w:rsid w:val="00D13929"/>
    <w:rsid w:val="00D162D2"/>
    <w:rsid w:val="00D1648A"/>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473C4"/>
    <w:rsid w:val="00D50B0A"/>
    <w:rsid w:val="00D5154A"/>
    <w:rsid w:val="00D5253D"/>
    <w:rsid w:val="00D54D96"/>
    <w:rsid w:val="00D55AD1"/>
    <w:rsid w:val="00D56B4E"/>
    <w:rsid w:val="00D57EC4"/>
    <w:rsid w:val="00D602CC"/>
    <w:rsid w:val="00D609C5"/>
    <w:rsid w:val="00D626D1"/>
    <w:rsid w:val="00D628CC"/>
    <w:rsid w:val="00D66235"/>
    <w:rsid w:val="00D718BE"/>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376B"/>
    <w:rsid w:val="00DB506E"/>
    <w:rsid w:val="00DB5693"/>
    <w:rsid w:val="00DB5E57"/>
    <w:rsid w:val="00DB7A41"/>
    <w:rsid w:val="00DC01F1"/>
    <w:rsid w:val="00DC0EC6"/>
    <w:rsid w:val="00DC2C8F"/>
    <w:rsid w:val="00DC2D07"/>
    <w:rsid w:val="00DC4622"/>
    <w:rsid w:val="00DC4E8A"/>
    <w:rsid w:val="00DC58B1"/>
    <w:rsid w:val="00DC5FF4"/>
    <w:rsid w:val="00DD01F3"/>
    <w:rsid w:val="00DD15F6"/>
    <w:rsid w:val="00DD2327"/>
    <w:rsid w:val="00DD23DF"/>
    <w:rsid w:val="00DD501A"/>
    <w:rsid w:val="00DD5CE3"/>
    <w:rsid w:val="00DD675B"/>
    <w:rsid w:val="00DE087D"/>
    <w:rsid w:val="00DE27BD"/>
    <w:rsid w:val="00DE6482"/>
    <w:rsid w:val="00DE6A25"/>
    <w:rsid w:val="00DF0BCA"/>
    <w:rsid w:val="00DF198A"/>
    <w:rsid w:val="00DF28E4"/>
    <w:rsid w:val="00DF5F13"/>
    <w:rsid w:val="00DF7123"/>
    <w:rsid w:val="00E0099C"/>
    <w:rsid w:val="00E03E22"/>
    <w:rsid w:val="00E07B52"/>
    <w:rsid w:val="00E11F54"/>
    <w:rsid w:val="00E122E3"/>
    <w:rsid w:val="00E13B6A"/>
    <w:rsid w:val="00E14A69"/>
    <w:rsid w:val="00E15326"/>
    <w:rsid w:val="00E217C6"/>
    <w:rsid w:val="00E24688"/>
    <w:rsid w:val="00E251C3"/>
    <w:rsid w:val="00E25329"/>
    <w:rsid w:val="00E327C8"/>
    <w:rsid w:val="00E32E89"/>
    <w:rsid w:val="00E33654"/>
    <w:rsid w:val="00E3474D"/>
    <w:rsid w:val="00E430E1"/>
    <w:rsid w:val="00E46F9F"/>
    <w:rsid w:val="00E47B99"/>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1977"/>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B81"/>
    <w:rsid w:val="00EC0C35"/>
    <w:rsid w:val="00EC23E6"/>
    <w:rsid w:val="00EC3441"/>
    <w:rsid w:val="00EC4BF6"/>
    <w:rsid w:val="00ED03A6"/>
    <w:rsid w:val="00ED1093"/>
    <w:rsid w:val="00ED1A2B"/>
    <w:rsid w:val="00ED4698"/>
    <w:rsid w:val="00ED5E01"/>
    <w:rsid w:val="00EE2067"/>
    <w:rsid w:val="00EE22B0"/>
    <w:rsid w:val="00EE3CAB"/>
    <w:rsid w:val="00EE5287"/>
    <w:rsid w:val="00EE52C8"/>
    <w:rsid w:val="00EE57B4"/>
    <w:rsid w:val="00EE7FB8"/>
    <w:rsid w:val="00EF0733"/>
    <w:rsid w:val="00EF1424"/>
    <w:rsid w:val="00EF41A3"/>
    <w:rsid w:val="00EF4A81"/>
    <w:rsid w:val="00EF5320"/>
    <w:rsid w:val="00EF5BCA"/>
    <w:rsid w:val="00EF6749"/>
    <w:rsid w:val="00EF693C"/>
    <w:rsid w:val="00EF7621"/>
    <w:rsid w:val="00F00972"/>
    <w:rsid w:val="00F00A08"/>
    <w:rsid w:val="00F05812"/>
    <w:rsid w:val="00F071C0"/>
    <w:rsid w:val="00F107C6"/>
    <w:rsid w:val="00F11F04"/>
    <w:rsid w:val="00F13D41"/>
    <w:rsid w:val="00F13DB7"/>
    <w:rsid w:val="00F15C08"/>
    <w:rsid w:val="00F16CE1"/>
    <w:rsid w:val="00F17154"/>
    <w:rsid w:val="00F17A82"/>
    <w:rsid w:val="00F22FFD"/>
    <w:rsid w:val="00F25609"/>
    <w:rsid w:val="00F265C9"/>
    <w:rsid w:val="00F26DF3"/>
    <w:rsid w:val="00F26E18"/>
    <w:rsid w:val="00F27518"/>
    <w:rsid w:val="00F27DEE"/>
    <w:rsid w:val="00F3091E"/>
    <w:rsid w:val="00F31468"/>
    <w:rsid w:val="00F32819"/>
    <w:rsid w:val="00F34ADD"/>
    <w:rsid w:val="00F35090"/>
    <w:rsid w:val="00F358EA"/>
    <w:rsid w:val="00F35B62"/>
    <w:rsid w:val="00F36BFC"/>
    <w:rsid w:val="00F37AAF"/>
    <w:rsid w:val="00F416E5"/>
    <w:rsid w:val="00F44180"/>
    <w:rsid w:val="00F456DC"/>
    <w:rsid w:val="00F465DC"/>
    <w:rsid w:val="00F47D20"/>
    <w:rsid w:val="00F50BB0"/>
    <w:rsid w:val="00F51B06"/>
    <w:rsid w:val="00F52120"/>
    <w:rsid w:val="00F537D1"/>
    <w:rsid w:val="00F53DE1"/>
    <w:rsid w:val="00F54994"/>
    <w:rsid w:val="00F60D75"/>
    <w:rsid w:val="00F61A93"/>
    <w:rsid w:val="00F649DE"/>
    <w:rsid w:val="00F65397"/>
    <w:rsid w:val="00F66B71"/>
    <w:rsid w:val="00F7237E"/>
    <w:rsid w:val="00F72F1C"/>
    <w:rsid w:val="00F74532"/>
    <w:rsid w:val="00F74BA1"/>
    <w:rsid w:val="00F74E20"/>
    <w:rsid w:val="00F7595D"/>
    <w:rsid w:val="00F764DC"/>
    <w:rsid w:val="00F76AC7"/>
    <w:rsid w:val="00F77FE5"/>
    <w:rsid w:val="00F8067A"/>
    <w:rsid w:val="00F838A3"/>
    <w:rsid w:val="00F847AD"/>
    <w:rsid w:val="00F84DC6"/>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3B50"/>
    <w:rsid w:val="00FC40CC"/>
    <w:rsid w:val="00FC5D9B"/>
    <w:rsid w:val="00FC747E"/>
    <w:rsid w:val="00FC7761"/>
    <w:rsid w:val="00FC7DDA"/>
    <w:rsid w:val="00FD1685"/>
    <w:rsid w:val="00FD17F8"/>
    <w:rsid w:val="00FD1B37"/>
    <w:rsid w:val="00FD1E95"/>
    <w:rsid w:val="00FD5A48"/>
    <w:rsid w:val="00FD7C4B"/>
    <w:rsid w:val="00FE099C"/>
    <w:rsid w:val="00FE120E"/>
    <w:rsid w:val="00FE2223"/>
    <w:rsid w:val="00FE5320"/>
    <w:rsid w:val="00FF0438"/>
    <w:rsid w:val="00FF0FCD"/>
    <w:rsid w:val="00FF1221"/>
    <w:rsid w:val="00FF2732"/>
    <w:rsid w:val="00FF2E03"/>
    <w:rsid w:val="00FF3DCE"/>
    <w:rsid w:val="00FF48A7"/>
    <w:rsid w:val="00FF4A29"/>
    <w:rsid w:val="00FF4DAA"/>
    <w:rsid w:val="00FF4E26"/>
    <w:rsid w:val="00FF5563"/>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111748"/>
    <w:pPr>
      <w:keepLines/>
      <w:numPr>
        <w:numId w:val="146"/>
      </w:numPr>
      <w:spacing w:before="240" w:after="240" w:line="240" w:lineRule="auto"/>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1748"/>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qFormat/>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AB6CE7"/>
    <w:pPr>
      <w:numPr>
        <w:numId w:val="6"/>
      </w:numPr>
      <w:ind w:left="1135" w:hanging="284"/>
    </w:pPr>
  </w:style>
  <w:style w:type="paragraph" w:customStyle="1" w:styleId="Titcoul">
    <w:name w:val="Titcoul"/>
    <w:basedOn w:val="Heading1"/>
    <w:link w:val="TitcoulCar"/>
    <w:rsid w:val="00C05554"/>
    <w:pPr>
      <w:widowControl w:val="0"/>
      <w:tabs>
        <w:tab w:val="left" w:pos="851"/>
      </w:tabs>
      <w:spacing w:before="480" w:line="480" w:lineRule="exact"/>
      <w:ind w:left="851" w:hanging="851"/>
    </w:pPr>
    <w:rPr>
      <w:rFonts w:ascii="Arial Bold" w:eastAsia="SimSun" w:hAnsi="Arial Bold"/>
      <w:b/>
      <w:bCs w:val="0"/>
      <w:caps/>
      <w:color w:val="3366FF"/>
      <w:sz w:val="24"/>
      <w:szCs w:val="24"/>
      <w:lang w:val="en-US"/>
    </w:rPr>
  </w:style>
  <w:style w:type="character" w:customStyle="1" w:styleId="TitcoulCar">
    <w:name w:val="Titcoul Car"/>
    <w:link w:val="Titcoul"/>
    <w:rsid w:val="00C05554"/>
    <w:rPr>
      <w:rFonts w:ascii="Arial Bold" w:hAnsi="Arial Bold" w:cs="Arial"/>
      <w:b/>
      <w:caps/>
      <w:color w:val="3366FF"/>
      <w:kern w:val="28"/>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uiPriority w:val="99"/>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widowControl/>
      <w:tabs>
        <w:tab w:val="clear" w:pos="851"/>
      </w:tabs>
      <w:spacing w:after="0"/>
      <w:ind w:left="0" w:firstLine="0"/>
    </w:pPr>
    <w:rPr>
      <w:rFonts w:eastAsia="Times New Roman"/>
      <w:caps w:val="0"/>
      <w:noProof/>
      <w:szCs w:val="32"/>
    </w:rPr>
  </w:style>
  <w:style w:type="character" w:customStyle="1" w:styleId="HO1Car">
    <w:name w:val="HO1 Car"/>
    <w:basedOn w:val="TitcoulCar"/>
    <w:link w:val="HO1"/>
    <w:rsid w:val="00544FDE"/>
    <w:rPr>
      <w:rFonts w:ascii="Arial" w:eastAsia="Times New Roman" w:hAnsi="Arial" w:cs="Arial"/>
      <w:b/>
      <w:bCs w:val="0"/>
      <w:caps w:val="0"/>
      <w:noProof/>
      <w:snapToGrid/>
      <w:color w:val="3366FF"/>
      <w:kern w:val="28"/>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val="0"/>
      <w:caps/>
      <w:noProof/>
      <w:snapToGrid/>
      <w:color w:val="3366FF"/>
      <w:kern w:val="28"/>
      <w:sz w:val="32"/>
      <w:szCs w:val="32"/>
      <w:lang w:val="en-US" w:eastAsia="zh-CN"/>
    </w:rPr>
  </w:style>
  <w:style w:type="paragraph" w:customStyle="1" w:styleId="UPlan">
    <w:name w:val="UPlan"/>
    <w:basedOn w:val="Titcoul"/>
    <w:link w:val="UPlanCar"/>
    <w:rsid w:val="00F7237E"/>
    <w:pPr>
      <w:widowControl/>
      <w:tabs>
        <w:tab w:val="clear" w:pos="851"/>
      </w:tabs>
      <w:spacing w:after="0"/>
      <w:ind w:left="0" w:firstLine="0"/>
    </w:pPr>
    <w:rPr>
      <w:rFonts w:eastAsia="Times New Roman"/>
      <w:noProof/>
      <w:sz w:val="48"/>
      <w:szCs w:val="48"/>
      <w:lang w:val="en-GB"/>
    </w:rPr>
  </w:style>
  <w:style w:type="character" w:customStyle="1" w:styleId="UPlanCar">
    <w:name w:val="UPlan Car"/>
    <w:basedOn w:val="TitcoulCar"/>
    <w:link w:val="UPlan"/>
    <w:rsid w:val="00F7237E"/>
    <w:rPr>
      <w:rFonts w:ascii="Arial Bold" w:eastAsia="Times New Roman" w:hAnsi="Arial Bold" w:cs="Arial"/>
      <w:b/>
      <w:caps/>
      <w:noProof/>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yperlink" Target="http://www.unesco.org/culture/ich/index.php?lg=en&amp;pg=0010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nesco.org/culture/ich/index.php?lg=en&amp;pg=00018"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nesco.org/culture/ich/index.php?lg=en&amp;pg=000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www.unesco.org/culture/ich/index.php?lg=en&amp;pg=33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24" Type="http://schemas.openxmlformats.org/officeDocument/2006/relationships/hyperlink" Target="http://www.wipo.int/tk/en/resour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unesco.org/culture/ich/en/forms" TargetMode="External"/><Relationship Id="rId28" Type="http://schemas.openxmlformats.org/officeDocument/2006/relationships/footer" Target="footer2.xml"/><Relationship Id="rId10" Type="http://schemas.openxmlformats.org/officeDocument/2006/relationships/hyperlink" Target="http://creativecommons.org/licenses/by-sa/3.0/igo/" TargetMode="External"/><Relationship Id="rId19" Type="http://schemas.openxmlformats.org/officeDocument/2006/relationships/hyperlink" Target="http://www.unesco.org/culture/ich/index.php?lg=en&amp;pg=000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hyperlink" Target="http://www.unesco.org/culture/ich/index.php?lg=en&amp;pg=00011"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52E2-3110-4AD8-830E-E0A8BFF5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16882</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2015-05-20T10:28:00Z</dcterms:created>
  <dcterms:modified xsi:type="dcterms:W3CDTF">2018-04-20T12:48:00Z</dcterms:modified>
</cp:coreProperties>
</file>