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789DC" w14:textId="10CD9D29" w:rsidR="000248B4" w:rsidRPr="00D520A0" w:rsidRDefault="00C4640B" w:rsidP="004936EF">
      <w:pPr>
        <w:pStyle w:val="Chapitre"/>
        <w:rPr>
          <w:kern w:val="0"/>
        </w:rPr>
      </w:pPr>
      <w:bookmarkStart w:id="0" w:name="_Toc241644699"/>
      <w:bookmarkStart w:id="1" w:name="_Toc154220427"/>
      <w:bookmarkStart w:id="2" w:name="_Toc302374677"/>
      <w:r w:rsidRPr="00D520A0">
        <w:rPr>
          <w:kern w:val="0"/>
        </w:rPr>
        <w:t xml:space="preserve">Unit </w:t>
      </w:r>
      <w:r w:rsidR="004E0055" w:rsidRPr="00D520A0">
        <w:rPr>
          <w:kern w:val="0"/>
        </w:rPr>
        <w:t>3</w:t>
      </w:r>
      <w:bookmarkEnd w:id="0"/>
    </w:p>
    <w:p w14:paraId="46FF8811" w14:textId="65DF3C6E" w:rsidR="003A4578" w:rsidRPr="00D520A0" w:rsidRDefault="00D00DC6" w:rsidP="004936EF">
      <w:pPr>
        <w:pStyle w:val="UPlan"/>
      </w:pPr>
      <w:bookmarkStart w:id="3" w:name="_Toc241644700"/>
      <w:r w:rsidRPr="00D520A0">
        <w:t>Key CONCEPTs In the convention</w:t>
      </w:r>
      <w:r w:rsidR="003A4578" w:rsidRPr="00D520A0">
        <w:rPr>
          <w:sz w:val="20"/>
          <w:szCs w:val="20"/>
          <w:lang w:val="fr-FR" w:eastAsia="zh-TW"/>
        </w:rPr>
        <w:drawing>
          <wp:anchor distT="0" distB="0" distL="114300" distR="114300" simplePos="0" relativeHeight="251662336" behindDoc="1" locked="1" layoutInCell="1" allowOverlap="0" wp14:anchorId="35C42F0C" wp14:editId="371852CD">
            <wp:simplePos x="0" y="0"/>
            <wp:positionH relativeFrom="margin">
              <wp:posOffset>431800</wp:posOffset>
            </wp:positionH>
            <wp:positionV relativeFrom="margin">
              <wp:posOffset>1980565</wp:posOffset>
            </wp:positionV>
            <wp:extent cx="4870411" cy="4498145"/>
            <wp:effectExtent l="0" t="0" r="6985" b="0"/>
            <wp:wrapNone/>
            <wp:docPr id="378" name="Imag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75E86A1B" w14:textId="660C0AC3" w:rsidR="00AF261F" w:rsidRPr="00C14A99" w:rsidRDefault="00AF261F" w:rsidP="00AF261F">
      <w:pPr>
        <w:tabs>
          <w:tab w:val="clear" w:pos="567"/>
        </w:tabs>
        <w:snapToGrid/>
        <w:spacing w:before="480"/>
        <w:jc w:val="left"/>
        <w:rPr>
          <w:rFonts w:eastAsia="Times New Roman"/>
          <w:bCs/>
          <w:iCs/>
          <w:szCs w:val="22"/>
          <w:lang w:val="en-GB" w:eastAsia="pt-BR"/>
        </w:rPr>
      </w:pPr>
      <w:r w:rsidRPr="00C14A99">
        <w:rPr>
          <w:rFonts w:eastAsia="Times New Roman"/>
          <w:szCs w:val="22"/>
          <w:lang w:val="en-GB" w:eastAsia="pt-BR"/>
        </w:rPr>
        <w:t xml:space="preserve">Published in </w:t>
      </w:r>
      <w:r w:rsidR="001D2A6D">
        <w:rPr>
          <w:rFonts w:eastAsia="Times New Roman"/>
          <w:szCs w:val="22"/>
          <w:lang w:val="en-GB" w:eastAsia="pt-BR"/>
        </w:rPr>
        <w:t>2016</w:t>
      </w:r>
      <w:r w:rsidRPr="00C14A99">
        <w:rPr>
          <w:rFonts w:eastAsia="Times New Roman"/>
          <w:szCs w:val="22"/>
          <w:lang w:val="en-GB" w:eastAsia="pt-BR"/>
        </w:rPr>
        <w:t xml:space="preserve"> by</w:t>
      </w:r>
      <w:bookmarkStart w:id="4" w:name="_GoBack"/>
      <w:bookmarkEnd w:id="4"/>
      <w:r w:rsidRPr="00C14A99">
        <w:rPr>
          <w:rFonts w:eastAsia="Times New Roman"/>
          <w:szCs w:val="22"/>
          <w:lang w:val="en-GB" w:eastAsia="pt-BR"/>
        </w:rPr>
        <w:t xml:space="preserve"> the United Nations Educational, Scientific and Cultural Organization, </w:t>
      </w:r>
      <w:r w:rsidRPr="00C14A99">
        <w:rPr>
          <w:rFonts w:eastAsia="Times New Roman"/>
          <w:bCs/>
          <w:iCs/>
          <w:szCs w:val="22"/>
          <w:lang w:val="en-GB" w:eastAsia="pt-BR"/>
        </w:rPr>
        <w:t>7, place de Fontenoy, 75352 Paris 07 SP, France</w:t>
      </w:r>
    </w:p>
    <w:p w14:paraId="703B902E" w14:textId="77777777" w:rsidR="00AF261F" w:rsidRPr="00C14A99" w:rsidRDefault="00AF261F" w:rsidP="00AF261F">
      <w:pPr>
        <w:tabs>
          <w:tab w:val="clear" w:pos="567"/>
        </w:tabs>
        <w:snapToGrid/>
        <w:jc w:val="left"/>
        <w:rPr>
          <w:rFonts w:eastAsia="Times New Roman"/>
          <w:bCs/>
          <w:iCs/>
          <w:szCs w:val="22"/>
          <w:lang w:val="en-GB" w:eastAsia="pt-BR"/>
        </w:rPr>
      </w:pPr>
    </w:p>
    <w:p w14:paraId="38173703" w14:textId="7DB62599" w:rsidR="00AF261F" w:rsidRPr="00C14A99" w:rsidRDefault="00AF261F" w:rsidP="00AF261F">
      <w:pPr>
        <w:autoSpaceDE w:val="0"/>
        <w:autoSpaceDN w:val="0"/>
        <w:adjustRightInd w:val="0"/>
        <w:rPr>
          <w:szCs w:val="22"/>
        </w:rPr>
      </w:pPr>
      <w:r w:rsidRPr="00C14A99">
        <w:rPr>
          <w:szCs w:val="22"/>
          <w:lang w:val="en-GB"/>
        </w:rPr>
        <w:t xml:space="preserve">© UNESCO </w:t>
      </w:r>
      <w:r w:rsidR="001D2A6D">
        <w:rPr>
          <w:szCs w:val="22"/>
          <w:lang w:val="en-GB"/>
        </w:rPr>
        <w:t>2016</w:t>
      </w:r>
    </w:p>
    <w:p w14:paraId="6DA64322" w14:textId="77777777" w:rsidR="00AF261F" w:rsidRPr="00C14A99" w:rsidRDefault="00AF261F" w:rsidP="00AF261F">
      <w:pPr>
        <w:autoSpaceDE w:val="0"/>
        <w:autoSpaceDN w:val="0"/>
        <w:adjustRightInd w:val="0"/>
        <w:rPr>
          <w:szCs w:val="22"/>
          <w:lang w:val="en-GB"/>
        </w:rPr>
      </w:pPr>
    </w:p>
    <w:p w14:paraId="1E6A4F69" w14:textId="77777777" w:rsidR="00AF261F" w:rsidRPr="00C14A99" w:rsidRDefault="00AF261F" w:rsidP="00AF261F">
      <w:pPr>
        <w:autoSpaceDE w:val="0"/>
        <w:autoSpaceDN w:val="0"/>
        <w:adjustRightInd w:val="0"/>
        <w:rPr>
          <w:szCs w:val="22"/>
          <w:lang w:val="en-GB"/>
        </w:rPr>
      </w:pPr>
      <w:r w:rsidRPr="00C14A99">
        <w:rPr>
          <w:noProof/>
          <w:szCs w:val="22"/>
          <w:lang w:val="fr-FR" w:eastAsia="zh-TW"/>
        </w:rPr>
        <w:drawing>
          <wp:inline distT="0" distB="0" distL="0" distR="0" wp14:anchorId="2F89AFB6" wp14:editId="50269E80">
            <wp:extent cx="756527" cy="266031"/>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6F7543E3" w14:textId="77777777" w:rsidR="00AF261F" w:rsidRPr="00C14A99" w:rsidRDefault="00AF261F" w:rsidP="00AF261F">
      <w:pPr>
        <w:spacing w:before="240"/>
        <w:rPr>
          <w:szCs w:val="22"/>
        </w:rPr>
      </w:pPr>
      <w:r w:rsidRPr="00C14A99">
        <w:rPr>
          <w:szCs w:val="22"/>
        </w:rPr>
        <w:t>This publication is available in Open Access under the Attribution-ShareAlike 3.0 IGO (CC-BY-SA 3.0 IGO) license (</w:t>
      </w:r>
      <w:hyperlink r:id="rId12" w:history="1">
        <w:r w:rsidRPr="00C14A99">
          <w:rPr>
            <w:rFonts w:eastAsiaTheme="minorHAnsi"/>
            <w:color w:val="0000FF"/>
            <w:szCs w:val="22"/>
            <w:u w:val="single" w:color="0000FF"/>
            <w:lang w:val="en-GB" w:eastAsia="en-US"/>
          </w:rPr>
          <w:t>http://creativecommons.org/licenses/by-sa/3.0/igo/</w:t>
        </w:r>
      </w:hyperlink>
      <w:r w:rsidRPr="00C14A99">
        <w:rPr>
          <w:szCs w:val="22"/>
        </w:rPr>
        <w:t>). By using the content of this publication, the users accept to be bound by the terms of use of the UNESCO Open Access Repository (</w:t>
      </w:r>
      <w:hyperlink r:id="rId13" w:history="1">
        <w:r w:rsidRPr="00C14A99">
          <w:rPr>
            <w:color w:val="0000FF"/>
            <w:szCs w:val="22"/>
            <w:u w:val="single"/>
          </w:rPr>
          <w:t>http://www.unesco.org/open-access/terms-use-ccbysa-en</w:t>
        </w:r>
      </w:hyperlink>
      <w:r w:rsidRPr="00C14A99">
        <w:rPr>
          <w:szCs w:val="22"/>
        </w:rPr>
        <w:t>).</w:t>
      </w:r>
    </w:p>
    <w:p w14:paraId="00BA4604" w14:textId="77777777" w:rsidR="00AF261F" w:rsidRPr="00C14A99" w:rsidRDefault="00AF261F" w:rsidP="00AF261F">
      <w:pPr>
        <w:snapToGrid/>
        <w:jc w:val="left"/>
        <w:rPr>
          <w:bCs/>
          <w:iCs/>
          <w:szCs w:val="22"/>
          <w:lang w:val="en-GB" w:eastAsia="pt-BR"/>
        </w:rPr>
      </w:pPr>
      <w:r w:rsidRPr="00C14A99">
        <w:rPr>
          <w:bCs/>
          <w:iCs/>
          <w:szCs w:val="22"/>
          <w:lang w:val="en-GB"/>
        </w:rPr>
        <w:t>The images of this publication do not fall under the CC-BY-SA licence and may not be used, reproduced, or commercialized without the prior permission of the copyright holders.</w:t>
      </w:r>
    </w:p>
    <w:p w14:paraId="051CC652" w14:textId="77777777" w:rsidR="00AF261F" w:rsidRPr="00C14A99" w:rsidRDefault="00AF261F" w:rsidP="00AF261F">
      <w:pPr>
        <w:tabs>
          <w:tab w:val="clear" w:pos="567"/>
        </w:tabs>
        <w:snapToGrid/>
        <w:jc w:val="left"/>
        <w:rPr>
          <w:rFonts w:eastAsia="Times New Roman"/>
          <w:bCs/>
          <w:iCs/>
          <w:szCs w:val="22"/>
          <w:lang w:val="en-GB" w:eastAsia="pt-BR"/>
        </w:rPr>
      </w:pPr>
    </w:p>
    <w:p w14:paraId="3BF0FA7A" w14:textId="77777777" w:rsidR="00AF261F" w:rsidRPr="00C14A99" w:rsidRDefault="00AF261F" w:rsidP="00AF261F">
      <w:pPr>
        <w:rPr>
          <w:bCs/>
          <w:iCs/>
          <w:szCs w:val="22"/>
          <w:lang w:val="en-GB"/>
        </w:rPr>
      </w:pPr>
      <w:r w:rsidRPr="00C14A99">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26C5F29F" w14:textId="77777777" w:rsidR="00AF261F" w:rsidRPr="00C14A99" w:rsidRDefault="00AF261F" w:rsidP="00AF261F">
      <w:pPr>
        <w:tabs>
          <w:tab w:val="clear" w:pos="567"/>
        </w:tabs>
        <w:snapToGrid/>
        <w:jc w:val="left"/>
        <w:rPr>
          <w:rFonts w:eastAsia="Times New Roman"/>
          <w:bCs/>
          <w:iCs/>
          <w:szCs w:val="22"/>
          <w:lang w:val="en-GB" w:eastAsia="pt-BR"/>
        </w:rPr>
      </w:pPr>
    </w:p>
    <w:p w14:paraId="12F97F41" w14:textId="77777777" w:rsidR="00AF261F" w:rsidRPr="00C14A99" w:rsidRDefault="00AF261F" w:rsidP="00AF261F">
      <w:pPr>
        <w:tabs>
          <w:tab w:val="clear" w:pos="567"/>
        </w:tabs>
        <w:snapToGrid/>
        <w:jc w:val="left"/>
        <w:rPr>
          <w:rFonts w:eastAsia="Times New Roman"/>
          <w:bCs/>
          <w:iCs/>
          <w:szCs w:val="22"/>
          <w:lang w:val="en-GB" w:eastAsia="pt-BR"/>
        </w:rPr>
      </w:pPr>
      <w:r w:rsidRPr="00C14A99">
        <w:rPr>
          <w:rFonts w:eastAsia="Times New Roman"/>
          <w:bCs/>
          <w:iCs/>
          <w:szCs w:val="22"/>
          <w:lang w:val="en-GB" w:eastAsia="pt-BR"/>
        </w:rPr>
        <w:t>The ideas and opinions expressed in this publication are those of the authors; they are not necessarily those of UNESCO and do not commit the Organization.</w:t>
      </w:r>
    </w:p>
    <w:p w14:paraId="08938AA7" w14:textId="77777777" w:rsidR="00AF261F" w:rsidRPr="00C14A99" w:rsidRDefault="00AF261F" w:rsidP="00AF261F">
      <w:pPr>
        <w:tabs>
          <w:tab w:val="clear" w:pos="567"/>
        </w:tabs>
        <w:snapToGrid/>
        <w:jc w:val="left"/>
        <w:rPr>
          <w:lang w:val="en-GB"/>
        </w:rPr>
      </w:pPr>
    </w:p>
    <w:p w14:paraId="76DA97B5" w14:textId="1A4B9B08" w:rsidR="00AF261F" w:rsidRPr="00AF261F" w:rsidRDefault="00AF261F" w:rsidP="00AF261F">
      <w:pPr>
        <w:tabs>
          <w:tab w:val="clear" w:pos="567"/>
        </w:tabs>
        <w:snapToGrid/>
        <w:jc w:val="left"/>
      </w:pPr>
      <w:r>
        <w:br w:type="page"/>
      </w:r>
    </w:p>
    <w:p w14:paraId="2886AAC7" w14:textId="6CF4652E" w:rsidR="003A4578" w:rsidRPr="00D520A0" w:rsidRDefault="00D00DC6" w:rsidP="004936EF">
      <w:pPr>
        <w:pStyle w:val="Titcoul"/>
        <w:rPr>
          <w:szCs w:val="70"/>
        </w:rPr>
      </w:pPr>
      <w:r w:rsidRPr="00D520A0">
        <w:rPr>
          <w:kern w:val="0"/>
          <w:szCs w:val="70"/>
        </w:rPr>
        <w:lastRenderedPageBreak/>
        <w:t>lesson plan</w:t>
      </w:r>
      <w:bookmarkStart w:id="5" w:name="_Toc154220428"/>
      <w:bookmarkEnd w:id="1"/>
      <w:bookmarkEnd w:id="2"/>
      <w:bookmarkEnd w:id="3"/>
    </w:p>
    <w:p w14:paraId="4CE0188C" w14:textId="56E5CF5F" w:rsidR="009253E1" w:rsidRPr="00D520A0" w:rsidRDefault="009253E1" w:rsidP="003A4578">
      <w:pPr>
        <w:pStyle w:val="UTit4"/>
        <w:rPr>
          <w:lang w:val="en-GB"/>
        </w:rPr>
      </w:pPr>
      <w:r w:rsidRPr="00D520A0">
        <w:rPr>
          <w:lang w:val="en-GB"/>
        </w:rPr>
        <w:t>Duration:</w:t>
      </w:r>
    </w:p>
    <w:p w14:paraId="4C1A9889" w14:textId="77777777" w:rsidR="009253E1" w:rsidRPr="00D520A0" w:rsidRDefault="009253E1" w:rsidP="003A4578">
      <w:pPr>
        <w:pStyle w:val="UTxt"/>
        <w:rPr>
          <w:i w:val="0"/>
          <w:lang w:val="en-GB"/>
        </w:rPr>
      </w:pPr>
      <w:r w:rsidRPr="00D520A0">
        <w:rPr>
          <w:i w:val="0"/>
          <w:lang w:val="en-GB"/>
        </w:rPr>
        <w:t>2 hours</w:t>
      </w:r>
    </w:p>
    <w:p w14:paraId="335AAC44" w14:textId="49515BDC" w:rsidR="009253E1" w:rsidRPr="00D520A0" w:rsidRDefault="009253E1" w:rsidP="004936EF">
      <w:pPr>
        <w:pStyle w:val="UTit4"/>
        <w:rPr>
          <w:lang w:val="en-GB"/>
        </w:rPr>
      </w:pPr>
      <w:r w:rsidRPr="00D520A0">
        <w:rPr>
          <w:lang w:val="en-GB"/>
        </w:rPr>
        <w:t>Objective(s):</w:t>
      </w:r>
    </w:p>
    <w:p w14:paraId="388F8724" w14:textId="7FA238B6" w:rsidR="009253E1" w:rsidRPr="00D520A0" w:rsidRDefault="007D2A85" w:rsidP="003A4578">
      <w:pPr>
        <w:pStyle w:val="UTxt"/>
        <w:rPr>
          <w:i w:val="0"/>
          <w:lang w:val="en-GB"/>
        </w:rPr>
      </w:pPr>
      <w:r w:rsidRPr="00D520A0">
        <w:rPr>
          <w:i w:val="0"/>
          <w:lang w:val="en-GB"/>
        </w:rPr>
        <w:t>Understand</w:t>
      </w:r>
      <w:r w:rsidR="009253E1" w:rsidRPr="00D520A0">
        <w:rPr>
          <w:i w:val="0"/>
          <w:lang w:val="en-GB"/>
        </w:rPr>
        <w:t xml:space="preserve"> key concepts used in the Convention </w:t>
      </w:r>
      <w:r w:rsidR="00F848F4" w:rsidRPr="00D520A0">
        <w:rPr>
          <w:i w:val="0"/>
          <w:lang w:val="en-GB"/>
        </w:rPr>
        <w:t xml:space="preserve">for the </w:t>
      </w:r>
      <w:r w:rsidR="008723F6" w:rsidRPr="00D520A0">
        <w:rPr>
          <w:i w:val="0"/>
          <w:lang w:val="en-GB"/>
        </w:rPr>
        <w:t>Safeguard</w:t>
      </w:r>
      <w:r w:rsidR="004A647B" w:rsidRPr="00D520A0">
        <w:rPr>
          <w:i w:val="0"/>
          <w:lang w:val="en-GB"/>
        </w:rPr>
        <w:t>ing</w:t>
      </w:r>
      <w:r w:rsidR="008723F6" w:rsidRPr="00D520A0">
        <w:rPr>
          <w:i w:val="0"/>
          <w:lang w:val="en-GB"/>
        </w:rPr>
        <w:t xml:space="preserve"> </w:t>
      </w:r>
      <w:r w:rsidR="00F848F4" w:rsidRPr="00D520A0">
        <w:rPr>
          <w:i w:val="0"/>
          <w:lang w:val="en-GB"/>
        </w:rPr>
        <w:t>of the Intangible Cultural Heritage</w:t>
      </w:r>
      <w:r w:rsidR="00F848F4" w:rsidRPr="00D520A0">
        <w:rPr>
          <w:rStyle w:val="FootnoteReference"/>
          <w:i w:val="0"/>
          <w:lang w:val="en-GB"/>
        </w:rPr>
        <w:footnoteReference w:id="1"/>
      </w:r>
      <w:r w:rsidR="00F848F4" w:rsidRPr="00D520A0">
        <w:rPr>
          <w:i w:val="0"/>
          <w:lang w:val="en-GB"/>
        </w:rPr>
        <w:t xml:space="preserve"> </w:t>
      </w:r>
      <w:r w:rsidR="009253E1" w:rsidRPr="00D520A0">
        <w:rPr>
          <w:i w:val="0"/>
          <w:lang w:val="en-GB"/>
        </w:rPr>
        <w:t>and its O</w:t>
      </w:r>
      <w:r w:rsidR="00E513B2" w:rsidRPr="00D520A0">
        <w:rPr>
          <w:i w:val="0"/>
          <w:lang w:val="en-GB"/>
        </w:rPr>
        <w:t xml:space="preserve">perational </w:t>
      </w:r>
      <w:r w:rsidR="009253E1" w:rsidRPr="00D520A0">
        <w:rPr>
          <w:i w:val="0"/>
          <w:lang w:val="en-GB"/>
        </w:rPr>
        <w:t>D</w:t>
      </w:r>
      <w:r w:rsidR="00E513B2" w:rsidRPr="00D520A0">
        <w:rPr>
          <w:i w:val="0"/>
          <w:lang w:val="en-GB"/>
        </w:rPr>
        <w:t>irective</w:t>
      </w:r>
      <w:r w:rsidR="009253E1" w:rsidRPr="00D520A0">
        <w:rPr>
          <w:i w:val="0"/>
          <w:lang w:val="en-GB"/>
        </w:rPr>
        <w:t>s</w:t>
      </w:r>
      <w:r w:rsidR="00E513B2" w:rsidRPr="00D520A0">
        <w:rPr>
          <w:i w:val="0"/>
          <w:lang w:val="en-GB"/>
        </w:rPr>
        <w:t xml:space="preserve"> (OD</w:t>
      </w:r>
      <w:r w:rsidR="00277E5E" w:rsidRPr="00D520A0">
        <w:rPr>
          <w:i w:val="0"/>
          <w:lang w:val="en-GB"/>
        </w:rPr>
        <w:t>s</w:t>
      </w:r>
      <w:r w:rsidR="00E513B2" w:rsidRPr="00D520A0">
        <w:rPr>
          <w:i w:val="0"/>
          <w:lang w:val="en-GB"/>
        </w:rPr>
        <w:t>)</w:t>
      </w:r>
      <w:r w:rsidR="009253E1" w:rsidRPr="00D520A0">
        <w:rPr>
          <w:i w:val="0"/>
          <w:lang w:val="en-GB"/>
        </w:rPr>
        <w:t>: ‘</w:t>
      </w:r>
      <w:r w:rsidR="0097038A" w:rsidRPr="00D520A0">
        <w:rPr>
          <w:i w:val="0"/>
          <w:lang w:val="en-GB"/>
        </w:rPr>
        <w:t>intangible cultural heritage (ICH)’</w:t>
      </w:r>
      <w:r w:rsidR="009253E1" w:rsidRPr="00D520A0">
        <w:rPr>
          <w:i w:val="0"/>
          <w:lang w:val="en-GB"/>
        </w:rPr>
        <w:t xml:space="preserve">, ‘communities’, ‘safeguarding’, ‘viability’, </w:t>
      </w:r>
      <w:r w:rsidR="00AE7BD7" w:rsidRPr="00D520A0">
        <w:rPr>
          <w:i w:val="0"/>
          <w:lang w:val="en-GB"/>
        </w:rPr>
        <w:t>‘</w:t>
      </w:r>
      <w:r w:rsidR="009253E1" w:rsidRPr="00D520A0">
        <w:rPr>
          <w:i w:val="0"/>
          <w:lang w:val="en-GB"/>
        </w:rPr>
        <w:t>inventorying’, ‘awareness-raising’, ‘revitalization’, etc.</w:t>
      </w:r>
    </w:p>
    <w:p w14:paraId="75405321" w14:textId="21E15C72" w:rsidR="009253E1" w:rsidRPr="00D520A0" w:rsidRDefault="009253E1" w:rsidP="004936EF">
      <w:pPr>
        <w:pStyle w:val="UTit4"/>
        <w:rPr>
          <w:lang w:val="en-GB"/>
        </w:rPr>
      </w:pPr>
      <w:r w:rsidRPr="00D520A0">
        <w:rPr>
          <w:lang w:val="en-GB"/>
        </w:rPr>
        <w:t>Description:</w:t>
      </w:r>
    </w:p>
    <w:p w14:paraId="05C273AC" w14:textId="6D3530A7" w:rsidR="00560EC5" w:rsidRPr="00D520A0" w:rsidRDefault="00686369" w:rsidP="00560EC5">
      <w:pPr>
        <w:pStyle w:val="UTxt"/>
        <w:rPr>
          <w:i w:val="0"/>
          <w:lang w:val="en-GB"/>
        </w:rPr>
      </w:pPr>
      <w:r w:rsidRPr="00D520A0">
        <w:rPr>
          <w:i w:val="0"/>
          <w:lang w:val="en-GB"/>
        </w:rPr>
        <w:t>This</w:t>
      </w:r>
      <w:r w:rsidR="00560EC5" w:rsidRPr="00D520A0">
        <w:rPr>
          <w:i w:val="0"/>
          <w:lang w:val="en-GB"/>
        </w:rPr>
        <w:t xml:space="preserve"> </w:t>
      </w:r>
      <w:r w:rsidR="00E63C29" w:rsidRPr="00D520A0">
        <w:rPr>
          <w:i w:val="0"/>
          <w:lang w:val="en-GB"/>
        </w:rPr>
        <w:t>u</w:t>
      </w:r>
      <w:r w:rsidR="00560EC5" w:rsidRPr="00D520A0">
        <w:rPr>
          <w:i w:val="0"/>
          <w:lang w:val="en-GB"/>
        </w:rPr>
        <w:t xml:space="preserve">nit </w:t>
      </w:r>
      <w:r w:rsidR="00E513B2" w:rsidRPr="00D520A0">
        <w:rPr>
          <w:i w:val="0"/>
          <w:lang w:val="en-GB"/>
        </w:rPr>
        <w:t>discusses</w:t>
      </w:r>
      <w:r w:rsidR="00560EC5" w:rsidRPr="00D520A0">
        <w:rPr>
          <w:i w:val="0"/>
          <w:lang w:val="en-GB"/>
        </w:rPr>
        <w:t xml:space="preserve"> key concepts used in the Convention and its ODs. </w:t>
      </w:r>
      <w:r w:rsidR="007D2A85" w:rsidRPr="00D520A0">
        <w:rPr>
          <w:i w:val="0"/>
          <w:lang w:val="en-GB"/>
        </w:rPr>
        <w:t>I</w:t>
      </w:r>
      <w:r w:rsidR="00560EC5" w:rsidRPr="00D520A0">
        <w:rPr>
          <w:i w:val="0"/>
          <w:lang w:val="en-GB"/>
        </w:rPr>
        <w:t>t provides non-authoritative explanations and background information for some of the concepts</w:t>
      </w:r>
      <w:r w:rsidR="007D2A85" w:rsidRPr="00D520A0">
        <w:rPr>
          <w:i w:val="0"/>
          <w:lang w:val="en-GB"/>
        </w:rPr>
        <w:t>.</w:t>
      </w:r>
      <w:r w:rsidR="00560EC5" w:rsidRPr="00D520A0">
        <w:rPr>
          <w:i w:val="0"/>
          <w:lang w:val="en-GB"/>
        </w:rPr>
        <w:t xml:space="preserve"> </w:t>
      </w:r>
      <w:r w:rsidR="007D2A85" w:rsidRPr="00D520A0">
        <w:rPr>
          <w:i w:val="0"/>
          <w:lang w:val="en-GB"/>
        </w:rPr>
        <w:t>There are no official definitions other than those in the Convention.</w:t>
      </w:r>
    </w:p>
    <w:p w14:paraId="3FC21E23" w14:textId="0BD69117" w:rsidR="009253E1" w:rsidRPr="00D520A0" w:rsidRDefault="00560EC5" w:rsidP="003A4578">
      <w:pPr>
        <w:pStyle w:val="UTxt"/>
        <w:rPr>
          <w:i w:val="0"/>
          <w:lang w:val="en-GB"/>
        </w:rPr>
      </w:pPr>
      <w:r w:rsidRPr="00D520A0">
        <w:rPr>
          <w:lang w:val="en-GB"/>
        </w:rPr>
        <w:t>Proposed sequence</w:t>
      </w:r>
      <w:r w:rsidRPr="00D520A0">
        <w:rPr>
          <w:i w:val="0"/>
          <w:lang w:val="en-GB"/>
        </w:rPr>
        <w:t>:</w:t>
      </w:r>
    </w:p>
    <w:p w14:paraId="150AF604" w14:textId="77777777" w:rsidR="009253E1" w:rsidRPr="00D520A0" w:rsidRDefault="009253E1" w:rsidP="00B015D9">
      <w:pPr>
        <w:pStyle w:val="Upuce"/>
        <w:rPr>
          <w:lang w:val="en-GB"/>
        </w:rPr>
      </w:pPr>
      <w:r w:rsidRPr="00D520A0">
        <w:rPr>
          <w:lang w:val="en-GB"/>
        </w:rPr>
        <w:t>Word cloud of the Convention</w:t>
      </w:r>
    </w:p>
    <w:p w14:paraId="608CAE00" w14:textId="765DCFCB" w:rsidR="009253E1" w:rsidRPr="00D520A0" w:rsidRDefault="009253E1" w:rsidP="00B015D9">
      <w:pPr>
        <w:pStyle w:val="Upuce"/>
        <w:rPr>
          <w:lang w:val="en-GB"/>
        </w:rPr>
      </w:pPr>
      <w:r w:rsidRPr="00D520A0">
        <w:rPr>
          <w:lang w:val="en-GB"/>
        </w:rPr>
        <w:t>Exercise: Anchoring the Convention at the country level</w:t>
      </w:r>
    </w:p>
    <w:p w14:paraId="0FFC18D5" w14:textId="77777777" w:rsidR="009253E1" w:rsidRPr="00D520A0" w:rsidRDefault="009253E1" w:rsidP="00B015D9">
      <w:pPr>
        <w:pStyle w:val="Upuce"/>
        <w:rPr>
          <w:lang w:val="en-GB"/>
        </w:rPr>
      </w:pPr>
      <w:r w:rsidRPr="00D520A0">
        <w:rPr>
          <w:lang w:val="en-GB"/>
        </w:rPr>
        <w:t>‘Intangible heritage’ as a concept</w:t>
      </w:r>
    </w:p>
    <w:p w14:paraId="55516D42" w14:textId="77777777" w:rsidR="009253E1" w:rsidRPr="00D520A0" w:rsidRDefault="009253E1" w:rsidP="00B015D9">
      <w:pPr>
        <w:pStyle w:val="Upuce"/>
        <w:rPr>
          <w:lang w:val="en-GB"/>
        </w:rPr>
      </w:pPr>
      <w:r w:rsidRPr="00D520A0">
        <w:rPr>
          <w:lang w:val="en-GB"/>
        </w:rPr>
        <w:t>‘Communities, groups and individuals concerned’ as a concept</w:t>
      </w:r>
    </w:p>
    <w:p w14:paraId="3A06E254" w14:textId="07F98E2B" w:rsidR="00EF4768" w:rsidRPr="00D520A0" w:rsidRDefault="009253E1" w:rsidP="00EF4768">
      <w:pPr>
        <w:pStyle w:val="Upuce"/>
        <w:rPr>
          <w:lang w:val="en-GB"/>
        </w:rPr>
      </w:pPr>
      <w:r w:rsidRPr="00D520A0">
        <w:rPr>
          <w:lang w:val="en-GB"/>
        </w:rPr>
        <w:t>‘Safeguarding’ as a concept</w:t>
      </w:r>
    </w:p>
    <w:p w14:paraId="35258EC7" w14:textId="073AEE87" w:rsidR="00EF4768" w:rsidRPr="00D520A0" w:rsidRDefault="00EF4768" w:rsidP="0053148C">
      <w:pPr>
        <w:pStyle w:val="UTit4"/>
        <w:rPr>
          <w:lang w:val="en-GB"/>
        </w:rPr>
      </w:pPr>
      <w:r w:rsidRPr="00D520A0">
        <w:rPr>
          <w:lang w:val="en-GB"/>
        </w:rPr>
        <w:t>Supporting documents</w:t>
      </w:r>
    </w:p>
    <w:p w14:paraId="7CE32F19" w14:textId="3DC6224D" w:rsidR="00EF4768" w:rsidRPr="00D520A0" w:rsidRDefault="00EF4768">
      <w:pPr>
        <w:pStyle w:val="Upuce"/>
        <w:rPr>
          <w:lang w:val="en-GB"/>
        </w:rPr>
      </w:pPr>
      <w:r w:rsidRPr="00D520A0">
        <w:rPr>
          <w:lang w:val="en-GB"/>
        </w:rPr>
        <w:t>Facilitator’s notes Unit 3</w:t>
      </w:r>
    </w:p>
    <w:p w14:paraId="6B1272AC" w14:textId="36E62BED" w:rsidR="00EF4768" w:rsidRPr="00D520A0" w:rsidRDefault="00EF4768">
      <w:pPr>
        <w:pStyle w:val="Upuce"/>
        <w:rPr>
          <w:lang w:val="en-GB"/>
        </w:rPr>
      </w:pPr>
      <w:r w:rsidRPr="00D520A0">
        <w:rPr>
          <w:lang w:val="en-GB"/>
        </w:rPr>
        <w:t>PowerPoint presentation Unit 3</w:t>
      </w:r>
    </w:p>
    <w:p w14:paraId="751EBA83" w14:textId="7A09A570" w:rsidR="00EF4768" w:rsidRPr="00D520A0" w:rsidRDefault="00EF4768">
      <w:pPr>
        <w:pStyle w:val="Upuce"/>
        <w:rPr>
          <w:lang w:val="en-GB"/>
        </w:rPr>
      </w:pPr>
      <w:r w:rsidRPr="00D520A0">
        <w:rPr>
          <w:lang w:val="en-GB"/>
        </w:rPr>
        <w:t>Participant’s text Unit 3</w:t>
      </w:r>
    </w:p>
    <w:p w14:paraId="5B9DCCA2" w14:textId="51C4D50A" w:rsidR="00EF4768" w:rsidRPr="00D520A0" w:rsidRDefault="007D2A85">
      <w:pPr>
        <w:pStyle w:val="Upuce"/>
        <w:rPr>
          <w:lang w:val="en-GB"/>
        </w:rPr>
      </w:pPr>
      <w:r w:rsidRPr="00D520A0">
        <w:rPr>
          <w:lang w:val="en-GB"/>
        </w:rPr>
        <w:t xml:space="preserve">UNESCO. </w:t>
      </w:r>
      <w:r w:rsidRPr="00D520A0">
        <w:rPr>
          <w:i/>
          <w:iCs/>
          <w:lang w:val="en-GB"/>
        </w:rPr>
        <w:t>Basic Texts of the 2003 Convention for the Safeguarding of the Intangible Cultural Heritage</w:t>
      </w:r>
      <w:r w:rsidRPr="00D520A0">
        <w:rPr>
          <w:lang w:val="en-GB"/>
        </w:rPr>
        <w:t xml:space="preserve"> (referred to in this unit as Basic Texts). Paris, UNESCO. Available at </w:t>
      </w:r>
      <w:hyperlink r:id="rId14" w:history="1">
        <w:r w:rsidRPr="00D520A0">
          <w:rPr>
            <w:rStyle w:val="Hyperlink"/>
            <w:rFonts w:eastAsia="Times New Roman"/>
            <w:szCs w:val="16"/>
            <w:lang w:val="en-GB"/>
          </w:rPr>
          <w:t>http://www.unesco.org/culture/ich/index.php?lg=en&amp;pg=00503</w:t>
        </w:r>
      </w:hyperlink>
      <w:r w:rsidRPr="00D520A0">
        <w:rPr>
          <w:rStyle w:val="Hyperlink"/>
          <w:color w:val="auto"/>
          <w:u w:val="none"/>
          <w:lang w:val="en-GB"/>
        </w:rPr>
        <w:t>.</w:t>
      </w:r>
    </w:p>
    <w:p w14:paraId="41BC1F12" w14:textId="06E7766D" w:rsidR="008018D2" w:rsidRPr="00D520A0" w:rsidRDefault="008018D2" w:rsidP="004936EF">
      <w:pPr>
        <w:pStyle w:val="Soustitre"/>
        <w:rPr>
          <w:caps/>
          <w:lang w:val="en-GB"/>
        </w:rPr>
      </w:pPr>
      <w:bookmarkStart w:id="6" w:name="_Toc238982204"/>
      <w:bookmarkStart w:id="7" w:name="_Toc154220429"/>
      <w:bookmarkEnd w:id="5"/>
      <w:r w:rsidRPr="00D520A0">
        <w:rPr>
          <w:lang w:val="en-GB"/>
        </w:rPr>
        <w:t>Notes and suggestions</w:t>
      </w:r>
      <w:bookmarkEnd w:id="6"/>
    </w:p>
    <w:p w14:paraId="6900C3B0" w14:textId="79FD9FBE" w:rsidR="00EB16B6" w:rsidRPr="00D520A0" w:rsidRDefault="00EB16B6" w:rsidP="009909DD">
      <w:pPr>
        <w:pStyle w:val="Texte1"/>
        <w:rPr>
          <w:lang w:val="en-GB"/>
        </w:rPr>
      </w:pPr>
      <w:r w:rsidRPr="00D520A0">
        <w:rPr>
          <w:lang w:val="en-GB"/>
        </w:rPr>
        <w:t>T</w:t>
      </w:r>
      <w:r w:rsidR="007D2A85" w:rsidRPr="00D520A0">
        <w:rPr>
          <w:lang w:val="en-GB"/>
        </w:rPr>
        <w:t xml:space="preserve">wo suggestions for ways to present this unit: </w:t>
      </w:r>
    </w:p>
    <w:p w14:paraId="52D12651" w14:textId="215D0716" w:rsidR="00E01128" w:rsidRPr="00D520A0" w:rsidRDefault="007D2A85" w:rsidP="00D520A0">
      <w:pPr>
        <w:pStyle w:val="Texte1"/>
        <w:numPr>
          <w:ilvl w:val="0"/>
          <w:numId w:val="159"/>
        </w:numPr>
        <w:rPr>
          <w:lang w:val="en-GB"/>
        </w:rPr>
      </w:pPr>
      <w:r w:rsidRPr="00D520A0">
        <w:rPr>
          <w:b/>
          <w:lang w:val="en-GB"/>
        </w:rPr>
        <w:t>Follow the presentation</w:t>
      </w:r>
      <w:r w:rsidRPr="00D520A0">
        <w:rPr>
          <w:lang w:val="en-GB"/>
        </w:rPr>
        <w:t xml:space="preserve">: </w:t>
      </w:r>
      <w:r w:rsidR="008018D2" w:rsidRPr="00D520A0">
        <w:rPr>
          <w:lang w:val="en-GB"/>
        </w:rPr>
        <w:t xml:space="preserve">The facilitator may </w:t>
      </w:r>
      <w:r w:rsidRPr="00D520A0">
        <w:rPr>
          <w:lang w:val="en-GB"/>
        </w:rPr>
        <w:t xml:space="preserve">follow </w:t>
      </w:r>
      <w:r w:rsidR="008018D2" w:rsidRPr="00D520A0">
        <w:rPr>
          <w:lang w:val="en-GB"/>
        </w:rPr>
        <w:t xml:space="preserve">the </w:t>
      </w:r>
      <w:r w:rsidR="00324292" w:rsidRPr="00D520A0">
        <w:rPr>
          <w:lang w:val="en-GB"/>
        </w:rPr>
        <w:t>p</w:t>
      </w:r>
      <w:r w:rsidR="008018D2" w:rsidRPr="00D520A0">
        <w:rPr>
          <w:lang w:val="en-GB"/>
        </w:rPr>
        <w:t>resentation</w:t>
      </w:r>
      <w:r w:rsidRPr="00D520A0">
        <w:rPr>
          <w:lang w:val="en-GB"/>
        </w:rPr>
        <w:t xml:space="preserve"> as outlined in the facilitator’s narrative below (with</w:t>
      </w:r>
      <w:r w:rsidR="00B5787D" w:rsidRPr="00D520A0">
        <w:rPr>
          <w:lang w:val="en-GB"/>
        </w:rPr>
        <w:t xml:space="preserve"> the accompanying PowerPoint presentation Unit 3)</w:t>
      </w:r>
      <w:r w:rsidR="008018D2" w:rsidRPr="00D520A0">
        <w:rPr>
          <w:lang w:val="en-GB"/>
        </w:rPr>
        <w:t xml:space="preserve"> and discuss with participants the key concepts presented </w:t>
      </w:r>
      <w:r w:rsidR="00E01128" w:rsidRPr="00D520A0">
        <w:rPr>
          <w:lang w:val="en-GB"/>
        </w:rPr>
        <w:t>in Participant’s text Unit 3</w:t>
      </w:r>
      <w:r w:rsidR="00DB3AB8" w:rsidRPr="00D520A0">
        <w:rPr>
          <w:lang w:val="en-GB"/>
        </w:rPr>
        <w:t xml:space="preserve"> </w:t>
      </w:r>
      <w:r w:rsidR="00E01128" w:rsidRPr="00D520A0">
        <w:rPr>
          <w:lang w:val="en-GB"/>
        </w:rPr>
        <w:t xml:space="preserve">(adding concepts </w:t>
      </w:r>
      <w:r w:rsidR="00DB3AB8" w:rsidRPr="00D520A0">
        <w:rPr>
          <w:lang w:val="en-GB"/>
        </w:rPr>
        <w:t>as needed</w:t>
      </w:r>
      <w:r w:rsidR="00E01128" w:rsidRPr="00D520A0">
        <w:rPr>
          <w:lang w:val="en-GB"/>
        </w:rPr>
        <w:t>)</w:t>
      </w:r>
      <w:r w:rsidR="008018D2" w:rsidRPr="00D520A0">
        <w:rPr>
          <w:lang w:val="en-GB"/>
        </w:rPr>
        <w:t xml:space="preserve">. </w:t>
      </w:r>
      <w:r w:rsidR="00E01128" w:rsidRPr="00D520A0">
        <w:rPr>
          <w:lang w:val="en-GB"/>
        </w:rPr>
        <w:t>Or</w:t>
      </w:r>
    </w:p>
    <w:p w14:paraId="5D602215" w14:textId="0F70BB42" w:rsidR="00132E86" w:rsidRPr="00D520A0" w:rsidRDefault="00E01128" w:rsidP="00D520A0">
      <w:pPr>
        <w:pStyle w:val="Texte1"/>
        <w:numPr>
          <w:ilvl w:val="0"/>
          <w:numId w:val="159"/>
        </w:numPr>
        <w:rPr>
          <w:lang w:val="en-GB"/>
        </w:rPr>
      </w:pPr>
      <w:r w:rsidRPr="00D520A0">
        <w:rPr>
          <w:b/>
          <w:lang w:val="en-GB"/>
        </w:rPr>
        <w:t>Small group discussion</w:t>
      </w:r>
      <w:r w:rsidRPr="00D520A0">
        <w:rPr>
          <w:lang w:val="en-GB"/>
        </w:rPr>
        <w:t>: The</w:t>
      </w:r>
      <w:r w:rsidR="00132E86" w:rsidRPr="00D520A0">
        <w:rPr>
          <w:lang w:val="en-GB"/>
        </w:rPr>
        <w:t xml:space="preserve"> </w:t>
      </w:r>
      <w:r w:rsidR="008723F6" w:rsidRPr="00D520A0">
        <w:rPr>
          <w:lang w:val="en-GB"/>
        </w:rPr>
        <w:t xml:space="preserve">unit </w:t>
      </w:r>
      <w:r w:rsidR="00132E86" w:rsidRPr="00D520A0">
        <w:rPr>
          <w:lang w:val="en-GB"/>
        </w:rPr>
        <w:t xml:space="preserve">may be run as a </w:t>
      </w:r>
      <w:r w:rsidR="002A6E80" w:rsidRPr="00D520A0">
        <w:rPr>
          <w:lang w:val="en-GB"/>
        </w:rPr>
        <w:t xml:space="preserve">small-group </w:t>
      </w:r>
      <w:r w:rsidR="00132E86" w:rsidRPr="00D520A0">
        <w:rPr>
          <w:lang w:val="en-GB"/>
        </w:rPr>
        <w:t xml:space="preserve">discussion, in which </w:t>
      </w:r>
      <w:r w:rsidRPr="00D520A0">
        <w:rPr>
          <w:lang w:val="en-GB"/>
        </w:rPr>
        <w:t>groups</w:t>
      </w:r>
      <w:r w:rsidR="00132E86" w:rsidRPr="00D520A0">
        <w:rPr>
          <w:lang w:val="en-GB"/>
        </w:rPr>
        <w:t xml:space="preserve"> debate the definitions of </w:t>
      </w:r>
      <w:r w:rsidR="002A6E80" w:rsidRPr="00D520A0">
        <w:rPr>
          <w:lang w:val="en-GB"/>
        </w:rPr>
        <w:t xml:space="preserve">some of the </w:t>
      </w:r>
      <w:r w:rsidR="00132E86" w:rsidRPr="00D520A0">
        <w:rPr>
          <w:lang w:val="en-GB"/>
        </w:rPr>
        <w:t xml:space="preserve">key concepts </w:t>
      </w:r>
      <w:r w:rsidR="002A6E80" w:rsidRPr="00D520A0">
        <w:rPr>
          <w:lang w:val="en-GB"/>
        </w:rPr>
        <w:t xml:space="preserve">and discuss how these </w:t>
      </w:r>
      <w:r w:rsidR="002A6E80" w:rsidRPr="00D520A0">
        <w:rPr>
          <w:lang w:val="en-GB"/>
        </w:rPr>
        <w:lastRenderedPageBreak/>
        <w:t>concepts</w:t>
      </w:r>
      <w:r w:rsidR="00132E86" w:rsidRPr="00D520A0">
        <w:rPr>
          <w:lang w:val="en-GB"/>
        </w:rPr>
        <w:t xml:space="preserve"> might be used and translated in their local context.</w:t>
      </w:r>
      <w:r w:rsidR="00DB3AB8" w:rsidRPr="00D520A0">
        <w:rPr>
          <w:lang w:val="en-GB"/>
        </w:rPr>
        <w:t xml:space="preserve"> </w:t>
      </w:r>
      <w:r w:rsidRPr="00D520A0">
        <w:rPr>
          <w:lang w:val="en-GB"/>
        </w:rPr>
        <w:t>As</w:t>
      </w:r>
      <w:r w:rsidR="00DB3AB8" w:rsidRPr="00D520A0">
        <w:rPr>
          <w:lang w:val="en-GB"/>
        </w:rPr>
        <w:t xml:space="preserve"> background</w:t>
      </w:r>
      <w:r w:rsidRPr="00D520A0">
        <w:rPr>
          <w:lang w:val="en-GB"/>
        </w:rPr>
        <w:t xml:space="preserve"> for the discussions, participants should use their knowledge</w:t>
      </w:r>
      <w:r w:rsidR="00DB3AB8" w:rsidRPr="00D520A0">
        <w:rPr>
          <w:lang w:val="en-GB"/>
        </w:rPr>
        <w:t xml:space="preserve"> of existing terms in heritage and related discourse. </w:t>
      </w:r>
    </w:p>
    <w:p w14:paraId="41D5FD2E" w14:textId="633106B9" w:rsidR="001315D8" w:rsidRPr="00D520A0" w:rsidRDefault="008018D2" w:rsidP="009909DD">
      <w:pPr>
        <w:pStyle w:val="Texte1"/>
        <w:rPr>
          <w:lang w:val="en-GB"/>
        </w:rPr>
      </w:pPr>
      <w:r w:rsidRPr="00D520A0">
        <w:rPr>
          <w:lang w:val="en-GB"/>
        </w:rPr>
        <w:t>Reference should be made</w:t>
      </w:r>
      <w:r w:rsidR="009E084E" w:rsidRPr="00D520A0">
        <w:rPr>
          <w:lang w:val="en-GB"/>
        </w:rPr>
        <w:t xml:space="preserve"> wherever possible to relevant </w:t>
      </w:r>
      <w:r w:rsidR="001315D8" w:rsidRPr="00D520A0">
        <w:rPr>
          <w:lang w:val="en-GB"/>
        </w:rPr>
        <w:t>a</w:t>
      </w:r>
      <w:r w:rsidRPr="00D520A0">
        <w:rPr>
          <w:lang w:val="en-GB"/>
        </w:rPr>
        <w:t xml:space="preserve">rticles of the Convention and its ODs. Participants should be encouraged to </w:t>
      </w:r>
      <w:r w:rsidR="00DB3AB8" w:rsidRPr="00D520A0">
        <w:rPr>
          <w:lang w:val="en-GB"/>
        </w:rPr>
        <w:t>refer to</w:t>
      </w:r>
      <w:r w:rsidRPr="00D520A0">
        <w:rPr>
          <w:lang w:val="en-GB"/>
        </w:rPr>
        <w:t xml:space="preserve"> the </w:t>
      </w:r>
      <w:r w:rsidR="00B71235" w:rsidRPr="00D520A0">
        <w:rPr>
          <w:lang w:val="en-GB"/>
        </w:rPr>
        <w:t>k</w:t>
      </w:r>
      <w:r w:rsidRPr="00D520A0">
        <w:rPr>
          <w:lang w:val="en-GB"/>
        </w:rPr>
        <w:t xml:space="preserve">ey </w:t>
      </w:r>
      <w:r w:rsidR="00B71235" w:rsidRPr="00D520A0">
        <w:rPr>
          <w:lang w:val="en-GB"/>
        </w:rPr>
        <w:t>c</w:t>
      </w:r>
      <w:r w:rsidRPr="00D520A0">
        <w:rPr>
          <w:lang w:val="en-GB"/>
        </w:rPr>
        <w:t xml:space="preserve">oncepts </w:t>
      </w:r>
      <w:r w:rsidR="00DB3AB8" w:rsidRPr="00D520A0">
        <w:rPr>
          <w:lang w:val="en-GB"/>
        </w:rPr>
        <w:t xml:space="preserve">in </w:t>
      </w:r>
      <w:r w:rsidR="00F02D08" w:rsidRPr="00D520A0">
        <w:rPr>
          <w:lang w:val="en-GB"/>
        </w:rPr>
        <w:t>Participant’s</w:t>
      </w:r>
      <w:r w:rsidR="002A3923" w:rsidRPr="00D520A0">
        <w:rPr>
          <w:lang w:val="en-GB"/>
        </w:rPr>
        <w:t xml:space="preserve"> text </w:t>
      </w:r>
      <w:r w:rsidR="00C70D2E" w:rsidRPr="00D520A0">
        <w:rPr>
          <w:lang w:val="en-GB"/>
        </w:rPr>
        <w:t>Unit 3</w:t>
      </w:r>
      <w:r w:rsidRPr="00D520A0">
        <w:rPr>
          <w:lang w:val="en-GB"/>
        </w:rPr>
        <w:t xml:space="preserve">. </w:t>
      </w:r>
    </w:p>
    <w:p w14:paraId="4C087617" w14:textId="2915C667" w:rsidR="009E084E" w:rsidRPr="00D520A0" w:rsidRDefault="00B71235" w:rsidP="009909DD">
      <w:pPr>
        <w:pStyle w:val="Texte1"/>
        <w:rPr>
          <w:lang w:val="en-GB"/>
        </w:rPr>
      </w:pPr>
      <w:r w:rsidRPr="00D520A0">
        <w:rPr>
          <w:lang w:val="en-GB"/>
        </w:rPr>
        <w:t xml:space="preserve">It is important for facilitators </w:t>
      </w:r>
      <w:r w:rsidR="00077936" w:rsidRPr="00D520A0">
        <w:rPr>
          <w:lang w:val="en-GB"/>
        </w:rPr>
        <w:t xml:space="preserve">to </w:t>
      </w:r>
      <w:r w:rsidR="00077936" w:rsidRPr="00D520A0">
        <w:rPr>
          <w:b/>
          <w:lang w:val="en-GB"/>
        </w:rPr>
        <w:t>avoid the term</w:t>
      </w:r>
      <w:r w:rsidR="00C70D2E" w:rsidRPr="00D520A0">
        <w:rPr>
          <w:b/>
          <w:noProof/>
          <w:lang w:eastAsia="zh-TW"/>
        </w:rPr>
        <w:drawing>
          <wp:anchor distT="0" distB="0" distL="114300" distR="114300" simplePos="0" relativeHeight="251646464" behindDoc="0" locked="1" layoutInCell="1" allowOverlap="0" wp14:anchorId="60FA36D1" wp14:editId="3B2D551F">
            <wp:simplePos x="0" y="0"/>
            <wp:positionH relativeFrom="column">
              <wp:posOffset>0</wp:posOffset>
            </wp:positionH>
            <wp:positionV relativeFrom="paragraph">
              <wp:posOffset>77470</wp:posOffset>
            </wp:positionV>
            <wp:extent cx="283210" cy="358775"/>
            <wp:effectExtent l="0" t="0" r="2540" b="3175"/>
            <wp:wrapThrough wrapText="bothSides">
              <wp:wrapPolygon edited="0">
                <wp:start x="0" y="0"/>
                <wp:lineTo x="0" y="20644"/>
                <wp:lineTo x="20341" y="20644"/>
                <wp:lineTo x="20341"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5">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70D2E" w:rsidRPr="00D520A0">
        <w:rPr>
          <w:b/>
          <w:lang w:val="en-GB"/>
        </w:rPr>
        <w:t xml:space="preserve"> </w:t>
      </w:r>
      <w:r w:rsidR="009E084E" w:rsidRPr="00D520A0">
        <w:rPr>
          <w:b/>
          <w:lang w:val="en-GB"/>
        </w:rPr>
        <w:t xml:space="preserve">‘definitions’ </w:t>
      </w:r>
      <w:r w:rsidRPr="00D520A0">
        <w:rPr>
          <w:b/>
          <w:lang w:val="en-GB"/>
        </w:rPr>
        <w:t xml:space="preserve">when referring to the </w:t>
      </w:r>
      <w:r w:rsidR="009E084E" w:rsidRPr="00D520A0">
        <w:rPr>
          <w:b/>
          <w:lang w:val="en-GB"/>
        </w:rPr>
        <w:t xml:space="preserve">explanations given in </w:t>
      </w:r>
      <w:r w:rsidR="00F02D08" w:rsidRPr="00D520A0">
        <w:rPr>
          <w:b/>
          <w:lang w:val="en-GB"/>
        </w:rPr>
        <w:t>Participant’s</w:t>
      </w:r>
      <w:r w:rsidR="002A3923" w:rsidRPr="00D520A0">
        <w:rPr>
          <w:b/>
          <w:lang w:val="en-GB"/>
        </w:rPr>
        <w:t xml:space="preserve"> text </w:t>
      </w:r>
      <w:r w:rsidR="00C70D2E" w:rsidRPr="00D520A0">
        <w:rPr>
          <w:b/>
          <w:lang w:val="en-GB"/>
        </w:rPr>
        <w:t>Unit 3</w:t>
      </w:r>
      <w:r w:rsidR="009E084E" w:rsidRPr="00D520A0">
        <w:rPr>
          <w:lang w:val="en-GB"/>
        </w:rPr>
        <w:t xml:space="preserve">. </w:t>
      </w:r>
      <w:r w:rsidR="00DE44A1" w:rsidRPr="00D520A0">
        <w:rPr>
          <w:lang w:val="en-GB"/>
        </w:rPr>
        <w:t>T</w:t>
      </w:r>
      <w:r w:rsidR="009E084E" w:rsidRPr="00D520A0">
        <w:rPr>
          <w:lang w:val="en-GB"/>
        </w:rPr>
        <w:t>here are no official definitions other than those occurring in the Convention.</w:t>
      </w:r>
    </w:p>
    <w:p w14:paraId="7BA730DC" w14:textId="1330197D" w:rsidR="00D520A0" w:rsidRDefault="008018D2" w:rsidP="009909DD">
      <w:pPr>
        <w:pStyle w:val="Texte1"/>
        <w:rPr>
          <w:lang w:val="en-GB"/>
        </w:rPr>
      </w:pPr>
      <w:r w:rsidRPr="00D520A0">
        <w:rPr>
          <w:lang w:val="en-GB"/>
        </w:rPr>
        <w:t>Some of the concepts, such as ICH, may have</w:t>
      </w:r>
      <w:r w:rsidR="00AD4C8F" w:rsidRPr="00D520A0">
        <w:rPr>
          <w:lang w:val="en-GB"/>
        </w:rPr>
        <w:t xml:space="preserve"> already</w:t>
      </w:r>
      <w:r w:rsidRPr="00D520A0">
        <w:rPr>
          <w:lang w:val="en-GB"/>
        </w:rPr>
        <w:t xml:space="preserve"> been discussed in </w:t>
      </w:r>
      <w:r w:rsidR="00E01074" w:rsidRPr="00D520A0">
        <w:rPr>
          <w:lang w:val="en-GB"/>
        </w:rPr>
        <w:t>Unit</w:t>
      </w:r>
      <w:r w:rsidR="005C22E4" w:rsidRPr="00D520A0">
        <w:rPr>
          <w:lang w:val="en-GB"/>
        </w:rPr>
        <w:t> </w:t>
      </w:r>
      <w:r w:rsidR="00B3578C" w:rsidRPr="00D520A0">
        <w:rPr>
          <w:lang w:val="en-GB"/>
        </w:rPr>
        <w:t xml:space="preserve">1 or </w:t>
      </w:r>
      <w:r w:rsidRPr="00D520A0">
        <w:rPr>
          <w:lang w:val="en-GB"/>
        </w:rPr>
        <w:t xml:space="preserve">2 and may therefore be covered in less detail in this </w:t>
      </w:r>
      <w:r w:rsidR="00DE44A1" w:rsidRPr="00D520A0">
        <w:rPr>
          <w:lang w:val="en-GB"/>
        </w:rPr>
        <w:t>unit</w:t>
      </w:r>
      <w:r w:rsidRPr="00D520A0">
        <w:rPr>
          <w:lang w:val="en-GB"/>
        </w:rPr>
        <w:t xml:space="preserve">. </w:t>
      </w:r>
      <w:r w:rsidR="00DB3AB8" w:rsidRPr="00D520A0">
        <w:rPr>
          <w:lang w:val="en-GB"/>
        </w:rPr>
        <w:t>The c</w:t>
      </w:r>
      <w:r w:rsidRPr="00D520A0">
        <w:rPr>
          <w:lang w:val="en-GB"/>
        </w:rPr>
        <w:t xml:space="preserve">oncepts of </w:t>
      </w:r>
      <w:r w:rsidR="00DB3AB8" w:rsidRPr="00D520A0">
        <w:rPr>
          <w:lang w:val="en-GB"/>
        </w:rPr>
        <w:t>‘</w:t>
      </w:r>
      <w:r w:rsidRPr="00D520A0">
        <w:rPr>
          <w:lang w:val="en-GB"/>
        </w:rPr>
        <w:t>community</w:t>
      </w:r>
      <w:r w:rsidR="00DB3AB8" w:rsidRPr="00D520A0">
        <w:rPr>
          <w:lang w:val="en-GB"/>
        </w:rPr>
        <w:t>’</w:t>
      </w:r>
      <w:r w:rsidRPr="00D520A0">
        <w:rPr>
          <w:lang w:val="en-GB"/>
        </w:rPr>
        <w:t xml:space="preserve"> and </w:t>
      </w:r>
      <w:r w:rsidR="00DB3AB8" w:rsidRPr="00D520A0">
        <w:rPr>
          <w:lang w:val="en-GB"/>
        </w:rPr>
        <w:t>‘</w:t>
      </w:r>
      <w:r w:rsidRPr="00D520A0">
        <w:rPr>
          <w:lang w:val="en-GB"/>
        </w:rPr>
        <w:t>safeguarding</w:t>
      </w:r>
      <w:r w:rsidR="00DB3AB8" w:rsidRPr="00D520A0">
        <w:rPr>
          <w:lang w:val="en-GB"/>
        </w:rPr>
        <w:t>’</w:t>
      </w:r>
      <w:r w:rsidRPr="00D520A0">
        <w:rPr>
          <w:lang w:val="en-GB"/>
        </w:rPr>
        <w:t xml:space="preserve"> will receive detailed attention in later </w:t>
      </w:r>
      <w:r w:rsidR="00DE44A1" w:rsidRPr="00D520A0">
        <w:rPr>
          <w:lang w:val="en-GB"/>
        </w:rPr>
        <w:t xml:space="preserve">units </w:t>
      </w:r>
      <w:r w:rsidRPr="00D520A0">
        <w:rPr>
          <w:lang w:val="en-GB"/>
        </w:rPr>
        <w:t>(</w:t>
      </w:r>
      <w:r w:rsidR="00E01074" w:rsidRPr="00D520A0">
        <w:rPr>
          <w:lang w:val="en-GB"/>
        </w:rPr>
        <w:t>Unit</w:t>
      </w:r>
      <w:r w:rsidR="00DB3AB8" w:rsidRPr="00D520A0">
        <w:rPr>
          <w:lang w:val="en-GB"/>
        </w:rPr>
        <w:t>s</w:t>
      </w:r>
      <w:r w:rsidR="004D00D1" w:rsidRPr="00D520A0">
        <w:rPr>
          <w:lang w:val="en-GB"/>
        </w:rPr>
        <w:t> </w:t>
      </w:r>
      <w:r w:rsidR="006938BB" w:rsidRPr="00D520A0">
        <w:rPr>
          <w:lang w:val="en-GB"/>
        </w:rPr>
        <w:t xml:space="preserve">7 and </w:t>
      </w:r>
      <w:r w:rsidR="00992DCE" w:rsidRPr="00D520A0">
        <w:rPr>
          <w:lang w:val="en-GB"/>
        </w:rPr>
        <w:t>9</w:t>
      </w:r>
      <w:r w:rsidRPr="00D520A0">
        <w:rPr>
          <w:lang w:val="en-GB"/>
        </w:rPr>
        <w:t xml:space="preserve"> respectively)</w:t>
      </w:r>
      <w:r w:rsidR="00B71235" w:rsidRPr="00D520A0">
        <w:rPr>
          <w:lang w:val="en-GB"/>
        </w:rPr>
        <w:t>,</w:t>
      </w:r>
      <w:r w:rsidRPr="00D520A0">
        <w:rPr>
          <w:lang w:val="en-GB"/>
        </w:rPr>
        <w:t xml:space="preserve"> so discussion of these terms </w:t>
      </w:r>
      <w:r w:rsidR="00DB3AB8" w:rsidRPr="00D520A0">
        <w:rPr>
          <w:lang w:val="en-GB"/>
        </w:rPr>
        <w:t>may</w:t>
      </w:r>
      <w:r w:rsidRPr="00D520A0">
        <w:rPr>
          <w:lang w:val="en-GB"/>
        </w:rPr>
        <w:t xml:space="preserve"> be relatively brief</w:t>
      </w:r>
      <w:r w:rsidR="00DB3AB8" w:rsidRPr="00D520A0">
        <w:rPr>
          <w:lang w:val="en-GB"/>
        </w:rPr>
        <w:t xml:space="preserve"> here</w:t>
      </w:r>
      <w:r w:rsidRPr="00D520A0">
        <w:rPr>
          <w:lang w:val="en-GB"/>
        </w:rPr>
        <w:t>.</w:t>
      </w:r>
    </w:p>
    <w:p w14:paraId="39231D84" w14:textId="42D28746" w:rsidR="008018D2" w:rsidRPr="00D520A0" w:rsidRDefault="00D520A0" w:rsidP="00D520A0">
      <w:pPr>
        <w:tabs>
          <w:tab w:val="clear" w:pos="567"/>
        </w:tabs>
        <w:snapToGrid/>
        <w:spacing w:before="0" w:after="0"/>
        <w:jc w:val="left"/>
        <w:rPr>
          <w:snapToGrid/>
          <w:sz w:val="20"/>
          <w:lang w:val="en-GB"/>
        </w:rPr>
      </w:pPr>
      <w:r>
        <w:rPr>
          <w:lang w:val="en-GB"/>
        </w:rPr>
        <w:br w:type="page"/>
      </w:r>
    </w:p>
    <w:p w14:paraId="21392940" w14:textId="172AABC3" w:rsidR="009253E1" w:rsidRPr="00D520A0" w:rsidRDefault="00C4640B" w:rsidP="004936EF">
      <w:pPr>
        <w:pStyle w:val="Chapitre"/>
        <w:rPr>
          <w:kern w:val="0"/>
        </w:rPr>
      </w:pPr>
      <w:bookmarkStart w:id="8" w:name="_Toc241644701"/>
      <w:bookmarkStart w:id="9" w:name="_Toc302374678"/>
      <w:r w:rsidRPr="00D520A0">
        <w:rPr>
          <w:kern w:val="0"/>
        </w:rPr>
        <w:lastRenderedPageBreak/>
        <w:t xml:space="preserve">Unit </w:t>
      </w:r>
      <w:r w:rsidR="00B00B7C" w:rsidRPr="00D520A0">
        <w:rPr>
          <w:kern w:val="0"/>
        </w:rPr>
        <w:t>3</w:t>
      </w:r>
      <w:bookmarkEnd w:id="8"/>
    </w:p>
    <w:p w14:paraId="7B34BA1C" w14:textId="7AC3113A" w:rsidR="00D00DC6" w:rsidRPr="00D520A0" w:rsidRDefault="00D00DC6" w:rsidP="001E63DD">
      <w:pPr>
        <w:pStyle w:val="UPlan"/>
        <w:rPr>
          <w:kern w:val="0"/>
          <w:szCs w:val="70"/>
        </w:rPr>
      </w:pPr>
      <w:bookmarkStart w:id="10" w:name="_Toc241644702"/>
      <w:r w:rsidRPr="00D520A0">
        <w:t>Key CONCEPTs In the convention</w:t>
      </w:r>
    </w:p>
    <w:p w14:paraId="26406C3F" w14:textId="5B0C03F9" w:rsidR="009253E1" w:rsidRPr="00D520A0" w:rsidRDefault="001E63DD" w:rsidP="004936EF">
      <w:pPr>
        <w:pStyle w:val="Titcoul"/>
        <w:rPr>
          <w:b w:val="0"/>
          <w:caps w:val="0"/>
          <w:szCs w:val="70"/>
        </w:rPr>
      </w:pPr>
      <w:r w:rsidRPr="00D520A0">
        <w:rPr>
          <w:bCs w:val="0"/>
          <w:kern w:val="0"/>
          <w:szCs w:val="70"/>
        </w:rPr>
        <w:t>facilitator’s narrative</w:t>
      </w:r>
      <w:bookmarkStart w:id="11" w:name="_Toc278288178"/>
      <w:bookmarkStart w:id="12" w:name="_Toc278405935"/>
      <w:bookmarkStart w:id="13" w:name="_Toc154220430"/>
      <w:bookmarkEnd w:id="7"/>
      <w:bookmarkEnd w:id="9"/>
      <w:bookmarkEnd w:id="10"/>
    </w:p>
    <w:p w14:paraId="10857293" w14:textId="66EE4192" w:rsidR="009253E1" w:rsidRPr="00D520A0" w:rsidRDefault="004C284A" w:rsidP="004936EF">
      <w:pPr>
        <w:pStyle w:val="Heading6"/>
        <w:rPr>
          <w:lang w:val="en-GB"/>
        </w:rPr>
      </w:pPr>
      <w:r w:rsidRPr="00D520A0">
        <w:rPr>
          <w:lang w:val="en-GB"/>
        </w:rPr>
        <w:t>Slide 1</w:t>
      </w:r>
      <w:r w:rsidR="009253E1" w:rsidRPr="00D520A0">
        <w:rPr>
          <w:lang w:val="en-GB"/>
        </w:rPr>
        <w:t>.</w:t>
      </w:r>
    </w:p>
    <w:p w14:paraId="6A892207" w14:textId="77777777" w:rsidR="004C284A" w:rsidRPr="00D520A0" w:rsidRDefault="004C284A" w:rsidP="004936EF">
      <w:pPr>
        <w:pStyle w:val="diapo2"/>
        <w:rPr>
          <w:lang w:val="en-GB"/>
        </w:rPr>
      </w:pPr>
      <w:r w:rsidRPr="00D520A0">
        <w:rPr>
          <w:lang w:val="en-GB"/>
        </w:rPr>
        <w:t>Key concepts</w:t>
      </w:r>
    </w:p>
    <w:p w14:paraId="29EB6254" w14:textId="5D567506" w:rsidR="009253E1" w:rsidRPr="00D520A0" w:rsidRDefault="003A5D4F" w:rsidP="004936EF">
      <w:pPr>
        <w:pStyle w:val="Heading6"/>
        <w:rPr>
          <w:lang w:val="en-GB"/>
        </w:rPr>
      </w:pPr>
      <w:r w:rsidRPr="00D520A0">
        <w:rPr>
          <w:lang w:val="en-GB"/>
        </w:rPr>
        <w:t>Slide 2</w:t>
      </w:r>
      <w:r w:rsidR="009253E1" w:rsidRPr="00D520A0">
        <w:rPr>
          <w:lang w:val="en-GB"/>
        </w:rPr>
        <w:t>.</w:t>
      </w:r>
    </w:p>
    <w:p w14:paraId="4627E6B0" w14:textId="77777777" w:rsidR="004C284A" w:rsidRPr="00D520A0" w:rsidRDefault="004C284A" w:rsidP="004936EF">
      <w:pPr>
        <w:pStyle w:val="diapo2"/>
        <w:rPr>
          <w:lang w:val="en-GB"/>
        </w:rPr>
      </w:pPr>
      <w:r w:rsidRPr="00D520A0">
        <w:rPr>
          <w:lang w:val="en-GB"/>
        </w:rPr>
        <w:t>Word cloud of the Convention</w:t>
      </w:r>
    </w:p>
    <w:p w14:paraId="70E1F95D" w14:textId="7CBC8CAA" w:rsidR="004C284A" w:rsidRPr="00D520A0" w:rsidRDefault="00C46E11" w:rsidP="009909DD">
      <w:pPr>
        <w:pStyle w:val="Texte1"/>
        <w:rPr>
          <w:lang w:val="en-GB"/>
        </w:rPr>
      </w:pPr>
      <w:r w:rsidRPr="00D520A0">
        <w:rPr>
          <w:lang w:val="en-GB"/>
        </w:rPr>
        <w:t>The slide shows</w:t>
      </w:r>
      <w:r w:rsidR="004C284A" w:rsidRPr="00D520A0">
        <w:rPr>
          <w:lang w:val="en-GB"/>
        </w:rPr>
        <w:t xml:space="preserve"> a word cloud of the Convention</w:t>
      </w:r>
      <w:r w:rsidR="00DF24D1" w:rsidRPr="00D520A0">
        <w:rPr>
          <w:lang w:val="en-GB"/>
        </w:rPr>
        <w:t>.</w:t>
      </w:r>
      <w:r w:rsidR="004C284A" w:rsidRPr="00D520A0">
        <w:rPr>
          <w:lang w:val="en-GB"/>
        </w:rPr>
        <w:t xml:space="preserve"> </w:t>
      </w:r>
      <w:r w:rsidR="00DF24D1" w:rsidRPr="00D520A0">
        <w:rPr>
          <w:lang w:val="en-GB"/>
        </w:rPr>
        <w:t>T</w:t>
      </w:r>
      <w:r w:rsidR="004C284A" w:rsidRPr="00D520A0">
        <w:rPr>
          <w:lang w:val="en-GB"/>
        </w:rPr>
        <w:t xml:space="preserve">he size of each word </w:t>
      </w:r>
      <w:r w:rsidR="00CE03ED" w:rsidRPr="00D520A0">
        <w:rPr>
          <w:lang w:val="en-GB"/>
        </w:rPr>
        <w:t>indicat</w:t>
      </w:r>
      <w:r w:rsidR="00DF24D1" w:rsidRPr="00D520A0">
        <w:rPr>
          <w:lang w:val="en-GB"/>
        </w:rPr>
        <w:t>es</w:t>
      </w:r>
      <w:r w:rsidR="00CE03ED" w:rsidRPr="00D520A0">
        <w:rPr>
          <w:lang w:val="en-GB"/>
        </w:rPr>
        <w:t xml:space="preserve"> </w:t>
      </w:r>
      <w:r w:rsidR="004C284A" w:rsidRPr="00D520A0">
        <w:rPr>
          <w:lang w:val="en-GB"/>
        </w:rPr>
        <w:t xml:space="preserve">the </w:t>
      </w:r>
      <w:r w:rsidR="00C61038" w:rsidRPr="00D520A0">
        <w:rPr>
          <w:lang w:val="en-GB"/>
        </w:rPr>
        <w:t xml:space="preserve">relative </w:t>
      </w:r>
      <w:r w:rsidR="004C284A" w:rsidRPr="00D520A0">
        <w:rPr>
          <w:lang w:val="en-GB"/>
        </w:rPr>
        <w:t>frequency with which it appears in the</w:t>
      </w:r>
      <w:r w:rsidR="007326E6" w:rsidRPr="00D520A0">
        <w:rPr>
          <w:lang w:val="en-GB"/>
        </w:rPr>
        <w:t xml:space="preserve"> text of the</w:t>
      </w:r>
      <w:r w:rsidR="004C284A" w:rsidRPr="00D520A0">
        <w:rPr>
          <w:lang w:val="en-GB"/>
        </w:rPr>
        <w:t xml:space="preserve"> Convention. </w:t>
      </w:r>
      <w:r w:rsidR="00CE03ED" w:rsidRPr="00D520A0">
        <w:rPr>
          <w:lang w:val="en-GB"/>
        </w:rPr>
        <w:t>Un</w:t>
      </w:r>
      <w:r w:rsidR="004C284A" w:rsidRPr="00D520A0">
        <w:rPr>
          <w:lang w:val="en-GB"/>
        </w:rPr>
        <w:t>surprising</w:t>
      </w:r>
      <w:r w:rsidR="00CE03ED" w:rsidRPr="00D520A0">
        <w:rPr>
          <w:lang w:val="en-GB"/>
        </w:rPr>
        <w:t>ly,</w:t>
      </w:r>
      <w:r w:rsidR="004C284A" w:rsidRPr="00D520A0">
        <w:rPr>
          <w:lang w:val="en-GB"/>
        </w:rPr>
        <w:t xml:space="preserve"> ‘States Parties’, ‘intangible cultural heritage’, ‘Convention’, ‘UNESCO’, ‘safeguarding’, ‘General Assembly’ and ‘Committee’ are the most frequently used words.</w:t>
      </w:r>
    </w:p>
    <w:p w14:paraId="282866DD" w14:textId="03B741DF" w:rsidR="004C284A" w:rsidRPr="00D520A0" w:rsidRDefault="004C284A" w:rsidP="009909DD">
      <w:pPr>
        <w:pStyle w:val="Texte1"/>
        <w:rPr>
          <w:lang w:val="en-GB"/>
        </w:rPr>
      </w:pPr>
      <w:r w:rsidRPr="00D520A0">
        <w:rPr>
          <w:lang w:val="en-GB"/>
        </w:rPr>
        <w:t xml:space="preserve">The Convention is an agreement between States Parties, administered by UNESCO. The </w:t>
      </w:r>
      <w:r w:rsidR="009A0A21" w:rsidRPr="00D520A0">
        <w:rPr>
          <w:lang w:val="en-GB"/>
        </w:rPr>
        <w:t>Organ</w:t>
      </w:r>
      <w:r w:rsidRPr="00D520A0">
        <w:rPr>
          <w:lang w:val="en-GB"/>
        </w:rPr>
        <w:t xml:space="preserve">s of the Convention are the General Assembly and </w:t>
      </w:r>
      <w:r w:rsidR="007D5812" w:rsidRPr="00D520A0">
        <w:rPr>
          <w:lang w:val="en-GB"/>
        </w:rPr>
        <w:t xml:space="preserve">the </w:t>
      </w:r>
      <w:r w:rsidRPr="00D520A0">
        <w:rPr>
          <w:lang w:val="en-GB"/>
        </w:rPr>
        <w:t>Intergovernmental Committee</w:t>
      </w:r>
      <w:r w:rsidR="006C4322" w:rsidRPr="00D520A0">
        <w:rPr>
          <w:lang w:val="en-GB"/>
        </w:rPr>
        <w:t xml:space="preserve"> for the Safeguarding of the Intangible Cultural Heritage</w:t>
      </w:r>
      <w:r w:rsidR="00C61038" w:rsidRPr="00D520A0">
        <w:rPr>
          <w:lang w:val="en-GB"/>
        </w:rPr>
        <w:t>, which are</w:t>
      </w:r>
      <w:r w:rsidRPr="00D520A0">
        <w:rPr>
          <w:lang w:val="en-GB"/>
        </w:rPr>
        <w:t xml:space="preserve"> responsible for various aspects of the implementation of the Convention, so they are </w:t>
      </w:r>
      <w:r w:rsidR="00C61038" w:rsidRPr="00D520A0">
        <w:rPr>
          <w:lang w:val="en-GB"/>
        </w:rPr>
        <w:t xml:space="preserve">also </w:t>
      </w:r>
      <w:r w:rsidRPr="00D520A0">
        <w:rPr>
          <w:lang w:val="en-GB"/>
        </w:rPr>
        <w:t>mentioned frequently. The Convention</w:t>
      </w:r>
      <w:r w:rsidR="00892F11" w:rsidRPr="00D520A0">
        <w:rPr>
          <w:lang w:val="en-GB"/>
        </w:rPr>
        <w:t>’s</w:t>
      </w:r>
      <w:r w:rsidRPr="00D520A0">
        <w:rPr>
          <w:lang w:val="en-GB"/>
        </w:rPr>
        <w:t xml:space="preserve"> text focuses on safeguarding intangible heritage, thus ‘intangible </w:t>
      </w:r>
      <w:r w:rsidR="00C61038" w:rsidRPr="00D520A0">
        <w:rPr>
          <w:lang w:val="en-GB"/>
        </w:rPr>
        <w:t xml:space="preserve">cultural </w:t>
      </w:r>
      <w:r w:rsidRPr="00D520A0">
        <w:rPr>
          <w:lang w:val="en-GB"/>
        </w:rPr>
        <w:t>heritage’ and ‘safeguarding’ are also mentioned quite often.</w:t>
      </w:r>
    </w:p>
    <w:p w14:paraId="30FEEC5A" w14:textId="686D3DC2" w:rsidR="004C284A" w:rsidRPr="00D520A0" w:rsidRDefault="007D5812" w:rsidP="009909DD">
      <w:pPr>
        <w:pStyle w:val="Texte1"/>
        <w:rPr>
          <w:lang w:val="en-GB"/>
        </w:rPr>
      </w:pPr>
      <w:r w:rsidRPr="00D520A0">
        <w:rPr>
          <w:lang w:val="en-GB"/>
        </w:rPr>
        <w:t>It should be noted that t</w:t>
      </w:r>
      <w:r w:rsidR="00FD0227" w:rsidRPr="00D520A0">
        <w:rPr>
          <w:lang w:val="en-GB"/>
        </w:rPr>
        <w:t xml:space="preserve">he word cloud does not represent the relative </w:t>
      </w:r>
      <w:r w:rsidR="00FD0227" w:rsidRPr="00D520A0">
        <w:rPr>
          <w:i/>
          <w:lang w:val="en-GB"/>
        </w:rPr>
        <w:t>importance</w:t>
      </w:r>
      <w:r w:rsidR="00FD0227" w:rsidRPr="00D520A0">
        <w:rPr>
          <w:lang w:val="en-GB"/>
        </w:rPr>
        <w:t xml:space="preserve"> of different concepts in the </w:t>
      </w:r>
      <w:r w:rsidRPr="00D520A0">
        <w:rPr>
          <w:lang w:val="en-GB"/>
        </w:rPr>
        <w:t>Convention</w:t>
      </w:r>
      <w:r w:rsidR="00892F11" w:rsidRPr="00D520A0">
        <w:rPr>
          <w:lang w:val="en-GB"/>
        </w:rPr>
        <w:t>’s</w:t>
      </w:r>
      <w:r w:rsidRPr="00D520A0">
        <w:rPr>
          <w:lang w:val="en-GB"/>
        </w:rPr>
        <w:t xml:space="preserve"> </w:t>
      </w:r>
      <w:r w:rsidR="00FD0227" w:rsidRPr="00D520A0">
        <w:rPr>
          <w:lang w:val="en-GB"/>
        </w:rPr>
        <w:t xml:space="preserve">text. </w:t>
      </w:r>
      <w:r w:rsidR="004C284A" w:rsidRPr="00D520A0">
        <w:rPr>
          <w:lang w:val="en-GB"/>
        </w:rPr>
        <w:t>Some words are mentioned less frequently</w:t>
      </w:r>
      <w:r w:rsidRPr="00D520A0">
        <w:rPr>
          <w:lang w:val="en-GB"/>
        </w:rPr>
        <w:t>,</w:t>
      </w:r>
      <w:r w:rsidR="00D5737F" w:rsidRPr="00D520A0">
        <w:rPr>
          <w:lang w:val="en-GB"/>
        </w:rPr>
        <w:t xml:space="preserve"> but are still extremely </w:t>
      </w:r>
      <w:r w:rsidR="004C284A" w:rsidRPr="00D520A0">
        <w:rPr>
          <w:lang w:val="en-GB"/>
        </w:rPr>
        <w:t xml:space="preserve">important in understanding how the Convention is to be implemented: among them </w:t>
      </w:r>
      <w:r w:rsidRPr="00D520A0">
        <w:rPr>
          <w:lang w:val="en-GB"/>
        </w:rPr>
        <w:t>are ‘</w:t>
      </w:r>
      <w:r w:rsidR="004C284A" w:rsidRPr="00D520A0">
        <w:rPr>
          <w:lang w:val="en-GB"/>
        </w:rPr>
        <w:t>community</w:t>
      </w:r>
      <w:r w:rsidRPr="00D520A0">
        <w:rPr>
          <w:lang w:val="en-GB"/>
        </w:rPr>
        <w:t>’</w:t>
      </w:r>
      <w:r w:rsidR="004C284A" w:rsidRPr="00D520A0">
        <w:rPr>
          <w:lang w:val="en-GB"/>
        </w:rPr>
        <w:t xml:space="preserve">, </w:t>
      </w:r>
      <w:r w:rsidRPr="00D520A0">
        <w:rPr>
          <w:lang w:val="en-GB"/>
        </w:rPr>
        <w:t>‘</w:t>
      </w:r>
      <w:r w:rsidR="004C284A" w:rsidRPr="00D520A0">
        <w:rPr>
          <w:lang w:val="en-GB"/>
        </w:rPr>
        <w:t>group</w:t>
      </w:r>
      <w:r w:rsidRPr="00D520A0">
        <w:rPr>
          <w:lang w:val="en-GB"/>
        </w:rPr>
        <w:t>’</w:t>
      </w:r>
      <w:r w:rsidR="004C284A" w:rsidRPr="00D520A0">
        <w:rPr>
          <w:lang w:val="en-GB"/>
        </w:rPr>
        <w:t xml:space="preserve">, </w:t>
      </w:r>
      <w:r w:rsidRPr="00D520A0">
        <w:rPr>
          <w:lang w:val="en-GB"/>
        </w:rPr>
        <w:t>‘</w:t>
      </w:r>
      <w:r w:rsidR="004C284A" w:rsidRPr="00D520A0">
        <w:rPr>
          <w:lang w:val="en-GB"/>
        </w:rPr>
        <w:t>individual</w:t>
      </w:r>
      <w:r w:rsidRPr="00D520A0">
        <w:rPr>
          <w:lang w:val="en-GB"/>
        </w:rPr>
        <w:t>’</w:t>
      </w:r>
      <w:r w:rsidR="004C284A" w:rsidRPr="00D520A0">
        <w:rPr>
          <w:lang w:val="en-GB"/>
        </w:rPr>
        <w:t xml:space="preserve">, </w:t>
      </w:r>
      <w:r w:rsidRPr="00D520A0">
        <w:rPr>
          <w:lang w:val="en-GB"/>
        </w:rPr>
        <w:t>‘</w:t>
      </w:r>
      <w:r w:rsidR="004C284A" w:rsidRPr="00D520A0">
        <w:rPr>
          <w:lang w:val="en-GB"/>
        </w:rPr>
        <w:t>practitioner</w:t>
      </w:r>
      <w:r w:rsidRPr="00D520A0">
        <w:rPr>
          <w:lang w:val="en-GB"/>
        </w:rPr>
        <w:t>’</w:t>
      </w:r>
      <w:r w:rsidR="004C284A" w:rsidRPr="00D520A0">
        <w:rPr>
          <w:lang w:val="en-GB"/>
        </w:rPr>
        <w:t xml:space="preserve">, </w:t>
      </w:r>
      <w:r w:rsidRPr="00D520A0">
        <w:rPr>
          <w:lang w:val="en-GB"/>
        </w:rPr>
        <w:t>‘</w:t>
      </w:r>
      <w:r w:rsidR="004C284A" w:rsidRPr="00D520A0">
        <w:rPr>
          <w:lang w:val="en-GB"/>
        </w:rPr>
        <w:t>sustainability</w:t>
      </w:r>
      <w:r w:rsidRPr="00D520A0">
        <w:rPr>
          <w:lang w:val="en-GB"/>
        </w:rPr>
        <w:t>’</w:t>
      </w:r>
      <w:r w:rsidR="004C284A" w:rsidRPr="00D520A0">
        <w:rPr>
          <w:lang w:val="en-GB"/>
        </w:rPr>
        <w:t xml:space="preserve">, </w:t>
      </w:r>
      <w:r w:rsidRPr="00D520A0">
        <w:rPr>
          <w:lang w:val="en-GB"/>
        </w:rPr>
        <w:t>‘</w:t>
      </w:r>
      <w:r w:rsidR="004C284A" w:rsidRPr="00D520A0">
        <w:rPr>
          <w:lang w:val="en-GB"/>
        </w:rPr>
        <w:t>viability</w:t>
      </w:r>
      <w:r w:rsidRPr="00D520A0">
        <w:rPr>
          <w:lang w:val="en-GB"/>
        </w:rPr>
        <w:t>’</w:t>
      </w:r>
      <w:r w:rsidR="00B663DB" w:rsidRPr="00D520A0">
        <w:rPr>
          <w:lang w:val="en-GB"/>
        </w:rPr>
        <w:t xml:space="preserve"> </w:t>
      </w:r>
      <w:r w:rsidR="00AB547B" w:rsidRPr="00D520A0">
        <w:rPr>
          <w:lang w:val="en-GB"/>
        </w:rPr>
        <w:t>and</w:t>
      </w:r>
      <w:r w:rsidR="004C284A" w:rsidRPr="00D520A0">
        <w:rPr>
          <w:lang w:val="en-GB"/>
        </w:rPr>
        <w:t xml:space="preserve"> </w:t>
      </w:r>
      <w:r w:rsidRPr="00D520A0">
        <w:rPr>
          <w:lang w:val="en-GB"/>
        </w:rPr>
        <w:t>‘</w:t>
      </w:r>
      <w:r w:rsidR="004C284A" w:rsidRPr="00D520A0">
        <w:rPr>
          <w:lang w:val="en-GB"/>
        </w:rPr>
        <w:t>threats</w:t>
      </w:r>
      <w:r w:rsidR="008E6191" w:rsidRPr="00D520A0">
        <w:rPr>
          <w:lang w:val="en-GB"/>
        </w:rPr>
        <w:t>’</w:t>
      </w:r>
      <w:r w:rsidR="004C284A" w:rsidRPr="00D520A0">
        <w:rPr>
          <w:lang w:val="en-GB"/>
        </w:rPr>
        <w:t>.</w:t>
      </w:r>
    </w:p>
    <w:p w14:paraId="3EBDF7C9" w14:textId="58D4521A" w:rsidR="009253E1" w:rsidRPr="00D520A0" w:rsidRDefault="003A5D4F" w:rsidP="004936EF">
      <w:pPr>
        <w:pStyle w:val="Heading6"/>
        <w:rPr>
          <w:lang w:val="en-GB"/>
        </w:rPr>
      </w:pPr>
      <w:r w:rsidRPr="00D520A0">
        <w:rPr>
          <w:lang w:val="en-GB"/>
        </w:rPr>
        <w:t>Slide 3</w:t>
      </w:r>
      <w:r w:rsidR="009253E1" w:rsidRPr="00D520A0">
        <w:rPr>
          <w:lang w:val="en-GB"/>
        </w:rPr>
        <w:t>.</w:t>
      </w:r>
    </w:p>
    <w:p w14:paraId="18D7B19D" w14:textId="54F73EAF" w:rsidR="003A5D4F" w:rsidRPr="00D520A0" w:rsidRDefault="00077936" w:rsidP="004936EF">
      <w:pPr>
        <w:pStyle w:val="diapo2"/>
        <w:rPr>
          <w:lang w:val="en-GB"/>
        </w:rPr>
      </w:pPr>
      <w:r w:rsidRPr="00D520A0">
        <w:rPr>
          <w:lang w:val="en-GB"/>
        </w:rPr>
        <w:t>In this presentation</w:t>
      </w:r>
      <w:r w:rsidR="007D4972" w:rsidRPr="00D520A0">
        <w:rPr>
          <w:lang w:val="en-GB"/>
        </w:rPr>
        <w:t xml:space="preserve"> </w:t>
      </w:r>
      <w:r w:rsidR="003A5D4F" w:rsidRPr="00D520A0">
        <w:rPr>
          <w:lang w:val="en-GB"/>
        </w:rPr>
        <w:t>…</w:t>
      </w:r>
    </w:p>
    <w:p w14:paraId="25C5947A" w14:textId="645E9100" w:rsidR="009253E1" w:rsidRPr="00D520A0" w:rsidRDefault="004C284A" w:rsidP="004936EF">
      <w:pPr>
        <w:pStyle w:val="Heading6"/>
        <w:rPr>
          <w:lang w:val="en-GB"/>
        </w:rPr>
      </w:pPr>
      <w:r w:rsidRPr="00D520A0">
        <w:rPr>
          <w:lang w:val="en-GB"/>
        </w:rPr>
        <w:t>Slide 4</w:t>
      </w:r>
      <w:r w:rsidR="009253E1" w:rsidRPr="00D520A0">
        <w:rPr>
          <w:lang w:val="en-GB"/>
        </w:rPr>
        <w:t>.</w:t>
      </w:r>
    </w:p>
    <w:p w14:paraId="27DDC7E4" w14:textId="5FE2C6F7" w:rsidR="004C284A" w:rsidRPr="00D520A0" w:rsidRDefault="006C4322" w:rsidP="004936EF">
      <w:pPr>
        <w:pStyle w:val="diapo2"/>
        <w:rPr>
          <w:lang w:val="en-GB"/>
        </w:rPr>
      </w:pPr>
      <w:r w:rsidRPr="00D520A0">
        <w:rPr>
          <w:lang w:val="en-GB"/>
        </w:rPr>
        <w:t>A</w:t>
      </w:r>
      <w:r w:rsidR="000A3013" w:rsidRPr="00D520A0">
        <w:rPr>
          <w:lang w:val="en-GB"/>
        </w:rPr>
        <w:t xml:space="preserve"> flexible instrument</w:t>
      </w:r>
    </w:p>
    <w:p w14:paraId="024A38D1" w14:textId="19F7DB62" w:rsidR="00767E13" w:rsidRPr="00D520A0" w:rsidRDefault="00F02D08" w:rsidP="009909DD">
      <w:pPr>
        <w:pStyle w:val="Texte1"/>
        <w:rPr>
          <w:lang w:val="en-GB"/>
        </w:rPr>
      </w:pPr>
      <w:r w:rsidRPr="00D520A0">
        <w:rPr>
          <w:lang w:val="en-GB"/>
        </w:rPr>
        <w:t>Participant’s</w:t>
      </w:r>
      <w:r w:rsidR="002A3923" w:rsidRPr="00D520A0">
        <w:rPr>
          <w:lang w:val="en-GB"/>
        </w:rPr>
        <w:t xml:space="preserve"> text </w:t>
      </w:r>
      <w:r w:rsidR="004D3759" w:rsidRPr="00D520A0">
        <w:rPr>
          <w:lang w:val="en-GB"/>
        </w:rPr>
        <w:t>Unit </w:t>
      </w:r>
      <w:r w:rsidR="00767E13" w:rsidRPr="00D520A0">
        <w:rPr>
          <w:lang w:val="en-GB"/>
        </w:rPr>
        <w:t xml:space="preserve">2.1 </w:t>
      </w:r>
      <w:r w:rsidR="00892F11" w:rsidRPr="00D520A0">
        <w:rPr>
          <w:lang w:val="en-GB"/>
        </w:rPr>
        <w:t xml:space="preserve">introduces </w:t>
      </w:r>
      <w:r w:rsidR="00642EC9" w:rsidRPr="00D520A0">
        <w:rPr>
          <w:lang w:val="en-GB"/>
        </w:rPr>
        <w:t>the UNESCO Convention</w:t>
      </w:r>
      <w:r w:rsidR="007326E6" w:rsidRPr="00D520A0">
        <w:rPr>
          <w:lang w:val="en-GB"/>
        </w:rPr>
        <w:t xml:space="preserve"> in the area of culture. Participant’s text Unit 2.2</w:t>
      </w:r>
      <w:r w:rsidR="00642EC9" w:rsidRPr="00D520A0">
        <w:rPr>
          <w:lang w:val="en-GB"/>
        </w:rPr>
        <w:t xml:space="preserve"> focus</w:t>
      </w:r>
      <w:r w:rsidR="007326E6" w:rsidRPr="00D520A0">
        <w:rPr>
          <w:lang w:val="en-GB"/>
        </w:rPr>
        <w:t>es</w:t>
      </w:r>
      <w:r w:rsidR="00642EC9" w:rsidRPr="00D520A0">
        <w:rPr>
          <w:lang w:val="en-GB"/>
        </w:rPr>
        <w:t xml:space="preserve"> on the three that contribute to the promotion of cultural diversity, including the </w:t>
      </w:r>
      <w:r w:rsidR="006C4322" w:rsidRPr="00D520A0">
        <w:rPr>
          <w:lang w:val="en-GB"/>
        </w:rPr>
        <w:t>2003</w:t>
      </w:r>
      <w:r w:rsidR="00642EC9" w:rsidRPr="00D520A0">
        <w:rPr>
          <w:lang w:val="en-GB"/>
        </w:rPr>
        <w:t xml:space="preserve"> Convention.</w:t>
      </w:r>
    </w:p>
    <w:p w14:paraId="74726C3C" w14:textId="233DB5F0" w:rsidR="00FF035A" w:rsidRPr="00D520A0" w:rsidRDefault="00FF035A" w:rsidP="009909DD">
      <w:pPr>
        <w:pStyle w:val="Texte1"/>
        <w:rPr>
          <w:lang w:val="en-GB"/>
        </w:rPr>
      </w:pPr>
      <w:r w:rsidRPr="00D520A0">
        <w:rPr>
          <w:lang w:val="en-GB"/>
        </w:rPr>
        <w:lastRenderedPageBreak/>
        <w:t xml:space="preserve">The </w:t>
      </w:r>
      <w:r w:rsidR="0071696A" w:rsidRPr="00D520A0">
        <w:rPr>
          <w:lang w:val="en-GB"/>
        </w:rPr>
        <w:t xml:space="preserve">Intangible Heritage </w:t>
      </w:r>
      <w:r w:rsidRPr="00D520A0">
        <w:rPr>
          <w:lang w:val="en-GB"/>
        </w:rPr>
        <w:t>Convention is a text representing a consensus between Member States of UNESCO</w:t>
      </w:r>
      <w:r w:rsidR="000A6389" w:rsidRPr="00D520A0">
        <w:rPr>
          <w:lang w:val="en-GB"/>
        </w:rPr>
        <w:t xml:space="preserve"> </w:t>
      </w:r>
      <w:r w:rsidRPr="00D520A0">
        <w:rPr>
          <w:lang w:val="en-GB"/>
        </w:rPr>
        <w:t xml:space="preserve">– it is therefore the </w:t>
      </w:r>
      <w:r w:rsidR="00A7744C" w:rsidRPr="00D520A0">
        <w:rPr>
          <w:lang w:val="en-GB"/>
        </w:rPr>
        <w:t xml:space="preserve">result </w:t>
      </w:r>
      <w:r w:rsidRPr="00D520A0">
        <w:rPr>
          <w:lang w:val="en-GB"/>
        </w:rPr>
        <w:t xml:space="preserve">of many compromises. </w:t>
      </w:r>
      <w:r w:rsidR="0071696A" w:rsidRPr="00D520A0">
        <w:rPr>
          <w:lang w:val="en-GB"/>
        </w:rPr>
        <w:t>It</w:t>
      </w:r>
      <w:r w:rsidRPr="00D520A0">
        <w:rPr>
          <w:lang w:val="en-GB"/>
        </w:rPr>
        <w:t xml:space="preserve"> is</w:t>
      </w:r>
      <w:r w:rsidR="00C61038" w:rsidRPr="00D520A0">
        <w:rPr>
          <w:lang w:val="en-GB"/>
        </w:rPr>
        <w:t xml:space="preserve"> also</w:t>
      </w:r>
      <w:r w:rsidRPr="00D520A0">
        <w:rPr>
          <w:lang w:val="en-GB"/>
        </w:rPr>
        <w:t xml:space="preserve"> a flexible instrument that leaves </w:t>
      </w:r>
      <w:r w:rsidR="00A7744C" w:rsidRPr="00D520A0">
        <w:rPr>
          <w:lang w:val="en-GB"/>
        </w:rPr>
        <w:t>considerable</w:t>
      </w:r>
      <w:r w:rsidRPr="00D520A0">
        <w:rPr>
          <w:lang w:val="en-GB"/>
        </w:rPr>
        <w:t xml:space="preserve"> freedom to the States Parties as to how to implement </w:t>
      </w:r>
      <w:r w:rsidR="00A7744C" w:rsidRPr="00D520A0">
        <w:rPr>
          <w:lang w:val="en-GB"/>
        </w:rPr>
        <w:t xml:space="preserve">it </w:t>
      </w:r>
      <w:r w:rsidRPr="00D520A0">
        <w:rPr>
          <w:lang w:val="en-GB"/>
        </w:rPr>
        <w:t>and how to interpret certain key concepts that are used</w:t>
      </w:r>
      <w:r w:rsidR="00A95128" w:rsidRPr="00D520A0">
        <w:rPr>
          <w:lang w:val="en-GB"/>
        </w:rPr>
        <w:t xml:space="preserve"> in it</w:t>
      </w:r>
      <w:r w:rsidRPr="00D520A0">
        <w:rPr>
          <w:lang w:val="en-GB"/>
        </w:rPr>
        <w:t>, but not defined (or not exhaustively defined).</w:t>
      </w:r>
    </w:p>
    <w:p w14:paraId="64AF307C" w14:textId="54A7F66C" w:rsidR="00FF035A" w:rsidRPr="00D520A0" w:rsidRDefault="006C4322" w:rsidP="004936EF">
      <w:pPr>
        <w:pStyle w:val="Soustitre"/>
        <w:rPr>
          <w:caps/>
          <w:lang w:val="en-GB"/>
        </w:rPr>
      </w:pPr>
      <w:bookmarkStart w:id="14" w:name="_Toc238982206"/>
      <w:r w:rsidRPr="00D520A0">
        <w:rPr>
          <w:lang w:val="en-GB"/>
        </w:rPr>
        <w:t>W</w:t>
      </w:r>
      <w:r w:rsidR="00FF035A" w:rsidRPr="00D520A0">
        <w:rPr>
          <w:lang w:val="en-GB"/>
        </w:rPr>
        <w:t>hy the Convention is such a flexible instrument</w:t>
      </w:r>
      <w:bookmarkEnd w:id="14"/>
    </w:p>
    <w:p w14:paraId="2FE3EB2D" w14:textId="4AA57370" w:rsidR="004C284A" w:rsidRPr="00D520A0" w:rsidRDefault="00A7744C">
      <w:pPr>
        <w:pStyle w:val="Texte1"/>
        <w:rPr>
          <w:lang w:val="en-GB"/>
        </w:rPr>
      </w:pPr>
      <w:r w:rsidRPr="00D520A0">
        <w:rPr>
          <w:lang w:val="en-GB"/>
        </w:rPr>
        <w:t>When</w:t>
      </w:r>
      <w:r w:rsidR="004C284A" w:rsidRPr="00D520A0">
        <w:rPr>
          <w:lang w:val="en-GB"/>
        </w:rPr>
        <w:t xml:space="preserve"> prepar</w:t>
      </w:r>
      <w:r w:rsidRPr="00D520A0">
        <w:rPr>
          <w:lang w:val="en-GB"/>
        </w:rPr>
        <w:t>ing</w:t>
      </w:r>
      <w:r w:rsidR="004C284A" w:rsidRPr="00D520A0">
        <w:rPr>
          <w:lang w:val="en-GB"/>
        </w:rPr>
        <w:t xml:space="preserve"> the text of the Convention</w:t>
      </w:r>
      <w:r w:rsidRPr="00D520A0">
        <w:rPr>
          <w:lang w:val="en-GB"/>
        </w:rPr>
        <w:t>, it was</w:t>
      </w:r>
      <w:r w:rsidR="004C284A" w:rsidRPr="00D520A0">
        <w:rPr>
          <w:lang w:val="en-GB"/>
        </w:rPr>
        <w:t xml:space="preserve"> realized that ICH, its functions in society, and ways of thinking about it, differ from region to region and from country to country, if not from community to community. </w:t>
      </w:r>
      <w:r w:rsidRPr="00D520A0">
        <w:rPr>
          <w:lang w:val="en-GB"/>
        </w:rPr>
        <w:t>It was also obvious</w:t>
      </w:r>
      <w:r w:rsidR="004C284A" w:rsidRPr="00D520A0">
        <w:rPr>
          <w:lang w:val="en-GB"/>
        </w:rPr>
        <w:t xml:space="preserve"> that ICH constantly changes. </w:t>
      </w:r>
      <w:r w:rsidR="007326E6" w:rsidRPr="00D520A0">
        <w:rPr>
          <w:lang w:val="en-GB" w:eastAsia="en-US"/>
        </w:rPr>
        <w:t>An expert meeting in June 2002 at UNESCO</w:t>
      </w:r>
      <w:r w:rsidR="00FF035A" w:rsidRPr="00D520A0">
        <w:rPr>
          <w:lang w:val="en-GB" w:eastAsia="en-US"/>
        </w:rPr>
        <w:t xml:space="preserve"> prepared </w:t>
      </w:r>
      <w:r w:rsidR="007326E6" w:rsidRPr="00D520A0">
        <w:rPr>
          <w:lang w:val="en-GB" w:eastAsia="en-US"/>
        </w:rPr>
        <w:t>a glossary with terms to be used in the Convention</w:t>
      </w:r>
      <w:r w:rsidR="0028620A" w:rsidRPr="00D520A0">
        <w:rPr>
          <w:lang w:val="en-GB" w:eastAsia="en-US"/>
        </w:rPr>
        <w:t>,</w:t>
      </w:r>
      <w:r w:rsidR="00FF035A" w:rsidRPr="00D520A0">
        <w:rPr>
          <w:lang w:val="en-GB" w:eastAsia="en-US"/>
        </w:rPr>
        <w:t xml:space="preserve"> but it was neither discussed in detail by the </w:t>
      </w:r>
      <w:r w:rsidR="00EC5E6E" w:rsidRPr="00D520A0">
        <w:rPr>
          <w:lang w:val="en-GB" w:eastAsia="en-US"/>
        </w:rPr>
        <w:t>i</w:t>
      </w:r>
      <w:r w:rsidR="00FF035A" w:rsidRPr="00D520A0">
        <w:rPr>
          <w:lang w:val="en-GB" w:eastAsia="en-US"/>
        </w:rPr>
        <w:t xml:space="preserve">ntergovernmental meeting, nor was it attached as an annex to the Convention. The Member States did not give the definitions in the glossary an official status not only because it would have been difficult to reach </w:t>
      </w:r>
      <w:r w:rsidRPr="00D520A0">
        <w:rPr>
          <w:lang w:val="en-GB" w:eastAsia="en-US"/>
        </w:rPr>
        <w:t xml:space="preserve">a </w:t>
      </w:r>
      <w:r w:rsidR="00FF035A" w:rsidRPr="00D520A0">
        <w:rPr>
          <w:lang w:val="en-GB" w:eastAsia="en-US"/>
        </w:rPr>
        <w:t xml:space="preserve">consensus, but also because they </w:t>
      </w:r>
      <w:r w:rsidR="00B9229A" w:rsidRPr="00D520A0">
        <w:rPr>
          <w:lang w:val="en-GB" w:eastAsia="en-US"/>
        </w:rPr>
        <w:t xml:space="preserve">explicitly </w:t>
      </w:r>
      <w:r w:rsidR="00FF035A" w:rsidRPr="00D520A0">
        <w:rPr>
          <w:lang w:val="en-GB" w:eastAsia="en-US"/>
        </w:rPr>
        <w:t xml:space="preserve">wanted the Convention to be a flexible instrument, </w:t>
      </w:r>
      <w:r w:rsidR="00DF77A6" w:rsidRPr="00D520A0">
        <w:rPr>
          <w:lang w:val="en-GB" w:eastAsia="en-US"/>
        </w:rPr>
        <w:t>in order</w:t>
      </w:r>
      <w:r w:rsidR="00B9229A" w:rsidRPr="00D520A0">
        <w:rPr>
          <w:lang w:val="en-GB" w:eastAsia="en-US"/>
        </w:rPr>
        <w:t xml:space="preserve"> to give</w:t>
      </w:r>
      <w:r w:rsidR="00FF035A" w:rsidRPr="00D520A0">
        <w:rPr>
          <w:lang w:val="en-GB" w:eastAsia="en-US"/>
        </w:rPr>
        <w:t xml:space="preserve"> </w:t>
      </w:r>
      <w:r w:rsidR="006D7284" w:rsidRPr="00D520A0">
        <w:rPr>
          <w:lang w:val="en-GB" w:eastAsia="en-US"/>
        </w:rPr>
        <w:t xml:space="preserve">States Parties considerable </w:t>
      </w:r>
      <w:r w:rsidR="00FF035A" w:rsidRPr="00D520A0">
        <w:rPr>
          <w:lang w:val="en-GB" w:eastAsia="en-US"/>
        </w:rPr>
        <w:t>leeway</w:t>
      </w:r>
      <w:r w:rsidR="00A36A11" w:rsidRPr="00D520A0">
        <w:rPr>
          <w:lang w:val="en-GB" w:eastAsia="en-US"/>
        </w:rPr>
        <w:t xml:space="preserve"> in its interpretation</w:t>
      </w:r>
      <w:r w:rsidR="00FF035A" w:rsidRPr="00D520A0">
        <w:rPr>
          <w:lang w:val="en-GB" w:eastAsia="en-US"/>
        </w:rPr>
        <w:t xml:space="preserve">. This position was confirmed by the Committee in its </w:t>
      </w:r>
      <w:r w:rsidR="00047ABB" w:rsidRPr="00D520A0">
        <w:rPr>
          <w:lang w:val="en-GB" w:eastAsia="en-US"/>
        </w:rPr>
        <w:t xml:space="preserve">extraordinary </w:t>
      </w:r>
      <w:r w:rsidR="00892F11" w:rsidRPr="00D520A0">
        <w:rPr>
          <w:lang w:val="en-GB" w:eastAsia="en-US"/>
        </w:rPr>
        <w:t>session </w:t>
      </w:r>
      <w:r w:rsidR="00FF035A" w:rsidRPr="00D520A0">
        <w:rPr>
          <w:lang w:val="en-GB" w:eastAsia="en-US"/>
        </w:rPr>
        <w:t>in Chengdu</w:t>
      </w:r>
      <w:r w:rsidRPr="00D520A0">
        <w:rPr>
          <w:lang w:val="en-GB" w:eastAsia="en-US"/>
        </w:rPr>
        <w:t>,</w:t>
      </w:r>
      <w:r w:rsidR="00FF035A" w:rsidRPr="00D520A0">
        <w:rPr>
          <w:lang w:val="en-GB" w:eastAsia="en-US"/>
        </w:rPr>
        <w:t xml:space="preserve"> China</w:t>
      </w:r>
      <w:r w:rsidRPr="00D520A0">
        <w:rPr>
          <w:lang w:val="en-GB" w:eastAsia="en-US"/>
        </w:rPr>
        <w:t>,</w:t>
      </w:r>
      <w:r w:rsidR="00FF035A" w:rsidRPr="00D520A0">
        <w:rPr>
          <w:lang w:val="en-GB" w:eastAsia="en-US"/>
        </w:rPr>
        <w:t xml:space="preserve"> in May 2007.</w:t>
      </w:r>
    </w:p>
    <w:p w14:paraId="55C1E6ED" w14:textId="7EBBD588" w:rsidR="004C284A" w:rsidRPr="00D520A0" w:rsidRDefault="004C284A" w:rsidP="009909DD">
      <w:pPr>
        <w:pStyle w:val="Texte1"/>
        <w:rPr>
          <w:lang w:val="en-GB"/>
        </w:rPr>
      </w:pPr>
      <w:r w:rsidRPr="00D520A0">
        <w:rPr>
          <w:lang w:val="en-GB"/>
        </w:rPr>
        <w:t xml:space="preserve">This has </w:t>
      </w:r>
      <w:r w:rsidR="00A7744C" w:rsidRPr="00D520A0">
        <w:rPr>
          <w:lang w:val="en-GB"/>
        </w:rPr>
        <w:t>resulted in</w:t>
      </w:r>
      <w:r w:rsidRPr="00D520A0">
        <w:rPr>
          <w:lang w:val="en-GB"/>
        </w:rPr>
        <w:t xml:space="preserve"> </w:t>
      </w:r>
      <w:r w:rsidR="00105B9A" w:rsidRPr="00D520A0">
        <w:rPr>
          <w:lang w:val="en-GB"/>
        </w:rPr>
        <w:t xml:space="preserve">a text </w:t>
      </w:r>
      <w:r w:rsidR="00A7744C" w:rsidRPr="00D520A0">
        <w:rPr>
          <w:lang w:val="en-GB"/>
        </w:rPr>
        <w:t xml:space="preserve">that </w:t>
      </w:r>
      <w:r w:rsidR="00105B9A" w:rsidRPr="00D520A0">
        <w:rPr>
          <w:lang w:val="en-GB"/>
        </w:rPr>
        <w:t>contain</w:t>
      </w:r>
      <w:r w:rsidR="00A7744C" w:rsidRPr="00D520A0">
        <w:rPr>
          <w:lang w:val="en-GB"/>
        </w:rPr>
        <w:t>s</w:t>
      </w:r>
      <w:r w:rsidR="00105B9A" w:rsidRPr="00D520A0">
        <w:rPr>
          <w:lang w:val="en-GB"/>
        </w:rPr>
        <w:t xml:space="preserve"> </w:t>
      </w:r>
      <w:r w:rsidRPr="00D520A0">
        <w:rPr>
          <w:lang w:val="en-GB"/>
        </w:rPr>
        <w:t xml:space="preserve">few strict obligations, many recommendations and </w:t>
      </w:r>
      <w:r w:rsidR="006D7284" w:rsidRPr="00D520A0">
        <w:rPr>
          <w:lang w:val="en-GB"/>
        </w:rPr>
        <w:t xml:space="preserve">a few </w:t>
      </w:r>
      <w:r w:rsidRPr="00D520A0">
        <w:rPr>
          <w:lang w:val="en-GB"/>
        </w:rPr>
        <w:t xml:space="preserve">open definitions. </w:t>
      </w:r>
      <w:r w:rsidR="00C7413B" w:rsidRPr="00D520A0">
        <w:rPr>
          <w:lang w:val="en-GB"/>
        </w:rPr>
        <w:t>T</w:t>
      </w:r>
      <w:r w:rsidRPr="00D520A0">
        <w:rPr>
          <w:lang w:val="en-GB"/>
        </w:rPr>
        <w:t>he definition of ICH developed for the purpose of the Convention is an open one</w:t>
      </w:r>
      <w:r w:rsidR="00C7413B" w:rsidRPr="00D520A0">
        <w:rPr>
          <w:lang w:val="en-GB"/>
        </w:rPr>
        <w:t xml:space="preserve"> although it </w:t>
      </w:r>
      <w:r w:rsidRPr="00D520A0">
        <w:rPr>
          <w:lang w:val="en-GB"/>
        </w:rPr>
        <w:t>does introduce a few thresholds</w:t>
      </w:r>
      <w:r w:rsidR="00C7413B" w:rsidRPr="00D520A0">
        <w:rPr>
          <w:lang w:val="en-GB"/>
        </w:rPr>
        <w:t xml:space="preserve">. Because of the openness of the definition, it is </w:t>
      </w:r>
      <w:r w:rsidRPr="00D520A0">
        <w:rPr>
          <w:lang w:val="en-GB"/>
        </w:rPr>
        <w:t xml:space="preserve">easier to determine when an element does </w:t>
      </w:r>
      <w:r w:rsidRPr="00D520A0">
        <w:rPr>
          <w:i/>
          <w:lang w:val="en-GB"/>
        </w:rPr>
        <w:t>not</w:t>
      </w:r>
      <w:r w:rsidRPr="00D520A0">
        <w:rPr>
          <w:lang w:val="en-GB"/>
        </w:rPr>
        <w:t xml:space="preserve"> meet the definition of ICH than when it does</w:t>
      </w:r>
      <w:r w:rsidRPr="00CE3BD3">
        <w:rPr>
          <w:lang w:val="en-GB"/>
        </w:rPr>
        <w:t xml:space="preserve">. </w:t>
      </w:r>
      <w:r w:rsidR="00A40080" w:rsidRPr="00CE3BD3">
        <w:rPr>
          <w:szCs w:val="20"/>
          <w:shd w:val="clear" w:color="auto" w:fill="FFFFFF"/>
          <w:lang w:val="en-GB"/>
        </w:rPr>
        <w:t xml:space="preserve">For the purposes of this Convention, consideration is given solely to ICH </w:t>
      </w:r>
      <w:r w:rsidR="00AB547B" w:rsidRPr="00CE3BD3">
        <w:rPr>
          <w:szCs w:val="20"/>
          <w:lang w:val="en-GB"/>
        </w:rPr>
        <w:t>that is compatible with existing international human rights instruments, as well as with the requirements of mutual respect among communities, groups and individuals, and of sustainable development.</w:t>
      </w:r>
      <w:r w:rsidR="00AB547B" w:rsidRPr="00CE3BD3">
        <w:rPr>
          <w:lang w:val="en-GB"/>
        </w:rPr>
        <w:t xml:space="preserve"> </w:t>
      </w:r>
      <w:r w:rsidRPr="00D520A0">
        <w:rPr>
          <w:lang w:val="en-GB"/>
        </w:rPr>
        <w:t xml:space="preserve">The few classifications given in the Convention are not exhaustive; this applies as much to the list of ICH domains presented in </w:t>
      </w:r>
      <w:r w:rsidR="00442E1A" w:rsidRPr="00D520A0">
        <w:rPr>
          <w:lang w:val="en-GB"/>
        </w:rPr>
        <w:t>Article </w:t>
      </w:r>
      <w:r w:rsidRPr="00D520A0">
        <w:rPr>
          <w:lang w:val="en-GB"/>
        </w:rPr>
        <w:t xml:space="preserve">2.2 as to the list of safeguarding measures presented in </w:t>
      </w:r>
      <w:r w:rsidR="00442E1A" w:rsidRPr="00D520A0">
        <w:rPr>
          <w:lang w:val="en-GB"/>
        </w:rPr>
        <w:t>Article </w:t>
      </w:r>
      <w:r w:rsidRPr="00D520A0">
        <w:rPr>
          <w:lang w:val="en-GB"/>
        </w:rPr>
        <w:t xml:space="preserve">2.3. </w:t>
      </w:r>
      <w:r w:rsidR="00A7744C" w:rsidRPr="00D520A0">
        <w:rPr>
          <w:lang w:val="en-GB"/>
        </w:rPr>
        <w:t>Several</w:t>
      </w:r>
      <w:r w:rsidRPr="00D520A0">
        <w:rPr>
          <w:lang w:val="en-GB"/>
        </w:rPr>
        <w:t xml:space="preserve"> important terms used in the Convention are left undefined, including the ‘communities, groups and individuals’ who play a key role in the implementation of the Convention.</w:t>
      </w:r>
    </w:p>
    <w:p w14:paraId="0AC4FA2D" w14:textId="484A603C" w:rsidR="00C7413B" w:rsidRPr="00D520A0" w:rsidRDefault="004C284A" w:rsidP="009909DD">
      <w:pPr>
        <w:pStyle w:val="Texte1"/>
        <w:rPr>
          <w:lang w:val="en-GB"/>
        </w:rPr>
      </w:pPr>
      <w:r w:rsidRPr="00D520A0">
        <w:rPr>
          <w:lang w:val="en-GB"/>
        </w:rPr>
        <w:t xml:space="preserve">The </w:t>
      </w:r>
      <w:r w:rsidR="00A7744C" w:rsidRPr="00D520A0">
        <w:rPr>
          <w:lang w:val="en-GB"/>
        </w:rPr>
        <w:t>k</w:t>
      </w:r>
      <w:r w:rsidR="009C1BA7" w:rsidRPr="00D520A0">
        <w:rPr>
          <w:lang w:val="en-GB"/>
        </w:rPr>
        <w:t xml:space="preserve">ey </w:t>
      </w:r>
      <w:r w:rsidR="00A7744C" w:rsidRPr="00D520A0">
        <w:rPr>
          <w:lang w:val="en-GB"/>
        </w:rPr>
        <w:t>c</w:t>
      </w:r>
      <w:r w:rsidR="009C1BA7" w:rsidRPr="00D520A0">
        <w:rPr>
          <w:lang w:val="en-GB"/>
        </w:rPr>
        <w:t xml:space="preserve">oncepts </w:t>
      </w:r>
      <w:r w:rsidR="00874D54" w:rsidRPr="00D520A0">
        <w:rPr>
          <w:lang w:val="en-GB"/>
        </w:rPr>
        <w:t xml:space="preserve">in </w:t>
      </w:r>
      <w:r w:rsidR="00F02D08" w:rsidRPr="00D520A0">
        <w:rPr>
          <w:lang w:val="en-GB"/>
        </w:rPr>
        <w:t>Participant’s</w:t>
      </w:r>
      <w:r w:rsidR="002A3923" w:rsidRPr="00D520A0">
        <w:rPr>
          <w:lang w:val="en-GB"/>
        </w:rPr>
        <w:t xml:space="preserve"> text </w:t>
      </w:r>
      <w:r w:rsidR="004D3759" w:rsidRPr="00D520A0">
        <w:rPr>
          <w:lang w:val="en-GB"/>
        </w:rPr>
        <w:t>Unit 3</w:t>
      </w:r>
      <w:r w:rsidRPr="00D520A0">
        <w:rPr>
          <w:lang w:val="en-GB"/>
        </w:rPr>
        <w:t xml:space="preserve"> </w:t>
      </w:r>
      <w:r w:rsidR="00FF035A" w:rsidRPr="00D520A0">
        <w:rPr>
          <w:lang w:val="en-GB"/>
        </w:rPr>
        <w:t xml:space="preserve">therefore </w:t>
      </w:r>
      <w:r w:rsidRPr="00D520A0">
        <w:rPr>
          <w:lang w:val="en-GB"/>
        </w:rPr>
        <w:t xml:space="preserve">give </w:t>
      </w:r>
      <w:r w:rsidR="00BD2033" w:rsidRPr="00D520A0">
        <w:rPr>
          <w:lang w:val="en-GB"/>
        </w:rPr>
        <w:t xml:space="preserve">non-authoritative </w:t>
      </w:r>
      <w:r w:rsidRPr="00D520A0">
        <w:rPr>
          <w:lang w:val="en-GB"/>
        </w:rPr>
        <w:t xml:space="preserve">explanations and background information for terms used in the Convention and the </w:t>
      </w:r>
      <w:r w:rsidR="00A7744C" w:rsidRPr="00D520A0">
        <w:rPr>
          <w:lang w:val="en-GB"/>
        </w:rPr>
        <w:t>ODs</w:t>
      </w:r>
      <w:r w:rsidRPr="00D520A0">
        <w:rPr>
          <w:lang w:val="en-GB"/>
        </w:rPr>
        <w:t>.</w:t>
      </w:r>
    </w:p>
    <w:p w14:paraId="41BE4F4A" w14:textId="425B8BC8" w:rsidR="009253E1" w:rsidRPr="00D520A0" w:rsidRDefault="004C284A" w:rsidP="004936EF">
      <w:pPr>
        <w:pStyle w:val="Heading6"/>
        <w:rPr>
          <w:lang w:val="en-GB"/>
        </w:rPr>
      </w:pPr>
      <w:r w:rsidRPr="00D520A0">
        <w:rPr>
          <w:lang w:val="en-GB"/>
        </w:rPr>
        <w:t>Slide 5</w:t>
      </w:r>
      <w:r w:rsidR="009253E1" w:rsidRPr="00D520A0">
        <w:rPr>
          <w:lang w:val="en-GB"/>
        </w:rPr>
        <w:t>.</w:t>
      </w:r>
    </w:p>
    <w:p w14:paraId="3CF4938A" w14:textId="685AC1C0" w:rsidR="004C284A" w:rsidRPr="00D520A0" w:rsidRDefault="00477A3F" w:rsidP="004936EF">
      <w:pPr>
        <w:pStyle w:val="diapo2"/>
        <w:rPr>
          <w:lang w:val="en-GB"/>
        </w:rPr>
      </w:pPr>
      <w:r w:rsidRPr="00D520A0">
        <w:rPr>
          <w:lang w:val="en-GB"/>
        </w:rPr>
        <w:t>‘</w:t>
      </w:r>
      <w:r w:rsidR="00703C8C" w:rsidRPr="00D520A0">
        <w:rPr>
          <w:lang w:val="en-GB"/>
        </w:rPr>
        <w:t>Anchoring the Convention</w:t>
      </w:r>
      <w:r w:rsidRPr="00D520A0">
        <w:rPr>
          <w:lang w:val="en-GB"/>
        </w:rPr>
        <w:t>’</w:t>
      </w:r>
      <w:r w:rsidR="00703C8C" w:rsidRPr="00D520A0">
        <w:rPr>
          <w:lang w:val="en-GB"/>
        </w:rPr>
        <w:t xml:space="preserve"> </w:t>
      </w:r>
    </w:p>
    <w:p w14:paraId="0DCCDDD1" w14:textId="7CC7C86D" w:rsidR="00817E91" w:rsidRPr="00D520A0" w:rsidRDefault="00817E91" w:rsidP="009909DD">
      <w:pPr>
        <w:pStyle w:val="Texte1"/>
        <w:rPr>
          <w:lang w:val="en-GB"/>
        </w:rPr>
      </w:pPr>
      <w:r w:rsidRPr="00D520A0">
        <w:rPr>
          <w:lang w:val="en-GB"/>
        </w:rPr>
        <w:t xml:space="preserve">More than </w:t>
      </w:r>
      <w:r w:rsidR="007A395A" w:rsidRPr="00D520A0">
        <w:rPr>
          <w:lang w:val="en-GB"/>
        </w:rPr>
        <w:t>1</w:t>
      </w:r>
      <w:r w:rsidR="00AB547B" w:rsidRPr="00D520A0">
        <w:rPr>
          <w:lang w:val="en-GB"/>
        </w:rPr>
        <w:t>7</w:t>
      </w:r>
      <w:r w:rsidR="007A395A" w:rsidRPr="00D520A0">
        <w:rPr>
          <w:lang w:val="en-GB"/>
        </w:rPr>
        <w:t xml:space="preserve">0 </w:t>
      </w:r>
      <w:r w:rsidRPr="00D520A0">
        <w:rPr>
          <w:lang w:val="en-GB"/>
        </w:rPr>
        <w:t xml:space="preserve">States have already ratified the Convention, so </w:t>
      </w:r>
      <w:r w:rsidR="00AA282B" w:rsidRPr="00D520A0">
        <w:rPr>
          <w:lang w:val="en-GB"/>
        </w:rPr>
        <w:t xml:space="preserve">its </w:t>
      </w:r>
      <w:r w:rsidRPr="00D520A0">
        <w:rPr>
          <w:lang w:val="en-GB"/>
        </w:rPr>
        <w:t>key concepts are discussed in many languages and in many different contexts. The expression ‘intangible cultural heritage’ has been translated into many different languages</w:t>
      </w:r>
      <w:r w:rsidR="00AA282B" w:rsidRPr="00D520A0">
        <w:rPr>
          <w:lang w:val="en-GB"/>
        </w:rPr>
        <w:t>,</w:t>
      </w:r>
      <w:r w:rsidRPr="00D520A0">
        <w:rPr>
          <w:lang w:val="en-GB"/>
        </w:rPr>
        <w:t xml:space="preserve"> as indicated </w:t>
      </w:r>
      <w:r w:rsidR="00471925" w:rsidRPr="00D520A0">
        <w:rPr>
          <w:lang w:val="en-GB"/>
        </w:rPr>
        <w:t>i</w:t>
      </w:r>
      <w:r w:rsidRPr="00D520A0">
        <w:rPr>
          <w:lang w:val="en-GB"/>
        </w:rPr>
        <w:t>n the slide.</w:t>
      </w:r>
    </w:p>
    <w:p w14:paraId="076655C0" w14:textId="1760EA19" w:rsidR="00817E91" w:rsidRPr="00D520A0" w:rsidRDefault="00085B9F" w:rsidP="004936EF">
      <w:pPr>
        <w:pStyle w:val="Soustitre"/>
        <w:rPr>
          <w:caps/>
          <w:lang w:val="en-GB"/>
        </w:rPr>
      </w:pPr>
      <w:bookmarkStart w:id="15" w:name="_Toc238982207"/>
      <w:r w:rsidRPr="00D520A0">
        <w:rPr>
          <w:lang w:val="en-GB"/>
        </w:rPr>
        <w:t>M</w:t>
      </w:r>
      <w:r w:rsidR="00817E91" w:rsidRPr="00D520A0">
        <w:rPr>
          <w:lang w:val="en-GB"/>
        </w:rPr>
        <w:t>any different linguistic versions of the Convention</w:t>
      </w:r>
      <w:bookmarkEnd w:id="15"/>
    </w:p>
    <w:p w14:paraId="7BF44A6A" w14:textId="0D696F5E" w:rsidR="009253E1" w:rsidRPr="00D520A0" w:rsidRDefault="00BA55F0" w:rsidP="009909DD">
      <w:pPr>
        <w:pStyle w:val="Texte1"/>
        <w:rPr>
          <w:lang w:val="en-GB"/>
        </w:rPr>
      </w:pPr>
      <w:r w:rsidRPr="00D520A0">
        <w:rPr>
          <w:lang w:val="en-GB"/>
        </w:rPr>
        <w:t>Most of the text of the Convention was originally drafted in French, and to a lesser extent in English.</w:t>
      </w:r>
      <w:r w:rsidR="00DD6DB5" w:rsidRPr="00D520A0">
        <w:rPr>
          <w:lang w:val="en-GB"/>
        </w:rPr>
        <w:t xml:space="preserve"> </w:t>
      </w:r>
      <w:r w:rsidR="006D7284" w:rsidRPr="00D520A0">
        <w:rPr>
          <w:lang w:val="en-GB"/>
        </w:rPr>
        <w:t xml:space="preserve">UNESCO </w:t>
      </w:r>
      <w:r w:rsidR="00AA282B" w:rsidRPr="00D520A0">
        <w:rPr>
          <w:lang w:val="en-GB"/>
        </w:rPr>
        <w:t xml:space="preserve">has </w:t>
      </w:r>
      <w:r w:rsidR="006D7284" w:rsidRPr="00D520A0">
        <w:rPr>
          <w:lang w:val="en-GB"/>
        </w:rPr>
        <w:t>published</w:t>
      </w:r>
      <w:r w:rsidRPr="00D520A0">
        <w:rPr>
          <w:lang w:val="en-GB"/>
        </w:rPr>
        <w:t xml:space="preserve"> the text in six languages: Arabic, Chinese, English, French, Russian and Spanish (all equally authoritative, </w:t>
      </w:r>
      <w:r w:rsidR="00442E1A" w:rsidRPr="00D520A0">
        <w:rPr>
          <w:lang w:val="en-GB"/>
        </w:rPr>
        <w:t>Article </w:t>
      </w:r>
      <w:r w:rsidRPr="00D520A0">
        <w:rPr>
          <w:lang w:val="en-GB"/>
        </w:rPr>
        <w:t xml:space="preserve">39). </w:t>
      </w:r>
      <w:r w:rsidR="00047ABB" w:rsidRPr="00D520A0">
        <w:rPr>
          <w:lang w:val="en-GB"/>
        </w:rPr>
        <w:t>The Convention</w:t>
      </w:r>
      <w:r w:rsidRPr="00D520A0">
        <w:rPr>
          <w:lang w:val="en-GB"/>
        </w:rPr>
        <w:t xml:space="preserve"> has also been translated into </w:t>
      </w:r>
      <w:r w:rsidR="00AA282B" w:rsidRPr="00D520A0">
        <w:rPr>
          <w:lang w:val="en-GB"/>
        </w:rPr>
        <w:t xml:space="preserve">some </w:t>
      </w:r>
      <w:r w:rsidR="0028620A" w:rsidRPr="00D520A0">
        <w:rPr>
          <w:lang w:val="en-GB"/>
        </w:rPr>
        <w:t>25</w:t>
      </w:r>
      <w:r w:rsidR="00B729FD" w:rsidRPr="00D520A0">
        <w:rPr>
          <w:lang w:val="en-GB"/>
        </w:rPr>
        <w:t xml:space="preserve"> </w:t>
      </w:r>
      <w:r w:rsidR="00471925" w:rsidRPr="00D520A0">
        <w:rPr>
          <w:lang w:val="en-GB"/>
        </w:rPr>
        <w:t xml:space="preserve">other </w:t>
      </w:r>
      <w:r w:rsidR="00B729FD" w:rsidRPr="00D520A0">
        <w:rPr>
          <w:lang w:val="en-GB"/>
        </w:rPr>
        <w:t>languages</w:t>
      </w:r>
      <w:r w:rsidR="00C250BC" w:rsidRPr="00D520A0">
        <w:rPr>
          <w:lang w:val="en-GB"/>
        </w:rPr>
        <w:t>.</w:t>
      </w:r>
    </w:p>
    <w:p w14:paraId="1E88EF8F" w14:textId="20E21189" w:rsidR="007A395A" w:rsidRPr="00D520A0" w:rsidRDefault="009128ED" w:rsidP="004936EF">
      <w:pPr>
        <w:pStyle w:val="Informations0"/>
        <w:rPr>
          <w:i w:val="0"/>
          <w:lang w:val="en-GB"/>
        </w:rPr>
      </w:pPr>
      <w:r w:rsidRPr="00D520A0">
        <w:rPr>
          <w:i w:val="0"/>
          <w:noProof/>
          <w:lang w:eastAsia="zh-TW"/>
        </w:rPr>
        <w:lastRenderedPageBreak/>
        <w:drawing>
          <wp:anchor distT="0" distB="0" distL="114300" distR="114300" simplePos="0" relativeHeight="251652608" behindDoc="0" locked="1" layoutInCell="1" allowOverlap="0" wp14:anchorId="4DD5EDB7" wp14:editId="55274726">
            <wp:simplePos x="0" y="0"/>
            <wp:positionH relativeFrom="column">
              <wp:posOffset>-2540</wp:posOffset>
            </wp:positionH>
            <wp:positionV relativeFrom="paragraph">
              <wp:posOffset>-22860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250BC" w:rsidRPr="00D520A0">
        <w:rPr>
          <w:i w:val="0"/>
          <w:lang w:val="en-GB"/>
        </w:rPr>
        <w:t>See</w:t>
      </w:r>
      <w:r w:rsidR="00B729FD" w:rsidRPr="00D520A0">
        <w:rPr>
          <w:i w:val="0"/>
          <w:lang w:val="en-GB"/>
        </w:rPr>
        <w:t>:</w:t>
      </w:r>
      <w:r w:rsidR="009341AF" w:rsidRPr="00D520A0" w:rsidDel="009341AF">
        <w:rPr>
          <w:i w:val="0"/>
          <w:lang w:val="en-GB"/>
        </w:rPr>
        <w:t xml:space="preserve"> </w:t>
      </w:r>
      <w:r w:rsidR="00A5641C" w:rsidRPr="00D520A0">
        <w:rPr>
          <w:i w:val="0"/>
          <w:lang w:val="en-GB"/>
        </w:rPr>
        <w:t>http://www.unesco.org/culture/ich/index.php?lg=en&amp;pg=00102</w:t>
      </w:r>
    </w:p>
    <w:p w14:paraId="6F143514" w14:textId="77777777" w:rsidR="00BA55F0" w:rsidRPr="00D520A0" w:rsidRDefault="00817E91" w:rsidP="009909DD">
      <w:pPr>
        <w:pStyle w:val="Texte1"/>
        <w:rPr>
          <w:lang w:val="en-GB"/>
        </w:rPr>
      </w:pPr>
      <w:r w:rsidRPr="00D520A0">
        <w:rPr>
          <w:lang w:val="en-GB"/>
        </w:rPr>
        <w:t>It is of the utmost importance that the Convention be translated in</w:t>
      </w:r>
      <w:r w:rsidR="008172F0" w:rsidRPr="00D520A0">
        <w:rPr>
          <w:lang w:val="en-GB"/>
        </w:rPr>
        <w:t>to</w:t>
      </w:r>
      <w:r w:rsidRPr="00D520A0">
        <w:rPr>
          <w:lang w:val="en-GB"/>
        </w:rPr>
        <w:t xml:space="preserve"> as many languages as possible. </w:t>
      </w:r>
      <w:r w:rsidR="00BA55F0" w:rsidRPr="00D520A0">
        <w:rPr>
          <w:lang w:val="en-GB"/>
        </w:rPr>
        <w:t xml:space="preserve">New concepts – and especially concepts with open definitions – </w:t>
      </w:r>
      <w:r w:rsidR="00047ABB" w:rsidRPr="00D520A0">
        <w:rPr>
          <w:lang w:val="en-GB"/>
        </w:rPr>
        <w:t>may</w:t>
      </w:r>
      <w:r w:rsidR="00471925" w:rsidRPr="00D520A0">
        <w:rPr>
          <w:lang w:val="en-GB"/>
        </w:rPr>
        <w:t>, of course,</w:t>
      </w:r>
      <w:r w:rsidR="00047ABB" w:rsidRPr="00D520A0">
        <w:rPr>
          <w:lang w:val="en-GB"/>
        </w:rPr>
        <w:t xml:space="preserve"> </w:t>
      </w:r>
      <w:r w:rsidR="00471925" w:rsidRPr="00D520A0">
        <w:rPr>
          <w:lang w:val="en-GB"/>
        </w:rPr>
        <w:t xml:space="preserve">acquire </w:t>
      </w:r>
      <w:r w:rsidR="00047ABB" w:rsidRPr="00D520A0">
        <w:rPr>
          <w:lang w:val="en-GB"/>
        </w:rPr>
        <w:t xml:space="preserve">quite </w:t>
      </w:r>
      <w:r w:rsidR="00BA55F0" w:rsidRPr="00D520A0">
        <w:rPr>
          <w:lang w:val="en-GB"/>
        </w:rPr>
        <w:t xml:space="preserve">different connotations when translated into other languages. </w:t>
      </w:r>
      <w:r w:rsidR="00C860F7" w:rsidRPr="00D520A0">
        <w:rPr>
          <w:lang w:val="en-GB"/>
        </w:rPr>
        <w:t>The translation of the terms in new linguistic contexts should therefore be discussed at length in relation to the spirit of the Convention and the few definitions given in it.</w:t>
      </w:r>
    </w:p>
    <w:p w14:paraId="75453FA4" w14:textId="1BC78AF1" w:rsidR="00817E91" w:rsidRPr="00D520A0" w:rsidRDefault="00817E91" w:rsidP="009909DD">
      <w:pPr>
        <w:pStyle w:val="Texte1"/>
        <w:rPr>
          <w:lang w:val="en-GB"/>
        </w:rPr>
      </w:pPr>
      <w:r w:rsidRPr="00D520A0">
        <w:rPr>
          <w:lang w:val="en-GB"/>
        </w:rPr>
        <w:t xml:space="preserve">This process may help people in different regions and </w:t>
      </w:r>
      <w:r w:rsidR="008172F0" w:rsidRPr="00D520A0">
        <w:rPr>
          <w:lang w:val="en-GB"/>
        </w:rPr>
        <w:t xml:space="preserve">States </w:t>
      </w:r>
      <w:r w:rsidRPr="00D520A0">
        <w:rPr>
          <w:lang w:val="en-GB"/>
        </w:rPr>
        <w:t>to reflect on the concepts used in the Convention and how they can be applied to their own contexts. That will give people interested in the safeguarding of their ICH, or of ICH in general, better access to the Convention and its ideals</w:t>
      </w:r>
      <w:r w:rsidR="00B729FD" w:rsidRPr="00D520A0">
        <w:rPr>
          <w:lang w:val="en-GB"/>
        </w:rPr>
        <w:t>. I</w:t>
      </w:r>
      <w:r w:rsidR="005E24D9" w:rsidRPr="00D520A0">
        <w:rPr>
          <w:lang w:val="en-GB"/>
        </w:rPr>
        <w:t xml:space="preserve">t will </w:t>
      </w:r>
      <w:r w:rsidR="00B729FD" w:rsidRPr="00D520A0">
        <w:rPr>
          <w:lang w:val="en-GB"/>
        </w:rPr>
        <w:t xml:space="preserve">also </w:t>
      </w:r>
      <w:r w:rsidR="005E24D9" w:rsidRPr="00D520A0">
        <w:rPr>
          <w:lang w:val="en-GB"/>
        </w:rPr>
        <w:t xml:space="preserve">facilitate capacity </w:t>
      </w:r>
      <w:r w:rsidRPr="00D520A0">
        <w:rPr>
          <w:lang w:val="en-GB"/>
        </w:rPr>
        <w:t xml:space="preserve">building for safeguarding on the national or local level. </w:t>
      </w:r>
      <w:r w:rsidR="00471925" w:rsidRPr="00D520A0">
        <w:rPr>
          <w:lang w:val="en-GB"/>
        </w:rPr>
        <w:t xml:space="preserve">As part of capacity building, </w:t>
      </w:r>
      <w:r w:rsidRPr="00D520A0">
        <w:rPr>
          <w:lang w:val="en-GB"/>
        </w:rPr>
        <w:t xml:space="preserve">communities and other stakeholders </w:t>
      </w:r>
      <w:r w:rsidR="00574634" w:rsidRPr="00D520A0">
        <w:rPr>
          <w:lang w:val="en-GB"/>
        </w:rPr>
        <w:t xml:space="preserve">who are </w:t>
      </w:r>
      <w:r w:rsidRPr="00D520A0">
        <w:rPr>
          <w:lang w:val="en-GB"/>
        </w:rPr>
        <w:t xml:space="preserve">interested in safeguarding ICH on the national level </w:t>
      </w:r>
      <w:r w:rsidR="00471925" w:rsidRPr="00D520A0">
        <w:rPr>
          <w:lang w:val="en-GB"/>
        </w:rPr>
        <w:t xml:space="preserve">should be encouraged </w:t>
      </w:r>
      <w:r w:rsidRPr="00D520A0">
        <w:rPr>
          <w:lang w:val="en-GB"/>
        </w:rPr>
        <w:t>to discuss the Convention, its main concepts and objectives, in their own languages (see OD</w:t>
      </w:r>
      <w:r w:rsidR="008172F0" w:rsidRPr="00D520A0">
        <w:rPr>
          <w:lang w:val="en-GB"/>
        </w:rPr>
        <w:t>s</w:t>
      </w:r>
      <w:r w:rsidR="00D76533" w:rsidRPr="00D520A0">
        <w:rPr>
          <w:lang w:val="en-GB"/>
        </w:rPr>
        <w:t> </w:t>
      </w:r>
      <w:r w:rsidRPr="00D520A0">
        <w:rPr>
          <w:lang w:val="en-GB"/>
        </w:rPr>
        <w:t>81 and 82).</w:t>
      </w:r>
    </w:p>
    <w:p w14:paraId="7CA76EAF" w14:textId="77777777" w:rsidR="00C860F7" w:rsidRPr="00D520A0" w:rsidRDefault="00C860F7" w:rsidP="009909DD">
      <w:pPr>
        <w:pStyle w:val="Texte1"/>
        <w:rPr>
          <w:lang w:val="en-GB"/>
        </w:rPr>
      </w:pPr>
      <w:r w:rsidRPr="00D520A0">
        <w:rPr>
          <w:lang w:val="en-GB"/>
        </w:rPr>
        <w:t xml:space="preserve">In </w:t>
      </w:r>
      <w:r w:rsidR="008172F0" w:rsidRPr="00D520A0">
        <w:rPr>
          <w:lang w:val="en-GB"/>
        </w:rPr>
        <w:t xml:space="preserve">several </w:t>
      </w:r>
      <w:r w:rsidRPr="00D520A0">
        <w:rPr>
          <w:lang w:val="en-GB"/>
        </w:rPr>
        <w:t xml:space="preserve">languages – including French, Russian and Spanish </w:t>
      </w:r>
      <w:r w:rsidR="008172F0" w:rsidRPr="00D520A0">
        <w:rPr>
          <w:lang w:val="en-GB"/>
        </w:rPr>
        <w:t>–</w:t>
      </w:r>
      <w:r w:rsidRPr="00D520A0">
        <w:rPr>
          <w:lang w:val="en-GB"/>
        </w:rPr>
        <w:t xml:space="preserve"> intangible heritage is translated as ‘immaterial’ heritage</w:t>
      </w:r>
      <w:r w:rsidR="008172F0" w:rsidRPr="00D520A0">
        <w:rPr>
          <w:lang w:val="en-GB"/>
        </w:rPr>
        <w:t>;</w:t>
      </w:r>
      <w:r w:rsidRPr="00D520A0">
        <w:rPr>
          <w:lang w:val="en-GB"/>
        </w:rPr>
        <w:t xml:space="preserve"> in Japanese</w:t>
      </w:r>
      <w:r w:rsidR="008172F0" w:rsidRPr="00D520A0">
        <w:rPr>
          <w:lang w:val="en-GB"/>
        </w:rPr>
        <w:t>, it is translated</w:t>
      </w:r>
      <w:r w:rsidRPr="00D520A0">
        <w:rPr>
          <w:lang w:val="en-GB"/>
        </w:rPr>
        <w:t xml:space="preserve"> as heritage ‘not having form’. Within UNESCO in the 1980s</w:t>
      </w:r>
      <w:r w:rsidR="008172F0" w:rsidRPr="00D520A0">
        <w:rPr>
          <w:lang w:val="en-GB"/>
        </w:rPr>
        <w:t>,</w:t>
      </w:r>
      <w:r w:rsidRPr="00D520A0">
        <w:rPr>
          <w:lang w:val="en-GB"/>
        </w:rPr>
        <w:t xml:space="preserve"> the term ‘non-physical’ heritage was used. In Setswana (Botswana), ICH is translated as </w:t>
      </w:r>
      <w:r w:rsidR="008172F0" w:rsidRPr="00D520A0">
        <w:rPr>
          <w:lang w:val="en-GB"/>
        </w:rPr>
        <w:t>‘</w:t>
      </w:r>
      <w:r w:rsidRPr="00D520A0">
        <w:rPr>
          <w:i/>
          <w:lang w:val="en-GB"/>
        </w:rPr>
        <w:t>Ngwao e e sa Tshwaregeng</w:t>
      </w:r>
      <w:r w:rsidR="008172F0" w:rsidRPr="00D520A0">
        <w:rPr>
          <w:lang w:val="en-GB"/>
        </w:rPr>
        <w:t>’</w:t>
      </w:r>
      <w:r w:rsidRPr="00D520A0">
        <w:rPr>
          <w:lang w:val="en-GB"/>
        </w:rPr>
        <w:t xml:space="preserve"> – ‘heritage that is intangible’. A </w:t>
      </w:r>
      <w:r w:rsidR="008172F0" w:rsidRPr="00D520A0">
        <w:rPr>
          <w:lang w:val="en-GB"/>
        </w:rPr>
        <w:t xml:space="preserve">poet </w:t>
      </w:r>
      <w:r w:rsidRPr="00D520A0">
        <w:rPr>
          <w:lang w:val="en-GB"/>
        </w:rPr>
        <w:t xml:space="preserve">member of a district-level ICH Committee in Botswana </w:t>
      </w:r>
      <w:r w:rsidR="008172F0" w:rsidRPr="00D520A0">
        <w:rPr>
          <w:lang w:val="en-GB"/>
        </w:rPr>
        <w:t xml:space="preserve">created </w:t>
      </w:r>
      <w:r w:rsidRPr="00D520A0">
        <w:rPr>
          <w:lang w:val="en-GB"/>
        </w:rPr>
        <w:t xml:space="preserve">the acronym </w:t>
      </w:r>
      <w:r w:rsidR="008172F0" w:rsidRPr="00D520A0">
        <w:rPr>
          <w:lang w:val="en-GB"/>
        </w:rPr>
        <w:t>‘</w:t>
      </w:r>
      <w:r w:rsidRPr="00D520A0">
        <w:rPr>
          <w:lang w:val="en-GB"/>
        </w:rPr>
        <w:t>NEST</w:t>
      </w:r>
      <w:r w:rsidR="008172F0" w:rsidRPr="00D520A0">
        <w:rPr>
          <w:lang w:val="en-GB"/>
        </w:rPr>
        <w:t>’</w:t>
      </w:r>
      <w:r w:rsidRPr="00D520A0">
        <w:rPr>
          <w:lang w:val="en-GB"/>
        </w:rPr>
        <w:t xml:space="preserve"> </w:t>
      </w:r>
      <w:r w:rsidR="008172F0" w:rsidRPr="00D520A0">
        <w:rPr>
          <w:lang w:val="en-GB"/>
        </w:rPr>
        <w:t>from</w:t>
      </w:r>
      <w:r w:rsidRPr="00D520A0">
        <w:rPr>
          <w:lang w:val="en-GB"/>
        </w:rPr>
        <w:t xml:space="preserve"> this translation. In Swahili, too, the English term </w:t>
      </w:r>
      <w:r w:rsidR="008172F0" w:rsidRPr="00D520A0">
        <w:rPr>
          <w:lang w:val="en-GB"/>
        </w:rPr>
        <w:t>has</w:t>
      </w:r>
      <w:r w:rsidRPr="00D520A0">
        <w:rPr>
          <w:lang w:val="en-GB"/>
        </w:rPr>
        <w:t xml:space="preserve"> been translated literally.</w:t>
      </w:r>
    </w:p>
    <w:p w14:paraId="203AC531" w14:textId="77777777" w:rsidR="005434DB" w:rsidRPr="00D520A0" w:rsidRDefault="005434DB" w:rsidP="005434DB">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en-GB" w:eastAsia="en-US"/>
        </w:rPr>
      </w:pPr>
      <w:r w:rsidRPr="00D520A0">
        <w:rPr>
          <w:rFonts w:asciiTheme="minorBidi" w:hAnsiTheme="minorBidi" w:cstheme="minorBidi"/>
          <w:b/>
          <w:bCs/>
          <w:snapToGrid/>
          <w:color w:val="3366FF"/>
          <w:sz w:val="24"/>
          <w:lang w:val="en-GB" w:eastAsia="en-US"/>
        </w:rPr>
        <w:t>Exercise: Anchoring the Convention at the country level</w:t>
      </w:r>
    </w:p>
    <w:p w14:paraId="09ABBC59" w14:textId="77777777" w:rsidR="005434DB" w:rsidRPr="00D520A0" w:rsidRDefault="005434DB" w:rsidP="005434DB">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en-GB" w:eastAsia="en-US"/>
        </w:rPr>
      </w:pPr>
      <w:r w:rsidRPr="00D520A0">
        <w:rPr>
          <w:rFonts w:asciiTheme="minorBidi" w:hAnsiTheme="minorBidi" w:cstheme="minorBidi"/>
          <w:b/>
          <w:bCs/>
          <w:snapToGrid/>
          <w:sz w:val="24"/>
          <w:lang w:val="en-GB" w:eastAsia="en-US"/>
        </w:rPr>
        <w:t>20-30 mins</w:t>
      </w:r>
    </w:p>
    <w:p w14:paraId="1C656A1E" w14:textId="77777777" w:rsidR="005434DB" w:rsidRPr="00D520A0" w:rsidRDefault="005434DB" w:rsidP="005434DB">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D520A0">
        <w:rPr>
          <w:snapToGrid/>
          <w:sz w:val="20"/>
          <w:lang w:val="en-GB"/>
        </w:rPr>
        <w:t>This exercise encourages participants to think about translating the terms ‘intangible cultural heritage’ and ‘community’ into the official or national languages of their countries (other than Arabic, Chinese, English, French, Russian or Spanish). Through this exercise, participants may understand the importance, but also the difficulty of translating the ideas behind the Convention, and the importance of understanding the background to a concept in order to ‘domesticate’ it.</w:t>
      </w:r>
    </w:p>
    <w:p w14:paraId="79A4B4D2" w14:textId="77777777" w:rsidR="005434DB" w:rsidRPr="00D520A0" w:rsidRDefault="005434DB" w:rsidP="005434DB">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D520A0">
        <w:rPr>
          <w:snapToGrid/>
          <w:sz w:val="20"/>
          <w:lang w:val="en-GB"/>
        </w:rPr>
        <w:t>Participants who use Arabic, Chinese, Russian or Spanish may also wish to discuss how terms in the Convention have been translated from English and French into the authoritative Arabic, Chinese, Russian or Spanish versions.</w:t>
      </w:r>
    </w:p>
    <w:p w14:paraId="3EB9D7C5" w14:textId="77777777" w:rsidR="005434DB" w:rsidRPr="00D520A0" w:rsidRDefault="005434DB" w:rsidP="005434DB">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D520A0">
        <w:rPr>
          <w:snapToGrid/>
          <w:sz w:val="20"/>
          <w:lang w:val="en-GB"/>
        </w:rPr>
        <w:t>Participants discussing the translation of ‘ICH’ into other languages may wish to consider whether, in translation, the concept:</w:t>
      </w:r>
    </w:p>
    <w:p w14:paraId="7A978797" w14:textId="77777777" w:rsidR="005434DB" w:rsidRPr="00D520A0" w:rsidRDefault="005434DB" w:rsidP="005434DB">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D520A0">
        <w:rPr>
          <w:snapToGrid/>
          <w:sz w:val="20"/>
          <w:lang w:val="en-GB"/>
        </w:rPr>
        <w:t>excludes ICH that is no longer practised (note: the Convention excludes from the definition of ICH all forms that are no longer practised);</w:t>
      </w:r>
    </w:p>
    <w:p w14:paraId="2239A2B2" w14:textId="77777777" w:rsidR="005434DB" w:rsidRPr="00D520A0" w:rsidRDefault="005434DB" w:rsidP="005434DB">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D520A0">
        <w:rPr>
          <w:snapToGrid/>
          <w:sz w:val="20"/>
          <w:lang w:val="en-GB"/>
        </w:rPr>
        <w:t>may include ICH of immigrant and nomadic communities (note: the Convention does not exclude such ICH in its definition); and/or</w:t>
      </w:r>
    </w:p>
    <w:p w14:paraId="18233D70" w14:textId="77777777" w:rsidR="005434DB" w:rsidRPr="00D520A0" w:rsidRDefault="005434DB" w:rsidP="005434DB">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D520A0">
        <w:rPr>
          <w:snapToGrid/>
          <w:sz w:val="20"/>
          <w:lang w:val="en-GB"/>
        </w:rPr>
        <w:t>has connotations similar to ‘(traditional) folklore’ in English (old, unchanging, etc., which would not be compatible with the Convention’s definition of ICH).</w:t>
      </w:r>
    </w:p>
    <w:p w14:paraId="1AF8C310" w14:textId="77777777" w:rsidR="005434DB" w:rsidRPr="00D520A0" w:rsidRDefault="005434DB" w:rsidP="005434DB">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D520A0">
        <w:rPr>
          <w:snapToGrid/>
          <w:sz w:val="20"/>
          <w:lang w:val="en-GB"/>
        </w:rPr>
        <w:t xml:space="preserve">The exercise may include a discussion about how to avoid undesirable connotations in translated terms that are not in the spirit of the Convention. For example terms such as ‘universal excellence’ and ‘authenticity’ should not be associated with ICH in the framework of the </w:t>
      </w:r>
      <w:r w:rsidRPr="00D520A0">
        <w:rPr>
          <w:snapToGrid/>
          <w:sz w:val="20"/>
          <w:lang w:val="en-GB"/>
        </w:rPr>
        <w:lastRenderedPageBreak/>
        <w:t>implementation of the Convention.</w:t>
      </w:r>
    </w:p>
    <w:p w14:paraId="545FFA54" w14:textId="77777777" w:rsidR="005434DB" w:rsidRPr="00D520A0" w:rsidRDefault="005434DB" w:rsidP="005434DB">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D520A0">
        <w:rPr>
          <w:snapToGrid/>
          <w:sz w:val="20"/>
          <w:lang w:val="en-GB"/>
        </w:rPr>
        <w:t>In some national or local contexts, other terms (such as ‘folklore’, ‘spiritual culture’ or ‘popular culture’) are used for ‘ICH’. Such terms are often more inclusive than ‘ICH’ as understood by the Convention; they may cover a wide range of practices or expressions in the local context. However, when referring to ICH as defined under the Convention (for example, when submitting a nomination to one of the Lists of the Convention), it is preferable to use a local translation of the term ICH, even if a new term has to be invented for this purpose. This is because the definition of ICH given in the Convention is authoritative in nominating elements to the Lists, applying for funds and so on.</w:t>
      </w:r>
    </w:p>
    <w:p w14:paraId="7C553B13" w14:textId="428FF79F" w:rsidR="009253E1" w:rsidRPr="00D520A0" w:rsidRDefault="004C284A" w:rsidP="004936EF">
      <w:pPr>
        <w:pStyle w:val="Heading6"/>
        <w:rPr>
          <w:lang w:val="en-GB"/>
        </w:rPr>
      </w:pPr>
      <w:r w:rsidRPr="00D520A0">
        <w:rPr>
          <w:lang w:val="en-GB"/>
        </w:rPr>
        <w:t>Slide</w:t>
      </w:r>
      <w:r w:rsidR="004C3F3B" w:rsidRPr="00D520A0">
        <w:rPr>
          <w:lang w:val="en-GB"/>
        </w:rPr>
        <w:t xml:space="preserve"> </w:t>
      </w:r>
      <w:r w:rsidRPr="00D520A0">
        <w:rPr>
          <w:lang w:val="en-GB"/>
        </w:rPr>
        <w:t>6</w:t>
      </w:r>
      <w:r w:rsidR="009253E1" w:rsidRPr="00D520A0">
        <w:rPr>
          <w:lang w:val="en-GB"/>
        </w:rPr>
        <w:t>.</w:t>
      </w:r>
    </w:p>
    <w:p w14:paraId="6CC84362" w14:textId="50B66CB7" w:rsidR="004C284A" w:rsidRPr="00D520A0" w:rsidRDefault="004C284A" w:rsidP="004936EF">
      <w:pPr>
        <w:pStyle w:val="diapo2"/>
        <w:rPr>
          <w:lang w:val="en-GB"/>
        </w:rPr>
      </w:pPr>
      <w:r w:rsidRPr="00D520A0">
        <w:rPr>
          <w:lang w:val="en-GB"/>
        </w:rPr>
        <w:t xml:space="preserve">Intangible </w:t>
      </w:r>
      <w:r w:rsidR="00DE44A1" w:rsidRPr="00D520A0">
        <w:rPr>
          <w:lang w:val="en-GB"/>
        </w:rPr>
        <w:t xml:space="preserve">cultural </w:t>
      </w:r>
      <w:r w:rsidR="00695F97" w:rsidRPr="00D520A0">
        <w:rPr>
          <w:lang w:val="en-GB"/>
        </w:rPr>
        <w:t>h</w:t>
      </w:r>
      <w:r w:rsidRPr="00D520A0">
        <w:rPr>
          <w:lang w:val="en-GB"/>
        </w:rPr>
        <w:t>eritage (subheading)</w:t>
      </w:r>
    </w:p>
    <w:p w14:paraId="59CDEDA0" w14:textId="281B57D2" w:rsidR="009253E1" w:rsidRPr="00D520A0" w:rsidRDefault="004C284A" w:rsidP="004936EF">
      <w:pPr>
        <w:pStyle w:val="Heading6"/>
        <w:rPr>
          <w:lang w:val="en-GB"/>
        </w:rPr>
      </w:pPr>
      <w:r w:rsidRPr="00D520A0">
        <w:rPr>
          <w:lang w:val="en-GB"/>
        </w:rPr>
        <w:t>Slide</w:t>
      </w:r>
      <w:r w:rsidR="004C3F3B" w:rsidRPr="00D520A0">
        <w:rPr>
          <w:lang w:val="en-GB"/>
        </w:rPr>
        <w:t xml:space="preserve"> </w:t>
      </w:r>
      <w:r w:rsidRPr="00D520A0">
        <w:rPr>
          <w:lang w:val="en-GB"/>
        </w:rPr>
        <w:t>7</w:t>
      </w:r>
      <w:r w:rsidR="009253E1" w:rsidRPr="00D520A0">
        <w:rPr>
          <w:lang w:val="en-GB"/>
        </w:rPr>
        <w:t>.</w:t>
      </w:r>
    </w:p>
    <w:p w14:paraId="4C220A09" w14:textId="01758AB7" w:rsidR="004C284A" w:rsidRPr="00D520A0" w:rsidRDefault="004C284A" w:rsidP="004936EF">
      <w:pPr>
        <w:pStyle w:val="diapo2"/>
        <w:rPr>
          <w:lang w:val="en-GB"/>
        </w:rPr>
      </w:pPr>
      <w:r w:rsidRPr="00D520A0">
        <w:rPr>
          <w:lang w:val="en-GB"/>
        </w:rPr>
        <w:t>The Convention’s</w:t>
      </w:r>
      <w:r w:rsidR="002C785B" w:rsidRPr="00D520A0">
        <w:rPr>
          <w:lang w:val="en-GB"/>
        </w:rPr>
        <w:t xml:space="preserve"> </w:t>
      </w:r>
      <w:r w:rsidRPr="00D520A0">
        <w:rPr>
          <w:lang w:val="en-GB"/>
        </w:rPr>
        <w:t xml:space="preserve">definition of </w:t>
      </w:r>
      <w:r w:rsidR="00695F97" w:rsidRPr="00D520A0">
        <w:rPr>
          <w:lang w:val="en-GB"/>
        </w:rPr>
        <w:t>i</w:t>
      </w:r>
      <w:r w:rsidRPr="00D520A0">
        <w:rPr>
          <w:lang w:val="en-GB"/>
        </w:rPr>
        <w:t xml:space="preserve">ntangible </w:t>
      </w:r>
      <w:r w:rsidR="00695F97" w:rsidRPr="00D520A0">
        <w:rPr>
          <w:lang w:val="en-GB"/>
        </w:rPr>
        <w:t>h</w:t>
      </w:r>
      <w:r w:rsidRPr="00D520A0">
        <w:rPr>
          <w:lang w:val="en-GB"/>
        </w:rPr>
        <w:t>eritage</w:t>
      </w:r>
      <w:r w:rsidR="000C6212" w:rsidRPr="00D520A0">
        <w:rPr>
          <w:lang w:val="en-GB"/>
        </w:rPr>
        <w:t>(</w:t>
      </w:r>
      <w:r w:rsidRPr="00D520A0">
        <w:rPr>
          <w:lang w:val="en-GB"/>
        </w:rPr>
        <w:t>1</w:t>
      </w:r>
      <w:r w:rsidR="000C6212" w:rsidRPr="00D520A0">
        <w:rPr>
          <w:lang w:val="en-GB"/>
        </w:rPr>
        <w:t>)</w:t>
      </w:r>
    </w:p>
    <w:p w14:paraId="6064623C" w14:textId="77777777" w:rsidR="005434DB" w:rsidRPr="00D520A0" w:rsidRDefault="005434DB" w:rsidP="005434DB">
      <w:pPr>
        <w:pStyle w:val="Informations0"/>
        <w:rPr>
          <w:iCs/>
          <w:lang w:val="en-GB"/>
        </w:rPr>
      </w:pPr>
      <w:r w:rsidRPr="00D520A0">
        <w:rPr>
          <w:i w:val="0"/>
          <w:iCs/>
          <w:lang w:val="en-GB"/>
        </w:rPr>
        <w:t xml:space="preserve">Refer to Participant’s text Unit 1.4 and Unit 3: ‘Elements of ICH’ and ‘Intangible cultural </w:t>
      </w:r>
      <w:r w:rsidRPr="00D520A0">
        <w:rPr>
          <w:i w:val="0"/>
          <w:iCs/>
          <w:noProof/>
          <w:lang w:eastAsia="zh-TW"/>
        </w:rPr>
        <w:drawing>
          <wp:anchor distT="0" distB="0" distL="114300" distR="114300" simplePos="0" relativeHeight="251667968" behindDoc="0" locked="1" layoutInCell="1" allowOverlap="0" wp14:anchorId="061977EF" wp14:editId="078075B3">
            <wp:simplePos x="0" y="0"/>
            <wp:positionH relativeFrom="column">
              <wp:posOffset>128905</wp:posOffset>
            </wp:positionH>
            <wp:positionV relativeFrom="paragraph">
              <wp:posOffset>37465</wp:posOffset>
            </wp:positionV>
            <wp:extent cx="282575" cy="357505"/>
            <wp:effectExtent l="0" t="0" r="3175" b="4445"/>
            <wp:wrapThrough wrapText="bothSides">
              <wp:wrapPolygon edited="0">
                <wp:start x="0" y="0"/>
                <wp:lineTo x="0" y="20718"/>
                <wp:lineTo x="20387" y="20718"/>
                <wp:lineTo x="20387" y="0"/>
                <wp:lineTo x="0" y="0"/>
              </wp:wrapPolygon>
            </wp:wrapThrough>
            <wp:docPr id="1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D520A0">
        <w:rPr>
          <w:i w:val="0"/>
          <w:iCs/>
          <w:lang w:val="en-GB"/>
        </w:rPr>
        <w:t>heritage’.</w:t>
      </w:r>
    </w:p>
    <w:p w14:paraId="6A6B7362" w14:textId="77777777" w:rsidR="00BA2CED" w:rsidRPr="00D520A0" w:rsidRDefault="008A5099" w:rsidP="009909DD">
      <w:pPr>
        <w:pStyle w:val="Texte1"/>
        <w:rPr>
          <w:lang w:val="en-GB"/>
        </w:rPr>
      </w:pPr>
      <w:r w:rsidRPr="00D520A0">
        <w:rPr>
          <w:lang w:val="en-GB"/>
        </w:rPr>
        <w:t xml:space="preserve">If the concept of ICH </w:t>
      </w:r>
      <w:r w:rsidR="000C6212" w:rsidRPr="00D520A0">
        <w:rPr>
          <w:lang w:val="en-GB"/>
        </w:rPr>
        <w:t xml:space="preserve">has </w:t>
      </w:r>
      <w:r w:rsidRPr="00D520A0">
        <w:rPr>
          <w:lang w:val="en-GB"/>
        </w:rPr>
        <w:t xml:space="preserve">already </w:t>
      </w:r>
      <w:r w:rsidR="000C6212" w:rsidRPr="00D520A0">
        <w:rPr>
          <w:lang w:val="en-GB"/>
        </w:rPr>
        <w:t xml:space="preserve">been </w:t>
      </w:r>
      <w:r w:rsidR="008479F5" w:rsidRPr="00D520A0">
        <w:rPr>
          <w:lang w:val="en-GB"/>
        </w:rPr>
        <w:t>discussed</w:t>
      </w:r>
      <w:r w:rsidRPr="00D520A0">
        <w:rPr>
          <w:lang w:val="en-GB"/>
        </w:rPr>
        <w:t xml:space="preserve"> earlier in the workshop, its discussion here can be brief, or </w:t>
      </w:r>
      <w:r w:rsidR="008479F5" w:rsidRPr="00D520A0">
        <w:rPr>
          <w:lang w:val="en-GB"/>
        </w:rPr>
        <w:t>targeted towards</w:t>
      </w:r>
      <w:r w:rsidRPr="00D520A0">
        <w:rPr>
          <w:lang w:val="en-GB"/>
        </w:rPr>
        <w:t xml:space="preserve"> </w:t>
      </w:r>
      <w:r w:rsidR="008479F5" w:rsidRPr="00D520A0">
        <w:rPr>
          <w:lang w:val="en-GB"/>
        </w:rPr>
        <w:t>additional issues</w:t>
      </w:r>
      <w:r w:rsidRPr="00D520A0">
        <w:rPr>
          <w:lang w:val="en-GB"/>
        </w:rPr>
        <w:t xml:space="preserve"> of interest </w:t>
      </w:r>
      <w:r w:rsidR="000C6212" w:rsidRPr="00D520A0">
        <w:rPr>
          <w:lang w:val="en-GB"/>
        </w:rPr>
        <w:t xml:space="preserve">for </w:t>
      </w:r>
      <w:r w:rsidRPr="00D520A0">
        <w:rPr>
          <w:lang w:val="en-GB"/>
        </w:rPr>
        <w:t>participants.</w:t>
      </w:r>
    </w:p>
    <w:p w14:paraId="37366319" w14:textId="008972F8" w:rsidR="007E3F8F" w:rsidRPr="00D520A0" w:rsidRDefault="005434DB" w:rsidP="004936EF">
      <w:pPr>
        <w:pStyle w:val="Soustitre"/>
        <w:rPr>
          <w:lang w:val="en-GB"/>
        </w:rPr>
      </w:pPr>
      <w:r w:rsidRPr="00D520A0">
        <w:rPr>
          <w:lang w:val="en-GB"/>
        </w:rPr>
        <w:t>R</w:t>
      </w:r>
      <w:r w:rsidR="007E3F8F" w:rsidRPr="00D520A0">
        <w:rPr>
          <w:lang w:val="en-GB"/>
        </w:rPr>
        <w:t>elationship between ICH and related objects:</w:t>
      </w:r>
    </w:p>
    <w:p w14:paraId="3C849085" w14:textId="78BE5887" w:rsidR="00F84C9A" w:rsidRPr="00D520A0" w:rsidRDefault="00F84C9A" w:rsidP="009909DD">
      <w:pPr>
        <w:pStyle w:val="Texte1"/>
        <w:rPr>
          <w:lang w:val="en-GB"/>
        </w:rPr>
      </w:pPr>
      <w:r w:rsidRPr="00D520A0">
        <w:rPr>
          <w:lang w:val="en-GB"/>
        </w:rPr>
        <w:t xml:space="preserve">The first sentence of the definition </w:t>
      </w:r>
      <w:r w:rsidR="00413350" w:rsidRPr="00D520A0">
        <w:rPr>
          <w:lang w:val="en-GB"/>
        </w:rPr>
        <w:t>(</w:t>
      </w:r>
      <w:r w:rsidR="00442E1A" w:rsidRPr="00D520A0">
        <w:rPr>
          <w:lang w:val="en-GB"/>
        </w:rPr>
        <w:t>Article </w:t>
      </w:r>
      <w:r w:rsidR="00413350" w:rsidRPr="00D520A0">
        <w:rPr>
          <w:lang w:val="en-GB"/>
        </w:rPr>
        <w:t>2.1</w:t>
      </w:r>
      <w:r w:rsidR="00396D5C" w:rsidRPr="00D520A0">
        <w:rPr>
          <w:lang w:val="en-GB"/>
        </w:rPr>
        <w:t xml:space="preserve"> of the Convention</w:t>
      </w:r>
      <w:r w:rsidR="00413350" w:rsidRPr="00D520A0">
        <w:rPr>
          <w:lang w:val="en-GB"/>
        </w:rPr>
        <w:t xml:space="preserve">) </w:t>
      </w:r>
      <w:r w:rsidR="000C6212" w:rsidRPr="00D520A0">
        <w:rPr>
          <w:lang w:val="en-GB"/>
        </w:rPr>
        <w:t xml:space="preserve">specifies </w:t>
      </w:r>
      <w:r w:rsidR="00E417D8" w:rsidRPr="00D520A0">
        <w:rPr>
          <w:lang w:val="en-GB"/>
        </w:rPr>
        <w:t>that ICH is</w:t>
      </w:r>
      <w:r w:rsidRPr="00D520A0">
        <w:rPr>
          <w:lang w:val="en-GB"/>
        </w:rPr>
        <w:t xml:space="preserve"> enacted and transmitted by people: </w:t>
      </w:r>
      <w:r w:rsidR="00413350" w:rsidRPr="00D520A0">
        <w:rPr>
          <w:lang w:val="en-GB"/>
        </w:rPr>
        <w:t xml:space="preserve">it mentions </w:t>
      </w:r>
      <w:r w:rsidR="000C6212" w:rsidRPr="00D520A0">
        <w:rPr>
          <w:lang w:val="en-GB"/>
        </w:rPr>
        <w:t>‘</w:t>
      </w:r>
      <w:r w:rsidRPr="00D520A0">
        <w:rPr>
          <w:lang w:val="en-GB"/>
        </w:rPr>
        <w:t xml:space="preserve">practices, </w:t>
      </w:r>
      <w:r w:rsidR="000C6212" w:rsidRPr="00D520A0">
        <w:rPr>
          <w:lang w:val="en-GB"/>
        </w:rPr>
        <w:t xml:space="preserve">representations, </w:t>
      </w:r>
      <w:r w:rsidRPr="00D520A0">
        <w:rPr>
          <w:lang w:val="en-GB"/>
        </w:rPr>
        <w:t xml:space="preserve">expressions, knowledge </w:t>
      </w:r>
      <w:r w:rsidR="000C6212" w:rsidRPr="00D520A0">
        <w:rPr>
          <w:lang w:val="en-GB"/>
        </w:rPr>
        <w:t>[</w:t>
      </w:r>
      <w:r w:rsidRPr="00D520A0">
        <w:rPr>
          <w:lang w:val="en-GB"/>
        </w:rPr>
        <w:t>and</w:t>
      </w:r>
      <w:r w:rsidR="000C6212" w:rsidRPr="00D520A0">
        <w:rPr>
          <w:lang w:val="en-GB"/>
        </w:rPr>
        <w:t>]</w:t>
      </w:r>
      <w:r w:rsidRPr="00D520A0">
        <w:rPr>
          <w:lang w:val="en-GB"/>
        </w:rPr>
        <w:t xml:space="preserve"> skills</w:t>
      </w:r>
      <w:r w:rsidR="000C6212" w:rsidRPr="00D520A0">
        <w:rPr>
          <w:lang w:val="en-GB"/>
        </w:rPr>
        <w:t>’</w:t>
      </w:r>
      <w:r w:rsidRPr="00D520A0">
        <w:rPr>
          <w:lang w:val="en-GB"/>
        </w:rPr>
        <w:t>.</w:t>
      </w:r>
      <w:r w:rsidR="00E417D8" w:rsidRPr="00D520A0">
        <w:rPr>
          <w:lang w:val="en-GB"/>
        </w:rPr>
        <w:t xml:space="preserve"> This focuses attention on the actions of the communities, groups and individuals concerned rather than on the products of these actions.</w:t>
      </w:r>
    </w:p>
    <w:p w14:paraId="44A9215F" w14:textId="5E41F969" w:rsidR="00C732AD" w:rsidRPr="00D520A0" w:rsidRDefault="00C732AD" w:rsidP="00415E5D">
      <w:pPr>
        <w:pStyle w:val="Texte1"/>
        <w:rPr>
          <w:lang w:val="en-GB"/>
        </w:rPr>
      </w:pPr>
      <w:r w:rsidRPr="00D520A0">
        <w:rPr>
          <w:lang w:val="en-GB"/>
        </w:rPr>
        <w:t>At the session of the Committee in Nairobi (2010)</w:t>
      </w:r>
      <w:r w:rsidR="000C6212" w:rsidRPr="00D520A0">
        <w:rPr>
          <w:lang w:val="en-GB"/>
        </w:rPr>
        <w:t>,</w:t>
      </w:r>
      <w:r w:rsidRPr="00D520A0">
        <w:rPr>
          <w:lang w:val="en-GB"/>
        </w:rPr>
        <w:t xml:space="preserve"> it was felt that objects could not be the main focus of an inscription on the Lists of the Convention; accordingly, the name of one of the nominated elements was changed from ‘The Azerbaijani Carpet’ to ‘The traditional art of Azerbaijani carpet weaving in the Republic of Azerbaijan’.</w:t>
      </w:r>
    </w:p>
    <w:p w14:paraId="2772184C" w14:textId="39573CB0" w:rsidR="009253E1" w:rsidRPr="00D520A0" w:rsidRDefault="004C284A" w:rsidP="004936EF">
      <w:pPr>
        <w:pStyle w:val="Heading6"/>
        <w:rPr>
          <w:lang w:val="en-GB"/>
        </w:rPr>
      </w:pPr>
      <w:r w:rsidRPr="00D520A0">
        <w:rPr>
          <w:lang w:val="en-GB"/>
        </w:rPr>
        <w:t>Slide 8</w:t>
      </w:r>
      <w:r w:rsidR="009253E1" w:rsidRPr="00D520A0">
        <w:rPr>
          <w:lang w:val="en-GB"/>
        </w:rPr>
        <w:t>.</w:t>
      </w:r>
    </w:p>
    <w:p w14:paraId="5F1AECD4" w14:textId="77777777" w:rsidR="004C284A" w:rsidRPr="00D520A0" w:rsidRDefault="004C284A" w:rsidP="004936EF">
      <w:pPr>
        <w:pStyle w:val="diapo2"/>
        <w:rPr>
          <w:lang w:val="en-GB"/>
        </w:rPr>
      </w:pPr>
      <w:r w:rsidRPr="00D520A0">
        <w:rPr>
          <w:lang w:val="en-GB"/>
        </w:rPr>
        <w:t xml:space="preserve">The Convention’s definition of </w:t>
      </w:r>
      <w:r w:rsidR="00695F97" w:rsidRPr="00D520A0">
        <w:rPr>
          <w:lang w:val="en-GB"/>
        </w:rPr>
        <w:t>i</w:t>
      </w:r>
      <w:r w:rsidRPr="00D520A0">
        <w:rPr>
          <w:lang w:val="en-GB"/>
        </w:rPr>
        <w:t xml:space="preserve">ntangible </w:t>
      </w:r>
      <w:r w:rsidR="00695F97" w:rsidRPr="00D520A0">
        <w:rPr>
          <w:lang w:val="en-GB"/>
        </w:rPr>
        <w:t>h</w:t>
      </w:r>
      <w:r w:rsidRPr="00D520A0">
        <w:rPr>
          <w:lang w:val="en-GB"/>
        </w:rPr>
        <w:t xml:space="preserve">eritage </w:t>
      </w:r>
      <w:r w:rsidR="0036098C" w:rsidRPr="00D520A0">
        <w:rPr>
          <w:lang w:val="en-GB"/>
        </w:rPr>
        <w:t>(</w:t>
      </w:r>
      <w:r w:rsidRPr="00D520A0">
        <w:rPr>
          <w:lang w:val="en-GB"/>
        </w:rPr>
        <w:t>2</w:t>
      </w:r>
      <w:r w:rsidR="0036098C" w:rsidRPr="00D520A0">
        <w:rPr>
          <w:lang w:val="en-GB"/>
        </w:rPr>
        <w:t>)</w:t>
      </w:r>
    </w:p>
    <w:p w14:paraId="26FC7D53" w14:textId="012B72C6" w:rsidR="00E417D8" w:rsidRPr="00D520A0" w:rsidRDefault="00B663DB" w:rsidP="00D520A0">
      <w:pPr>
        <w:pStyle w:val="Informations0"/>
        <w:rPr>
          <w:iCs/>
          <w:lang w:val="en-GB"/>
        </w:rPr>
      </w:pPr>
      <w:r w:rsidRPr="00D520A0">
        <w:rPr>
          <w:i w:val="0"/>
          <w:iCs/>
          <w:noProof/>
          <w:lang w:eastAsia="zh-TW"/>
        </w:rPr>
        <w:drawing>
          <wp:anchor distT="0" distB="0" distL="114300" distR="114300" simplePos="0" relativeHeight="251673088" behindDoc="0" locked="1" layoutInCell="1" allowOverlap="0" wp14:anchorId="7ADECB5A" wp14:editId="007BD0C7">
            <wp:simplePos x="0" y="0"/>
            <wp:positionH relativeFrom="column">
              <wp:posOffset>0</wp:posOffset>
            </wp:positionH>
            <wp:positionV relativeFrom="paragraph">
              <wp:posOffset>-34925</wp:posOffset>
            </wp:positionV>
            <wp:extent cx="282575" cy="357505"/>
            <wp:effectExtent l="0" t="0" r="3175" b="4445"/>
            <wp:wrapThrough wrapText="bothSides">
              <wp:wrapPolygon edited="0">
                <wp:start x="0" y="0"/>
                <wp:lineTo x="0" y="20718"/>
                <wp:lineTo x="20387" y="20718"/>
                <wp:lineTo x="20387" y="0"/>
                <wp:lineTo x="0" y="0"/>
              </wp:wrapPolygon>
            </wp:wrapThrough>
            <wp:docPr id="1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BA2CED" w:rsidRPr="00D520A0">
        <w:rPr>
          <w:i w:val="0"/>
          <w:iCs/>
          <w:lang w:val="en-GB"/>
        </w:rPr>
        <w:t xml:space="preserve">Refer to </w:t>
      </w:r>
      <w:r w:rsidR="00F02D08" w:rsidRPr="00D520A0">
        <w:rPr>
          <w:i w:val="0"/>
          <w:iCs/>
          <w:lang w:val="en-GB"/>
        </w:rPr>
        <w:t>Participant’s</w:t>
      </w:r>
      <w:r w:rsidR="002A3923" w:rsidRPr="00D520A0">
        <w:rPr>
          <w:i w:val="0"/>
          <w:iCs/>
          <w:lang w:val="en-GB"/>
        </w:rPr>
        <w:t xml:space="preserve"> text </w:t>
      </w:r>
      <w:r w:rsidR="0077068E" w:rsidRPr="00D520A0">
        <w:rPr>
          <w:i w:val="0"/>
          <w:iCs/>
          <w:lang w:val="en-GB"/>
        </w:rPr>
        <w:t>Unit</w:t>
      </w:r>
      <w:r w:rsidR="004D00D1" w:rsidRPr="00D520A0">
        <w:rPr>
          <w:i w:val="0"/>
          <w:iCs/>
          <w:lang w:val="en-GB"/>
        </w:rPr>
        <w:t> </w:t>
      </w:r>
      <w:r w:rsidR="008479F5" w:rsidRPr="00D520A0">
        <w:rPr>
          <w:i w:val="0"/>
          <w:iCs/>
          <w:lang w:val="en-GB"/>
        </w:rPr>
        <w:t xml:space="preserve">1.4 and </w:t>
      </w:r>
      <w:r w:rsidR="004D3759" w:rsidRPr="00D520A0">
        <w:rPr>
          <w:i w:val="0"/>
          <w:iCs/>
          <w:lang w:val="en-GB"/>
        </w:rPr>
        <w:t>Unit</w:t>
      </w:r>
      <w:r w:rsidR="004D00D1" w:rsidRPr="00D520A0">
        <w:rPr>
          <w:i w:val="0"/>
          <w:iCs/>
          <w:lang w:val="en-GB"/>
        </w:rPr>
        <w:t> </w:t>
      </w:r>
      <w:r w:rsidR="004D3759" w:rsidRPr="00D520A0">
        <w:rPr>
          <w:i w:val="0"/>
          <w:iCs/>
          <w:lang w:val="en-GB"/>
        </w:rPr>
        <w:t>3</w:t>
      </w:r>
      <w:r w:rsidR="0036098C" w:rsidRPr="00D520A0">
        <w:rPr>
          <w:i w:val="0"/>
          <w:iCs/>
          <w:lang w:val="en-GB"/>
        </w:rPr>
        <w:t>:</w:t>
      </w:r>
      <w:r w:rsidR="00BA2CED" w:rsidRPr="00D520A0">
        <w:rPr>
          <w:i w:val="0"/>
          <w:iCs/>
          <w:lang w:val="en-GB"/>
        </w:rPr>
        <w:t xml:space="preserve"> </w:t>
      </w:r>
      <w:r w:rsidR="0036098C" w:rsidRPr="00D520A0">
        <w:rPr>
          <w:i w:val="0"/>
          <w:iCs/>
          <w:lang w:val="en-GB"/>
        </w:rPr>
        <w:t>‘Intangible cultural heritage’</w:t>
      </w:r>
      <w:r w:rsidR="00BA2CED" w:rsidRPr="00D520A0">
        <w:rPr>
          <w:i w:val="0"/>
          <w:iCs/>
          <w:lang w:val="en-GB"/>
        </w:rPr>
        <w:t>.</w:t>
      </w:r>
    </w:p>
    <w:p w14:paraId="3F6099BE" w14:textId="79834FC7" w:rsidR="00C82BA2" w:rsidRPr="00D520A0" w:rsidRDefault="00C82BA2" w:rsidP="009909DD">
      <w:pPr>
        <w:pStyle w:val="Texte1"/>
        <w:rPr>
          <w:lang w:val="en-GB"/>
        </w:rPr>
      </w:pPr>
      <w:r w:rsidRPr="00D520A0">
        <w:rPr>
          <w:lang w:val="en-GB"/>
        </w:rPr>
        <w:t xml:space="preserve">The main message in the second sentence of the definition in </w:t>
      </w:r>
      <w:r w:rsidR="00442E1A" w:rsidRPr="00D520A0">
        <w:rPr>
          <w:lang w:val="en-GB"/>
        </w:rPr>
        <w:t>Article </w:t>
      </w:r>
      <w:r w:rsidRPr="00D520A0">
        <w:rPr>
          <w:lang w:val="en-GB"/>
        </w:rPr>
        <w:t>2.1 is th</w:t>
      </w:r>
      <w:r w:rsidR="0086588B" w:rsidRPr="00D520A0">
        <w:rPr>
          <w:lang w:val="en-GB"/>
        </w:rPr>
        <w:t xml:space="preserve">at ICH </w:t>
      </w:r>
      <w:r w:rsidR="007B0C28" w:rsidRPr="00D520A0">
        <w:rPr>
          <w:lang w:val="en-GB"/>
        </w:rPr>
        <w:t xml:space="preserve">is </w:t>
      </w:r>
      <w:r w:rsidRPr="00D520A0">
        <w:rPr>
          <w:lang w:val="en-GB"/>
        </w:rPr>
        <w:t>living heritage</w:t>
      </w:r>
      <w:r w:rsidR="00E417D8" w:rsidRPr="00D520A0">
        <w:rPr>
          <w:lang w:val="en-GB"/>
        </w:rPr>
        <w:t>, changing over time</w:t>
      </w:r>
      <w:r w:rsidRPr="00D520A0">
        <w:rPr>
          <w:lang w:val="en-GB"/>
        </w:rPr>
        <w:t xml:space="preserve">; </w:t>
      </w:r>
      <w:r w:rsidR="00064CEF" w:rsidRPr="00D520A0">
        <w:rPr>
          <w:lang w:val="en-GB"/>
        </w:rPr>
        <w:t xml:space="preserve">it </w:t>
      </w:r>
      <w:r w:rsidRPr="00D520A0">
        <w:rPr>
          <w:lang w:val="en-GB"/>
        </w:rPr>
        <w:t>carr</w:t>
      </w:r>
      <w:r w:rsidR="00064CEF" w:rsidRPr="00D520A0">
        <w:rPr>
          <w:lang w:val="en-GB"/>
        </w:rPr>
        <w:t>ies</w:t>
      </w:r>
      <w:r w:rsidRPr="00D520A0">
        <w:rPr>
          <w:lang w:val="en-GB"/>
        </w:rPr>
        <w:t xml:space="preserve"> a group’s identity and values </w:t>
      </w:r>
      <w:r w:rsidR="00554077" w:rsidRPr="00D520A0">
        <w:rPr>
          <w:lang w:val="en-GB"/>
        </w:rPr>
        <w:t>and giv</w:t>
      </w:r>
      <w:r w:rsidR="00064CEF" w:rsidRPr="00D520A0">
        <w:rPr>
          <w:lang w:val="en-GB"/>
        </w:rPr>
        <w:t>es</w:t>
      </w:r>
      <w:r w:rsidRPr="00D520A0">
        <w:rPr>
          <w:lang w:val="en-GB"/>
        </w:rPr>
        <w:t xml:space="preserve"> them a sense of continuity and identity. ICH elements have a history of practice and significance but</w:t>
      </w:r>
      <w:r w:rsidR="00064CEF" w:rsidRPr="00D520A0">
        <w:rPr>
          <w:lang w:val="en-GB"/>
        </w:rPr>
        <w:t>,</w:t>
      </w:r>
      <w:r w:rsidRPr="00D520A0">
        <w:rPr>
          <w:lang w:val="en-GB"/>
        </w:rPr>
        <w:t xml:space="preserve"> most importantly</w:t>
      </w:r>
      <w:r w:rsidR="00064CEF" w:rsidRPr="00D520A0">
        <w:rPr>
          <w:lang w:val="en-GB"/>
        </w:rPr>
        <w:t>,</w:t>
      </w:r>
      <w:r w:rsidRPr="00D520A0">
        <w:rPr>
          <w:lang w:val="en-GB"/>
        </w:rPr>
        <w:t xml:space="preserve"> they have a current </w:t>
      </w:r>
      <w:r w:rsidR="00554077" w:rsidRPr="00D520A0">
        <w:rPr>
          <w:lang w:val="en-GB"/>
        </w:rPr>
        <w:t>relevance (</w:t>
      </w:r>
      <w:r w:rsidRPr="00D520A0">
        <w:rPr>
          <w:lang w:val="en-GB"/>
        </w:rPr>
        <w:t>function</w:t>
      </w:r>
      <w:r w:rsidR="00554077" w:rsidRPr="00D520A0">
        <w:rPr>
          <w:lang w:val="en-GB"/>
        </w:rPr>
        <w:t>, value</w:t>
      </w:r>
      <w:r w:rsidRPr="00D520A0">
        <w:rPr>
          <w:lang w:val="en-GB"/>
        </w:rPr>
        <w:t xml:space="preserve"> and meaning</w:t>
      </w:r>
      <w:r w:rsidR="00554077" w:rsidRPr="00D520A0">
        <w:rPr>
          <w:lang w:val="en-GB"/>
        </w:rPr>
        <w:t>)</w:t>
      </w:r>
      <w:r w:rsidRPr="00D520A0">
        <w:rPr>
          <w:lang w:val="en-GB"/>
        </w:rPr>
        <w:t xml:space="preserve"> </w:t>
      </w:r>
      <w:r w:rsidR="00064CEF" w:rsidRPr="00D520A0">
        <w:rPr>
          <w:lang w:val="en-GB"/>
        </w:rPr>
        <w:t xml:space="preserve">for </w:t>
      </w:r>
      <w:r w:rsidRPr="00D520A0">
        <w:rPr>
          <w:lang w:val="en-GB"/>
        </w:rPr>
        <w:t>the people who practi</w:t>
      </w:r>
      <w:r w:rsidR="00064CEF" w:rsidRPr="00D520A0">
        <w:rPr>
          <w:lang w:val="en-GB"/>
        </w:rPr>
        <w:t>s</w:t>
      </w:r>
      <w:r w:rsidRPr="00D520A0">
        <w:rPr>
          <w:lang w:val="en-GB"/>
        </w:rPr>
        <w:t xml:space="preserve">e them. </w:t>
      </w:r>
      <w:r w:rsidR="00554077" w:rsidRPr="00D520A0">
        <w:rPr>
          <w:lang w:val="en-GB"/>
        </w:rPr>
        <w:t xml:space="preserve">This may not be easy to identify as people within a community may hold different views on this relevance. </w:t>
      </w:r>
      <w:r w:rsidR="007B0C28" w:rsidRPr="00D520A0">
        <w:rPr>
          <w:lang w:val="en-GB"/>
        </w:rPr>
        <w:t>Establishing canonical, ‘authentic’ or ‘better’ versions of these practices is not in the spirit of the Convention.</w:t>
      </w:r>
    </w:p>
    <w:p w14:paraId="77F6D786" w14:textId="1571CE90" w:rsidR="00C82BA2" w:rsidRPr="00D520A0" w:rsidRDefault="00554077" w:rsidP="009909DD">
      <w:pPr>
        <w:pStyle w:val="Texte1"/>
        <w:rPr>
          <w:lang w:val="en-GB"/>
        </w:rPr>
      </w:pPr>
      <w:r w:rsidRPr="00D520A0">
        <w:rPr>
          <w:lang w:val="en-GB"/>
        </w:rPr>
        <w:lastRenderedPageBreak/>
        <w:t xml:space="preserve">The safeguarding of </w:t>
      </w:r>
      <w:r w:rsidR="00C82BA2" w:rsidRPr="00D520A0">
        <w:rPr>
          <w:lang w:val="en-GB"/>
        </w:rPr>
        <w:t xml:space="preserve">ICH contributes greatly to </w:t>
      </w:r>
      <w:r w:rsidRPr="00D520A0">
        <w:rPr>
          <w:lang w:val="en-GB"/>
        </w:rPr>
        <w:t xml:space="preserve">the maintenance of </w:t>
      </w:r>
      <w:r w:rsidR="00C82BA2" w:rsidRPr="00D520A0">
        <w:rPr>
          <w:lang w:val="en-GB"/>
        </w:rPr>
        <w:t>cultural diversity</w:t>
      </w:r>
      <w:r w:rsidRPr="00D520A0">
        <w:rPr>
          <w:lang w:val="en-GB"/>
        </w:rPr>
        <w:t>, and</w:t>
      </w:r>
      <w:r w:rsidR="00C82BA2" w:rsidRPr="00D520A0">
        <w:rPr>
          <w:lang w:val="en-GB"/>
        </w:rPr>
        <w:t xml:space="preserve"> its enormous variety and ever-changing forms and functions are testimony to human creativity.</w:t>
      </w:r>
    </w:p>
    <w:p w14:paraId="53B73726" w14:textId="3D9879A8" w:rsidR="009253E1" w:rsidRPr="00D520A0" w:rsidRDefault="004C284A" w:rsidP="004936EF">
      <w:pPr>
        <w:pStyle w:val="Heading6"/>
        <w:rPr>
          <w:lang w:val="en-GB"/>
        </w:rPr>
      </w:pPr>
      <w:r w:rsidRPr="00D520A0">
        <w:rPr>
          <w:lang w:val="en-GB"/>
        </w:rPr>
        <w:t>Slide 9</w:t>
      </w:r>
      <w:r w:rsidR="009253E1" w:rsidRPr="00D520A0">
        <w:rPr>
          <w:lang w:val="en-GB"/>
        </w:rPr>
        <w:t>.</w:t>
      </w:r>
    </w:p>
    <w:p w14:paraId="36CB963B" w14:textId="77777777" w:rsidR="004C284A" w:rsidRPr="00D520A0" w:rsidRDefault="004C284A" w:rsidP="004936EF">
      <w:pPr>
        <w:pStyle w:val="diapo2"/>
        <w:rPr>
          <w:lang w:val="en-GB"/>
        </w:rPr>
      </w:pPr>
      <w:r w:rsidRPr="00D520A0">
        <w:rPr>
          <w:lang w:val="en-GB"/>
        </w:rPr>
        <w:t xml:space="preserve">The Convention’s definition of </w:t>
      </w:r>
      <w:r w:rsidR="00C16EEF" w:rsidRPr="00D520A0">
        <w:rPr>
          <w:lang w:val="en-GB"/>
        </w:rPr>
        <w:t>i</w:t>
      </w:r>
      <w:r w:rsidRPr="00D520A0">
        <w:rPr>
          <w:lang w:val="en-GB"/>
        </w:rPr>
        <w:t xml:space="preserve">ntangible heritage </w:t>
      </w:r>
      <w:r w:rsidR="00064CEF" w:rsidRPr="00D520A0">
        <w:rPr>
          <w:lang w:val="en-GB"/>
        </w:rPr>
        <w:t>(</w:t>
      </w:r>
      <w:r w:rsidRPr="00D520A0">
        <w:rPr>
          <w:lang w:val="en-GB"/>
        </w:rPr>
        <w:t>3</w:t>
      </w:r>
      <w:r w:rsidR="00064CEF" w:rsidRPr="00D520A0">
        <w:rPr>
          <w:lang w:val="en-GB"/>
        </w:rPr>
        <w:t>)</w:t>
      </w:r>
    </w:p>
    <w:p w14:paraId="7CACF11D" w14:textId="77777777" w:rsidR="005434DB" w:rsidRPr="00D520A0" w:rsidRDefault="005434DB" w:rsidP="005434DB">
      <w:pPr>
        <w:pStyle w:val="Informations0"/>
        <w:rPr>
          <w:iCs/>
          <w:lang w:val="en-GB"/>
        </w:rPr>
      </w:pPr>
      <w:r w:rsidRPr="00D520A0">
        <w:rPr>
          <w:i w:val="0"/>
          <w:iCs/>
          <w:noProof/>
          <w:lang w:eastAsia="zh-TW"/>
        </w:rPr>
        <w:drawing>
          <wp:anchor distT="0" distB="0" distL="114300" distR="114300" simplePos="0" relativeHeight="251668992" behindDoc="0" locked="1" layoutInCell="1" allowOverlap="0" wp14:anchorId="11AAEECF" wp14:editId="66301896">
            <wp:simplePos x="0" y="0"/>
            <wp:positionH relativeFrom="column">
              <wp:posOffset>206375</wp:posOffset>
            </wp:positionH>
            <wp:positionV relativeFrom="paragraph">
              <wp:posOffset>-4445</wp:posOffset>
            </wp:positionV>
            <wp:extent cx="282575" cy="357505"/>
            <wp:effectExtent l="0" t="0" r="3175" b="4445"/>
            <wp:wrapThrough wrapText="bothSides">
              <wp:wrapPolygon edited="0">
                <wp:start x="0" y="0"/>
                <wp:lineTo x="0" y="20718"/>
                <wp:lineTo x="20387" y="20718"/>
                <wp:lineTo x="20387" y="0"/>
                <wp:lineTo x="0" y="0"/>
              </wp:wrapPolygon>
            </wp:wrapThrough>
            <wp:docPr id="14"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D520A0">
        <w:rPr>
          <w:i w:val="0"/>
          <w:iCs/>
          <w:lang w:val="en-GB"/>
        </w:rPr>
        <w:t>Refer to: Participant’s text Unit 1.4; Unit 3: ‘Intangible cultural heritage’ and ‘Sustainable development’; and ODs 170-197.</w:t>
      </w:r>
    </w:p>
    <w:p w14:paraId="4D57EEFF" w14:textId="74557AC7" w:rsidR="0003090D" w:rsidRPr="00D520A0" w:rsidRDefault="005434DB" w:rsidP="004936EF">
      <w:pPr>
        <w:pStyle w:val="Soustitre"/>
        <w:rPr>
          <w:caps/>
          <w:lang w:val="en-GB"/>
        </w:rPr>
      </w:pPr>
      <w:bookmarkStart w:id="16" w:name="_Toc238982208"/>
      <w:r w:rsidRPr="00D520A0">
        <w:rPr>
          <w:lang w:val="en-GB"/>
        </w:rPr>
        <w:t>S</w:t>
      </w:r>
      <w:r w:rsidR="0003090D" w:rsidRPr="00D520A0">
        <w:rPr>
          <w:lang w:val="en-GB"/>
        </w:rPr>
        <w:t>ustainable development, human rights and mutual respect</w:t>
      </w:r>
      <w:bookmarkEnd w:id="16"/>
    </w:p>
    <w:p w14:paraId="41789B28" w14:textId="17A3E700" w:rsidR="007B6893" w:rsidRPr="00D520A0" w:rsidRDefault="00553C85" w:rsidP="009909DD">
      <w:pPr>
        <w:pStyle w:val="Texte1"/>
        <w:rPr>
          <w:lang w:val="en-GB"/>
        </w:rPr>
      </w:pPr>
      <w:r w:rsidRPr="00D520A0">
        <w:rPr>
          <w:lang w:val="en-GB"/>
        </w:rPr>
        <w:t xml:space="preserve">ICH profoundly affects communities and plays a role in relations </w:t>
      </w:r>
      <w:r w:rsidR="00951C33" w:rsidRPr="00D520A0">
        <w:rPr>
          <w:lang w:val="en-GB"/>
        </w:rPr>
        <w:t xml:space="preserve">within and </w:t>
      </w:r>
      <w:r w:rsidRPr="00D520A0">
        <w:rPr>
          <w:lang w:val="en-GB"/>
        </w:rPr>
        <w:t xml:space="preserve">between </w:t>
      </w:r>
      <w:r w:rsidR="007B6893" w:rsidRPr="00D520A0">
        <w:rPr>
          <w:lang w:val="en-GB"/>
        </w:rPr>
        <w:t>them</w:t>
      </w:r>
      <w:r w:rsidRPr="00D520A0">
        <w:rPr>
          <w:lang w:val="en-GB"/>
        </w:rPr>
        <w:t>; it may also affect the environment, and vice versa, so it</w:t>
      </w:r>
      <w:r w:rsidR="006B4335" w:rsidRPr="00D520A0">
        <w:rPr>
          <w:lang w:val="en-GB"/>
        </w:rPr>
        <w:t xml:space="preserve"> i</w:t>
      </w:r>
      <w:r w:rsidRPr="00D520A0">
        <w:rPr>
          <w:lang w:val="en-GB"/>
        </w:rPr>
        <w:t xml:space="preserve">s important to </w:t>
      </w:r>
      <w:r w:rsidR="006B4335" w:rsidRPr="00D520A0">
        <w:rPr>
          <w:lang w:val="en-GB"/>
        </w:rPr>
        <w:t>examine</w:t>
      </w:r>
      <w:r w:rsidRPr="00D520A0">
        <w:rPr>
          <w:lang w:val="en-GB"/>
        </w:rPr>
        <w:t xml:space="preserve"> the quality and consequences of these interactions. In the </w:t>
      </w:r>
      <w:r w:rsidR="006B4335" w:rsidRPr="00D520A0">
        <w:rPr>
          <w:lang w:val="en-GB"/>
        </w:rPr>
        <w:t>P</w:t>
      </w:r>
      <w:r w:rsidRPr="00D520A0">
        <w:rPr>
          <w:lang w:val="en-GB"/>
        </w:rPr>
        <w:t>reamble of the Convention</w:t>
      </w:r>
      <w:r w:rsidR="006B4335" w:rsidRPr="00D520A0">
        <w:rPr>
          <w:lang w:val="en-GB"/>
        </w:rPr>
        <w:t>,</w:t>
      </w:r>
      <w:r w:rsidRPr="00D520A0">
        <w:rPr>
          <w:lang w:val="en-GB"/>
        </w:rPr>
        <w:t xml:space="preserve"> intolerance is mentioned as one of the factors that </w:t>
      </w:r>
      <w:r w:rsidR="006B4335" w:rsidRPr="00D520A0">
        <w:rPr>
          <w:lang w:val="en-GB"/>
        </w:rPr>
        <w:t xml:space="preserve">might </w:t>
      </w:r>
      <w:r w:rsidRPr="00D520A0">
        <w:rPr>
          <w:lang w:val="en-GB"/>
        </w:rPr>
        <w:t xml:space="preserve">endanger ICH. Participants can probably think of examples in which there is </w:t>
      </w:r>
      <w:r w:rsidR="002553A4" w:rsidRPr="00D520A0">
        <w:rPr>
          <w:lang w:val="en-GB"/>
        </w:rPr>
        <w:t>a lack of</w:t>
      </w:r>
      <w:r w:rsidRPr="00D520A0">
        <w:rPr>
          <w:lang w:val="en-GB"/>
        </w:rPr>
        <w:t xml:space="preserve"> respect for another group’s ICH, or where</w:t>
      </w:r>
      <w:r w:rsidR="005434DB" w:rsidRPr="00D520A0">
        <w:rPr>
          <w:lang w:val="en-GB"/>
        </w:rPr>
        <w:t xml:space="preserve"> an</w:t>
      </w:r>
      <w:r w:rsidRPr="00D520A0">
        <w:rPr>
          <w:lang w:val="en-GB"/>
        </w:rPr>
        <w:t xml:space="preserve"> ICH practice complicates relationships between different communities. So it is not surprising that </w:t>
      </w:r>
      <w:r w:rsidR="00442E1A" w:rsidRPr="00D520A0">
        <w:rPr>
          <w:lang w:val="en-GB"/>
        </w:rPr>
        <w:t>Article </w:t>
      </w:r>
      <w:r w:rsidR="006B4335" w:rsidRPr="00D520A0">
        <w:rPr>
          <w:lang w:val="en-GB"/>
        </w:rPr>
        <w:t xml:space="preserve">2.1 </w:t>
      </w:r>
      <w:r w:rsidRPr="00D520A0">
        <w:rPr>
          <w:lang w:val="en-GB"/>
        </w:rPr>
        <w:t>states that</w:t>
      </w:r>
      <w:r w:rsidR="007B6893" w:rsidRPr="00D520A0">
        <w:rPr>
          <w:lang w:val="en-GB"/>
        </w:rPr>
        <w:t>,</w:t>
      </w:r>
      <w:r w:rsidRPr="00D520A0">
        <w:rPr>
          <w:lang w:val="en-GB"/>
        </w:rPr>
        <w:t xml:space="preserve"> under the Convention, ICH can only be taken into account when it</w:t>
      </w:r>
      <w:r w:rsidR="00B729FD" w:rsidRPr="00D520A0">
        <w:rPr>
          <w:lang w:val="en-GB"/>
        </w:rPr>
        <w:t xml:space="preserve"> is</w:t>
      </w:r>
      <w:r w:rsidR="007B6893" w:rsidRPr="00D520A0">
        <w:rPr>
          <w:lang w:val="en-GB"/>
        </w:rPr>
        <w:t>:</w:t>
      </w:r>
    </w:p>
    <w:p w14:paraId="4AE5244C" w14:textId="77777777" w:rsidR="00553C85" w:rsidRPr="00D520A0" w:rsidRDefault="00B729FD" w:rsidP="004936EF">
      <w:pPr>
        <w:pStyle w:val="citation"/>
        <w:rPr>
          <w:lang w:val="en-GB"/>
        </w:rPr>
      </w:pPr>
      <w:r w:rsidRPr="00D520A0">
        <w:rPr>
          <w:lang w:val="en-GB"/>
        </w:rPr>
        <w:t>compatible with</w:t>
      </w:r>
      <w:r w:rsidR="00553C85" w:rsidRPr="00D520A0">
        <w:rPr>
          <w:lang w:val="en-GB"/>
        </w:rPr>
        <w:t xml:space="preserve"> existing international human rights instruments, </w:t>
      </w:r>
      <w:r w:rsidR="007B6893" w:rsidRPr="00D520A0">
        <w:rPr>
          <w:lang w:val="en-GB"/>
        </w:rPr>
        <w:t xml:space="preserve">as well as with </w:t>
      </w:r>
      <w:r w:rsidR="00554077" w:rsidRPr="00D520A0">
        <w:rPr>
          <w:lang w:val="en-GB"/>
        </w:rPr>
        <w:t xml:space="preserve">the requirements of </w:t>
      </w:r>
      <w:r w:rsidR="00553C85" w:rsidRPr="00D520A0">
        <w:rPr>
          <w:lang w:val="en-GB"/>
        </w:rPr>
        <w:t xml:space="preserve">mutual respect </w:t>
      </w:r>
      <w:r w:rsidR="007B6893" w:rsidRPr="00D520A0">
        <w:rPr>
          <w:lang w:val="en-GB"/>
        </w:rPr>
        <w:t xml:space="preserve">among </w:t>
      </w:r>
      <w:r w:rsidR="00553C85" w:rsidRPr="00D520A0">
        <w:rPr>
          <w:lang w:val="en-GB"/>
        </w:rPr>
        <w:t>communities, groups and individuals</w:t>
      </w:r>
      <w:r w:rsidR="007B6893" w:rsidRPr="00D520A0">
        <w:rPr>
          <w:lang w:val="en-GB"/>
        </w:rPr>
        <w:t>, and of sustainable development</w:t>
      </w:r>
      <w:r w:rsidR="00553C85" w:rsidRPr="00D520A0">
        <w:rPr>
          <w:lang w:val="en-GB"/>
        </w:rPr>
        <w:t>.</w:t>
      </w:r>
    </w:p>
    <w:p w14:paraId="53AE5E7C" w14:textId="66D73BBF" w:rsidR="00944473" w:rsidRPr="00D520A0" w:rsidRDefault="0028620A" w:rsidP="009909DD">
      <w:pPr>
        <w:pStyle w:val="Texte1"/>
        <w:rPr>
          <w:lang w:val="en-GB"/>
        </w:rPr>
      </w:pPr>
      <w:r w:rsidRPr="00D520A0">
        <w:rPr>
          <w:lang w:val="en-GB"/>
        </w:rPr>
        <w:t>E</w:t>
      </w:r>
      <w:r w:rsidR="00944473" w:rsidRPr="00D520A0">
        <w:rPr>
          <w:lang w:val="en-GB"/>
        </w:rPr>
        <w:t>lements of ICH that refer to actual or past conflicts between groups or communities should not be inscribed on the Lists of the Convention or otherwise be taken into account in the implementation of the Convention on the international level.</w:t>
      </w:r>
    </w:p>
    <w:p w14:paraId="636BA3F2" w14:textId="4D026E48" w:rsidR="00553C85" w:rsidRPr="00D520A0" w:rsidRDefault="00553C85">
      <w:pPr>
        <w:pStyle w:val="Texte1"/>
        <w:rPr>
          <w:lang w:val="en-GB"/>
        </w:rPr>
      </w:pPr>
      <w:r w:rsidRPr="00D520A0">
        <w:rPr>
          <w:lang w:val="en-GB"/>
        </w:rPr>
        <w:t xml:space="preserve">The Convention’s definition of ICH mentions ‘the requirements of sustainable development’. </w:t>
      </w:r>
      <w:r w:rsidR="00625F22" w:rsidRPr="00D520A0">
        <w:rPr>
          <w:lang w:val="en-GB"/>
        </w:rPr>
        <w:t xml:space="preserve">Many ICH practices and </w:t>
      </w:r>
      <w:r w:rsidR="00E9009F" w:rsidRPr="00D520A0">
        <w:rPr>
          <w:lang w:val="en-GB"/>
        </w:rPr>
        <w:t xml:space="preserve">forms of </w:t>
      </w:r>
      <w:r w:rsidR="00625F22" w:rsidRPr="00D520A0">
        <w:rPr>
          <w:lang w:val="en-GB"/>
        </w:rPr>
        <w:t>knowledge contribute to the development of education, agriculture, social relationships</w:t>
      </w:r>
      <w:r w:rsidR="00625F22" w:rsidRPr="00CE3BD3">
        <w:rPr>
          <w:lang w:val="en-GB"/>
        </w:rPr>
        <w:t xml:space="preserve">, </w:t>
      </w:r>
      <w:r w:rsidR="007F67D8" w:rsidRPr="00CE3BD3">
        <w:rPr>
          <w:lang w:val="en-GB"/>
        </w:rPr>
        <w:t>elimination of gender-based discrimination</w:t>
      </w:r>
      <w:r w:rsidR="00C408D9" w:rsidRPr="00CE3BD3">
        <w:rPr>
          <w:lang w:val="en-GB"/>
        </w:rPr>
        <w:t xml:space="preserve">, </w:t>
      </w:r>
      <w:r w:rsidR="00625F22" w:rsidRPr="00CE3BD3">
        <w:rPr>
          <w:lang w:val="en-GB"/>
        </w:rPr>
        <w:t xml:space="preserve">environmental sustainability and income generation within a community or a </w:t>
      </w:r>
      <w:r w:rsidR="006B4335" w:rsidRPr="00CE3BD3">
        <w:rPr>
          <w:lang w:val="en-GB"/>
        </w:rPr>
        <w:t>State</w:t>
      </w:r>
      <w:r w:rsidR="00625F22" w:rsidRPr="00CE3BD3">
        <w:rPr>
          <w:lang w:val="en-GB"/>
        </w:rPr>
        <w:t>. But p</w:t>
      </w:r>
      <w:r w:rsidRPr="00CE3BD3">
        <w:rPr>
          <w:lang w:val="en-GB"/>
        </w:rPr>
        <w:t>ractices and expressions that hinder sustainable development</w:t>
      </w:r>
      <w:r w:rsidR="006B4335" w:rsidRPr="00CE3BD3">
        <w:rPr>
          <w:lang w:val="en-GB"/>
        </w:rPr>
        <w:t xml:space="preserve"> –</w:t>
      </w:r>
      <w:r w:rsidRPr="00CE3BD3">
        <w:rPr>
          <w:lang w:val="en-GB"/>
        </w:rPr>
        <w:t xml:space="preserve"> for </w:t>
      </w:r>
      <w:r w:rsidR="006B4335" w:rsidRPr="00CE3BD3">
        <w:rPr>
          <w:lang w:val="en-GB"/>
        </w:rPr>
        <w:t xml:space="preserve">example, </w:t>
      </w:r>
      <w:r w:rsidRPr="00CE3BD3">
        <w:rPr>
          <w:lang w:val="en-GB"/>
        </w:rPr>
        <w:t xml:space="preserve">by </w:t>
      </w:r>
      <w:r w:rsidR="00C408D9" w:rsidRPr="00CE3BD3">
        <w:rPr>
          <w:lang w:val="en-GB"/>
        </w:rPr>
        <w:t xml:space="preserve">exhausting natural resources, </w:t>
      </w:r>
      <w:r w:rsidRPr="00CE3BD3">
        <w:rPr>
          <w:lang w:val="en-GB"/>
        </w:rPr>
        <w:t>by impairing the socio-economic development of the group concerned</w:t>
      </w:r>
      <w:r w:rsidR="007F67D8" w:rsidRPr="00CE3BD3">
        <w:rPr>
          <w:lang w:val="en-GB"/>
        </w:rPr>
        <w:t xml:space="preserve">, or by denying the dignity and </w:t>
      </w:r>
      <w:r w:rsidR="00D520A0" w:rsidRPr="00CE3BD3">
        <w:rPr>
          <w:lang w:val="en-GB"/>
        </w:rPr>
        <w:t>well-being</w:t>
      </w:r>
      <w:r w:rsidR="007F67D8" w:rsidRPr="00CE3BD3">
        <w:rPr>
          <w:lang w:val="en-GB"/>
        </w:rPr>
        <w:t xml:space="preserve"> of those involved</w:t>
      </w:r>
      <w:r w:rsidR="00B546FD" w:rsidRPr="00CE3BD3">
        <w:rPr>
          <w:lang w:val="en-GB"/>
        </w:rPr>
        <w:t xml:space="preserve"> </w:t>
      </w:r>
      <w:r w:rsidR="006B4335" w:rsidRPr="00D520A0">
        <w:rPr>
          <w:lang w:val="en-GB"/>
        </w:rPr>
        <w:t>–</w:t>
      </w:r>
      <w:r w:rsidRPr="00D520A0">
        <w:rPr>
          <w:lang w:val="en-GB"/>
        </w:rPr>
        <w:t xml:space="preserve"> </w:t>
      </w:r>
      <w:r w:rsidR="00296B15" w:rsidRPr="00D520A0">
        <w:rPr>
          <w:lang w:val="en-GB"/>
        </w:rPr>
        <w:t>will</w:t>
      </w:r>
      <w:r w:rsidRPr="00D520A0">
        <w:rPr>
          <w:lang w:val="en-GB"/>
        </w:rPr>
        <w:t xml:space="preserve"> not</w:t>
      </w:r>
      <w:r w:rsidR="00296B15" w:rsidRPr="00D520A0">
        <w:rPr>
          <w:lang w:val="en-GB"/>
        </w:rPr>
        <w:t xml:space="preserve"> be</w:t>
      </w:r>
      <w:r w:rsidRPr="00D520A0">
        <w:rPr>
          <w:lang w:val="en-GB"/>
        </w:rPr>
        <w:t xml:space="preserve"> </w:t>
      </w:r>
      <w:r w:rsidR="00296B15" w:rsidRPr="00D520A0">
        <w:rPr>
          <w:lang w:val="en-GB"/>
        </w:rPr>
        <w:t>taken into account in the implementation of</w:t>
      </w:r>
      <w:r w:rsidRPr="00D520A0">
        <w:rPr>
          <w:lang w:val="en-GB"/>
        </w:rPr>
        <w:t xml:space="preserve"> th</w:t>
      </w:r>
      <w:r w:rsidR="00E9009F" w:rsidRPr="00D520A0">
        <w:rPr>
          <w:lang w:val="en-GB"/>
        </w:rPr>
        <w:t>e</w:t>
      </w:r>
      <w:r w:rsidRPr="00D520A0">
        <w:rPr>
          <w:lang w:val="en-GB"/>
        </w:rPr>
        <w:t xml:space="preserve"> Convention</w:t>
      </w:r>
      <w:r w:rsidR="00296B15" w:rsidRPr="00D520A0">
        <w:rPr>
          <w:lang w:val="en-GB"/>
        </w:rPr>
        <w:t xml:space="preserve"> </w:t>
      </w:r>
      <w:r w:rsidR="0028620A" w:rsidRPr="00D520A0">
        <w:rPr>
          <w:lang w:val="en-GB"/>
        </w:rPr>
        <w:t xml:space="preserve">at </w:t>
      </w:r>
      <w:r w:rsidR="00296B15" w:rsidRPr="00D520A0">
        <w:rPr>
          <w:lang w:val="en-GB"/>
        </w:rPr>
        <w:t>the international level</w:t>
      </w:r>
      <w:r w:rsidRPr="00D520A0">
        <w:rPr>
          <w:lang w:val="en-GB"/>
        </w:rPr>
        <w:t>.</w:t>
      </w:r>
    </w:p>
    <w:p w14:paraId="6855AEBF" w14:textId="0444212A" w:rsidR="00076E47" w:rsidRPr="00D520A0" w:rsidRDefault="003A4578" w:rsidP="00D520A0">
      <w:pPr>
        <w:pStyle w:val="Informations0"/>
        <w:rPr>
          <w:iCs/>
          <w:lang w:val="en-GB"/>
        </w:rPr>
      </w:pPr>
      <w:r w:rsidRPr="00D520A0">
        <w:rPr>
          <w:i w:val="0"/>
          <w:iCs/>
          <w:noProof/>
          <w:lang w:eastAsia="zh-TW"/>
        </w:rPr>
        <w:drawing>
          <wp:anchor distT="0" distB="0" distL="114300" distR="114300" simplePos="0" relativeHeight="251648512" behindDoc="0" locked="1" layoutInCell="1" allowOverlap="0" wp14:anchorId="629114E0" wp14:editId="5E2C140C">
            <wp:simplePos x="0" y="0"/>
            <wp:positionH relativeFrom="column">
              <wp:posOffset>0</wp:posOffset>
            </wp:positionH>
            <wp:positionV relativeFrom="paragraph">
              <wp:posOffset>-72390</wp:posOffset>
            </wp:positionV>
            <wp:extent cx="282575" cy="357505"/>
            <wp:effectExtent l="0" t="0" r="0" b="0"/>
            <wp:wrapThrough wrapText="bothSides">
              <wp:wrapPolygon edited="0">
                <wp:start x="0" y="0"/>
                <wp:lineTo x="0" y="19950"/>
                <wp:lineTo x="19416" y="19950"/>
                <wp:lineTo x="19416" y="0"/>
                <wp:lineTo x="0" y="0"/>
              </wp:wrapPolygon>
            </wp:wrapThrough>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944473" w:rsidRPr="00D520A0">
        <w:rPr>
          <w:i w:val="0"/>
          <w:iCs/>
          <w:lang w:val="en-GB"/>
        </w:rPr>
        <w:t xml:space="preserve">Refer to </w:t>
      </w:r>
      <w:r w:rsidR="00F02D08" w:rsidRPr="00D520A0">
        <w:rPr>
          <w:i w:val="0"/>
          <w:iCs/>
          <w:lang w:val="en-GB"/>
        </w:rPr>
        <w:t>Participant’s</w:t>
      </w:r>
      <w:r w:rsidR="002A3923" w:rsidRPr="00D520A0">
        <w:rPr>
          <w:i w:val="0"/>
          <w:iCs/>
          <w:lang w:val="en-GB"/>
        </w:rPr>
        <w:t xml:space="preserve"> text </w:t>
      </w:r>
      <w:r w:rsidR="004D3759" w:rsidRPr="00D520A0">
        <w:rPr>
          <w:i w:val="0"/>
          <w:iCs/>
          <w:lang w:val="en-GB"/>
        </w:rPr>
        <w:t>Unit 3</w:t>
      </w:r>
      <w:r w:rsidR="0022649B" w:rsidRPr="00D520A0">
        <w:rPr>
          <w:i w:val="0"/>
          <w:iCs/>
          <w:lang w:val="en-GB"/>
        </w:rPr>
        <w:t>: ‘Sustainability’</w:t>
      </w:r>
      <w:r w:rsidR="00076E47" w:rsidRPr="00D520A0">
        <w:rPr>
          <w:i w:val="0"/>
          <w:iCs/>
          <w:lang w:val="en-GB"/>
        </w:rPr>
        <w:t xml:space="preserve"> and Unit 8</w:t>
      </w:r>
      <w:r w:rsidR="00E1206A" w:rsidRPr="00D520A0">
        <w:rPr>
          <w:i w:val="0"/>
          <w:iCs/>
          <w:lang w:val="en-GB"/>
        </w:rPr>
        <w:t>.</w:t>
      </w:r>
      <w:r w:rsidR="00076E47" w:rsidRPr="00D520A0">
        <w:rPr>
          <w:i w:val="0"/>
          <w:iCs/>
          <w:lang w:val="en-GB"/>
        </w:rPr>
        <w:t xml:space="preserve"> </w:t>
      </w:r>
    </w:p>
    <w:p w14:paraId="6BDE2E20" w14:textId="60EE3C7E" w:rsidR="00042C43" w:rsidRPr="00D520A0" w:rsidRDefault="00625F22" w:rsidP="009909DD">
      <w:pPr>
        <w:pStyle w:val="Texte1"/>
        <w:rPr>
          <w:lang w:val="en-GB"/>
        </w:rPr>
      </w:pPr>
      <w:r w:rsidRPr="00D520A0">
        <w:rPr>
          <w:szCs w:val="20"/>
          <w:lang w:val="en-GB"/>
        </w:rPr>
        <w:t xml:space="preserve">The Convention does specify some values of ICH, such as its function and importance as a provider of a ‘sense of identity and continuity’ to the communities concerned, its importance as a source of cultural diversity and creativity and its possible role in fostering respect and dialogue between communities. The Convention does not speak </w:t>
      </w:r>
      <w:r w:rsidR="00042C43" w:rsidRPr="00D520A0">
        <w:rPr>
          <w:szCs w:val="20"/>
          <w:lang w:val="en-GB"/>
        </w:rPr>
        <w:t>about aesthetic value, outstanding value or hierarchy be</w:t>
      </w:r>
      <w:r w:rsidR="00042C43" w:rsidRPr="00D520A0">
        <w:rPr>
          <w:lang w:val="en-GB"/>
        </w:rPr>
        <w:t>tween elements of ICH</w:t>
      </w:r>
      <w:r w:rsidRPr="00D520A0">
        <w:rPr>
          <w:lang w:val="en-GB"/>
        </w:rPr>
        <w:t xml:space="preserve">, however. Neither inventorying nor procedures for preparing nominations to the Lists of the Convention should degenerate into </w:t>
      </w:r>
      <w:r w:rsidR="00FC5342" w:rsidRPr="00D520A0">
        <w:rPr>
          <w:lang w:val="en-GB"/>
        </w:rPr>
        <w:t>‘</w:t>
      </w:r>
      <w:r w:rsidRPr="00D520A0">
        <w:rPr>
          <w:lang w:val="en-GB"/>
        </w:rPr>
        <w:t>beauty contests</w:t>
      </w:r>
      <w:r w:rsidR="00FC5342" w:rsidRPr="00D520A0">
        <w:rPr>
          <w:lang w:val="en-GB"/>
        </w:rPr>
        <w:t>’</w:t>
      </w:r>
      <w:r w:rsidRPr="00D520A0">
        <w:rPr>
          <w:lang w:val="en-GB"/>
        </w:rPr>
        <w:t xml:space="preserve"> or award systems. This means that t</w:t>
      </w:r>
      <w:r w:rsidR="00042C43" w:rsidRPr="00D520A0">
        <w:rPr>
          <w:lang w:val="en-GB"/>
        </w:rPr>
        <w:t xml:space="preserve">he ICH of all communities present in a </w:t>
      </w:r>
      <w:r w:rsidRPr="00D520A0">
        <w:rPr>
          <w:lang w:val="en-GB"/>
        </w:rPr>
        <w:t>State Party</w:t>
      </w:r>
      <w:r w:rsidR="00042C43" w:rsidRPr="00D520A0">
        <w:rPr>
          <w:lang w:val="en-GB"/>
        </w:rPr>
        <w:t xml:space="preserve"> should be respected and inventoried. </w:t>
      </w:r>
      <w:r w:rsidRPr="00D520A0">
        <w:rPr>
          <w:lang w:val="en-GB"/>
        </w:rPr>
        <w:t xml:space="preserve">ICH elements included in an ICH inventory prepared in a State Party that do not meet the requirements of human rights, mutual respect </w:t>
      </w:r>
      <w:r w:rsidR="005D7271" w:rsidRPr="00D520A0">
        <w:rPr>
          <w:lang w:val="en-GB"/>
        </w:rPr>
        <w:t xml:space="preserve">or </w:t>
      </w:r>
      <w:r w:rsidRPr="00D520A0">
        <w:rPr>
          <w:lang w:val="en-GB"/>
        </w:rPr>
        <w:t xml:space="preserve">sustainable development are not eligible </w:t>
      </w:r>
      <w:r w:rsidRPr="00D520A0">
        <w:rPr>
          <w:lang w:val="en-GB"/>
        </w:rPr>
        <w:lastRenderedPageBreak/>
        <w:t xml:space="preserve">for inscription on the Lists of the Convention, nor will they be taken into account in other ways in the implementation of this Convention </w:t>
      </w:r>
      <w:r w:rsidR="0028620A" w:rsidRPr="00D520A0">
        <w:rPr>
          <w:lang w:val="en-GB"/>
        </w:rPr>
        <w:t>at</w:t>
      </w:r>
      <w:r w:rsidRPr="00D520A0">
        <w:rPr>
          <w:lang w:val="en-GB"/>
        </w:rPr>
        <w:t xml:space="preserve"> the international level.</w:t>
      </w:r>
    </w:p>
    <w:p w14:paraId="459C74CA" w14:textId="762494C9" w:rsidR="003A7D37" w:rsidRPr="00D520A0" w:rsidRDefault="004C284A" w:rsidP="004936EF">
      <w:pPr>
        <w:pStyle w:val="Heading6"/>
        <w:rPr>
          <w:lang w:val="en-GB"/>
        </w:rPr>
      </w:pPr>
      <w:r w:rsidRPr="00D520A0">
        <w:rPr>
          <w:lang w:val="en-GB"/>
        </w:rPr>
        <w:t>Slide 10</w:t>
      </w:r>
      <w:r w:rsidR="003A7D37" w:rsidRPr="00D520A0">
        <w:rPr>
          <w:lang w:val="en-GB"/>
        </w:rPr>
        <w:t>.</w:t>
      </w:r>
    </w:p>
    <w:p w14:paraId="1E394A44" w14:textId="0252EEB0" w:rsidR="004C284A" w:rsidRPr="00D520A0" w:rsidRDefault="00DE44A1" w:rsidP="004936EF">
      <w:pPr>
        <w:pStyle w:val="diapo2"/>
        <w:rPr>
          <w:lang w:val="en-GB"/>
        </w:rPr>
      </w:pPr>
      <w:r w:rsidRPr="00D520A0">
        <w:rPr>
          <w:lang w:val="en-GB"/>
        </w:rPr>
        <w:t xml:space="preserve">Intangible heritage </w:t>
      </w:r>
      <w:r w:rsidR="004A647B" w:rsidRPr="00D520A0">
        <w:rPr>
          <w:lang w:val="en-GB"/>
        </w:rPr>
        <w:t>domains</w:t>
      </w:r>
    </w:p>
    <w:p w14:paraId="16E2E73A" w14:textId="58176081" w:rsidR="00635003" w:rsidRPr="00D520A0" w:rsidRDefault="005434DB" w:rsidP="00D520A0">
      <w:pPr>
        <w:pStyle w:val="Informations0"/>
        <w:rPr>
          <w:iCs/>
          <w:lang w:val="en-GB"/>
        </w:rPr>
      </w:pPr>
      <w:r w:rsidRPr="00D520A0">
        <w:rPr>
          <w:i w:val="0"/>
          <w:iCs/>
          <w:noProof/>
          <w:lang w:eastAsia="zh-TW"/>
        </w:rPr>
        <w:drawing>
          <wp:anchor distT="0" distB="0" distL="114300" distR="114300" simplePos="0" relativeHeight="251665408" behindDoc="0" locked="1" layoutInCell="1" allowOverlap="0" wp14:anchorId="13DE18A9" wp14:editId="5C09FD3B">
            <wp:simplePos x="0" y="0"/>
            <wp:positionH relativeFrom="column">
              <wp:posOffset>0</wp:posOffset>
            </wp:positionH>
            <wp:positionV relativeFrom="paragraph">
              <wp:posOffset>-34925</wp:posOffset>
            </wp:positionV>
            <wp:extent cx="282575" cy="357505"/>
            <wp:effectExtent l="0" t="0" r="0" b="0"/>
            <wp:wrapThrough wrapText="bothSides">
              <wp:wrapPolygon edited="0">
                <wp:start x="0" y="0"/>
                <wp:lineTo x="0" y="19950"/>
                <wp:lineTo x="19416" y="19950"/>
                <wp:lineTo x="19416" y="0"/>
                <wp:lineTo x="0" y="0"/>
              </wp:wrapPolygon>
            </wp:wrapThrough>
            <wp:docPr id="1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635003" w:rsidRPr="00D520A0">
        <w:rPr>
          <w:i w:val="0"/>
          <w:iCs/>
          <w:lang w:val="en-GB"/>
        </w:rPr>
        <w:t xml:space="preserve">Refer to </w:t>
      </w:r>
      <w:r w:rsidR="00F02D08" w:rsidRPr="00D520A0">
        <w:rPr>
          <w:i w:val="0"/>
          <w:iCs/>
          <w:lang w:val="en-GB"/>
        </w:rPr>
        <w:t>Participant’s</w:t>
      </w:r>
      <w:r w:rsidR="002A3923" w:rsidRPr="00D520A0">
        <w:rPr>
          <w:i w:val="0"/>
          <w:iCs/>
          <w:lang w:val="en-GB"/>
        </w:rPr>
        <w:t xml:space="preserve"> text </w:t>
      </w:r>
      <w:r w:rsidR="00D0449A" w:rsidRPr="00D520A0">
        <w:rPr>
          <w:i w:val="0"/>
          <w:iCs/>
          <w:lang w:val="en-GB"/>
        </w:rPr>
        <w:t>Unit 3</w:t>
      </w:r>
      <w:r w:rsidR="00FC5342" w:rsidRPr="00D520A0">
        <w:rPr>
          <w:i w:val="0"/>
          <w:iCs/>
          <w:lang w:val="en-GB"/>
        </w:rPr>
        <w:t>:</w:t>
      </w:r>
      <w:r w:rsidR="00635003" w:rsidRPr="00D520A0">
        <w:rPr>
          <w:i w:val="0"/>
          <w:iCs/>
          <w:lang w:val="en-GB"/>
        </w:rPr>
        <w:t xml:space="preserve"> </w:t>
      </w:r>
      <w:r w:rsidR="00FC5342" w:rsidRPr="00D520A0">
        <w:rPr>
          <w:i w:val="0"/>
          <w:iCs/>
          <w:lang w:val="en-GB"/>
        </w:rPr>
        <w:t>‘</w:t>
      </w:r>
      <w:r w:rsidR="00635003" w:rsidRPr="00D520A0">
        <w:rPr>
          <w:i w:val="0"/>
          <w:iCs/>
          <w:lang w:val="en-GB"/>
        </w:rPr>
        <w:t>Domains</w:t>
      </w:r>
      <w:r w:rsidR="00FC5342" w:rsidRPr="00D520A0">
        <w:rPr>
          <w:i w:val="0"/>
          <w:iCs/>
          <w:lang w:val="en-GB"/>
        </w:rPr>
        <w:t xml:space="preserve"> of ICH’</w:t>
      </w:r>
      <w:r w:rsidR="00635003" w:rsidRPr="00D520A0">
        <w:rPr>
          <w:i w:val="0"/>
          <w:iCs/>
          <w:lang w:val="en-GB"/>
        </w:rPr>
        <w:t>.</w:t>
      </w:r>
    </w:p>
    <w:p w14:paraId="19CD4B5A" w14:textId="0E5423F9" w:rsidR="0003090D" w:rsidRPr="00D520A0" w:rsidRDefault="005434DB" w:rsidP="004936EF">
      <w:pPr>
        <w:pStyle w:val="Soustitre"/>
        <w:rPr>
          <w:caps/>
          <w:lang w:val="en-GB"/>
        </w:rPr>
      </w:pPr>
      <w:bookmarkStart w:id="17" w:name="_Toc238982209"/>
      <w:r w:rsidRPr="00D520A0">
        <w:rPr>
          <w:lang w:val="en-GB"/>
        </w:rPr>
        <w:t>N</w:t>
      </w:r>
      <w:r w:rsidR="0003090D" w:rsidRPr="00D520A0">
        <w:rPr>
          <w:lang w:val="en-GB"/>
        </w:rPr>
        <w:t>on-exhaustive nature of the domains</w:t>
      </w:r>
      <w:bookmarkEnd w:id="17"/>
    </w:p>
    <w:p w14:paraId="73D086C5" w14:textId="28C85C51" w:rsidR="00944473" w:rsidRPr="00CE3BD3" w:rsidRDefault="00944473" w:rsidP="009909DD">
      <w:pPr>
        <w:pStyle w:val="Texte1"/>
        <w:rPr>
          <w:lang w:val="en-GB"/>
        </w:rPr>
      </w:pPr>
      <w:r w:rsidRPr="00D520A0">
        <w:rPr>
          <w:lang w:val="en-GB"/>
        </w:rPr>
        <w:t xml:space="preserve">The list of domains given in </w:t>
      </w:r>
      <w:r w:rsidR="00442E1A" w:rsidRPr="00D520A0">
        <w:rPr>
          <w:lang w:val="en-GB"/>
        </w:rPr>
        <w:t>Article </w:t>
      </w:r>
      <w:r w:rsidRPr="00D520A0">
        <w:rPr>
          <w:lang w:val="en-GB"/>
        </w:rPr>
        <w:t xml:space="preserve">2.2 is </w:t>
      </w:r>
      <w:r w:rsidR="00B30E5B" w:rsidRPr="00D520A0">
        <w:rPr>
          <w:lang w:val="en-GB"/>
        </w:rPr>
        <w:t xml:space="preserve">explicitly </w:t>
      </w:r>
      <w:r w:rsidRPr="00D520A0">
        <w:rPr>
          <w:lang w:val="en-GB"/>
        </w:rPr>
        <w:t>not exhaustive</w:t>
      </w:r>
      <w:r w:rsidR="00B30E5B" w:rsidRPr="00D520A0">
        <w:rPr>
          <w:lang w:val="en-GB"/>
        </w:rPr>
        <w:t xml:space="preserve"> (‘The ICH…is manifested…</w:t>
      </w:r>
      <w:r w:rsidR="00B30E5B" w:rsidRPr="00D520A0">
        <w:rPr>
          <w:i/>
          <w:lang w:val="en-GB"/>
        </w:rPr>
        <w:t>inter alia</w:t>
      </w:r>
      <w:r w:rsidR="00B30E5B" w:rsidRPr="00D520A0">
        <w:rPr>
          <w:lang w:val="en-GB"/>
        </w:rPr>
        <w:t xml:space="preserve"> in the following </w:t>
      </w:r>
      <w:r w:rsidR="00B30E5B" w:rsidRPr="00CE3BD3">
        <w:rPr>
          <w:lang w:val="en-GB"/>
        </w:rPr>
        <w:t>domains’</w:t>
      </w:r>
      <w:r w:rsidR="00B30E5B" w:rsidRPr="00CE3BD3">
        <w:rPr>
          <w:i/>
          <w:lang w:val="en-GB"/>
        </w:rPr>
        <w:t>)</w:t>
      </w:r>
      <w:r w:rsidRPr="00CE3BD3">
        <w:rPr>
          <w:i/>
          <w:lang w:val="en-GB"/>
        </w:rPr>
        <w:t xml:space="preserve">. </w:t>
      </w:r>
      <w:r w:rsidR="00ED540D" w:rsidRPr="00CE3BD3">
        <w:rPr>
          <w:lang w:val="en-GB"/>
        </w:rPr>
        <w:t>Since its fifth session (2010), the Committee inscribed a number of items of culinary heritage and traditional sports and games on the Representative List</w:t>
      </w:r>
      <w:r w:rsidR="00CE3BD3">
        <w:rPr>
          <w:lang w:val="en-GB"/>
        </w:rPr>
        <w:t>.</w:t>
      </w:r>
    </w:p>
    <w:p w14:paraId="21CF33EC" w14:textId="3C1B8791" w:rsidR="0003090D" w:rsidRPr="00D520A0" w:rsidRDefault="005434DB" w:rsidP="004936EF">
      <w:pPr>
        <w:pStyle w:val="Soustitre"/>
        <w:rPr>
          <w:caps/>
          <w:lang w:val="en-GB"/>
        </w:rPr>
      </w:pPr>
      <w:bookmarkStart w:id="18" w:name="_Toc238982210"/>
      <w:r w:rsidRPr="00D520A0">
        <w:rPr>
          <w:lang w:val="en-GB"/>
        </w:rPr>
        <w:t>S</w:t>
      </w:r>
      <w:r w:rsidR="0003090D" w:rsidRPr="00D520A0">
        <w:rPr>
          <w:lang w:val="en-GB"/>
        </w:rPr>
        <w:t>election of appropriate domains for an element</w:t>
      </w:r>
      <w:bookmarkEnd w:id="18"/>
    </w:p>
    <w:p w14:paraId="25079E0E" w14:textId="77777777" w:rsidR="00355534" w:rsidRPr="00D520A0" w:rsidRDefault="00355534" w:rsidP="009909DD">
      <w:pPr>
        <w:pStyle w:val="Texte1"/>
        <w:rPr>
          <w:lang w:val="en-GB"/>
        </w:rPr>
      </w:pPr>
      <w:r w:rsidRPr="00D520A0">
        <w:rPr>
          <w:lang w:val="en-GB"/>
        </w:rPr>
        <w:t xml:space="preserve">The forms that </w:t>
      </w:r>
      <w:r w:rsidR="00BA73F4" w:rsidRPr="00D520A0">
        <w:rPr>
          <w:lang w:val="en-GB"/>
        </w:rPr>
        <w:t>must</w:t>
      </w:r>
      <w:r w:rsidRPr="00D520A0">
        <w:rPr>
          <w:lang w:val="en-GB"/>
        </w:rPr>
        <w:t xml:space="preserve"> be used for submitting nominations for inscription on the Lists of the Convention ask the submitting States Parties to indicate to which domain</w:t>
      </w:r>
      <w:r w:rsidR="00BA73F4" w:rsidRPr="00D520A0">
        <w:rPr>
          <w:lang w:val="en-GB"/>
        </w:rPr>
        <w:t>(s)</w:t>
      </w:r>
      <w:r w:rsidRPr="00D520A0">
        <w:rPr>
          <w:lang w:val="en-GB"/>
        </w:rPr>
        <w:t xml:space="preserve"> (of those mentioned in the Convention) the proposed element belongs.</w:t>
      </w:r>
    </w:p>
    <w:p w14:paraId="30475734" w14:textId="56635773" w:rsidR="003A7D37" w:rsidRPr="00D520A0" w:rsidRDefault="00944473" w:rsidP="009909DD">
      <w:pPr>
        <w:pStyle w:val="Texte1"/>
        <w:rPr>
          <w:lang w:val="en-GB"/>
        </w:rPr>
      </w:pPr>
      <w:r w:rsidRPr="00D520A0">
        <w:rPr>
          <w:lang w:val="en-GB"/>
        </w:rPr>
        <w:t>E</w:t>
      </w:r>
      <w:r w:rsidR="004C284A" w:rsidRPr="00D520A0">
        <w:rPr>
          <w:lang w:val="en-GB"/>
        </w:rPr>
        <w:t xml:space="preserve">lements of </w:t>
      </w:r>
      <w:r w:rsidR="00B663DB" w:rsidRPr="00D520A0">
        <w:rPr>
          <w:lang w:val="en-GB"/>
        </w:rPr>
        <w:t>ICH</w:t>
      </w:r>
      <w:r w:rsidR="004C284A" w:rsidRPr="00D520A0">
        <w:rPr>
          <w:lang w:val="en-GB"/>
        </w:rPr>
        <w:t xml:space="preserve"> may</w:t>
      </w:r>
      <w:r w:rsidR="00064B8F" w:rsidRPr="00D520A0">
        <w:rPr>
          <w:lang w:val="en-GB"/>
        </w:rPr>
        <w:t xml:space="preserve"> </w:t>
      </w:r>
      <w:r w:rsidR="004C284A" w:rsidRPr="00D520A0">
        <w:rPr>
          <w:lang w:val="en-GB"/>
        </w:rPr>
        <w:t>and</w:t>
      </w:r>
      <w:r w:rsidR="00064B8F" w:rsidRPr="00D520A0">
        <w:rPr>
          <w:lang w:val="en-GB"/>
        </w:rPr>
        <w:t xml:space="preserve"> </w:t>
      </w:r>
      <w:r w:rsidR="004C284A" w:rsidRPr="00D520A0">
        <w:rPr>
          <w:lang w:val="en-GB"/>
        </w:rPr>
        <w:t>indeed, often do</w:t>
      </w:r>
      <w:r w:rsidR="00064B8F" w:rsidRPr="00D520A0">
        <w:rPr>
          <w:lang w:val="en-GB"/>
        </w:rPr>
        <w:t xml:space="preserve">, </w:t>
      </w:r>
      <w:r w:rsidR="004C284A" w:rsidRPr="00D520A0">
        <w:rPr>
          <w:lang w:val="en-GB"/>
        </w:rPr>
        <w:t xml:space="preserve">fall under several domains. </w:t>
      </w:r>
      <w:r w:rsidR="004B5529" w:rsidRPr="00D520A0">
        <w:rPr>
          <w:lang w:val="en-GB"/>
        </w:rPr>
        <w:t>F</w:t>
      </w:r>
      <w:r w:rsidR="004C284A" w:rsidRPr="00D520A0">
        <w:rPr>
          <w:lang w:val="en-GB"/>
        </w:rPr>
        <w:t xml:space="preserve">or example, an element like the </w:t>
      </w:r>
      <w:r w:rsidR="00BA73F4" w:rsidRPr="00D520A0">
        <w:rPr>
          <w:lang w:val="en-GB"/>
        </w:rPr>
        <w:t>T</w:t>
      </w:r>
      <w:r w:rsidR="004C284A" w:rsidRPr="00D520A0">
        <w:rPr>
          <w:lang w:val="en-GB"/>
        </w:rPr>
        <w:t xml:space="preserve">raditions and practices associated </w:t>
      </w:r>
      <w:r w:rsidR="00BA73F4" w:rsidRPr="00D520A0">
        <w:rPr>
          <w:lang w:val="en-GB"/>
        </w:rPr>
        <w:t xml:space="preserve">to </w:t>
      </w:r>
      <w:r w:rsidR="004C284A" w:rsidRPr="00D520A0">
        <w:rPr>
          <w:lang w:val="en-GB"/>
        </w:rPr>
        <w:t xml:space="preserve">the Kayas </w:t>
      </w:r>
      <w:r w:rsidR="00BA73F4" w:rsidRPr="00D520A0">
        <w:rPr>
          <w:lang w:val="en-GB"/>
        </w:rPr>
        <w:t xml:space="preserve">in the sacred forests </w:t>
      </w:r>
      <w:r w:rsidR="004C284A" w:rsidRPr="00D520A0">
        <w:rPr>
          <w:lang w:val="en-GB"/>
        </w:rPr>
        <w:t>of the Mijikenda in Kenya</w:t>
      </w:r>
      <w:r w:rsidR="000D3338" w:rsidRPr="00D520A0">
        <w:rPr>
          <w:lang w:val="en-GB"/>
        </w:rPr>
        <w:t xml:space="preserve"> (inscribed on the U</w:t>
      </w:r>
      <w:r w:rsidR="005434DB" w:rsidRPr="00D520A0">
        <w:rPr>
          <w:lang w:val="en-GB"/>
        </w:rPr>
        <w:t>rgent Safeguarding List</w:t>
      </w:r>
      <w:r w:rsidR="000D3338" w:rsidRPr="00D520A0">
        <w:rPr>
          <w:lang w:val="en-GB"/>
        </w:rPr>
        <w:t xml:space="preserve"> in 2009)</w:t>
      </w:r>
      <w:r w:rsidR="004C284A" w:rsidRPr="00D520A0">
        <w:rPr>
          <w:lang w:val="en-GB"/>
        </w:rPr>
        <w:t xml:space="preserve"> involves traditional music and dance, prayers and songs, the production of sacred ritual objects as well as ritual and ceremonial practices and an acute awareness and knowledge of the natural world.</w:t>
      </w:r>
    </w:p>
    <w:p w14:paraId="7BFFD478" w14:textId="4ECD8263" w:rsidR="007A6CAD" w:rsidRPr="00D520A0" w:rsidRDefault="009128ED" w:rsidP="004936EF">
      <w:pPr>
        <w:pStyle w:val="Informations0"/>
        <w:rPr>
          <w:i w:val="0"/>
          <w:lang w:val="en-GB"/>
        </w:rPr>
      </w:pPr>
      <w:r w:rsidRPr="00D520A0">
        <w:rPr>
          <w:i w:val="0"/>
          <w:noProof/>
          <w:lang w:eastAsia="zh-TW"/>
        </w:rPr>
        <w:drawing>
          <wp:anchor distT="0" distB="0" distL="114300" distR="114300" simplePos="0" relativeHeight="251654656" behindDoc="0" locked="1" layoutInCell="1" allowOverlap="0" wp14:anchorId="4DB3C660" wp14:editId="0644975B">
            <wp:simplePos x="0" y="0"/>
            <wp:positionH relativeFrom="column">
              <wp:posOffset>-2540</wp:posOffset>
            </wp:positionH>
            <wp:positionV relativeFrom="paragraph">
              <wp:posOffset>-22860</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774BA7" w:rsidRPr="00D520A0">
        <w:rPr>
          <w:i w:val="0"/>
          <w:lang w:val="en-GB"/>
        </w:rPr>
        <w:t>See</w:t>
      </w:r>
      <w:r w:rsidR="003A7D37" w:rsidRPr="00D520A0">
        <w:rPr>
          <w:i w:val="0"/>
          <w:lang w:val="en-GB"/>
        </w:rPr>
        <w:t xml:space="preserve">: </w:t>
      </w:r>
      <w:r w:rsidR="00345D47" w:rsidRPr="00D520A0">
        <w:rPr>
          <w:i w:val="0"/>
          <w:lang w:val="en-GB"/>
        </w:rPr>
        <w:t>http://www.unesco.org/culture/ich/index.php?lg=en&amp;pg=00011&amp;USL=00313</w:t>
      </w:r>
    </w:p>
    <w:p w14:paraId="2086EB91" w14:textId="3C1ECB24" w:rsidR="004C284A" w:rsidRPr="00D520A0" w:rsidRDefault="004C284A" w:rsidP="009909DD">
      <w:pPr>
        <w:pStyle w:val="Texte1"/>
        <w:rPr>
          <w:lang w:val="en-GB"/>
        </w:rPr>
      </w:pPr>
      <w:r w:rsidRPr="00D520A0">
        <w:rPr>
          <w:lang w:val="en-GB"/>
        </w:rPr>
        <w:t xml:space="preserve">What an outsider </w:t>
      </w:r>
      <w:r w:rsidR="003C602D" w:rsidRPr="00D520A0">
        <w:rPr>
          <w:lang w:val="en-GB"/>
        </w:rPr>
        <w:t xml:space="preserve">may see as </w:t>
      </w:r>
      <w:r w:rsidRPr="00D520A0">
        <w:rPr>
          <w:lang w:val="en-GB"/>
        </w:rPr>
        <w:t>fall</w:t>
      </w:r>
      <w:r w:rsidR="003C602D" w:rsidRPr="00D520A0">
        <w:rPr>
          <w:lang w:val="en-GB"/>
        </w:rPr>
        <w:t>ing</w:t>
      </w:r>
      <w:r w:rsidRPr="00D520A0">
        <w:rPr>
          <w:lang w:val="en-GB"/>
        </w:rPr>
        <w:t xml:space="preserve"> into one domain of </w:t>
      </w:r>
      <w:r w:rsidR="00B663DB" w:rsidRPr="00D520A0">
        <w:rPr>
          <w:lang w:val="en-GB"/>
        </w:rPr>
        <w:t>ICH</w:t>
      </w:r>
      <w:r w:rsidRPr="00D520A0">
        <w:rPr>
          <w:lang w:val="en-GB"/>
        </w:rPr>
        <w:t xml:space="preserve"> may be classified under different domains by different people, even within the community concerned. One community member</w:t>
      </w:r>
      <w:r w:rsidR="00FC6EDA" w:rsidRPr="00D520A0">
        <w:rPr>
          <w:lang w:val="en-GB"/>
        </w:rPr>
        <w:t>, for example,</w:t>
      </w:r>
      <w:r w:rsidRPr="00D520A0">
        <w:rPr>
          <w:lang w:val="en-GB"/>
        </w:rPr>
        <w:t xml:space="preserve"> might view their chanted verse as a form of ritual</w:t>
      </w:r>
      <w:r w:rsidR="00FC6EDA" w:rsidRPr="00D520A0">
        <w:rPr>
          <w:lang w:val="en-GB"/>
        </w:rPr>
        <w:t>, to be classified under social practices</w:t>
      </w:r>
      <w:r w:rsidRPr="00D520A0">
        <w:rPr>
          <w:lang w:val="en-GB"/>
        </w:rPr>
        <w:t xml:space="preserve">; another </w:t>
      </w:r>
      <w:r w:rsidR="00E370CF" w:rsidRPr="00D520A0">
        <w:rPr>
          <w:lang w:val="en-GB"/>
        </w:rPr>
        <w:t>may prefer to</w:t>
      </w:r>
      <w:r w:rsidRPr="00D520A0">
        <w:rPr>
          <w:lang w:val="en-GB"/>
        </w:rPr>
        <w:t xml:space="preserve"> interpret it as song, to be classified under performing arts, or </w:t>
      </w:r>
      <w:r w:rsidR="003C602D" w:rsidRPr="00D520A0">
        <w:rPr>
          <w:lang w:val="en-GB"/>
        </w:rPr>
        <w:t xml:space="preserve">perhaps </w:t>
      </w:r>
      <w:r w:rsidRPr="00D520A0">
        <w:rPr>
          <w:lang w:val="en-GB"/>
        </w:rPr>
        <w:t xml:space="preserve">under oral traditions. There may also be different opinions as to classification in subdomains: what some may define as ‘theatre’ might be interpreted as ‘dance’ </w:t>
      </w:r>
      <w:r w:rsidR="00E370CF" w:rsidRPr="00D520A0">
        <w:rPr>
          <w:lang w:val="en-GB"/>
        </w:rPr>
        <w:t>by others</w:t>
      </w:r>
      <w:r w:rsidRPr="00D520A0">
        <w:rPr>
          <w:lang w:val="en-GB"/>
        </w:rPr>
        <w:t>.</w:t>
      </w:r>
    </w:p>
    <w:p w14:paraId="7307E9C5" w14:textId="0464014B" w:rsidR="004C284A" w:rsidRPr="00D520A0" w:rsidRDefault="005434DB" w:rsidP="004936EF">
      <w:pPr>
        <w:pStyle w:val="Soustitre"/>
        <w:rPr>
          <w:caps/>
          <w:lang w:val="en-GB"/>
        </w:rPr>
      </w:pPr>
      <w:bookmarkStart w:id="19" w:name="_Toc238982211"/>
      <w:r w:rsidRPr="00D520A0">
        <w:rPr>
          <w:lang w:val="en-GB"/>
        </w:rPr>
        <w:t>Q</w:t>
      </w:r>
      <w:r w:rsidR="004C284A" w:rsidRPr="00D520A0">
        <w:rPr>
          <w:lang w:val="en-GB"/>
        </w:rPr>
        <w:t>uestion of language and religion</w:t>
      </w:r>
      <w:r w:rsidR="00B74819" w:rsidRPr="00D520A0">
        <w:rPr>
          <w:lang w:val="en-GB"/>
        </w:rPr>
        <w:t xml:space="preserve"> as domains</w:t>
      </w:r>
      <w:bookmarkEnd w:id="19"/>
    </w:p>
    <w:p w14:paraId="11A03171" w14:textId="06830678" w:rsidR="004C284A" w:rsidRPr="00D520A0" w:rsidRDefault="004C284A" w:rsidP="009909DD">
      <w:pPr>
        <w:pStyle w:val="Texte1"/>
        <w:rPr>
          <w:lang w:val="en-GB"/>
        </w:rPr>
      </w:pPr>
      <w:r w:rsidRPr="00D520A0">
        <w:rPr>
          <w:lang w:val="en-GB"/>
        </w:rPr>
        <w:t xml:space="preserve">Many </w:t>
      </w:r>
      <w:r w:rsidR="00B663DB" w:rsidRPr="00D520A0">
        <w:rPr>
          <w:lang w:val="en-GB"/>
        </w:rPr>
        <w:t>ICH</w:t>
      </w:r>
      <w:r w:rsidRPr="00D520A0">
        <w:rPr>
          <w:lang w:val="en-GB"/>
        </w:rPr>
        <w:t xml:space="preserve"> elements depend heavily on the language traditionally used by the community concerned</w:t>
      </w:r>
      <w:r w:rsidR="00893003" w:rsidRPr="00D520A0">
        <w:rPr>
          <w:lang w:val="en-GB"/>
        </w:rPr>
        <w:t>: this is true not only of</w:t>
      </w:r>
      <w:r w:rsidRPr="00D520A0">
        <w:rPr>
          <w:lang w:val="en-GB"/>
        </w:rPr>
        <w:t xml:space="preserve"> oral traditions and expressions, </w:t>
      </w:r>
      <w:r w:rsidR="008D2115" w:rsidRPr="00D520A0">
        <w:rPr>
          <w:lang w:val="en-GB"/>
        </w:rPr>
        <w:t xml:space="preserve">but also </w:t>
      </w:r>
      <w:r w:rsidR="00893003" w:rsidRPr="00D520A0">
        <w:rPr>
          <w:lang w:val="en-GB"/>
        </w:rPr>
        <w:t xml:space="preserve">of </w:t>
      </w:r>
      <w:r w:rsidRPr="00D520A0">
        <w:rPr>
          <w:lang w:val="en-GB"/>
        </w:rPr>
        <w:t xml:space="preserve">songs and most rituals. </w:t>
      </w:r>
      <w:r w:rsidR="008D2115" w:rsidRPr="00D520A0">
        <w:rPr>
          <w:lang w:val="en-GB"/>
        </w:rPr>
        <w:t>The spoken word (‘orality’) is</w:t>
      </w:r>
      <w:r w:rsidR="00893003" w:rsidRPr="00D520A0">
        <w:rPr>
          <w:lang w:val="en-GB"/>
        </w:rPr>
        <w:t>,</w:t>
      </w:r>
      <w:r w:rsidR="008D2115" w:rsidRPr="00D520A0">
        <w:rPr>
          <w:lang w:val="en-GB"/>
        </w:rPr>
        <w:t xml:space="preserve"> of course</w:t>
      </w:r>
      <w:r w:rsidR="00893003" w:rsidRPr="00D520A0">
        <w:rPr>
          <w:lang w:val="en-GB"/>
        </w:rPr>
        <w:t>,</w:t>
      </w:r>
      <w:r w:rsidR="008D2115" w:rsidRPr="00D520A0">
        <w:rPr>
          <w:lang w:val="en-GB"/>
        </w:rPr>
        <w:t xml:space="preserve"> </w:t>
      </w:r>
      <w:r w:rsidR="00E370CF" w:rsidRPr="00D520A0">
        <w:rPr>
          <w:lang w:val="en-GB"/>
        </w:rPr>
        <w:t>crucial</w:t>
      </w:r>
      <w:r w:rsidR="008D2115" w:rsidRPr="00D520A0">
        <w:rPr>
          <w:lang w:val="en-GB"/>
        </w:rPr>
        <w:t xml:space="preserve"> in the enactment and transmission of virtually all </w:t>
      </w:r>
      <w:r w:rsidR="00B663DB" w:rsidRPr="00D520A0">
        <w:rPr>
          <w:lang w:val="en-GB"/>
        </w:rPr>
        <w:t>ICH</w:t>
      </w:r>
      <w:r w:rsidR="008D2115" w:rsidRPr="00D520A0">
        <w:rPr>
          <w:lang w:val="en-GB"/>
        </w:rPr>
        <w:t>.</w:t>
      </w:r>
    </w:p>
    <w:p w14:paraId="49956DBA" w14:textId="6B9BE250" w:rsidR="008D2115" w:rsidRPr="00D520A0" w:rsidRDefault="004C284A" w:rsidP="009909DD">
      <w:pPr>
        <w:pStyle w:val="Texte1"/>
        <w:rPr>
          <w:lang w:val="en-GB"/>
        </w:rPr>
      </w:pPr>
      <w:r w:rsidRPr="00D520A0">
        <w:rPr>
          <w:lang w:val="en-GB"/>
        </w:rPr>
        <w:t xml:space="preserve">Bearers of specific </w:t>
      </w:r>
      <w:r w:rsidR="008D2115" w:rsidRPr="00D520A0">
        <w:rPr>
          <w:lang w:val="en-GB"/>
        </w:rPr>
        <w:t>ICH</w:t>
      </w:r>
      <w:r w:rsidRPr="00D520A0">
        <w:rPr>
          <w:lang w:val="en-GB"/>
        </w:rPr>
        <w:t xml:space="preserve"> </w:t>
      </w:r>
      <w:r w:rsidR="008D2115" w:rsidRPr="00D520A0">
        <w:rPr>
          <w:lang w:val="en-GB"/>
        </w:rPr>
        <w:t>may</w:t>
      </w:r>
      <w:r w:rsidRPr="00D520A0">
        <w:rPr>
          <w:lang w:val="en-GB"/>
        </w:rPr>
        <w:t xml:space="preserve"> use highly specialized sets of terms and expressions, or specific registers of a </w:t>
      </w:r>
      <w:r w:rsidR="008D2115" w:rsidRPr="00D520A0">
        <w:rPr>
          <w:lang w:val="en-GB"/>
        </w:rPr>
        <w:t xml:space="preserve">given </w:t>
      </w:r>
      <w:r w:rsidRPr="00D520A0">
        <w:rPr>
          <w:lang w:val="en-GB"/>
        </w:rPr>
        <w:t xml:space="preserve">language. </w:t>
      </w:r>
      <w:r w:rsidR="008D2115" w:rsidRPr="00D520A0">
        <w:rPr>
          <w:lang w:val="en-GB"/>
        </w:rPr>
        <w:t>For the safeguarding of such ICH</w:t>
      </w:r>
      <w:r w:rsidR="001A0338" w:rsidRPr="00D520A0">
        <w:rPr>
          <w:lang w:val="en-GB"/>
        </w:rPr>
        <w:t>,</w:t>
      </w:r>
      <w:r w:rsidR="008D2115" w:rsidRPr="00D520A0">
        <w:rPr>
          <w:lang w:val="en-GB"/>
        </w:rPr>
        <w:t xml:space="preserve"> it may </w:t>
      </w:r>
      <w:r w:rsidR="003E2C96" w:rsidRPr="00D520A0">
        <w:rPr>
          <w:lang w:val="en-GB"/>
        </w:rPr>
        <w:t xml:space="preserve">also </w:t>
      </w:r>
      <w:r w:rsidR="008D2115" w:rsidRPr="00D520A0">
        <w:rPr>
          <w:lang w:val="en-GB"/>
        </w:rPr>
        <w:t xml:space="preserve">be necessary to develop safeguarding measures for the use and transmission of such language registers. The Committee has not yet had to deal with </w:t>
      </w:r>
      <w:r w:rsidR="001A0338" w:rsidRPr="00D520A0">
        <w:rPr>
          <w:lang w:val="en-GB"/>
        </w:rPr>
        <w:t>the</w:t>
      </w:r>
      <w:r w:rsidR="008D2115" w:rsidRPr="00D520A0">
        <w:rPr>
          <w:lang w:val="en-GB"/>
        </w:rPr>
        <w:t xml:space="preserve"> nomination of a language or an assistance request concerning its safeguarding</w:t>
      </w:r>
      <w:r w:rsidR="003E2C96" w:rsidRPr="00D520A0">
        <w:rPr>
          <w:lang w:val="en-GB"/>
        </w:rPr>
        <w:t xml:space="preserve">, although some </w:t>
      </w:r>
      <w:r w:rsidR="001A0338" w:rsidRPr="00D520A0">
        <w:rPr>
          <w:lang w:val="en-GB"/>
        </w:rPr>
        <w:t xml:space="preserve">of </w:t>
      </w:r>
      <w:r w:rsidR="003E2C96" w:rsidRPr="00D520A0">
        <w:rPr>
          <w:lang w:val="en-GB"/>
        </w:rPr>
        <w:t>the former Masterpieces included in the R</w:t>
      </w:r>
      <w:r w:rsidR="005434DB" w:rsidRPr="00D520A0">
        <w:rPr>
          <w:lang w:val="en-GB"/>
        </w:rPr>
        <w:t>epresentative List</w:t>
      </w:r>
      <w:r w:rsidR="003E2C96" w:rsidRPr="00D520A0">
        <w:rPr>
          <w:lang w:val="en-GB"/>
        </w:rPr>
        <w:t xml:space="preserve"> in 2008 did cover language as such</w:t>
      </w:r>
      <w:r w:rsidR="00840243" w:rsidRPr="00D520A0">
        <w:rPr>
          <w:lang w:val="en-GB"/>
        </w:rPr>
        <w:t>: for example,</w:t>
      </w:r>
      <w:r w:rsidR="003E2C96" w:rsidRPr="00D520A0">
        <w:rPr>
          <w:lang w:val="en-GB"/>
        </w:rPr>
        <w:t xml:space="preserve"> Language, </w:t>
      </w:r>
      <w:r w:rsidR="0028620A" w:rsidRPr="00D520A0">
        <w:rPr>
          <w:lang w:val="en-GB"/>
        </w:rPr>
        <w:t>d</w:t>
      </w:r>
      <w:r w:rsidR="003E2C96" w:rsidRPr="00D520A0">
        <w:rPr>
          <w:lang w:val="en-GB"/>
        </w:rPr>
        <w:t xml:space="preserve">ance and </w:t>
      </w:r>
      <w:r w:rsidR="0028620A" w:rsidRPr="00D520A0">
        <w:rPr>
          <w:lang w:val="en-GB"/>
        </w:rPr>
        <w:t>m</w:t>
      </w:r>
      <w:r w:rsidR="003E2C96" w:rsidRPr="00D520A0">
        <w:rPr>
          <w:lang w:val="en-GB"/>
        </w:rPr>
        <w:t>usic of the Garifuna</w:t>
      </w:r>
      <w:r w:rsidR="009716D6" w:rsidRPr="00D520A0">
        <w:rPr>
          <w:lang w:val="en-GB"/>
        </w:rPr>
        <w:t xml:space="preserve"> </w:t>
      </w:r>
      <w:r w:rsidR="003E2C96" w:rsidRPr="00D520A0">
        <w:rPr>
          <w:lang w:val="en-GB"/>
        </w:rPr>
        <w:t>(Belize</w:t>
      </w:r>
      <w:r w:rsidR="00840243" w:rsidRPr="00D520A0">
        <w:rPr>
          <w:lang w:val="en-GB"/>
        </w:rPr>
        <w:t>,</w:t>
      </w:r>
      <w:r w:rsidR="003E2C96" w:rsidRPr="00D520A0">
        <w:rPr>
          <w:lang w:val="en-GB"/>
        </w:rPr>
        <w:t xml:space="preserve"> Guatemala</w:t>
      </w:r>
      <w:r w:rsidR="00840243" w:rsidRPr="00D520A0">
        <w:rPr>
          <w:lang w:val="en-GB"/>
        </w:rPr>
        <w:t>,</w:t>
      </w:r>
      <w:r w:rsidR="003E2C96" w:rsidRPr="00D520A0">
        <w:rPr>
          <w:lang w:val="en-GB"/>
        </w:rPr>
        <w:t xml:space="preserve"> </w:t>
      </w:r>
      <w:r w:rsidR="003E2C96" w:rsidRPr="00D520A0">
        <w:rPr>
          <w:lang w:val="en-GB"/>
        </w:rPr>
        <w:lastRenderedPageBreak/>
        <w:t>Honduras</w:t>
      </w:r>
      <w:r w:rsidR="00840243" w:rsidRPr="00D520A0">
        <w:rPr>
          <w:lang w:val="en-GB"/>
        </w:rPr>
        <w:t xml:space="preserve"> and</w:t>
      </w:r>
      <w:r w:rsidR="003E2C96" w:rsidRPr="00D520A0">
        <w:rPr>
          <w:lang w:val="en-GB"/>
        </w:rPr>
        <w:t xml:space="preserve"> Nicaragua) and </w:t>
      </w:r>
      <w:r w:rsidR="0028620A" w:rsidRPr="00D520A0">
        <w:rPr>
          <w:lang w:val="en-GB"/>
        </w:rPr>
        <w:t>t</w:t>
      </w:r>
      <w:r w:rsidR="003E2C96" w:rsidRPr="00D520A0">
        <w:rPr>
          <w:lang w:val="en-GB"/>
        </w:rPr>
        <w:t xml:space="preserve">he Oral </w:t>
      </w:r>
      <w:r w:rsidR="0028620A" w:rsidRPr="00D520A0">
        <w:rPr>
          <w:lang w:val="en-GB"/>
        </w:rPr>
        <w:t>h</w:t>
      </w:r>
      <w:r w:rsidR="003E2C96" w:rsidRPr="00D520A0">
        <w:rPr>
          <w:lang w:val="en-GB"/>
        </w:rPr>
        <w:t xml:space="preserve">eritage and </w:t>
      </w:r>
      <w:r w:rsidR="0028620A" w:rsidRPr="00D520A0">
        <w:rPr>
          <w:lang w:val="en-GB"/>
        </w:rPr>
        <w:t>c</w:t>
      </w:r>
      <w:r w:rsidR="003E2C96" w:rsidRPr="00D520A0">
        <w:rPr>
          <w:lang w:val="en-GB"/>
        </w:rPr>
        <w:t xml:space="preserve">ultural </w:t>
      </w:r>
      <w:r w:rsidR="0028620A" w:rsidRPr="00D520A0">
        <w:rPr>
          <w:lang w:val="en-GB"/>
        </w:rPr>
        <w:t>m</w:t>
      </w:r>
      <w:r w:rsidR="003E2C96" w:rsidRPr="00D520A0">
        <w:rPr>
          <w:lang w:val="en-GB"/>
        </w:rPr>
        <w:t>anifestations of the Zápara People (Ecuador</w:t>
      </w:r>
      <w:r w:rsidR="00840243" w:rsidRPr="00D520A0">
        <w:rPr>
          <w:lang w:val="en-GB"/>
        </w:rPr>
        <w:t xml:space="preserve"> and</w:t>
      </w:r>
      <w:r w:rsidR="003E2C96" w:rsidRPr="00D520A0">
        <w:rPr>
          <w:lang w:val="en-GB"/>
        </w:rPr>
        <w:t xml:space="preserve"> Peru)</w:t>
      </w:r>
      <w:r w:rsidR="008D2115" w:rsidRPr="00D520A0">
        <w:rPr>
          <w:lang w:val="en-GB"/>
        </w:rPr>
        <w:t>.</w:t>
      </w:r>
    </w:p>
    <w:p w14:paraId="049F62D3" w14:textId="571A5E5A" w:rsidR="006B10A5" w:rsidRPr="00D520A0" w:rsidRDefault="004C284A" w:rsidP="009909DD">
      <w:pPr>
        <w:pStyle w:val="Texte1"/>
        <w:rPr>
          <w:lang w:val="en-GB"/>
        </w:rPr>
      </w:pPr>
      <w:r w:rsidRPr="00D520A0">
        <w:rPr>
          <w:lang w:val="en-GB"/>
        </w:rPr>
        <w:t xml:space="preserve">The question of language was discussed at great length during the preparation of the Convention. </w:t>
      </w:r>
      <w:r w:rsidR="00C53840" w:rsidRPr="00D520A0">
        <w:rPr>
          <w:lang w:val="en-GB"/>
        </w:rPr>
        <w:t xml:space="preserve">It was generally </w:t>
      </w:r>
      <w:r w:rsidRPr="00D520A0">
        <w:rPr>
          <w:lang w:val="en-GB"/>
        </w:rPr>
        <w:t xml:space="preserve">agreed that language is at the core of ICH and that natural languages in principle meet the definition of ICH given in </w:t>
      </w:r>
      <w:r w:rsidR="00442E1A" w:rsidRPr="00D520A0">
        <w:rPr>
          <w:lang w:val="en-GB"/>
        </w:rPr>
        <w:t>Article </w:t>
      </w:r>
      <w:r w:rsidRPr="00D520A0">
        <w:rPr>
          <w:lang w:val="en-GB"/>
        </w:rPr>
        <w:t>2.1 of the Convention</w:t>
      </w:r>
      <w:r w:rsidR="005434DB" w:rsidRPr="00D520A0">
        <w:rPr>
          <w:lang w:val="en-GB"/>
        </w:rPr>
        <w:t>.</w:t>
      </w:r>
      <w:r w:rsidRPr="00D520A0">
        <w:rPr>
          <w:lang w:val="en-GB"/>
        </w:rPr>
        <w:t xml:space="preserve"> </w:t>
      </w:r>
      <w:r w:rsidR="005434DB" w:rsidRPr="00D520A0">
        <w:rPr>
          <w:lang w:val="en-GB"/>
        </w:rPr>
        <w:t>A</w:t>
      </w:r>
      <w:r w:rsidRPr="00D520A0">
        <w:rPr>
          <w:lang w:val="en-GB"/>
        </w:rPr>
        <w:t xml:space="preserve"> minority of UNESCO Member States advocated </w:t>
      </w:r>
      <w:r w:rsidR="009716D6" w:rsidRPr="00D520A0">
        <w:rPr>
          <w:lang w:val="en-GB"/>
        </w:rPr>
        <w:t>treating</w:t>
      </w:r>
      <w:r w:rsidRPr="00D520A0">
        <w:rPr>
          <w:lang w:val="en-GB"/>
        </w:rPr>
        <w:t xml:space="preserve"> language as a separate domain in the list provided in </w:t>
      </w:r>
      <w:r w:rsidR="00442E1A" w:rsidRPr="00D520A0">
        <w:rPr>
          <w:lang w:val="en-GB"/>
        </w:rPr>
        <w:t>Article </w:t>
      </w:r>
      <w:r w:rsidRPr="00D520A0">
        <w:rPr>
          <w:lang w:val="en-GB"/>
        </w:rPr>
        <w:t>2.2.</w:t>
      </w:r>
      <w:r w:rsidR="00944473" w:rsidRPr="00D520A0">
        <w:rPr>
          <w:lang w:val="en-GB"/>
        </w:rPr>
        <w:t xml:space="preserve"> </w:t>
      </w:r>
      <w:r w:rsidRPr="00D520A0">
        <w:rPr>
          <w:lang w:val="en-GB"/>
        </w:rPr>
        <w:t>A majority of Member States</w:t>
      </w:r>
      <w:r w:rsidR="00C53840" w:rsidRPr="00D520A0">
        <w:rPr>
          <w:lang w:val="en-GB"/>
        </w:rPr>
        <w:t>, however,</w:t>
      </w:r>
      <w:r w:rsidRPr="00D520A0">
        <w:rPr>
          <w:lang w:val="en-GB"/>
        </w:rPr>
        <w:t xml:space="preserve"> did not </w:t>
      </w:r>
      <w:r w:rsidR="008D2115" w:rsidRPr="00D520A0">
        <w:rPr>
          <w:lang w:val="en-GB"/>
        </w:rPr>
        <w:t xml:space="preserve">want language to figure as a domain in its own right in the list in </w:t>
      </w:r>
      <w:r w:rsidR="00442E1A" w:rsidRPr="00D520A0">
        <w:rPr>
          <w:lang w:val="en-GB"/>
        </w:rPr>
        <w:t>Article </w:t>
      </w:r>
      <w:r w:rsidR="008D2115" w:rsidRPr="00D520A0">
        <w:rPr>
          <w:lang w:val="en-GB"/>
        </w:rPr>
        <w:t>2.2</w:t>
      </w:r>
      <w:r w:rsidRPr="00D520A0">
        <w:rPr>
          <w:lang w:val="en-GB"/>
        </w:rPr>
        <w:t>.</w:t>
      </w:r>
    </w:p>
    <w:p w14:paraId="719EDB7E" w14:textId="35BF6531" w:rsidR="00944473" w:rsidRPr="00D520A0" w:rsidRDefault="00944473" w:rsidP="009909DD">
      <w:pPr>
        <w:pStyle w:val="Texte1"/>
        <w:rPr>
          <w:lang w:val="en-GB" w:eastAsia="en-US"/>
        </w:rPr>
      </w:pPr>
      <w:r w:rsidRPr="00D520A0">
        <w:rPr>
          <w:lang w:val="en-GB" w:eastAsia="en-US"/>
        </w:rPr>
        <w:t xml:space="preserve">Language was thus deliberately not mentioned as a specific domain when the Convention was being </w:t>
      </w:r>
      <w:r w:rsidR="00344234" w:rsidRPr="00D520A0">
        <w:rPr>
          <w:lang w:val="en-GB" w:eastAsia="en-US"/>
        </w:rPr>
        <w:t>drawn up</w:t>
      </w:r>
      <w:r w:rsidRPr="00D520A0">
        <w:rPr>
          <w:lang w:val="en-GB" w:eastAsia="en-US"/>
        </w:rPr>
        <w:t xml:space="preserve">. Some States Parties do use language as a domain in their inventories, however. The situation on the international level is not clear: language is not explicitly excluded from the definition of ICH </w:t>
      </w:r>
      <w:r w:rsidR="00344234" w:rsidRPr="00D520A0">
        <w:rPr>
          <w:lang w:val="en-GB" w:eastAsia="en-US"/>
        </w:rPr>
        <w:t xml:space="preserve">in the Convention; </w:t>
      </w:r>
      <w:r w:rsidRPr="00D520A0">
        <w:rPr>
          <w:lang w:val="en-GB" w:eastAsia="en-US"/>
        </w:rPr>
        <w:t xml:space="preserve">and since the list of domains is not complete, </w:t>
      </w:r>
      <w:r w:rsidR="00DF0EF7" w:rsidRPr="00D520A0">
        <w:rPr>
          <w:lang w:val="en-GB" w:eastAsia="en-US"/>
        </w:rPr>
        <w:t>it is not certain</w:t>
      </w:r>
      <w:r w:rsidRPr="00D520A0">
        <w:rPr>
          <w:lang w:val="en-GB" w:eastAsia="en-US"/>
        </w:rPr>
        <w:t xml:space="preserve"> that the Committee would automatically reject a nomination </w:t>
      </w:r>
      <w:r w:rsidR="00B97D13" w:rsidRPr="00D520A0">
        <w:rPr>
          <w:lang w:val="en-GB" w:eastAsia="en-US"/>
        </w:rPr>
        <w:t xml:space="preserve">to one of the Lists of the Convention that </w:t>
      </w:r>
      <w:r w:rsidR="00E66E95" w:rsidRPr="00D520A0">
        <w:rPr>
          <w:lang w:val="en-GB" w:eastAsia="en-US"/>
        </w:rPr>
        <w:t>focus</w:t>
      </w:r>
      <w:r w:rsidR="00B97D13" w:rsidRPr="00D520A0">
        <w:rPr>
          <w:lang w:val="en-GB" w:eastAsia="en-US"/>
        </w:rPr>
        <w:t>ed</w:t>
      </w:r>
      <w:r w:rsidR="00E66E95" w:rsidRPr="00D520A0">
        <w:rPr>
          <w:lang w:val="en-GB" w:eastAsia="en-US"/>
        </w:rPr>
        <w:t xml:space="preserve"> on a</w:t>
      </w:r>
      <w:r w:rsidRPr="00D520A0">
        <w:rPr>
          <w:lang w:val="en-GB" w:eastAsia="en-US"/>
        </w:rPr>
        <w:t xml:space="preserve"> language.</w:t>
      </w:r>
    </w:p>
    <w:p w14:paraId="76575C5E" w14:textId="77777777" w:rsidR="006B10A5" w:rsidRPr="00D520A0" w:rsidRDefault="006B10A5" w:rsidP="009909DD">
      <w:pPr>
        <w:pStyle w:val="Texte1"/>
        <w:rPr>
          <w:lang w:val="en-GB"/>
        </w:rPr>
      </w:pPr>
      <w:r w:rsidRPr="00D520A0">
        <w:rPr>
          <w:lang w:val="en-GB" w:eastAsia="en-US"/>
        </w:rPr>
        <w:t xml:space="preserve">Many States are not in a position to safeguard all </w:t>
      </w:r>
      <w:r w:rsidR="00344234" w:rsidRPr="00D520A0">
        <w:rPr>
          <w:lang w:val="en-GB" w:eastAsia="en-US"/>
        </w:rPr>
        <w:t xml:space="preserve">the </w:t>
      </w:r>
      <w:r w:rsidRPr="00D520A0">
        <w:rPr>
          <w:lang w:val="en-GB" w:eastAsia="en-US"/>
        </w:rPr>
        <w:t xml:space="preserve">languages spoken within their borders (indeed, there are many </w:t>
      </w:r>
      <w:r w:rsidR="00982F4F" w:rsidRPr="00D520A0">
        <w:rPr>
          <w:lang w:val="en-GB" w:eastAsia="en-US"/>
        </w:rPr>
        <w:t xml:space="preserve">States </w:t>
      </w:r>
      <w:r w:rsidRPr="00D520A0">
        <w:rPr>
          <w:lang w:val="en-GB" w:eastAsia="en-US"/>
        </w:rPr>
        <w:t xml:space="preserve">with </w:t>
      </w:r>
      <w:r w:rsidR="00E66E95" w:rsidRPr="00D520A0">
        <w:rPr>
          <w:lang w:val="en-GB" w:eastAsia="en-US"/>
        </w:rPr>
        <w:t>several</w:t>
      </w:r>
      <w:r w:rsidRPr="00D520A0">
        <w:rPr>
          <w:lang w:val="en-GB" w:eastAsia="en-US"/>
        </w:rPr>
        <w:t xml:space="preserve"> hundred indigenous languages</w:t>
      </w:r>
      <w:r w:rsidR="00E66E95" w:rsidRPr="00D520A0">
        <w:rPr>
          <w:lang w:val="en-GB" w:eastAsia="en-US"/>
        </w:rPr>
        <w:t xml:space="preserve"> and many more with scores of them</w:t>
      </w:r>
      <w:r w:rsidRPr="00D520A0">
        <w:rPr>
          <w:lang w:val="en-GB" w:eastAsia="en-US"/>
        </w:rPr>
        <w:t xml:space="preserve">). The holistic safeguarding of a language, informed </w:t>
      </w:r>
      <w:r w:rsidR="0069441A" w:rsidRPr="00D520A0">
        <w:rPr>
          <w:lang w:val="en-GB" w:eastAsia="en-US"/>
        </w:rPr>
        <w:t xml:space="preserve">nowadays </w:t>
      </w:r>
      <w:r w:rsidRPr="00D520A0">
        <w:rPr>
          <w:lang w:val="en-GB" w:eastAsia="en-US"/>
        </w:rPr>
        <w:t>by a large body of research and experience in this field, is a compl</w:t>
      </w:r>
      <w:r w:rsidR="00982F4F" w:rsidRPr="00D520A0">
        <w:rPr>
          <w:lang w:val="en-GB" w:eastAsia="en-US"/>
        </w:rPr>
        <w:t>ex</w:t>
      </w:r>
      <w:r w:rsidRPr="00D520A0">
        <w:rPr>
          <w:lang w:val="en-GB" w:eastAsia="en-US"/>
        </w:rPr>
        <w:t xml:space="preserve"> and expensive affair. States where many languages are spoken often lack the resources to document and promote </w:t>
      </w:r>
      <w:r w:rsidR="0069441A" w:rsidRPr="00D520A0">
        <w:rPr>
          <w:lang w:val="en-GB" w:eastAsia="en-US"/>
        </w:rPr>
        <w:t xml:space="preserve">all </w:t>
      </w:r>
      <w:r w:rsidRPr="00D520A0">
        <w:rPr>
          <w:lang w:val="en-GB" w:eastAsia="en-US"/>
        </w:rPr>
        <w:t>these languages through research, curriculum integration, the media and publications, so as to safeguard that diversity. Many other States do</w:t>
      </w:r>
      <w:r w:rsidR="00344234" w:rsidRPr="00D520A0">
        <w:rPr>
          <w:lang w:val="en-GB" w:eastAsia="en-US"/>
        </w:rPr>
        <w:t xml:space="preserve"> </w:t>
      </w:r>
      <w:r w:rsidRPr="00D520A0">
        <w:rPr>
          <w:lang w:val="en-GB" w:eastAsia="en-US"/>
        </w:rPr>
        <w:t>n</w:t>
      </w:r>
      <w:r w:rsidR="00344234" w:rsidRPr="00D520A0">
        <w:rPr>
          <w:lang w:val="en-GB" w:eastAsia="en-US"/>
        </w:rPr>
        <w:t>o</w:t>
      </w:r>
      <w:r w:rsidRPr="00D520A0">
        <w:rPr>
          <w:lang w:val="en-GB" w:eastAsia="en-US"/>
        </w:rPr>
        <w:t>t wish to encourage the extensive use of languages other than their national or official languages.</w:t>
      </w:r>
    </w:p>
    <w:p w14:paraId="107F7C0F" w14:textId="0A99E5F1" w:rsidR="003A7D37" w:rsidRPr="00D520A0" w:rsidRDefault="004C284A" w:rsidP="009909DD">
      <w:pPr>
        <w:pStyle w:val="Texte1"/>
        <w:rPr>
          <w:lang w:val="en-GB"/>
        </w:rPr>
      </w:pPr>
      <w:r w:rsidRPr="00D520A0">
        <w:rPr>
          <w:lang w:val="en-GB"/>
        </w:rPr>
        <w:t xml:space="preserve">The UNESCO </w:t>
      </w:r>
      <w:r w:rsidRPr="00D520A0">
        <w:rPr>
          <w:i/>
          <w:lang w:val="en-GB"/>
        </w:rPr>
        <w:t>Atlas of the World’s Languages in Danger</w:t>
      </w:r>
      <w:r w:rsidR="009A770D" w:rsidRPr="00D520A0">
        <w:rPr>
          <w:rStyle w:val="FootnoteReference"/>
          <w:i/>
          <w:lang w:val="en-GB"/>
        </w:rPr>
        <w:footnoteReference w:id="2"/>
      </w:r>
      <w:r w:rsidRPr="00D520A0">
        <w:rPr>
          <w:color w:val="000000"/>
          <w:sz w:val="19"/>
          <w:szCs w:val="19"/>
          <w:lang w:val="en-GB"/>
        </w:rPr>
        <w:t xml:space="preserve"> </w:t>
      </w:r>
      <w:r w:rsidRPr="00D520A0">
        <w:rPr>
          <w:lang w:val="en-GB"/>
        </w:rPr>
        <w:t xml:space="preserve">aims to raise awareness about the </w:t>
      </w:r>
      <w:r w:rsidR="00E64F78" w:rsidRPr="00D520A0">
        <w:rPr>
          <w:lang w:val="en-GB"/>
        </w:rPr>
        <w:t>ongoing</w:t>
      </w:r>
      <w:r w:rsidRPr="00D520A0">
        <w:rPr>
          <w:lang w:val="en-GB"/>
        </w:rPr>
        <w:t xml:space="preserve"> loss of linguistic diversity, but </w:t>
      </w:r>
      <w:r w:rsidR="00E64F78" w:rsidRPr="00D520A0">
        <w:rPr>
          <w:lang w:val="en-GB"/>
        </w:rPr>
        <w:t xml:space="preserve">it </w:t>
      </w:r>
      <w:r w:rsidRPr="00D520A0">
        <w:rPr>
          <w:lang w:val="en-GB"/>
        </w:rPr>
        <w:t>is not associated with a standard-setting text or safeguarding program</w:t>
      </w:r>
      <w:r w:rsidR="00E64F78" w:rsidRPr="00D520A0">
        <w:rPr>
          <w:lang w:val="en-GB"/>
        </w:rPr>
        <w:t>me</w:t>
      </w:r>
      <w:r w:rsidRPr="00D520A0">
        <w:rPr>
          <w:lang w:val="en-GB"/>
        </w:rPr>
        <w:t>s</w:t>
      </w:r>
      <w:r w:rsidR="0006318A" w:rsidRPr="00D520A0">
        <w:rPr>
          <w:lang w:val="en-GB"/>
        </w:rPr>
        <w:t>.</w:t>
      </w:r>
    </w:p>
    <w:p w14:paraId="413C7898" w14:textId="7BE6FB86" w:rsidR="004C284A" w:rsidRPr="00D520A0" w:rsidRDefault="009128ED" w:rsidP="006E4DB5">
      <w:pPr>
        <w:pStyle w:val="Informations0"/>
        <w:rPr>
          <w:i w:val="0"/>
          <w:lang w:val="en-GB"/>
        </w:rPr>
      </w:pPr>
      <w:r w:rsidRPr="00D520A0">
        <w:rPr>
          <w:i w:val="0"/>
          <w:noProof/>
          <w:lang w:eastAsia="zh-TW"/>
        </w:rPr>
        <w:drawing>
          <wp:anchor distT="0" distB="0" distL="114300" distR="114300" simplePos="0" relativeHeight="251656704" behindDoc="0" locked="1" layoutInCell="1" allowOverlap="0" wp14:anchorId="2B4B0403" wp14:editId="106F2626">
            <wp:simplePos x="0" y="0"/>
            <wp:positionH relativeFrom="column">
              <wp:posOffset>0</wp:posOffset>
            </wp:positionH>
            <wp:positionV relativeFrom="paragraph">
              <wp:posOffset>-36195</wp:posOffset>
            </wp:positionV>
            <wp:extent cx="273685" cy="34671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06318A" w:rsidRPr="00D520A0">
        <w:rPr>
          <w:i w:val="0"/>
          <w:lang w:val="en-GB"/>
        </w:rPr>
        <w:t>See</w:t>
      </w:r>
      <w:r w:rsidR="00E64F78" w:rsidRPr="00D520A0">
        <w:rPr>
          <w:i w:val="0"/>
          <w:lang w:val="en-GB"/>
        </w:rPr>
        <w:t>:</w:t>
      </w:r>
      <w:r w:rsidR="00D94C57" w:rsidRPr="00D520A0">
        <w:rPr>
          <w:i w:val="0"/>
          <w:lang w:val="en-GB"/>
        </w:rPr>
        <w:t xml:space="preserve"> </w:t>
      </w:r>
      <w:r w:rsidR="006E4DB5" w:rsidRPr="00D520A0">
        <w:rPr>
          <w:i w:val="0"/>
          <w:lang w:val="en-GB"/>
        </w:rPr>
        <w:t>http://www.unesco.org/new/en/culture/themes/endangered-languages/atlas-of-languages-in-danger/</w:t>
      </w:r>
    </w:p>
    <w:p w14:paraId="47EB3037" w14:textId="5BC0EC39" w:rsidR="004C284A" w:rsidRPr="00D520A0" w:rsidRDefault="004C284A" w:rsidP="009909DD">
      <w:pPr>
        <w:pStyle w:val="Texte1"/>
        <w:rPr>
          <w:lang w:val="en-GB"/>
        </w:rPr>
      </w:pPr>
      <w:r w:rsidRPr="00D520A0">
        <w:rPr>
          <w:lang w:val="en-GB"/>
        </w:rPr>
        <w:t xml:space="preserve">Similarly, </w:t>
      </w:r>
      <w:r w:rsidR="00AC3CDE" w:rsidRPr="00D520A0">
        <w:rPr>
          <w:lang w:val="en-GB"/>
        </w:rPr>
        <w:t xml:space="preserve">many belief systems, if tolerant of other beliefs, </w:t>
      </w:r>
      <w:r w:rsidR="00E66E95" w:rsidRPr="00D520A0">
        <w:rPr>
          <w:lang w:val="en-GB"/>
        </w:rPr>
        <w:t>may</w:t>
      </w:r>
      <w:r w:rsidR="00AC3CDE" w:rsidRPr="00D520A0">
        <w:rPr>
          <w:lang w:val="en-GB"/>
        </w:rPr>
        <w:t xml:space="preserve"> comply with the de</w:t>
      </w:r>
      <w:r w:rsidR="00E66E95" w:rsidRPr="00D520A0">
        <w:rPr>
          <w:lang w:val="en-GB"/>
        </w:rPr>
        <w:t xml:space="preserve">finition of ICH in </w:t>
      </w:r>
      <w:r w:rsidR="00442E1A" w:rsidRPr="00D520A0">
        <w:rPr>
          <w:lang w:val="en-GB"/>
        </w:rPr>
        <w:t>Article </w:t>
      </w:r>
      <w:r w:rsidR="00E66E95" w:rsidRPr="00D520A0">
        <w:rPr>
          <w:lang w:val="en-GB"/>
        </w:rPr>
        <w:t xml:space="preserve">2.1. They might be classified under </w:t>
      </w:r>
      <w:r w:rsidR="00442E1A" w:rsidRPr="00D520A0">
        <w:rPr>
          <w:lang w:val="en-GB"/>
        </w:rPr>
        <w:t>Article </w:t>
      </w:r>
      <w:r w:rsidR="00E64F78" w:rsidRPr="00D520A0">
        <w:rPr>
          <w:lang w:val="en-GB"/>
        </w:rPr>
        <w:t>2.2</w:t>
      </w:r>
      <w:r w:rsidR="00E64F78" w:rsidRPr="00D520A0" w:rsidDel="00E64F78">
        <w:rPr>
          <w:lang w:val="en-GB"/>
        </w:rPr>
        <w:t xml:space="preserve"> </w:t>
      </w:r>
      <w:r w:rsidR="00E66E95" w:rsidRPr="00D520A0">
        <w:rPr>
          <w:lang w:val="en-GB"/>
        </w:rPr>
        <w:t>(d)</w:t>
      </w:r>
      <w:r w:rsidR="00E64F78" w:rsidRPr="00D520A0">
        <w:rPr>
          <w:lang w:val="en-GB"/>
        </w:rPr>
        <w:t>:</w:t>
      </w:r>
      <w:r w:rsidR="00E66E95" w:rsidRPr="00D520A0">
        <w:rPr>
          <w:lang w:val="en-GB"/>
        </w:rPr>
        <w:t xml:space="preserve"> ‘</w:t>
      </w:r>
      <w:r w:rsidR="00AC3CDE" w:rsidRPr="00D520A0">
        <w:rPr>
          <w:lang w:val="en-GB"/>
        </w:rPr>
        <w:t>knowledge and practices concerning nature and the universe</w:t>
      </w:r>
      <w:r w:rsidR="00E66E95" w:rsidRPr="00D520A0">
        <w:rPr>
          <w:lang w:val="en-GB"/>
        </w:rPr>
        <w:t>’</w:t>
      </w:r>
      <w:r w:rsidR="00AC3CDE" w:rsidRPr="00D520A0">
        <w:rPr>
          <w:lang w:val="en-GB"/>
        </w:rPr>
        <w:t>. T</w:t>
      </w:r>
      <w:r w:rsidRPr="00D520A0">
        <w:rPr>
          <w:lang w:val="en-GB"/>
        </w:rPr>
        <w:t xml:space="preserve">here is </w:t>
      </w:r>
      <w:r w:rsidR="00E66E95" w:rsidRPr="00D520A0">
        <w:rPr>
          <w:lang w:val="en-GB"/>
        </w:rPr>
        <w:t>of course</w:t>
      </w:r>
      <w:r w:rsidR="00AC3CDE" w:rsidRPr="00D520A0">
        <w:rPr>
          <w:lang w:val="en-GB"/>
        </w:rPr>
        <w:t xml:space="preserve"> </w:t>
      </w:r>
      <w:r w:rsidRPr="00D520A0">
        <w:rPr>
          <w:lang w:val="en-GB"/>
        </w:rPr>
        <w:t xml:space="preserve">much </w:t>
      </w:r>
      <w:r w:rsidR="00B663DB" w:rsidRPr="00D520A0">
        <w:rPr>
          <w:lang w:val="en-GB"/>
        </w:rPr>
        <w:t>ICH</w:t>
      </w:r>
      <w:r w:rsidRPr="00D520A0">
        <w:rPr>
          <w:lang w:val="en-GB"/>
        </w:rPr>
        <w:t xml:space="preserve"> that has spiritual aspects. </w:t>
      </w:r>
      <w:r w:rsidR="00355534" w:rsidRPr="00D520A0">
        <w:rPr>
          <w:lang w:val="en-GB"/>
        </w:rPr>
        <w:t xml:space="preserve">There is at least one inventory compiled by a State Party that includes ‘pilgrimages’ as a </w:t>
      </w:r>
      <w:r w:rsidR="00876207" w:rsidRPr="00D520A0">
        <w:rPr>
          <w:lang w:val="en-GB"/>
        </w:rPr>
        <w:t xml:space="preserve">separate </w:t>
      </w:r>
      <w:r w:rsidR="00355534" w:rsidRPr="00D520A0">
        <w:rPr>
          <w:lang w:val="en-GB"/>
        </w:rPr>
        <w:t>domain.</w:t>
      </w:r>
    </w:p>
    <w:p w14:paraId="24A59562" w14:textId="0570C6D5" w:rsidR="004C284A" w:rsidRPr="00D520A0" w:rsidRDefault="004C284A" w:rsidP="009909DD">
      <w:pPr>
        <w:pStyle w:val="Texte1"/>
        <w:rPr>
          <w:lang w:val="en-GB"/>
        </w:rPr>
      </w:pPr>
      <w:r w:rsidRPr="00D520A0">
        <w:rPr>
          <w:lang w:val="en-GB"/>
        </w:rPr>
        <w:t>Since States have very d</w:t>
      </w:r>
      <w:r w:rsidR="00AC3CDE" w:rsidRPr="00D520A0">
        <w:rPr>
          <w:lang w:val="en-GB"/>
        </w:rPr>
        <w:t>ifferent linguistic and</w:t>
      </w:r>
      <w:r w:rsidRPr="00D520A0">
        <w:rPr>
          <w:lang w:val="en-GB"/>
        </w:rPr>
        <w:t xml:space="preserve"> religious </w:t>
      </w:r>
      <w:r w:rsidR="00AC3CDE" w:rsidRPr="00D520A0">
        <w:rPr>
          <w:lang w:val="en-GB"/>
        </w:rPr>
        <w:t>policies</w:t>
      </w:r>
      <w:r w:rsidRPr="00D520A0">
        <w:rPr>
          <w:lang w:val="en-GB"/>
        </w:rPr>
        <w:t xml:space="preserve">, it would have been impossible to reach </w:t>
      </w:r>
      <w:r w:rsidR="00596762" w:rsidRPr="00D520A0">
        <w:rPr>
          <w:lang w:val="en-GB"/>
        </w:rPr>
        <w:t xml:space="preserve">a </w:t>
      </w:r>
      <w:r w:rsidRPr="00D520A0">
        <w:rPr>
          <w:lang w:val="en-GB"/>
        </w:rPr>
        <w:t xml:space="preserve">consensus </w:t>
      </w:r>
      <w:r w:rsidR="00AC3CDE" w:rsidRPr="00D520A0">
        <w:rPr>
          <w:lang w:val="en-GB"/>
        </w:rPr>
        <w:t>on more precise recommendations about the place of language and belief systems</w:t>
      </w:r>
      <w:r w:rsidRPr="00D520A0">
        <w:rPr>
          <w:lang w:val="en-GB"/>
        </w:rPr>
        <w:t xml:space="preserve"> </w:t>
      </w:r>
      <w:r w:rsidR="00AC3CDE" w:rsidRPr="00D520A0">
        <w:rPr>
          <w:lang w:val="en-GB"/>
        </w:rPr>
        <w:t xml:space="preserve">in the list of domains in </w:t>
      </w:r>
      <w:r w:rsidRPr="00D520A0">
        <w:rPr>
          <w:lang w:val="en-GB"/>
        </w:rPr>
        <w:t>the Convention. An attempt to define the concept of communities or groups would have met with similar problems and would have significantly delayed the elaboration of the Convention.</w:t>
      </w:r>
    </w:p>
    <w:p w14:paraId="7F609D8D" w14:textId="31CD0DE0" w:rsidR="003A7D37" w:rsidRPr="00D520A0" w:rsidRDefault="00355534" w:rsidP="004936EF">
      <w:pPr>
        <w:pStyle w:val="Heading6"/>
        <w:rPr>
          <w:lang w:val="en-GB"/>
        </w:rPr>
      </w:pPr>
      <w:r w:rsidRPr="00D520A0">
        <w:rPr>
          <w:lang w:val="en-GB"/>
        </w:rPr>
        <w:lastRenderedPageBreak/>
        <w:t>Slide 11</w:t>
      </w:r>
      <w:r w:rsidR="003A7D37" w:rsidRPr="00D520A0">
        <w:rPr>
          <w:lang w:val="en-GB"/>
        </w:rPr>
        <w:t>.</w:t>
      </w:r>
    </w:p>
    <w:p w14:paraId="388918F8" w14:textId="30D3382F" w:rsidR="00355534" w:rsidRPr="00D520A0" w:rsidRDefault="00355534" w:rsidP="004936EF">
      <w:pPr>
        <w:pStyle w:val="diapo2"/>
        <w:rPr>
          <w:lang w:val="en-GB"/>
        </w:rPr>
      </w:pPr>
      <w:r w:rsidRPr="00D520A0">
        <w:rPr>
          <w:lang w:val="en-GB"/>
        </w:rPr>
        <w:t xml:space="preserve">Zema liturgical music </w:t>
      </w:r>
      <w:r w:rsidR="00DE44A1" w:rsidRPr="00D520A0">
        <w:rPr>
          <w:lang w:val="en-GB"/>
        </w:rPr>
        <w:t>(Ethiopia)</w:t>
      </w:r>
    </w:p>
    <w:p w14:paraId="7E8FA78C" w14:textId="776A8B0F" w:rsidR="003A7D37" w:rsidRPr="00D520A0" w:rsidRDefault="00355534" w:rsidP="009909DD">
      <w:pPr>
        <w:pStyle w:val="Texte1"/>
        <w:rPr>
          <w:lang w:val="en-GB"/>
        </w:rPr>
      </w:pPr>
      <w:r w:rsidRPr="00D520A0">
        <w:rPr>
          <w:lang w:val="en-GB"/>
        </w:rPr>
        <w:t xml:space="preserve">ICH elements with religious or sacred aspects to them have been inscribed on the Lists of the Convention. These include </w:t>
      </w:r>
      <w:r w:rsidR="006E4B46" w:rsidRPr="00D520A0">
        <w:rPr>
          <w:lang w:val="en-GB"/>
        </w:rPr>
        <w:t>‘</w:t>
      </w:r>
      <w:r w:rsidR="007A395A" w:rsidRPr="00D520A0">
        <w:rPr>
          <w:lang w:val="en-GB"/>
        </w:rPr>
        <w:t xml:space="preserve">Hopping </w:t>
      </w:r>
      <w:r w:rsidR="00982F4F" w:rsidRPr="00D520A0">
        <w:rPr>
          <w:lang w:val="en-GB"/>
        </w:rPr>
        <w:t>p</w:t>
      </w:r>
      <w:r w:rsidRPr="00D520A0">
        <w:rPr>
          <w:lang w:val="en-GB"/>
        </w:rPr>
        <w:t>rocession of Echternach</w:t>
      </w:r>
      <w:r w:rsidR="006E4B46" w:rsidRPr="00D520A0">
        <w:rPr>
          <w:lang w:val="en-GB"/>
        </w:rPr>
        <w:t>’</w:t>
      </w:r>
      <w:r w:rsidRPr="00D520A0">
        <w:rPr>
          <w:lang w:val="en-GB"/>
        </w:rPr>
        <w:t xml:space="preserve"> (Luxembourg), </w:t>
      </w:r>
      <w:r w:rsidR="006E4B46" w:rsidRPr="00D520A0">
        <w:rPr>
          <w:lang w:val="en-GB"/>
        </w:rPr>
        <w:t>‘</w:t>
      </w:r>
      <w:r w:rsidRPr="00D520A0">
        <w:rPr>
          <w:rFonts w:eastAsia="Times New Roman" w:cs="Times New Roman"/>
          <w:lang w:val="en-GB"/>
        </w:rPr>
        <w:t>Semah, Alevi-Bektaşi ritual</w:t>
      </w:r>
      <w:r w:rsidR="006E4B46" w:rsidRPr="00D520A0">
        <w:rPr>
          <w:rFonts w:eastAsia="Times New Roman" w:cs="Times New Roman"/>
          <w:lang w:val="en-GB"/>
        </w:rPr>
        <w:t>’</w:t>
      </w:r>
      <w:r w:rsidRPr="00D520A0">
        <w:rPr>
          <w:rFonts w:eastAsia="Times New Roman" w:cs="Times New Roman"/>
          <w:lang w:val="en-GB"/>
        </w:rPr>
        <w:t xml:space="preserve"> </w:t>
      </w:r>
      <w:r w:rsidRPr="00D520A0">
        <w:rPr>
          <w:lang w:val="en-GB"/>
        </w:rPr>
        <w:t xml:space="preserve">(Turkey), </w:t>
      </w:r>
      <w:r w:rsidR="006E4B46" w:rsidRPr="00D520A0">
        <w:rPr>
          <w:lang w:val="en-GB"/>
        </w:rPr>
        <w:t>‘</w:t>
      </w:r>
      <w:r w:rsidR="007A395A" w:rsidRPr="00D520A0">
        <w:rPr>
          <w:rFonts w:eastAsia="Times New Roman" w:cs="Times New Roman"/>
          <w:lang w:val="en-GB"/>
        </w:rPr>
        <w:t xml:space="preserve">Carnival </w:t>
      </w:r>
      <w:r w:rsidRPr="00D520A0">
        <w:rPr>
          <w:rFonts w:eastAsia="Times New Roman" w:cs="Times New Roman"/>
          <w:lang w:val="en-GB"/>
        </w:rPr>
        <w:t>of Oruro</w:t>
      </w:r>
      <w:r w:rsidR="006E4B46" w:rsidRPr="00D520A0">
        <w:rPr>
          <w:rFonts w:eastAsia="Times New Roman" w:cs="Times New Roman"/>
          <w:lang w:val="en-GB"/>
        </w:rPr>
        <w:t>’</w:t>
      </w:r>
      <w:r w:rsidRPr="00D520A0">
        <w:rPr>
          <w:rFonts w:eastAsia="Times New Roman" w:cs="Times New Roman"/>
          <w:lang w:val="en-GB"/>
        </w:rPr>
        <w:t xml:space="preserve"> (</w:t>
      </w:r>
      <w:r w:rsidR="00982F4F" w:rsidRPr="00D520A0">
        <w:rPr>
          <w:rFonts w:eastAsia="Times New Roman" w:cs="Times New Roman"/>
          <w:lang w:val="en-GB"/>
        </w:rPr>
        <w:t xml:space="preserve">Plurinational State of </w:t>
      </w:r>
      <w:r w:rsidRPr="00D520A0">
        <w:rPr>
          <w:rFonts w:eastAsia="Times New Roman" w:cs="Times New Roman"/>
          <w:lang w:val="en-GB"/>
        </w:rPr>
        <w:t xml:space="preserve">Bolivia), </w:t>
      </w:r>
      <w:r w:rsidR="006E4B46" w:rsidRPr="00D520A0">
        <w:rPr>
          <w:rFonts w:eastAsia="Times New Roman" w:cs="Times New Roman"/>
          <w:lang w:val="en-GB"/>
        </w:rPr>
        <w:t>‘</w:t>
      </w:r>
      <w:r w:rsidRPr="00D520A0">
        <w:rPr>
          <w:lang w:val="en-GB"/>
        </w:rPr>
        <w:t>Ramman: religious festival and ritual theatre of the Garhwal Himalayas</w:t>
      </w:r>
      <w:r w:rsidR="006E4B46" w:rsidRPr="00D520A0">
        <w:rPr>
          <w:lang w:val="en-GB"/>
        </w:rPr>
        <w:t>’</w:t>
      </w:r>
      <w:r w:rsidRPr="00D520A0">
        <w:rPr>
          <w:lang w:val="en-GB"/>
        </w:rPr>
        <w:t xml:space="preserve"> (India) and </w:t>
      </w:r>
      <w:r w:rsidR="006E4B46" w:rsidRPr="00D520A0">
        <w:rPr>
          <w:lang w:val="en-GB"/>
        </w:rPr>
        <w:t>‘</w:t>
      </w:r>
      <w:r w:rsidRPr="00D520A0">
        <w:rPr>
          <w:lang w:val="en-GB"/>
        </w:rPr>
        <w:t>Ahellil of Gourara</w:t>
      </w:r>
      <w:r w:rsidR="006E4B46" w:rsidRPr="00D520A0">
        <w:rPr>
          <w:lang w:val="en-GB"/>
        </w:rPr>
        <w:t>’</w:t>
      </w:r>
      <w:r w:rsidRPr="00D520A0">
        <w:rPr>
          <w:lang w:val="en-GB"/>
        </w:rPr>
        <w:t xml:space="preserve"> (Algeria).</w:t>
      </w:r>
    </w:p>
    <w:p w14:paraId="1AD51FF3" w14:textId="1267C0AD" w:rsidR="00DE44A1" w:rsidRPr="00D520A0" w:rsidRDefault="00876207" w:rsidP="00240750">
      <w:pPr>
        <w:pStyle w:val="Informations0"/>
        <w:keepNext/>
        <w:rPr>
          <w:i w:val="0"/>
          <w:noProof/>
          <w:lang w:val="en-GB" w:eastAsia="fr-FR"/>
        </w:rPr>
      </w:pPr>
      <w:r w:rsidRPr="00D520A0">
        <w:rPr>
          <w:i w:val="0"/>
          <w:lang w:val="en-GB"/>
        </w:rPr>
        <w:t>See</w:t>
      </w:r>
      <w:r w:rsidR="009128ED" w:rsidRPr="00D520A0">
        <w:rPr>
          <w:i w:val="0"/>
          <w:noProof/>
          <w:lang w:eastAsia="zh-TW"/>
        </w:rPr>
        <w:drawing>
          <wp:anchor distT="0" distB="0" distL="114300" distR="114300" simplePos="0" relativeHeight="251658752" behindDoc="0" locked="1" layoutInCell="1" allowOverlap="0" wp14:anchorId="5E48F15E" wp14:editId="13173A1A">
            <wp:simplePos x="0" y="0"/>
            <wp:positionH relativeFrom="column">
              <wp:posOffset>-1270</wp:posOffset>
            </wp:positionH>
            <wp:positionV relativeFrom="paragraph">
              <wp:posOffset>-1905</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D520A0">
        <w:rPr>
          <w:i w:val="0"/>
          <w:lang w:val="en-GB"/>
        </w:rPr>
        <w:t xml:space="preserve">: </w:t>
      </w:r>
      <w:hyperlink r:id="rId18" w:history="1">
        <w:r w:rsidR="00DE44A1" w:rsidRPr="00D520A0">
          <w:rPr>
            <w:rStyle w:val="Hyperlink"/>
            <w:i w:val="0"/>
            <w:noProof/>
            <w:lang w:val="en-GB" w:eastAsia="fr-FR"/>
          </w:rPr>
          <w:t>http://www.unesco.org/culture/ich/en/lists/</w:t>
        </w:r>
      </w:hyperlink>
    </w:p>
    <w:p w14:paraId="32BC27DC" w14:textId="5A364162" w:rsidR="00355534" w:rsidRPr="00D520A0" w:rsidRDefault="00355534" w:rsidP="002C34BC">
      <w:pPr>
        <w:pStyle w:val="Texte1"/>
        <w:rPr>
          <w:rFonts w:eastAsia="Times New Roman" w:cs="Times New Roman"/>
          <w:lang w:val="en-GB"/>
        </w:rPr>
      </w:pPr>
      <w:r w:rsidRPr="00D520A0">
        <w:rPr>
          <w:lang w:val="en-GB"/>
        </w:rPr>
        <w:t>Zema liturgical music is another example of an ICH element with religious or sacred aspects. It has not been inscribed on any Lists of the Convention, but that does not make it any less important than those that have been inscribed.</w:t>
      </w:r>
    </w:p>
    <w:p w14:paraId="7751E53B" w14:textId="6E773307" w:rsidR="00355534" w:rsidRPr="00D520A0" w:rsidRDefault="00355534" w:rsidP="004936EF">
      <w:pPr>
        <w:pStyle w:val="Soustitre"/>
        <w:rPr>
          <w:lang w:val="en-GB"/>
        </w:rPr>
      </w:pPr>
      <w:r w:rsidRPr="00D520A0">
        <w:rPr>
          <w:lang w:val="en-GB"/>
        </w:rPr>
        <w:t>F</w:t>
      </w:r>
      <w:r w:rsidR="00531DC3" w:rsidRPr="00D520A0">
        <w:rPr>
          <w:lang w:val="en-GB"/>
        </w:rPr>
        <w:t>or f</w:t>
      </w:r>
      <w:r w:rsidRPr="00D520A0">
        <w:rPr>
          <w:lang w:val="en-GB"/>
        </w:rPr>
        <w:t>urther information:</w:t>
      </w:r>
    </w:p>
    <w:p w14:paraId="388B4153" w14:textId="520D2DC8" w:rsidR="000D1FF6" w:rsidRPr="00D520A0" w:rsidRDefault="0006318A" w:rsidP="00D520A0">
      <w:pPr>
        <w:pStyle w:val="nutiret"/>
        <w:rPr>
          <w:lang w:val="en-GB"/>
        </w:rPr>
      </w:pPr>
      <w:r w:rsidRPr="00D520A0">
        <w:rPr>
          <w:lang w:val="en-GB"/>
        </w:rPr>
        <w:t>Kaufman Shelemay, K. and Jeffery, P. (eds). 1993.</w:t>
      </w:r>
      <w:r w:rsidRPr="00D520A0">
        <w:rPr>
          <w:i/>
          <w:lang w:val="en-GB"/>
        </w:rPr>
        <w:t xml:space="preserve"> </w:t>
      </w:r>
      <w:r w:rsidR="00355534" w:rsidRPr="00D520A0">
        <w:rPr>
          <w:i/>
          <w:lang w:val="en-GB"/>
        </w:rPr>
        <w:t>Ethiopian Christian Liturgical Chant: an anthology</w:t>
      </w:r>
      <w:r w:rsidRPr="00D520A0">
        <w:rPr>
          <w:lang w:val="en-GB"/>
        </w:rPr>
        <w:t>.</w:t>
      </w:r>
      <w:r w:rsidR="00355534" w:rsidRPr="00D520A0">
        <w:rPr>
          <w:lang w:val="en-GB"/>
        </w:rPr>
        <w:t xml:space="preserve"> A-R Editions Inc.</w:t>
      </w:r>
      <w:r w:rsidRPr="00D520A0">
        <w:rPr>
          <w:lang w:val="en-GB"/>
        </w:rPr>
        <w:t xml:space="preserve"> 3 vols.</w:t>
      </w:r>
    </w:p>
    <w:p w14:paraId="5155CF50" w14:textId="77777777" w:rsidR="000D1FF6" w:rsidRPr="00D520A0" w:rsidRDefault="000D1FF6" w:rsidP="000D1FF6">
      <w:pPr>
        <w:pStyle w:val="UTit4"/>
        <w:rPr>
          <w:rFonts w:asciiTheme="minorBidi" w:hAnsiTheme="minorBidi" w:cstheme="minorBidi"/>
          <w:caps w:val="0"/>
          <w:color w:val="3366FF"/>
          <w:sz w:val="24"/>
          <w:lang w:val="en-GB"/>
        </w:rPr>
      </w:pPr>
      <w:r w:rsidRPr="00D520A0">
        <w:rPr>
          <w:rFonts w:asciiTheme="minorBidi" w:hAnsiTheme="minorBidi" w:cstheme="minorBidi"/>
          <w:caps w:val="0"/>
          <w:color w:val="3366FF"/>
          <w:sz w:val="24"/>
          <w:lang w:val="en-GB"/>
        </w:rPr>
        <w:t>Exercise: Domains</w:t>
      </w:r>
    </w:p>
    <w:p w14:paraId="63FF18CF" w14:textId="77777777" w:rsidR="000D1FF6" w:rsidRPr="00D520A0" w:rsidRDefault="000D1FF6" w:rsidP="000D1FF6">
      <w:pPr>
        <w:pStyle w:val="UTit4"/>
        <w:spacing w:before="120"/>
        <w:rPr>
          <w:rFonts w:asciiTheme="minorBidi" w:hAnsiTheme="minorBidi" w:cstheme="minorBidi"/>
          <w:caps w:val="0"/>
          <w:sz w:val="24"/>
          <w:lang w:val="en-GB"/>
        </w:rPr>
      </w:pPr>
      <w:r w:rsidRPr="00D520A0">
        <w:rPr>
          <w:rFonts w:asciiTheme="minorBidi" w:hAnsiTheme="minorBidi" w:cstheme="minorBidi"/>
          <w:caps w:val="0"/>
          <w:sz w:val="24"/>
          <w:lang w:val="en-GB"/>
        </w:rPr>
        <w:t>10 mins</w:t>
      </w:r>
    </w:p>
    <w:p w14:paraId="4C67BADB" w14:textId="07289B8C" w:rsidR="000D1FF6" w:rsidRPr="00D520A0" w:rsidRDefault="000D1FF6" w:rsidP="000D1FF6">
      <w:pPr>
        <w:pStyle w:val="Upuce"/>
        <w:numPr>
          <w:ilvl w:val="0"/>
          <w:numId w:val="0"/>
        </w:numPr>
        <w:tabs>
          <w:tab w:val="clear" w:pos="567"/>
          <w:tab w:val="left" w:pos="110"/>
        </w:tabs>
        <w:ind w:left="113"/>
        <w:rPr>
          <w:lang w:val="en-GB"/>
        </w:rPr>
      </w:pPr>
      <w:r w:rsidRPr="00D520A0">
        <w:rPr>
          <w:lang w:val="en-GB"/>
        </w:rPr>
        <w:t xml:space="preserve">This exercise illustrates the variety of ways in which ICH element(s) can be classified. Participants should be asked to mention various examples of </w:t>
      </w:r>
      <w:r w:rsidR="00B663DB" w:rsidRPr="00D520A0">
        <w:rPr>
          <w:lang w:val="en-GB"/>
        </w:rPr>
        <w:t>ICH</w:t>
      </w:r>
      <w:r w:rsidRPr="00D520A0">
        <w:rPr>
          <w:lang w:val="en-GB"/>
        </w:rPr>
        <w:t xml:space="preserve"> and see if they can reach agreement on one or more domains (either those used in the Convention or others) into which the elements could potentially be classified. The facilitator may also present one or more ICH elements and ask participants to determine to which domains mentioned in the Convention they might belong. The next two slides (Slide 12 and 13) may be used for this exercise.</w:t>
      </w:r>
    </w:p>
    <w:p w14:paraId="42782E7D" w14:textId="77777777" w:rsidR="000D1FF6" w:rsidRPr="00D520A0" w:rsidRDefault="000D1FF6" w:rsidP="000D1FF6">
      <w:pPr>
        <w:pStyle w:val="Upuce"/>
        <w:numPr>
          <w:ilvl w:val="0"/>
          <w:numId w:val="0"/>
        </w:numPr>
        <w:tabs>
          <w:tab w:val="clear" w:pos="567"/>
          <w:tab w:val="left" w:pos="110"/>
        </w:tabs>
        <w:ind w:left="113"/>
        <w:rPr>
          <w:lang w:val="en-GB"/>
        </w:rPr>
      </w:pPr>
      <w:r w:rsidRPr="00D520A0">
        <w:rPr>
          <w:lang w:val="en-GB"/>
        </w:rPr>
        <w:t>The goal of the exercise is to show (1) the difficulty of classifying ICH into a single domain; and (2) the non-exhaustive nature of the list of domains in Article 2.2. Classifying ICH into domains is not given particular emphasis in the Convention.</w:t>
      </w:r>
    </w:p>
    <w:p w14:paraId="2E0E76CA" w14:textId="141E92E8" w:rsidR="00FD0763" w:rsidRPr="00D520A0" w:rsidRDefault="000D1FF6" w:rsidP="004936EF">
      <w:pPr>
        <w:pStyle w:val="Soustitre"/>
        <w:rPr>
          <w:caps/>
          <w:lang w:val="en-GB"/>
        </w:rPr>
      </w:pPr>
      <w:bookmarkStart w:id="20" w:name="_Toc238982212"/>
      <w:r w:rsidRPr="00D520A0">
        <w:rPr>
          <w:lang w:val="en-GB"/>
        </w:rPr>
        <w:t>C</w:t>
      </w:r>
      <w:r w:rsidR="00FD0763" w:rsidRPr="00D520A0">
        <w:rPr>
          <w:lang w:val="en-GB"/>
        </w:rPr>
        <w:t>lassification of ICH into domains</w:t>
      </w:r>
      <w:bookmarkEnd w:id="20"/>
    </w:p>
    <w:p w14:paraId="7BEFFC8B" w14:textId="6BAE7A32" w:rsidR="0058713F" w:rsidRPr="00D520A0" w:rsidRDefault="00FD0763">
      <w:pPr>
        <w:pStyle w:val="Texte1"/>
        <w:rPr>
          <w:lang w:val="en-GB"/>
        </w:rPr>
      </w:pPr>
      <w:r w:rsidRPr="00D520A0">
        <w:rPr>
          <w:kern w:val="28"/>
          <w:lang w:val="en-GB"/>
        </w:rPr>
        <w:t xml:space="preserve">The facilitator should </w:t>
      </w:r>
      <w:r w:rsidR="00B729FD" w:rsidRPr="00D520A0">
        <w:rPr>
          <w:kern w:val="28"/>
          <w:lang w:val="en-GB"/>
        </w:rPr>
        <w:t>remind participants</w:t>
      </w:r>
      <w:r w:rsidRPr="00D520A0">
        <w:rPr>
          <w:kern w:val="28"/>
          <w:lang w:val="en-GB"/>
        </w:rPr>
        <w:t xml:space="preserve"> that classification of ICH elements into domains in the Convention is explicitly not exhaustive</w:t>
      </w:r>
      <w:r w:rsidR="00B729FD" w:rsidRPr="00D520A0">
        <w:rPr>
          <w:kern w:val="28"/>
          <w:lang w:val="en-GB"/>
        </w:rPr>
        <w:t xml:space="preserve">. </w:t>
      </w:r>
      <w:r w:rsidR="00726D09" w:rsidRPr="00D520A0">
        <w:rPr>
          <w:kern w:val="28"/>
          <w:lang w:val="en-GB"/>
        </w:rPr>
        <w:t xml:space="preserve">States Parties developing their own classification systems have often added one or more domains or made other adaptations to the </w:t>
      </w:r>
      <w:r w:rsidR="00B856A9" w:rsidRPr="00D520A0">
        <w:rPr>
          <w:kern w:val="28"/>
          <w:lang w:val="en-GB"/>
        </w:rPr>
        <w:t>Lists</w:t>
      </w:r>
      <w:r w:rsidR="00726D09" w:rsidRPr="00D520A0">
        <w:rPr>
          <w:kern w:val="28"/>
          <w:lang w:val="en-GB"/>
        </w:rPr>
        <w:t>. </w:t>
      </w:r>
      <w:r w:rsidR="00B729FD" w:rsidRPr="00D520A0">
        <w:rPr>
          <w:kern w:val="28"/>
          <w:lang w:val="en-GB"/>
        </w:rPr>
        <w:t>T</w:t>
      </w:r>
      <w:r w:rsidRPr="00D520A0">
        <w:rPr>
          <w:kern w:val="28"/>
          <w:lang w:val="en-GB"/>
        </w:rPr>
        <w:t>he domains mentioned in the Convention are not mutually exclusive</w:t>
      </w:r>
      <w:r w:rsidR="00726D09" w:rsidRPr="00D520A0">
        <w:rPr>
          <w:kern w:val="28"/>
          <w:lang w:val="en-GB"/>
        </w:rPr>
        <w:t xml:space="preserve"> either</w:t>
      </w:r>
      <w:r w:rsidRPr="00D520A0">
        <w:rPr>
          <w:kern w:val="28"/>
          <w:lang w:val="en-GB"/>
        </w:rPr>
        <w:t xml:space="preserve">: one element may belong to more than one of these domains. There are, of course, many ways of classifying ICH elements, used in academic contexts. In many </w:t>
      </w:r>
      <w:r w:rsidR="00B856A9" w:rsidRPr="00D520A0">
        <w:rPr>
          <w:kern w:val="28"/>
          <w:lang w:val="en-GB"/>
        </w:rPr>
        <w:t>instances, </w:t>
      </w:r>
      <w:r w:rsidRPr="00D520A0">
        <w:rPr>
          <w:kern w:val="28"/>
          <w:lang w:val="en-GB"/>
        </w:rPr>
        <w:t xml:space="preserve">these classifications are not meaningful </w:t>
      </w:r>
      <w:r w:rsidR="00B856A9" w:rsidRPr="00D520A0">
        <w:rPr>
          <w:kern w:val="28"/>
          <w:lang w:val="en-GB"/>
        </w:rPr>
        <w:t xml:space="preserve">for </w:t>
      </w:r>
      <w:r w:rsidRPr="00D520A0">
        <w:rPr>
          <w:kern w:val="28"/>
          <w:lang w:val="en-GB"/>
        </w:rPr>
        <w:t xml:space="preserve">the communities who </w:t>
      </w:r>
      <w:r w:rsidR="00B856A9" w:rsidRPr="00D520A0">
        <w:rPr>
          <w:kern w:val="28"/>
          <w:lang w:val="en-GB"/>
        </w:rPr>
        <w:t>must</w:t>
      </w:r>
      <w:r w:rsidRPr="00D520A0">
        <w:rPr>
          <w:kern w:val="28"/>
          <w:lang w:val="en-GB"/>
        </w:rPr>
        <w:t xml:space="preserve"> be involved in the identification, definition and </w:t>
      </w:r>
      <w:r w:rsidR="00B54077" w:rsidRPr="00D520A0">
        <w:rPr>
          <w:kern w:val="28"/>
          <w:lang w:val="en-GB"/>
        </w:rPr>
        <w:t>management</w:t>
      </w:r>
      <w:r w:rsidRPr="00D520A0">
        <w:rPr>
          <w:kern w:val="28"/>
          <w:lang w:val="en-GB"/>
        </w:rPr>
        <w:t xml:space="preserve"> of their ICH. </w:t>
      </w:r>
      <w:r w:rsidR="00B856A9" w:rsidRPr="00D520A0">
        <w:rPr>
          <w:kern w:val="28"/>
          <w:lang w:val="en-GB"/>
        </w:rPr>
        <w:t>Nor would s</w:t>
      </w:r>
      <w:r w:rsidRPr="00D520A0">
        <w:rPr>
          <w:kern w:val="28"/>
          <w:lang w:val="en-GB"/>
        </w:rPr>
        <w:t xml:space="preserve">uch classifications necessarily contribute to the safeguarding of ICH, </w:t>
      </w:r>
      <w:r w:rsidR="00726D09" w:rsidRPr="00D520A0">
        <w:rPr>
          <w:kern w:val="28"/>
          <w:lang w:val="en-GB"/>
        </w:rPr>
        <w:t xml:space="preserve">which </w:t>
      </w:r>
      <w:r w:rsidRPr="00D520A0">
        <w:rPr>
          <w:kern w:val="28"/>
          <w:lang w:val="en-GB"/>
        </w:rPr>
        <w:t xml:space="preserve">remains the main objective of the Convention. Too much emphasis should therefore </w:t>
      </w:r>
      <w:r w:rsidR="001F6493" w:rsidRPr="00D520A0">
        <w:rPr>
          <w:kern w:val="28"/>
          <w:lang w:val="en-GB"/>
        </w:rPr>
        <w:t xml:space="preserve">not </w:t>
      </w:r>
      <w:r w:rsidRPr="00D520A0">
        <w:rPr>
          <w:kern w:val="28"/>
          <w:lang w:val="en-GB"/>
        </w:rPr>
        <w:t xml:space="preserve">be placed on inventing complicated classification systems in the framework of the implementation of the Convention </w:t>
      </w:r>
      <w:r w:rsidR="0028620A" w:rsidRPr="00D520A0">
        <w:rPr>
          <w:kern w:val="28"/>
          <w:lang w:val="en-GB"/>
        </w:rPr>
        <w:t>at</w:t>
      </w:r>
      <w:r w:rsidRPr="00D520A0">
        <w:rPr>
          <w:kern w:val="28"/>
          <w:lang w:val="en-GB"/>
        </w:rPr>
        <w:t xml:space="preserve"> the national level.</w:t>
      </w:r>
    </w:p>
    <w:p w14:paraId="40B8668B" w14:textId="11C4AA67" w:rsidR="00002803" w:rsidRPr="00D520A0" w:rsidRDefault="004C284A" w:rsidP="004936EF">
      <w:pPr>
        <w:pStyle w:val="Heading6"/>
        <w:rPr>
          <w:lang w:val="en-GB"/>
        </w:rPr>
      </w:pPr>
      <w:r w:rsidRPr="00D520A0">
        <w:rPr>
          <w:lang w:val="en-GB"/>
        </w:rPr>
        <w:lastRenderedPageBreak/>
        <w:t>Slide 12</w:t>
      </w:r>
      <w:r w:rsidR="00002803" w:rsidRPr="00D520A0">
        <w:rPr>
          <w:lang w:val="en-GB"/>
        </w:rPr>
        <w:t>.</w:t>
      </w:r>
    </w:p>
    <w:p w14:paraId="7D42BAAF" w14:textId="59CA0BF0" w:rsidR="004C284A" w:rsidRPr="00D520A0" w:rsidRDefault="004C284A" w:rsidP="004936EF">
      <w:pPr>
        <w:pStyle w:val="diapo2"/>
        <w:rPr>
          <w:lang w:val="en-GB"/>
        </w:rPr>
      </w:pPr>
      <w:r w:rsidRPr="00D520A0">
        <w:rPr>
          <w:lang w:val="en-GB"/>
        </w:rPr>
        <w:t xml:space="preserve">Hudhud </w:t>
      </w:r>
      <w:r w:rsidR="00810AC6" w:rsidRPr="00D520A0">
        <w:rPr>
          <w:lang w:val="en-GB"/>
        </w:rPr>
        <w:t>c</w:t>
      </w:r>
      <w:r w:rsidRPr="00D520A0">
        <w:rPr>
          <w:lang w:val="en-GB"/>
        </w:rPr>
        <w:t>hants of the Ifugao</w:t>
      </w:r>
      <w:r w:rsidR="00DE44A1" w:rsidRPr="00D520A0">
        <w:rPr>
          <w:lang w:val="en-GB"/>
        </w:rPr>
        <w:t xml:space="preserve"> (</w:t>
      </w:r>
      <w:r w:rsidR="00CE6AE1" w:rsidRPr="00D520A0">
        <w:rPr>
          <w:lang w:val="en-GB"/>
        </w:rPr>
        <w:t>t</w:t>
      </w:r>
      <w:r w:rsidR="00DE44A1" w:rsidRPr="00D520A0">
        <w:rPr>
          <w:lang w:val="en-GB"/>
        </w:rPr>
        <w:t>he Philippines)</w:t>
      </w:r>
    </w:p>
    <w:p w14:paraId="65F134D1" w14:textId="6811F4FA" w:rsidR="00B74819" w:rsidRPr="00D520A0" w:rsidRDefault="00C37CB0">
      <w:pPr>
        <w:pStyle w:val="Texte1"/>
        <w:rPr>
          <w:lang w:val="en-GB"/>
        </w:rPr>
      </w:pPr>
      <w:r w:rsidRPr="00D520A0">
        <w:rPr>
          <w:szCs w:val="20"/>
          <w:lang w:val="en-GB"/>
        </w:rPr>
        <w:t xml:space="preserve">Many elements of </w:t>
      </w:r>
      <w:r w:rsidR="000D1FF6" w:rsidRPr="00D520A0">
        <w:rPr>
          <w:szCs w:val="20"/>
          <w:lang w:val="en-GB"/>
        </w:rPr>
        <w:t>ICH</w:t>
      </w:r>
      <w:r w:rsidRPr="00D520A0">
        <w:rPr>
          <w:szCs w:val="20"/>
          <w:lang w:val="en-GB"/>
        </w:rPr>
        <w:t xml:space="preserve"> could be classified under a number of domains. One example of this is </w:t>
      </w:r>
      <w:r w:rsidR="006E4B46" w:rsidRPr="00D520A0">
        <w:rPr>
          <w:szCs w:val="20"/>
          <w:lang w:val="en-GB"/>
        </w:rPr>
        <w:t>‘</w:t>
      </w:r>
      <w:r w:rsidRPr="00D520A0">
        <w:rPr>
          <w:szCs w:val="20"/>
          <w:lang w:val="en-GB"/>
        </w:rPr>
        <w:t xml:space="preserve">Hudhud </w:t>
      </w:r>
      <w:r w:rsidR="00810AC6" w:rsidRPr="00D520A0">
        <w:rPr>
          <w:szCs w:val="20"/>
          <w:lang w:val="en-GB"/>
        </w:rPr>
        <w:t>c</w:t>
      </w:r>
      <w:r w:rsidRPr="00D520A0">
        <w:rPr>
          <w:szCs w:val="20"/>
          <w:lang w:val="en-GB"/>
        </w:rPr>
        <w:t>hants of the Ifugao</w:t>
      </w:r>
      <w:r w:rsidR="006E4B46" w:rsidRPr="00D520A0">
        <w:rPr>
          <w:szCs w:val="20"/>
          <w:lang w:val="en-GB"/>
        </w:rPr>
        <w:t>’</w:t>
      </w:r>
      <w:r w:rsidRPr="00D520A0">
        <w:rPr>
          <w:szCs w:val="20"/>
          <w:lang w:val="en-GB"/>
        </w:rPr>
        <w:t xml:space="preserve"> (Philippines), integrated in the RL in 2008 from the former Masterpieces programme</w:t>
      </w:r>
      <w:r w:rsidR="000D1FF6" w:rsidRPr="00D520A0">
        <w:rPr>
          <w:szCs w:val="20"/>
          <w:lang w:val="en-GB"/>
        </w:rPr>
        <w:t>. The element</w:t>
      </w:r>
      <w:r w:rsidRPr="00D520A0">
        <w:rPr>
          <w:szCs w:val="20"/>
          <w:lang w:val="en-GB"/>
        </w:rPr>
        <w:t xml:space="preserve"> could be classified under oral expressions, ritual practices or knowledge about nature and the universe. </w:t>
      </w:r>
      <w:r w:rsidR="00B74819" w:rsidRPr="00D520A0">
        <w:rPr>
          <w:lang w:val="en-GB"/>
        </w:rPr>
        <w:t xml:space="preserve">Refer to </w:t>
      </w:r>
      <w:r w:rsidR="00F02D08" w:rsidRPr="00D520A0">
        <w:rPr>
          <w:lang w:val="en-GB"/>
        </w:rPr>
        <w:t>Participant’s</w:t>
      </w:r>
      <w:r w:rsidR="002A3923" w:rsidRPr="00D520A0">
        <w:rPr>
          <w:lang w:val="en-GB"/>
        </w:rPr>
        <w:t xml:space="preserve"> text </w:t>
      </w:r>
      <w:r w:rsidR="00D0449A" w:rsidRPr="00D520A0">
        <w:rPr>
          <w:lang w:val="en-GB"/>
        </w:rPr>
        <w:t>Unit</w:t>
      </w:r>
      <w:r w:rsidR="00442E1A" w:rsidRPr="00D520A0">
        <w:rPr>
          <w:lang w:val="en-GB"/>
        </w:rPr>
        <w:t> </w:t>
      </w:r>
      <w:r w:rsidR="00B74819" w:rsidRPr="00D520A0">
        <w:rPr>
          <w:lang w:val="en-GB"/>
        </w:rPr>
        <w:t xml:space="preserve">3, </w:t>
      </w:r>
      <w:r w:rsidR="00D0449A" w:rsidRPr="00D520A0">
        <w:rPr>
          <w:lang w:val="en-GB"/>
        </w:rPr>
        <w:t xml:space="preserve">and </w:t>
      </w:r>
      <w:r w:rsidR="00DE44A1" w:rsidRPr="00D520A0">
        <w:rPr>
          <w:lang w:val="en-GB"/>
        </w:rPr>
        <w:t>C</w:t>
      </w:r>
      <w:r w:rsidR="00442E1A" w:rsidRPr="00D520A0">
        <w:rPr>
          <w:lang w:val="en-GB"/>
        </w:rPr>
        <w:t>ase study </w:t>
      </w:r>
      <w:r w:rsidR="00B74819" w:rsidRPr="00D520A0">
        <w:rPr>
          <w:lang w:val="en-GB"/>
        </w:rPr>
        <w:t>3</w:t>
      </w:r>
      <w:r w:rsidR="00B577F8" w:rsidRPr="00D520A0">
        <w:rPr>
          <w:lang w:val="en-GB"/>
        </w:rPr>
        <w:t>3</w:t>
      </w:r>
      <w:r w:rsidR="00B74819" w:rsidRPr="00D520A0">
        <w:rPr>
          <w:lang w:val="en-GB"/>
        </w:rPr>
        <w:t>.</w:t>
      </w:r>
    </w:p>
    <w:p w14:paraId="761DB8AD" w14:textId="72AB57C4" w:rsidR="00BB3E98" w:rsidRPr="00D520A0" w:rsidRDefault="00503D89">
      <w:pPr>
        <w:pStyle w:val="Informations0"/>
        <w:rPr>
          <w:i w:val="0"/>
          <w:lang w:val="en-GB"/>
        </w:rPr>
      </w:pPr>
      <w:r w:rsidRPr="00D520A0">
        <w:rPr>
          <w:i w:val="0"/>
          <w:iCs/>
          <w:noProof/>
          <w:lang w:eastAsia="zh-TW"/>
        </w:rPr>
        <w:drawing>
          <wp:anchor distT="0" distB="0" distL="114300" distR="114300" simplePos="0" relativeHeight="251659776" behindDoc="0" locked="1" layoutInCell="1" allowOverlap="0" wp14:anchorId="1E5E6110" wp14:editId="51A79C74">
            <wp:simplePos x="0" y="0"/>
            <wp:positionH relativeFrom="column">
              <wp:posOffset>-52705</wp:posOffset>
            </wp:positionH>
            <wp:positionV relativeFrom="paragraph">
              <wp:posOffset>-48895</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D714AD" w:rsidRPr="00D520A0">
        <w:rPr>
          <w:i w:val="0"/>
          <w:iCs/>
          <w:lang w:val="en-GB"/>
        </w:rPr>
        <w:t>See</w:t>
      </w:r>
      <w:r w:rsidR="009C1EE4" w:rsidRPr="00D520A0">
        <w:rPr>
          <w:i w:val="0"/>
          <w:lang w:val="en-GB"/>
        </w:rPr>
        <w:t xml:space="preserve">: </w:t>
      </w:r>
      <w:hyperlink r:id="rId19" w:history="1">
        <w:r w:rsidR="00E21233" w:rsidRPr="00D520A0">
          <w:rPr>
            <w:rStyle w:val="Hyperlink"/>
            <w:i w:val="0"/>
            <w:color w:val="3366FF"/>
            <w:u w:val="none"/>
            <w:lang w:val="en-GB"/>
          </w:rPr>
          <w:t>http://www.unesco.org/culture/ich/en/RL/00015</w:t>
        </w:r>
      </w:hyperlink>
    </w:p>
    <w:p w14:paraId="6D42C93E" w14:textId="2EF874CA" w:rsidR="00002803" w:rsidRPr="00D520A0" w:rsidRDefault="004C284A" w:rsidP="004936EF">
      <w:pPr>
        <w:pStyle w:val="Heading6"/>
        <w:rPr>
          <w:lang w:val="en-GB"/>
        </w:rPr>
      </w:pPr>
      <w:r w:rsidRPr="00D520A0">
        <w:rPr>
          <w:lang w:val="en-GB"/>
        </w:rPr>
        <w:t>Slide 13</w:t>
      </w:r>
      <w:r w:rsidR="00002803" w:rsidRPr="00D520A0">
        <w:rPr>
          <w:lang w:val="en-GB"/>
        </w:rPr>
        <w:t>.</w:t>
      </w:r>
    </w:p>
    <w:p w14:paraId="362F4E3A" w14:textId="46EE3A54" w:rsidR="004C284A" w:rsidRPr="00D520A0" w:rsidRDefault="004C284A" w:rsidP="004936EF">
      <w:pPr>
        <w:pStyle w:val="diapo2"/>
        <w:rPr>
          <w:lang w:val="en-GB"/>
        </w:rPr>
      </w:pPr>
      <w:r w:rsidRPr="00D520A0">
        <w:rPr>
          <w:lang w:val="en-GB"/>
        </w:rPr>
        <w:t xml:space="preserve">Vanuatu </w:t>
      </w:r>
      <w:r w:rsidR="009103F8" w:rsidRPr="00D520A0">
        <w:rPr>
          <w:lang w:val="en-GB"/>
        </w:rPr>
        <w:t>s</w:t>
      </w:r>
      <w:r w:rsidRPr="00D520A0">
        <w:rPr>
          <w:lang w:val="en-GB"/>
        </w:rPr>
        <w:t xml:space="preserve">and </w:t>
      </w:r>
      <w:r w:rsidR="009103F8" w:rsidRPr="00D520A0">
        <w:rPr>
          <w:lang w:val="en-GB"/>
        </w:rPr>
        <w:t>d</w:t>
      </w:r>
      <w:r w:rsidRPr="00D520A0">
        <w:rPr>
          <w:lang w:val="en-GB"/>
        </w:rPr>
        <w:t>rawings</w:t>
      </w:r>
    </w:p>
    <w:p w14:paraId="4FD8E6E7" w14:textId="3252E906" w:rsidR="00A07DF8" w:rsidRPr="00D520A0" w:rsidRDefault="00A07DF8" w:rsidP="009909DD">
      <w:pPr>
        <w:pStyle w:val="Texte1"/>
        <w:rPr>
          <w:lang w:val="en-GB"/>
        </w:rPr>
      </w:pPr>
      <w:r w:rsidRPr="00D520A0">
        <w:rPr>
          <w:lang w:val="en-GB"/>
        </w:rPr>
        <w:t>When ICH</w:t>
      </w:r>
      <w:r w:rsidR="005B46A5" w:rsidRPr="00D520A0">
        <w:rPr>
          <w:lang w:val="en-GB"/>
        </w:rPr>
        <w:t xml:space="preserve"> is discussed</w:t>
      </w:r>
      <w:r w:rsidR="00CD198C" w:rsidRPr="00D520A0">
        <w:rPr>
          <w:lang w:val="en-GB"/>
        </w:rPr>
        <w:t>,</w:t>
      </w:r>
      <w:r w:rsidRPr="00D520A0">
        <w:rPr>
          <w:lang w:val="en-GB"/>
        </w:rPr>
        <w:t xml:space="preserve"> oral and musical performance, dance, ritual and public festivities often take centre stage. ICH </w:t>
      </w:r>
      <w:r w:rsidR="004C284A" w:rsidRPr="00D520A0">
        <w:rPr>
          <w:lang w:val="en-GB"/>
        </w:rPr>
        <w:t xml:space="preserve">also includes </w:t>
      </w:r>
      <w:r w:rsidRPr="00D520A0">
        <w:rPr>
          <w:lang w:val="en-GB"/>
        </w:rPr>
        <w:t xml:space="preserve">social practices, knowledge about nature and the universe, and </w:t>
      </w:r>
      <w:r w:rsidR="004C284A" w:rsidRPr="00D520A0">
        <w:rPr>
          <w:lang w:val="en-GB"/>
        </w:rPr>
        <w:t xml:space="preserve">skills and crafts. </w:t>
      </w:r>
      <w:r w:rsidR="005B46A5" w:rsidRPr="00D520A0">
        <w:rPr>
          <w:lang w:val="en-GB"/>
        </w:rPr>
        <w:t>In addition, it</w:t>
      </w:r>
      <w:r w:rsidRPr="00D520A0">
        <w:rPr>
          <w:lang w:val="en-GB"/>
        </w:rPr>
        <w:t xml:space="preserve"> includes traditional games, a domain not mentioned in the Convention</w:t>
      </w:r>
      <w:r w:rsidR="00355534" w:rsidRPr="00D520A0">
        <w:rPr>
          <w:lang w:val="en-GB"/>
        </w:rPr>
        <w:t xml:space="preserve"> but used in some inventories at the national level</w:t>
      </w:r>
      <w:r w:rsidRPr="00D520A0">
        <w:rPr>
          <w:lang w:val="en-GB"/>
        </w:rPr>
        <w:t>.</w:t>
      </w:r>
    </w:p>
    <w:p w14:paraId="4F1F11F8" w14:textId="07A4D9C5" w:rsidR="00C37CB0" w:rsidRPr="00D520A0" w:rsidRDefault="00C37CB0" w:rsidP="004936EF">
      <w:pPr>
        <w:pStyle w:val="Texte1"/>
        <w:rPr>
          <w:szCs w:val="20"/>
          <w:lang w:val="en-GB"/>
        </w:rPr>
      </w:pPr>
      <w:r w:rsidRPr="00D520A0">
        <w:rPr>
          <w:szCs w:val="20"/>
          <w:lang w:val="en-GB"/>
        </w:rPr>
        <w:t xml:space="preserve">Another example of an element that covers several domains is </w:t>
      </w:r>
      <w:r w:rsidR="006E4B46" w:rsidRPr="00D520A0">
        <w:rPr>
          <w:szCs w:val="20"/>
          <w:lang w:val="en-GB"/>
        </w:rPr>
        <w:t>‘</w:t>
      </w:r>
      <w:r w:rsidRPr="00D520A0">
        <w:rPr>
          <w:szCs w:val="20"/>
          <w:lang w:val="en-GB"/>
        </w:rPr>
        <w:t>Vanuatu sand drawings</w:t>
      </w:r>
      <w:r w:rsidR="006E4B46" w:rsidRPr="00D520A0">
        <w:rPr>
          <w:szCs w:val="20"/>
          <w:lang w:val="en-GB"/>
        </w:rPr>
        <w:t>’</w:t>
      </w:r>
      <w:r w:rsidRPr="00D520A0">
        <w:rPr>
          <w:szCs w:val="20"/>
          <w:lang w:val="en-GB"/>
        </w:rPr>
        <w:t>, integrated in the RL in 2008 from the former Masterpieces programme.</w:t>
      </w:r>
    </w:p>
    <w:p w14:paraId="2903B860" w14:textId="13F001C6" w:rsidR="004C284A" w:rsidRPr="00D520A0" w:rsidRDefault="00CE3949" w:rsidP="009909DD">
      <w:pPr>
        <w:pStyle w:val="Texte1"/>
        <w:rPr>
          <w:lang w:val="en-GB"/>
        </w:rPr>
      </w:pPr>
      <w:r w:rsidRPr="00D520A0">
        <w:rPr>
          <w:lang w:val="en-GB"/>
        </w:rPr>
        <w:t xml:space="preserve">This rich and dynamic graphic tradition developed as a means of communication among the members of some </w:t>
      </w:r>
      <w:r w:rsidR="000D1FF6" w:rsidRPr="00D520A0">
        <w:rPr>
          <w:lang w:val="en-GB"/>
        </w:rPr>
        <w:t>80</w:t>
      </w:r>
      <w:r w:rsidRPr="00D520A0">
        <w:rPr>
          <w:lang w:val="en-GB"/>
        </w:rPr>
        <w:t xml:space="preserve"> different ethnolinguistic groups inhabiting the central and northern islands of Vanuatu. </w:t>
      </w:r>
      <w:r w:rsidR="009C1EE4" w:rsidRPr="00D520A0">
        <w:rPr>
          <w:lang w:val="en-GB"/>
        </w:rPr>
        <w:t>It is still practised</w:t>
      </w:r>
      <w:r w:rsidR="000D1487" w:rsidRPr="00D520A0">
        <w:rPr>
          <w:lang w:val="en-GB"/>
        </w:rPr>
        <w:t xml:space="preserve"> today</w:t>
      </w:r>
      <w:r w:rsidR="009C1EE4" w:rsidRPr="00D520A0">
        <w:rPr>
          <w:lang w:val="en-GB"/>
        </w:rPr>
        <w:t>, although less frequently than before, and new methods are now used for transmitting the skill to younger members of the community.</w:t>
      </w:r>
      <w:r w:rsidR="00355534" w:rsidRPr="00D520A0">
        <w:rPr>
          <w:lang w:val="en-GB"/>
        </w:rPr>
        <w:t xml:space="preserve"> </w:t>
      </w:r>
      <w:r w:rsidR="004C284A" w:rsidRPr="00D520A0">
        <w:rPr>
          <w:lang w:val="en-GB"/>
        </w:rPr>
        <w:t>This multifunctional ‘writing’</w:t>
      </w:r>
      <w:r w:rsidR="00355534" w:rsidRPr="00D520A0">
        <w:rPr>
          <w:lang w:val="en-GB"/>
        </w:rPr>
        <w:t xml:space="preserve">, </w:t>
      </w:r>
      <w:r w:rsidR="004C284A" w:rsidRPr="00D520A0">
        <w:rPr>
          <w:lang w:val="en-GB"/>
        </w:rPr>
        <w:t>more than an indigenous artistic expression</w:t>
      </w:r>
      <w:r w:rsidR="00355534" w:rsidRPr="00D520A0">
        <w:rPr>
          <w:lang w:val="en-GB"/>
        </w:rPr>
        <w:t>,</w:t>
      </w:r>
      <w:r w:rsidR="004C284A" w:rsidRPr="00D520A0">
        <w:rPr>
          <w:lang w:val="en-GB"/>
        </w:rPr>
        <w:t xml:space="preserve"> occurs in a wide range of ritual, contemplative and communicative contexts.</w:t>
      </w:r>
    </w:p>
    <w:p w14:paraId="0EC4F972" w14:textId="5B5BB833" w:rsidR="004C284A" w:rsidRPr="00D520A0" w:rsidRDefault="004C284A" w:rsidP="009909DD">
      <w:pPr>
        <w:pStyle w:val="Texte1"/>
        <w:rPr>
          <w:lang w:val="en-GB"/>
        </w:rPr>
      </w:pPr>
      <w:r w:rsidRPr="00D520A0">
        <w:rPr>
          <w:lang w:val="en-GB"/>
        </w:rPr>
        <w:t>The drawings are produced directly on the ground, in sand, volcanic ash or clay. Using one finger, the drawer traces a continuous meandering line on an imagined grid to produce a graceful, often symmetrical, composition of geometric patterns. The drawings also function as mnemonic devices to record and transmit rituals, mythological lore and a wealth of oral information about local histories, cosmologies, kinship systems, song cycles, farming techniques, architectural and craft design, and choreographic patterns. Most sand drawings possess several functions and layers of meaning: they can be ‘read’ as artistic works, repositories of information, illustration</w:t>
      </w:r>
      <w:r w:rsidR="009C1EE4" w:rsidRPr="00D520A0">
        <w:rPr>
          <w:lang w:val="en-GB"/>
        </w:rPr>
        <w:t>s</w:t>
      </w:r>
      <w:r w:rsidRPr="00D520A0">
        <w:rPr>
          <w:lang w:val="en-GB"/>
        </w:rPr>
        <w:t xml:space="preserve"> for stories, signatures or simply messages and objects of contemplation. A master sand drawer must therefore possess not only a </w:t>
      </w:r>
      <w:r w:rsidR="00CE3949" w:rsidRPr="00D520A0">
        <w:rPr>
          <w:lang w:val="en-GB"/>
        </w:rPr>
        <w:t>wide</w:t>
      </w:r>
      <w:r w:rsidR="00926481" w:rsidRPr="00D520A0">
        <w:rPr>
          <w:lang w:val="en-GB"/>
        </w:rPr>
        <w:t xml:space="preserve"> </w:t>
      </w:r>
      <w:r w:rsidRPr="00D520A0">
        <w:rPr>
          <w:lang w:val="en-GB"/>
        </w:rPr>
        <w:t>knowledge of graphic patterns but also a deep understanding of their significance. In addition, sand drawers should have the ability to interpret the drawings for spectators.</w:t>
      </w:r>
    </w:p>
    <w:p w14:paraId="35A2313A" w14:textId="77777777" w:rsidR="004C284A" w:rsidRPr="00D520A0" w:rsidRDefault="004C284A" w:rsidP="009909DD">
      <w:pPr>
        <w:pStyle w:val="Texte1"/>
        <w:rPr>
          <w:lang w:val="en-GB"/>
        </w:rPr>
      </w:pPr>
      <w:r w:rsidRPr="00D520A0">
        <w:rPr>
          <w:lang w:val="en-GB"/>
        </w:rPr>
        <w:t xml:space="preserve">As attractive symbols of Vanuatu identity, the drawings are often showcased as a form of decorative folklore for tourists and </w:t>
      </w:r>
      <w:r w:rsidR="00975D63" w:rsidRPr="00D520A0">
        <w:rPr>
          <w:lang w:val="en-GB"/>
        </w:rPr>
        <w:t xml:space="preserve">for </w:t>
      </w:r>
      <w:r w:rsidRPr="00D520A0">
        <w:rPr>
          <w:lang w:val="en-GB"/>
        </w:rPr>
        <w:t>other commercial purposes. If left unchecked, this tendency to appreciate sand drawings on a purely aesthetic level may result in the loss of the tradition’s deeper symbolic significance and original social function.</w:t>
      </w:r>
    </w:p>
    <w:p w14:paraId="2A475B5C" w14:textId="77777777" w:rsidR="004C284A" w:rsidRPr="00D520A0" w:rsidRDefault="004C284A" w:rsidP="009909DD">
      <w:pPr>
        <w:pStyle w:val="Texte1"/>
        <w:rPr>
          <w:lang w:val="en-GB"/>
        </w:rPr>
      </w:pPr>
      <w:r w:rsidRPr="00D520A0">
        <w:rPr>
          <w:lang w:val="en-GB"/>
        </w:rPr>
        <w:t xml:space="preserve">Safeguarding measures are </w:t>
      </w:r>
      <w:r w:rsidR="00975D63" w:rsidRPr="00D520A0">
        <w:rPr>
          <w:lang w:val="en-GB"/>
        </w:rPr>
        <w:t xml:space="preserve">now </w:t>
      </w:r>
      <w:r w:rsidR="00EA310F" w:rsidRPr="00D520A0">
        <w:rPr>
          <w:lang w:val="en-GB"/>
        </w:rPr>
        <w:t>being implemented, aim</w:t>
      </w:r>
      <w:r w:rsidR="00975D63" w:rsidRPr="00D520A0">
        <w:rPr>
          <w:lang w:val="en-GB"/>
        </w:rPr>
        <w:t>ed at</w:t>
      </w:r>
      <w:r w:rsidR="00EA310F" w:rsidRPr="00D520A0">
        <w:rPr>
          <w:lang w:val="en-GB"/>
        </w:rPr>
        <w:t xml:space="preserve"> encourag</w:t>
      </w:r>
      <w:r w:rsidR="00975D63" w:rsidRPr="00D520A0">
        <w:rPr>
          <w:lang w:val="en-GB"/>
        </w:rPr>
        <w:t>ing</w:t>
      </w:r>
      <w:r w:rsidRPr="00D520A0">
        <w:rPr>
          <w:lang w:val="en-GB"/>
        </w:rPr>
        <w:t xml:space="preserve"> the </w:t>
      </w:r>
      <w:r w:rsidR="00EA310F" w:rsidRPr="00D520A0">
        <w:rPr>
          <w:lang w:val="en-GB"/>
        </w:rPr>
        <w:t xml:space="preserve">practice </w:t>
      </w:r>
      <w:r w:rsidRPr="00D520A0">
        <w:rPr>
          <w:lang w:val="en-GB"/>
        </w:rPr>
        <w:t>of sand drawing in a meaningful way within the communities concerned.</w:t>
      </w:r>
    </w:p>
    <w:p w14:paraId="283D9ECA" w14:textId="676FDA9E" w:rsidR="009C1EE4" w:rsidRPr="00D520A0" w:rsidRDefault="00503D89">
      <w:pPr>
        <w:pStyle w:val="Informations0"/>
        <w:rPr>
          <w:i w:val="0"/>
          <w:lang w:val="en-GB"/>
        </w:rPr>
      </w:pPr>
      <w:r w:rsidRPr="00D520A0">
        <w:rPr>
          <w:i w:val="0"/>
          <w:noProof/>
          <w:lang w:eastAsia="zh-TW"/>
        </w:rPr>
        <w:drawing>
          <wp:anchor distT="0" distB="0" distL="114300" distR="114300" simplePos="0" relativeHeight="251661824" behindDoc="0" locked="1" layoutInCell="1" allowOverlap="0" wp14:anchorId="77283860" wp14:editId="2629FE76">
            <wp:simplePos x="0" y="0"/>
            <wp:positionH relativeFrom="column">
              <wp:posOffset>-2540</wp:posOffset>
            </wp:positionH>
            <wp:positionV relativeFrom="paragraph">
              <wp:posOffset>-21590</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D714AD" w:rsidRPr="00D520A0">
        <w:rPr>
          <w:i w:val="0"/>
          <w:lang w:val="en-GB"/>
        </w:rPr>
        <w:t>See</w:t>
      </w:r>
      <w:r w:rsidR="009C1EE4" w:rsidRPr="00D520A0">
        <w:rPr>
          <w:i w:val="0"/>
          <w:lang w:val="en-GB"/>
        </w:rPr>
        <w:t xml:space="preserve">: </w:t>
      </w:r>
      <w:hyperlink r:id="rId20" w:history="1">
        <w:r w:rsidR="00E21233" w:rsidRPr="00D520A0">
          <w:rPr>
            <w:rStyle w:val="Hyperlink"/>
            <w:i w:val="0"/>
            <w:color w:val="3366FF"/>
            <w:u w:val="none"/>
            <w:lang w:val="en-GB"/>
          </w:rPr>
          <w:t>http://www.unesco.org/culture/ich/en/RL/00073</w:t>
        </w:r>
      </w:hyperlink>
    </w:p>
    <w:p w14:paraId="5F01647A" w14:textId="01271A2F" w:rsidR="00002803" w:rsidRPr="00D520A0" w:rsidRDefault="004C284A" w:rsidP="004936EF">
      <w:pPr>
        <w:pStyle w:val="Heading6"/>
        <w:rPr>
          <w:lang w:val="en-GB"/>
        </w:rPr>
      </w:pPr>
      <w:r w:rsidRPr="00D520A0">
        <w:rPr>
          <w:lang w:val="en-GB"/>
        </w:rPr>
        <w:lastRenderedPageBreak/>
        <w:t>Slide 14</w:t>
      </w:r>
      <w:r w:rsidR="00002803" w:rsidRPr="00D520A0">
        <w:rPr>
          <w:lang w:val="en-GB"/>
        </w:rPr>
        <w:t>.</w:t>
      </w:r>
    </w:p>
    <w:p w14:paraId="537885E5" w14:textId="4922C3A7" w:rsidR="004C284A" w:rsidRPr="00D520A0" w:rsidRDefault="004C284A" w:rsidP="004936EF">
      <w:pPr>
        <w:pStyle w:val="diapo2"/>
        <w:rPr>
          <w:lang w:val="en-GB"/>
        </w:rPr>
      </w:pPr>
      <w:r w:rsidRPr="00D520A0">
        <w:rPr>
          <w:lang w:val="en-GB"/>
        </w:rPr>
        <w:t>Communities</w:t>
      </w:r>
      <w:r w:rsidR="00355534" w:rsidRPr="00D520A0">
        <w:rPr>
          <w:lang w:val="en-GB"/>
        </w:rPr>
        <w:t xml:space="preserve">, </w:t>
      </w:r>
      <w:r w:rsidR="00B13561" w:rsidRPr="00D520A0">
        <w:rPr>
          <w:lang w:val="en-GB"/>
        </w:rPr>
        <w:t>g</w:t>
      </w:r>
      <w:r w:rsidR="00355534" w:rsidRPr="00D520A0">
        <w:rPr>
          <w:lang w:val="en-GB"/>
        </w:rPr>
        <w:t>roups</w:t>
      </w:r>
      <w:r w:rsidR="007B5609" w:rsidRPr="00D520A0">
        <w:rPr>
          <w:lang w:val="en-GB"/>
        </w:rPr>
        <w:t xml:space="preserve"> and</w:t>
      </w:r>
      <w:r w:rsidR="00355534" w:rsidRPr="00D520A0">
        <w:rPr>
          <w:lang w:val="en-GB"/>
        </w:rPr>
        <w:t xml:space="preserve"> </w:t>
      </w:r>
      <w:r w:rsidR="00B13561" w:rsidRPr="00D520A0">
        <w:rPr>
          <w:lang w:val="en-GB"/>
        </w:rPr>
        <w:t>i</w:t>
      </w:r>
      <w:r w:rsidR="00355534" w:rsidRPr="00D520A0">
        <w:rPr>
          <w:lang w:val="en-GB"/>
        </w:rPr>
        <w:t>ndividuals</w:t>
      </w:r>
      <w:r w:rsidRPr="00D520A0">
        <w:rPr>
          <w:lang w:val="en-GB"/>
        </w:rPr>
        <w:t xml:space="preserve"> (subheading)</w:t>
      </w:r>
    </w:p>
    <w:p w14:paraId="51B57968" w14:textId="54242310" w:rsidR="00002803" w:rsidRPr="00D520A0" w:rsidRDefault="004C284A" w:rsidP="004936EF">
      <w:pPr>
        <w:pStyle w:val="Heading6"/>
        <w:rPr>
          <w:lang w:val="en-GB"/>
        </w:rPr>
      </w:pPr>
      <w:r w:rsidRPr="00D520A0">
        <w:rPr>
          <w:lang w:val="en-GB"/>
        </w:rPr>
        <w:t>Slide 15</w:t>
      </w:r>
      <w:r w:rsidR="00002803" w:rsidRPr="00D520A0">
        <w:rPr>
          <w:lang w:val="en-GB"/>
        </w:rPr>
        <w:t>.</w:t>
      </w:r>
    </w:p>
    <w:p w14:paraId="39FF751B" w14:textId="6D1181BB" w:rsidR="004C284A" w:rsidRPr="00D520A0" w:rsidRDefault="004C284A" w:rsidP="004936EF">
      <w:pPr>
        <w:pStyle w:val="diapo2"/>
        <w:rPr>
          <w:lang w:val="en-GB"/>
        </w:rPr>
      </w:pPr>
      <w:r w:rsidRPr="00D520A0">
        <w:rPr>
          <w:lang w:val="en-GB"/>
        </w:rPr>
        <w:t xml:space="preserve">Defining the </w:t>
      </w:r>
      <w:r w:rsidR="000D1FF6" w:rsidRPr="00D520A0">
        <w:rPr>
          <w:lang w:val="en-GB"/>
        </w:rPr>
        <w:t>‘</w:t>
      </w:r>
      <w:r w:rsidRPr="00D520A0">
        <w:rPr>
          <w:lang w:val="en-GB"/>
        </w:rPr>
        <w:t>community concerned</w:t>
      </w:r>
      <w:r w:rsidR="000D1FF6" w:rsidRPr="00D520A0">
        <w:rPr>
          <w:lang w:val="en-GB"/>
        </w:rPr>
        <w:t>’</w:t>
      </w:r>
    </w:p>
    <w:p w14:paraId="183C5CFC" w14:textId="3C407C36" w:rsidR="003F3260" w:rsidRPr="00D520A0" w:rsidRDefault="003F3260" w:rsidP="009909DD">
      <w:pPr>
        <w:pStyle w:val="Texte1"/>
        <w:rPr>
          <w:lang w:val="en-GB"/>
        </w:rPr>
      </w:pPr>
      <w:r w:rsidRPr="00D520A0">
        <w:rPr>
          <w:lang w:val="en-GB"/>
        </w:rPr>
        <w:t xml:space="preserve">Refer to </w:t>
      </w:r>
      <w:r w:rsidR="00F02D08" w:rsidRPr="00D520A0">
        <w:rPr>
          <w:lang w:val="en-GB"/>
        </w:rPr>
        <w:t>Participant’s</w:t>
      </w:r>
      <w:r w:rsidR="002A3923" w:rsidRPr="00D520A0">
        <w:rPr>
          <w:lang w:val="en-GB"/>
        </w:rPr>
        <w:t xml:space="preserve"> text </w:t>
      </w:r>
      <w:r w:rsidR="00D0449A" w:rsidRPr="00D520A0">
        <w:rPr>
          <w:lang w:val="en-GB"/>
        </w:rPr>
        <w:t>Unit 3</w:t>
      </w:r>
      <w:r w:rsidR="00926481" w:rsidRPr="00D520A0">
        <w:rPr>
          <w:lang w:val="en-GB"/>
        </w:rPr>
        <w:t>:</w:t>
      </w:r>
      <w:r w:rsidRPr="00D520A0">
        <w:rPr>
          <w:lang w:val="en-GB"/>
        </w:rPr>
        <w:t xml:space="preserve"> </w:t>
      </w:r>
      <w:r w:rsidR="005E24D9" w:rsidRPr="00D520A0">
        <w:rPr>
          <w:lang w:val="en-GB"/>
        </w:rPr>
        <w:t>‘</w:t>
      </w:r>
      <w:r w:rsidRPr="00D520A0">
        <w:rPr>
          <w:lang w:val="en-GB"/>
        </w:rPr>
        <w:t>Co</w:t>
      </w:r>
      <w:r w:rsidR="005E24D9" w:rsidRPr="00D520A0">
        <w:rPr>
          <w:lang w:val="en-GB"/>
        </w:rPr>
        <w:t>mmunit</w:t>
      </w:r>
      <w:r w:rsidR="00926481" w:rsidRPr="00D520A0">
        <w:rPr>
          <w:lang w:val="en-GB"/>
        </w:rPr>
        <w:t>ies</w:t>
      </w:r>
      <w:r w:rsidR="005E24D9" w:rsidRPr="00D520A0">
        <w:rPr>
          <w:lang w:val="en-GB"/>
        </w:rPr>
        <w:t>, group</w:t>
      </w:r>
      <w:r w:rsidR="00926481" w:rsidRPr="00D520A0">
        <w:rPr>
          <w:lang w:val="en-GB"/>
        </w:rPr>
        <w:t>s and</w:t>
      </w:r>
      <w:r w:rsidR="005E24D9" w:rsidRPr="00D520A0">
        <w:rPr>
          <w:lang w:val="en-GB"/>
        </w:rPr>
        <w:t xml:space="preserve"> individual</w:t>
      </w:r>
      <w:r w:rsidR="00926481" w:rsidRPr="00D520A0">
        <w:rPr>
          <w:lang w:val="en-GB"/>
        </w:rPr>
        <w:t>s</w:t>
      </w:r>
      <w:r w:rsidR="005E24D9" w:rsidRPr="00D520A0">
        <w:rPr>
          <w:lang w:val="en-GB"/>
        </w:rPr>
        <w:t>’</w:t>
      </w:r>
      <w:r w:rsidRPr="00D520A0">
        <w:rPr>
          <w:lang w:val="en-GB"/>
        </w:rPr>
        <w:t>.</w:t>
      </w:r>
    </w:p>
    <w:p w14:paraId="5EC7F0A8" w14:textId="55B8B8DB" w:rsidR="000B593F" w:rsidRPr="00D520A0" w:rsidRDefault="004C284A" w:rsidP="009909DD">
      <w:pPr>
        <w:pStyle w:val="Texte1"/>
        <w:rPr>
          <w:lang w:val="en-GB"/>
        </w:rPr>
      </w:pPr>
      <w:r w:rsidRPr="00D520A0">
        <w:rPr>
          <w:lang w:val="en-GB"/>
        </w:rPr>
        <w:t>The Convention repeatedly uses the terms ‘communities, groups and, in some cases</w:t>
      </w:r>
      <w:r w:rsidR="0092253B" w:rsidRPr="00D520A0">
        <w:rPr>
          <w:lang w:val="en-GB"/>
        </w:rPr>
        <w:t>/</w:t>
      </w:r>
      <w:r w:rsidRPr="00D520A0">
        <w:rPr>
          <w:lang w:val="en-GB"/>
        </w:rPr>
        <w:t xml:space="preserve">where appropriate, individuals’, without </w:t>
      </w:r>
      <w:r w:rsidR="003F3260" w:rsidRPr="00D520A0">
        <w:rPr>
          <w:lang w:val="en-GB"/>
        </w:rPr>
        <w:t>explicitly</w:t>
      </w:r>
      <w:r w:rsidRPr="00D520A0">
        <w:rPr>
          <w:lang w:val="en-GB"/>
        </w:rPr>
        <w:t xml:space="preserve"> defining them.</w:t>
      </w:r>
    </w:p>
    <w:p w14:paraId="37685751" w14:textId="33AE04AC" w:rsidR="004C284A" w:rsidRPr="00D520A0" w:rsidRDefault="0028620A" w:rsidP="009909DD">
      <w:pPr>
        <w:pStyle w:val="Texte1"/>
        <w:rPr>
          <w:lang w:val="en-GB"/>
        </w:rPr>
      </w:pPr>
      <w:r w:rsidRPr="00D520A0">
        <w:rPr>
          <w:lang w:val="en-GB"/>
        </w:rPr>
        <w:t>Unit 7 provides a</w:t>
      </w:r>
      <w:r w:rsidR="002167F5" w:rsidRPr="00D520A0">
        <w:rPr>
          <w:lang w:val="en-GB"/>
        </w:rPr>
        <w:t xml:space="preserve"> full discussion of the ways in which the Convention and </w:t>
      </w:r>
      <w:r w:rsidR="00926481" w:rsidRPr="00D520A0">
        <w:rPr>
          <w:lang w:val="en-GB"/>
        </w:rPr>
        <w:t xml:space="preserve">the </w:t>
      </w:r>
      <w:r w:rsidR="002167F5" w:rsidRPr="00D520A0">
        <w:rPr>
          <w:lang w:val="en-GB"/>
        </w:rPr>
        <w:t>ODs foresee the involvement of the communities, groups and individuals concerned in the implementation of the Convention.</w:t>
      </w:r>
    </w:p>
    <w:p w14:paraId="38EA82B0" w14:textId="7980D26E" w:rsidR="007B2527" w:rsidRPr="00D520A0" w:rsidRDefault="000D1FF6" w:rsidP="004936EF">
      <w:pPr>
        <w:pStyle w:val="Soustitre"/>
        <w:rPr>
          <w:caps/>
          <w:lang w:val="en-GB"/>
        </w:rPr>
      </w:pPr>
      <w:bookmarkStart w:id="21" w:name="_Toc238982213"/>
      <w:r w:rsidRPr="00D520A0">
        <w:rPr>
          <w:lang w:val="en-GB"/>
        </w:rPr>
        <w:t>R</w:t>
      </w:r>
      <w:r w:rsidR="007B2527" w:rsidRPr="00D520A0">
        <w:rPr>
          <w:lang w:val="en-GB"/>
        </w:rPr>
        <w:t>eason for the lack of a formal definition</w:t>
      </w:r>
      <w:bookmarkEnd w:id="21"/>
    </w:p>
    <w:p w14:paraId="17A45FA0" w14:textId="35F616B9" w:rsidR="00926481" w:rsidRPr="00D520A0" w:rsidRDefault="002167F5" w:rsidP="009909DD">
      <w:pPr>
        <w:pStyle w:val="Texte1"/>
        <w:rPr>
          <w:lang w:val="en-GB"/>
        </w:rPr>
      </w:pPr>
      <w:r w:rsidRPr="00D520A0">
        <w:rPr>
          <w:lang w:val="en-GB"/>
        </w:rPr>
        <w:t xml:space="preserve">The </w:t>
      </w:r>
      <w:r w:rsidR="0056191C" w:rsidRPr="00D520A0">
        <w:rPr>
          <w:lang w:val="en-GB"/>
        </w:rPr>
        <w:t>government</w:t>
      </w:r>
      <w:r w:rsidRPr="00D520A0">
        <w:rPr>
          <w:lang w:val="en-GB"/>
        </w:rPr>
        <w:t xml:space="preserve"> experts who prepared the text of the Convention in 2002</w:t>
      </w:r>
      <w:r w:rsidR="00926481" w:rsidRPr="00D520A0">
        <w:rPr>
          <w:lang w:val="en-GB"/>
        </w:rPr>
        <w:t>–</w:t>
      </w:r>
      <w:r w:rsidR="0028620A" w:rsidRPr="00D520A0">
        <w:rPr>
          <w:lang w:val="en-GB"/>
        </w:rPr>
        <w:t>20</w:t>
      </w:r>
      <w:r w:rsidRPr="00D520A0">
        <w:rPr>
          <w:lang w:val="en-GB"/>
        </w:rPr>
        <w:t xml:space="preserve">03 </w:t>
      </w:r>
      <w:r w:rsidR="00926481" w:rsidRPr="00D520A0">
        <w:rPr>
          <w:lang w:val="en-GB"/>
        </w:rPr>
        <w:t>left</w:t>
      </w:r>
      <w:r w:rsidRPr="00D520A0">
        <w:rPr>
          <w:lang w:val="en-GB"/>
        </w:rPr>
        <w:t xml:space="preserve"> the concepts</w:t>
      </w:r>
      <w:r w:rsidR="0028620A" w:rsidRPr="00D520A0">
        <w:rPr>
          <w:lang w:val="en-GB"/>
        </w:rPr>
        <w:t xml:space="preserve"> ‘communities, groups and individuals’</w:t>
      </w:r>
      <w:r w:rsidRPr="00D520A0">
        <w:rPr>
          <w:lang w:val="en-GB"/>
        </w:rPr>
        <w:t xml:space="preserve"> undefined.</w:t>
      </w:r>
      <w:r w:rsidR="00AC507B" w:rsidRPr="00D520A0">
        <w:rPr>
          <w:lang w:val="en-GB"/>
        </w:rPr>
        <w:t xml:space="preserve"> The reasons are explained below.</w:t>
      </w:r>
    </w:p>
    <w:p w14:paraId="17F52DC2" w14:textId="0576DE64" w:rsidR="002167F5" w:rsidRPr="00D520A0" w:rsidRDefault="002167F5" w:rsidP="009909DD">
      <w:pPr>
        <w:pStyle w:val="Texte1"/>
        <w:rPr>
          <w:lang w:val="en-GB"/>
        </w:rPr>
      </w:pPr>
      <w:r w:rsidRPr="00D520A0">
        <w:rPr>
          <w:lang w:val="en-GB"/>
        </w:rPr>
        <w:t xml:space="preserve">Most States </w:t>
      </w:r>
      <w:r w:rsidR="000D1FF6" w:rsidRPr="00D520A0">
        <w:rPr>
          <w:lang w:val="en-GB"/>
        </w:rPr>
        <w:t xml:space="preserve">have </w:t>
      </w:r>
      <w:r w:rsidRPr="00D520A0">
        <w:rPr>
          <w:lang w:val="en-GB"/>
        </w:rPr>
        <w:t xml:space="preserve">considerable cultural and </w:t>
      </w:r>
      <w:r w:rsidR="00CE603A" w:rsidRPr="00D520A0">
        <w:rPr>
          <w:lang w:val="en-GB"/>
        </w:rPr>
        <w:t>ethnoling</w:t>
      </w:r>
      <w:r w:rsidRPr="00D520A0">
        <w:rPr>
          <w:lang w:val="en-GB"/>
        </w:rPr>
        <w:t xml:space="preserve">uistic diversity and deal with </w:t>
      </w:r>
      <w:r w:rsidR="00E24CF6" w:rsidRPr="00D520A0">
        <w:rPr>
          <w:lang w:val="en-GB"/>
        </w:rPr>
        <w:t xml:space="preserve">this </w:t>
      </w:r>
      <w:r w:rsidRPr="00D520A0">
        <w:rPr>
          <w:lang w:val="en-GB"/>
        </w:rPr>
        <w:t xml:space="preserve">in different ways. States </w:t>
      </w:r>
      <w:r w:rsidR="00AC507B" w:rsidRPr="00D520A0">
        <w:rPr>
          <w:lang w:val="en-GB"/>
        </w:rPr>
        <w:t>(</w:t>
      </w:r>
      <w:r w:rsidRPr="00D520A0">
        <w:rPr>
          <w:lang w:val="en-GB"/>
        </w:rPr>
        <w:t xml:space="preserve">often </w:t>
      </w:r>
      <w:r w:rsidR="00AC507B" w:rsidRPr="00D520A0">
        <w:rPr>
          <w:lang w:val="en-GB"/>
        </w:rPr>
        <w:t xml:space="preserve">highly </w:t>
      </w:r>
      <w:r w:rsidRPr="00D520A0">
        <w:rPr>
          <w:lang w:val="en-GB"/>
        </w:rPr>
        <w:t>centralized ones</w:t>
      </w:r>
      <w:r w:rsidR="00AC507B" w:rsidRPr="00D520A0">
        <w:rPr>
          <w:lang w:val="en-GB"/>
        </w:rPr>
        <w:t>)</w:t>
      </w:r>
      <w:r w:rsidRPr="00D520A0">
        <w:rPr>
          <w:lang w:val="en-GB"/>
        </w:rPr>
        <w:t xml:space="preserve"> that are engaged in </w:t>
      </w:r>
      <w:r w:rsidR="00AC507B" w:rsidRPr="00D520A0">
        <w:rPr>
          <w:lang w:val="en-GB"/>
        </w:rPr>
        <w:t xml:space="preserve">a process of </w:t>
      </w:r>
      <w:r w:rsidRPr="00D520A0">
        <w:rPr>
          <w:lang w:val="en-GB"/>
        </w:rPr>
        <w:t xml:space="preserve">nation building or nation consolidation may not </w:t>
      </w:r>
      <w:r w:rsidR="00AC507B" w:rsidRPr="00D520A0">
        <w:rPr>
          <w:lang w:val="en-GB"/>
        </w:rPr>
        <w:t>wish</w:t>
      </w:r>
      <w:r w:rsidRPr="00D520A0">
        <w:rPr>
          <w:lang w:val="en-GB"/>
        </w:rPr>
        <w:t xml:space="preserve"> outsiders (or a Convention) </w:t>
      </w:r>
      <w:r w:rsidR="00AC507B" w:rsidRPr="00D520A0">
        <w:rPr>
          <w:lang w:val="en-GB"/>
        </w:rPr>
        <w:t xml:space="preserve">to </w:t>
      </w:r>
      <w:r w:rsidRPr="00D520A0">
        <w:rPr>
          <w:lang w:val="en-GB"/>
        </w:rPr>
        <w:t>prescribe how they should define and deal with communities and/or groups</w:t>
      </w:r>
      <w:r w:rsidR="005D354C" w:rsidRPr="00D520A0">
        <w:rPr>
          <w:lang w:val="en-GB"/>
        </w:rPr>
        <w:t xml:space="preserve"> in their territory</w:t>
      </w:r>
      <w:r w:rsidRPr="00D520A0">
        <w:rPr>
          <w:lang w:val="en-GB"/>
        </w:rPr>
        <w:t>. Some States recognize indigenous communities, for example, whereas others do</w:t>
      </w:r>
      <w:r w:rsidR="00E24CF6" w:rsidRPr="00D520A0">
        <w:rPr>
          <w:lang w:val="en-GB"/>
        </w:rPr>
        <w:t xml:space="preserve"> </w:t>
      </w:r>
      <w:r w:rsidRPr="00D520A0">
        <w:rPr>
          <w:lang w:val="en-GB"/>
        </w:rPr>
        <w:t>n</w:t>
      </w:r>
      <w:r w:rsidR="00E24CF6" w:rsidRPr="00D520A0">
        <w:rPr>
          <w:lang w:val="en-GB"/>
        </w:rPr>
        <w:t>o</w:t>
      </w:r>
      <w:r w:rsidRPr="00D520A0">
        <w:rPr>
          <w:lang w:val="en-GB"/>
        </w:rPr>
        <w:t xml:space="preserve">t. States </w:t>
      </w:r>
      <w:r w:rsidR="004F65C8" w:rsidRPr="00D520A0">
        <w:rPr>
          <w:lang w:val="en-GB"/>
        </w:rPr>
        <w:t>that</w:t>
      </w:r>
      <w:r w:rsidRPr="00D520A0">
        <w:rPr>
          <w:lang w:val="en-GB"/>
        </w:rPr>
        <w:t xml:space="preserve"> have just emerged from a difficult period of internal problems </w:t>
      </w:r>
      <w:r w:rsidR="004F65C8" w:rsidRPr="00D520A0">
        <w:rPr>
          <w:lang w:val="en-GB"/>
        </w:rPr>
        <w:t xml:space="preserve">usually </w:t>
      </w:r>
      <w:r w:rsidRPr="00D520A0">
        <w:rPr>
          <w:lang w:val="en-GB"/>
        </w:rPr>
        <w:t>wish to focus on common identities rather than internal differences.</w:t>
      </w:r>
    </w:p>
    <w:p w14:paraId="33E91A88" w14:textId="3C3E453F" w:rsidR="006159C2" w:rsidRPr="00D520A0" w:rsidRDefault="00A164F8" w:rsidP="009909DD">
      <w:pPr>
        <w:pStyle w:val="Texte1"/>
        <w:rPr>
          <w:lang w:val="en-GB"/>
        </w:rPr>
      </w:pPr>
      <w:r w:rsidRPr="00D520A0">
        <w:rPr>
          <w:lang w:val="en-GB"/>
        </w:rPr>
        <w:t>Another reason</w:t>
      </w:r>
      <w:r w:rsidR="004C284A" w:rsidRPr="00D520A0">
        <w:rPr>
          <w:lang w:val="en-GB"/>
        </w:rPr>
        <w:t xml:space="preserve"> for the lack of a formal definition is that it is </w:t>
      </w:r>
      <w:r w:rsidRPr="00D520A0">
        <w:rPr>
          <w:lang w:val="en-GB"/>
        </w:rPr>
        <w:t>not easy to define a community</w:t>
      </w:r>
      <w:r w:rsidR="003262D6" w:rsidRPr="00D520A0">
        <w:rPr>
          <w:lang w:val="en-GB"/>
        </w:rPr>
        <w:t xml:space="preserve"> either in general terms</w:t>
      </w:r>
      <w:r w:rsidRPr="00D520A0">
        <w:rPr>
          <w:lang w:val="en-GB"/>
        </w:rPr>
        <w:t xml:space="preserve"> </w:t>
      </w:r>
      <w:r w:rsidR="003262D6" w:rsidRPr="00D520A0">
        <w:rPr>
          <w:lang w:val="en-GB"/>
        </w:rPr>
        <w:t>or indeed</w:t>
      </w:r>
      <w:r w:rsidRPr="00D520A0">
        <w:rPr>
          <w:lang w:val="en-GB"/>
        </w:rPr>
        <w:t xml:space="preserve"> within the specific framework of ICH safeguarding.</w:t>
      </w:r>
    </w:p>
    <w:p w14:paraId="10ABAFF2" w14:textId="72C6058A" w:rsidR="00FF0C37" w:rsidRPr="00D520A0" w:rsidRDefault="00FF0C37" w:rsidP="009909DD">
      <w:pPr>
        <w:pStyle w:val="Texte1"/>
        <w:rPr>
          <w:lang w:val="en-GB"/>
        </w:rPr>
      </w:pPr>
      <w:r w:rsidRPr="00D520A0">
        <w:rPr>
          <w:lang w:val="en-GB"/>
        </w:rPr>
        <w:t>Some communities and groups are more formalized and more strictly organized than others</w:t>
      </w:r>
      <w:r w:rsidR="00E609AC" w:rsidRPr="00D520A0">
        <w:rPr>
          <w:lang w:val="en-GB"/>
        </w:rPr>
        <w:t>, and they may differ enormously in size</w:t>
      </w:r>
      <w:r w:rsidRPr="00D520A0">
        <w:rPr>
          <w:lang w:val="en-GB"/>
        </w:rPr>
        <w:t xml:space="preserve">. </w:t>
      </w:r>
      <w:r w:rsidR="000200F7" w:rsidRPr="00D520A0">
        <w:rPr>
          <w:lang w:val="en-GB"/>
        </w:rPr>
        <w:t xml:space="preserve">Some groups </w:t>
      </w:r>
      <w:r w:rsidR="0038259D" w:rsidRPr="00D520A0">
        <w:rPr>
          <w:lang w:val="en-GB"/>
        </w:rPr>
        <w:t xml:space="preserve">may be </w:t>
      </w:r>
      <w:r w:rsidR="000200F7" w:rsidRPr="00D520A0">
        <w:rPr>
          <w:lang w:val="en-GB"/>
        </w:rPr>
        <w:t>well defined (such as the group of practitioners of a specific healing tradition or craft, or one family of puppeteers). Other groups are less well defined</w:t>
      </w:r>
      <w:r w:rsidR="00E609AC" w:rsidRPr="00D520A0">
        <w:rPr>
          <w:lang w:val="en-GB"/>
        </w:rPr>
        <w:t xml:space="preserve"> (</w:t>
      </w:r>
      <w:r w:rsidR="00C92506" w:rsidRPr="00D520A0">
        <w:rPr>
          <w:lang w:val="en-GB"/>
        </w:rPr>
        <w:t xml:space="preserve">for example, </w:t>
      </w:r>
      <w:r w:rsidR="000200F7" w:rsidRPr="00D520A0">
        <w:rPr>
          <w:lang w:val="en-GB"/>
        </w:rPr>
        <w:t xml:space="preserve">townspeople celebrating carnival, audiences for festivals </w:t>
      </w:r>
      <w:r w:rsidR="00C92506" w:rsidRPr="00D520A0">
        <w:rPr>
          <w:lang w:val="en-GB"/>
        </w:rPr>
        <w:t xml:space="preserve">or </w:t>
      </w:r>
      <w:r w:rsidR="000200F7" w:rsidRPr="00D520A0">
        <w:rPr>
          <w:lang w:val="en-GB"/>
        </w:rPr>
        <w:t xml:space="preserve">community members </w:t>
      </w:r>
      <w:r w:rsidR="00C92506" w:rsidRPr="00D520A0">
        <w:rPr>
          <w:lang w:val="en-GB"/>
        </w:rPr>
        <w:t xml:space="preserve">who enjoy </w:t>
      </w:r>
      <w:r w:rsidR="000200F7" w:rsidRPr="00D520A0">
        <w:rPr>
          <w:lang w:val="en-GB"/>
        </w:rPr>
        <w:t>attending ritual events as part of experiencing and living their cultural heritage and feeling a sense of community</w:t>
      </w:r>
      <w:r w:rsidR="00E609AC" w:rsidRPr="00D520A0">
        <w:rPr>
          <w:lang w:val="en-GB"/>
        </w:rPr>
        <w:t>)</w:t>
      </w:r>
      <w:r w:rsidR="000200F7" w:rsidRPr="00D520A0">
        <w:rPr>
          <w:lang w:val="en-GB"/>
        </w:rPr>
        <w:t xml:space="preserve">. </w:t>
      </w:r>
      <w:r w:rsidRPr="00D520A0">
        <w:rPr>
          <w:lang w:val="en-GB"/>
        </w:rPr>
        <w:t>People within a group or community can have different roles in the enactment of their ICH</w:t>
      </w:r>
      <w:r w:rsidR="00E24CF6" w:rsidRPr="00D520A0">
        <w:rPr>
          <w:lang w:val="en-GB"/>
        </w:rPr>
        <w:t>:</w:t>
      </w:r>
      <w:r w:rsidRPr="00D520A0">
        <w:rPr>
          <w:lang w:val="en-GB"/>
        </w:rPr>
        <w:t xml:space="preserve"> for example, as practitioner</w:t>
      </w:r>
      <w:r w:rsidR="00E24CF6" w:rsidRPr="00D520A0">
        <w:rPr>
          <w:lang w:val="en-GB"/>
        </w:rPr>
        <w:t>s</w:t>
      </w:r>
      <w:r w:rsidRPr="00D520A0">
        <w:rPr>
          <w:lang w:val="en-GB"/>
        </w:rPr>
        <w:t>, as custodian</w:t>
      </w:r>
      <w:r w:rsidR="00E24CF6" w:rsidRPr="00D520A0">
        <w:rPr>
          <w:lang w:val="en-GB"/>
        </w:rPr>
        <w:t>s</w:t>
      </w:r>
      <w:r w:rsidRPr="00D520A0">
        <w:rPr>
          <w:lang w:val="en-GB"/>
        </w:rPr>
        <w:t>, as transmitter</w:t>
      </w:r>
      <w:r w:rsidR="00E24CF6" w:rsidRPr="00D520A0">
        <w:rPr>
          <w:lang w:val="en-GB"/>
        </w:rPr>
        <w:t>s</w:t>
      </w:r>
      <w:r w:rsidRPr="00D520A0">
        <w:rPr>
          <w:lang w:val="en-GB"/>
        </w:rPr>
        <w:t xml:space="preserve"> or as </w:t>
      </w:r>
      <w:r w:rsidR="0028620A" w:rsidRPr="00D520A0">
        <w:rPr>
          <w:lang w:val="en-GB"/>
        </w:rPr>
        <w:t xml:space="preserve">members of an </w:t>
      </w:r>
      <w:r w:rsidRPr="00D520A0">
        <w:rPr>
          <w:lang w:val="en-GB"/>
        </w:rPr>
        <w:t xml:space="preserve">audience. People may join or leave these groupings at various stages during their lifetime; </w:t>
      </w:r>
      <w:r w:rsidR="00C92506" w:rsidRPr="00D520A0">
        <w:rPr>
          <w:lang w:val="en-GB"/>
        </w:rPr>
        <w:t xml:space="preserve">they </w:t>
      </w:r>
      <w:r w:rsidRPr="00D520A0">
        <w:rPr>
          <w:lang w:val="en-GB"/>
        </w:rPr>
        <w:t>can be part of different communities at the same time.</w:t>
      </w:r>
    </w:p>
    <w:p w14:paraId="258996E8" w14:textId="03820E56" w:rsidR="00482F83" w:rsidRPr="00D520A0" w:rsidRDefault="004F65C8" w:rsidP="009909DD">
      <w:pPr>
        <w:pStyle w:val="Texte1"/>
        <w:rPr>
          <w:lang w:val="en-GB"/>
        </w:rPr>
      </w:pPr>
      <w:r w:rsidRPr="00D520A0">
        <w:rPr>
          <w:lang w:val="en-GB"/>
        </w:rPr>
        <w:t xml:space="preserve">States have defined ‘communities and groups concerned’ </w:t>
      </w:r>
      <w:r w:rsidR="004C284A" w:rsidRPr="00D520A0">
        <w:rPr>
          <w:lang w:val="en-GB"/>
        </w:rPr>
        <w:t xml:space="preserve">in different ways </w:t>
      </w:r>
      <w:r w:rsidR="000200F7" w:rsidRPr="00D520A0">
        <w:rPr>
          <w:lang w:val="en-GB"/>
        </w:rPr>
        <w:t>for the purpose</w:t>
      </w:r>
      <w:r w:rsidRPr="00D520A0">
        <w:rPr>
          <w:lang w:val="en-GB"/>
        </w:rPr>
        <w:t xml:space="preserve"> of inventorying the ICH present in their territory</w:t>
      </w:r>
      <w:r w:rsidR="004C284A" w:rsidRPr="00D520A0">
        <w:rPr>
          <w:lang w:val="en-GB"/>
        </w:rPr>
        <w:t xml:space="preserve">. </w:t>
      </w:r>
      <w:r w:rsidR="00482F83" w:rsidRPr="00D520A0">
        <w:rPr>
          <w:lang w:val="en-GB"/>
        </w:rPr>
        <w:t xml:space="preserve">Communities may be defined (by themselves or by others) according to administrative, geographical, </w:t>
      </w:r>
      <w:r w:rsidR="00CE603A" w:rsidRPr="00D520A0">
        <w:rPr>
          <w:lang w:val="en-GB"/>
        </w:rPr>
        <w:t>ethnoling</w:t>
      </w:r>
      <w:r w:rsidR="00482F83" w:rsidRPr="00D520A0">
        <w:rPr>
          <w:lang w:val="en-GB"/>
        </w:rPr>
        <w:t xml:space="preserve">uistic, </w:t>
      </w:r>
      <w:r w:rsidR="00482F83" w:rsidRPr="00630446">
        <w:rPr>
          <w:lang w:val="en-GB"/>
        </w:rPr>
        <w:t>religious</w:t>
      </w:r>
      <w:r w:rsidR="00ED462D" w:rsidRPr="00630446">
        <w:rPr>
          <w:lang w:val="en-GB"/>
        </w:rPr>
        <w:t>, gender,</w:t>
      </w:r>
      <w:r w:rsidR="00482F83" w:rsidRPr="00630446">
        <w:rPr>
          <w:lang w:val="en-GB"/>
        </w:rPr>
        <w:t xml:space="preserve"> </w:t>
      </w:r>
      <w:r w:rsidR="00482F83" w:rsidRPr="00D520A0">
        <w:rPr>
          <w:lang w:val="en-GB"/>
        </w:rPr>
        <w:t>or other criteria.</w:t>
      </w:r>
      <w:r w:rsidR="00FF0C37" w:rsidRPr="00D520A0">
        <w:rPr>
          <w:lang w:val="en-GB"/>
        </w:rPr>
        <w:t xml:space="preserve"> </w:t>
      </w:r>
      <w:r w:rsidR="00482F83" w:rsidRPr="00D520A0">
        <w:rPr>
          <w:lang w:val="en-GB"/>
        </w:rPr>
        <w:t>In many cases</w:t>
      </w:r>
      <w:r w:rsidR="00AF3EAE" w:rsidRPr="00D520A0">
        <w:rPr>
          <w:lang w:val="en-GB"/>
        </w:rPr>
        <w:t>,</w:t>
      </w:r>
      <w:r w:rsidR="00482F83" w:rsidRPr="00D520A0">
        <w:rPr>
          <w:lang w:val="en-GB"/>
        </w:rPr>
        <w:t xml:space="preserve"> </w:t>
      </w:r>
      <w:r w:rsidR="000200F7" w:rsidRPr="00D520A0">
        <w:rPr>
          <w:lang w:val="en-GB"/>
        </w:rPr>
        <w:t>c</w:t>
      </w:r>
      <w:r w:rsidR="004C284A" w:rsidRPr="00D520A0">
        <w:rPr>
          <w:lang w:val="en-GB"/>
        </w:rPr>
        <w:t xml:space="preserve">ommunities </w:t>
      </w:r>
      <w:r w:rsidR="00482F83" w:rsidRPr="00D520A0">
        <w:rPr>
          <w:lang w:val="en-GB"/>
        </w:rPr>
        <w:t>are</w:t>
      </w:r>
      <w:r w:rsidR="004C284A" w:rsidRPr="00D520A0">
        <w:rPr>
          <w:lang w:val="en-GB"/>
        </w:rPr>
        <w:t xml:space="preserve"> </w:t>
      </w:r>
      <w:r w:rsidR="00482F83" w:rsidRPr="00D520A0">
        <w:rPr>
          <w:lang w:val="en-GB"/>
        </w:rPr>
        <w:t xml:space="preserve">defined first and then their ICH </w:t>
      </w:r>
      <w:r w:rsidR="00E24CF6" w:rsidRPr="00D520A0">
        <w:rPr>
          <w:lang w:val="en-GB"/>
        </w:rPr>
        <w:t xml:space="preserve">is </w:t>
      </w:r>
      <w:r w:rsidR="00482F83" w:rsidRPr="00D520A0">
        <w:rPr>
          <w:lang w:val="en-GB"/>
        </w:rPr>
        <w:t>identified</w:t>
      </w:r>
      <w:r w:rsidR="007B5609" w:rsidRPr="00D520A0">
        <w:rPr>
          <w:lang w:val="en-GB"/>
        </w:rPr>
        <w:t xml:space="preserve"> later</w:t>
      </w:r>
      <w:r w:rsidR="00482F83" w:rsidRPr="00D520A0">
        <w:rPr>
          <w:lang w:val="en-GB"/>
        </w:rPr>
        <w:t xml:space="preserve">. </w:t>
      </w:r>
      <w:r w:rsidR="00FF0C37" w:rsidRPr="00D520A0">
        <w:rPr>
          <w:lang w:val="en-GB"/>
        </w:rPr>
        <w:t xml:space="preserve">In other </w:t>
      </w:r>
      <w:r w:rsidR="00AF3EAE" w:rsidRPr="00D520A0">
        <w:rPr>
          <w:lang w:val="en-GB"/>
        </w:rPr>
        <w:t>instances</w:t>
      </w:r>
      <w:r w:rsidR="00E24CF6" w:rsidRPr="00D520A0">
        <w:rPr>
          <w:lang w:val="en-GB"/>
        </w:rPr>
        <w:t>,</w:t>
      </w:r>
      <w:r w:rsidR="00FF0C37" w:rsidRPr="00D520A0">
        <w:rPr>
          <w:lang w:val="en-GB"/>
        </w:rPr>
        <w:t xml:space="preserve"> ICH elements </w:t>
      </w:r>
      <w:r w:rsidR="007B5609" w:rsidRPr="00D520A0">
        <w:rPr>
          <w:lang w:val="en-GB"/>
        </w:rPr>
        <w:t>are</w:t>
      </w:r>
      <w:r w:rsidR="00FF0C37" w:rsidRPr="00D520A0">
        <w:rPr>
          <w:lang w:val="en-GB"/>
        </w:rPr>
        <w:t xml:space="preserve"> identified </w:t>
      </w:r>
      <w:r w:rsidR="00E24CF6" w:rsidRPr="00D520A0">
        <w:rPr>
          <w:lang w:val="en-GB"/>
        </w:rPr>
        <w:t xml:space="preserve">first </w:t>
      </w:r>
      <w:r w:rsidR="00FF0C37" w:rsidRPr="00D520A0">
        <w:rPr>
          <w:lang w:val="en-GB"/>
        </w:rPr>
        <w:t>and then the people associated with them are defined as the community concerned. Whatever approach is used, no community or its ICH should be identified or defined without the full agreement and consent of the people concerned.</w:t>
      </w:r>
    </w:p>
    <w:p w14:paraId="2A6EFA67" w14:textId="4B98F1AB" w:rsidR="00002803" w:rsidRPr="00D520A0" w:rsidRDefault="004C284A" w:rsidP="004936EF">
      <w:pPr>
        <w:pStyle w:val="Heading6"/>
        <w:rPr>
          <w:lang w:val="en-GB"/>
        </w:rPr>
      </w:pPr>
      <w:r w:rsidRPr="00D520A0">
        <w:rPr>
          <w:lang w:val="en-GB"/>
        </w:rPr>
        <w:lastRenderedPageBreak/>
        <w:t>Slide 16</w:t>
      </w:r>
      <w:r w:rsidR="00002803" w:rsidRPr="00D520A0">
        <w:rPr>
          <w:lang w:val="en-GB"/>
        </w:rPr>
        <w:t>.</w:t>
      </w:r>
    </w:p>
    <w:p w14:paraId="7E891D20" w14:textId="77777777" w:rsidR="004C284A" w:rsidRPr="00D520A0" w:rsidRDefault="00B13561" w:rsidP="004936EF">
      <w:pPr>
        <w:pStyle w:val="diapo2"/>
        <w:rPr>
          <w:lang w:val="en-GB"/>
        </w:rPr>
      </w:pPr>
      <w:r w:rsidRPr="00D520A0">
        <w:rPr>
          <w:lang w:val="en-GB"/>
        </w:rPr>
        <w:t>R</w:t>
      </w:r>
      <w:r w:rsidR="004C284A" w:rsidRPr="00D520A0">
        <w:rPr>
          <w:lang w:val="en-GB"/>
        </w:rPr>
        <w:t>elationship</w:t>
      </w:r>
      <w:r w:rsidR="007B5609" w:rsidRPr="00D520A0">
        <w:rPr>
          <w:lang w:val="en-GB"/>
        </w:rPr>
        <w:t xml:space="preserve"> between an element and the community concerned</w:t>
      </w:r>
    </w:p>
    <w:p w14:paraId="6D2F616A" w14:textId="77777777" w:rsidR="004C284A" w:rsidRPr="00D520A0" w:rsidRDefault="004C284A" w:rsidP="009909DD">
      <w:pPr>
        <w:pStyle w:val="Texte1"/>
        <w:rPr>
          <w:lang w:val="en-GB"/>
        </w:rPr>
      </w:pPr>
      <w:r w:rsidRPr="00D520A0">
        <w:rPr>
          <w:lang w:val="en-GB"/>
        </w:rPr>
        <w:t>There is thus a close relationship between an ICH element and the ‘communities, groups and individuals’ concerned. The</w:t>
      </w:r>
      <w:r w:rsidR="00B078B1" w:rsidRPr="00D520A0">
        <w:rPr>
          <w:lang w:val="en-GB"/>
        </w:rPr>
        <w:t xml:space="preserve"> communities concerned</w:t>
      </w:r>
      <w:r w:rsidRPr="00D520A0">
        <w:rPr>
          <w:lang w:val="en-GB"/>
        </w:rPr>
        <w:t xml:space="preserve"> are involved in the </w:t>
      </w:r>
      <w:r w:rsidR="00C37CB0" w:rsidRPr="00D520A0">
        <w:rPr>
          <w:lang w:val="en-GB"/>
        </w:rPr>
        <w:t xml:space="preserve">creation </w:t>
      </w:r>
      <w:r w:rsidRPr="00D520A0">
        <w:rPr>
          <w:lang w:val="en-GB"/>
        </w:rPr>
        <w:t>enactment and transmission of the</w:t>
      </w:r>
      <w:r w:rsidR="00B078B1" w:rsidRPr="00D520A0">
        <w:rPr>
          <w:lang w:val="en-GB"/>
        </w:rPr>
        <w:t>ir ICH</w:t>
      </w:r>
      <w:r w:rsidR="007B5609" w:rsidRPr="00D520A0">
        <w:rPr>
          <w:lang w:val="en-GB"/>
        </w:rPr>
        <w:t>, which</w:t>
      </w:r>
      <w:r w:rsidR="00B078B1" w:rsidRPr="00D520A0">
        <w:rPr>
          <w:lang w:val="en-GB"/>
        </w:rPr>
        <w:t xml:space="preserve"> </w:t>
      </w:r>
      <w:r w:rsidR="004B3B05" w:rsidRPr="00D520A0">
        <w:rPr>
          <w:lang w:val="en-GB"/>
        </w:rPr>
        <w:t>only</w:t>
      </w:r>
      <w:r w:rsidRPr="00D520A0">
        <w:rPr>
          <w:lang w:val="en-GB"/>
        </w:rPr>
        <w:t xml:space="preserve"> manifest</w:t>
      </w:r>
      <w:r w:rsidR="004B3B05" w:rsidRPr="00D520A0">
        <w:rPr>
          <w:lang w:val="en-GB"/>
        </w:rPr>
        <w:t>s</w:t>
      </w:r>
      <w:r w:rsidRPr="00D520A0">
        <w:rPr>
          <w:lang w:val="en-GB"/>
        </w:rPr>
        <w:t xml:space="preserve"> itself</w:t>
      </w:r>
      <w:r w:rsidR="004B3B05" w:rsidRPr="00D520A0">
        <w:rPr>
          <w:lang w:val="en-GB"/>
        </w:rPr>
        <w:t xml:space="preserve"> through them</w:t>
      </w:r>
      <w:r w:rsidRPr="00D520A0">
        <w:rPr>
          <w:lang w:val="en-GB"/>
        </w:rPr>
        <w:t xml:space="preserve">. </w:t>
      </w:r>
      <w:r w:rsidR="00461099" w:rsidRPr="00D520A0">
        <w:rPr>
          <w:lang w:val="en-GB"/>
        </w:rPr>
        <w:t>P</w:t>
      </w:r>
      <w:r w:rsidRPr="00D520A0">
        <w:rPr>
          <w:lang w:val="en-GB"/>
        </w:rPr>
        <w:t>ractising and transmitting their ICH</w:t>
      </w:r>
      <w:r w:rsidR="00461099" w:rsidRPr="00D520A0">
        <w:rPr>
          <w:lang w:val="en-GB"/>
        </w:rPr>
        <w:t>, and safeguarding it where necessary,</w:t>
      </w:r>
      <w:r w:rsidRPr="00D520A0">
        <w:rPr>
          <w:lang w:val="en-GB"/>
        </w:rPr>
        <w:t xml:space="preserve"> contributes </w:t>
      </w:r>
      <w:r w:rsidR="00461099" w:rsidRPr="00D520A0">
        <w:rPr>
          <w:lang w:val="en-GB"/>
        </w:rPr>
        <w:t xml:space="preserve">not only to the viability of their ICH but also </w:t>
      </w:r>
      <w:r w:rsidRPr="00D520A0">
        <w:rPr>
          <w:lang w:val="en-GB"/>
        </w:rPr>
        <w:t>to their sense of identity and continuity</w:t>
      </w:r>
      <w:r w:rsidR="00461099" w:rsidRPr="00D520A0">
        <w:rPr>
          <w:lang w:val="en-GB"/>
        </w:rPr>
        <w:t>, their well-being and development.</w:t>
      </w:r>
      <w:r w:rsidRPr="00D520A0">
        <w:rPr>
          <w:lang w:val="en-GB"/>
        </w:rPr>
        <w:t xml:space="preserve"> </w:t>
      </w:r>
      <w:r w:rsidR="00B078B1" w:rsidRPr="00D520A0">
        <w:rPr>
          <w:lang w:val="en-GB"/>
        </w:rPr>
        <w:t xml:space="preserve">There is no ICH without a community to practise, enjoy and transmit it, and the identity of a community may depend on </w:t>
      </w:r>
      <w:r w:rsidR="00E82FE2" w:rsidRPr="00D520A0">
        <w:rPr>
          <w:lang w:val="en-GB"/>
        </w:rPr>
        <w:t xml:space="preserve">the </w:t>
      </w:r>
      <w:r w:rsidR="00B078B1" w:rsidRPr="00D520A0">
        <w:rPr>
          <w:lang w:val="en-GB"/>
        </w:rPr>
        <w:t>ICH shared among its members.</w:t>
      </w:r>
    </w:p>
    <w:p w14:paraId="4DB90509" w14:textId="77777777" w:rsidR="004C284A" w:rsidRPr="00D520A0" w:rsidRDefault="004C284A" w:rsidP="009909DD">
      <w:pPr>
        <w:pStyle w:val="Texte1"/>
        <w:rPr>
          <w:lang w:val="en-GB"/>
        </w:rPr>
      </w:pPr>
      <w:r w:rsidRPr="00D520A0">
        <w:rPr>
          <w:lang w:val="en-GB"/>
        </w:rPr>
        <w:t xml:space="preserve">The Convention and the ODs fully recognize the crucial role </w:t>
      </w:r>
      <w:r w:rsidR="00E82FE2" w:rsidRPr="00D520A0">
        <w:rPr>
          <w:lang w:val="en-GB"/>
        </w:rPr>
        <w:t xml:space="preserve">that </w:t>
      </w:r>
      <w:r w:rsidRPr="00D520A0">
        <w:rPr>
          <w:lang w:val="en-GB"/>
        </w:rPr>
        <w:t xml:space="preserve">communities play, or </w:t>
      </w:r>
      <w:r w:rsidR="007B5609" w:rsidRPr="00D520A0">
        <w:rPr>
          <w:lang w:val="en-GB"/>
        </w:rPr>
        <w:t xml:space="preserve">must </w:t>
      </w:r>
      <w:r w:rsidRPr="00D520A0">
        <w:rPr>
          <w:lang w:val="en-GB"/>
        </w:rPr>
        <w:t>play</w:t>
      </w:r>
      <w:r w:rsidR="00461099" w:rsidRPr="00D520A0">
        <w:rPr>
          <w:lang w:val="en-GB"/>
        </w:rPr>
        <w:t>,</w:t>
      </w:r>
      <w:r w:rsidRPr="00D520A0">
        <w:rPr>
          <w:lang w:val="en-GB"/>
        </w:rPr>
        <w:t xml:space="preserve"> in safeguarding their ICH:</w:t>
      </w:r>
    </w:p>
    <w:p w14:paraId="4E0308E7" w14:textId="31CF7FB6" w:rsidR="004C284A" w:rsidRPr="00D520A0" w:rsidRDefault="00442E1A" w:rsidP="009909DD">
      <w:pPr>
        <w:pStyle w:val="Texte1"/>
        <w:rPr>
          <w:b/>
          <w:lang w:val="en-GB"/>
        </w:rPr>
      </w:pPr>
      <w:r w:rsidRPr="00D520A0">
        <w:rPr>
          <w:b/>
          <w:lang w:val="en-GB"/>
        </w:rPr>
        <w:t>Article </w:t>
      </w:r>
      <w:r w:rsidR="004C284A" w:rsidRPr="00D520A0">
        <w:rPr>
          <w:b/>
          <w:lang w:val="en-GB"/>
        </w:rPr>
        <w:t>15</w:t>
      </w:r>
    </w:p>
    <w:p w14:paraId="65796F91" w14:textId="43DE891F" w:rsidR="004C284A" w:rsidRPr="00D520A0" w:rsidRDefault="0038259D" w:rsidP="004936EF">
      <w:pPr>
        <w:pStyle w:val="citation"/>
        <w:rPr>
          <w:lang w:val="en-GB"/>
        </w:rPr>
      </w:pPr>
      <w:r w:rsidRPr="00D520A0">
        <w:rPr>
          <w:lang w:val="en-GB"/>
        </w:rPr>
        <w:t xml:space="preserve">Within the framework of its safeguarding activities of the intangible cultural heritage, </w:t>
      </w:r>
      <w:r w:rsidR="00134A41" w:rsidRPr="00D520A0">
        <w:rPr>
          <w:lang w:val="en-GB"/>
        </w:rPr>
        <w:t xml:space="preserve">each </w:t>
      </w:r>
      <w:r w:rsidR="004C284A" w:rsidRPr="00D520A0">
        <w:rPr>
          <w:lang w:val="en-GB"/>
        </w:rPr>
        <w:t>State Part</w:t>
      </w:r>
      <w:r w:rsidR="00134A41" w:rsidRPr="00D520A0">
        <w:rPr>
          <w:lang w:val="en-GB"/>
        </w:rPr>
        <w:t>y</w:t>
      </w:r>
      <w:r w:rsidR="004C284A" w:rsidRPr="00D520A0">
        <w:rPr>
          <w:lang w:val="en-GB"/>
        </w:rPr>
        <w:t xml:space="preserve"> shall endeavour to ensure the widest possible participation of communities, groups and, where appropriate, individuals that create, maintain and transmit such heritage, and to involve them actively in its management.</w:t>
      </w:r>
    </w:p>
    <w:p w14:paraId="2D3BAA56" w14:textId="3E569BD0" w:rsidR="007D2888" w:rsidRPr="00CE3BD3" w:rsidRDefault="007D2888" w:rsidP="007D2888">
      <w:pPr>
        <w:pStyle w:val="Texte1"/>
        <w:rPr>
          <w:lang w:val="en-GB"/>
        </w:rPr>
      </w:pPr>
      <w:r w:rsidRPr="00D520A0">
        <w:rPr>
          <w:lang w:val="en-GB"/>
        </w:rPr>
        <w:t xml:space="preserve">In Unit 7, participants will hear more about – and have the opportunity to discuss – the involvement of the communities, groups and individuals concerned in all actions concerning their ICH that are undertaken </w:t>
      </w:r>
      <w:r w:rsidR="00A40080" w:rsidRPr="00D520A0">
        <w:rPr>
          <w:lang w:val="en-GB"/>
        </w:rPr>
        <w:t xml:space="preserve">by </w:t>
      </w:r>
      <w:r w:rsidRPr="00D520A0">
        <w:rPr>
          <w:lang w:val="en-GB"/>
        </w:rPr>
        <w:t xml:space="preserve">States Parties to the </w:t>
      </w:r>
      <w:r w:rsidRPr="00CE3BD3">
        <w:rPr>
          <w:lang w:val="en-GB"/>
        </w:rPr>
        <w:t>Convention.</w:t>
      </w:r>
      <w:r w:rsidR="00AE72CC" w:rsidRPr="00CE3BD3">
        <w:rPr>
          <w:lang w:val="en-GB"/>
        </w:rPr>
        <w:t xml:space="preserve"> In U</w:t>
      </w:r>
      <w:r w:rsidR="00A40080" w:rsidRPr="00CE3BD3">
        <w:rPr>
          <w:lang w:val="en-GB"/>
        </w:rPr>
        <w:t xml:space="preserve">nit </w:t>
      </w:r>
      <w:r w:rsidR="00B97CA8" w:rsidRPr="00CE3BD3">
        <w:rPr>
          <w:lang w:val="en-GB"/>
        </w:rPr>
        <w:t>38</w:t>
      </w:r>
      <w:r w:rsidR="00AE72CC" w:rsidRPr="00CE3BD3">
        <w:rPr>
          <w:lang w:val="en-GB"/>
        </w:rPr>
        <w:t xml:space="preserve">, participants will </w:t>
      </w:r>
      <w:r w:rsidR="00A40080" w:rsidRPr="00CE3BD3">
        <w:rPr>
          <w:lang w:val="en-GB"/>
        </w:rPr>
        <w:t>learn about</w:t>
      </w:r>
      <w:r w:rsidR="00AE72CC" w:rsidRPr="00CE3BD3">
        <w:rPr>
          <w:lang w:val="en-GB"/>
        </w:rPr>
        <w:t xml:space="preserve"> the Ethical Principles for Safeguarding Intangible Cultural Heritage</w:t>
      </w:r>
      <w:r w:rsidR="00FE23CA" w:rsidRPr="00CE3BD3">
        <w:rPr>
          <w:lang w:val="en-GB"/>
        </w:rPr>
        <w:t>,</w:t>
      </w:r>
      <w:r w:rsidR="00AE72CC" w:rsidRPr="00CE3BD3">
        <w:rPr>
          <w:lang w:val="en-GB"/>
        </w:rPr>
        <w:t xml:space="preserve"> </w:t>
      </w:r>
      <w:r w:rsidR="00FE23CA" w:rsidRPr="00CE3BD3">
        <w:rPr>
          <w:lang w:val="en-GB"/>
        </w:rPr>
        <w:t>which</w:t>
      </w:r>
      <w:r w:rsidR="00AE72CC" w:rsidRPr="00CE3BD3">
        <w:rPr>
          <w:lang w:val="en-GB"/>
        </w:rPr>
        <w:t xml:space="preserve"> emphasize the primary role of communities, groups and individuals in safeguarding their own </w:t>
      </w:r>
      <w:r w:rsidR="00B97CA8" w:rsidRPr="00CE3BD3">
        <w:rPr>
          <w:lang w:val="en-GB"/>
        </w:rPr>
        <w:t>ICH</w:t>
      </w:r>
      <w:r w:rsidR="00FE23CA" w:rsidRPr="00CE3BD3">
        <w:rPr>
          <w:lang w:val="en-GB"/>
        </w:rPr>
        <w:t>.</w:t>
      </w:r>
    </w:p>
    <w:p w14:paraId="7EB77E5B" w14:textId="1BA45155" w:rsidR="00ED462D" w:rsidRPr="00CE3BD3" w:rsidRDefault="000D1FF6" w:rsidP="00ED462D">
      <w:pPr>
        <w:pStyle w:val="Texte1"/>
        <w:ind w:left="0"/>
        <w:rPr>
          <w:b/>
          <w:i/>
          <w:lang w:val="en-GB"/>
        </w:rPr>
      </w:pPr>
      <w:r w:rsidRPr="00CE3BD3">
        <w:rPr>
          <w:b/>
          <w:i/>
          <w:lang w:val="en-GB"/>
        </w:rPr>
        <w:t>G</w:t>
      </w:r>
      <w:r w:rsidR="00ED462D" w:rsidRPr="00CE3BD3">
        <w:rPr>
          <w:b/>
          <w:i/>
          <w:lang w:val="en-GB"/>
        </w:rPr>
        <w:t>ender and ICH</w:t>
      </w:r>
    </w:p>
    <w:p w14:paraId="6077710D" w14:textId="4574225A" w:rsidR="00ED462D" w:rsidRPr="00CE3BD3" w:rsidRDefault="00ED462D" w:rsidP="00F82981">
      <w:pPr>
        <w:pStyle w:val="Texte1"/>
        <w:rPr>
          <w:lang w:val="en-GB"/>
        </w:rPr>
      </w:pPr>
      <w:r w:rsidRPr="00CE3BD3">
        <w:rPr>
          <w:szCs w:val="20"/>
          <w:lang w:val="en-GB"/>
        </w:rPr>
        <w:t xml:space="preserve">All </w:t>
      </w:r>
      <w:r w:rsidR="009E768E" w:rsidRPr="00CE3BD3">
        <w:rPr>
          <w:szCs w:val="20"/>
          <w:lang w:val="en-GB"/>
        </w:rPr>
        <w:t>ICH</w:t>
      </w:r>
      <w:r w:rsidRPr="00CE3BD3">
        <w:rPr>
          <w:szCs w:val="20"/>
          <w:lang w:val="en-GB"/>
        </w:rPr>
        <w:t xml:space="preserve"> expressions carry and transmit values, norms and behaviours related to the roles and relationships of and between gender groups in a given community. In such a way, </w:t>
      </w:r>
      <w:r w:rsidR="009E768E" w:rsidRPr="00CE3BD3">
        <w:rPr>
          <w:szCs w:val="20"/>
          <w:lang w:val="en-GB"/>
        </w:rPr>
        <w:t>ICH</w:t>
      </w:r>
      <w:r w:rsidRPr="00CE3BD3">
        <w:rPr>
          <w:szCs w:val="20"/>
          <w:lang w:val="en-GB"/>
        </w:rPr>
        <w:t xml:space="preserve"> is a </w:t>
      </w:r>
      <w:r w:rsidR="00F82981" w:rsidRPr="00CE3BD3">
        <w:rPr>
          <w:szCs w:val="20"/>
          <w:lang w:val="en-GB"/>
        </w:rPr>
        <w:t xml:space="preserve">significant </w:t>
      </w:r>
      <w:r w:rsidRPr="00CE3BD3">
        <w:rPr>
          <w:szCs w:val="20"/>
          <w:lang w:val="en-GB"/>
        </w:rPr>
        <w:t xml:space="preserve">context for shaping gender roles and identities and transmitting them. At the same time, access to and participation in specific expressions of ICH are also determined by gender. Thus while gender norms influence ICH, ICH influences gender norms. Understanding the relationship between gender and ICH is significant for safeguarding in two ways: it can open up new avenues to safeguarding and strengthen steps towards gender equality. </w:t>
      </w:r>
    </w:p>
    <w:p w14:paraId="6138F3A3" w14:textId="77777777" w:rsidR="00ED462D" w:rsidRPr="00CE3BD3" w:rsidRDefault="00ED462D" w:rsidP="00ED462D">
      <w:pPr>
        <w:pStyle w:val="Texte1"/>
        <w:tabs>
          <w:tab w:val="clear" w:pos="567"/>
        </w:tabs>
        <w:rPr>
          <w:lang w:val="en-GB"/>
        </w:rPr>
      </w:pPr>
      <w:r w:rsidRPr="00CE3BD3">
        <w:rPr>
          <w:bCs/>
          <w:lang w:val="en-GB"/>
        </w:rPr>
        <w:t xml:space="preserve">Refer to Participant’s text Unit 3: ‘Gender and ICH’ </w:t>
      </w:r>
      <w:r w:rsidRPr="00CE3BD3">
        <w:rPr>
          <w:noProof/>
          <w:lang w:eastAsia="zh-TW"/>
        </w:rPr>
        <w:drawing>
          <wp:anchor distT="0" distB="0" distL="114300" distR="114300" simplePos="0" relativeHeight="251666944" behindDoc="0" locked="1" layoutInCell="1" allowOverlap="0" wp14:anchorId="2E3EA0E3" wp14:editId="4D70E639">
            <wp:simplePos x="0" y="0"/>
            <wp:positionH relativeFrom="column">
              <wp:posOffset>74295</wp:posOffset>
            </wp:positionH>
            <wp:positionV relativeFrom="paragraph">
              <wp:posOffset>-83185</wp:posOffset>
            </wp:positionV>
            <wp:extent cx="282575" cy="357505"/>
            <wp:effectExtent l="0" t="0" r="3175" b="4445"/>
            <wp:wrapThrough wrapText="bothSides">
              <wp:wrapPolygon edited="0">
                <wp:start x="0" y="0"/>
                <wp:lineTo x="0" y="20718"/>
                <wp:lineTo x="20387" y="20718"/>
                <wp:lineTo x="20387" y="0"/>
                <wp:lineTo x="0" y="0"/>
              </wp:wrapPolygon>
            </wp:wrapThrough>
            <wp:docPr id="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p>
    <w:p w14:paraId="3D9A3D20" w14:textId="57B3CDA1" w:rsidR="00002803" w:rsidRPr="00D520A0" w:rsidRDefault="004C284A" w:rsidP="004936EF">
      <w:pPr>
        <w:pStyle w:val="Heading6"/>
        <w:rPr>
          <w:lang w:val="en-GB"/>
        </w:rPr>
      </w:pPr>
      <w:r w:rsidRPr="00D520A0">
        <w:rPr>
          <w:lang w:val="en-GB"/>
        </w:rPr>
        <w:t>Slide 17</w:t>
      </w:r>
      <w:r w:rsidR="00002803" w:rsidRPr="00D520A0">
        <w:rPr>
          <w:lang w:val="en-GB"/>
        </w:rPr>
        <w:t>.</w:t>
      </w:r>
    </w:p>
    <w:p w14:paraId="6127C52C" w14:textId="0DDB2138" w:rsidR="004C284A" w:rsidRPr="00D520A0" w:rsidRDefault="004C284A" w:rsidP="004936EF">
      <w:pPr>
        <w:pStyle w:val="diapo2"/>
        <w:rPr>
          <w:lang w:val="en-GB"/>
        </w:rPr>
      </w:pPr>
      <w:r w:rsidRPr="00D520A0">
        <w:rPr>
          <w:lang w:val="en-GB"/>
        </w:rPr>
        <w:t>Safeguarding (subheading)</w:t>
      </w:r>
    </w:p>
    <w:p w14:paraId="4DC40CF0" w14:textId="05034E58" w:rsidR="00002803" w:rsidRPr="00D520A0" w:rsidRDefault="004C284A" w:rsidP="004936EF">
      <w:pPr>
        <w:pStyle w:val="Heading6"/>
        <w:rPr>
          <w:lang w:val="en-GB"/>
        </w:rPr>
      </w:pPr>
      <w:r w:rsidRPr="00D520A0">
        <w:rPr>
          <w:lang w:val="en-GB"/>
        </w:rPr>
        <w:t>Slide 18</w:t>
      </w:r>
      <w:r w:rsidR="00002803" w:rsidRPr="00D520A0">
        <w:rPr>
          <w:lang w:val="en-GB"/>
        </w:rPr>
        <w:t>.</w:t>
      </w:r>
    </w:p>
    <w:p w14:paraId="753138DD" w14:textId="2A961545" w:rsidR="004C284A" w:rsidRPr="00D520A0" w:rsidRDefault="004C284A" w:rsidP="004936EF">
      <w:pPr>
        <w:pStyle w:val="diapo2"/>
        <w:rPr>
          <w:lang w:val="en-GB"/>
        </w:rPr>
      </w:pPr>
      <w:r w:rsidRPr="00D520A0">
        <w:rPr>
          <w:lang w:val="en-GB"/>
        </w:rPr>
        <w:t>Safeguarding concepts</w:t>
      </w:r>
    </w:p>
    <w:p w14:paraId="7C5F62C7" w14:textId="4979FB2C" w:rsidR="00A5579C" w:rsidRPr="00D520A0" w:rsidRDefault="007B2527" w:rsidP="00D520A0">
      <w:pPr>
        <w:pStyle w:val="Informations0"/>
        <w:rPr>
          <w:iCs/>
          <w:lang w:val="en-GB"/>
        </w:rPr>
      </w:pPr>
      <w:r w:rsidRPr="00D520A0">
        <w:rPr>
          <w:i w:val="0"/>
          <w:iCs/>
          <w:lang w:val="en-GB"/>
        </w:rPr>
        <w:t xml:space="preserve">Refer to </w:t>
      </w:r>
      <w:r w:rsidR="00F02D08" w:rsidRPr="00D520A0">
        <w:rPr>
          <w:i w:val="0"/>
          <w:iCs/>
          <w:lang w:val="en-GB"/>
        </w:rPr>
        <w:t>Participant’s</w:t>
      </w:r>
      <w:r w:rsidR="002A3923" w:rsidRPr="00D520A0">
        <w:rPr>
          <w:i w:val="0"/>
          <w:iCs/>
          <w:lang w:val="en-GB"/>
        </w:rPr>
        <w:t xml:space="preserve"> text </w:t>
      </w:r>
      <w:r w:rsidR="00D0449A" w:rsidRPr="00D520A0">
        <w:rPr>
          <w:i w:val="0"/>
          <w:iCs/>
          <w:lang w:val="en-GB"/>
        </w:rPr>
        <w:t>Unit</w:t>
      </w:r>
      <w:r w:rsidR="004D00D1" w:rsidRPr="00D520A0">
        <w:rPr>
          <w:i w:val="0"/>
          <w:iCs/>
          <w:lang w:val="en-GB"/>
        </w:rPr>
        <w:t> </w:t>
      </w:r>
      <w:r w:rsidR="00B078B1" w:rsidRPr="00D520A0">
        <w:rPr>
          <w:i w:val="0"/>
          <w:iCs/>
          <w:lang w:val="en-GB"/>
        </w:rPr>
        <w:t xml:space="preserve">1.5 and </w:t>
      </w:r>
      <w:r w:rsidR="00D0449A" w:rsidRPr="00D520A0">
        <w:rPr>
          <w:i w:val="0"/>
          <w:iCs/>
          <w:lang w:val="en-GB"/>
        </w:rPr>
        <w:t>Unit 3</w:t>
      </w:r>
      <w:r w:rsidR="005776FB" w:rsidRPr="00D520A0">
        <w:rPr>
          <w:i w:val="0"/>
          <w:iCs/>
          <w:lang w:val="en-GB"/>
        </w:rPr>
        <w:t>:</w:t>
      </w:r>
      <w:r w:rsidRPr="00D520A0">
        <w:rPr>
          <w:i w:val="0"/>
          <w:iCs/>
          <w:lang w:val="en-GB"/>
        </w:rPr>
        <w:t xml:space="preserve"> </w:t>
      </w:r>
      <w:r w:rsidR="00B078B1" w:rsidRPr="00D520A0">
        <w:rPr>
          <w:i w:val="0"/>
          <w:iCs/>
          <w:lang w:val="en-GB"/>
        </w:rPr>
        <w:t>‘</w:t>
      </w:r>
      <w:r w:rsidRPr="00D520A0">
        <w:rPr>
          <w:i w:val="0"/>
          <w:iCs/>
          <w:lang w:val="en-GB"/>
        </w:rPr>
        <w:t>Safeguarding</w:t>
      </w:r>
      <w:r w:rsidR="004E1C1E" w:rsidRPr="00D520A0">
        <w:rPr>
          <w:i w:val="0"/>
          <w:iCs/>
          <w:lang w:val="en-GB"/>
        </w:rPr>
        <w:t xml:space="preserve"> and </w:t>
      </w:r>
      <w:r w:rsidR="005776FB" w:rsidRPr="00D520A0">
        <w:rPr>
          <w:i w:val="0"/>
          <w:iCs/>
          <w:lang w:val="en-GB"/>
        </w:rPr>
        <w:t>s</w:t>
      </w:r>
      <w:r w:rsidR="004E1C1E" w:rsidRPr="00D520A0">
        <w:rPr>
          <w:i w:val="0"/>
          <w:iCs/>
          <w:lang w:val="en-GB"/>
        </w:rPr>
        <w:t xml:space="preserve">afeguarding </w:t>
      </w:r>
      <w:r w:rsidR="005776FB" w:rsidRPr="00D520A0">
        <w:rPr>
          <w:i w:val="0"/>
          <w:iCs/>
          <w:lang w:val="en-GB"/>
        </w:rPr>
        <w:t>m</w:t>
      </w:r>
      <w:r w:rsidR="004E1C1E" w:rsidRPr="00D520A0">
        <w:rPr>
          <w:i w:val="0"/>
          <w:iCs/>
          <w:lang w:val="en-GB"/>
        </w:rPr>
        <w:t>easures</w:t>
      </w:r>
      <w:r w:rsidR="00B078B1" w:rsidRPr="00D520A0">
        <w:rPr>
          <w:i w:val="0"/>
          <w:iCs/>
          <w:lang w:val="en-GB"/>
        </w:rPr>
        <w:t>’</w:t>
      </w:r>
      <w:r w:rsidR="004D6D58" w:rsidRPr="00D520A0">
        <w:rPr>
          <w:i w:val="0"/>
          <w:iCs/>
          <w:lang w:val="en-GB"/>
        </w:rPr>
        <w:t xml:space="preserve"> </w:t>
      </w:r>
      <w:r w:rsidR="000D1FF6" w:rsidRPr="00D520A0">
        <w:rPr>
          <w:i w:val="0"/>
          <w:iCs/>
          <w:noProof/>
          <w:lang w:eastAsia="zh-TW"/>
        </w:rPr>
        <w:drawing>
          <wp:anchor distT="0" distB="0" distL="114300" distR="114300" simplePos="0" relativeHeight="251666432" behindDoc="0" locked="1" layoutInCell="1" allowOverlap="0" wp14:anchorId="67A5B414" wp14:editId="0DC08D80">
            <wp:simplePos x="0" y="0"/>
            <wp:positionH relativeFrom="column">
              <wp:posOffset>0</wp:posOffset>
            </wp:positionH>
            <wp:positionV relativeFrom="paragraph">
              <wp:posOffset>42545</wp:posOffset>
            </wp:positionV>
            <wp:extent cx="282575" cy="357505"/>
            <wp:effectExtent l="0" t="0" r="3175" b="4445"/>
            <wp:wrapNone/>
            <wp:docPr id="1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4D6D58" w:rsidRPr="00D520A0">
        <w:rPr>
          <w:i w:val="0"/>
          <w:iCs/>
          <w:lang w:val="en-GB"/>
        </w:rPr>
        <w:t>and</w:t>
      </w:r>
      <w:r w:rsidR="00A5579C" w:rsidRPr="00D520A0">
        <w:rPr>
          <w:i w:val="0"/>
          <w:iCs/>
          <w:lang w:val="en-GB"/>
        </w:rPr>
        <w:t xml:space="preserve"> </w:t>
      </w:r>
      <w:r w:rsidR="00B078B1" w:rsidRPr="00D520A0">
        <w:rPr>
          <w:i w:val="0"/>
          <w:iCs/>
          <w:lang w:val="en-GB"/>
        </w:rPr>
        <w:t>‘</w:t>
      </w:r>
      <w:r w:rsidR="00A5579C" w:rsidRPr="00D520A0">
        <w:rPr>
          <w:i w:val="0"/>
          <w:iCs/>
          <w:lang w:val="en-GB"/>
        </w:rPr>
        <w:t xml:space="preserve">Threats and </w:t>
      </w:r>
      <w:r w:rsidR="004D6D58" w:rsidRPr="00D520A0">
        <w:rPr>
          <w:i w:val="0"/>
          <w:iCs/>
          <w:lang w:val="en-GB"/>
        </w:rPr>
        <w:t>r</w:t>
      </w:r>
      <w:r w:rsidR="00A5579C" w:rsidRPr="00D520A0">
        <w:rPr>
          <w:i w:val="0"/>
          <w:iCs/>
          <w:lang w:val="en-GB"/>
        </w:rPr>
        <w:t>isks</w:t>
      </w:r>
      <w:r w:rsidR="00B078B1" w:rsidRPr="00D520A0">
        <w:rPr>
          <w:i w:val="0"/>
          <w:iCs/>
          <w:lang w:val="en-GB"/>
        </w:rPr>
        <w:t>’</w:t>
      </w:r>
      <w:r w:rsidR="00A5579C" w:rsidRPr="00D520A0">
        <w:rPr>
          <w:i w:val="0"/>
          <w:iCs/>
          <w:lang w:val="en-GB"/>
        </w:rPr>
        <w:t>.</w:t>
      </w:r>
    </w:p>
    <w:p w14:paraId="725D6D18" w14:textId="1FEF3B7E" w:rsidR="004C284A" w:rsidRPr="00D520A0" w:rsidRDefault="004C284A">
      <w:pPr>
        <w:pStyle w:val="Texte1"/>
        <w:rPr>
          <w:lang w:val="en-GB"/>
        </w:rPr>
      </w:pPr>
      <w:r w:rsidRPr="00D520A0">
        <w:rPr>
          <w:lang w:val="en-GB"/>
        </w:rPr>
        <w:lastRenderedPageBreak/>
        <w:t xml:space="preserve">Not all </w:t>
      </w:r>
      <w:r w:rsidR="00B97CA8" w:rsidRPr="00D520A0">
        <w:rPr>
          <w:lang w:val="en-GB"/>
        </w:rPr>
        <w:t>ICH</w:t>
      </w:r>
      <w:r w:rsidRPr="00D520A0">
        <w:rPr>
          <w:lang w:val="en-GB"/>
        </w:rPr>
        <w:t xml:space="preserve"> should be</w:t>
      </w:r>
      <w:r w:rsidR="002D31B1" w:rsidRPr="00D520A0">
        <w:rPr>
          <w:lang w:val="en-GB"/>
        </w:rPr>
        <w:t xml:space="preserve">, </w:t>
      </w:r>
      <w:r w:rsidRPr="00D520A0">
        <w:rPr>
          <w:lang w:val="en-GB"/>
        </w:rPr>
        <w:t>or can be</w:t>
      </w:r>
      <w:r w:rsidR="002D31B1" w:rsidRPr="00D520A0">
        <w:rPr>
          <w:lang w:val="en-GB"/>
        </w:rPr>
        <w:t xml:space="preserve">, </w:t>
      </w:r>
      <w:r w:rsidRPr="00D520A0">
        <w:rPr>
          <w:lang w:val="en-GB"/>
        </w:rPr>
        <w:t xml:space="preserve">safeguarded or revitalized. If </w:t>
      </w:r>
      <w:r w:rsidR="000F453D" w:rsidRPr="00D520A0">
        <w:rPr>
          <w:lang w:val="en-GB"/>
        </w:rPr>
        <w:t xml:space="preserve">enough </w:t>
      </w:r>
      <w:r w:rsidR="004871BA" w:rsidRPr="00D520A0">
        <w:rPr>
          <w:lang w:val="en-GB"/>
        </w:rPr>
        <w:t>members of the</w:t>
      </w:r>
      <w:r w:rsidR="00EA310F" w:rsidRPr="00D520A0">
        <w:rPr>
          <w:lang w:val="en-GB"/>
        </w:rPr>
        <w:t xml:space="preserve"> community or gro</w:t>
      </w:r>
      <w:r w:rsidR="004871BA" w:rsidRPr="00D520A0">
        <w:rPr>
          <w:lang w:val="en-GB"/>
        </w:rPr>
        <w:t>up concerned no longer consider specific</w:t>
      </w:r>
      <w:r w:rsidR="00EA310F" w:rsidRPr="00D520A0">
        <w:rPr>
          <w:lang w:val="en-GB"/>
        </w:rPr>
        <w:t xml:space="preserve"> elements of </w:t>
      </w:r>
      <w:r w:rsidR="004871BA" w:rsidRPr="00D520A0">
        <w:rPr>
          <w:lang w:val="en-GB"/>
        </w:rPr>
        <w:t xml:space="preserve">their </w:t>
      </w:r>
      <w:r w:rsidR="00B97CA8" w:rsidRPr="00D520A0">
        <w:rPr>
          <w:lang w:val="en-GB"/>
        </w:rPr>
        <w:t xml:space="preserve">ICH </w:t>
      </w:r>
      <w:r w:rsidR="000F453D" w:rsidRPr="00D520A0">
        <w:rPr>
          <w:lang w:val="en-GB"/>
        </w:rPr>
        <w:t xml:space="preserve">to be </w:t>
      </w:r>
      <w:r w:rsidR="00EA310F" w:rsidRPr="00D520A0">
        <w:rPr>
          <w:lang w:val="en-GB"/>
        </w:rPr>
        <w:t>relevant or meaningful</w:t>
      </w:r>
      <w:r w:rsidRPr="00D520A0">
        <w:rPr>
          <w:lang w:val="en-GB"/>
        </w:rPr>
        <w:t xml:space="preserve">, </w:t>
      </w:r>
      <w:r w:rsidR="004871BA" w:rsidRPr="00D520A0">
        <w:rPr>
          <w:lang w:val="en-GB"/>
        </w:rPr>
        <w:t>then these elements</w:t>
      </w:r>
      <w:r w:rsidRPr="00D520A0">
        <w:rPr>
          <w:lang w:val="en-GB"/>
        </w:rPr>
        <w:t xml:space="preserve"> can </w:t>
      </w:r>
      <w:r w:rsidR="007622A4" w:rsidRPr="00D520A0">
        <w:rPr>
          <w:lang w:val="en-GB"/>
        </w:rPr>
        <w:t>probably not be safeguard</w:t>
      </w:r>
      <w:r w:rsidR="004871BA" w:rsidRPr="00D520A0">
        <w:rPr>
          <w:lang w:val="en-GB"/>
        </w:rPr>
        <w:t>ed</w:t>
      </w:r>
      <w:r w:rsidR="00D55EAC" w:rsidRPr="00D520A0">
        <w:rPr>
          <w:lang w:val="en-GB"/>
        </w:rPr>
        <w:t>. The elements</w:t>
      </w:r>
      <w:r w:rsidR="007622A4" w:rsidRPr="00D520A0">
        <w:rPr>
          <w:lang w:val="en-GB"/>
        </w:rPr>
        <w:t xml:space="preserve"> may then </w:t>
      </w:r>
      <w:r w:rsidRPr="00D520A0">
        <w:rPr>
          <w:lang w:val="en-GB"/>
        </w:rPr>
        <w:t xml:space="preserve">be recorded before they stop being enacted. Without strong motivation and commitment on the </w:t>
      </w:r>
      <w:r w:rsidR="00A51CC2" w:rsidRPr="00D520A0">
        <w:rPr>
          <w:lang w:val="en-GB"/>
        </w:rPr>
        <w:t xml:space="preserve">part </w:t>
      </w:r>
      <w:r w:rsidRPr="00D520A0">
        <w:rPr>
          <w:lang w:val="en-GB"/>
        </w:rPr>
        <w:t>of practitioners and other tradition bearers</w:t>
      </w:r>
      <w:r w:rsidR="000F453D" w:rsidRPr="00D520A0">
        <w:rPr>
          <w:lang w:val="en-GB"/>
        </w:rPr>
        <w:t>,</w:t>
      </w:r>
      <w:r w:rsidRPr="00D520A0">
        <w:rPr>
          <w:lang w:val="en-GB"/>
        </w:rPr>
        <w:t xml:space="preserve"> safeguarding actions (in the sense of the Convention) </w:t>
      </w:r>
      <w:r w:rsidR="000F453D" w:rsidRPr="00D520A0">
        <w:rPr>
          <w:lang w:val="en-GB"/>
        </w:rPr>
        <w:t>are doomed to</w:t>
      </w:r>
      <w:r w:rsidRPr="00D520A0">
        <w:rPr>
          <w:lang w:val="en-GB"/>
        </w:rPr>
        <w:t xml:space="preserve"> fail</w:t>
      </w:r>
      <w:r w:rsidR="000F453D" w:rsidRPr="00D520A0">
        <w:rPr>
          <w:lang w:val="en-GB"/>
        </w:rPr>
        <w:t>ure</w:t>
      </w:r>
      <w:r w:rsidRPr="00D520A0">
        <w:rPr>
          <w:lang w:val="en-GB"/>
        </w:rPr>
        <w:t>.</w:t>
      </w:r>
    </w:p>
    <w:p w14:paraId="052F14DA" w14:textId="19A1EB43" w:rsidR="00002803" w:rsidRPr="00D520A0" w:rsidRDefault="004C284A" w:rsidP="004936EF">
      <w:pPr>
        <w:pStyle w:val="Heading6"/>
        <w:rPr>
          <w:lang w:val="en-GB"/>
        </w:rPr>
      </w:pPr>
      <w:r w:rsidRPr="00D520A0">
        <w:rPr>
          <w:lang w:val="en-GB"/>
        </w:rPr>
        <w:t>Slide 19</w:t>
      </w:r>
      <w:r w:rsidR="00002803" w:rsidRPr="00D520A0">
        <w:rPr>
          <w:lang w:val="en-GB"/>
        </w:rPr>
        <w:t>.</w:t>
      </w:r>
    </w:p>
    <w:p w14:paraId="7A3FAEA8" w14:textId="77777777" w:rsidR="004C284A" w:rsidRPr="00D520A0" w:rsidRDefault="004C284A" w:rsidP="004936EF">
      <w:pPr>
        <w:pStyle w:val="diapo2"/>
        <w:rPr>
          <w:lang w:val="en-GB"/>
        </w:rPr>
      </w:pPr>
      <w:r w:rsidRPr="00D520A0">
        <w:rPr>
          <w:lang w:val="en-GB"/>
        </w:rPr>
        <w:t>Key safeguarding measures</w:t>
      </w:r>
    </w:p>
    <w:p w14:paraId="781C5D76" w14:textId="37CA21EC" w:rsidR="009915F4" w:rsidRPr="00D520A0" w:rsidRDefault="009915F4" w:rsidP="009909DD">
      <w:pPr>
        <w:pStyle w:val="Texte1"/>
        <w:rPr>
          <w:iCs/>
          <w:color w:val="3366FF"/>
          <w:szCs w:val="20"/>
          <w:lang w:val="en-GB"/>
        </w:rPr>
      </w:pPr>
      <w:r w:rsidRPr="00D520A0">
        <w:rPr>
          <w:iCs/>
          <w:color w:val="3366FF"/>
          <w:szCs w:val="20"/>
          <w:lang w:val="en-GB"/>
        </w:rPr>
        <w:t xml:space="preserve">Refer to </w:t>
      </w:r>
      <w:r w:rsidR="00F02D08" w:rsidRPr="00D520A0">
        <w:rPr>
          <w:iCs/>
          <w:color w:val="3366FF"/>
          <w:szCs w:val="20"/>
          <w:lang w:val="en-GB"/>
        </w:rPr>
        <w:t>Participant’s</w:t>
      </w:r>
      <w:r w:rsidR="002A3923" w:rsidRPr="00D520A0">
        <w:rPr>
          <w:iCs/>
          <w:color w:val="3366FF"/>
          <w:szCs w:val="20"/>
          <w:lang w:val="en-GB"/>
        </w:rPr>
        <w:t xml:space="preserve"> text </w:t>
      </w:r>
      <w:r w:rsidR="00D0449A" w:rsidRPr="00D520A0">
        <w:rPr>
          <w:iCs/>
          <w:color w:val="3366FF"/>
          <w:szCs w:val="20"/>
          <w:lang w:val="en-GB"/>
        </w:rPr>
        <w:t>Unit 3</w:t>
      </w:r>
      <w:r w:rsidR="00BA54A6" w:rsidRPr="00D520A0">
        <w:rPr>
          <w:iCs/>
          <w:color w:val="3366FF"/>
          <w:szCs w:val="20"/>
          <w:lang w:val="en-GB"/>
        </w:rPr>
        <w:t>:</w:t>
      </w:r>
      <w:r w:rsidR="0034537E" w:rsidRPr="00D520A0">
        <w:rPr>
          <w:iCs/>
          <w:color w:val="3366FF"/>
          <w:szCs w:val="20"/>
          <w:lang w:val="en-GB"/>
        </w:rPr>
        <w:t xml:space="preserve"> ‘Safeguarding</w:t>
      </w:r>
      <w:r w:rsidR="00BA54A6" w:rsidRPr="00D520A0">
        <w:rPr>
          <w:iCs/>
          <w:color w:val="3366FF"/>
          <w:szCs w:val="20"/>
          <w:lang w:val="en-GB"/>
        </w:rPr>
        <w:t xml:space="preserve"> and s</w:t>
      </w:r>
      <w:r w:rsidRPr="00D520A0">
        <w:rPr>
          <w:iCs/>
          <w:color w:val="3366FF"/>
          <w:szCs w:val="20"/>
          <w:lang w:val="en-GB"/>
        </w:rPr>
        <w:t xml:space="preserve">afeguarding </w:t>
      </w:r>
      <w:r w:rsidR="00BA54A6" w:rsidRPr="00D520A0">
        <w:rPr>
          <w:iCs/>
          <w:color w:val="3366FF"/>
          <w:szCs w:val="20"/>
          <w:lang w:val="en-GB"/>
        </w:rPr>
        <w:t>m</w:t>
      </w:r>
      <w:r w:rsidRPr="00D520A0">
        <w:rPr>
          <w:iCs/>
          <w:color w:val="3366FF"/>
          <w:szCs w:val="20"/>
          <w:lang w:val="en-GB"/>
        </w:rPr>
        <w:t>easures</w:t>
      </w:r>
      <w:r w:rsidR="0034537E" w:rsidRPr="00D520A0">
        <w:rPr>
          <w:iCs/>
          <w:color w:val="3366FF"/>
          <w:szCs w:val="20"/>
          <w:lang w:val="en-GB"/>
        </w:rPr>
        <w:t>’</w:t>
      </w:r>
      <w:r w:rsidRPr="00D520A0">
        <w:rPr>
          <w:iCs/>
          <w:color w:val="3366FF"/>
          <w:szCs w:val="20"/>
          <w:lang w:val="en-GB"/>
        </w:rPr>
        <w:t>.</w:t>
      </w:r>
    </w:p>
    <w:p w14:paraId="0FA74796" w14:textId="5825069C" w:rsidR="00172A9E" w:rsidRPr="00CE3BD3" w:rsidRDefault="00EF1DCA" w:rsidP="009909DD">
      <w:pPr>
        <w:pStyle w:val="Texte1"/>
        <w:rPr>
          <w:lang w:val="en-GB"/>
        </w:rPr>
      </w:pPr>
      <w:r w:rsidRPr="00D520A0">
        <w:rPr>
          <w:iCs/>
          <w:noProof/>
          <w:color w:val="3366FF"/>
          <w:szCs w:val="20"/>
          <w:lang w:eastAsia="zh-TW"/>
        </w:rPr>
        <w:drawing>
          <wp:anchor distT="0" distB="0" distL="114300" distR="114300" simplePos="0" relativeHeight="251671040" behindDoc="0" locked="1" layoutInCell="1" allowOverlap="0" wp14:anchorId="0C7E450F" wp14:editId="196FFC3C">
            <wp:simplePos x="0" y="0"/>
            <wp:positionH relativeFrom="column">
              <wp:posOffset>25400</wp:posOffset>
            </wp:positionH>
            <wp:positionV relativeFrom="paragraph">
              <wp:posOffset>-286385</wp:posOffset>
            </wp:positionV>
            <wp:extent cx="282575" cy="357505"/>
            <wp:effectExtent l="0" t="0" r="3175" b="4445"/>
            <wp:wrapNone/>
            <wp:docPr id="2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BC1BD5" w:rsidRPr="00D520A0">
        <w:rPr>
          <w:lang w:val="en-GB"/>
        </w:rPr>
        <w:t xml:space="preserve">Safeguarding measures are </w:t>
      </w:r>
      <w:r w:rsidR="00370C68" w:rsidRPr="00D520A0">
        <w:rPr>
          <w:lang w:val="en-GB"/>
        </w:rPr>
        <w:t>deliberate activities aim</w:t>
      </w:r>
      <w:r w:rsidR="00170440" w:rsidRPr="00D520A0">
        <w:rPr>
          <w:lang w:val="en-GB"/>
        </w:rPr>
        <w:t>ed at</w:t>
      </w:r>
      <w:r w:rsidR="00BC1BD5" w:rsidRPr="00D520A0">
        <w:rPr>
          <w:lang w:val="en-GB"/>
        </w:rPr>
        <w:t xml:space="preserve"> address</w:t>
      </w:r>
      <w:r w:rsidR="00170440" w:rsidRPr="00D520A0">
        <w:rPr>
          <w:lang w:val="en-GB"/>
        </w:rPr>
        <w:t>ing</w:t>
      </w:r>
      <w:r w:rsidR="00BC1BD5" w:rsidRPr="00D520A0">
        <w:rPr>
          <w:lang w:val="en-GB"/>
        </w:rPr>
        <w:t xml:space="preserve"> </w:t>
      </w:r>
      <w:r w:rsidR="00194F9A" w:rsidRPr="00D520A0">
        <w:rPr>
          <w:lang w:val="en-GB"/>
        </w:rPr>
        <w:t xml:space="preserve">specific </w:t>
      </w:r>
      <w:r w:rsidR="00BC1BD5" w:rsidRPr="00D520A0">
        <w:rPr>
          <w:lang w:val="en-GB"/>
        </w:rPr>
        <w:t xml:space="preserve">threats and risks to the viability of an ICH element. </w:t>
      </w:r>
      <w:r w:rsidR="00EA5755" w:rsidRPr="00D520A0">
        <w:rPr>
          <w:lang w:val="en-GB"/>
        </w:rPr>
        <w:t xml:space="preserve">The nature of an ICH element and the specific threats and risks to its viability help to determine the appropriate safeguarding actions, which should also take into account the available budget and the level of commitment of the community </w:t>
      </w:r>
      <w:r w:rsidR="00EA5755" w:rsidRPr="00CE3BD3">
        <w:rPr>
          <w:lang w:val="en-GB"/>
        </w:rPr>
        <w:t>concerned</w:t>
      </w:r>
      <w:r w:rsidR="00111DF4" w:rsidRPr="00CE3BD3">
        <w:rPr>
          <w:lang w:val="en-GB"/>
        </w:rPr>
        <w:t>.</w:t>
      </w:r>
      <w:r w:rsidR="00AE72CC" w:rsidRPr="00CE3BD3">
        <w:rPr>
          <w:lang w:val="en-GB"/>
        </w:rPr>
        <w:t xml:space="preserve"> </w:t>
      </w:r>
      <w:r w:rsidR="003C1576" w:rsidRPr="00CE3BD3">
        <w:rPr>
          <w:lang w:val="en-GB"/>
        </w:rPr>
        <w:t>T</w:t>
      </w:r>
      <w:r w:rsidR="00AE72CC" w:rsidRPr="00CE3BD3">
        <w:rPr>
          <w:lang w:val="en-GB"/>
        </w:rPr>
        <w:t xml:space="preserve">he Ethical Principles </w:t>
      </w:r>
      <w:r w:rsidR="003C1576" w:rsidRPr="00CE3BD3">
        <w:rPr>
          <w:lang w:val="en-GB"/>
        </w:rPr>
        <w:t>also recognize</w:t>
      </w:r>
      <w:r w:rsidR="00AE72CC" w:rsidRPr="00CE3BD3">
        <w:rPr>
          <w:lang w:val="en-GB"/>
        </w:rPr>
        <w:t xml:space="preserve"> that communities, groups and individuals should play a significant role in determining what constitutes threats to their ICH</w:t>
      </w:r>
      <w:r w:rsidR="003C1576" w:rsidRPr="00CE3BD3">
        <w:rPr>
          <w:lang w:val="en-GB"/>
        </w:rPr>
        <w:t>,</w:t>
      </w:r>
      <w:r w:rsidR="00AE72CC" w:rsidRPr="00CE3BD3">
        <w:rPr>
          <w:lang w:val="en-GB"/>
        </w:rPr>
        <w:t xml:space="preserve"> including the decontextualization, commodification and misrepresentation of it and in deciding how to prevent and mitigate such threats.</w:t>
      </w:r>
    </w:p>
    <w:p w14:paraId="733A7093" w14:textId="1F720CC0" w:rsidR="006B2417" w:rsidRPr="00D520A0" w:rsidRDefault="006B2417" w:rsidP="009909DD">
      <w:pPr>
        <w:pStyle w:val="Texte1"/>
        <w:rPr>
          <w:lang w:val="en-GB"/>
        </w:rPr>
      </w:pPr>
      <w:r w:rsidRPr="00D520A0">
        <w:rPr>
          <w:lang w:val="en-GB"/>
        </w:rPr>
        <w:t xml:space="preserve">According to </w:t>
      </w:r>
      <w:r w:rsidR="00442E1A" w:rsidRPr="00D520A0">
        <w:rPr>
          <w:lang w:val="en-GB"/>
        </w:rPr>
        <w:t>Article </w:t>
      </w:r>
      <w:r w:rsidRPr="00D520A0">
        <w:rPr>
          <w:lang w:val="en-GB"/>
        </w:rPr>
        <w:t>2.3 of the Convention, safeguarding measures may include various</w:t>
      </w:r>
      <w:r w:rsidR="0034537E" w:rsidRPr="00D520A0">
        <w:rPr>
          <w:lang w:val="en-GB"/>
        </w:rPr>
        <w:t xml:space="preserve"> types of</w:t>
      </w:r>
      <w:r w:rsidRPr="00D520A0">
        <w:rPr>
          <w:lang w:val="en-GB"/>
        </w:rPr>
        <w:t xml:space="preserve"> activities. </w:t>
      </w:r>
      <w:r w:rsidR="0034537E" w:rsidRPr="00D520A0">
        <w:rPr>
          <w:lang w:val="en-GB"/>
        </w:rPr>
        <w:t>The</w:t>
      </w:r>
      <w:r w:rsidR="004C284A" w:rsidRPr="00D520A0">
        <w:rPr>
          <w:lang w:val="en-GB"/>
        </w:rPr>
        <w:t xml:space="preserve"> list of measures</w:t>
      </w:r>
      <w:r w:rsidR="0034537E" w:rsidRPr="00D520A0">
        <w:rPr>
          <w:lang w:val="en-GB"/>
        </w:rPr>
        <w:t xml:space="preserve"> presented there</w:t>
      </w:r>
      <w:r w:rsidR="004C284A" w:rsidRPr="00D520A0">
        <w:rPr>
          <w:lang w:val="en-GB"/>
        </w:rPr>
        <w:t xml:space="preserve">, just like the list of domains given in </w:t>
      </w:r>
      <w:r w:rsidR="00442E1A" w:rsidRPr="00D520A0">
        <w:rPr>
          <w:lang w:val="en-GB"/>
        </w:rPr>
        <w:t>Article </w:t>
      </w:r>
      <w:r w:rsidR="004C284A" w:rsidRPr="00D520A0">
        <w:rPr>
          <w:lang w:val="en-GB"/>
        </w:rPr>
        <w:t xml:space="preserve">2.2, does not pretend to be </w:t>
      </w:r>
      <w:r w:rsidR="00170440" w:rsidRPr="00D520A0">
        <w:rPr>
          <w:lang w:val="en-GB"/>
        </w:rPr>
        <w:t>exhaustive</w:t>
      </w:r>
      <w:r w:rsidR="00194F9A" w:rsidRPr="00D520A0">
        <w:rPr>
          <w:lang w:val="en-GB"/>
        </w:rPr>
        <w:t>;</w:t>
      </w:r>
      <w:r w:rsidR="00170440" w:rsidRPr="00D520A0">
        <w:rPr>
          <w:lang w:val="en-GB"/>
        </w:rPr>
        <w:t xml:space="preserve"> </w:t>
      </w:r>
      <w:r w:rsidR="00194F9A" w:rsidRPr="00D520A0">
        <w:rPr>
          <w:lang w:val="en-GB"/>
        </w:rPr>
        <w:t>moreover,</w:t>
      </w:r>
      <w:r w:rsidR="004C284A" w:rsidRPr="00D520A0">
        <w:rPr>
          <w:lang w:val="en-GB"/>
        </w:rPr>
        <w:t xml:space="preserve"> many safeguarding actions could be classified under several of these measures at the same time. </w:t>
      </w:r>
      <w:r w:rsidR="0034537E" w:rsidRPr="00D520A0">
        <w:rPr>
          <w:lang w:val="en-GB"/>
        </w:rPr>
        <w:t>Other measures are mentioned elsewhere in the Convention.</w:t>
      </w:r>
    </w:p>
    <w:p w14:paraId="23FDA938" w14:textId="13E2E956" w:rsidR="007622A4" w:rsidRPr="00D520A0" w:rsidRDefault="007622A4" w:rsidP="009909DD">
      <w:pPr>
        <w:pStyle w:val="Texte1"/>
        <w:rPr>
          <w:lang w:val="en-GB"/>
        </w:rPr>
      </w:pPr>
      <w:r w:rsidRPr="00D520A0">
        <w:rPr>
          <w:lang w:val="en-GB"/>
        </w:rPr>
        <w:t xml:space="preserve">Examples of safeguarding measures will be discussed in </w:t>
      </w:r>
      <w:r w:rsidR="00E01074" w:rsidRPr="00D520A0">
        <w:rPr>
          <w:lang w:val="en-GB"/>
        </w:rPr>
        <w:t>Unit</w:t>
      </w:r>
      <w:r w:rsidR="005C22E4" w:rsidRPr="00D520A0">
        <w:rPr>
          <w:lang w:val="en-GB"/>
        </w:rPr>
        <w:t> </w:t>
      </w:r>
      <w:r w:rsidR="00C10FBC" w:rsidRPr="00D520A0">
        <w:rPr>
          <w:lang w:val="en-GB"/>
        </w:rPr>
        <w:t>9</w:t>
      </w:r>
      <w:r w:rsidRPr="00D520A0">
        <w:rPr>
          <w:lang w:val="en-GB"/>
        </w:rPr>
        <w:t>.</w:t>
      </w:r>
      <w:r w:rsidR="006D121E" w:rsidRPr="00D520A0">
        <w:rPr>
          <w:lang w:val="en-GB"/>
        </w:rPr>
        <w:t xml:space="preserve"> </w:t>
      </w:r>
      <w:r w:rsidR="0034537E" w:rsidRPr="00D520A0">
        <w:rPr>
          <w:lang w:val="en-GB"/>
        </w:rPr>
        <w:t xml:space="preserve">It might be useful to </w:t>
      </w:r>
      <w:r w:rsidR="00170440" w:rsidRPr="00D520A0">
        <w:rPr>
          <w:lang w:val="en-GB"/>
        </w:rPr>
        <w:t xml:space="preserve">stress </w:t>
      </w:r>
      <w:r w:rsidR="0034537E" w:rsidRPr="00D520A0">
        <w:rPr>
          <w:lang w:val="en-GB"/>
        </w:rPr>
        <w:t>the fact that the term ‘safeguarding’ is used both for broad activities that encourage safeguarding of ICH in general and for (revitalizing) measures that target specific ICH elements with impaired viability.</w:t>
      </w:r>
      <w:r w:rsidR="00FF6A15" w:rsidRPr="00D520A0">
        <w:rPr>
          <w:lang w:val="en-GB"/>
        </w:rPr>
        <w:t xml:space="preserve"> </w:t>
      </w:r>
    </w:p>
    <w:p w14:paraId="55519FE3" w14:textId="4940EFD4" w:rsidR="004C284A" w:rsidRPr="00D520A0" w:rsidRDefault="004C284A" w:rsidP="009909DD">
      <w:pPr>
        <w:pStyle w:val="Texte1"/>
        <w:rPr>
          <w:lang w:val="en-GB"/>
        </w:rPr>
      </w:pPr>
      <w:r w:rsidRPr="00D520A0">
        <w:rPr>
          <w:lang w:val="en-GB"/>
        </w:rPr>
        <w:t xml:space="preserve">Three </w:t>
      </w:r>
      <w:r w:rsidR="0034537E" w:rsidRPr="00D520A0">
        <w:rPr>
          <w:lang w:val="en-GB"/>
        </w:rPr>
        <w:t xml:space="preserve">types of </w:t>
      </w:r>
      <w:r w:rsidR="006B2417" w:rsidRPr="00D520A0">
        <w:rPr>
          <w:lang w:val="en-GB"/>
        </w:rPr>
        <w:t>safeguarding measures</w:t>
      </w:r>
      <w:r w:rsidRPr="00D520A0">
        <w:rPr>
          <w:lang w:val="en-GB"/>
        </w:rPr>
        <w:t xml:space="preserve"> </w:t>
      </w:r>
      <w:r w:rsidR="006B2417" w:rsidRPr="00D520A0">
        <w:rPr>
          <w:lang w:val="en-GB"/>
        </w:rPr>
        <w:t>may be highlighted for discussion in this session</w:t>
      </w:r>
      <w:r w:rsidRPr="00D520A0">
        <w:rPr>
          <w:lang w:val="en-GB"/>
        </w:rPr>
        <w:t xml:space="preserve">: </w:t>
      </w:r>
      <w:r w:rsidR="00194F9A" w:rsidRPr="00D520A0">
        <w:rPr>
          <w:lang w:val="en-GB"/>
        </w:rPr>
        <w:t>raising</w:t>
      </w:r>
      <w:r w:rsidR="00EF1DCA" w:rsidRPr="00D520A0">
        <w:rPr>
          <w:lang w:val="en-GB"/>
        </w:rPr>
        <w:t xml:space="preserve"> awareness</w:t>
      </w:r>
      <w:r w:rsidR="00194F9A" w:rsidRPr="00D520A0">
        <w:rPr>
          <w:lang w:val="en-GB"/>
        </w:rPr>
        <w:t xml:space="preserve">, </w:t>
      </w:r>
      <w:r w:rsidR="0080649F" w:rsidRPr="00D520A0">
        <w:rPr>
          <w:lang w:val="en-GB"/>
        </w:rPr>
        <w:t>i</w:t>
      </w:r>
      <w:r w:rsidRPr="00D520A0">
        <w:rPr>
          <w:lang w:val="en-GB"/>
        </w:rPr>
        <w:t>nventorying</w:t>
      </w:r>
      <w:r w:rsidR="00194F9A" w:rsidRPr="00D520A0">
        <w:rPr>
          <w:lang w:val="en-GB"/>
        </w:rPr>
        <w:t xml:space="preserve"> and</w:t>
      </w:r>
      <w:r w:rsidRPr="00D520A0">
        <w:rPr>
          <w:lang w:val="en-GB"/>
        </w:rPr>
        <w:t xml:space="preserve"> </w:t>
      </w:r>
      <w:r w:rsidR="0080649F" w:rsidRPr="00D520A0">
        <w:rPr>
          <w:lang w:val="en-GB"/>
        </w:rPr>
        <w:t>r</w:t>
      </w:r>
      <w:r w:rsidRPr="00D520A0">
        <w:rPr>
          <w:lang w:val="en-GB"/>
        </w:rPr>
        <w:t>evitalization.</w:t>
      </w:r>
      <w:r w:rsidR="00512B3F" w:rsidRPr="00D520A0">
        <w:rPr>
          <w:b/>
          <w:lang w:val="en-GB"/>
        </w:rPr>
        <w:t xml:space="preserve"> </w:t>
      </w:r>
      <w:r w:rsidR="00AA3011" w:rsidRPr="00D520A0">
        <w:rPr>
          <w:lang w:val="en-GB"/>
        </w:rPr>
        <w:t>I</w:t>
      </w:r>
      <w:r w:rsidR="00512B3F" w:rsidRPr="00D520A0">
        <w:rPr>
          <w:lang w:val="en-GB"/>
        </w:rPr>
        <w:t xml:space="preserve">ssues such as </w:t>
      </w:r>
      <w:r w:rsidR="00C37CB0" w:rsidRPr="00D520A0">
        <w:rPr>
          <w:lang w:val="en-GB"/>
        </w:rPr>
        <w:t xml:space="preserve">commercialization </w:t>
      </w:r>
      <w:r w:rsidR="00C64FD2" w:rsidRPr="00D520A0">
        <w:rPr>
          <w:i/>
          <w:noProof/>
          <w:lang w:eastAsia="zh-TW"/>
        </w:rPr>
        <w:drawing>
          <wp:anchor distT="0" distB="0" distL="114300" distR="114300" simplePos="0" relativeHeight="251650560" behindDoc="0" locked="1" layoutInCell="1" allowOverlap="0" wp14:anchorId="38C0085D" wp14:editId="2789D856">
            <wp:simplePos x="0" y="0"/>
            <wp:positionH relativeFrom="column">
              <wp:posOffset>0</wp:posOffset>
            </wp:positionH>
            <wp:positionV relativeFrom="paragraph">
              <wp:posOffset>240030</wp:posOffset>
            </wp:positionV>
            <wp:extent cx="282575" cy="357505"/>
            <wp:effectExtent l="0" t="0" r="3175" b="4445"/>
            <wp:wrapThrough wrapText="bothSides">
              <wp:wrapPolygon edited="0">
                <wp:start x="0" y="0"/>
                <wp:lineTo x="0" y="20718"/>
                <wp:lineTo x="20387" y="20718"/>
                <wp:lineTo x="20387"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512B3F" w:rsidRPr="00D520A0">
        <w:rPr>
          <w:lang w:val="en-GB"/>
        </w:rPr>
        <w:t xml:space="preserve">and </w:t>
      </w:r>
      <w:r w:rsidR="00C37CB0" w:rsidRPr="00D520A0">
        <w:rPr>
          <w:lang w:val="en-GB"/>
        </w:rPr>
        <w:t>de</w:t>
      </w:r>
      <w:r w:rsidR="00170440" w:rsidRPr="00D520A0">
        <w:rPr>
          <w:lang w:val="en-GB"/>
        </w:rPr>
        <w:t>-</w:t>
      </w:r>
      <w:r w:rsidR="00512B3F" w:rsidRPr="00D520A0">
        <w:rPr>
          <w:lang w:val="en-GB"/>
        </w:rPr>
        <w:t xml:space="preserve">contextualization </w:t>
      </w:r>
      <w:r w:rsidR="00AA3011" w:rsidRPr="00D520A0">
        <w:rPr>
          <w:lang w:val="en-GB"/>
        </w:rPr>
        <w:t xml:space="preserve">could also be discussed </w:t>
      </w:r>
      <w:r w:rsidR="00512B3F" w:rsidRPr="00D520A0">
        <w:rPr>
          <w:lang w:val="en-GB"/>
        </w:rPr>
        <w:t>(</w:t>
      </w:r>
      <w:r w:rsidR="00170440" w:rsidRPr="00D520A0">
        <w:rPr>
          <w:lang w:val="en-GB"/>
        </w:rPr>
        <w:t>r</w:t>
      </w:r>
      <w:r w:rsidR="00512B3F" w:rsidRPr="00D520A0">
        <w:rPr>
          <w:lang w:val="en-GB"/>
        </w:rPr>
        <w:t xml:space="preserve">efer to </w:t>
      </w:r>
      <w:r w:rsidR="00F02D08" w:rsidRPr="00D520A0">
        <w:rPr>
          <w:lang w:val="en-GB"/>
        </w:rPr>
        <w:t>Participant’s</w:t>
      </w:r>
      <w:r w:rsidR="002A3923" w:rsidRPr="00D520A0">
        <w:rPr>
          <w:lang w:val="en-GB"/>
        </w:rPr>
        <w:t xml:space="preserve"> text </w:t>
      </w:r>
      <w:r w:rsidR="00D0449A" w:rsidRPr="00D520A0">
        <w:rPr>
          <w:lang w:val="en-GB"/>
        </w:rPr>
        <w:t>Unit 3</w:t>
      </w:r>
      <w:r w:rsidR="00512B3F" w:rsidRPr="00D520A0">
        <w:rPr>
          <w:lang w:val="en-GB"/>
        </w:rPr>
        <w:t>).</w:t>
      </w:r>
    </w:p>
    <w:p w14:paraId="376F9970" w14:textId="656DE6D9" w:rsidR="00D140C8" w:rsidRPr="00D520A0" w:rsidRDefault="004C284A" w:rsidP="004936EF">
      <w:pPr>
        <w:pStyle w:val="Heading6"/>
        <w:rPr>
          <w:lang w:val="en-GB"/>
        </w:rPr>
      </w:pPr>
      <w:r w:rsidRPr="00D520A0">
        <w:rPr>
          <w:lang w:val="en-GB"/>
        </w:rPr>
        <w:t>Slide 20</w:t>
      </w:r>
      <w:r w:rsidR="00D140C8" w:rsidRPr="00D520A0">
        <w:rPr>
          <w:lang w:val="en-GB"/>
        </w:rPr>
        <w:t>.</w:t>
      </w:r>
    </w:p>
    <w:p w14:paraId="4F5E2C96" w14:textId="77777777" w:rsidR="004C284A" w:rsidRPr="00D520A0" w:rsidRDefault="004C284A" w:rsidP="004936EF">
      <w:pPr>
        <w:pStyle w:val="diapo2"/>
        <w:rPr>
          <w:lang w:val="en-GB"/>
        </w:rPr>
      </w:pPr>
      <w:r w:rsidRPr="00D520A0">
        <w:rPr>
          <w:lang w:val="en-GB"/>
        </w:rPr>
        <w:t>More safeguarding measures</w:t>
      </w:r>
    </w:p>
    <w:p w14:paraId="6AE15A98" w14:textId="1C920A04" w:rsidR="004C284A" w:rsidRPr="00D520A0" w:rsidRDefault="004C284A" w:rsidP="009909DD">
      <w:pPr>
        <w:pStyle w:val="Texte1"/>
        <w:rPr>
          <w:lang w:val="en-GB"/>
        </w:rPr>
      </w:pPr>
      <w:r w:rsidRPr="00D520A0">
        <w:rPr>
          <w:szCs w:val="22"/>
          <w:lang w:val="en-GB"/>
        </w:rPr>
        <w:t>Other safeguarding measures mentioned in the Convention include the following</w:t>
      </w:r>
      <w:r w:rsidR="006208AD" w:rsidRPr="00D520A0">
        <w:rPr>
          <w:szCs w:val="22"/>
          <w:lang w:val="en-GB"/>
        </w:rPr>
        <w:t xml:space="preserve"> </w:t>
      </w:r>
      <w:r w:rsidR="006208AD" w:rsidRPr="00D520A0">
        <w:rPr>
          <w:lang w:val="en-GB"/>
        </w:rPr>
        <w:t>(</w:t>
      </w:r>
      <w:r w:rsidR="00170440" w:rsidRPr="00D520A0">
        <w:rPr>
          <w:lang w:val="en-GB"/>
        </w:rPr>
        <w:t>r</w:t>
      </w:r>
      <w:r w:rsidR="006208AD" w:rsidRPr="00D520A0">
        <w:rPr>
          <w:lang w:val="en-GB"/>
        </w:rPr>
        <w:t xml:space="preserve">efer to </w:t>
      </w:r>
      <w:r w:rsidR="00F02D08" w:rsidRPr="00D520A0">
        <w:rPr>
          <w:lang w:val="en-GB"/>
        </w:rPr>
        <w:t>Participant’s</w:t>
      </w:r>
      <w:r w:rsidR="002A3923" w:rsidRPr="00D520A0">
        <w:rPr>
          <w:lang w:val="en-GB"/>
        </w:rPr>
        <w:t xml:space="preserve"> text </w:t>
      </w:r>
      <w:r w:rsidR="00D0449A" w:rsidRPr="00D520A0">
        <w:rPr>
          <w:lang w:val="en-GB"/>
        </w:rPr>
        <w:t>Unit 3</w:t>
      </w:r>
      <w:r w:rsidR="006208AD" w:rsidRPr="00D520A0">
        <w:rPr>
          <w:lang w:val="en-GB"/>
        </w:rPr>
        <w:t>)</w:t>
      </w:r>
      <w:r w:rsidRPr="00D520A0">
        <w:rPr>
          <w:szCs w:val="22"/>
          <w:lang w:val="en-GB"/>
        </w:rPr>
        <w:t>:</w:t>
      </w:r>
    </w:p>
    <w:p w14:paraId="625D6CD5" w14:textId="77777777" w:rsidR="004C284A" w:rsidRPr="00D520A0" w:rsidRDefault="00E963E3" w:rsidP="004B24DC">
      <w:pPr>
        <w:pStyle w:val="Txtpucegras"/>
        <w:rPr>
          <w:lang w:val="en-GB"/>
        </w:rPr>
      </w:pPr>
      <w:r w:rsidRPr="00D520A0">
        <w:rPr>
          <w:lang w:val="en-GB"/>
        </w:rPr>
        <w:t>‘</w:t>
      </w:r>
      <w:r w:rsidR="004C284A" w:rsidRPr="00D520A0">
        <w:rPr>
          <w:lang w:val="en-GB"/>
        </w:rPr>
        <w:t>Documentation</w:t>
      </w:r>
      <w:r w:rsidR="006208AD" w:rsidRPr="00D520A0">
        <w:rPr>
          <w:lang w:val="en-GB"/>
        </w:rPr>
        <w:t xml:space="preserve"> and</w:t>
      </w:r>
      <w:r w:rsidR="004C284A" w:rsidRPr="00D520A0">
        <w:rPr>
          <w:lang w:val="en-GB"/>
        </w:rPr>
        <w:t xml:space="preserve"> research</w:t>
      </w:r>
      <w:r w:rsidRPr="00D520A0">
        <w:rPr>
          <w:lang w:val="en-GB"/>
        </w:rPr>
        <w:t>’</w:t>
      </w:r>
      <w:r w:rsidR="00D147CC" w:rsidRPr="00D520A0">
        <w:rPr>
          <w:lang w:val="en-GB"/>
        </w:rPr>
        <w:t>;</w:t>
      </w:r>
    </w:p>
    <w:p w14:paraId="35250BB5" w14:textId="77777777" w:rsidR="004C284A" w:rsidRPr="00D520A0" w:rsidRDefault="00E963E3" w:rsidP="004B24DC">
      <w:pPr>
        <w:pStyle w:val="Txtpucegras"/>
        <w:rPr>
          <w:lang w:val="en-GB"/>
        </w:rPr>
      </w:pPr>
      <w:r w:rsidRPr="00D520A0">
        <w:rPr>
          <w:lang w:val="en-GB"/>
        </w:rPr>
        <w:t>‘</w:t>
      </w:r>
      <w:r w:rsidR="006208AD" w:rsidRPr="00D520A0">
        <w:rPr>
          <w:lang w:val="en-GB"/>
        </w:rPr>
        <w:t>Identification and</w:t>
      </w:r>
      <w:r w:rsidR="004C284A" w:rsidRPr="00D520A0">
        <w:rPr>
          <w:lang w:val="en-GB"/>
        </w:rPr>
        <w:t xml:space="preserve"> definition</w:t>
      </w:r>
      <w:r w:rsidRPr="00D520A0">
        <w:rPr>
          <w:lang w:val="en-GB"/>
        </w:rPr>
        <w:t>’</w:t>
      </w:r>
      <w:r w:rsidR="00D147CC" w:rsidRPr="00D520A0">
        <w:rPr>
          <w:lang w:val="en-GB"/>
        </w:rPr>
        <w:t>;</w:t>
      </w:r>
    </w:p>
    <w:p w14:paraId="693F00E8" w14:textId="71BA0CB1" w:rsidR="004C284A" w:rsidRPr="00D520A0" w:rsidRDefault="00E963E3" w:rsidP="004B24DC">
      <w:pPr>
        <w:pStyle w:val="Txtpucegras"/>
        <w:rPr>
          <w:lang w:val="en-GB"/>
        </w:rPr>
      </w:pPr>
      <w:r w:rsidRPr="00D520A0">
        <w:rPr>
          <w:lang w:val="en-GB"/>
        </w:rPr>
        <w:t>‘</w:t>
      </w:r>
      <w:r w:rsidR="006208AD" w:rsidRPr="00D520A0">
        <w:rPr>
          <w:lang w:val="en-GB"/>
        </w:rPr>
        <w:t>Preservation and</w:t>
      </w:r>
      <w:r w:rsidR="004C284A" w:rsidRPr="00D520A0">
        <w:rPr>
          <w:lang w:val="en-GB"/>
        </w:rPr>
        <w:t xml:space="preserve"> protection</w:t>
      </w:r>
      <w:r w:rsidRPr="00D520A0">
        <w:rPr>
          <w:lang w:val="en-GB"/>
        </w:rPr>
        <w:t>’</w:t>
      </w:r>
      <w:r w:rsidR="00D147CC" w:rsidRPr="00D520A0">
        <w:rPr>
          <w:lang w:val="en-GB"/>
        </w:rPr>
        <w:t>;</w:t>
      </w:r>
    </w:p>
    <w:p w14:paraId="3112C289" w14:textId="77777777" w:rsidR="004C284A" w:rsidRPr="00D520A0" w:rsidRDefault="00E963E3" w:rsidP="004B24DC">
      <w:pPr>
        <w:pStyle w:val="Txtpucegras"/>
        <w:rPr>
          <w:lang w:val="en-GB"/>
        </w:rPr>
      </w:pPr>
      <w:r w:rsidRPr="00D520A0">
        <w:rPr>
          <w:lang w:val="en-GB"/>
        </w:rPr>
        <w:t>‘</w:t>
      </w:r>
      <w:r w:rsidR="006208AD" w:rsidRPr="00D520A0">
        <w:rPr>
          <w:lang w:val="en-GB"/>
        </w:rPr>
        <w:t>Promotion and</w:t>
      </w:r>
      <w:r w:rsidR="004C284A" w:rsidRPr="00D520A0">
        <w:rPr>
          <w:lang w:val="en-GB"/>
        </w:rPr>
        <w:t xml:space="preserve"> enhancement</w:t>
      </w:r>
      <w:r w:rsidRPr="00D520A0">
        <w:rPr>
          <w:lang w:val="en-GB"/>
        </w:rPr>
        <w:t>’</w:t>
      </w:r>
      <w:r w:rsidR="00D147CC" w:rsidRPr="00D520A0">
        <w:rPr>
          <w:lang w:val="en-GB"/>
        </w:rPr>
        <w:t>; and</w:t>
      </w:r>
    </w:p>
    <w:p w14:paraId="37BDDE15" w14:textId="77777777" w:rsidR="004C284A" w:rsidRPr="00D520A0" w:rsidRDefault="00E963E3" w:rsidP="004B24DC">
      <w:pPr>
        <w:pStyle w:val="Txtpucegras"/>
        <w:rPr>
          <w:lang w:val="en-GB"/>
        </w:rPr>
      </w:pPr>
      <w:r w:rsidRPr="00D520A0">
        <w:rPr>
          <w:lang w:val="en-GB"/>
        </w:rPr>
        <w:t>‘</w:t>
      </w:r>
      <w:r w:rsidR="00D900E5" w:rsidRPr="00D520A0">
        <w:rPr>
          <w:lang w:val="en-GB"/>
        </w:rPr>
        <w:t>T</w:t>
      </w:r>
      <w:r w:rsidR="004C284A" w:rsidRPr="00D520A0">
        <w:rPr>
          <w:lang w:val="en-GB"/>
        </w:rPr>
        <w:t>ransmission</w:t>
      </w:r>
      <w:r w:rsidRPr="00D520A0">
        <w:rPr>
          <w:lang w:val="en-GB"/>
        </w:rPr>
        <w:t>’</w:t>
      </w:r>
      <w:r w:rsidR="004C284A" w:rsidRPr="00D520A0">
        <w:rPr>
          <w:lang w:val="en-GB"/>
        </w:rPr>
        <w:t xml:space="preserve"> </w:t>
      </w:r>
      <w:r w:rsidR="00D147CC" w:rsidRPr="00D520A0">
        <w:rPr>
          <w:lang w:val="en-GB"/>
        </w:rPr>
        <w:t>(</w:t>
      </w:r>
      <w:r w:rsidR="004C284A" w:rsidRPr="00D520A0">
        <w:rPr>
          <w:lang w:val="en-GB"/>
        </w:rPr>
        <w:t>e.g. through education</w:t>
      </w:r>
      <w:r w:rsidR="00D147CC" w:rsidRPr="00D520A0">
        <w:rPr>
          <w:lang w:val="en-GB"/>
        </w:rPr>
        <w:t>).</w:t>
      </w:r>
    </w:p>
    <w:p w14:paraId="09FD9D14" w14:textId="6B7A11C3" w:rsidR="00BC1BD5" w:rsidRPr="00D520A0" w:rsidRDefault="00BC1BD5" w:rsidP="009909DD">
      <w:pPr>
        <w:pStyle w:val="Texte1"/>
        <w:rPr>
          <w:lang w:val="en-GB"/>
        </w:rPr>
      </w:pPr>
      <w:r w:rsidRPr="00D520A0">
        <w:rPr>
          <w:lang w:val="en-GB"/>
        </w:rPr>
        <w:t>For further discussion of these measures</w:t>
      </w:r>
      <w:r w:rsidR="00D147CC" w:rsidRPr="00D520A0">
        <w:rPr>
          <w:lang w:val="en-GB"/>
        </w:rPr>
        <w:t>,</w:t>
      </w:r>
      <w:r w:rsidRPr="00D520A0">
        <w:rPr>
          <w:lang w:val="en-GB"/>
        </w:rPr>
        <w:t xml:space="preserve"> see </w:t>
      </w:r>
      <w:r w:rsidR="00E01074" w:rsidRPr="00D520A0">
        <w:rPr>
          <w:lang w:val="en-GB"/>
        </w:rPr>
        <w:t>Unit</w:t>
      </w:r>
      <w:r w:rsidR="005C22E4" w:rsidRPr="00D520A0">
        <w:rPr>
          <w:lang w:val="en-GB"/>
        </w:rPr>
        <w:t> </w:t>
      </w:r>
      <w:r w:rsidR="00C10FBC" w:rsidRPr="00D520A0">
        <w:rPr>
          <w:lang w:val="en-GB"/>
        </w:rPr>
        <w:t>9</w:t>
      </w:r>
      <w:r w:rsidRPr="00D520A0">
        <w:rPr>
          <w:lang w:val="en-GB"/>
        </w:rPr>
        <w:t>.</w:t>
      </w:r>
      <w:r w:rsidR="006D121E" w:rsidRPr="00D520A0">
        <w:rPr>
          <w:lang w:val="en-GB"/>
        </w:rPr>
        <w:t xml:space="preserve"> </w:t>
      </w:r>
    </w:p>
    <w:p w14:paraId="617FCCC0" w14:textId="67C92BCE" w:rsidR="00D140C8" w:rsidRPr="00D520A0" w:rsidRDefault="004C284A" w:rsidP="004936EF">
      <w:pPr>
        <w:pStyle w:val="Heading6"/>
        <w:rPr>
          <w:lang w:val="en-GB"/>
        </w:rPr>
      </w:pPr>
      <w:r w:rsidRPr="00D520A0">
        <w:rPr>
          <w:lang w:val="en-GB"/>
        </w:rPr>
        <w:lastRenderedPageBreak/>
        <w:t>Slide 21</w:t>
      </w:r>
      <w:r w:rsidR="00D140C8" w:rsidRPr="00D520A0">
        <w:rPr>
          <w:lang w:val="en-GB"/>
        </w:rPr>
        <w:t>.</w:t>
      </w:r>
    </w:p>
    <w:p w14:paraId="7EDEBC56" w14:textId="3C15376C" w:rsidR="004C284A" w:rsidRPr="00D520A0" w:rsidRDefault="00BD5E82" w:rsidP="004936EF">
      <w:pPr>
        <w:pStyle w:val="diapo2"/>
        <w:rPr>
          <w:lang w:val="en-GB"/>
        </w:rPr>
      </w:pPr>
      <w:r w:rsidRPr="00D520A0">
        <w:rPr>
          <w:lang w:val="en-GB"/>
        </w:rPr>
        <w:t>R</w:t>
      </w:r>
      <w:r w:rsidR="004C284A" w:rsidRPr="00D520A0">
        <w:rPr>
          <w:lang w:val="en-GB"/>
        </w:rPr>
        <w:t xml:space="preserve">ole of </w:t>
      </w:r>
      <w:r w:rsidRPr="00D520A0">
        <w:rPr>
          <w:lang w:val="en-GB"/>
        </w:rPr>
        <w:t>c</w:t>
      </w:r>
      <w:r w:rsidR="004C284A" w:rsidRPr="00D520A0">
        <w:rPr>
          <w:lang w:val="en-GB"/>
        </w:rPr>
        <w:t>ommunities</w:t>
      </w:r>
      <w:r w:rsidR="00AE72CC" w:rsidRPr="00D520A0">
        <w:rPr>
          <w:lang w:val="en-GB"/>
        </w:rPr>
        <w:t>, groups and individuals</w:t>
      </w:r>
      <w:r w:rsidR="004C284A" w:rsidRPr="00D520A0">
        <w:rPr>
          <w:lang w:val="en-GB"/>
        </w:rPr>
        <w:t xml:space="preserve"> in safeguarding</w:t>
      </w:r>
    </w:p>
    <w:p w14:paraId="755FF19F" w14:textId="3931C49B" w:rsidR="00172A9E" w:rsidRPr="00CE3BD3" w:rsidRDefault="004C284A" w:rsidP="009909DD">
      <w:pPr>
        <w:pStyle w:val="Texte1"/>
        <w:rPr>
          <w:szCs w:val="22"/>
          <w:lang w:val="en-GB"/>
        </w:rPr>
      </w:pPr>
      <w:r w:rsidRPr="00D520A0">
        <w:rPr>
          <w:szCs w:val="22"/>
          <w:lang w:val="en-GB"/>
        </w:rPr>
        <w:t xml:space="preserve">The communities and groups (and where relevant, individuals) concerned are </w:t>
      </w:r>
      <w:r w:rsidR="00AD4EBA" w:rsidRPr="00D520A0">
        <w:rPr>
          <w:szCs w:val="22"/>
          <w:lang w:val="en-GB"/>
        </w:rPr>
        <w:t xml:space="preserve">the stewards of their ICH and </w:t>
      </w:r>
      <w:r w:rsidR="00671217" w:rsidRPr="00D520A0">
        <w:rPr>
          <w:szCs w:val="22"/>
          <w:lang w:val="en-GB"/>
        </w:rPr>
        <w:t>the main stakeholders</w:t>
      </w:r>
      <w:r w:rsidRPr="00D520A0">
        <w:rPr>
          <w:szCs w:val="22"/>
          <w:lang w:val="en-GB"/>
        </w:rPr>
        <w:t xml:space="preserve"> responsible for </w:t>
      </w:r>
      <w:r w:rsidR="00AD4EBA" w:rsidRPr="00D520A0">
        <w:rPr>
          <w:szCs w:val="22"/>
          <w:lang w:val="en-GB"/>
        </w:rPr>
        <w:t>its</w:t>
      </w:r>
      <w:r w:rsidRPr="00D520A0">
        <w:rPr>
          <w:szCs w:val="22"/>
          <w:lang w:val="en-GB"/>
        </w:rPr>
        <w:t xml:space="preserve"> trans</w:t>
      </w:r>
      <w:r w:rsidR="006159C2" w:rsidRPr="00D520A0">
        <w:rPr>
          <w:szCs w:val="22"/>
          <w:lang w:val="en-GB"/>
        </w:rPr>
        <w:t xml:space="preserve">mission and enactment. </w:t>
      </w:r>
      <w:r w:rsidR="00442E1A" w:rsidRPr="00D520A0">
        <w:rPr>
          <w:szCs w:val="22"/>
          <w:lang w:val="en-GB"/>
        </w:rPr>
        <w:t>Article </w:t>
      </w:r>
      <w:r w:rsidR="00F96DD1" w:rsidRPr="00D520A0">
        <w:rPr>
          <w:szCs w:val="22"/>
          <w:lang w:val="en-GB"/>
        </w:rPr>
        <w:t xml:space="preserve">2.1 of the Convention states that it is up to the communities or groups of </w:t>
      </w:r>
      <w:r w:rsidR="001850CA" w:rsidRPr="00D520A0">
        <w:rPr>
          <w:szCs w:val="22"/>
          <w:lang w:val="en-GB"/>
        </w:rPr>
        <w:t>tradition bearer</w:t>
      </w:r>
      <w:r w:rsidR="00F96DD1" w:rsidRPr="00D520A0">
        <w:rPr>
          <w:szCs w:val="22"/>
          <w:lang w:val="en-GB"/>
        </w:rPr>
        <w:t xml:space="preserve">s to determine whether a given practice or tradition constitutes part of their cultural heritage or </w:t>
      </w:r>
      <w:r w:rsidR="00F96DD1" w:rsidRPr="00CE3BD3">
        <w:rPr>
          <w:szCs w:val="22"/>
          <w:lang w:val="en-GB"/>
        </w:rPr>
        <w:t>not.</w:t>
      </w:r>
      <w:r w:rsidR="00FF6A15" w:rsidRPr="00CE3BD3">
        <w:rPr>
          <w:szCs w:val="22"/>
          <w:lang w:val="en-GB"/>
        </w:rPr>
        <w:t xml:space="preserve"> For this process to be beneficial to all members of a community, the voices of different age and gender groups nee</w:t>
      </w:r>
      <w:r w:rsidR="00FA3220" w:rsidRPr="00CE3BD3">
        <w:rPr>
          <w:szCs w:val="22"/>
          <w:lang w:val="en-GB"/>
        </w:rPr>
        <w:t>d</w:t>
      </w:r>
      <w:r w:rsidR="00FF6A15" w:rsidRPr="00CE3BD3">
        <w:rPr>
          <w:szCs w:val="22"/>
          <w:lang w:val="en-GB"/>
        </w:rPr>
        <w:t xml:space="preserve"> to be taken into account.</w:t>
      </w:r>
    </w:p>
    <w:p w14:paraId="41EC203C" w14:textId="61E9CA1D" w:rsidR="00D46D59" w:rsidRPr="00CE3BD3" w:rsidRDefault="00F96DD1" w:rsidP="009909DD">
      <w:pPr>
        <w:pStyle w:val="Texte1"/>
        <w:rPr>
          <w:lang w:val="en-GB"/>
        </w:rPr>
      </w:pPr>
      <w:r w:rsidRPr="00CE3BD3">
        <w:rPr>
          <w:szCs w:val="22"/>
          <w:lang w:val="en-GB"/>
        </w:rPr>
        <w:t xml:space="preserve">They are </w:t>
      </w:r>
      <w:r w:rsidR="00AD4EBA" w:rsidRPr="00CE3BD3">
        <w:rPr>
          <w:szCs w:val="22"/>
          <w:lang w:val="en-GB"/>
        </w:rPr>
        <w:t xml:space="preserve">also </w:t>
      </w:r>
      <w:r w:rsidRPr="00CE3BD3">
        <w:rPr>
          <w:szCs w:val="22"/>
          <w:lang w:val="en-GB"/>
        </w:rPr>
        <w:t xml:space="preserve">best placed to determine whether a specific practice or expression is </w:t>
      </w:r>
      <w:r w:rsidR="00AD4EBA" w:rsidRPr="00CE3BD3">
        <w:rPr>
          <w:szCs w:val="22"/>
          <w:lang w:val="en-GB"/>
        </w:rPr>
        <w:t>important to</w:t>
      </w:r>
      <w:r w:rsidRPr="00CE3BD3">
        <w:rPr>
          <w:szCs w:val="22"/>
          <w:lang w:val="en-GB"/>
        </w:rPr>
        <w:t xml:space="preserve"> their identity or sense of continuity</w:t>
      </w:r>
      <w:r w:rsidR="00D46D59" w:rsidRPr="00CE3BD3">
        <w:rPr>
          <w:szCs w:val="22"/>
          <w:lang w:val="en-GB"/>
        </w:rPr>
        <w:t>, whether or not it is endangered, and whether or not there is enough commitment in the community for safeguarding measures to be successfully undertaken.</w:t>
      </w:r>
      <w:r w:rsidR="00FF6A15" w:rsidRPr="00CE3BD3">
        <w:rPr>
          <w:szCs w:val="22"/>
          <w:lang w:val="en-GB"/>
        </w:rPr>
        <w:t xml:space="preserve"> A key element is the appreciation by the community of the different roles and measures – including gender roles and gender-specific measures – that contribute to a successful safeguarding plan.</w:t>
      </w:r>
    </w:p>
    <w:p w14:paraId="2584FF94" w14:textId="6E65145C" w:rsidR="004C284A" w:rsidRPr="00D520A0" w:rsidRDefault="006159C2" w:rsidP="009909DD">
      <w:pPr>
        <w:pStyle w:val="Texte1"/>
        <w:rPr>
          <w:lang w:val="en-GB"/>
        </w:rPr>
      </w:pPr>
      <w:r w:rsidRPr="00D520A0">
        <w:rPr>
          <w:lang w:val="en-GB"/>
        </w:rPr>
        <w:t xml:space="preserve">This is why States Parties </w:t>
      </w:r>
      <w:r w:rsidR="00745390" w:rsidRPr="00D520A0">
        <w:rPr>
          <w:lang w:val="en-GB"/>
        </w:rPr>
        <w:t xml:space="preserve">are </w:t>
      </w:r>
      <w:r w:rsidR="00043C17" w:rsidRPr="00D520A0">
        <w:rPr>
          <w:lang w:val="en-GB"/>
        </w:rPr>
        <w:t>asked</w:t>
      </w:r>
      <w:r w:rsidR="00745390" w:rsidRPr="00D520A0">
        <w:rPr>
          <w:lang w:val="en-GB"/>
        </w:rPr>
        <w:t xml:space="preserve"> to ensure that the relevant communities, groups and individuals (or their representatives)</w:t>
      </w:r>
      <w:r w:rsidRPr="00D520A0">
        <w:rPr>
          <w:lang w:val="en-GB"/>
        </w:rPr>
        <w:t xml:space="preserve"> have </w:t>
      </w:r>
      <w:r w:rsidR="00043C17" w:rsidRPr="00D520A0">
        <w:rPr>
          <w:lang w:val="en-GB"/>
        </w:rPr>
        <w:t xml:space="preserve">participated </w:t>
      </w:r>
      <w:r w:rsidR="00875364" w:rsidRPr="00D520A0">
        <w:rPr>
          <w:lang w:val="en-GB"/>
        </w:rPr>
        <w:t xml:space="preserve">as </w:t>
      </w:r>
      <w:r w:rsidR="00876D47" w:rsidRPr="00D520A0">
        <w:rPr>
          <w:lang w:val="en-GB"/>
        </w:rPr>
        <w:t>widely</w:t>
      </w:r>
      <w:r w:rsidR="00875364" w:rsidRPr="00D520A0">
        <w:rPr>
          <w:lang w:val="en-GB"/>
        </w:rPr>
        <w:t xml:space="preserve"> as possible</w:t>
      </w:r>
      <w:r w:rsidR="00876D47" w:rsidRPr="00D520A0">
        <w:rPr>
          <w:lang w:val="en-GB"/>
        </w:rPr>
        <w:t xml:space="preserve"> </w:t>
      </w:r>
      <w:r w:rsidR="00043C17" w:rsidRPr="00D520A0">
        <w:rPr>
          <w:lang w:val="en-GB"/>
        </w:rPr>
        <w:t>in</w:t>
      </w:r>
      <w:r w:rsidR="004C284A" w:rsidRPr="00D520A0">
        <w:rPr>
          <w:lang w:val="en-GB"/>
        </w:rPr>
        <w:t xml:space="preserve"> </w:t>
      </w:r>
      <w:r w:rsidR="00043C17" w:rsidRPr="00D520A0">
        <w:rPr>
          <w:lang w:val="en-GB"/>
        </w:rPr>
        <w:t xml:space="preserve">any </w:t>
      </w:r>
      <w:r w:rsidR="00C37CB0" w:rsidRPr="00D520A0">
        <w:rPr>
          <w:lang w:val="en-GB"/>
        </w:rPr>
        <w:t xml:space="preserve">activity </w:t>
      </w:r>
      <w:r w:rsidR="00876D47" w:rsidRPr="00D520A0">
        <w:rPr>
          <w:lang w:val="en-GB"/>
        </w:rPr>
        <w:t>involving</w:t>
      </w:r>
      <w:r w:rsidR="00043C17" w:rsidRPr="00D520A0">
        <w:rPr>
          <w:lang w:val="en-GB"/>
        </w:rPr>
        <w:t xml:space="preserve"> element</w:t>
      </w:r>
      <w:r w:rsidR="00876D47" w:rsidRPr="00D520A0">
        <w:rPr>
          <w:lang w:val="en-GB"/>
        </w:rPr>
        <w:t>s</w:t>
      </w:r>
      <w:r w:rsidR="00043C17" w:rsidRPr="00D520A0">
        <w:rPr>
          <w:lang w:val="en-GB"/>
        </w:rPr>
        <w:t xml:space="preserve"> of their ICH</w:t>
      </w:r>
      <w:r w:rsidR="00876D47" w:rsidRPr="00D520A0">
        <w:rPr>
          <w:lang w:val="en-GB"/>
        </w:rPr>
        <w:t xml:space="preserve"> that</w:t>
      </w:r>
      <w:r w:rsidR="00043C17" w:rsidRPr="00D520A0">
        <w:rPr>
          <w:lang w:val="en-GB"/>
        </w:rPr>
        <w:t xml:space="preserve"> </w:t>
      </w:r>
      <w:r w:rsidR="00C37CB0" w:rsidRPr="00D520A0">
        <w:rPr>
          <w:lang w:val="en-GB"/>
        </w:rPr>
        <w:t xml:space="preserve">is </w:t>
      </w:r>
      <w:r w:rsidR="00043C17" w:rsidRPr="00D520A0">
        <w:rPr>
          <w:lang w:val="en-GB"/>
        </w:rPr>
        <w:t>undertaken</w:t>
      </w:r>
      <w:r w:rsidRPr="00D520A0">
        <w:rPr>
          <w:lang w:val="en-GB"/>
        </w:rPr>
        <w:t xml:space="preserve"> </w:t>
      </w:r>
      <w:r w:rsidR="00043C17" w:rsidRPr="00D520A0">
        <w:rPr>
          <w:lang w:val="en-GB"/>
        </w:rPr>
        <w:t>while implementing the Convention</w:t>
      </w:r>
      <w:r w:rsidR="004C284A" w:rsidRPr="00D520A0">
        <w:rPr>
          <w:lang w:val="en-GB"/>
        </w:rPr>
        <w:t>.</w:t>
      </w:r>
    </w:p>
    <w:p w14:paraId="7A4D9FA9" w14:textId="24809FC6" w:rsidR="00370C68" w:rsidRPr="00D520A0" w:rsidRDefault="000F2E0B" w:rsidP="009909DD">
      <w:pPr>
        <w:pStyle w:val="Texte1"/>
        <w:rPr>
          <w:lang w:val="en-GB"/>
        </w:rPr>
      </w:pPr>
      <w:r w:rsidRPr="00D520A0">
        <w:rPr>
          <w:i/>
          <w:noProof/>
          <w:lang w:eastAsia="zh-TW"/>
        </w:rPr>
        <w:drawing>
          <wp:anchor distT="0" distB="0" distL="114300" distR="114300" simplePos="0" relativeHeight="251651584" behindDoc="0" locked="1" layoutInCell="1" allowOverlap="0" wp14:anchorId="7572503E" wp14:editId="6E3D1250">
            <wp:simplePos x="0" y="0"/>
            <wp:positionH relativeFrom="column">
              <wp:posOffset>29210</wp:posOffset>
            </wp:positionH>
            <wp:positionV relativeFrom="paragraph">
              <wp:posOffset>-97155</wp:posOffset>
            </wp:positionV>
            <wp:extent cx="283210" cy="358775"/>
            <wp:effectExtent l="0" t="0" r="2540" b="3175"/>
            <wp:wrapThrough wrapText="bothSides">
              <wp:wrapPolygon edited="0">
                <wp:start x="0" y="0"/>
                <wp:lineTo x="0" y="20644"/>
                <wp:lineTo x="20341" y="20644"/>
                <wp:lineTo x="20341" y="0"/>
                <wp:lineTo x="0" y="0"/>
              </wp:wrapPolygon>
            </wp:wrapThrough>
            <wp:docPr id="675" name="Imag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3578C" w:rsidRPr="00D520A0">
        <w:rPr>
          <w:lang w:val="en-GB"/>
        </w:rPr>
        <w:t xml:space="preserve">This is discussed further in </w:t>
      </w:r>
      <w:r w:rsidR="00E01074" w:rsidRPr="00D520A0">
        <w:rPr>
          <w:lang w:val="en-GB"/>
        </w:rPr>
        <w:t>Unit</w:t>
      </w:r>
      <w:r w:rsidR="00C10FBC" w:rsidRPr="00D520A0">
        <w:rPr>
          <w:lang w:val="en-GB"/>
        </w:rPr>
        <w:t>s</w:t>
      </w:r>
      <w:r w:rsidR="004D00D1" w:rsidRPr="00D520A0">
        <w:rPr>
          <w:lang w:val="en-GB"/>
        </w:rPr>
        <w:t> </w:t>
      </w:r>
      <w:r w:rsidR="00B3578C" w:rsidRPr="00D520A0">
        <w:rPr>
          <w:lang w:val="en-GB"/>
        </w:rPr>
        <w:t>4 and</w:t>
      </w:r>
      <w:r w:rsidR="004D00D1" w:rsidRPr="00D520A0">
        <w:rPr>
          <w:lang w:val="en-GB"/>
        </w:rPr>
        <w:t> </w:t>
      </w:r>
      <w:r w:rsidR="00370C68" w:rsidRPr="00D520A0">
        <w:rPr>
          <w:lang w:val="en-GB"/>
        </w:rPr>
        <w:t>7</w:t>
      </w:r>
      <w:r w:rsidR="00E1544B" w:rsidRPr="00D520A0">
        <w:rPr>
          <w:lang w:val="en-GB"/>
        </w:rPr>
        <w:t>.</w:t>
      </w:r>
    </w:p>
    <w:p w14:paraId="0EF320DE" w14:textId="1BB32139" w:rsidR="00D140C8" w:rsidRPr="00D520A0" w:rsidRDefault="004C284A" w:rsidP="004936EF">
      <w:pPr>
        <w:pStyle w:val="Heading6"/>
        <w:rPr>
          <w:lang w:val="en-GB"/>
        </w:rPr>
      </w:pPr>
      <w:r w:rsidRPr="00D520A0">
        <w:rPr>
          <w:lang w:val="en-GB"/>
        </w:rPr>
        <w:t>Slide 22</w:t>
      </w:r>
      <w:bookmarkStart w:id="22" w:name="_Toc154220431"/>
      <w:bookmarkEnd w:id="11"/>
      <w:bookmarkEnd w:id="12"/>
      <w:bookmarkEnd w:id="13"/>
      <w:r w:rsidR="00D140C8" w:rsidRPr="00D520A0">
        <w:rPr>
          <w:lang w:val="en-GB"/>
        </w:rPr>
        <w:t>.</w:t>
      </w:r>
    </w:p>
    <w:p w14:paraId="20408B8A" w14:textId="77777777" w:rsidR="00715D6A" w:rsidRPr="00D520A0" w:rsidRDefault="004C7898" w:rsidP="004936EF">
      <w:pPr>
        <w:pStyle w:val="diapo2"/>
        <w:rPr>
          <w:lang w:val="en-GB"/>
        </w:rPr>
      </w:pPr>
      <w:r w:rsidRPr="00D520A0">
        <w:rPr>
          <w:lang w:val="en-GB"/>
        </w:rPr>
        <w:t>I</w:t>
      </w:r>
      <w:r w:rsidR="00355534" w:rsidRPr="00D520A0">
        <w:rPr>
          <w:lang w:val="en-GB"/>
        </w:rPr>
        <w:t>n conclusion</w:t>
      </w:r>
      <w:bookmarkEnd w:id="22"/>
    </w:p>
    <w:sectPr w:rsidR="00715D6A" w:rsidRPr="00D520A0" w:rsidSect="009B3A94">
      <w:headerReference w:type="even" r:id="rId22"/>
      <w:headerReference w:type="default" r:id="rId23"/>
      <w:footerReference w:type="even" r:id="rId24"/>
      <w:footerReference w:type="default" r:id="rId25"/>
      <w:headerReference w:type="first" r:id="rId26"/>
      <w:footerReference w:type="first" r:id="rId27"/>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CF4B4" w14:textId="77777777" w:rsidR="008C353E" w:rsidRDefault="008C353E" w:rsidP="000A699C">
      <w:pPr>
        <w:spacing w:before="0" w:after="0"/>
      </w:pPr>
      <w:r>
        <w:separator/>
      </w:r>
    </w:p>
  </w:endnote>
  <w:endnote w:type="continuationSeparator" w:id="0">
    <w:p w14:paraId="2D0B4BDE" w14:textId="77777777" w:rsidR="008C353E" w:rsidRDefault="008C353E"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20C8DEDA" w:rsidR="00672767" w:rsidRPr="008723F6" w:rsidRDefault="00AF261F" w:rsidP="004936EF">
    <w:pPr>
      <w:pStyle w:val="Footer"/>
      <w:rPr>
        <w:lang w:val="en-US"/>
      </w:rPr>
    </w:pPr>
    <w:r>
      <w:rPr>
        <w:noProof/>
        <w:lang w:val="fr-FR" w:eastAsia="zh-TW"/>
      </w:rPr>
      <w:drawing>
        <wp:anchor distT="0" distB="0" distL="114300" distR="114300" simplePos="0" relativeHeight="251786240" behindDoc="0" locked="0" layoutInCell="1" allowOverlap="1" wp14:anchorId="551A0D23" wp14:editId="31C919E0">
          <wp:simplePos x="0" y="0"/>
          <wp:positionH relativeFrom="column">
            <wp:posOffset>2342515</wp:posOffset>
          </wp:positionH>
          <wp:positionV relativeFrom="paragraph">
            <wp:posOffset>-22225</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72767" w:rsidRPr="002A3923">
      <w:rPr>
        <w:noProof/>
        <w:lang w:val="fr-FR" w:eastAsia="zh-TW"/>
      </w:rPr>
      <w:drawing>
        <wp:anchor distT="0" distB="0" distL="114300" distR="114300" simplePos="0" relativeHeight="251759616" behindDoc="0" locked="1" layoutInCell="1" allowOverlap="0" wp14:anchorId="3FDEFB64" wp14:editId="58647427">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672767" w:rsidRPr="008723F6">
      <w:rPr>
        <w:lang w:val="en-US"/>
      </w:rPr>
      <w:tab/>
    </w:r>
    <w:r w:rsidR="00672767" w:rsidRPr="008723F6">
      <w:rPr>
        <w:lang w:val="en-US"/>
      </w:rPr>
      <w:tab/>
      <w:t>U003-v1.</w:t>
    </w:r>
    <w:r w:rsidR="002A4F12">
      <w:rPr>
        <w:lang w:val="en-US"/>
      </w:rPr>
      <w:t>2</w:t>
    </w:r>
    <w:r w:rsidR="00672767" w:rsidRPr="008723F6">
      <w:rPr>
        <w:lang w:val="en-US"/>
      </w:rPr>
      <w:t>-FN-EN</w:t>
    </w:r>
    <w:r w:rsidR="00672767" w:rsidRPr="008723F6" w:rsidDel="00F22FFD">
      <w:rPr>
        <w:rStyle w:val="PageNumber"/>
        <w:lang w:val="en-US"/>
      </w:rPr>
      <w:t xml:space="preserve"> </w:t>
    </w:r>
  </w:p>
  <w:p w14:paraId="43055D74" w14:textId="77777777" w:rsidR="00672767" w:rsidRPr="008723F6" w:rsidRDefault="0067276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70AE0E7E" w:rsidR="00672767" w:rsidRPr="008723F6" w:rsidRDefault="00AF261F">
    <w:pPr>
      <w:pStyle w:val="Footer"/>
      <w:rPr>
        <w:lang w:val="en-US"/>
      </w:rPr>
    </w:pPr>
    <w:r>
      <w:rPr>
        <w:noProof/>
        <w:lang w:val="fr-FR" w:eastAsia="zh-TW"/>
      </w:rPr>
      <w:drawing>
        <wp:anchor distT="0" distB="0" distL="114300" distR="114300" simplePos="0" relativeHeight="251788288" behindDoc="0" locked="0" layoutInCell="1" allowOverlap="1" wp14:anchorId="606EF7D3" wp14:editId="6CCF2CF7">
          <wp:simplePos x="0" y="0"/>
          <wp:positionH relativeFrom="column">
            <wp:posOffset>2552065</wp:posOffset>
          </wp:positionH>
          <wp:positionV relativeFrom="paragraph">
            <wp:posOffset>-41275</wp:posOffset>
          </wp:positionV>
          <wp:extent cx="542925" cy="190500"/>
          <wp:effectExtent l="0" t="0" r="9525" b="0"/>
          <wp:wrapTopAndBottom/>
          <wp:docPr id="22" name="Picture 2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72767" w:rsidRPr="008723F6">
      <w:rPr>
        <w:lang w:val="en-US"/>
      </w:rPr>
      <w:t>U003-v1.</w:t>
    </w:r>
    <w:r w:rsidR="002A4F12">
      <w:rPr>
        <w:lang w:val="en-US"/>
      </w:rPr>
      <w:t>2</w:t>
    </w:r>
    <w:r w:rsidR="00672767" w:rsidRPr="008723F6">
      <w:rPr>
        <w:lang w:val="en-US"/>
      </w:rPr>
      <w:t>-FN-EN</w:t>
    </w:r>
    <w:r w:rsidR="00672767" w:rsidRPr="008723F6">
      <w:rPr>
        <w:lang w:val="en-US"/>
      </w:rPr>
      <w:tab/>
    </w:r>
    <w:r w:rsidR="00672767" w:rsidRPr="008723F6">
      <w:rPr>
        <w:lang w:val="en-US"/>
      </w:rPr>
      <w:tab/>
    </w:r>
    <w:r w:rsidR="00672767" w:rsidRPr="005B7AFC">
      <w:rPr>
        <w:noProof/>
        <w:lang w:val="fr-FR" w:eastAsia="zh-TW"/>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A502" w14:textId="03272086" w:rsidR="00672767" w:rsidRPr="008723F6" w:rsidRDefault="00AF261F">
    <w:pPr>
      <w:pStyle w:val="Footer"/>
      <w:rPr>
        <w:lang w:val="en-US"/>
      </w:rPr>
    </w:pPr>
    <w:r>
      <w:rPr>
        <w:noProof/>
        <w:lang w:val="fr-FR" w:eastAsia="zh-TW"/>
      </w:rPr>
      <w:drawing>
        <wp:anchor distT="0" distB="0" distL="114300" distR="114300" simplePos="0" relativeHeight="251784192" behindDoc="0" locked="0" layoutInCell="1" allowOverlap="1" wp14:anchorId="0F1755A7" wp14:editId="78CA9A98">
          <wp:simplePos x="0" y="0"/>
          <wp:positionH relativeFrom="column">
            <wp:posOffset>2609215</wp:posOffset>
          </wp:positionH>
          <wp:positionV relativeFrom="paragraph">
            <wp:posOffset>-41275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72767" w:rsidRPr="008723F6">
      <w:rPr>
        <w:lang w:val="en-US"/>
      </w:rPr>
      <w:t>U003-v1.</w:t>
    </w:r>
    <w:r w:rsidR="002A4F12">
      <w:rPr>
        <w:lang w:val="en-US"/>
      </w:rPr>
      <w:t>2</w:t>
    </w:r>
    <w:r w:rsidR="00672767" w:rsidRPr="008723F6">
      <w:rPr>
        <w:lang w:val="en-US"/>
      </w:rPr>
      <w:t>-FN-EN</w:t>
    </w:r>
    <w:r w:rsidR="00672767" w:rsidRPr="008723F6">
      <w:rPr>
        <w:lang w:val="en-US"/>
      </w:rPr>
      <w:tab/>
    </w:r>
    <w:r w:rsidR="00672767" w:rsidRPr="008723F6">
      <w:rPr>
        <w:lang w:val="en-US"/>
      </w:rPr>
      <w:tab/>
    </w:r>
    <w:r w:rsidR="00672767" w:rsidRPr="005B7AFC">
      <w:rPr>
        <w:noProof/>
        <w:lang w:val="fr-FR" w:eastAsia="zh-TW"/>
      </w:rPr>
      <w:drawing>
        <wp:anchor distT="0" distB="0" distL="114300" distR="114300" simplePos="0" relativeHeight="251776000" behindDoc="0" locked="1" layoutInCell="1" allowOverlap="0" wp14:anchorId="4890BDAD" wp14:editId="3989A3E4">
          <wp:simplePos x="0" y="0"/>
          <wp:positionH relativeFrom="margin">
            <wp:align>right</wp:align>
          </wp:positionH>
          <wp:positionV relativeFrom="margin">
            <wp:posOffset>8682990</wp:posOffset>
          </wp:positionV>
          <wp:extent cx="942975" cy="53848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E01D7" w14:textId="77777777" w:rsidR="008C353E" w:rsidRDefault="008C353E" w:rsidP="000A699C">
      <w:pPr>
        <w:spacing w:before="0" w:after="0"/>
      </w:pPr>
      <w:r>
        <w:separator/>
      </w:r>
    </w:p>
  </w:footnote>
  <w:footnote w:type="continuationSeparator" w:id="0">
    <w:p w14:paraId="600B0C9E" w14:textId="77777777" w:rsidR="008C353E" w:rsidRDefault="008C353E" w:rsidP="000A699C">
      <w:pPr>
        <w:spacing w:before="0" w:after="0"/>
      </w:pPr>
      <w:r>
        <w:continuationSeparator/>
      </w:r>
    </w:p>
  </w:footnote>
  <w:footnote w:id="1">
    <w:p w14:paraId="48B3F49E" w14:textId="05EEBF72" w:rsidR="00672767" w:rsidRDefault="00672767" w:rsidP="00972BD9">
      <w:pPr>
        <w:pStyle w:val="FootnoteText"/>
      </w:pPr>
      <w:r w:rsidRPr="009B7B16">
        <w:rPr>
          <w:rStyle w:val="FootnoteReference"/>
          <w:vertAlign w:val="baseline"/>
        </w:rPr>
        <w:footnoteRef/>
      </w:r>
      <w:r w:rsidRPr="009B7B16">
        <w:rPr>
          <w:rStyle w:val="FootnoteReference"/>
          <w:vertAlign w:val="baseline"/>
        </w:rPr>
        <w:t>.</w:t>
      </w:r>
      <w:r>
        <w:tab/>
      </w:r>
      <w:r w:rsidRPr="00972BD9">
        <w:t>Frequently referred to as the ‘Intangible Heritage Convention’, the ‘2003 Convention’ and, for the purpose of this unit, simply the ‘Convention’.</w:t>
      </w:r>
    </w:p>
  </w:footnote>
  <w:footnote w:id="2">
    <w:p w14:paraId="5A5FE3B3" w14:textId="4BA66CD4" w:rsidR="00672767" w:rsidRPr="00C01474" w:rsidRDefault="00672767" w:rsidP="00C01474">
      <w:pPr>
        <w:pStyle w:val="FootnoteText"/>
      </w:pPr>
      <w:r w:rsidRPr="00C01474">
        <w:rPr>
          <w:rStyle w:val="FootnoteReference"/>
          <w:vertAlign w:val="baseline"/>
        </w:rPr>
        <w:footnoteRef/>
      </w:r>
      <w:r>
        <w:rPr>
          <w:rStyle w:val="FootnoteReference"/>
          <w:vertAlign w:val="baseline"/>
        </w:rPr>
        <w:t>.</w:t>
      </w:r>
      <w:r>
        <w:rPr>
          <w:rStyle w:val="FootnoteReference"/>
          <w:vertAlign w:val="baseline"/>
        </w:rPr>
        <w:tab/>
      </w:r>
      <w:r w:rsidRPr="00C01474">
        <w:t>C. Moseley (Editor-in-Chief), 2010, Atlas of the World’s Languages in Danger, 3rd edn, Paris, UNESCO.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67778642" w:rsidR="00672767" w:rsidRPr="008E68FD" w:rsidRDefault="00672767">
    <w:pPr>
      <w:pStyle w:val="Header"/>
      <w:rPr>
        <w:lang w:val="en-US"/>
      </w:rPr>
    </w:pPr>
    <w:r>
      <w:rPr>
        <w:rStyle w:val="PageNumber"/>
      </w:rPr>
      <w:fldChar w:fldCharType="begin"/>
    </w:r>
    <w:r w:rsidRPr="008E68FD">
      <w:rPr>
        <w:rStyle w:val="PageNumber"/>
        <w:lang w:val="en-US"/>
      </w:rPr>
      <w:instrText xml:space="preserve"> PAGE </w:instrText>
    </w:r>
    <w:r>
      <w:rPr>
        <w:rStyle w:val="PageNumber"/>
      </w:rPr>
      <w:fldChar w:fldCharType="separate"/>
    </w:r>
    <w:r w:rsidR="001D2A6D">
      <w:rPr>
        <w:rStyle w:val="PageNumber"/>
        <w:noProof/>
        <w:lang w:val="en-US"/>
      </w:rPr>
      <w:t>2</w:t>
    </w:r>
    <w:r>
      <w:rPr>
        <w:rStyle w:val="PageNumber"/>
      </w:rPr>
      <w:fldChar w:fldCharType="end"/>
    </w:r>
    <w:r w:rsidRPr="008E68FD">
      <w:rPr>
        <w:rStyle w:val="PageNumber"/>
        <w:lang w:val="en-US"/>
      </w:rPr>
      <w:tab/>
      <w:t xml:space="preserve">Unit 3: Key concepts in the </w:t>
    </w:r>
    <w:r w:rsidRPr="004A647B">
      <w:rPr>
        <w:rStyle w:val="PageNumber"/>
        <w:lang w:val="en-US"/>
      </w:rPr>
      <w:t>Convention</w:t>
    </w:r>
    <w:r w:rsidRPr="008E68FD">
      <w:rPr>
        <w:lang w:val="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71E40BAF" w:rsidR="00672767" w:rsidRPr="008E68FD" w:rsidRDefault="00672767" w:rsidP="00D25BBB">
    <w:pPr>
      <w:pStyle w:val="Header"/>
      <w:rPr>
        <w:lang w:val="en-US"/>
      </w:rPr>
    </w:pPr>
    <w:r w:rsidRPr="008E68FD">
      <w:rPr>
        <w:lang w:val="en-US"/>
      </w:rPr>
      <w:t>Facilitator’s notes</w:t>
    </w:r>
    <w:r w:rsidRPr="008E68FD">
      <w:rPr>
        <w:lang w:val="en-US"/>
      </w:rPr>
      <w:tab/>
    </w:r>
    <w:r w:rsidRPr="008E68FD">
      <w:rPr>
        <w:rStyle w:val="PageNumber"/>
        <w:lang w:val="en-US"/>
      </w:rPr>
      <w:t xml:space="preserve">Unit 3: Key concepts in the </w:t>
    </w:r>
    <w:r w:rsidRPr="004A647B">
      <w:rPr>
        <w:rStyle w:val="PageNumber"/>
        <w:lang w:val="en-US"/>
      </w:rPr>
      <w:t>Convention</w:t>
    </w:r>
    <w:r w:rsidRPr="008E68FD" w:rsidDel="006831F2">
      <w:rPr>
        <w:rStyle w:val="PageNumber"/>
        <w:lang w:val="en-US"/>
      </w:rPr>
      <w:t xml:space="preserve"> </w:t>
    </w:r>
    <w:r w:rsidRPr="008E68FD">
      <w:rPr>
        <w:lang w:val="en-US"/>
      </w:rPr>
      <w:tab/>
    </w:r>
    <w:r>
      <w:rPr>
        <w:rStyle w:val="PageNumber"/>
      </w:rPr>
      <w:fldChar w:fldCharType="begin"/>
    </w:r>
    <w:r w:rsidRPr="008E68FD">
      <w:rPr>
        <w:rStyle w:val="PageNumber"/>
        <w:lang w:val="en-US"/>
      </w:rPr>
      <w:instrText xml:space="preserve"> PAGE </w:instrText>
    </w:r>
    <w:r>
      <w:rPr>
        <w:rStyle w:val="PageNumber"/>
      </w:rPr>
      <w:fldChar w:fldCharType="separate"/>
    </w:r>
    <w:r w:rsidR="001D2A6D">
      <w:rPr>
        <w:rStyle w:val="PageNumber"/>
        <w:noProof/>
        <w:lang w:val="en-US"/>
      </w:rPr>
      <w:t>15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3D7E0656" w:rsidR="00672767" w:rsidRPr="00014116" w:rsidRDefault="00672767">
    <w:pPr>
      <w:pStyle w:val="Header"/>
    </w:pPr>
    <w: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B13480"/>
    <w:multiLevelType w:val="hybridMultilevel"/>
    <w:tmpl w:val="E4C4C008"/>
    <w:lvl w:ilvl="0" w:tplc="7A62A5D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1"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2"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1"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0"/>
  </w:num>
  <w:num w:numId="5">
    <w:abstractNumId w:val="11"/>
  </w:num>
  <w:num w:numId="6">
    <w:abstractNumId w:val="58"/>
  </w:num>
  <w:num w:numId="7">
    <w:abstractNumId w:val="57"/>
  </w:num>
  <w:num w:numId="8">
    <w:abstractNumId w:val="9"/>
  </w:num>
  <w:num w:numId="9">
    <w:abstractNumId w:val="29"/>
  </w:num>
  <w:num w:numId="10">
    <w:abstractNumId w:val="8"/>
  </w:num>
  <w:num w:numId="11">
    <w:abstractNumId w:val="13"/>
  </w:num>
  <w:num w:numId="12">
    <w:abstractNumId w:val="67"/>
  </w:num>
  <w:num w:numId="13">
    <w:abstractNumId w:val="77"/>
  </w:num>
  <w:num w:numId="14">
    <w:abstractNumId w:val="31"/>
  </w:num>
  <w:num w:numId="15">
    <w:abstractNumId w:val="70"/>
  </w:num>
  <w:num w:numId="16">
    <w:abstractNumId w:val="17"/>
  </w:num>
  <w:num w:numId="17">
    <w:abstractNumId w:val="44"/>
  </w:num>
  <w:num w:numId="18">
    <w:abstractNumId w:val="39"/>
  </w:num>
  <w:num w:numId="19">
    <w:abstractNumId w:val="68"/>
  </w:num>
  <w:num w:numId="20">
    <w:abstractNumId w:val="50"/>
  </w:num>
  <w:num w:numId="21">
    <w:abstractNumId w:val="10"/>
  </w:num>
  <w:num w:numId="22">
    <w:abstractNumId w:val="5"/>
  </w:num>
  <w:num w:numId="23">
    <w:abstractNumId w:val="62"/>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4"/>
  </w:num>
  <w:num w:numId="31">
    <w:abstractNumId w:val="69"/>
  </w:num>
  <w:num w:numId="32">
    <w:abstractNumId w:val="72"/>
  </w:num>
  <w:num w:numId="33">
    <w:abstractNumId w:val="19"/>
  </w:num>
  <w:num w:numId="34">
    <w:abstractNumId w:val="0"/>
  </w:num>
  <w:num w:numId="35">
    <w:abstractNumId w:val="76"/>
  </w:num>
  <w:num w:numId="36">
    <w:abstractNumId w:val="28"/>
  </w:num>
  <w:num w:numId="37">
    <w:abstractNumId w:val="65"/>
  </w:num>
  <w:num w:numId="38">
    <w:abstractNumId w:val="76"/>
  </w:num>
  <w:num w:numId="39">
    <w:abstractNumId w:val="2"/>
  </w:num>
  <w:num w:numId="40">
    <w:abstractNumId w:val="60"/>
  </w:num>
  <w:num w:numId="41">
    <w:abstractNumId w:val="28"/>
    <w:lvlOverride w:ilvl="0">
      <w:startOverride w:val="1"/>
    </w:lvlOverride>
  </w:num>
  <w:num w:numId="42">
    <w:abstractNumId w:val="14"/>
  </w:num>
  <w:num w:numId="43">
    <w:abstractNumId w:val="43"/>
  </w:num>
  <w:num w:numId="44">
    <w:abstractNumId w:val="75"/>
  </w:num>
  <w:num w:numId="45">
    <w:abstractNumId w:val="32"/>
  </w:num>
  <w:num w:numId="46">
    <w:abstractNumId w:val="64"/>
  </w:num>
  <w:num w:numId="47">
    <w:abstractNumId w:val="32"/>
    <w:lvlOverride w:ilvl="0">
      <w:startOverride w:val="1"/>
    </w:lvlOverride>
  </w:num>
  <w:num w:numId="48">
    <w:abstractNumId w:val="42"/>
  </w:num>
  <w:num w:numId="49">
    <w:abstractNumId w:val="73"/>
  </w:num>
  <w:num w:numId="50">
    <w:abstractNumId w:val="32"/>
    <w:lvlOverride w:ilvl="0">
      <w:startOverride w:val="1"/>
    </w:lvlOverride>
  </w:num>
  <w:num w:numId="51">
    <w:abstractNumId w:val="26"/>
  </w:num>
  <w:num w:numId="52">
    <w:abstractNumId w:val="32"/>
    <w:lvlOverride w:ilvl="0">
      <w:startOverride w:val="1"/>
    </w:lvlOverride>
  </w:num>
  <w:num w:numId="53">
    <w:abstractNumId w:val="76"/>
  </w:num>
  <w:num w:numId="54">
    <w:abstractNumId w:val="76"/>
  </w:num>
  <w:num w:numId="55">
    <w:abstractNumId w:val="76"/>
  </w:num>
  <w:num w:numId="56">
    <w:abstractNumId w:val="76"/>
  </w:num>
  <w:num w:numId="57">
    <w:abstractNumId w:val="76"/>
  </w:num>
  <w:num w:numId="58">
    <w:abstractNumId w:val="81"/>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8"/>
  </w:num>
  <w:num w:numId="80">
    <w:abstractNumId w:val="45"/>
    <w:lvlOverride w:ilvl="0">
      <w:startOverride w:val="1"/>
    </w:lvlOverride>
  </w:num>
  <w:num w:numId="81">
    <w:abstractNumId w:val="59"/>
  </w:num>
  <w:num w:numId="82">
    <w:abstractNumId w:val="34"/>
  </w:num>
  <w:num w:numId="83">
    <w:abstractNumId w:val="38"/>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4"/>
  </w:num>
  <w:num w:numId="113">
    <w:abstractNumId w:val="79"/>
  </w:num>
  <w:num w:numId="114">
    <w:abstractNumId w:val="71"/>
  </w:num>
  <w:num w:numId="115">
    <w:abstractNumId w:val="35"/>
    <w:lvlOverride w:ilvl="0">
      <w:startOverride w:val="1"/>
    </w:lvlOverride>
  </w:num>
  <w:num w:numId="116">
    <w:abstractNumId w:val="52"/>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8"/>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5"/>
    <w:lvlOverride w:ilvl="0">
      <w:startOverride w:val="1"/>
    </w:lvlOverride>
  </w:num>
  <w:num w:numId="142">
    <w:abstractNumId w:val="63"/>
  </w:num>
  <w:num w:numId="143">
    <w:abstractNumId w:val="40"/>
  </w:num>
  <w:num w:numId="144">
    <w:abstractNumId w:val="24"/>
  </w:num>
  <w:num w:numId="145">
    <w:abstractNumId w:val="15"/>
  </w:num>
  <w:num w:numId="146">
    <w:abstractNumId w:val="35"/>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2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mirrorMargins/>
  <w:defaultTabStop w:val="340"/>
  <w:hyphenationZone w:val="425"/>
  <w:evenAndOddHeaders/>
  <w:drawingGridHorizontalSpacing w:val="110"/>
  <w:displayHorizontalDrawingGridEvery w:val="2"/>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116"/>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A9E"/>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6A48"/>
    <w:rsid w:val="00076E47"/>
    <w:rsid w:val="000771EA"/>
    <w:rsid w:val="00077300"/>
    <w:rsid w:val="000774A8"/>
    <w:rsid w:val="000774D9"/>
    <w:rsid w:val="00077811"/>
    <w:rsid w:val="00077936"/>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B9F"/>
    <w:rsid w:val="00085C39"/>
    <w:rsid w:val="00085CFE"/>
    <w:rsid w:val="00085E5D"/>
    <w:rsid w:val="00085FAF"/>
    <w:rsid w:val="0008614B"/>
    <w:rsid w:val="00086DFB"/>
    <w:rsid w:val="00086EE5"/>
    <w:rsid w:val="0008733D"/>
    <w:rsid w:val="00087357"/>
    <w:rsid w:val="000874EC"/>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4EDC"/>
    <w:rsid w:val="0009555A"/>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389"/>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1FF6"/>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B83"/>
    <w:rsid w:val="000E0C21"/>
    <w:rsid w:val="000E0C7B"/>
    <w:rsid w:val="000E0D3F"/>
    <w:rsid w:val="000E10DF"/>
    <w:rsid w:val="000E16B7"/>
    <w:rsid w:val="000E1AC2"/>
    <w:rsid w:val="000E1DD7"/>
    <w:rsid w:val="000E1DFE"/>
    <w:rsid w:val="000E2057"/>
    <w:rsid w:val="000E23E4"/>
    <w:rsid w:val="000E2841"/>
    <w:rsid w:val="000E2EB3"/>
    <w:rsid w:val="000E2F2E"/>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2E0B"/>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BA5"/>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719"/>
    <w:rsid w:val="00110A3B"/>
    <w:rsid w:val="00110C6F"/>
    <w:rsid w:val="00111533"/>
    <w:rsid w:val="00111737"/>
    <w:rsid w:val="001119AD"/>
    <w:rsid w:val="00111DF4"/>
    <w:rsid w:val="001120FE"/>
    <w:rsid w:val="001123AF"/>
    <w:rsid w:val="001125B6"/>
    <w:rsid w:val="001137D2"/>
    <w:rsid w:val="001137F7"/>
    <w:rsid w:val="0011396C"/>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15D8"/>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9FA"/>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BAB"/>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A6D"/>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0F"/>
    <w:rsid w:val="001D6C13"/>
    <w:rsid w:val="001D6CC9"/>
    <w:rsid w:val="001D7A7D"/>
    <w:rsid w:val="001D7BE1"/>
    <w:rsid w:val="001E03E9"/>
    <w:rsid w:val="001E0406"/>
    <w:rsid w:val="001E04C4"/>
    <w:rsid w:val="001E04DE"/>
    <w:rsid w:val="001E0618"/>
    <w:rsid w:val="001E073C"/>
    <w:rsid w:val="001E121C"/>
    <w:rsid w:val="001E170C"/>
    <w:rsid w:val="001E183D"/>
    <w:rsid w:val="001E2C42"/>
    <w:rsid w:val="001E2FD2"/>
    <w:rsid w:val="001E3328"/>
    <w:rsid w:val="001E3633"/>
    <w:rsid w:val="001E37D2"/>
    <w:rsid w:val="001E43F8"/>
    <w:rsid w:val="001E49CB"/>
    <w:rsid w:val="001E4FE9"/>
    <w:rsid w:val="001E5315"/>
    <w:rsid w:val="001E532D"/>
    <w:rsid w:val="001E563B"/>
    <w:rsid w:val="001E61A7"/>
    <w:rsid w:val="001E63DD"/>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D84"/>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55E"/>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AB"/>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153"/>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B44"/>
    <w:rsid w:val="00284F6F"/>
    <w:rsid w:val="0028510D"/>
    <w:rsid w:val="00285510"/>
    <w:rsid w:val="00285738"/>
    <w:rsid w:val="00285AC7"/>
    <w:rsid w:val="00285B22"/>
    <w:rsid w:val="00285B31"/>
    <w:rsid w:val="0028620A"/>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64F"/>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4F12"/>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34BC"/>
    <w:rsid w:val="002C3601"/>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CC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5D47"/>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3EAD"/>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00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576"/>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096"/>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5B8"/>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5D"/>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5C8"/>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419"/>
    <w:rsid w:val="004356F0"/>
    <w:rsid w:val="0043578A"/>
    <w:rsid w:val="00435D77"/>
    <w:rsid w:val="00436B4F"/>
    <w:rsid w:val="00436B7C"/>
    <w:rsid w:val="00436D83"/>
    <w:rsid w:val="00437497"/>
    <w:rsid w:val="00437EE5"/>
    <w:rsid w:val="0044016F"/>
    <w:rsid w:val="0044053B"/>
    <w:rsid w:val="00440B49"/>
    <w:rsid w:val="00440D2F"/>
    <w:rsid w:val="00440E82"/>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52"/>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9FF"/>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178"/>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77A3F"/>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5DC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47B"/>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4DC"/>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0D1"/>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6A5"/>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3D89"/>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48C"/>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20D"/>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34DB"/>
    <w:rsid w:val="005441C1"/>
    <w:rsid w:val="00544FB7"/>
    <w:rsid w:val="005457A1"/>
    <w:rsid w:val="005462A4"/>
    <w:rsid w:val="00546AE0"/>
    <w:rsid w:val="00546C0A"/>
    <w:rsid w:val="00546D84"/>
    <w:rsid w:val="005470F4"/>
    <w:rsid w:val="00547191"/>
    <w:rsid w:val="00547393"/>
    <w:rsid w:val="005473B5"/>
    <w:rsid w:val="00547CEB"/>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4EE"/>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710"/>
    <w:rsid w:val="00592ACD"/>
    <w:rsid w:val="00592FB4"/>
    <w:rsid w:val="00593D2A"/>
    <w:rsid w:val="005948BE"/>
    <w:rsid w:val="00594AF9"/>
    <w:rsid w:val="00594B89"/>
    <w:rsid w:val="00594E13"/>
    <w:rsid w:val="00595316"/>
    <w:rsid w:val="00595613"/>
    <w:rsid w:val="005956AB"/>
    <w:rsid w:val="00595E7D"/>
    <w:rsid w:val="00596000"/>
    <w:rsid w:val="0059618B"/>
    <w:rsid w:val="005964D2"/>
    <w:rsid w:val="005966D6"/>
    <w:rsid w:val="00596762"/>
    <w:rsid w:val="00596A20"/>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09F"/>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CC6"/>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446"/>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4530"/>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6710C"/>
    <w:rsid w:val="00670673"/>
    <w:rsid w:val="006710F9"/>
    <w:rsid w:val="00671217"/>
    <w:rsid w:val="00671358"/>
    <w:rsid w:val="006713B2"/>
    <w:rsid w:val="006719AC"/>
    <w:rsid w:val="006722DD"/>
    <w:rsid w:val="00672767"/>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C18"/>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6CAE"/>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4322"/>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21E"/>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2A"/>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4B46"/>
    <w:rsid w:val="006E4DB5"/>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2CF2"/>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782"/>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7A8"/>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57"/>
    <w:rsid w:val="00726C83"/>
    <w:rsid w:val="00726D09"/>
    <w:rsid w:val="0072739C"/>
    <w:rsid w:val="00727E77"/>
    <w:rsid w:val="00730401"/>
    <w:rsid w:val="0073057E"/>
    <w:rsid w:val="007308A0"/>
    <w:rsid w:val="00730EFF"/>
    <w:rsid w:val="007310F8"/>
    <w:rsid w:val="007319B7"/>
    <w:rsid w:val="00731C07"/>
    <w:rsid w:val="007326E6"/>
    <w:rsid w:val="00732B83"/>
    <w:rsid w:val="00732DCA"/>
    <w:rsid w:val="00732F9C"/>
    <w:rsid w:val="00733539"/>
    <w:rsid w:val="007339F4"/>
    <w:rsid w:val="00733A7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39"/>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2E1"/>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9ED"/>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98E"/>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DB6"/>
    <w:rsid w:val="007A1FA6"/>
    <w:rsid w:val="007A2940"/>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088"/>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888"/>
    <w:rsid w:val="007D2A80"/>
    <w:rsid w:val="007D2A85"/>
    <w:rsid w:val="007D2E8C"/>
    <w:rsid w:val="007D32D1"/>
    <w:rsid w:val="007D3351"/>
    <w:rsid w:val="007D36FD"/>
    <w:rsid w:val="007D377C"/>
    <w:rsid w:val="007D3B46"/>
    <w:rsid w:val="007D3B5C"/>
    <w:rsid w:val="007D4692"/>
    <w:rsid w:val="007D497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2E9"/>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7D8"/>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49F"/>
    <w:rsid w:val="00806AEA"/>
    <w:rsid w:val="00806BEE"/>
    <w:rsid w:val="00806CEE"/>
    <w:rsid w:val="008079D3"/>
    <w:rsid w:val="00807B7F"/>
    <w:rsid w:val="00807C69"/>
    <w:rsid w:val="00807DF8"/>
    <w:rsid w:val="00810AC6"/>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86A"/>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3AB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515"/>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24C"/>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3F6"/>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07"/>
    <w:rsid w:val="00876272"/>
    <w:rsid w:val="0087680A"/>
    <w:rsid w:val="008769E0"/>
    <w:rsid w:val="00876CAA"/>
    <w:rsid w:val="00876D47"/>
    <w:rsid w:val="00877354"/>
    <w:rsid w:val="0087744E"/>
    <w:rsid w:val="008774E1"/>
    <w:rsid w:val="00877561"/>
    <w:rsid w:val="008778DC"/>
    <w:rsid w:val="008779FB"/>
    <w:rsid w:val="00877AF8"/>
    <w:rsid w:val="00877E7E"/>
    <w:rsid w:val="00877FD9"/>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77B"/>
    <w:rsid w:val="00883A8E"/>
    <w:rsid w:val="00883FC4"/>
    <w:rsid w:val="0088456B"/>
    <w:rsid w:val="008845A3"/>
    <w:rsid w:val="008850AF"/>
    <w:rsid w:val="0088527B"/>
    <w:rsid w:val="0088557E"/>
    <w:rsid w:val="00885846"/>
    <w:rsid w:val="0088604D"/>
    <w:rsid w:val="0088610C"/>
    <w:rsid w:val="0088623E"/>
    <w:rsid w:val="00886A15"/>
    <w:rsid w:val="0088735A"/>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175"/>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53E"/>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8FD"/>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3F8"/>
    <w:rsid w:val="00910686"/>
    <w:rsid w:val="00910BF2"/>
    <w:rsid w:val="00910E72"/>
    <w:rsid w:val="0091108A"/>
    <w:rsid w:val="0091120D"/>
    <w:rsid w:val="009113F3"/>
    <w:rsid w:val="00911861"/>
    <w:rsid w:val="00911BA7"/>
    <w:rsid w:val="0091207D"/>
    <w:rsid w:val="0091255A"/>
    <w:rsid w:val="009125CA"/>
    <w:rsid w:val="009128ED"/>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45F"/>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0C44"/>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BD9"/>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1DC"/>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1FB0"/>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043"/>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09A"/>
    <w:rsid w:val="009B68BF"/>
    <w:rsid w:val="009B6943"/>
    <w:rsid w:val="009B6F03"/>
    <w:rsid w:val="009B7950"/>
    <w:rsid w:val="009B7B16"/>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68E"/>
    <w:rsid w:val="009E7BC5"/>
    <w:rsid w:val="009E7E9C"/>
    <w:rsid w:val="009E7F9C"/>
    <w:rsid w:val="009F0513"/>
    <w:rsid w:val="009F0608"/>
    <w:rsid w:val="009F0968"/>
    <w:rsid w:val="009F0DEC"/>
    <w:rsid w:val="009F0E3A"/>
    <w:rsid w:val="009F13F5"/>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56C"/>
    <w:rsid w:val="00A006E1"/>
    <w:rsid w:val="00A00843"/>
    <w:rsid w:val="00A00AC7"/>
    <w:rsid w:val="00A00CD2"/>
    <w:rsid w:val="00A00F57"/>
    <w:rsid w:val="00A01148"/>
    <w:rsid w:val="00A013DE"/>
    <w:rsid w:val="00A0210D"/>
    <w:rsid w:val="00A02EE8"/>
    <w:rsid w:val="00A03072"/>
    <w:rsid w:val="00A03538"/>
    <w:rsid w:val="00A0396F"/>
    <w:rsid w:val="00A040EC"/>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3E5"/>
    <w:rsid w:val="00A135C5"/>
    <w:rsid w:val="00A1371C"/>
    <w:rsid w:val="00A14000"/>
    <w:rsid w:val="00A1403E"/>
    <w:rsid w:val="00A141C8"/>
    <w:rsid w:val="00A1425D"/>
    <w:rsid w:val="00A1569F"/>
    <w:rsid w:val="00A15889"/>
    <w:rsid w:val="00A15AC8"/>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080"/>
    <w:rsid w:val="00A4012C"/>
    <w:rsid w:val="00A405E4"/>
    <w:rsid w:val="00A40648"/>
    <w:rsid w:val="00A40844"/>
    <w:rsid w:val="00A40919"/>
    <w:rsid w:val="00A40A05"/>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35A0"/>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47B"/>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C8F"/>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02"/>
    <w:rsid w:val="00AE4331"/>
    <w:rsid w:val="00AE438A"/>
    <w:rsid w:val="00AE47D7"/>
    <w:rsid w:val="00AE58FB"/>
    <w:rsid w:val="00AE5F3F"/>
    <w:rsid w:val="00AE5FF7"/>
    <w:rsid w:val="00AE671E"/>
    <w:rsid w:val="00AE6729"/>
    <w:rsid w:val="00AE690D"/>
    <w:rsid w:val="00AE6C2E"/>
    <w:rsid w:val="00AE700C"/>
    <w:rsid w:val="00AE70D8"/>
    <w:rsid w:val="00AE7200"/>
    <w:rsid w:val="00AE72CC"/>
    <w:rsid w:val="00AE7869"/>
    <w:rsid w:val="00AE7A87"/>
    <w:rsid w:val="00AE7BD7"/>
    <w:rsid w:val="00AF02C0"/>
    <w:rsid w:val="00AF02FC"/>
    <w:rsid w:val="00AF03AB"/>
    <w:rsid w:val="00AF07D6"/>
    <w:rsid w:val="00AF0873"/>
    <w:rsid w:val="00AF0877"/>
    <w:rsid w:val="00AF10C6"/>
    <w:rsid w:val="00AF1190"/>
    <w:rsid w:val="00AF15E8"/>
    <w:rsid w:val="00AF17D1"/>
    <w:rsid w:val="00AF185E"/>
    <w:rsid w:val="00AF1C98"/>
    <w:rsid w:val="00AF1E42"/>
    <w:rsid w:val="00AF261F"/>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826"/>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87D"/>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3DB"/>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9EC"/>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1FE1"/>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8BE"/>
    <w:rsid w:val="00B969FC"/>
    <w:rsid w:val="00B96E76"/>
    <w:rsid w:val="00B970AA"/>
    <w:rsid w:val="00B9794D"/>
    <w:rsid w:val="00B97CA8"/>
    <w:rsid w:val="00B97D13"/>
    <w:rsid w:val="00BA02F8"/>
    <w:rsid w:val="00BA0318"/>
    <w:rsid w:val="00BA04B2"/>
    <w:rsid w:val="00BA0A6B"/>
    <w:rsid w:val="00BA0F6D"/>
    <w:rsid w:val="00BA1280"/>
    <w:rsid w:val="00BA18A4"/>
    <w:rsid w:val="00BA1E4F"/>
    <w:rsid w:val="00BA2324"/>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7A1"/>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925"/>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00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474"/>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86A"/>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1EFC"/>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8D9"/>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52B"/>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3BD3"/>
    <w:rsid w:val="00CE4732"/>
    <w:rsid w:val="00CE512F"/>
    <w:rsid w:val="00CE51A3"/>
    <w:rsid w:val="00CE51BB"/>
    <w:rsid w:val="00CE5293"/>
    <w:rsid w:val="00CE5C51"/>
    <w:rsid w:val="00CE5CF2"/>
    <w:rsid w:val="00CE5FFB"/>
    <w:rsid w:val="00CE603A"/>
    <w:rsid w:val="00CE6266"/>
    <w:rsid w:val="00CE6420"/>
    <w:rsid w:val="00CE6423"/>
    <w:rsid w:val="00CE65FF"/>
    <w:rsid w:val="00CE6AE1"/>
    <w:rsid w:val="00CE6CB2"/>
    <w:rsid w:val="00CE7247"/>
    <w:rsid w:val="00CE75BF"/>
    <w:rsid w:val="00CF0786"/>
    <w:rsid w:val="00CF0B6A"/>
    <w:rsid w:val="00CF0D52"/>
    <w:rsid w:val="00CF1157"/>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DC6"/>
    <w:rsid w:val="00D00EF5"/>
    <w:rsid w:val="00D01450"/>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EF2"/>
    <w:rsid w:val="00D32F18"/>
    <w:rsid w:val="00D3317B"/>
    <w:rsid w:val="00D341C7"/>
    <w:rsid w:val="00D342A3"/>
    <w:rsid w:val="00D344E1"/>
    <w:rsid w:val="00D3456D"/>
    <w:rsid w:val="00D34A61"/>
    <w:rsid w:val="00D34FE3"/>
    <w:rsid w:val="00D35264"/>
    <w:rsid w:val="00D35564"/>
    <w:rsid w:val="00D359B7"/>
    <w:rsid w:val="00D35F68"/>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0A0"/>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84"/>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4A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533"/>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3AE7"/>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8F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44A1"/>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6F3C"/>
    <w:rsid w:val="00DE7621"/>
    <w:rsid w:val="00DE7CC9"/>
    <w:rsid w:val="00DE7D9C"/>
    <w:rsid w:val="00DE7E31"/>
    <w:rsid w:val="00DF0093"/>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4D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03"/>
    <w:rsid w:val="00DF77A6"/>
    <w:rsid w:val="00DF7827"/>
    <w:rsid w:val="00E005F8"/>
    <w:rsid w:val="00E007EB"/>
    <w:rsid w:val="00E00A61"/>
    <w:rsid w:val="00E01074"/>
    <w:rsid w:val="00E01128"/>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69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06A"/>
    <w:rsid w:val="00E12424"/>
    <w:rsid w:val="00E12A86"/>
    <w:rsid w:val="00E12E2F"/>
    <w:rsid w:val="00E130A7"/>
    <w:rsid w:val="00E1316F"/>
    <w:rsid w:val="00E13295"/>
    <w:rsid w:val="00E132C3"/>
    <w:rsid w:val="00E134FC"/>
    <w:rsid w:val="00E13C29"/>
    <w:rsid w:val="00E141C3"/>
    <w:rsid w:val="00E141F4"/>
    <w:rsid w:val="00E147F7"/>
    <w:rsid w:val="00E1525A"/>
    <w:rsid w:val="00E1544B"/>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233"/>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5ED0"/>
    <w:rsid w:val="00E26186"/>
    <w:rsid w:val="00E2713D"/>
    <w:rsid w:val="00E2755D"/>
    <w:rsid w:val="00E276B7"/>
    <w:rsid w:val="00E27897"/>
    <w:rsid w:val="00E27DE9"/>
    <w:rsid w:val="00E27F2A"/>
    <w:rsid w:val="00E30106"/>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0AE9"/>
    <w:rsid w:val="00E4174D"/>
    <w:rsid w:val="00E417D8"/>
    <w:rsid w:val="00E41D33"/>
    <w:rsid w:val="00E41E62"/>
    <w:rsid w:val="00E42D0E"/>
    <w:rsid w:val="00E42EEF"/>
    <w:rsid w:val="00E43202"/>
    <w:rsid w:val="00E43712"/>
    <w:rsid w:val="00E43792"/>
    <w:rsid w:val="00E4392D"/>
    <w:rsid w:val="00E43AA3"/>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3C29"/>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63C"/>
    <w:rsid w:val="00E6793B"/>
    <w:rsid w:val="00E67B88"/>
    <w:rsid w:val="00E67CC2"/>
    <w:rsid w:val="00E703F7"/>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157"/>
    <w:rsid w:val="00E9241F"/>
    <w:rsid w:val="00E92BB3"/>
    <w:rsid w:val="00E92C51"/>
    <w:rsid w:val="00E93003"/>
    <w:rsid w:val="00E9309F"/>
    <w:rsid w:val="00E93932"/>
    <w:rsid w:val="00E93F9E"/>
    <w:rsid w:val="00E94053"/>
    <w:rsid w:val="00E9472F"/>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FC1"/>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62D"/>
    <w:rsid w:val="00ED4CC9"/>
    <w:rsid w:val="00ED4CE0"/>
    <w:rsid w:val="00ED5077"/>
    <w:rsid w:val="00ED51C7"/>
    <w:rsid w:val="00ED540D"/>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2DBF"/>
    <w:rsid w:val="00EE308C"/>
    <w:rsid w:val="00EE3098"/>
    <w:rsid w:val="00EE320A"/>
    <w:rsid w:val="00EE324A"/>
    <w:rsid w:val="00EE3349"/>
    <w:rsid w:val="00EE34DA"/>
    <w:rsid w:val="00EE398B"/>
    <w:rsid w:val="00EE3C9C"/>
    <w:rsid w:val="00EE3EAD"/>
    <w:rsid w:val="00EE4824"/>
    <w:rsid w:val="00EE4B12"/>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1DCA"/>
    <w:rsid w:val="00EF21F4"/>
    <w:rsid w:val="00EF2262"/>
    <w:rsid w:val="00EF2387"/>
    <w:rsid w:val="00EF2D41"/>
    <w:rsid w:val="00EF2D6B"/>
    <w:rsid w:val="00EF30E6"/>
    <w:rsid w:val="00EF3256"/>
    <w:rsid w:val="00EF3A16"/>
    <w:rsid w:val="00EF3B92"/>
    <w:rsid w:val="00EF3C39"/>
    <w:rsid w:val="00EF3EED"/>
    <w:rsid w:val="00EF4648"/>
    <w:rsid w:val="00EF4768"/>
    <w:rsid w:val="00EF4959"/>
    <w:rsid w:val="00EF4D7B"/>
    <w:rsid w:val="00EF4E3B"/>
    <w:rsid w:val="00EF5270"/>
    <w:rsid w:val="00EF5929"/>
    <w:rsid w:val="00EF593A"/>
    <w:rsid w:val="00EF5D1E"/>
    <w:rsid w:val="00EF5E0E"/>
    <w:rsid w:val="00EF63A7"/>
    <w:rsid w:val="00EF6918"/>
    <w:rsid w:val="00EF6A3C"/>
    <w:rsid w:val="00EF6B08"/>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37"/>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6DF1"/>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978"/>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3BF8"/>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021"/>
    <w:rsid w:val="00F815D1"/>
    <w:rsid w:val="00F8168A"/>
    <w:rsid w:val="00F818A7"/>
    <w:rsid w:val="00F819A2"/>
    <w:rsid w:val="00F81A79"/>
    <w:rsid w:val="00F81E30"/>
    <w:rsid w:val="00F82070"/>
    <w:rsid w:val="00F82166"/>
    <w:rsid w:val="00F8217D"/>
    <w:rsid w:val="00F828DF"/>
    <w:rsid w:val="00F82981"/>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B04"/>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2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3D1"/>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3CA"/>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6A15"/>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C3380F2"/>
  <w15:docId w15:val="{B4AD205D-68AB-45F0-A948-6F6B5A54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5714EE"/>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yperlink" Target="http://www.unesco.org/culture/ich/en/lists/"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image" Target="media/image5.jpg"/><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4.jpg"/><Relationship Id="rId20" Type="http://schemas.openxmlformats.org/officeDocument/2006/relationships/hyperlink" Target="http://www.unesco.org/culture/ich/en/RL/00073"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unesco.org/culture/ich/en/RL/000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503"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AF12-3DEA-46CC-BDBB-9F87551C548A}">
  <ds:schemaRefs>
    <ds:schemaRef ds:uri="http://schemas.openxmlformats.org/officeDocument/2006/bibliography"/>
  </ds:schemaRefs>
</ds:datastoreItem>
</file>

<file path=customXml/itemProps2.xml><?xml version="1.0" encoding="utf-8"?>
<ds:datastoreItem xmlns:ds="http://schemas.openxmlformats.org/officeDocument/2006/customXml" ds:itemID="{552C0862-54E4-4154-83D5-093D22EE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6021</Words>
  <Characters>33118</Characters>
  <Application>Microsoft Office Word</Application>
  <DocSecurity>0</DocSecurity>
  <Lines>275</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UNESCO</Company>
  <LinksUpToDate>false</LinksUpToDate>
  <CharactersWithSpaces>39061</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Kim, Dain</cp:lastModifiedBy>
  <cp:revision>35</cp:revision>
  <dcterms:created xsi:type="dcterms:W3CDTF">2017-01-30T22:12:00Z</dcterms:created>
  <dcterms:modified xsi:type="dcterms:W3CDTF">2018-04-20T13:30:00Z</dcterms:modified>
</cp:coreProperties>
</file>