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2D3D" w14:textId="21F34F5F" w:rsidR="009A650C" w:rsidRPr="00D730B0" w:rsidRDefault="00A853D3" w:rsidP="00C70B5B">
      <w:pPr>
        <w:pStyle w:val="Chapitre"/>
        <w:keepNext w:val="0"/>
        <w:widowControl w:val="0"/>
        <w:rPr>
          <w:w w:val="99"/>
        </w:rPr>
      </w:pPr>
      <w:bookmarkStart w:id="0" w:name="_Toc241229754"/>
      <w:bookmarkStart w:id="1" w:name="_Toc241229958"/>
      <w:bookmarkStart w:id="2" w:name="_Toc242165652"/>
      <w:r w:rsidRPr="00562857">
        <w:rPr>
          <w:w w:val="99"/>
        </w:rPr>
        <w:t xml:space="preserve">Unit </w:t>
      </w:r>
      <w:r w:rsidR="005E0EFD" w:rsidRPr="00562857">
        <w:rPr>
          <w:w w:val="99"/>
        </w:rPr>
        <w:t>12</w:t>
      </w:r>
    </w:p>
    <w:p w14:paraId="1576E761" w14:textId="17CF367C" w:rsidR="00DE27BD" w:rsidRPr="00562857" w:rsidRDefault="00DE27BD" w:rsidP="00C70B5B">
      <w:pPr>
        <w:pStyle w:val="Chapitre"/>
        <w:keepNext w:val="0"/>
        <w:widowControl w:val="0"/>
        <w:rPr>
          <w:w w:val="108"/>
        </w:rPr>
      </w:pPr>
      <w:r w:rsidRPr="00562857">
        <w:rPr>
          <w:w w:val="109"/>
        </w:rPr>
        <w:t>International</w:t>
      </w:r>
      <w:r w:rsidRPr="00562857">
        <w:t xml:space="preserve"> </w:t>
      </w:r>
      <w:r w:rsidRPr="00562857">
        <w:rPr>
          <w:w w:val="106"/>
        </w:rPr>
        <w:t>cooperation</w:t>
      </w:r>
      <w:r w:rsidR="0055393C" w:rsidRPr="00562857">
        <w:rPr>
          <w:spacing w:val="15"/>
          <w:w w:val="106"/>
        </w:rPr>
        <w:tab/>
      </w:r>
      <w:r w:rsidR="0055393C" w:rsidRPr="00562857">
        <w:rPr>
          <w:spacing w:val="15"/>
          <w:w w:val="106"/>
        </w:rPr>
        <w:br/>
      </w:r>
      <w:r w:rsidRPr="00562857">
        <w:rPr>
          <w:w w:val="106"/>
        </w:rPr>
        <w:t>and</w:t>
      </w:r>
      <w:r w:rsidRPr="00562857">
        <w:t xml:space="preserve"> </w:t>
      </w:r>
      <w:r w:rsidRPr="00562857">
        <w:rPr>
          <w:w w:val="108"/>
        </w:rPr>
        <w:t>assistance</w:t>
      </w:r>
      <w:bookmarkEnd w:id="0"/>
      <w:bookmarkEnd w:id="1"/>
      <w:bookmarkEnd w:id="2"/>
    </w:p>
    <w:p w14:paraId="0D972791" w14:textId="4B22DDFD" w:rsidR="00DE27BD" w:rsidRPr="00562857" w:rsidRDefault="00DE27BD" w:rsidP="00C70192">
      <w:pPr>
        <w:pStyle w:val="Sschap"/>
      </w:pPr>
      <w:r w:rsidRPr="00562857">
        <w:t xml:space="preserve">This </w:t>
      </w:r>
      <w:r w:rsidR="00A31F35" w:rsidRPr="00562857">
        <w:t>unit</w:t>
      </w:r>
      <w:r w:rsidRPr="00562857">
        <w:t xml:space="preserve"> deals with two main </w:t>
      </w:r>
      <w:r w:rsidR="00D8346B">
        <w:t>topics</w:t>
      </w:r>
      <w:r w:rsidRPr="00562857">
        <w:t>: int</w:t>
      </w:r>
      <w:bookmarkStart w:id="3" w:name="_GoBack"/>
      <w:bookmarkEnd w:id="3"/>
      <w:r w:rsidRPr="00562857">
        <w:t xml:space="preserve">ernational cooperation </w:t>
      </w:r>
      <w:r w:rsidR="00252C1A" w:rsidRPr="00562857">
        <w:t>to safeguard intangible cultural heritage</w:t>
      </w:r>
      <w:r w:rsidR="00C70192">
        <w:t>,</w:t>
      </w:r>
      <w:r w:rsidRPr="00562857">
        <w:t xml:space="preserve"> and </w:t>
      </w:r>
      <w:r w:rsidR="003728DD">
        <w:t>International Assistance</w:t>
      </w:r>
      <w:r w:rsidRPr="00562857">
        <w:t xml:space="preserve"> </w:t>
      </w:r>
      <w:r w:rsidR="00252C1A" w:rsidRPr="00562857">
        <w:t xml:space="preserve">that can be provided </w:t>
      </w:r>
      <w:r w:rsidRPr="00562857">
        <w:t xml:space="preserve">to States Parties from the </w:t>
      </w:r>
      <w:r w:rsidR="00915125" w:rsidRPr="00562857">
        <w:t xml:space="preserve">Intangible Cultural Heritage (ICH) </w:t>
      </w:r>
      <w:r w:rsidRPr="00562857">
        <w:t xml:space="preserve">Fund. </w:t>
      </w:r>
      <w:r w:rsidR="00D8346B">
        <w:t>T</w:t>
      </w:r>
      <w:r w:rsidRPr="00562857">
        <w:t xml:space="preserve">he </w:t>
      </w:r>
      <w:r w:rsidR="00A31F35" w:rsidRPr="00562857">
        <w:t>unit</w:t>
      </w:r>
      <w:r w:rsidRPr="00562857">
        <w:t xml:space="preserve"> include</w:t>
      </w:r>
      <w:r w:rsidR="00D8346B">
        <w:t>s</w:t>
      </w:r>
      <w:r w:rsidRPr="00562857">
        <w:t>:</w:t>
      </w:r>
      <w:r w:rsidR="00EE52C8" w:rsidRPr="00562857">
        <w:t xml:space="preserve"> </w:t>
      </w:r>
    </w:p>
    <w:p w14:paraId="7AD5A968" w14:textId="3352FB5E" w:rsidR="00DE27BD" w:rsidRPr="00562857" w:rsidRDefault="00830A9C" w:rsidP="0071007C">
      <w:pPr>
        <w:pStyle w:val="Txtchap"/>
      </w:pPr>
      <w:r w:rsidRPr="00562857">
        <w:t>I</w:t>
      </w:r>
      <w:r w:rsidR="00DE27BD" w:rsidRPr="00562857">
        <w:t>nternational cooperation</w:t>
      </w:r>
    </w:p>
    <w:p w14:paraId="71D102C6" w14:textId="118210C1" w:rsidR="00DE27BD" w:rsidRPr="00562857" w:rsidRDefault="00830A9C" w:rsidP="0071007C">
      <w:pPr>
        <w:pStyle w:val="Txtchap"/>
      </w:pPr>
      <w:r w:rsidRPr="00562857">
        <w:t>S</w:t>
      </w:r>
      <w:r w:rsidR="00DE27BD" w:rsidRPr="00562857">
        <w:t>hared heritage</w:t>
      </w:r>
      <w:r w:rsidR="00252C1A" w:rsidRPr="00562857">
        <w:t xml:space="preserve"> and its safeguarding</w:t>
      </w:r>
    </w:p>
    <w:p w14:paraId="76D78D4E" w14:textId="70C78E23" w:rsidR="00DE27BD" w:rsidRPr="00562857" w:rsidRDefault="00830A9C" w:rsidP="0071007C">
      <w:pPr>
        <w:pStyle w:val="Txtchap"/>
      </w:pPr>
      <w:r w:rsidRPr="00562857">
        <w:t>T</w:t>
      </w:r>
      <w:r w:rsidR="00DE27BD" w:rsidRPr="00562857">
        <w:t>he ICH Fund</w:t>
      </w:r>
    </w:p>
    <w:p w14:paraId="4654E172" w14:textId="246E0F6A" w:rsidR="00DE27BD" w:rsidRPr="00562857" w:rsidRDefault="003728DD" w:rsidP="0071007C">
      <w:pPr>
        <w:pStyle w:val="Txtchap"/>
      </w:pPr>
      <w:r>
        <w:t>International Assistance</w:t>
      </w:r>
    </w:p>
    <w:p w14:paraId="4159B2D9" w14:textId="52D3F24A" w:rsidR="00DE27BD" w:rsidRDefault="00830A9C" w:rsidP="0071007C">
      <w:pPr>
        <w:pStyle w:val="Txtchap"/>
      </w:pPr>
      <w:r w:rsidRPr="00562857">
        <w:t>P</w:t>
      </w:r>
      <w:r w:rsidR="00DE27BD" w:rsidRPr="00562857">
        <w:t>rocedures</w:t>
      </w:r>
      <w:r w:rsidR="00D8346B">
        <w:t xml:space="preserve"> and</w:t>
      </w:r>
      <w:r w:rsidR="00DE27BD" w:rsidRPr="00562857">
        <w:t xml:space="preserve"> timetables for assistance</w:t>
      </w:r>
      <w:r w:rsidR="00D8346B">
        <w:t xml:space="preserve"> requests</w:t>
      </w:r>
    </w:p>
    <w:p w14:paraId="2E2FFCEB" w14:textId="56B3608E" w:rsidR="00D8346B" w:rsidRPr="00562857" w:rsidRDefault="00D8346B" w:rsidP="0071007C">
      <w:pPr>
        <w:pStyle w:val="Txtchap"/>
      </w:pPr>
      <w:r>
        <w:t>Evaluation criteria for assistance request</w:t>
      </w:r>
      <w:r w:rsidR="00D85538">
        <w:t>s</w:t>
      </w:r>
    </w:p>
    <w:p w14:paraId="72EB41F9" w14:textId="42F831A3" w:rsidR="00F537D1" w:rsidRPr="00562857" w:rsidRDefault="00DE27BD">
      <w:pPr>
        <w:pStyle w:val="Chapinfo"/>
      </w:pPr>
      <w:r w:rsidRPr="00562857">
        <w:t>Relevant</w:t>
      </w:r>
      <w:r w:rsidRPr="00562857">
        <w:rPr>
          <w:spacing w:val="2"/>
        </w:rPr>
        <w:t xml:space="preserve"> </w:t>
      </w:r>
      <w:r w:rsidRPr="00562857">
        <w:t>entries</w:t>
      </w:r>
      <w:r w:rsidRPr="00562857">
        <w:rPr>
          <w:spacing w:val="2"/>
        </w:rPr>
        <w:t xml:space="preserve"> </w:t>
      </w:r>
      <w:r w:rsidRPr="00562857">
        <w:t>in</w:t>
      </w:r>
      <w:r w:rsidRPr="00562857">
        <w:rPr>
          <w:spacing w:val="2"/>
        </w:rPr>
        <w:t xml:space="preserve"> </w:t>
      </w:r>
      <w:r w:rsidR="00C61BCD" w:rsidRPr="00562857">
        <w:t>Participant’s text</w:t>
      </w:r>
      <w:r w:rsidRPr="00562857">
        <w:rPr>
          <w:spacing w:val="2"/>
        </w:rPr>
        <w:t xml:space="preserve"> </w:t>
      </w:r>
      <w:r w:rsidR="00002A62" w:rsidRPr="00562857">
        <w:t>Unit 3</w:t>
      </w:r>
      <w:r w:rsidRPr="00562857">
        <w:rPr>
          <w:spacing w:val="1"/>
        </w:rPr>
        <w:t xml:space="preserve"> </w:t>
      </w:r>
      <w:r w:rsidRPr="00562857">
        <w:t>include:</w:t>
      </w:r>
      <w:r w:rsidRPr="00562857">
        <w:rPr>
          <w:spacing w:val="1"/>
        </w:rPr>
        <w:t xml:space="preserve"> </w:t>
      </w:r>
      <w:r w:rsidR="00950EBA">
        <w:rPr>
          <w:spacing w:val="1"/>
        </w:rPr>
        <w:t xml:space="preserve">‘Evaluation Body’, </w:t>
      </w:r>
      <w:r w:rsidRPr="00562857">
        <w:t>‘I</w:t>
      </w:r>
      <w:r w:rsidR="00CE3D17" w:rsidRPr="00562857">
        <w:rPr>
          <w:noProof/>
          <w:lang w:val="fr-FR" w:eastAsia="zh-TW"/>
        </w:rPr>
        <w:drawing>
          <wp:anchor distT="0" distB="0" distL="114300" distR="114300" simplePos="0" relativeHeight="251656704" behindDoc="1" locked="0" layoutInCell="1" allowOverlap="0" wp14:anchorId="15AF70DB" wp14:editId="4D350E7D">
            <wp:simplePos x="0" y="0"/>
            <wp:positionH relativeFrom="margin">
              <wp:posOffset>360045</wp:posOffset>
            </wp:positionH>
            <wp:positionV relativeFrom="margin">
              <wp:posOffset>1800225</wp:posOffset>
            </wp:positionV>
            <wp:extent cx="4870411" cy="4498145"/>
            <wp:effectExtent l="0" t="0" r="6985" b="0"/>
            <wp:wrapNone/>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562857">
        <w:t>nternational,</w:t>
      </w:r>
      <w:r w:rsidRPr="00562857">
        <w:rPr>
          <w:spacing w:val="1"/>
        </w:rPr>
        <w:t xml:space="preserve"> </w:t>
      </w:r>
      <w:r w:rsidRPr="00562857">
        <w:t xml:space="preserve">regional, </w:t>
      </w:r>
      <w:proofErr w:type="spellStart"/>
      <w:r w:rsidRPr="00562857">
        <w:t>subregional</w:t>
      </w:r>
      <w:proofErr w:type="spellEnd"/>
      <w:r w:rsidRPr="00562857">
        <w:t>,</w:t>
      </w:r>
      <w:r w:rsidRPr="00562857">
        <w:rPr>
          <w:spacing w:val="16"/>
        </w:rPr>
        <w:t xml:space="preserve"> </w:t>
      </w:r>
      <w:r w:rsidRPr="00562857">
        <w:t>local’,</w:t>
      </w:r>
      <w:r w:rsidRPr="00562857">
        <w:rPr>
          <w:spacing w:val="16"/>
        </w:rPr>
        <w:t xml:space="preserve"> </w:t>
      </w:r>
      <w:r w:rsidRPr="00562857">
        <w:t>‘</w:t>
      </w:r>
      <w:r w:rsidR="003728DD">
        <w:t>International Assistance</w:t>
      </w:r>
      <w:r w:rsidRPr="00562857">
        <w:t>’</w:t>
      </w:r>
      <w:r w:rsidRPr="00562857">
        <w:rPr>
          <w:spacing w:val="15"/>
        </w:rPr>
        <w:t xml:space="preserve"> </w:t>
      </w:r>
      <w:r w:rsidRPr="00562857">
        <w:t>and</w:t>
      </w:r>
      <w:r w:rsidRPr="00562857">
        <w:rPr>
          <w:spacing w:val="15"/>
        </w:rPr>
        <w:t xml:space="preserve"> </w:t>
      </w:r>
      <w:r w:rsidRPr="00562857">
        <w:t>‘International</w:t>
      </w:r>
      <w:r w:rsidRPr="00562857">
        <w:rPr>
          <w:spacing w:val="15"/>
        </w:rPr>
        <w:t xml:space="preserve"> </w:t>
      </w:r>
      <w:r w:rsidRPr="00562857">
        <w:t>cooperation’.</w:t>
      </w:r>
    </w:p>
    <w:p w14:paraId="2940982E" w14:textId="12AE0A91" w:rsidR="00F537D1" w:rsidRDefault="00F537D1">
      <w:pPr>
        <w:tabs>
          <w:tab w:val="clear" w:pos="567"/>
        </w:tabs>
        <w:snapToGrid/>
        <w:spacing w:line="240" w:lineRule="auto"/>
        <w:ind w:left="0"/>
        <w:jc w:val="left"/>
        <w:rPr>
          <w:lang w:val="en-GB"/>
        </w:rPr>
      </w:pPr>
      <w:r w:rsidRPr="00D730B0">
        <w:rPr>
          <w:lang w:val="en-GB"/>
        </w:rPr>
        <w:br w:type="page"/>
      </w:r>
    </w:p>
    <w:p w14:paraId="22F0A1A1" w14:textId="77777777" w:rsidR="0025131E" w:rsidRPr="0025131E" w:rsidRDefault="0025131E" w:rsidP="0025131E">
      <w:pPr>
        <w:pStyle w:val="BodyText"/>
        <w:spacing w:before="480"/>
        <w:jc w:val="left"/>
        <w:rPr>
          <w:rFonts w:ascii="Arial" w:hAnsi="Arial" w:cs="Arial"/>
          <w:sz w:val="22"/>
          <w:szCs w:val="22"/>
          <w:lang w:val="en-GB"/>
        </w:rPr>
      </w:pPr>
    </w:p>
    <w:p w14:paraId="783885E8" w14:textId="4E5148DB" w:rsidR="0025131E" w:rsidRPr="0025131E" w:rsidRDefault="0025131E" w:rsidP="0025131E">
      <w:pPr>
        <w:pStyle w:val="BodyText"/>
        <w:spacing w:before="480"/>
        <w:jc w:val="left"/>
        <w:rPr>
          <w:rFonts w:ascii="Arial" w:hAnsi="Arial" w:cs="Arial"/>
          <w:bCs/>
          <w:iCs/>
          <w:sz w:val="22"/>
          <w:szCs w:val="22"/>
          <w:lang w:val="en-GB"/>
        </w:rPr>
      </w:pPr>
      <w:r w:rsidRPr="0025131E">
        <w:rPr>
          <w:rFonts w:ascii="Arial" w:hAnsi="Arial" w:cs="Arial"/>
          <w:sz w:val="22"/>
          <w:szCs w:val="22"/>
          <w:lang w:val="en-GB"/>
        </w:rPr>
        <w:t xml:space="preserve">Published in </w:t>
      </w:r>
      <w:r w:rsidR="00AA38FD">
        <w:rPr>
          <w:rFonts w:ascii="Arial" w:hAnsi="Arial" w:cs="Arial"/>
          <w:sz w:val="22"/>
          <w:szCs w:val="22"/>
          <w:lang w:val="en-GB"/>
        </w:rPr>
        <w:t>2016</w:t>
      </w:r>
      <w:r w:rsidRPr="0025131E">
        <w:rPr>
          <w:rFonts w:ascii="Arial" w:hAnsi="Arial" w:cs="Arial"/>
          <w:sz w:val="22"/>
          <w:szCs w:val="22"/>
          <w:lang w:val="en-GB"/>
        </w:rPr>
        <w:t xml:space="preserve"> by the United Nations Educational, Scientific and Cultural Organization, </w:t>
      </w:r>
      <w:r w:rsidRPr="0025131E">
        <w:rPr>
          <w:rFonts w:ascii="Arial" w:hAnsi="Arial" w:cs="Arial"/>
          <w:bCs/>
          <w:iCs/>
          <w:sz w:val="22"/>
          <w:szCs w:val="22"/>
          <w:lang w:val="en-GB"/>
        </w:rPr>
        <w:t xml:space="preserve">7, place de </w:t>
      </w:r>
      <w:proofErr w:type="spellStart"/>
      <w:r w:rsidRPr="0025131E">
        <w:rPr>
          <w:rFonts w:ascii="Arial" w:hAnsi="Arial" w:cs="Arial"/>
          <w:bCs/>
          <w:iCs/>
          <w:sz w:val="22"/>
          <w:szCs w:val="22"/>
          <w:lang w:val="en-GB"/>
        </w:rPr>
        <w:t>Fontenoy</w:t>
      </w:r>
      <w:proofErr w:type="spellEnd"/>
      <w:r w:rsidRPr="0025131E">
        <w:rPr>
          <w:rFonts w:ascii="Arial" w:hAnsi="Arial" w:cs="Arial"/>
          <w:bCs/>
          <w:iCs/>
          <w:sz w:val="22"/>
          <w:szCs w:val="22"/>
          <w:lang w:val="en-GB"/>
        </w:rPr>
        <w:t>, 75352 Paris 07 SP, France</w:t>
      </w:r>
    </w:p>
    <w:p w14:paraId="2B76018E" w14:textId="77777777" w:rsidR="0025131E" w:rsidRPr="0025131E" w:rsidRDefault="0025131E" w:rsidP="0025131E">
      <w:pPr>
        <w:pStyle w:val="BodyText"/>
        <w:jc w:val="left"/>
        <w:rPr>
          <w:rFonts w:ascii="Arial" w:hAnsi="Arial" w:cs="Arial"/>
          <w:bCs/>
          <w:iCs/>
          <w:sz w:val="22"/>
          <w:szCs w:val="22"/>
          <w:lang w:val="en-GB"/>
        </w:rPr>
      </w:pPr>
    </w:p>
    <w:p w14:paraId="69266A31" w14:textId="7D30BDA4" w:rsidR="0025131E" w:rsidRPr="00AA38FD" w:rsidRDefault="0025131E" w:rsidP="0025131E">
      <w:pPr>
        <w:autoSpaceDE w:val="0"/>
        <w:autoSpaceDN w:val="0"/>
        <w:adjustRightInd w:val="0"/>
        <w:ind w:left="0"/>
        <w:rPr>
          <w:sz w:val="22"/>
          <w:szCs w:val="22"/>
          <w:lang w:val="en-US"/>
        </w:rPr>
      </w:pPr>
      <w:r w:rsidRPr="0025131E">
        <w:rPr>
          <w:sz w:val="22"/>
          <w:szCs w:val="22"/>
          <w:lang w:val="en-GB"/>
        </w:rPr>
        <w:t xml:space="preserve">© UNESCO </w:t>
      </w:r>
      <w:r w:rsidR="00AA38FD">
        <w:rPr>
          <w:sz w:val="22"/>
          <w:szCs w:val="22"/>
          <w:lang w:val="en-GB"/>
        </w:rPr>
        <w:t>2016</w:t>
      </w:r>
    </w:p>
    <w:p w14:paraId="76739AF9" w14:textId="0D6CD33E" w:rsidR="0025131E" w:rsidRPr="0025131E" w:rsidRDefault="0025131E" w:rsidP="0025131E">
      <w:pPr>
        <w:autoSpaceDE w:val="0"/>
        <w:autoSpaceDN w:val="0"/>
        <w:adjustRightInd w:val="0"/>
        <w:ind w:left="0"/>
        <w:rPr>
          <w:sz w:val="22"/>
          <w:szCs w:val="22"/>
          <w:lang w:val="en-GB"/>
        </w:rPr>
      </w:pPr>
      <w:r w:rsidRPr="0025131E">
        <w:rPr>
          <w:noProof/>
          <w:sz w:val="22"/>
          <w:szCs w:val="22"/>
          <w:lang w:eastAsia="zh-TW"/>
        </w:rPr>
        <w:drawing>
          <wp:anchor distT="0" distB="0" distL="114300" distR="114300" simplePos="0" relativeHeight="251658240" behindDoc="0" locked="0" layoutInCell="1" allowOverlap="1" wp14:anchorId="1C0196E9" wp14:editId="5F48F85C">
            <wp:simplePos x="0" y="0"/>
            <wp:positionH relativeFrom="column">
              <wp:posOffset>-635</wp:posOffset>
            </wp:positionH>
            <wp:positionV relativeFrom="paragraph">
              <wp:posOffset>422275</wp:posOffset>
            </wp:positionV>
            <wp:extent cx="756285" cy="265430"/>
            <wp:effectExtent l="0" t="0" r="5715"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4C0D44FC" w14:textId="77777777" w:rsidR="0025131E" w:rsidRPr="0025131E" w:rsidRDefault="0025131E" w:rsidP="0025131E">
      <w:pPr>
        <w:spacing w:before="240"/>
        <w:ind w:left="0"/>
        <w:rPr>
          <w:sz w:val="22"/>
          <w:szCs w:val="22"/>
          <w:lang w:val="en-US"/>
        </w:rPr>
      </w:pPr>
      <w:r w:rsidRPr="0025131E">
        <w:rPr>
          <w:sz w:val="22"/>
          <w:szCs w:val="22"/>
          <w:lang w:val="en-US"/>
        </w:rPr>
        <w:t>This publication is available in Open Access under the Attribution-</w:t>
      </w:r>
      <w:proofErr w:type="spellStart"/>
      <w:r w:rsidRPr="0025131E">
        <w:rPr>
          <w:sz w:val="22"/>
          <w:szCs w:val="22"/>
          <w:lang w:val="en-US"/>
        </w:rPr>
        <w:t>ShareAlike</w:t>
      </w:r>
      <w:proofErr w:type="spellEnd"/>
      <w:r w:rsidRPr="0025131E">
        <w:rPr>
          <w:sz w:val="22"/>
          <w:szCs w:val="22"/>
          <w:lang w:val="en-US"/>
        </w:rPr>
        <w:t xml:space="preserve"> 3.0 IGO (CC-BY-SA 3.0 IGO) license (</w:t>
      </w:r>
      <w:r w:rsidR="00AA38FD">
        <w:fldChar w:fldCharType="begin"/>
      </w:r>
      <w:r w:rsidR="00AA38FD" w:rsidRPr="00AA38FD">
        <w:rPr>
          <w:lang w:val="en-US"/>
        </w:rPr>
        <w:instrText xml:space="preserve"> HYPERLINK "http://creativecommons.org/licenses/by-sa/3.0/igo/" </w:instrText>
      </w:r>
      <w:r w:rsidR="00AA38FD">
        <w:fldChar w:fldCharType="separate"/>
      </w:r>
      <w:r w:rsidRPr="0025131E">
        <w:rPr>
          <w:rFonts w:eastAsiaTheme="minorHAnsi"/>
          <w:color w:val="0000FF"/>
          <w:sz w:val="22"/>
          <w:szCs w:val="22"/>
          <w:u w:val="single" w:color="0000FF"/>
          <w:lang w:val="en-GB" w:eastAsia="en-US"/>
        </w:rPr>
        <w:t>http://creativecommons.org/licenses/by-sa/3.0/igo/</w:t>
      </w:r>
      <w:r w:rsidR="00AA38FD">
        <w:rPr>
          <w:rFonts w:eastAsiaTheme="minorHAnsi"/>
          <w:color w:val="0000FF"/>
          <w:sz w:val="22"/>
          <w:szCs w:val="22"/>
          <w:u w:val="single" w:color="0000FF"/>
          <w:lang w:val="en-GB" w:eastAsia="en-US"/>
        </w:rPr>
        <w:fldChar w:fldCharType="end"/>
      </w:r>
      <w:r w:rsidRPr="0025131E">
        <w:rPr>
          <w:sz w:val="22"/>
          <w:szCs w:val="22"/>
          <w:lang w:val="en-US"/>
        </w:rPr>
        <w:t>). By using the content of this publication, the users accept to be bound by the terms of use of the UNESCO Open Access Repository (</w:t>
      </w:r>
      <w:r w:rsidR="00AA38FD">
        <w:fldChar w:fldCharType="begin"/>
      </w:r>
      <w:r w:rsidR="00AA38FD" w:rsidRPr="00AA38FD">
        <w:rPr>
          <w:lang w:val="en-US"/>
        </w:rPr>
        <w:instrText xml:space="preserve"> HYPERLINK "http://www.unesco.org/open-access/terms-use-ccbysa-en" </w:instrText>
      </w:r>
      <w:r w:rsidR="00AA38FD">
        <w:fldChar w:fldCharType="separate"/>
      </w:r>
      <w:r w:rsidRPr="0025131E">
        <w:rPr>
          <w:rStyle w:val="Hyperlink"/>
          <w:sz w:val="22"/>
          <w:szCs w:val="22"/>
          <w:lang w:val="en-US"/>
        </w:rPr>
        <w:t>http://www.unesco.org/open-access/terms-use-ccbysa-en</w:t>
      </w:r>
      <w:r w:rsidR="00AA38FD">
        <w:rPr>
          <w:rStyle w:val="Hyperlink"/>
          <w:sz w:val="22"/>
          <w:szCs w:val="22"/>
          <w:lang w:val="en-US"/>
        </w:rPr>
        <w:fldChar w:fldCharType="end"/>
      </w:r>
      <w:r w:rsidRPr="0025131E">
        <w:rPr>
          <w:sz w:val="22"/>
          <w:szCs w:val="22"/>
          <w:lang w:val="en-US"/>
        </w:rPr>
        <w:t>).</w:t>
      </w:r>
    </w:p>
    <w:p w14:paraId="341C5223" w14:textId="77777777" w:rsidR="0025131E" w:rsidRPr="0025131E" w:rsidRDefault="0025131E" w:rsidP="0025131E">
      <w:pPr>
        <w:snapToGrid/>
        <w:ind w:left="0"/>
        <w:jc w:val="left"/>
        <w:rPr>
          <w:bCs/>
          <w:iCs/>
          <w:sz w:val="22"/>
          <w:szCs w:val="22"/>
          <w:lang w:val="en-GB" w:eastAsia="pt-BR"/>
        </w:rPr>
      </w:pPr>
      <w:r w:rsidRPr="0025131E">
        <w:rPr>
          <w:bCs/>
          <w:iCs/>
          <w:sz w:val="22"/>
          <w:szCs w:val="22"/>
          <w:lang w:val="en-GB"/>
        </w:rPr>
        <w:t>The images of this publication do not fall under the CC-BY-SA licence and may not be used, reproduced, or commercialized without the prior permission of the copyright holders.</w:t>
      </w:r>
    </w:p>
    <w:p w14:paraId="3D87D358" w14:textId="77777777" w:rsidR="0025131E" w:rsidRPr="0025131E" w:rsidRDefault="0025131E" w:rsidP="0025131E">
      <w:pPr>
        <w:pStyle w:val="BodyText"/>
        <w:jc w:val="left"/>
        <w:rPr>
          <w:rFonts w:ascii="Arial" w:hAnsi="Arial" w:cs="Arial"/>
          <w:bCs/>
          <w:iCs/>
          <w:sz w:val="22"/>
          <w:szCs w:val="22"/>
          <w:lang w:val="en-GB"/>
        </w:rPr>
      </w:pPr>
    </w:p>
    <w:p w14:paraId="1EC3AD83" w14:textId="77777777" w:rsidR="0025131E" w:rsidRPr="0025131E" w:rsidRDefault="0025131E" w:rsidP="0025131E">
      <w:pPr>
        <w:ind w:left="0"/>
        <w:rPr>
          <w:bCs/>
          <w:iCs/>
          <w:sz w:val="22"/>
          <w:szCs w:val="22"/>
          <w:lang w:val="en-GB"/>
        </w:rPr>
      </w:pPr>
      <w:r w:rsidRPr="0025131E">
        <w:rPr>
          <w:bCs/>
          <w:iCs/>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3E44C8F" w14:textId="77777777" w:rsidR="0025131E" w:rsidRPr="0025131E" w:rsidRDefault="0025131E" w:rsidP="0025131E">
      <w:pPr>
        <w:pStyle w:val="BodyText"/>
        <w:jc w:val="left"/>
        <w:rPr>
          <w:rFonts w:ascii="Arial" w:hAnsi="Arial" w:cs="Arial"/>
          <w:bCs/>
          <w:iCs/>
          <w:sz w:val="22"/>
          <w:szCs w:val="22"/>
          <w:lang w:val="en-GB"/>
        </w:rPr>
      </w:pPr>
    </w:p>
    <w:p w14:paraId="7859FF35" w14:textId="77777777" w:rsidR="0025131E" w:rsidRPr="0025131E" w:rsidRDefault="0025131E" w:rsidP="0025131E">
      <w:pPr>
        <w:pStyle w:val="BodyText"/>
        <w:jc w:val="left"/>
        <w:rPr>
          <w:rFonts w:ascii="Arial" w:hAnsi="Arial" w:cs="Arial"/>
          <w:bCs/>
          <w:iCs/>
          <w:sz w:val="22"/>
          <w:szCs w:val="22"/>
          <w:lang w:val="en-GB"/>
        </w:rPr>
      </w:pPr>
      <w:r w:rsidRPr="0025131E">
        <w:rPr>
          <w:rFonts w:ascii="Arial" w:hAnsi="Arial" w:cs="Arial"/>
          <w:bCs/>
          <w:iCs/>
          <w:sz w:val="22"/>
          <w:szCs w:val="22"/>
          <w:lang w:val="en-GB"/>
        </w:rPr>
        <w:t>The ideas and opinions expressed in this publication are those of the authors; they are not necessarily those of UNESCO and do not commit the Organization.</w:t>
      </w:r>
    </w:p>
    <w:p w14:paraId="5F7074AA" w14:textId="549175AA" w:rsidR="0025131E" w:rsidRPr="0025131E" w:rsidRDefault="0025131E" w:rsidP="0025131E">
      <w:pPr>
        <w:tabs>
          <w:tab w:val="clear" w:pos="567"/>
        </w:tabs>
        <w:snapToGrid/>
        <w:spacing w:after="160" w:line="259" w:lineRule="auto"/>
        <w:jc w:val="left"/>
        <w:rPr>
          <w:rFonts w:eastAsia="Times New Roman"/>
          <w:b/>
          <w:bCs/>
          <w:caps/>
          <w:noProof/>
          <w:color w:val="3366FF"/>
          <w:kern w:val="28"/>
          <w:sz w:val="48"/>
          <w:szCs w:val="48"/>
          <w:lang w:val="en-US"/>
        </w:rPr>
      </w:pPr>
      <w:r w:rsidRPr="0025131E">
        <w:rPr>
          <w:b/>
          <w:caps/>
          <w:lang w:val="en-US"/>
        </w:rPr>
        <w:br w:type="page"/>
      </w:r>
    </w:p>
    <w:p w14:paraId="0B1C2F4A" w14:textId="61789125" w:rsidR="00DE27BD" w:rsidRPr="00562857" w:rsidRDefault="005E0EFD" w:rsidP="00C824DE">
      <w:pPr>
        <w:pStyle w:val="Titcoul"/>
        <w:spacing w:before="0"/>
        <w:rPr>
          <w:spacing w:val="12"/>
          <w:lang w:val="en-GB"/>
        </w:rPr>
      </w:pPr>
      <w:bookmarkStart w:id="4" w:name="_Toc241229755"/>
      <w:bookmarkStart w:id="5" w:name="_Toc241229959"/>
      <w:bookmarkStart w:id="6" w:name="_Toc242165653"/>
      <w:r w:rsidRPr="00562857">
        <w:rPr>
          <w:w w:val="107"/>
          <w:lang w:val="en-GB"/>
        </w:rPr>
        <w:lastRenderedPageBreak/>
        <w:t>12</w:t>
      </w:r>
      <w:r w:rsidR="00DE27BD" w:rsidRPr="00562857">
        <w:rPr>
          <w:w w:val="107"/>
          <w:lang w:val="en-GB"/>
        </w:rPr>
        <w:t>.1</w:t>
      </w:r>
      <w:r w:rsidR="0055393C" w:rsidRPr="00562857">
        <w:rPr>
          <w:w w:val="107"/>
          <w:lang w:val="en-GB"/>
        </w:rPr>
        <w:tab/>
      </w:r>
      <w:r w:rsidR="00DE27BD" w:rsidRPr="00562857">
        <w:rPr>
          <w:lang w:val="en-GB"/>
        </w:rPr>
        <w:t>INTERNATION</w:t>
      </w:r>
      <w:r w:rsidR="00DE27BD" w:rsidRPr="00562857">
        <w:rPr>
          <w:spacing w:val="3"/>
          <w:w w:val="107"/>
          <w:lang w:val="en-GB"/>
        </w:rPr>
        <w:t>A</w:t>
      </w:r>
      <w:r w:rsidR="00DE27BD" w:rsidRPr="00562857">
        <w:rPr>
          <w:spacing w:val="1"/>
          <w:w w:val="107"/>
          <w:lang w:val="en-GB"/>
        </w:rPr>
        <w:t>L</w:t>
      </w:r>
      <w:r w:rsidR="00DE27BD" w:rsidRPr="00562857">
        <w:rPr>
          <w:spacing w:val="12"/>
          <w:w w:val="107"/>
          <w:lang w:val="en-GB"/>
        </w:rPr>
        <w:t xml:space="preserve"> </w:t>
      </w:r>
      <w:r w:rsidR="00DE27BD" w:rsidRPr="00562857">
        <w:rPr>
          <w:lang w:val="en-GB"/>
        </w:rPr>
        <w:t>C</w:t>
      </w:r>
      <w:r w:rsidR="00DE27BD" w:rsidRPr="00562857">
        <w:rPr>
          <w:spacing w:val="3"/>
          <w:w w:val="107"/>
          <w:lang w:val="en-GB"/>
        </w:rPr>
        <w:t>OOPE</w:t>
      </w:r>
      <w:r w:rsidR="00DE27BD" w:rsidRPr="00562857">
        <w:rPr>
          <w:spacing w:val="4"/>
          <w:w w:val="107"/>
          <w:lang w:val="en-GB"/>
        </w:rPr>
        <w:t>R</w:t>
      </w:r>
      <w:r w:rsidR="00DE27BD" w:rsidRPr="00562857">
        <w:rPr>
          <w:lang w:val="en-GB"/>
        </w:rPr>
        <w:t>A</w:t>
      </w:r>
      <w:r w:rsidR="00DE27BD" w:rsidRPr="00562857">
        <w:rPr>
          <w:spacing w:val="3"/>
          <w:w w:val="107"/>
          <w:lang w:val="en-GB"/>
        </w:rPr>
        <w:t>TIO</w:t>
      </w:r>
      <w:r w:rsidR="00DE27BD" w:rsidRPr="00562857">
        <w:rPr>
          <w:lang w:val="en-GB"/>
        </w:rPr>
        <w:t>N</w:t>
      </w:r>
      <w:bookmarkEnd w:id="4"/>
      <w:bookmarkEnd w:id="5"/>
      <w:bookmarkEnd w:id="6"/>
    </w:p>
    <w:p w14:paraId="16C21F3D" w14:textId="2105F2E2" w:rsidR="00DE27BD" w:rsidRPr="00562857" w:rsidRDefault="00252C1A" w:rsidP="00252C1A">
      <w:pPr>
        <w:pStyle w:val="Texte1"/>
      </w:pPr>
      <w:r w:rsidRPr="00562857">
        <w:t>The Preamble to the Convention for the Safeguarding of the Intangible Cultural Heritage</w:t>
      </w:r>
      <w:r w:rsidRPr="00562857">
        <w:rPr>
          <w:rStyle w:val="FootnoteReference"/>
          <w:sz w:val="24"/>
          <w:szCs w:val="24"/>
        </w:rPr>
        <w:footnoteReference w:id="2"/>
      </w:r>
      <w:r w:rsidRPr="00562857">
        <w:t xml:space="preserve"> considers that</w:t>
      </w:r>
      <w:r w:rsidR="001C6E5F">
        <w:t xml:space="preserve"> there exists</w:t>
      </w:r>
      <w:r w:rsidR="00DF310F" w:rsidRPr="00562857">
        <w:t xml:space="preserve"> </w:t>
      </w:r>
      <w:r w:rsidR="00E11F88" w:rsidRPr="00562857">
        <w:t>‘</w:t>
      </w:r>
      <w:r w:rsidR="001C6E5F">
        <w:t xml:space="preserve">the </w:t>
      </w:r>
      <w:r w:rsidR="00E11F88" w:rsidRPr="00562857">
        <w:t>universal will and the common concern to safeguard the intangible cultural heritage of humanity’</w:t>
      </w:r>
      <w:r w:rsidR="002E0427">
        <w:t xml:space="preserve">. </w:t>
      </w:r>
      <w:r w:rsidR="00607CC8">
        <w:t>Consequently</w:t>
      </w:r>
      <w:r w:rsidR="002E0427">
        <w:t xml:space="preserve">, the </w:t>
      </w:r>
      <w:r w:rsidR="00D85538">
        <w:t xml:space="preserve">Preamble </w:t>
      </w:r>
      <w:r w:rsidR="002E0427">
        <w:t>continues</w:t>
      </w:r>
      <w:r w:rsidR="000408B6">
        <w:t>,</w:t>
      </w:r>
      <w:r w:rsidRPr="00562857">
        <w:t xml:space="preserve"> ‘the international community should contribute, together with the States Parties to this Convention, to the safeguarding of such heritage in a spirit of cooperation and mutual assistance’</w:t>
      </w:r>
      <w:r w:rsidR="00E11F88" w:rsidRPr="00562857">
        <w:t xml:space="preserve">. </w:t>
      </w:r>
      <w:r w:rsidR="000058DA">
        <w:t>O</w:t>
      </w:r>
      <w:r w:rsidRPr="00562857">
        <w:t>ne of the four purposes of the Convention</w:t>
      </w:r>
      <w:r w:rsidR="00DF310F" w:rsidRPr="00562857">
        <w:t xml:space="preserve"> set out</w:t>
      </w:r>
      <w:r w:rsidRPr="00562857">
        <w:t xml:space="preserve"> </w:t>
      </w:r>
      <w:r w:rsidR="00DE27BD" w:rsidRPr="00562857">
        <w:t xml:space="preserve">in </w:t>
      </w:r>
      <w:r w:rsidR="00DD01F3" w:rsidRPr="00562857">
        <w:t>Article </w:t>
      </w:r>
      <w:r w:rsidR="00DE27BD" w:rsidRPr="00562857">
        <w:t>1 is ‘to provide for international cooperation and assistance’. Chapter V of the Convention, Articles 19</w:t>
      </w:r>
      <w:r w:rsidRPr="00562857">
        <w:t>-</w:t>
      </w:r>
      <w:r w:rsidR="00DE27BD" w:rsidRPr="00562857">
        <w:t xml:space="preserve">24, </w:t>
      </w:r>
      <w:r w:rsidRPr="00562857">
        <w:t>is devoted to such</w:t>
      </w:r>
      <w:r w:rsidR="00DE27BD" w:rsidRPr="00562857">
        <w:t xml:space="preserve"> international cooperation and assistance.</w:t>
      </w:r>
    </w:p>
    <w:p w14:paraId="303528F3" w14:textId="2A8D2A5E" w:rsidR="00DE27BD" w:rsidRPr="00562857" w:rsidRDefault="00DE27BD" w:rsidP="00A853D3">
      <w:pPr>
        <w:pStyle w:val="Heading4"/>
        <w:rPr>
          <w:lang w:val="en-GB"/>
        </w:rPr>
      </w:pPr>
      <w:r w:rsidRPr="00562857">
        <w:rPr>
          <w:lang w:val="en-GB"/>
        </w:rPr>
        <w:t>What does i</w:t>
      </w:r>
      <w:r w:rsidRPr="00562857">
        <w:rPr>
          <w:spacing w:val="-1"/>
          <w:w w:val="107"/>
          <w:lang w:val="en-GB"/>
        </w:rPr>
        <w:t>n</w:t>
      </w:r>
      <w:r w:rsidRPr="00562857">
        <w:rPr>
          <w:lang w:val="en-GB"/>
        </w:rPr>
        <w:t>tern</w:t>
      </w:r>
      <w:r w:rsidRPr="00562857">
        <w:rPr>
          <w:spacing w:val="-1"/>
          <w:w w:val="107"/>
          <w:lang w:val="en-GB"/>
        </w:rPr>
        <w:t>a</w:t>
      </w:r>
      <w:r w:rsidRPr="00562857">
        <w:rPr>
          <w:lang w:val="en-GB"/>
        </w:rPr>
        <w:t>tional</w:t>
      </w:r>
      <w:r w:rsidRPr="00562857">
        <w:rPr>
          <w:spacing w:val="-1"/>
          <w:w w:val="107"/>
          <w:lang w:val="en-GB"/>
        </w:rPr>
        <w:t xml:space="preserve"> c</w:t>
      </w:r>
      <w:r w:rsidRPr="00562857">
        <w:rPr>
          <w:lang w:val="en-GB"/>
        </w:rPr>
        <w:t>oope</w:t>
      </w:r>
      <w:r w:rsidRPr="00562857">
        <w:rPr>
          <w:spacing w:val="-1"/>
          <w:w w:val="107"/>
          <w:lang w:val="en-GB"/>
        </w:rPr>
        <w:t>ra</w:t>
      </w:r>
      <w:r w:rsidRPr="00562857">
        <w:rPr>
          <w:lang w:val="en-GB"/>
        </w:rPr>
        <w:t>tion</w:t>
      </w:r>
      <w:r w:rsidRPr="00562857">
        <w:rPr>
          <w:spacing w:val="-1"/>
          <w:w w:val="107"/>
          <w:lang w:val="en-GB"/>
        </w:rPr>
        <w:t xml:space="preserve"> </w:t>
      </w:r>
      <w:r w:rsidRPr="00562857">
        <w:rPr>
          <w:lang w:val="en-GB"/>
        </w:rPr>
        <w:t>i</w:t>
      </w:r>
      <w:r w:rsidRPr="00562857">
        <w:rPr>
          <w:spacing w:val="-4"/>
          <w:w w:val="107"/>
          <w:lang w:val="en-GB"/>
        </w:rPr>
        <w:t>n</w:t>
      </w:r>
      <w:r w:rsidRPr="00562857">
        <w:rPr>
          <w:spacing w:val="-2"/>
          <w:w w:val="107"/>
          <w:lang w:val="en-GB"/>
        </w:rPr>
        <w:t>v</w:t>
      </w:r>
      <w:r w:rsidRPr="00562857">
        <w:rPr>
          <w:lang w:val="en-GB"/>
        </w:rPr>
        <w:t>ol</w:t>
      </w:r>
      <w:r w:rsidRPr="00562857">
        <w:rPr>
          <w:spacing w:val="-3"/>
          <w:w w:val="107"/>
          <w:lang w:val="en-GB"/>
        </w:rPr>
        <w:t>v</w:t>
      </w:r>
      <w:r w:rsidRPr="00562857">
        <w:rPr>
          <w:lang w:val="en-GB"/>
        </w:rPr>
        <w:t>e?</w:t>
      </w:r>
    </w:p>
    <w:p w14:paraId="2AEF803B" w14:textId="7F8842B8" w:rsidR="006E411D" w:rsidRPr="00562857" w:rsidRDefault="00252C1A" w:rsidP="002D5639">
      <w:pPr>
        <w:pStyle w:val="Texte1"/>
      </w:pPr>
      <w:r w:rsidRPr="00562857">
        <w:t>The Convention</w:t>
      </w:r>
      <w:r w:rsidR="00E11F88" w:rsidRPr="00562857">
        <w:t xml:space="preserve">’s drafters rejected the notion that intangible cultural heritage is the common property of all humankind, emphasizing instead that it </w:t>
      </w:r>
      <w:r w:rsidR="00634AEC" w:rsidRPr="00562857">
        <w:t xml:space="preserve">belongs to </w:t>
      </w:r>
      <w:r w:rsidR="00E11F88" w:rsidRPr="00562857">
        <w:t>specific communities, groups and, in some cases, individuals. B</w:t>
      </w:r>
      <w:r w:rsidR="00DF310F" w:rsidRPr="00562857">
        <w:t>ut</w:t>
      </w:r>
      <w:r w:rsidR="00607CC8">
        <w:t>;</w:t>
      </w:r>
      <w:r w:rsidR="00DF310F" w:rsidRPr="00562857">
        <w:t xml:space="preserve"> b</w:t>
      </w:r>
      <w:r w:rsidR="00E11F88" w:rsidRPr="00562857">
        <w:t xml:space="preserve">y no means does this suggest that people should be interested only in their own heritage and not in that of others. Rather, </w:t>
      </w:r>
      <w:r w:rsidR="000408B6">
        <w:t>when</w:t>
      </w:r>
      <w:r w:rsidR="00E11F88" w:rsidRPr="00562857">
        <w:t xml:space="preserve"> States Parties ratify the Convention</w:t>
      </w:r>
      <w:r w:rsidR="000408B6">
        <w:t xml:space="preserve"> they</w:t>
      </w:r>
      <w:r w:rsidR="00E11F88" w:rsidRPr="00562857">
        <w:t xml:space="preserve"> </w:t>
      </w:r>
      <w:r w:rsidRPr="00562857">
        <w:t xml:space="preserve">‘recognize that the safeguarding of intangible cultural heritage is of general interest to humanity, and to that end undertake to cooperate at the bilateral, </w:t>
      </w:r>
      <w:proofErr w:type="spellStart"/>
      <w:r w:rsidRPr="00562857">
        <w:t>subregional</w:t>
      </w:r>
      <w:proofErr w:type="spellEnd"/>
      <w:r w:rsidRPr="00562857">
        <w:t>, regional and international levels’ (Article 19.2).</w:t>
      </w:r>
    </w:p>
    <w:p w14:paraId="612F8A39" w14:textId="6207AA74" w:rsidR="00252C1A" w:rsidRPr="00562857" w:rsidRDefault="00DF310F" w:rsidP="002D5639">
      <w:pPr>
        <w:pStyle w:val="Texte1"/>
      </w:pPr>
      <w:r w:rsidRPr="00562857">
        <w:t>As an international treaty among States that agree to act together for a common purpose, the Convention itself is the first example of such cooperation</w:t>
      </w:r>
      <w:r w:rsidR="00D8346B">
        <w:t>. W</w:t>
      </w:r>
      <w:r w:rsidRPr="00562857">
        <w:t>ithout shared effort</w:t>
      </w:r>
      <w:r w:rsidR="009E47A7">
        <w:t>s</w:t>
      </w:r>
      <w:r w:rsidR="00634AEC" w:rsidRPr="00562857">
        <w:t xml:space="preserve"> and </w:t>
      </w:r>
      <w:r w:rsidR="006E411D" w:rsidRPr="00562857">
        <w:t>joint</w:t>
      </w:r>
      <w:r w:rsidR="00634AEC" w:rsidRPr="00562857">
        <w:t xml:space="preserve"> action</w:t>
      </w:r>
      <w:r w:rsidR="009E47A7">
        <w:t>s</w:t>
      </w:r>
      <w:r w:rsidRPr="00562857">
        <w:t xml:space="preserve">, the Convention would simply </w:t>
      </w:r>
      <w:r w:rsidR="00634AEC" w:rsidRPr="00562857">
        <w:t xml:space="preserve">be a collection of </w:t>
      </w:r>
      <w:r w:rsidR="00B117FE">
        <w:t>inspiring</w:t>
      </w:r>
      <w:r w:rsidR="00634AEC" w:rsidRPr="00562857">
        <w:t xml:space="preserve"> declarations and obligations for its States Parties. Indeed, international cooperation underlies the Convention’s </w:t>
      </w:r>
      <w:r w:rsidR="00E70B89">
        <w:t>own</w:t>
      </w:r>
      <w:r w:rsidR="00634AEC" w:rsidRPr="00562857">
        <w:t xml:space="preserve"> governance (Chapter II, Articles 4-10) and its international safeguarding mechanisms (Chapter IV, Articles 16-18).</w:t>
      </w:r>
    </w:p>
    <w:p w14:paraId="0270B831" w14:textId="76FCC7B5" w:rsidR="00DE27BD" w:rsidRPr="00562857" w:rsidRDefault="00634AEC" w:rsidP="002D5639">
      <w:pPr>
        <w:pStyle w:val="Texte1"/>
      </w:pPr>
      <w:r w:rsidRPr="00562857">
        <w:t xml:space="preserve">The drafters also knew that another very tangible form that international cooperation could take would be a system to provide assistance – including financial assistance – to States Parties to support their own safeguarding efforts. Chapter V (Articles 19-24) is devoted to such cooperation. </w:t>
      </w:r>
      <w:r w:rsidR="00DD01F3" w:rsidRPr="00D730B0">
        <w:t>Article </w:t>
      </w:r>
      <w:r w:rsidR="00DE27BD" w:rsidRPr="00D730B0">
        <w:t>19.1</w:t>
      </w:r>
      <w:r w:rsidR="00DE27BD" w:rsidRPr="00562857">
        <w:t xml:space="preserve"> </w:t>
      </w:r>
      <w:r w:rsidRPr="00562857">
        <w:t xml:space="preserve">provides a definition, like those in Article 2, to explain </w:t>
      </w:r>
      <w:r w:rsidR="00DE27BD" w:rsidRPr="00562857">
        <w:t>what is unders</w:t>
      </w:r>
      <w:r w:rsidR="00DE27BD" w:rsidRPr="00562857">
        <w:rPr>
          <w:spacing w:val="-1"/>
        </w:rPr>
        <w:t>t</w:t>
      </w:r>
      <w:r w:rsidR="00DE27BD" w:rsidRPr="00562857">
        <w:t xml:space="preserve">ood </w:t>
      </w:r>
      <w:r w:rsidR="00DE27BD" w:rsidRPr="00562857">
        <w:rPr>
          <w:spacing w:val="-1"/>
        </w:rPr>
        <w:t>b</w:t>
      </w:r>
      <w:r w:rsidR="00DE27BD" w:rsidRPr="00562857">
        <w:t>y</w:t>
      </w:r>
      <w:r w:rsidR="00DE27BD" w:rsidRPr="00562857">
        <w:rPr>
          <w:spacing w:val="-17"/>
        </w:rPr>
        <w:t xml:space="preserve"> </w:t>
      </w:r>
      <w:r w:rsidR="00DE27BD" w:rsidRPr="00562857">
        <w:rPr>
          <w:spacing w:val="-4"/>
        </w:rPr>
        <w:t>‘</w:t>
      </w:r>
      <w:r w:rsidR="00DE27BD" w:rsidRPr="00562857">
        <w:t>in</w:t>
      </w:r>
      <w:r w:rsidR="00DE27BD" w:rsidRPr="00562857">
        <w:rPr>
          <w:spacing w:val="-1"/>
        </w:rPr>
        <w:t>t</w:t>
      </w:r>
      <w:r w:rsidR="00DE27BD" w:rsidRPr="00562857">
        <w:t xml:space="preserve">ernational </w:t>
      </w:r>
      <w:r w:rsidR="00DE27BD" w:rsidRPr="00562857">
        <w:rPr>
          <w:spacing w:val="-1"/>
        </w:rPr>
        <w:t>c</w:t>
      </w:r>
      <w:r w:rsidR="00DE27BD" w:rsidRPr="00562857">
        <w:t>oope</w:t>
      </w:r>
      <w:r w:rsidR="00DE27BD" w:rsidRPr="00562857">
        <w:rPr>
          <w:spacing w:val="-1"/>
        </w:rPr>
        <w:t>ra</w:t>
      </w:r>
      <w:r w:rsidR="00DE27BD" w:rsidRPr="00562857">
        <w:t>tio</w:t>
      </w:r>
      <w:r w:rsidR="00DE27BD" w:rsidRPr="00562857">
        <w:rPr>
          <w:spacing w:val="-8"/>
        </w:rPr>
        <w:t>n</w:t>
      </w:r>
      <w:r w:rsidR="00DE27BD" w:rsidRPr="00562857">
        <w:t>’:</w:t>
      </w:r>
    </w:p>
    <w:p w14:paraId="3956CEF9" w14:textId="77777777" w:rsidR="00DE27BD" w:rsidRPr="00562857" w:rsidRDefault="00657CCC" w:rsidP="002D5639">
      <w:pPr>
        <w:pStyle w:val="citation"/>
        <w:rPr>
          <w:position w:val="2"/>
        </w:rPr>
      </w:pPr>
      <w:r w:rsidRPr="00562857">
        <w:t xml:space="preserve">For the purpose of this Convention, international cooperation includes, </w:t>
      </w:r>
      <w:r w:rsidRPr="00562857">
        <w:rPr>
          <w:i/>
        </w:rPr>
        <w:t>inter alia,</w:t>
      </w:r>
      <w:r w:rsidRPr="00562857">
        <w:t xml:space="preserve"> </w:t>
      </w:r>
      <w:r w:rsidR="00DE27BD" w:rsidRPr="00562857">
        <w:t>the</w:t>
      </w:r>
      <w:r w:rsidR="00DE27BD" w:rsidRPr="00562857">
        <w:rPr>
          <w:spacing w:val="18"/>
        </w:rPr>
        <w:t xml:space="preserve"> </w:t>
      </w:r>
      <w:r w:rsidR="00DE27BD" w:rsidRPr="00562857">
        <w:t>exchange</w:t>
      </w:r>
      <w:r w:rsidR="00DE27BD" w:rsidRPr="00562857">
        <w:rPr>
          <w:spacing w:val="18"/>
        </w:rPr>
        <w:t xml:space="preserve"> </w:t>
      </w:r>
      <w:r w:rsidR="00DE27BD" w:rsidRPr="00562857">
        <w:t>of</w:t>
      </w:r>
      <w:r w:rsidR="00DE27BD" w:rsidRPr="00562857">
        <w:rPr>
          <w:spacing w:val="17"/>
        </w:rPr>
        <w:t xml:space="preserve"> </w:t>
      </w:r>
      <w:r w:rsidR="00DE27BD" w:rsidRPr="00562857">
        <w:t>info</w:t>
      </w:r>
      <w:r w:rsidR="00DE27BD" w:rsidRPr="00562857">
        <w:rPr>
          <w:spacing w:val="2"/>
        </w:rPr>
        <w:t>r</w:t>
      </w:r>
      <w:r w:rsidR="00DE27BD" w:rsidRPr="00562857">
        <w:t>mation</w:t>
      </w:r>
      <w:r w:rsidR="00DE27BD" w:rsidRPr="00562857">
        <w:rPr>
          <w:spacing w:val="17"/>
        </w:rPr>
        <w:t xml:space="preserve"> </w:t>
      </w:r>
      <w:r w:rsidR="00DE27BD" w:rsidRPr="00562857">
        <w:t>and</w:t>
      </w:r>
      <w:r w:rsidR="00DE27BD" w:rsidRPr="00562857">
        <w:rPr>
          <w:spacing w:val="17"/>
        </w:rPr>
        <w:t xml:space="preserve"> </w:t>
      </w:r>
      <w:r w:rsidR="00DE27BD" w:rsidRPr="00562857">
        <w:t>expe</w:t>
      </w:r>
      <w:r w:rsidR="00DE27BD" w:rsidRPr="00562857">
        <w:rPr>
          <w:spacing w:val="2"/>
        </w:rPr>
        <w:t>r</w:t>
      </w:r>
      <w:r w:rsidR="00DE27BD" w:rsidRPr="00562857">
        <w:t>ience,</w:t>
      </w:r>
      <w:r w:rsidR="00DE27BD" w:rsidRPr="00562857">
        <w:rPr>
          <w:spacing w:val="17"/>
        </w:rPr>
        <w:t xml:space="preserve"> </w:t>
      </w:r>
      <w:r w:rsidR="00DE27BD" w:rsidRPr="00562857">
        <w:t>joint</w:t>
      </w:r>
      <w:r w:rsidR="00DE27BD" w:rsidRPr="00562857">
        <w:rPr>
          <w:spacing w:val="17"/>
        </w:rPr>
        <w:t xml:space="preserve"> </w:t>
      </w:r>
      <w:r w:rsidR="00DE27BD" w:rsidRPr="00562857">
        <w:t>initiatives, and</w:t>
      </w:r>
      <w:r w:rsidR="00DE27BD" w:rsidRPr="00562857">
        <w:rPr>
          <w:spacing w:val="14"/>
        </w:rPr>
        <w:t xml:space="preserve"> </w:t>
      </w:r>
      <w:r w:rsidR="00DE27BD" w:rsidRPr="00562857">
        <w:t>the</w:t>
      </w:r>
      <w:r w:rsidR="00DE27BD" w:rsidRPr="00562857">
        <w:rPr>
          <w:spacing w:val="14"/>
        </w:rPr>
        <w:t xml:space="preserve"> </w:t>
      </w:r>
      <w:r w:rsidR="00DE27BD" w:rsidRPr="00562857">
        <w:t>establishment</w:t>
      </w:r>
      <w:r w:rsidR="00DE27BD" w:rsidRPr="00562857">
        <w:rPr>
          <w:spacing w:val="13"/>
        </w:rPr>
        <w:t xml:space="preserve"> </w:t>
      </w:r>
      <w:r w:rsidR="00DE27BD" w:rsidRPr="00562857">
        <w:t>of</w:t>
      </w:r>
      <w:r w:rsidR="00DE27BD" w:rsidRPr="00562857">
        <w:rPr>
          <w:spacing w:val="14"/>
        </w:rPr>
        <w:t xml:space="preserve"> </w:t>
      </w:r>
      <w:r w:rsidR="00DE27BD" w:rsidRPr="00562857">
        <w:t>a</w:t>
      </w:r>
      <w:r w:rsidR="00DE27BD" w:rsidRPr="00562857">
        <w:rPr>
          <w:spacing w:val="14"/>
        </w:rPr>
        <w:t xml:space="preserve"> </w:t>
      </w:r>
      <w:r w:rsidR="00DE27BD" w:rsidRPr="00562857">
        <w:t>mechanism</w:t>
      </w:r>
      <w:r w:rsidR="00DE27BD" w:rsidRPr="00562857">
        <w:rPr>
          <w:spacing w:val="12"/>
        </w:rPr>
        <w:t xml:space="preserve"> </w:t>
      </w:r>
      <w:r w:rsidR="00DE27BD" w:rsidRPr="00562857">
        <w:t>of</w:t>
      </w:r>
      <w:r w:rsidR="00DE27BD" w:rsidRPr="00562857">
        <w:rPr>
          <w:spacing w:val="13"/>
        </w:rPr>
        <w:t xml:space="preserve"> </w:t>
      </w:r>
      <w:r w:rsidR="00DE27BD" w:rsidRPr="00562857">
        <w:t>assistance</w:t>
      </w:r>
      <w:r w:rsidR="00DE27BD" w:rsidRPr="00562857">
        <w:rPr>
          <w:spacing w:val="12"/>
        </w:rPr>
        <w:t xml:space="preserve"> </w:t>
      </w:r>
      <w:r w:rsidR="00DE27BD" w:rsidRPr="00562857">
        <w:t>to</w:t>
      </w:r>
      <w:r w:rsidR="00DE27BD" w:rsidRPr="00562857">
        <w:rPr>
          <w:spacing w:val="12"/>
        </w:rPr>
        <w:t xml:space="preserve"> </w:t>
      </w:r>
      <w:r w:rsidR="00DE27BD" w:rsidRPr="00562857">
        <w:t>States</w:t>
      </w:r>
      <w:r w:rsidR="00DE27BD" w:rsidRPr="00562857">
        <w:rPr>
          <w:spacing w:val="13"/>
        </w:rPr>
        <w:t xml:space="preserve"> </w:t>
      </w:r>
      <w:r w:rsidR="00DE27BD" w:rsidRPr="00562857">
        <w:t>Pa</w:t>
      </w:r>
      <w:r w:rsidR="00DE27BD" w:rsidRPr="00562857">
        <w:rPr>
          <w:spacing w:val="6"/>
        </w:rPr>
        <w:t>r</w:t>
      </w:r>
      <w:r w:rsidR="00DE27BD" w:rsidRPr="00562857">
        <w:t>ties</w:t>
      </w:r>
      <w:r w:rsidR="00DE27BD" w:rsidRPr="00562857">
        <w:rPr>
          <w:spacing w:val="13"/>
        </w:rPr>
        <w:t xml:space="preserve"> </w:t>
      </w:r>
      <w:r w:rsidR="00DE27BD" w:rsidRPr="00562857">
        <w:t xml:space="preserve">in </w:t>
      </w:r>
      <w:r w:rsidR="00DE27BD" w:rsidRPr="00562857">
        <w:rPr>
          <w:position w:val="-1"/>
        </w:rPr>
        <w:t>their ef</w:t>
      </w:r>
      <w:r w:rsidR="00DE27BD" w:rsidRPr="00562857">
        <w:rPr>
          <w:spacing w:val="-2"/>
          <w:position w:val="-1"/>
        </w:rPr>
        <w:t>f</w:t>
      </w:r>
      <w:r w:rsidR="00DE27BD" w:rsidRPr="00562857">
        <w:rPr>
          <w:position w:val="-1"/>
        </w:rPr>
        <w:t>orts to sa</w:t>
      </w:r>
      <w:r w:rsidR="00DE27BD" w:rsidRPr="00562857">
        <w:rPr>
          <w:spacing w:val="-2"/>
          <w:position w:val="-1"/>
        </w:rPr>
        <w:t>f</w:t>
      </w:r>
      <w:r w:rsidR="00DE27BD" w:rsidRPr="00562857">
        <w:rPr>
          <w:position w:val="-1"/>
        </w:rPr>
        <w:t>egua</w:t>
      </w:r>
      <w:r w:rsidR="00DE27BD" w:rsidRPr="00562857">
        <w:rPr>
          <w:spacing w:val="-1"/>
          <w:position w:val="-1"/>
        </w:rPr>
        <w:t>r</w:t>
      </w:r>
      <w:r w:rsidR="00DE27BD" w:rsidRPr="00562857">
        <w:rPr>
          <w:position w:val="-1"/>
        </w:rPr>
        <w:t>d the intan</w:t>
      </w:r>
      <w:r w:rsidR="00DE27BD" w:rsidRPr="00562857">
        <w:rPr>
          <w:spacing w:val="-1"/>
          <w:position w:val="-1"/>
        </w:rPr>
        <w:t>g</w:t>
      </w:r>
      <w:r w:rsidR="00DE27BD" w:rsidRPr="00562857">
        <w:rPr>
          <w:position w:val="-1"/>
        </w:rPr>
        <w:t>ible cultu</w:t>
      </w:r>
      <w:r w:rsidR="00DE27BD" w:rsidRPr="00562857">
        <w:rPr>
          <w:spacing w:val="-1"/>
          <w:position w:val="-1"/>
        </w:rPr>
        <w:t>r</w:t>
      </w:r>
      <w:r w:rsidR="00DE27BD" w:rsidRPr="00562857">
        <w:rPr>
          <w:position w:val="-1"/>
        </w:rPr>
        <w:t>al heritag</w:t>
      </w:r>
      <w:r w:rsidR="00DE27BD" w:rsidRPr="00562857">
        <w:rPr>
          <w:spacing w:val="-3"/>
          <w:position w:val="-1"/>
        </w:rPr>
        <w:t>e</w:t>
      </w:r>
      <w:r w:rsidR="00DE27BD" w:rsidRPr="00562857">
        <w:rPr>
          <w:position w:val="-1"/>
        </w:rPr>
        <w:t>.</w:t>
      </w:r>
    </w:p>
    <w:p w14:paraId="57266498" w14:textId="4FD2765B" w:rsidR="00634AEC" w:rsidRPr="00562857" w:rsidRDefault="00634AEC" w:rsidP="002D5639">
      <w:pPr>
        <w:pStyle w:val="Texte1"/>
      </w:pPr>
      <w:r w:rsidRPr="00562857">
        <w:t>Let us look at each of these in turn.</w:t>
      </w:r>
    </w:p>
    <w:p w14:paraId="1585F9F2" w14:textId="79427ED8" w:rsidR="00634AEC" w:rsidRPr="00562857" w:rsidRDefault="00634AEC" w:rsidP="007E3E09">
      <w:pPr>
        <w:pStyle w:val="Texte1"/>
        <w:keepNext/>
        <w:spacing w:before="120"/>
        <w:ind w:left="0"/>
        <w:rPr>
          <w:b/>
          <w:bCs/>
        </w:rPr>
      </w:pPr>
      <w:r w:rsidRPr="00562857">
        <w:rPr>
          <w:b/>
          <w:bCs/>
        </w:rPr>
        <w:t>Exchange of information and experience</w:t>
      </w:r>
    </w:p>
    <w:p w14:paraId="1C99E91B" w14:textId="73263693" w:rsidR="00D8346B" w:rsidRDefault="000E154C" w:rsidP="002D5639">
      <w:pPr>
        <w:pStyle w:val="Texte1"/>
      </w:pPr>
      <w:r w:rsidRPr="00562857">
        <w:t>How do the Convention and Operational Directives</w:t>
      </w:r>
      <w:r w:rsidR="003A6A2F">
        <w:t xml:space="preserve"> (ODs)</w:t>
      </w:r>
      <w:r w:rsidRPr="00562857">
        <w:t xml:space="preserve"> encourage States Parties to share information and experience? One of the Convention’s </w:t>
      </w:r>
      <w:r w:rsidR="00E70B89">
        <w:t xml:space="preserve">three </w:t>
      </w:r>
      <w:r w:rsidRPr="00562857">
        <w:t xml:space="preserve">international safeguarding mechanisms – the Register of </w:t>
      </w:r>
      <w:r w:rsidR="00F739F8">
        <w:t>Good</w:t>
      </w:r>
      <w:r w:rsidRPr="00562857">
        <w:t xml:space="preserve"> Safeguarding Practices</w:t>
      </w:r>
      <w:r w:rsidR="00084B88">
        <w:t xml:space="preserve"> described in Article 18</w:t>
      </w:r>
      <w:r w:rsidRPr="00562857">
        <w:t xml:space="preserve"> – is dedicated </w:t>
      </w:r>
      <w:r w:rsidR="00597A7C">
        <w:t xml:space="preserve">precisely </w:t>
      </w:r>
      <w:r w:rsidRPr="00562857">
        <w:t xml:space="preserve">to such sharing. A State Party that believes its own experience with safeguarding could be interesting and useful to others may propose one </w:t>
      </w:r>
      <w:r w:rsidRPr="00562857">
        <w:lastRenderedPageBreak/>
        <w:t>of its programmes for inclusion</w:t>
      </w:r>
      <w:r w:rsidR="00A06C74" w:rsidRPr="00562857">
        <w:t xml:space="preserve"> in the Register. The purpose of such inclusion is not simply to recognize </w:t>
      </w:r>
      <w:r w:rsidR="00E70B89">
        <w:t xml:space="preserve">or celebrate </w:t>
      </w:r>
      <w:r w:rsidR="00A06C74" w:rsidRPr="00562857">
        <w:t xml:space="preserve">an effective programme, but more importantly so that the Committee can disseminate </w:t>
      </w:r>
      <w:r w:rsidR="00F739F8">
        <w:t>good</w:t>
      </w:r>
      <w:r w:rsidR="00A06C74" w:rsidRPr="00562857">
        <w:t xml:space="preserve"> practices and other</w:t>
      </w:r>
      <w:r w:rsidR="00E70B89">
        <w:t xml:space="preserve"> States and communities</w:t>
      </w:r>
      <w:r w:rsidR="00A06C74" w:rsidRPr="00562857">
        <w:t xml:space="preserve"> may learn from them</w:t>
      </w:r>
      <w:r w:rsidR="00404BA0">
        <w:t xml:space="preserve"> (see ODs 42-46)</w:t>
      </w:r>
      <w:r w:rsidR="00A06C74" w:rsidRPr="00562857">
        <w:t>.</w:t>
      </w:r>
    </w:p>
    <w:p w14:paraId="2C29CDE8" w14:textId="06CAD259" w:rsidR="00812FBC" w:rsidRDefault="00D8346B" w:rsidP="002D5639">
      <w:pPr>
        <w:pStyle w:val="Texte1"/>
      </w:pPr>
      <w:r w:rsidRPr="00562857">
        <w:t>In the reports that States Parties must submit every six years to the Committee about the measures undertaken by them for the i</w:t>
      </w:r>
      <w:r>
        <w:t>mplementation of the Convention, they</w:t>
      </w:r>
      <w:r w:rsidR="00084B88">
        <w:t xml:space="preserve"> can </w:t>
      </w:r>
      <w:r w:rsidR="007B3F9D">
        <w:t xml:space="preserve">also </w:t>
      </w:r>
      <w:r w:rsidR="00084B88">
        <w:t>share their experience widely: not only</w:t>
      </w:r>
      <w:r w:rsidR="00E70B89">
        <w:t xml:space="preserve"> their</w:t>
      </w:r>
      <w:r w:rsidR="00084B88">
        <w:t xml:space="preserve"> </w:t>
      </w:r>
      <w:r w:rsidR="00F739F8">
        <w:t>good</w:t>
      </w:r>
      <w:r w:rsidR="00084B88">
        <w:t xml:space="preserve"> practices, but </w:t>
      </w:r>
      <w:r w:rsidR="00E70B89">
        <w:t xml:space="preserve">also the </w:t>
      </w:r>
      <w:r w:rsidR="00084B88">
        <w:t xml:space="preserve">challenges or </w:t>
      </w:r>
      <w:r w:rsidR="00B117FE">
        <w:t>even failures</w:t>
      </w:r>
      <w:r w:rsidR="00084B88">
        <w:t xml:space="preserve"> that may be </w:t>
      </w:r>
      <w:r w:rsidR="00D85538">
        <w:t xml:space="preserve">encountered </w:t>
      </w:r>
      <w:r w:rsidR="00084B88">
        <w:t>by other States</w:t>
      </w:r>
      <w:r w:rsidR="00D85538" w:rsidRPr="00D85538">
        <w:t xml:space="preserve"> </w:t>
      </w:r>
      <w:r w:rsidR="00D85538">
        <w:t>as well</w:t>
      </w:r>
      <w:r w:rsidR="00084B88">
        <w:t>.</w:t>
      </w:r>
    </w:p>
    <w:p w14:paraId="581358CC" w14:textId="31BEA583" w:rsidR="00634AEC" w:rsidRPr="00562857" w:rsidRDefault="00812FBC" w:rsidP="00925D1E">
      <w:pPr>
        <w:pStyle w:val="Texte1"/>
      </w:pPr>
      <w:r w:rsidRPr="00245527">
        <w:t xml:space="preserve">The </w:t>
      </w:r>
      <w:r w:rsidR="003A6A2F">
        <w:t>ODs</w:t>
      </w:r>
      <w:r w:rsidR="000058DA" w:rsidRPr="00F02C31">
        <w:t>, furthermore,</w:t>
      </w:r>
      <w:r w:rsidRPr="00245527">
        <w:t xml:space="preserve"> </w:t>
      </w:r>
      <w:r w:rsidR="000058DA" w:rsidRPr="00F02C31">
        <w:t xml:space="preserve">encourage States Parties to share documentation </w:t>
      </w:r>
      <w:r w:rsidR="00925D1E" w:rsidRPr="00F02C31">
        <w:t>concerning an element of intangible cultural heritage present on the territory of another State Party with that other State (</w:t>
      </w:r>
      <w:r w:rsidRPr="00245527">
        <w:t>OD 87</w:t>
      </w:r>
      <w:r w:rsidR="00925D1E" w:rsidRPr="00F02C31">
        <w:t>).</w:t>
      </w:r>
    </w:p>
    <w:p w14:paraId="07092486" w14:textId="77DF6002" w:rsidR="00634AEC" w:rsidRPr="00562857" w:rsidRDefault="00634AEC" w:rsidP="007E3E09">
      <w:pPr>
        <w:pStyle w:val="Texte1"/>
        <w:keepNext/>
        <w:spacing w:before="120"/>
        <w:ind w:left="0"/>
        <w:rPr>
          <w:b/>
          <w:bCs/>
        </w:rPr>
      </w:pPr>
      <w:r w:rsidRPr="00562857">
        <w:rPr>
          <w:b/>
          <w:bCs/>
        </w:rPr>
        <w:t>Joint initiatives</w:t>
      </w:r>
    </w:p>
    <w:p w14:paraId="04CAEC7E" w14:textId="59142A51" w:rsidR="00634AEC" w:rsidRDefault="00F82ADF" w:rsidP="002D5639">
      <w:pPr>
        <w:pStyle w:val="Texte1"/>
      </w:pPr>
      <w:r>
        <w:t xml:space="preserve">Two or more States can also cooperate on joint safeguarding initiatives. </w:t>
      </w:r>
      <w:r w:rsidR="009C1704">
        <w:t xml:space="preserve">This is particularly important when the same or similar heritage is found in </w:t>
      </w:r>
      <w:proofErr w:type="gramStart"/>
      <w:r w:rsidR="009C1704">
        <w:t>both</w:t>
      </w:r>
      <w:r w:rsidR="00084B88">
        <w:t xml:space="preserve"> </w:t>
      </w:r>
      <w:r w:rsidR="00404BA0">
        <w:t xml:space="preserve">countries </w:t>
      </w:r>
      <w:r w:rsidR="003B3C8D">
        <w:t>or</w:t>
      </w:r>
      <w:proofErr w:type="gramEnd"/>
      <w:r w:rsidR="003B3C8D">
        <w:t xml:space="preserve"> when a single community is found on both sides of a border. The </w:t>
      </w:r>
      <w:r w:rsidR="003A6A2F">
        <w:t>ODs</w:t>
      </w:r>
      <w:r w:rsidR="003B3C8D">
        <w:t xml:space="preserve"> suggest that States Parties ‘</w:t>
      </w:r>
      <w:r w:rsidR="003B3C8D" w:rsidRPr="00245527">
        <w:t xml:space="preserve">develop together, at the </w:t>
      </w:r>
      <w:proofErr w:type="spellStart"/>
      <w:r w:rsidR="003B3C8D" w:rsidRPr="00245527">
        <w:t>subregional</w:t>
      </w:r>
      <w:proofErr w:type="spellEnd"/>
      <w:r w:rsidR="003B3C8D" w:rsidRPr="00245527">
        <w:t xml:space="preserve"> and regional levels, networks of communities, experts, centres of expertise and research institutes to develop joint approaches, particularly concerning the elements of intangible cultural heritage they have in common’ (</w:t>
      </w:r>
      <w:r w:rsidR="003B3C8D">
        <w:t>OD 86).</w:t>
      </w:r>
    </w:p>
    <w:p w14:paraId="27628988" w14:textId="6252AB17" w:rsidR="00634AEC" w:rsidRPr="00377D0A" w:rsidRDefault="00084B88" w:rsidP="00377D0A">
      <w:pPr>
        <w:pStyle w:val="Texte1"/>
      </w:pPr>
      <w:r>
        <w:t xml:space="preserve">States Parties are also encouraged to pursue joint initiatives in the context of UNESCO’s network of category 2 centres (see OD 88). Such centres are </w:t>
      </w:r>
      <w:r w:rsidRPr="00084B88">
        <w:t xml:space="preserve">established and funded by </w:t>
      </w:r>
      <w:r>
        <w:t xml:space="preserve">one </w:t>
      </w:r>
      <w:r w:rsidRPr="00084B88">
        <w:t xml:space="preserve">Member State </w:t>
      </w:r>
      <w:r>
        <w:t>and</w:t>
      </w:r>
      <w:r w:rsidRPr="00084B88">
        <w:t xml:space="preserve"> intended to serve as international or regional centres and poles of expertise or excellence </w:t>
      </w:r>
      <w:r w:rsidRPr="00245527">
        <w:t xml:space="preserve">to provide technical assistance and services to other Member States. A category 2 centre </w:t>
      </w:r>
      <w:r w:rsidR="00404BA0" w:rsidRPr="00245527">
        <w:t xml:space="preserve">can </w:t>
      </w:r>
      <w:r w:rsidRPr="00245527">
        <w:t>provide an institutional framework for joint safeguarding initiatives, capacity-building programmes and information sharing</w:t>
      </w:r>
      <w:r>
        <w:t>.</w:t>
      </w:r>
    </w:p>
    <w:p w14:paraId="039DB557" w14:textId="46B67CBE" w:rsidR="00657CCC" w:rsidRPr="00562857" w:rsidRDefault="00657CCC" w:rsidP="002D5639">
      <w:pPr>
        <w:pStyle w:val="Texte1"/>
      </w:pPr>
      <w:r w:rsidRPr="00562857">
        <w:t xml:space="preserve">In the </w:t>
      </w:r>
      <w:r w:rsidR="00D8346B">
        <w:t xml:space="preserve">periodic </w:t>
      </w:r>
      <w:r w:rsidRPr="00562857">
        <w:t xml:space="preserve">reports </w:t>
      </w:r>
      <w:r w:rsidR="00D8346B">
        <w:t>mentioned above,</w:t>
      </w:r>
      <w:r w:rsidR="00D8346B" w:rsidRPr="00562857">
        <w:t xml:space="preserve"> </w:t>
      </w:r>
      <w:r w:rsidRPr="00562857">
        <w:t>States Parties are explicitly requested to report about measures taken at the international level and joint initiatives with other States Parties (OD 156).</w:t>
      </w:r>
    </w:p>
    <w:p w14:paraId="183A5A21" w14:textId="77777777" w:rsidR="005E1947" w:rsidRPr="00562857" w:rsidRDefault="005E1947" w:rsidP="005E1947">
      <w:pPr>
        <w:pStyle w:val="Texte1"/>
        <w:keepNext/>
        <w:spacing w:before="120"/>
        <w:ind w:left="0"/>
        <w:rPr>
          <w:b/>
          <w:bCs/>
        </w:rPr>
      </w:pPr>
      <w:r w:rsidRPr="00562857">
        <w:rPr>
          <w:b/>
          <w:bCs/>
        </w:rPr>
        <w:t>A mechanism of assistance</w:t>
      </w:r>
    </w:p>
    <w:p w14:paraId="11A06C13" w14:textId="606C005F" w:rsidR="005E1947" w:rsidRPr="00562857" w:rsidRDefault="005E1947" w:rsidP="005E1947">
      <w:pPr>
        <w:pStyle w:val="Texte1"/>
      </w:pPr>
      <w:r>
        <w:t>Much of Chapter V (and of this unit) concerns the Convention’s ‘mechanism of assistance’. If international cooperation is</w:t>
      </w:r>
      <w:r w:rsidRPr="00FC6BB1">
        <w:t xml:space="preserve"> </w:t>
      </w:r>
      <w:r>
        <w:t xml:space="preserve">indeed central to the Convention’s purposes, it should not simply be </w:t>
      </w:r>
      <w:r w:rsidR="00FA5D86">
        <w:t>left up to</w:t>
      </w:r>
      <w:r>
        <w:t xml:space="preserve"> ad hoc, bilateral </w:t>
      </w:r>
      <w:r w:rsidR="00FA5D86">
        <w:t xml:space="preserve">arrangements </w:t>
      </w:r>
      <w:r>
        <w:t>between States Parties</w:t>
      </w:r>
      <w:r w:rsidR="00B117FE">
        <w:t>. T</w:t>
      </w:r>
      <w:r>
        <w:t xml:space="preserve">he Convention itself </w:t>
      </w:r>
      <w:r w:rsidR="001C6E5F">
        <w:t>therefore</w:t>
      </w:r>
      <w:r>
        <w:t xml:space="preserve"> provide</w:t>
      </w:r>
      <w:r w:rsidR="001C6E5F">
        <w:t>s</w:t>
      </w:r>
      <w:r>
        <w:t xml:space="preserve"> </w:t>
      </w:r>
      <w:r w:rsidR="003B2FB9">
        <w:t xml:space="preserve">formal </w:t>
      </w:r>
      <w:r>
        <w:t xml:space="preserve">opportunities for States Parties in need of </w:t>
      </w:r>
      <w:r w:rsidR="003728DD">
        <w:t>International Assistance</w:t>
      </w:r>
      <w:r>
        <w:t xml:space="preserve"> to </w:t>
      </w:r>
      <w:r w:rsidR="003B2FB9">
        <w:t>receive</w:t>
      </w:r>
      <w:r>
        <w:t xml:space="preserve"> it. Chapter V thus describes the purposes of this mechanism (</w:t>
      </w:r>
      <w:r w:rsidR="00FA5D86">
        <w:t>Article </w:t>
      </w:r>
      <w:r>
        <w:t xml:space="preserve">20), the forms such assistance can take (Article 21), the conditions governing it (Article 22), </w:t>
      </w:r>
      <w:proofErr w:type="gramStart"/>
      <w:r>
        <w:t>how</w:t>
      </w:r>
      <w:proofErr w:type="gramEnd"/>
      <w:r>
        <w:t xml:space="preserve"> it can be requested (Article 23) and the role of the benefic</w:t>
      </w:r>
      <w:r w:rsidR="00607CC8">
        <w:t xml:space="preserve">iary State Party (Article 24). </w:t>
      </w:r>
      <w:r>
        <w:t xml:space="preserve">But before plunging into that mechanism </w:t>
      </w:r>
      <w:r w:rsidR="003B2FB9">
        <w:t>further</w:t>
      </w:r>
      <w:r>
        <w:t>, let’s step back for a moment.</w:t>
      </w:r>
    </w:p>
    <w:p w14:paraId="54426C19" w14:textId="77777777" w:rsidR="00657CCC" w:rsidRPr="00562857" w:rsidRDefault="00657CCC" w:rsidP="000C4C10">
      <w:pPr>
        <w:pStyle w:val="Heading4"/>
        <w:rPr>
          <w:lang w:val="en-GB"/>
        </w:rPr>
      </w:pPr>
      <w:r w:rsidRPr="00562857">
        <w:rPr>
          <w:lang w:val="en-GB"/>
        </w:rPr>
        <w:t>W</w:t>
      </w:r>
      <w:r w:rsidRPr="00562857">
        <w:rPr>
          <w:spacing w:val="-2"/>
          <w:w w:val="107"/>
          <w:lang w:val="en-GB"/>
        </w:rPr>
        <w:t>h</w:t>
      </w:r>
      <w:r w:rsidRPr="00562857">
        <w:rPr>
          <w:lang w:val="en-GB"/>
        </w:rPr>
        <w:t xml:space="preserve">y international </w:t>
      </w:r>
      <w:r w:rsidRPr="00562857">
        <w:rPr>
          <w:spacing w:val="-1"/>
          <w:w w:val="107"/>
          <w:lang w:val="en-GB"/>
        </w:rPr>
        <w:t>c</w:t>
      </w:r>
      <w:r w:rsidRPr="00562857">
        <w:rPr>
          <w:lang w:val="en-GB"/>
        </w:rPr>
        <w:t>oope</w:t>
      </w:r>
      <w:r w:rsidRPr="00562857">
        <w:rPr>
          <w:spacing w:val="-2"/>
          <w:w w:val="107"/>
          <w:lang w:val="en-GB"/>
        </w:rPr>
        <w:t>r</w:t>
      </w:r>
      <w:r w:rsidRPr="00562857">
        <w:rPr>
          <w:lang w:val="en-GB"/>
        </w:rPr>
        <w:t>ation?</w:t>
      </w:r>
    </w:p>
    <w:p w14:paraId="1339DC58" w14:textId="4638B2E5" w:rsidR="00657CCC" w:rsidRPr="00562857" w:rsidRDefault="003B2FB9" w:rsidP="002D5639">
      <w:pPr>
        <w:pStyle w:val="Texte1"/>
      </w:pPr>
      <w:r>
        <w:t xml:space="preserve">As an intergovernmental organization, UNESCO </w:t>
      </w:r>
      <w:r w:rsidR="00925D1E">
        <w:t>promotes</w:t>
      </w:r>
      <w:r>
        <w:t xml:space="preserve"> international cooperation to contribute to peace and mutual understanding. </w:t>
      </w:r>
      <w:r w:rsidR="00F70BC8">
        <w:t>I</w:t>
      </w:r>
      <w:r w:rsidR="00E123B5">
        <w:t>n addition</w:t>
      </w:r>
      <w:r>
        <w:t xml:space="preserve"> to this </w:t>
      </w:r>
      <w:r w:rsidR="00925D1E">
        <w:t>larger mandate</w:t>
      </w:r>
      <w:r>
        <w:t xml:space="preserve">, there are also more practical arguments for international cooperation </w:t>
      </w:r>
      <w:r w:rsidR="00925D1E">
        <w:t>to</w:t>
      </w:r>
      <w:r w:rsidR="00657CCC" w:rsidRPr="00562857">
        <w:rPr>
          <w:spacing w:val="15"/>
        </w:rPr>
        <w:t xml:space="preserve"> </w:t>
      </w:r>
      <w:r w:rsidR="00657CCC" w:rsidRPr="00562857">
        <w:t xml:space="preserve">develop methodologies and </w:t>
      </w:r>
      <w:r w:rsidR="00657CCC" w:rsidRPr="00245527">
        <w:t>shar</w:t>
      </w:r>
      <w:r w:rsidR="00925D1E" w:rsidRPr="00245527">
        <w:t>e</w:t>
      </w:r>
      <w:r w:rsidR="00657CCC" w:rsidRPr="00245527">
        <w:t xml:space="preserve"> examples</w:t>
      </w:r>
      <w:r w:rsidR="00657CCC" w:rsidRPr="00562857">
        <w:t xml:space="preserve"> of good practice</w:t>
      </w:r>
      <w:r w:rsidR="00F70BC8">
        <w:t>s</w:t>
      </w:r>
      <w:r w:rsidR="00657CCC" w:rsidRPr="00562857">
        <w:t xml:space="preserve"> in the field of intangible heritage safeguarding and </w:t>
      </w:r>
      <w:r w:rsidR="00657CCC" w:rsidRPr="00562857">
        <w:lastRenderedPageBreak/>
        <w:t xml:space="preserve">management. States Parties </w:t>
      </w:r>
      <w:r w:rsidR="00FA5D86">
        <w:t>can</w:t>
      </w:r>
      <w:r w:rsidR="00FA5D86" w:rsidRPr="00562857">
        <w:t xml:space="preserve"> </w:t>
      </w:r>
      <w:r w:rsidR="00657CCC" w:rsidRPr="00562857">
        <w:t xml:space="preserve">benefit from assisting each other (especially at the regional and </w:t>
      </w:r>
      <w:proofErr w:type="spellStart"/>
      <w:r w:rsidR="00657CCC" w:rsidRPr="00562857">
        <w:t>subregional</w:t>
      </w:r>
      <w:proofErr w:type="spellEnd"/>
      <w:r w:rsidR="00657CCC" w:rsidRPr="00562857">
        <w:t xml:space="preserve"> levels), providing expertise and information, and </w:t>
      </w:r>
      <w:r w:rsidR="00657CCC" w:rsidRPr="00245527">
        <w:t>sharing experiences</w:t>
      </w:r>
      <w:r w:rsidR="00657CCC" w:rsidRPr="00562857">
        <w:t xml:space="preserve"> about safeguarding ICH. This can make their </w:t>
      </w:r>
      <w:r w:rsidR="00F70BC8">
        <w:t xml:space="preserve">own </w:t>
      </w:r>
      <w:r w:rsidR="00657CCC" w:rsidRPr="00562857">
        <w:t xml:space="preserve">safeguarding activities more targeted and more cost-effective, contributing not only to the safeguarding of shared ICH, but of the ICH in general in the countries concerned. Joining forces may allow various players to </w:t>
      </w:r>
      <w:r w:rsidR="00657CCC" w:rsidRPr="00245527">
        <w:t>share experiences</w:t>
      </w:r>
      <w:r w:rsidR="00E123B5">
        <w:t>,</w:t>
      </w:r>
      <w:r w:rsidR="00E123B5" w:rsidRPr="00E123B5">
        <w:t xml:space="preserve"> discover new ways of going about safeguarding</w:t>
      </w:r>
      <w:r w:rsidR="00657CCC" w:rsidRPr="00562857">
        <w:t xml:space="preserve"> and work in a cost-efficient way, for instance in the fields of capacity building and documentation</w:t>
      </w:r>
      <w:r>
        <w:t xml:space="preserve"> or </w:t>
      </w:r>
      <w:r w:rsidR="00657CCC" w:rsidRPr="00562857">
        <w:t>research.</w:t>
      </w:r>
      <w:r w:rsidR="00E123B5" w:rsidRPr="00E123B5">
        <w:t xml:space="preserve"> Moreover, this cooperation can foster mutual understanding and solidarity among countries and communities across borders.</w:t>
      </w:r>
      <w:r w:rsidR="00FA5D86">
        <w:t xml:space="preserve"> All of these practical advantages of international cooperation give substance to the Convention’s aspirations.</w:t>
      </w:r>
    </w:p>
    <w:p w14:paraId="2DC6C69B" w14:textId="39E74F78" w:rsidR="00657CCC" w:rsidRPr="00562857" w:rsidRDefault="005E0EFD" w:rsidP="00C82E38">
      <w:pPr>
        <w:pStyle w:val="Titcoul"/>
        <w:rPr>
          <w:w w:val="107"/>
          <w:lang w:val="en-GB"/>
        </w:rPr>
      </w:pPr>
      <w:bookmarkStart w:id="7" w:name="_Toc241229756"/>
      <w:bookmarkStart w:id="8" w:name="_Toc241229960"/>
      <w:bookmarkStart w:id="9" w:name="_Toc242165654"/>
      <w:r w:rsidRPr="00562857">
        <w:rPr>
          <w:w w:val="107"/>
          <w:lang w:val="en-GB"/>
        </w:rPr>
        <w:t>12</w:t>
      </w:r>
      <w:r w:rsidR="00657CCC" w:rsidRPr="00562857">
        <w:rPr>
          <w:w w:val="107"/>
          <w:lang w:val="en-GB"/>
        </w:rPr>
        <w:t>.2</w:t>
      </w:r>
      <w:r w:rsidR="00785A75" w:rsidRPr="00562857">
        <w:rPr>
          <w:w w:val="107"/>
          <w:lang w:val="en-GB"/>
        </w:rPr>
        <w:tab/>
      </w:r>
      <w:r w:rsidR="00657CCC" w:rsidRPr="00562857">
        <w:rPr>
          <w:w w:val="107"/>
          <w:lang w:val="en-GB"/>
        </w:rPr>
        <w:t xml:space="preserve">SHARED OR CROSS-BORDER </w:t>
      </w:r>
      <w:bookmarkEnd w:id="7"/>
      <w:bookmarkEnd w:id="8"/>
      <w:bookmarkEnd w:id="9"/>
      <w:r w:rsidR="00835C97">
        <w:rPr>
          <w:w w:val="107"/>
          <w:lang w:val="en-GB"/>
        </w:rPr>
        <w:t>heritage and its safeguarding</w:t>
      </w:r>
    </w:p>
    <w:p w14:paraId="3DBDE959" w14:textId="44B397BA" w:rsidR="00657CCC" w:rsidRPr="00562857" w:rsidRDefault="003B2FB9" w:rsidP="002D5639">
      <w:pPr>
        <w:pStyle w:val="Texte1"/>
      </w:pPr>
      <w:r>
        <w:t>The expressions, practices and phenomena of intangible cultural heritage are</w:t>
      </w:r>
      <w:r w:rsidR="00657CCC" w:rsidRPr="00562857">
        <w:t xml:space="preserve"> frequently not restricted to the territory of a single State Party – we then speak of cross-border or shared heritage. Because intangible heritage is linked to people, it </w:t>
      </w:r>
      <w:r w:rsidR="006F4C1F">
        <w:t>is found where</w:t>
      </w:r>
      <w:r w:rsidR="00835C97">
        <w:t>ver</w:t>
      </w:r>
      <w:r w:rsidR="006F4C1F">
        <w:t xml:space="preserve"> they are found and it </w:t>
      </w:r>
      <w:r w:rsidR="00657CCC" w:rsidRPr="00562857">
        <w:t>travels with them</w:t>
      </w:r>
      <w:r w:rsidR="00835C97">
        <w:t xml:space="preserve"> if they move</w:t>
      </w:r>
      <w:r w:rsidR="00657CCC" w:rsidRPr="00562857">
        <w:t>. Communities have often been divided by borders</w:t>
      </w:r>
      <w:r w:rsidR="00835C97">
        <w:t xml:space="preserve"> based not on culture but on geo</w:t>
      </w:r>
      <w:r w:rsidR="0030757E">
        <w:t>graphy</w:t>
      </w:r>
      <w:r w:rsidR="00835C97">
        <w:t xml:space="preserve"> or geopolitics</w:t>
      </w:r>
      <w:r w:rsidR="00657CCC" w:rsidRPr="00562857">
        <w:t xml:space="preserve"> – the </w:t>
      </w:r>
      <w:r w:rsidR="0077700B" w:rsidRPr="00562857">
        <w:t>unwi</w:t>
      </w:r>
      <w:r w:rsidR="0077700B">
        <w:t>ll</w:t>
      </w:r>
      <w:r w:rsidR="0077700B" w:rsidRPr="00562857">
        <w:t xml:space="preserve">ing </w:t>
      </w:r>
      <w:r w:rsidR="00657CCC" w:rsidRPr="00562857">
        <w:t xml:space="preserve">victims or beneficiaries of </w:t>
      </w:r>
      <w:r w:rsidR="00835C97">
        <w:t xml:space="preserve">arbitrary geographic features or </w:t>
      </w:r>
      <w:r w:rsidR="00657CCC" w:rsidRPr="00562857">
        <w:t xml:space="preserve">distant political </w:t>
      </w:r>
      <w:r w:rsidR="00E123B5">
        <w:t>arrangements</w:t>
      </w:r>
      <w:r w:rsidR="00657CCC" w:rsidRPr="00562857">
        <w:t xml:space="preserve">. </w:t>
      </w:r>
      <w:r w:rsidR="00835C97" w:rsidRPr="00562857">
        <w:t xml:space="preserve">People </w:t>
      </w:r>
      <w:r w:rsidR="00835C97">
        <w:t xml:space="preserve">also </w:t>
      </w:r>
      <w:r w:rsidR="00835C97" w:rsidRPr="00562857">
        <w:t>move around all the time, whether voluntarily or involuntarily, nowadays mostly as migrants, refugees or tourists.</w:t>
      </w:r>
      <w:r w:rsidR="00835C97">
        <w:t xml:space="preserve"> Intangible cultural heritage</w:t>
      </w:r>
      <w:r w:rsidR="00657CCC" w:rsidRPr="00562857">
        <w:t xml:space="preserve"> is thus frequently shared across borders and, with communities of migrants, may be shared between </w:t>
      </w:r>
      <w:r w:rsidR="00607CC8" w:rsidRPr="00562857">
        <w:t>countries that are more distant</w:t>
      </w:r>
      <w:r w:rsidR="00657CCC" w:rsidRPr="00562857">
        <w:t>. ICH can also be transmitted from one community to another, within or between countries.</w:t>
      </w:r>
    </w:p>
    <w:p w14:paraId="27269346" w14:textId="49C7EB53" w:rsidR="003D7AD9" w:rsidRPr="00562857" w:rsidRDefault="003D7AD9" w:rsidP="003D7AD9">
      <w:pPr>
        <w:pStyle w:val="Texte1"/>
      </w:pPr>
      <w:r>
        <w:t>The Convention’s Preamble speaks of ‘</w:t>
      </w:r>
      <w:r w:rsidRPr="003C58F0">
        <w:t>the invaluable role of the intangible cultural heritage as a factor in bringing human beings closer together and ensuring exchange and understanding among them</w:t>
      </w:r>
      <w:r>
        <w:t xml:space="preserve">’. If this is true of heritage as a whole, it is also particularly true of those expressions and practices that are shared among communities or countries. </w:t>
      </w:r>
      <w:r w:rsidR="009D3889">
        <w:t>When people</w:t>
      </w:r>
      <w:r>
        <w:t xml:space="preserve"> recognize that others enjoy the same </w:t>
      </w:r>
      <w:r w:rsidR="009D3889">
        <w:t xml:space="preserve">or similar </w:t>
      </w:r>
      <w:r>
        <w:t xml:space="preserve">music or dance, practise the same craftsmanship, or possess </w:t>
      </w:r>
      <w:r w:rsidR="007B3F9D">
        <w:t>similar</w:t>
      </w:r>
      <w:r>
        <w:t xml:space="preserve"> knowledge of nature and the universe, this can convey a powerful message of shared</w:t>
      </w:r>
      <w:r w:rsidR="0030757E">
        <w:t xml:space="preserve"> humanity.</w:t>
      </w:r>
    </w:p>
    <w:p w14:paraId="2BDC3113" w14:textId="46AB9844" w:rsidR="00835C97" w:rsidRDefault="00657CCC" w:rsidP="002D5639">
      <w:pPr>
        <w:pStyle w:val="Texte1"/>
      </w:pPr>
      <w:r w:rsidRPr="00562857">
        <w:t xml:space="preserve">Shared </w:t>
      </w:r>
      <w:r w:rsidR="003D7AD9">
        <w:t>intangible heritage</w:t>
      </w:r>
      <w:r w:rsidRPr="00562857">
        <w:t xml:space="preserve"> – and the associated communities – may benefit from being inventoried and safeguarded jointly by the countries concerned and through collaboration between all the communities or groups concerned, wherever they live. This approach may foster cooperation and understanding across borders between States and communities </w:t>
      </w:r>
      <w:r w:rsidR="006F4C1F">
        <w:t xml:space="preserve">not </w:t>
      </w:r>
      <w:r w:rsidR="00835C97">
        <w:t>only</w:t>
      </w:r>
      <w:r w:rsidR="006F4C1F">
        <w:t xml:space="preserve"> </w:t>
      </w:r>
      <w:r w:rsidRPr="00562857">
        <w:t xml:space="preserve">in </w:t>
      </w:r>
      <w:r w:rsidR="006F4C1F">
        <w:t xml:space="preserve">the </w:t>
      </w:r>
      <w:r w:rsidRPr="00562857">
        <w:t>cultural domain</w:t>
      </w:r>
      <w:r w:rsidR="006F4C1F">
        <w:t>, but also in others</w:t>
      </w:r>
      <w:r w:rsidRPr="00562857">
        <w:t>.</w:t>
      </w:r>
      <w:r w:rsidR="003C58F0">
        <w:t xml:space="preserve"> </w:t>
      </w:r>
      <w:r w:rsidR="003D7AD9">
        <w:t>But</w:t>
      </w:r>
      <w:r w:rsidR="003C58F0">
        <w:t xml:space="preserve"> there are</w:t>
      </w:r>
      <w:r w:rsidR="0030757E">
        <w:t xml:space="preserve"> also</w:t>
      </w:r>
      <w:r w:rsidR="003C58F0">
        <w:t xml:space="preserve"> many examples where the claims of one community or one country for exclusive ‘ownership’ of heritage create misunderstanding, competition or even conflict. It is </w:t>
      </w:r>
      <w:r w:rsidR="003D7AD9">
        <w:t>desirable</w:t>
      </w:r>
      <w:r w:rsidR="003C58F0">
        <w:t xml:space="preserve"> that a community takes pride in its heritage, but it is regrettable if it loses sight of the fact that other communities</w:t>
      </w:r>
      <w:r w:rsidR="009D3889">
        <w:t xml:space="preserve"> also</w:t>
      </w:r>
      <w:r w:rsidR="003C58F0">
        <w:t xml:space="preserve"> practise the same or similar heritage. </w:t>
      </w:r>
      <w:r w:rsidR="003D7AD9">
        <w:t>In those circumstances, the Convention’s goal of bringing human beings together and ensuring mutual respect is endangered.</w:t>
      </w:r>
    </w:p>
    <w:p w14:paraId="5AE960E6" w14:textId="5C25BE76" w:rsidR="00657CCC" w:rsidRPr="00562857" w:rsidRDefault="001C6E5F" w:rsidP="002D5639">
      <w:pPr>
        <w:pStyle w:val="Texte1"/>
      </w:pPr>
      <w:r>
        <w:lastRenderedPageBreak/>
        <w:t>In order to promote cooperation and reduce competition, t</w:t>
      </w:r>
      <w:r w:rsidR="00657CCC" w:rsidRPr="00562857">
        <w:t>he Convention and ODs thus encourage multi-national nominations, projects and assistance requests concerning cross-border heritage and give priority to them where possible (ODs 10(a)</w:t>
      </w:r>
      <w:r w:rsidR="006F4C1F">
        <w:t>,</w:t>
      </w:r>
      <w:r w:rsidR="00657CCC" w:rsidRPr="00562857">
        <w:t xml:space="preserve"> 13</w:t>
      </w:r>
      <w:r w:rsidR="006F4C1F">
        <w:t>-</w:t>
      </w:r>
      <w:r w:rsidR="00657CCC" w:rsidRPr="00562857">
        <w:t>1</w:t>
      </w:r>
      <w:r w:rsidR="006F4C1F">
        <w:t>9 and 34</w:t>
      </w:r>
      <w:r w:rsidR="00657CCC" w:rsidRPr="00562857">
        <w:t>).</w:t>
      </w:r>
    </w:p>
    <w:p w14:paraId="4637433A" w14:textId="6330E74B" w:rsidR="00657CCC" w:rsidRPr="00D730B0" w:rsidRDefault="00657CCC" w:rsidP="00D730B0">
      <w:pPr>
        <w:pStyle w:val="Heading4"/>
        <w:rPr>
          <w:lang w:val="en-GB"/>
        </w:rPr>
      </w:pPr>
      <w:bookmarkStart w:id="10" w:name="_Toc241229757"/>
      <w:bookmarkStart w:id="11" w:name="_Toc241229961"/>
      <w:bookmarkStart w:id="12" w:name="_Toc242165655"/>
      <w:r w:rsidRPr="00D730B0">
        <w:rPr>
          <w:lang w:val="en-GB"/>
        </w:rPr>
        <w:t>MULTI-NATIONAL NOMINATIONS</w:t>
      </w:r>
      <w:bookmarkEnd w:id="10"/>
      <w:bookmarkEnd w:id="11"/>
      <w:bookmarkEnd w:id="12"/>
    </w:p>
    <w:p w14:paraId="511AE295" w14:textId="76CD69C5" w:rsidR="00657CCC" w:rsidRPr="00562857" w:rsidRDefault="00657CCC" w:rsidP="002D5639">
      <w:pPr>
        <w:pStyle w:val="Texte1"/>
      </w:pPr>
      <w:r w:rsidRPr="00562857">
        <w:t xml:space="preserve">States Parties are encouraged to submit multi-national nominations for shared elements to the Lists of the Convention </w:t>
      </w:r>
      <w:r w:rsidR="00597A7C">
        <w:t xml:space="preserve">when an element is found on the territory of more than one State Party </w:t>
      </w:r>
      <w:r w:rsidRPr="00562857">
        <w:t>(OD 13).</w:t>
      </w:r>
      <w:r w:rsidR="00090884">
        <w:t xml:space="preserve"> The </w:t>
      </w:r>
      <w:r w:rsidR="003A6A2F">
        <w:t>ODs</w:t>
      </w:r>
      <w:r w:rsidR="00090884">
        <w:t xml:space="preserve"> also welcome multi-national proposals to the Register of </w:t>
      </w:r>
      <w:r w:rsidR="00F739F8">
        <w:t>Good</w:t>
      </w:r>
      <w:r w:rsidR="00090884">
        <w:t xml:space="preserve"> Safeguarding Practices (OD 14) and joint requests for </w:t>
      </w:r>
      <w:r w:rsidR="003728DD">
        <w:t>International Assistance</w:t>
      </w:r>
      <w:r w:rsidR="00090884">
        <w:t xml:space="preserve"> (OD 15).</w:t>
      </w:r>
    </w:p>
    <w:p w14:paraId="30F0A58B" w14:textId="0C135151" w:rsidR="00100A7F" w:rsidRPr="001E4207" w:rsidRDefault="00657CCC" w:rsidP="00D730B0">
      <w:pPr>
        <w:pStyle w:val="Texte1"/>
      </w:pPr>
      <w:r w:rsidRPr="00562857">
        <w:t>The General Assembly and the Committee actively promote such nominations</w:t>
      </w:r>
      <w:r w:rsidR="00090884">
        <w:t>, notably through OD 34 that sets out the</w:t>
      </w:r>
      <w:r w:rsidRPr="00562857">
        <w:t xml:space="preserve"> order of priorities in the examination of files by the Committee</w:t>
      </w:r>
      <w:r w:rsidR="005848D4">
        <w:t>. M</w:t>
      </w:r>
      <w:r w:rsidRPr="00562857">
        <w:t>ulti</w:t>
      </w:r>
      <w:r w:rsidR="005848D4">
        <w:t>-</w:t>
      </w:r>
      <w:r w:rsidRPr="00562857">
        <w:t xml:space="preserve">national files </w:t>
      </w:r>
      <w:r w:rsidR="005848D4">
        <w:t>have the</w:t>
      </w:r>
      <w:r w:rsidR="005848D4" w:rsidRPr="00562857">
        <w:t xml:space="preserve"> </w:t>
      </w:r>
      <w:r w:rsidRPr="00562857">
        <w:t xml:space="preserve">second </w:t>
      </w:r>
      <w:r w:rsidR="005848D4">
        <w:t xml:space="preserve">highest priority, </w:t>
      </w:r>
      <w:r w:rsidRPr="00562857">
        <w:t xml:space="preserve">after files from States having no elements inscribed, </w:t>
      </w:r>
      <w:r w:rsidR="00F739F8">
        <w:t>good</w:t>
      </w:r>
      <w:r w:rsidRPr="00562857">
        <w:t xml:space="preserve"> safeguarding practices selected or requests for </w:t>
      </w:r>
      <w:r w:rsidR="003728DD">
        <w:t>International Assistance</w:t>
      </w:r>
      <w:r w:rsidR="00E123B5" w:rsidRPr="00562857">
        <w:t xml:space="preserve"> </w:t>
      </w:r>
      <w:r w:rsidRPr="00562857">
        <w:t>greater than US$</w:t>
      </w:r>
      <w:r w:rsidR="00C5131D">
        <w:t>100</w:t>
      </w:r>
      <w:r w:rsidRPr="00562857">
        <w:t xml:space="preserve">,000 approved and nominations to the List of Intangible Cultural Heritage in Need of Urgent </w:t>
      </w:r>
      <w:r w:rsidRPr="001E4207">
        <w:t>Safeguarding</w:t>
      </w:r>
      <w:r w:rsidR="001D3FC1" w:rsidRPr="001E4207">
        <w:t xml:space="preserve"> (OD 34).</w:t>
      </w:r>
    </w:p>
    <w:p w14:paraId="6D730F3D" w14:textId="3C95B562" w:rsidR="00657CCC" w:rsidRPr="00562857" w:rsidRDefault="009E4EFE" w:rsidP="00D730B0">
      <w:pPr>
        <w:pStyle w:val="Texte1"/>
      </w:pPr>
      <w:r w:rsidRPr="001E4207">
        <w:t>A key test of a good multi-national nomination is whether all of the communities</w:t>
      </w:r>
      <w:r>
        <w:t xml:space="preserve"> concerned recognize a </w:t>
      </w:r>
      <w:r w:rsidR="00100A7F">
        <w:t>unified</w:t>
      </w:r>
      <w:r>
        <w:t xml:space="preserve"> element and consider </w:t>
      </w:r>
      <w:r w:rsidR="00100A7F">
        <w:t>that it</w:t>
      </w:r>
      <w:r>
        <w:t xml:space="preserve"> provid</w:t>
      </w:r>
      <w:r w:rsidR="00100A7F">
        <w:t>es</w:t>
      </w:r>
      <w:r>
        <w:t xml:space="preserve"> them a shared sense of identity and continuity. </w:t>
      </w:r>
      <w:r w:rsidR="00100A7F">
        <w:t xml:space="preserve">Even if several communities practise similar expressions, there may be nothing binding them together as a single element with which a single </w:t>
      </w:r>
      <w:r w:rsidR="00CD10D5">
        <w:t xml:space="preserve">large </w:t>
      </w:r>
      <w:r w:rsidR="00100A7F">
        <w:t>community or group identifies.</w:t>
      </w:r>
      <w:r w:rsidR="006E7212">
        <w:t xml:space="preserve"> And the members of the different communities may not recognize one another as sharing a common element.</w:t>
      </w:r>
      <w:r w:rsidR="00100A7F">
        <w:t xml:space="preserve"> Expressions or practices that appear similar may have vastly different meanings from one group to another, and their social functions within each group may have nothing in common. </w:t>
      </w:r>
      <w:r>
        <w:t xml:space="preserve">The Convention’s larger goal of </w:t>
      </w:r>
      <w:r w:rsidR="009614CB">
        <w:t xml:space="preserve">raising awareness of the importance of intangible cultural heritage should not </w:t>
      </w:r>
      <w:r w:rsidR="007B3F9D">
        <w:t xml:space="preserve">mislead </w:t>
      </w:r>
      <w:r w:rsidR="009614CB">
        <w:t>States Parties to invent artificial elements that may</w:t>
      </w:r>
      <w:r w:rsidR="007B3F9D">
        <w:t xml:space="preserve"> seem to</w:t>
      </w:r>
      <w:r w:rsidR="009614CB">
        <w:t xml:space="preserve"> share a superficial resemblance but are not</w:t>
      </w:r>
      <w:r w:rsidR="007B3F9D">
        <w:t xml:space="preserve"> in fact</w:t>
      </w:r>
      <w:r w:rsidR="009614CB">
        <w:t xml:space="preserve"> a single shared phenomenon, practised by and important to a single community</w:t>
      </w:r>
      <w:r w:rsidR="00100A7F">
        <w:t>.</w:t>
      </w:r>
    </w:p>
    <w:p w14:paraId="0B39684A" w14:textId="587D450A" w:rsidR="0002775B" w:rsidRDefault="005848D4" w:rsidP="00D730B0">
      <w:pPr>
        <w:pStyle w:val="Texte1"/>
      </w:pPr>
      <w:r>
        <w:t>The</w:t>
      </w:r>
      <w:r w:rsidR="00090884" w:rsidRPr="00562857">
        <w:t xml:space="preserve"> </w:t>
      </w:r>
      <w:r w:rsidR="003A6A2F">
        <w:t>ODs</w:t>
      </w:r>
      <w:r w:rsidR="00090884" w:rsidRPr="00562857">
        <w:t xml:space="preserve"> </w:t>
      </w:r>
      <w:r>
        <w:t xml:space="preserve">also </w:t>
      </w:r>
      <w:r w:rsidR="00090884" w:rsidRPr="00562857">
        <w:t>provide a procedure for enlarging the</w:t>
      </w:r>
      <w:r>
        <w:t xml:space="preserve"> scope of</w:t>
      </w:r>
      <w:r w:rsidR="00090884" w:rsidRPr="00562857">
        <w:t xml:space="preserve"> an element that is already inscribed on one of the Lists of the Convention</w:t>
      </w:r>
      <w:r>
        <w:t xml:space="preserve"> (ODs 16-19)</w:t>
      </w:r>
      <w:r w:rsidR="00090884" w:rsidRPr="00562857">
        <w:t xml:space="preserve">. </w:t>
      </w:r>
      <w:r>
        <w:t>This may be through extending the inscription to other communities within the original State or through cooperation with one or more other States</w:t>
      </w:r>
      <w:r w:rsidR="007B3F9D">
        <w:t xml:space="preserve"> where the element is found</w:t>
      </w:r>
      <w:r>
        <w:t>. For instance, a</w:t>
      </w:r>
      <w:r w:rsidRPr="00562857">
        <w:t>n ICH element that is shared between a State Party and a State that is not yet party to the Convention can</w:t>
      </w:r>
      <w:r>
        <w:t xml:space="preserve"> </w:t>
      </w:r>
      <w:r w:rsidRPr="00562857">
        <w:t>be nominated by the State Party concerned. Once the other State ratifies the Convention, the two States can together propose a new, extended inscription of the shared element (OD 1</w:t>
      </w:r>
      <w:r>
        <w:t>6</w:t>
      </w:r>
      <w:r w:rsidRPr="00562857">
        <w:t>).</w:t>
      </w:r>
    </w:p>
    <w:p w14:paraId="1522914E" w14:textId="215C0A97" w:rsidR="00090884" w:rsidRPr="00562857" w:rsidRDefault="0002775B" w:rsidP="00D730B0">
      <w:pPr>
        <w:pStyle w:val="Texte1"/>
      </w:pPr>
      <w:r>
        <w:t xml:space="preserve">Such an extended nomination is not simply an administrative </w:t>
      </w:r>
      <w:r w:rsidR="003D7AD9">
        <w:t>exercise</w:t>
      </w:r>
      <w:r>
        <w:t xml:space="preserve">: </w:t>
      </w:r>
      <w:r w:rsidR="009B4129">
        <w:t xml:space="preserve">all of </w:t>
      </w:r>
      <w:r>
        <w:t>the communities concerned – both those that were involved with the previous nomination and those newly involved – must clearly demonstrate their free, prior and informed consent to the new, shared nomination. And the opposite case may also arise: one or more communities may wish to be excluded from the scope of an element already inscribed, whether it was inscribed on a national or multi-national basis, and their wishes must be respected</w:t>
      </w:r>
      <w:r w:rsidR="003D7AD9">
        <w:t xml:space="preserve"> (OD 17)</w:t>
      </w:r>
      <w:r>
        <w:t>. For instance</w:t>
      </w:r>
      <w:r w:rsidR="007B3F9D">
        <w:t>,</w:t>
      </w:r>
      <w:r>
        <w:t xml:space="preserve"> a community may find that the expanded visibility and popularity </w:t>
      </w:r>
      <w:r w:rsidR="007B3F9D">
        <w:t>resulting from inscription</w:t>
      </w:r>
      <w:r>
        <w:t xml:space="preserve"> </w:t>
      </w:r>
      <w:r w:rsidR="00103510">
        <w:t>interferes with</w:t>
      </w:r>
      <w:r>
        <w:t xml:space="preserve"> </w:t>
      </w:r>
      <w:r w:rsidR="009B4129">
        <w:t xml:space="preserve">its </w:t>
      </w:r>
      <w:r>
        <w:t xml:space="preserve">own enjoyment of </w:t>
      </w:r>
      <w:r w:rsidR="009B4129">
        <w:t>that</w:t>
      </w:r>
      <w:r w:rsidR="007B3F9D">
        <w:t xml:space="preserve"> heritage</w:t>
      </w:r>
      <w:r>
        <w:t xml:space="preserve">, or </w:t>
      </w:r>
      <w:r w:rsidR="009B4129">
        <w:t xml:space="preserve">it </w:t>
      </w:r>
      <w:r>
        <w:lastRenderedPageBreak/>
        <w:t xml:space="preserve">may decide that the specificities of </w:t>
      </w:r>
      <w:r w:rsidR="009B4129">
        <w:t xml:space="preserve">its </w:t>
      </w:r>
      <w:r>
        <w:t xml:space="preserve">own method of practising an expression should not be </w:t>
      </w:r>
      <w:r w:rsidR="006E7212">
        <w:t>hidden or lost within</w:t>
      </w:r>
      <w:r>
        <w:t xml:space="preserve"> a more inclusive inscription.</w:t>
      </w:r>
    </w:p>
    <w:p w14:paraId="721C8FDE" w14:textId="630F0491" w:rsidR="00657CCC" w:rsidRPr="00562857" w:rsidRDefault="00657CCC" w:rsidP="00D730B0">
      <w:pPr>
        <w:pStyle w:val="Texte1"/>
      </w:pPr>
      <w:r w:rsidRPr="00562857">
        <w:t>At its seventh session (Paris, 2012), the Committee adopted an information-sharing mechanism through which States Parties can announce their intentions to nominate elements and other States Parties may learn of opportunities for cooperation in elaborating multi</w:t>
      </w:r>
      <w:r w:rsidR="005848D4">
        <w:t>-</w:t>
      </w:r>
      <w:r w:rsidRPr="00562857">
        <w:t>national nominations.</w:t>
      </w:r>
      <w:r w:rsidR="00103510">
        <w:t xml:space="preserve"> </w:t>
      </w:r>
    </w:p>
    <w:p w14:paraId="05D66B29" w14:textId="07BB47F1" w:rsidR="00657CCC" w:rsidRPr="00D730B0" w:rsidRDefault="005E0EFD" w:rsidP="00482544">
      <w:pPr>
        <w:pStyle w:val="Titcoul"/>
        <w:rPr>
          <w:w w:val="107"/>
          <w:lang w:val="en-GB"/>
        </w:rPr>
      </w:pPr>
      <w:bookmarkStart w:id="13" w:name="_Toc241229758"/>
      <w:bookmarkStart w:id="14" w:name="_Toc241229962"/>
      <w:bookmarkStart w:id="15" w:name="_Toc242165656"/>
      <w:r w:rsidRPr="00D730B0">
        <w:rPr>
          <w:w w:val="107"/>
          <w:lang w:val="en-GB"/>
        </w:rPr>
        <w:t>12</w:t>
      </w:r>
      <w:r w:rsidR="00657CCC" w:rsidRPr="00D730B0">
        <w:rPr>
          <w:w w:val="107"/>
          <w:lang w:val="en-GB"/>
        </w:rPr>
        <w:t>.</w:t>
      </w:r>
      <w:r w:rsidR="009614CB">
        <w:rPr>
          <w:w w:val="107"/>
          <w:lang w:val="en-GB"/>
        </w:rPr>
        <w:t>3</w:t>
      </w:r>
      <w:r w:rsidR="00785A75" w:rsidRPr="00D730B0">
        <w:rPr>
          <w:w w:val="107"/>
          <w:lang w:val="en-GB"/>
        </w:rPr>
        <w:tab/>
      </w:r>
      <w:r w:rsidR="00E662A1" w:rsidRPr="00D730B0">
        <w:rPr>
          <w:lang w:val="en-GB"/>
        </w:rPr>
        <w:t>The Intangible Cultural Heritage Fund</w:t>
      </w:r>
      <w:bookmarkEnd w:id="13"/>
      <w:bookmarkEnd w:id="14"/>
      <w:bookmarkEnd w:id="15"/>
    </w:p>
    <w:p w14:paraId="0DD9C1CA" w14:textId="0B3A4C4E" w:rsidR="00657CCC" w:rsidRPr="00562857" w:rsidRDefault="00657CCC" w:rsidP="002D5639">
      <w:pPr>
        <w:pStyle w:val="Texte1"/>
      </w:pPr>
      <w:r w:rsidRPr="00562857">
        <w:t xml:space="preserve">The Intangible </w:t>
      </w:r>
      <w:r w:rsidR="0039661E">
        <w:t xml:space="preserve">Cultural </w:t>
      </w:r>
      <w:r w:rsidRPr="00562857">
        <w:t>Heritage Fund</w:t>
      </w:r>
      <w:r w:rsidR="00E662A1" w:rsidRPr="00562857">
        <w:t xml:space="preserve"> (ICH Fund)</w:t>
      </w:r>
      <w:r w:rsidRPr="00562857">
        <w:t xml:space="preserve">, established by </w:t>
      </w:r>
      <w:r w:rsidR="00DD01F3" w:rsidRPr="00562857">
        <w:t>Article </w:t>
      </w:r>
      <w:r w:rsidRPr="00562857">
        <w:t xml:space="preserve">25 of the Convention, supports the safeguarding of ICH </w:t>
      </w:r>
      <w:r w:rsidR="00BD7751">
        <w:t xml:space="preserve">through various means, including </w:t>
      </w:r>
      <w:r w:rsidRPr="00562857">
        <w:t xml:space="preserve">by providing </w:t>
      </w:r>
      <w:r w:rsidR="003728DD">
        <w:t>International Assistance</w:t>
      </w:r>
      <w:r w:rsidR="005A1EB2">
        <w:t xml:space="preserve"> and supporting the work of the Committee</w:t>
      </w:r>
      <w:r w:rsidRPr="00562857">
        <w:t xml:space="preserve">. There are two main sources of </w:t>
      </w:r>
      <w:r w:rsidR="009614CB">
        <w:t>income</w:t>
      </w:r>
      <w:r w:rsidR="009614CB" w:rsidRPr="00562857">
        <w:t xml:space="preserve"> </w:t>
      </w:r>
      <w:r w:rsidRPr="00562857">
        <w:t>for the Fund:</w:t>
      </w:r>
    </w:p>
    <w:p w14:paraId="75EC1734" w14:textId="1C29910A" w:rsidR="00657CCC" w:rsidRPr="003A6A2F" w:rsidRDefault="00DD01F3" w:rsidP="003A6A2F">
      <w:pPr>
        <w:pStyle w:val="Txtpucegras"/>
        <w:numPr>
          <w:ilvl w:val="0"/>
          <w:numId w:val="6"/>
        </w:numPr>
        <w:tabs>
          <w:tab w:val="left" w:pos="567"/>
        </w:tabs>
        <w:ind w:left="1135" w:hanging="284"/>
        <w:rPr>
          <w:szCs w:val="24"/>
        </w:rPr>
      </w:pPr>
      <w:r w:rsidRPr="003A6A2F">
        <w:rPr>
          <w:szCs w:val="24"/>
        </w:rPr>
        <w:t>Article </w:t>
      </w:r>
      <w:r w:rsidR="00657CCC" w:rsidRPr="003A6A2F">
        <w:rPr>
          <w:szCs w:val="24"/>
        </w:rPr>
        <w:t xml:space="preserve">26.1 of the Convention </w:t>
      </w:r>
      <w:r w:rsidR="00345541" w:rsidRPr="003A6A2F">
        <w:rPr>
          <w:szCs w:val="24"/>
        </w:rPr>
        <w:t xml:space="preserve">requires </w:t>
      </w:r>
      <w:r w:rsidR="00657CCC" w:rsidRPr="003A6A2F">
        <w:rPr>
          <w:szCs w:val="24"/>
        </w:rPr>
        <w:t>States Parties to pay a contribution</w:t>
      </w:r>
      <w:r w:rsidR="00B74223" w:rsidRPr="003A6A2F">
        <w:rPr>
          <w:szCs w:val="24"/>
        </w:rPr>
        <w:t xml:space="preserve"> to the Fund at least every two years</w:t>
      </w:r>
      <w:r w:rsidR="00FB1842" w:rsidRPr="003A6A2F">
        <w:rPr>
          <w:szCs w:val="24"/>
        </w:rPr>
        <w:t xml:space="preserve"> (these are called assessed contributions)</w:t>
      </w:r>
      <w:r w:rsidR="00B74223" w:rsidRPr="003A6A2F">
        <w:rPr>
          <w:szCs w:val="24"/>
        </w:rPr>
        <w:t>.</w:t>
      </w:r>
      <w:r w:rsidR="00EF1424" w:rsidRPr="003A6A2F">
        <w:rPr>
          <w:szCs w:val="24"/>
        </w:rPr>
        <w:t xml:space="preserve"> </w:t>
      </w:r>
      <w:r w:rsidR="005A1EB2" w:rsidRPr="003A6A2F">
        <w:rPr>
          <w:szCs w:val="24"/>
        </w:rPr>
        <w:t>The General Assembly has fixed that</w:t>
      </w:r>
      <w:r w:rsidR="003A6A2F" w:rsidRPr="003A6A2F">
        <w:rPr>
          <w:szCs w:val="24"/>
        </w:rPr>
        <w:t xml:space="preserve"> contribution at one</w:t>
      </w:r>
      <w:r w:rsidR="00657CCC" w:rsidRPr="003A6A2F">
        <w:rPr>
          <w:szCs w:val="24"/>
        </w:rPr>
        <w:t xml:space="preserve"> per cent of the State </w:t>
      </w:r>
      <w:r w:rsidR="00EC1B57" w:rsidRPr="003A6A2F">
        <w:rPr>
          <w:szCs w:val="24"/>
        </w:rPr>
        <w:t xml:space="preserve">Party’s </w:t>
      </w:r>
      <w:r w:rsidR="00657CCC" w:rsidRPr="003A6A2F">
        <w:rPr>
          <w:szCs w:val="24"/>
        </w:rPr>
        <w:t>contribution to UNESCO</w:t>
      </w:r>
      <w:r w:rsidR="00BD7751" w:rsidRPr="003A6A2F">
        <w:rPr>
          <w:szCs w:val="24"/>
        </w:rPr>
        <w:t xml:space="preserve"> over the same period</w:t>
      </w:r>
      <w:r w:rsidR="00024878" w:rsidRPr="003A6A2F">
        <w:rPr>
          <w:szCs w:val="24"/>
        </w:rPr>
        <w:t xml:space="preserve">, which means that a </w:t>
      </w:r>
      <w:r w:rsidR="00E419C9" w:rsidRPr="003A6A2F">
        <w:rPr>
          <w:szCs w:val="24"/>
        </w:rPr>
        <w:t>steady source of revenue for safeguarding ICH</w:t>
      </w:r>
      <w:r w:rsidR="00024878" w:rsidRPr="003A6A2F">
        <w:rPr>
          <w:szCs w:val="24"/>
        </w:rPr>
        <w:t xml:space="preserve"> is ensured</w:t>
      </w:r>
      <w:r w:rsidR="00E419C9" w:rsidRPr="003A6A2F">
        <w:rPr>
          <w:szCs w:val="24"/>
        </w:rPr>
        <w:t>.</w:t>
      </w:r>
    </w:p>
    <w:p w14:paraId="7D432843" w14:textId="108AB53A" w:rsidR="00657CCC" w:rsidRPr="003A6A2F" w:rsidRDefault="00657CCC" w:rsidP="003A6A2F">
      <w:pPr>
        <w:pStyle w:val="Txtpucegras"/>
        <w:numPr>
          <w:ilvl w:val="0"/>
          <w:numId w:val="6"/>
        </w:numPr>
        <w:tabs>
          <w:tab w:val="left" w:pos="567"/>
        </w:tabs>
        <w:ind w:left="1135" w:hanging="284"/>
        <w:rPr>
          <w:szCs w:val="24"/>
        </w:rPr>
      </w:pPr>
      <w:r w:rsidRPr="003A6A2F">
        <w:rPr>
          <w:szCs w:val="24"/>
        </w:rPr>
        <w:t>States Parties and other agents may make voluntary supplementary contributions to the Fund (</w:t>
      </w:r>
      <w:r w:rsidR="00DD01F3" w:rsidRPr="003A6A2F">
        <w:rPr>
          <w:szCs w:val="24"/>
        </w:rPr>
        <w:t>Article </w:t>
      </w:r>
      <w:r w:rsidRPr="003A6A2F">
        <w:rPr>
          <w:szCs w:val="24"/>
        </w:rPr>
        <w:t>27; ODs 68</w:t>
      </w:r>
      <w:r w:rsidR="00BD7751" w:rsidRPr="003A6A2F">
        <w:rPr>
          <w:szCs w:val="24"/>
        </w:rPr>
        <w:t>-</w:t>
      </w:r>
      <w:r w:rsidRPr="003A6A2F">
        <w:rPr>
          <w:szCs w:val="24"/>
        </w:rPr>
        <w:t>75). The Secretariat publishes an updated list of States Parties, in alphabetical order, that have made supplementary voluntary contributions to the Fund, as well as of States other than States Parties that have made contributions to the Fund.</w:t>
      </w:r>
      <w:r w:rsidR="00024878" w:rsidRPr="003A6A2F">
        <w:rPr>
          <w:szCs w:val="24"/>
        </w:rPr>
        <w:t xml:space="preserve"> Examples for the use of voluntary supplementary contributions include expert meetings, open-ended working groups on issues of concern to the Committee and capacity-building projects.</w:t>
      </w:r>
    </w:p>
    <w:p w14:paraId="54283C15" w14:textId="778066EA" w:rsidR="009614CB" w:rsidRPr="00562857" w:rsidRDefault="009614CB" w:rsidP="00D730B0">
      <w:pPr>
        <w:pStyle w:val="Txtpucegras"/>
        <w:ind w:left="851"/>
      </w:pPr>
      <w:r>
        <w:t xml:space="preserve">Each time it meets, the General Assembly adopts a plan for the use of the resources of the Fund, recommended to it by the Committee. The </w:t>
      </w:r>
      <w:r w:rsidR="003A6A2F">
        <w:t>ODs</w:t>
      </w:r>
      <w:r>
        <w:t xml:space="preserve"> provide that the largest part of the Fund </w:t>
      </w:r>
      <w:r w:rsidR="00607CC8">
        <w:t>should</w:t>
      </w:r>
      <w:r>
        <w:t xml:space="preserve"> be used for </w:t>
      </w:r>
      <w:r w:rsidR="003728DD">
        <w:t>International Assistance</w:t>
      </w:r>
      <w:r>
        <w:t xml:space="preserve">, but </w:t>
      </w:r>
      <w:r w:rsidR="00534897">
        <w:t>the remainder</w:t>
      </w:r>
      <w:r>
        <w:t xml:space="preserve"> may also be used to help the Committee carry out its </w:t>
      </w:r>
      <w:r w:rsidR="00E123B5">
        <w:t>other</w:t>
      </w:r>
      <w:r>
        <w:t xml:space="preserve"> functions. For instance, the Fund supports participation in Committee meetings by expert</w:t>
      </w:r>
      <w:r w:rsidR="006E1135">
        <w:t xml:space="preserve">s </w:t>
      </w:r>
      <w:r>
        <w:t>representing developing countries</w:t>
      </w:r>
      <w:r w:rsidR="006E1135">
        <w:t xml:space="preserve"> and NGO representatives</w:t>
      </w:r>
      <w:r w:rsidR="00EC1B57">
        <w:t>;</w:t>
      </w:r>
      <w:r>
        <w:t xml:space="preserve"> pays the costs of the </w:t>
      </w:r>
      <w:r w:rsidR="005A1EB2">
        <w:t xml:space="preserve">expert </w:t>
      </w:r>
      <w:r>
        <w:t>evaluation of nominations, proposals and requests</w:t>
      </w:r>
      <w:r w:rsidR="00EC1B57">
        <w:t>;</w:t>
      </w:r>
      <w:r>
        <w:t xml:space="preserve"> and provides funding for other </w:t>
      </w:r>
      <w:r w:rsidR="00EC1B57">
        <w:t>functions</w:t>
      </w:r>
      <w:r>
        <w:t xml:space="preserve"> of the Committee</w:t>
      </w:r>
      <w:r w:rsidR="00450479">
        <w:t xml:space="preserve"> within the scope of the functions detailed in Article 7 of the Convention</w:t>
      </w:r>
      <w:r>
        <w:t>.</w:t>
      </w:r>
    </w:p>
    <w:p w14:paraId="146C94A5" w14:textId="63D4640B" w:rsidR="00657CCC" w:rsidRPr="00562857" w:rsidRDefault="005E0EFD" w:rsidP="00C82E38">
      <w:pPr>
        <w:pStyle w:val="Titcoul"/>
        <w:rPr>
          <w:w w:val="107"/>
          <w:lang w:val="en-GB"/>
        </w:rPr>
      </w:pPr>
      <w:bookmarkStart w:id="16" w:name="_Toc241229759"/>
      <w:bookmarkStart w:id="17" w:name="_Toc241229963"/>
      <w:bookmarkStart w:id="18" w:name="_Toc242165657"/>
      <w:r w:rsidRPr="00562857">
        <w:rPr>
          <w:w w:val="107"/>
          <w:lang w:val="en-GB"/>
        </w:rPr>
        <w:t>12</w:t>
      </w:r>
      <w:r w:rsidR="00657CCC" w:rsidRPr="00562857">
        <w:rPr>
          <w:w w:val="107"/>
          <w:lang w:val="en-GB"/>
        </w:rPr>
        <w:t>.</w:t>
      </w:r>
      <w:r w:rsidR="009614CB">
        <w:rPr>
          <w:w w:val="107"/>
          <w:lang w:val="en-GB"/>
        </w:rPr>
        <w:t>4</w:t>
      </w:r>
      <w:r w:rsidR="00E419C9">
        <w:rPr>
          <w:w w:val="107"/>
          <w:lang w:val="en-GB"/>
        </w:rPr>
        <w:tab/>
      </w:r>
      <w:r w:rsidR="00785A75" w:rsidRPr="00562857">
        <w:rPr>
          <w:w w:val="107"/>
          <w:lang w:val="en-GB"/>
        </w:rPr>
        <w:tab/>
      </w:r>
      <w:r w:rsidR="003728DD">
        <w:rPr>
          <w:w w:val="107"/>
          <w:lang w:val="en-GB"/>
        </w:rPr>
        <w:t>INTERNATIONAL ASSISTANCE</w:t>
      </w:r>
      <w:bookmarkEnd w:id="16"/>
      <w:bookmarkEnd w:id="17"/>
      <w:bookmarkEnd w:id="18"/>
    </w:p>
    <w:p w14:paraId="248F2CA0" w14:textId="6CABEDB5" w:rsidR="00657CCC" w:rsidRPr="00562857" w:rsidRDefault="00C9633A" w:rsidP="002D5639">
      <w:pPr>
        <w:pStyle w:val="Texte1"/>
      </w:pPr>
      <w:r>
        <w:t>The</w:t>
      </w:r>
      <w:r w:rsidRPr="00562857">
        <w:rPr>
          <w:spacing w:val="14"/>
        </w:rPr>
        <w:t xml:space="preserve"> </w:t>
      </w:r>
      <w:r>
        <w:rPr>
          <w:spacing w:val="14"/>
        </w:rPr>
        <w:t>‘</w:t>
      </w:r>
      <w:r w:rsidRPr="00562857">
        <w:t>mechanism</w:t>
      </w:r>
      <w:r w:rsidRPr="00562857">
        <w:rPr>
          <w:spacing w:val="12"/>
        </w:rPr>
        <w:t xml:space="preserve"> </w:t>
      </w:r>
      <w:r w:rsidRPr="00562857">
        <w:t>of</w:t>
      </w:r>
      <w:r w:rsidRPr="00562857">
        <w:rPr>
          <w:spacing w:val="13"/>
        </w:rPr>
        <w:t xml:space="preserve"> </w:t>
      </w:r>
      <w:r w:rsidRPr="00562857">
        <w:t>assistance</w:t>
      </w:r>
      <w:r w:rsidRPr="00562857">
        <w:rPr>
          <w:spacing w:val="12"/>
        </w:rPr>
        <w:t xml:space="preserve"> </w:t>
      </w:r>
      <w:r w:rsidRPr="00562857">
        <w:t>to</w:t>
      </w:r>
      <w:r w:rsidRPr="00562857">
        <w:rPr>
          <w:spacing w:val="12"/>
        </w:rPr>
        <w:t xml:space="preserve"> </w:t>
      </w:r>
      <w:r w:rsidRPr="00562857">
        <w:t>States</w:t>
      </w:r>
      <w:r w:rsidRPr="00562857">
        <w:rPr>
          <w:spacing w:val="13"/>
        </w:rPr>
        <w:t xml:space="preserve"> </w:t>
      </w:r>
      <w:r w:rsidRPr="00562857">
        <w:t>Pa</w:t>
      </w:r>
      <w:r w:rsidRPr="00562857">
        <w:rPr>
          <w:spacing w:val="6"/>
        </w:rPr>
        <w:t>r</w:t>
      </w:r>
      <w:r w:rsidRPr="00562857">
        <w:t>ties</w:t>
      </w:r>
      <w:r w:rsidRPr="00562857">
        <w:rPr>
          <w:spacing w:val="13"/>
        </w:rPr>
        <w:t xml:space="preserve"> </w:t>
      </w:r>
      <w:r w:rsidRPr="00562857">
        <w:t xml:space="preserve">in </w:t>
      </w:r>
      <w:r w:rsidRPr="00562857">
        <w:rPr>
          <w:position w:val="-1"/>
        </w:rPr>
        <w:t>their ef</w:t>
      </w:r>
      <w:r w:rsidRPr="00562857">
        <w:rPr>
          <w:spacing w:val="-2"/>
          <w:position w:val="-1"/>
        </w:rPr>
        <w:t>f</w:t>
      </w:r>
      <w:r w:rsidRPr="00562857">
        <w:rPr>
          <w:position w:val="-1"/>
        </w:rPr>
        <w:t>orts to sa</w:t>
      </w:r>
      <w:r w:rsidRPr="00562857">
        <w:rPr>
          <w:spacing w:val="-2"/>
          <w:position w:val="-1"/>
        </w:rPr>
        <w:t>f</w:t>
      </w:r>
      <w:r w:rsidRPr="00562857">
        <w:rPr>
          <w:position w:val="-1"/>
        </w:rPr>
        <w:t>egua</w:t>
      </w:r>
      <w:r w:rsidRPr="00562857">
        <w:rPr>
          <w:spacing w:val="-1"/>
          <w:position w:val="-1"/>
        </w:rPr>
        <w:t>r</w:t>
      </w:r>
      <w:r w:rsidRPr="00562857">
        <w:rPr>
          <w:position w:val="-1"/>
        </w:rPr>
        <w:t>d the intan</w:t>
      </w:r>
      <w:r w:rsidRPr="00562857">
        <w:rPr>
          <w:spacing w:val="-1"/>
          <w:position w:val="-1"/>
        </w:rPr>
        <w:t>g</w:t>
      </w:r>
      <w:r w:rsidRPr="00562857">
        <w:rPr>
          <w:position w:val="-1"/>
        </w:rPr>
        <w:t>ible cultu</w:t>
      </w:r>
      <w:r w:rsidRPr="00562857">
        <w:rPr>
          <w:spacing w:val="-1"/>
          <w:position w:val="-1"/>
        </w:rPr>
        <w:t>r</w:t>
      </w:r>
      <w:r w:rsidRPr="00562857">
        <w:rPr>
          <w:position w:val="-1"/>
        </w:rPr>
        <w:t>al heritag</w:t>
      </w:r>
      <w:r w:rsidRPr="00562857">
        <w:rPr>
          <w:spacing w:val="-3"/>
          <w:position w:val="-1"/>
        </w:rPr>
        <w:t>e</w:t>
      </w:r>
      <w:r>
        <w:rPr>
          <w:spacing w:val="-3"/>
          <w:position w:val="-1"/>
        </w:rPr>
        <w:t>’ that is described in Article 19.1 of the Convention is known more simply as ‘</w:t>
      </w:r>
      <w:r w:rsidR="003728DD">
        <w:rPr>
          <w:spacing w:val="-3"/>
          <w:position w:val="-1"/>
        </w:rPr>
        <w:t>International Assistance</w:t>
      </w:r>
      <w:r>
        <w:rPr>
          <w:spacing w:val="-3"/>
          <w:position w:val="-1"/>
        </w:rPr>
        <w:t>’, and the Convention devotes Articles 20-24 to describing it in greater detail.</w:t>
      </w:r>
      <w:r w:rsidRPr="00562857">
        <w:t xml:space="preserve"> </w:t>
      </w:r>
      <w:r>
        <w:t xml:space="preserve">The procedures, criteria and timetable for a State Party to request such assistance are spelled out in Chapter I of the </w:t>
      </w:r>
      <w:r w:rsidR="003A6A2F">
        <w:t>ODs</w:t>
      </w:r>
      <w:r>
        <w:t xml:space="preserve">, where they are treated together with nominations to the Lists </w:t>
      </w:r>
      <w:r w:rsidR="00C25348">
        <w:t>and</w:t>
      </w:r>
      <w:r>
        <w:t xml:space="preserve"> proposals to the Register of </w:t>
      </w:r>
      <w:r w:rsidR="00F739F8">
        <w:t>Good</w:t>
      </w:r>
      <w:r>
        <w:t xml:space="preserve"> Safeguarding Practices.</w:t>
      </w:r>
    </w:p>
    <w:p w14:paraId="23AFAFD2" w14:textId="014C4111" w:rsidR="00657CCC" w:rsidRPr="00562857" w:rsidRDefault="00657CCC" w:rsidP="00A853D3">
      <w:pPr>
        <w:pStyle w:val="Heading4"/>
        <w:rPr>
          <w:lang w:val="en-GB"/>
        </w:rPr>
      </w:pPr>
      <w:r w:rsidRPr="00562857">
        <w:rPr>
          <w:lang w:val="en-GB"/>
        </w:rPr>
        <w:lastRenderedPageBreak/>
        <w:t>Purpose</w:t>
      </w:r>
      <w:r w:rsidR="005E7556">
        <w:rPr>
          <w:lang w:val="en-GB"/>
        </w:rPr>
        <w:t>s</w:t>
      </w:r>
      <w:r w:rsidRPr="00562857">
        <w:rPr>
          <w:spacing w:val="5"/>
          <w:w w:val="107"/>
          <w:lang w:val="en-GB"/>
        </w:rPr>
        <w:t xml:space="preserve"> </w:t>
      </w:r>
      <w:r w:rsidRPr="00562857">
        <w:rPr>
          <w:lang w:val="en-GB"/>
        </w:rPr>
        <w:t>of</w:t>
      </w:r>
      <w:r w:rsidRPr="00562857">
        <w:rPr>
          <w:spacing w:val="5"/>
          <w:w w:val="107"/>
          <w:lang w:val="en-GB"/>
        </w:rPr>
        <w:t xml:space="preserve"> </w:t>
      </w:r>
      <w:r w:rsidR="003728DD">
        <w:rPr>
          <w:lang w:val="en-GB"/>
        </w:rPr>
        <w:t>International Assistance</w:t>
      </w:r>
    </w:p>
    <w:p w14:paraId="25F8DFE3" w14:textId="04AECFC8" w:rsidR="00657CCC" w:rsidRPr="00562857" w:rsidRDefault="00657CCC" w:rsidP="002D5639">
      <w:pPr>
        <w:pStyle w:val="Texte1"/>
      </w:pPr>
      <w:r w:rsidRPr="00562857">
        <w:t xml:space="preserve">According to </w:t>
      </w:r>
      <w:r w:rsidR="00DD01F3" w:rsidRPr="00562857">
        <w:rPr>
          <w:b/>
        </w:rPr>
        <w:t>Article </w:t>
      </w:r>
      <w:r w:rsidRPr="00562857">
        <w:rPr>
          <w:b/>
        </w:rPr>
        <w:t>20</w:t>
      </w:r>
      <w:r w:rsidRPr="00562857">
        <w:t xml:space="preserve"> of the Convention, the Committee may grant </w:t>
      </w:r>
      <w:r w:rsidR="003728DD">
        <w:t>International Assistance</w:t>
      </w:r>
      <w:r w:rsidRPr="00562857">
        <w:t xml:space="preserve"> to support the following activities:</w:t>
      </w:r>
    </w:p>
    <w:p w14:paraId="57B1BDB6" w14:textId="64075DBC" w:rsidR="00657CCC" w:rsidRPr="00562857" w:rsidRDefault="00657CCC" w:rsidP="00F02C31">
      <w:pPr>
        <w:pStyle w:val="Enutiret"/>
        <w:numPr>
          <w:ilvl w:val="0"/>
          <w:numId w:val="522"/>
        </w:numPr>
      </w:pPr>
      <w:r w:rsidRPr="00562857">
        <w:t xml:space="preserve">safeguarding of </w:t>
      </w:r>
      <w:r w:rsidR="00C9633A">
        <w:t>heritage inscribed</w:t>
      </w:r>
      <w:r w:rsidR="00C9633A" w:rsidRPr="00562857">
        <w:t xml:space="preserve"> </w:t>
      </w:r>
      <w:r w:rsidRPr="00562857">
        <w:t>on the USL;</w:t>
      </w:r>
    </w:p>
    <w:p w14:paraId="58C7DC70" w14:textId="77777777" w:rsidR="00657CCC" w:rsidRPr="00562857" w:rsidRDefault="00657CCC" w:rsidP="00F02C31">
      <w:pPr>
        <w:pStyle w:val="Enutiret"/>
        <w:numPr>
          <w:ilvl w:val="0"/>
          <w:numId w:val="522"/>
        </w:numPr>
      </w:pPr>
      <w:r w:rsidRPr="00562857">
        <w:t>preparation of inventories;</w:t>
      </w:r>
    </w:p>
    <w:p w14:paraId="06608F0E" w14:textId="4FF8B6F6" w:rsidR="00657CCC" w:rsidRPr="00562857" w:rsidRDefault="00657CCC" w:rsidP="00F02C31">
      <w:pPr>
        <w:pStyle w:val="Enutiret"/>
        <w:numPr>
          <w:ilvl w:val="0"/>
          <w:numId w:val="522"/>
        </w:numPr>
      </w:pPr>
      <w:r w:rsidRPr="00562857">
        <w:t xml:space="preserve">support for programmes, projects and activities aimed at safeguarding ICH at the national, </w:t>
      </w:r>
      <w:proofErr w:type="spellStart"/>
      <w:r w:rsidRPr="00562857">
        <w:t>subregional</w:t>
      </w:r>
      <w:proofErr w:type="spellEnd"/>
      <w:r w:rsidRPr="00562857">
        <w:t xml:space="preserve"> and regional levels; and</w:t>
      </w:r>
    </w:p>
    <w:p w14:paraId="166383D1" w14:textId="09A3E4DE" w:rsidR="00C9633A" w:rsidRDefault="00657CCC" w:rsidP="00F02C31">
      <w:pPr>
        <w:pStyle w:val="Enutiret"/>
        <w:numPr>
          <w:ilvl w:val="0"/>
          <w:numId w:val="522"/>
        </w:numPr>
      </w:pPr>
      <w:proofErr w:type="gramStart"/>
      <w:r w:rsidRPr="00562857">
        <w:t>any</w:t>
      </w:r>
      <w:proofErr w:type="gramEnd"/>
      <w:r w:rsidRPr="00562857">
        <w:t xml:space="preserve"> other purposes the Committee may deem necessary.</w:t>
      </w:r>
    </w:p>
    <w:p w14:paraId="41F34679" w14:textId="428DA91F" w:rsidR="000158F8" w:rsidRDefault="00C9633A" w:rsidP="00D730B0">
      <w:pPr>
        <w:pStyle w:val="Enutiret"/>
        <w:numPr>
          <w:ilvl w:val="0"/>
          <w:numId w:val="0"/>
        </w:numPr>
        <w:ind w:left="851"/>
      </w:pPr>
      <w:r w:rsidRPr="00562857">
        <w:t>Th</w:t>
      </w:r>
      <w:r>
        <w:t xml:space="preserve">e </w:t>
      </w:r>
      <w:r w:rsidR="003A6A2F">
        <w:t>ODs</w:t>
      </w:r>
      <w:r>
        <w:t xml:space="preserve"> </w:t>
      </w:r>
      <w:r w:rsidR="004B64D7">
        <w:t xml:space="preserve">(OD 9) </w:t>
      </w:r>
      <w:r>
        <w:t>explain that the Committee will give priority to the first three, as well as</w:t>
      </w:r>
      <w:r w:rsidR="003F5EF7">
        <w:t xml:space="preserve"> to</w:t>
      </w:r>
      <w:r>
        <w:t xml:space="preserve"> </w:t>
      </w:r>
      <w:r w:rsidR="00657CCC" w:rsidRPr="00562857">
        <w:t xml:space="preserve">preparatory assistance (i.e. for preparing nomination files for the USL and </w:t>
      </w:r>
      <w:r w:rsidR="00E419C9">
        <w:t xml:space="preserve">proposals for </w:t>
      </w:r>
      <w:r w:rsidR="00657CCC" w:rsidRPr="00562857">
        <w:t>the Register</w:t>
      </w:r>
      <w:r>
        <w:t>)</w:t>
      </w:r>
      <w:r w:rsidR="00EC1B57">
        <w:t>.</w:t>
      </w:r>
    </w:p>
    <w:p w14:paraId="415CC1CF" w14:textId="121C5CD6" w:rsidR="00657CCC" w:rsidRPr="00562857" w:rsidRDefault="000158F8" w:rsidP="00D730B0">
      <w:pPr>
        <w:pStyle w:val="Enutiret"/>
        <w:numPr>
          <w:ilvl w:val="0"/>
          <w:numId w:val="0"/>
        </w:numPr>
        <w:ind w:left="851"/>
      </w:pPr>
      <w:r w:rsidRPr="00562857">
        <w:t xml:space="preserve">States Parties may, for example, request financial assistance for safeguarding projects contained in nominations proposed to the USL – </w:t>
      </w:r>
      <w:r>
        <w:t xml:space="preserve">if the element is </w:t>
      </w:r>
      <w:proofErr w:type="gramStart"/>
      <w:r>
        <w:t>inscribed,</w:t>
      </w:r>
      <w:proofErr w:type="gramEnd"/>
      <w:r>
        <w:t xml:space="preserve"> </w:t>
      </w:r>
      <w:r w:rsidRPr="00562857">
        <w:t xml:space="preserve">such requests </w:t>
      </w:r>
      <w:r>
        <w:t xml:space="preserve">then </w:t>
      </w:r>
      <w:r w:rsidRPr="00562857">
        <w:t xml:space="preserve">have high priority (OD 9(a)). </w:t>
      </w:r>
      <w:r w:rsidRPr="000158F8">
        <w:t xml:space="preserve">Beginning with the 2016 cycle, the Secretariat introduced a </w:t>
      </w:r>
      <w:r w:rsidR="004B64D7">
        <w:t>combined</w:t>
      </w:r>
      <w:r w:rsidR="004B64D7" w:rsidRPr="000158F8">
        <w:t xml:space="preserve"> </w:t>
      </w:r>
      <w:r w:rsidRPr="000158F8">
        <w:t xml:space="preserve">ICH-01bis form by which a State Party may simultaneously nominate an element for inscription on the Urgent Safeguarding List and request </w:t>
      </w:r>
      <w:r w:rsidR="003728DD">
        <w:t>International Assistance</w:t>
      </w:r>
      <w:r w:rsidRPr="000158F8">
        <w:t>.</w:t>
      </w:r>
      <w:r>
        <w:t xml:space="preserve"> </w:t>
      </w:r>
      <w:r w:rsidRPr="00562857">
        <w:t xml:space="preserve">Funding may, of course, also be requested for safeguarding ICH that </w:t>
      </w:r>
      <w:r w:rsidR="00E419C9">
        <w:t>is</w:t>
      </w:r>
      <w:r w:rsidR="00E419C9" w:rsidRPr="00562857">
        <w:t xml:space="preserve"> </w:t>
      </w:r>
      <w:r w:rsidRPr="00562857">
        <w:t>in need of safeguarding</w:t>
      </w:r>
      <w:r w:rsidR="00E419C9">
        <w:t xml:space="preserve">, even if no specific element is </w:t>
      </w:r>
      <w:r w:rsidRPr="00562857">
        <w:t>inscribed on a List of the Convention (OD 9(c)).</w:t>
      </w:r>
      <w:r>
        <w:t xml:space="preserve"> </w:t>
      </w:r>
      <w:r w:rsidRPr="00562857">
        <w:t xml:space="preserve">Safeguarding measures for elements inscribed on the RL do not receive special </w:t>
      </w:r>
      <w:r>
        <w:t>priority</w:t>
      </w:r>
      <w:r w:rsidRPr="00562857">
        <w:t xml:space="preserve"> for </w:t>
      </w:r>
      <w:r w:rsidR="003728DD">
        <w:t>International Assistance</w:t>
      </w:r>
      <w:r w:rsidRPr="00562857">
        <w:t>, as they are</w:t>
      </w:r>
      <w:r>
        <w:t xml:space="preserve"> typically</w:t>
      </w:r>
      <w:r w:rsidRPr="00562857">
        <w:t xml:space="preserve"> viable and healthy.</w:t>
      </w:r>
    </w:p>
    <w:p w14:paraId="381F05E7" w14:textId="6C429D74" w:rsidR="005E7556" w:rsidRDefault="005E7556" w:rsidP="00A853D3">
      <w:pPr>
        <w:pStyle w:val="Heading4"/>
        <w:rPr>
          <w:w w:val="107"/>
          <w:lang w:val="en-GB"/>
        </w:rPr>
      </w:pPr>
      <w:r>
        <w:rPr>
          <w:w w:val="107"/>
          <w:lang w:val="en-GB"/>
        </w:rPr>
        <w:t xml:space="preserve">Forms of </w:t>
      </w:r>
      <w:r w:rsidR="003728DD">
        <w:rPr>
          <w:w w:val="107"/>
          <w:lang w:val="en-GB"/>
        </w:rPr>
        <w:t>International Assistance</w:t>
      </w:r>
    </w:p>
    <w:p w14:paraId="7F5CEB15" w14:textId="45456A6A" w:rsidR="005E7556" w:rsidRPr="005E7556" w:rsidRDefault="005E7556" w:rsidP="005E7556">
      <w:pPr>
        <w:rPr>
          <w:lang w:val="en-GB" w:eastAsia="en-US"/>
        </w:rPr>
      </w:pPr>
      <w:r w:rsidRPr="005E7556">
        <w:rPr>
          <w:b/>
          <w:bCs/>
          <w:lang w:val="en-GB" w:eastAsia="en-US"/>
        </w:rPr>
        <w:t xml:space="preserve">Article 21 </w:t>
      </w:r>
      <w:r>
        <w:rPr>
          <w:lang w:val="en-GB" w:eastAsia="en-US"/>
        </w:rPr>
        <w:t>of the Convention provides</w:t>
      </w:r>
      <w:r w:rsidRPr="005E7556">
        <w:rPr>
          <w:lang w:val="en-GB" w:eastAsia="en-US"/>
        </w:rPr>
        <w:t xml:space="preserve"> that </w:t>
      </w:r>
      <w:r w:rsidR="003728DD">
        <w:rPr>
          <w:lang w:val="en-GB" w:eastAsia="en-US"/>
        </w:rPr>
        <w:t>International Assistance</w:t>
      </w:r>
      <w:r w:rsidRPr="005E7556">
        <w:rPr>
          <w:lang w:val="en-GB" w:eastAsia="en-US"/>
        </w:rPr>
        <w:t xml:space="preserve"> may take </w:t>
      </w:r>
      <w:r>
        <w:rPr>
          <w:lang w:val="en-GB" w:eastAsia="en-US"/>
        </w:rPr>
        <w:t>a number of different</w:t>
      </w:r>
      <w:r w:rsidRPr="005E7556">
        <w:rPr>
          <w:lang w:val="en-GB" w:eastAsia="en-US"/>
        </w:rPr>
        <w:t xml:space="preserve"> forms:</w:t>
      </w:r>
    </w:p>
    <w:p w14:paraId="2AB38CA0" w14:textId="655E95B4" w:rsidR="005E7556" w:rsidRPr="001E4207" w:rsidRDefault="005E7556" w:rsidP="005E7556">
      <w:pPr>
        <w:pStyle w:val="Enutiret"/>
        <w:numPr>
          <w:ilvl w:val="0"/>
          <w:numId w:val="521"/>
        </w:numPr>
        <w:tabs>
          <w:tab w:val="clear" w:pos="1137"/>
          <w:tab w:val="num" w:pos="1560"/>
        </w:tabs>
        <w:ind w:hanging="3"/>
      </w:pPr>
      <w:r w:rsidRPr="005E7556">
        <w:rPr>
          <w:lang w:eastAsia="en-US"/>
        </w:rPr>
        <w:tab/>
      </w:r>
      <w:r w:rsidRPr="001E4207">
        <w:rPr>
          <w:lang w:eastAsia="en-US"/>
        </w:rPr>
        <w:t>studies con</w:t>
      </w:r>
      <w:r w:rsidRPr="001E4207">
        <w:t>cerning various aspects of safeguarding;</w:t>
      </w:r>
    </w:p>
    <w:p w14:paraId="4526A3AD" w14:textId="2E398902" w:rsidR="005E7556" w:rsidRPr="001E4207" w:rsidRDefault="005E7556" w:rsidP="005E7556">
      <w:pPr>
        <w:pStyle w:val="Enutiret"/>
        <w:numPr>
          <w:ilvl w:val="0"/>
          <w:numId w:val="521"/>
        </w:numPr>
        <w:tabs>
          <w:tab w:val="clear" w:pos="1137"/>
          <w:tab w:val="num" w:pos="1560"/>
        </w:tabs>
        <w:ind w:hanging="3"/>
      </w:pPr>
      <w:r w:rsidRPr="001E4207">
        <w:tab/>
        <w:t>the provision of experts and practitioners;</w:t>
      </w:r>
    </w:p>
    <w:p w14:paraId="7661FD9C" w14:textId="7CAA7B7B" w:rsidR="005E7556" w:rsidRPr="001E4207" w:rsidRDefault="005E7556" w:rsidP="005E7556">
      <w:pPr>
        <w:pStyle w:val="Enutiret"/>
        <w:numPr>
          <w:ilvl w:val="0"/>
          <w:numId w:val="521"/>
        </w:numPr>
        <w:tabs>
          <w:tab w:val="clear" w:pos="1137"/>
          <w:tab w:val="num" w:pos="1560"/>
        </w:tabs>
        <w:ind w:hanging="3"/>
      </w:pPr>
      <w:r w:rsidRPr="001E4207">
        <w:t>the training of all necessary staff;</w:t>
      </w:r>
    </w:p>
    <w:p w14:paraId="284B3ABE" w14:textId="31F3C941" w:rsidR="005E7556" w:rsidRPr="001E4207" w:rsidRDefault="005E7556" w:rsidP="005E7556">
      <w:pPr>
        <w:pStyle w:val="Enutiret"/>
        <w:numPr>
          <w:ilvl w:val="0"/>
          <w:numId w:val="521"/>
        </w:numPr>
        <w:tabs>
          <w:tab w:val="clear" w:pos="1137"/>
          <w:tab w:val="num" w:pos="1560"/>
        </w:tabs>
        <w:ind w:hanging="3"/>
      </w:pPr>
      <w:r w:rsidRPr="001E4207">
        <w:tab/>
        <w:t>the elaboration of standard-setting and other measures;</w:t>
      </w:r>
    </w:p>
    <w:p w14:paraId="6919423E" w14:textId="47A16311" w:rsidR="005E7556" w:rsidRPr="001E4207" w:rsidRDefault="005E7556" w:rsidP="005E7556">
      <w:pPr>
        <w:pStyle w:val="Enutiret"/>
        <w:numPr>
          <w:ilvl w:val="0"/>
          <w:numId w:val="521"/>
        </w:numPr>
        <w:tabs>
          <w:tab w:val="clear" w:pos="1137"/>
          <w:tab w:val="num" w:pos="1560"/>
        </w:tabs>
        <w:ind w:hanging="3"/>
      </w:pPr>
      <w:r w:rsidRPr="001E4207">
        <w:tab/>
        <w:t>the creation and operation of infrastructures;</w:t>
      </w:r>
    </w:p>
    <w:p w14:paraId="090F3FB6" w14:textId="4B92CDED" w:rsidR="005E7556" w:rsidRPr="001E4207" w:rsidRDefault="005E7556" w:rsidP="005E7556">
      <w:pPr>
        <w:pStyle w:val="Enutiret"/>
        <w:numPr>
          <w:ilvl w:val="0"/>
          <w:numId w:val="521"/>
        </w:numPr>
        <w:tabs>
          <w:tab w:val="clear" w:pos="1137"/>
          <w:tab w:val="num" w:pos="1560"/>
        </w:tabs>
        <w:ind w:hanging="3"/>
      </w:pPr>
      <w:r w:rsidRPr="001E4207">
        <w:tab/>
        <w:t>the supply of equipment and know-how;</w:t>
      </w:r>
    </w:p>
    <w:p w14:paraId="134176E5" w14:textId="0785F842" w:rsidR="005E7556" w:rsidRPr="001E4207" w:rsidRDefault="005E7556" w:rsidP="005E7556">
      <w:pPr>
        <w:pStyle w:val="Enutiret"/>
        <w:numPr>
          <w:ilvl w:val="0"/>
          <w:numId w:val="521"/>
        </w:numPr>
        <w:tabs>
          <w:tab w:val="clear" w:pos="1137"/>
          <w:tab w:val="num" w:pos="1560"/>
        </w:tabs>
        <w:ind w:left="1560" w:hanging="426"/>
        <w:rPr>
          <w:lang w:eastAsia="en-US"/>
        </w:rPr>
      </w:pPr>
      <w:r w:rsidRPr="001E4207">
        <w:tab/>
      </w:r>
      <w:proofErr w:type="gramStart"/>
      <w:r w:rsidRPr="001E4207">
        <w:t>other</w:t>
      </w:r>
      <w:proofErr w:type="gramEnd"/>
      <w:r w:rsidRPr="001E4207">
        <w:t xml:space="preserve"> forms of fin</w:t>
      </w:r>
      <w:r w:rsidRPr="001E4207">
        <w:rPr>
          <w:lang w:eastAsia="en-US"/>
        </w:rPr>
        <w:t>ancial and technical assistance, including, where appropriate, the granting of low-interest loans and donations.</w:t>
      </w:r>
    </w:p>
    <w:p w14:paraId="4E360A66" w14:textId="38A916E0" w:rsidR="005E7556" w:rsidRPr="005E7556" w:rsidRDefault="005E7556" w:rsidP="005E7556">
      <w:pPr>
        <w:pStyle w:val="Texte1"/>
        <w:rPr>
          <w:lang w:eastAsia="en-US"/>
        </w:rPr>
      </w:pPr>
      <w:r w:rsidRPr="00EF5F70">
        <w:rPr>
          <w:szCs w:val="22"/>
        </w:rPr>
        <w:t>In most cases, a State Party requests financial assistance from the Intangible Cultural Heritage Fund that it then use</w:t>
      </w:r>
      <w:r w:rsidR="00A11600">
        <w:rPr>
          <w:szCs w:val="22"/>
        </w:rPr>
        <w:t>s</w:t>
      </w:r>
      <w:r w:rsidRPr="00EF5F70">
        <w:rPr>
          <w:szCs w:val="22"/>
        </w:rPr>
        <w:t xml:space="preserve"> to acquire such goods and services</w:t>
      </w:r>
      <w:r>
        <w:rPr>
          <w:szCs w:val="22"/>
        </w:rPr>
        <w:t xml:space="preserve">. But a State Party may </w:t>
      </w:r>
      <w:r w:rsidR="00A11600">
        <w:rPr>
          <w:szCs w:val="22"/>
        </w:rPr>
        <w:t>prefer</w:t>
      </w:r>
      <w:r>
        <w:rPr>
          <w:szCs w:val="22"/>
        </w:rPr>
        <w:t xml:space="preserve"> to receive direct assistance (</w:t>
      </w:r>
      <w:r w:rsidR="00EC1B57">
        <w:rPr>
          <w:szCs w:val="22"/>
        </w:rPr>
        <w:t>in the forms</w:t>
      </w:r>
      <w:r>
        <w:rPr>
          <w:szCs w:val="22"/>
        </w:rPr>
        <w:t xml:space="preserve"> described in (a) </w:t>
      </w:r>
      <w:r w:rsidRPr="001E4207">
        <w:rPr>
          <w:szCs w:val="22"/>
        </w:rPr>
        <w:t xml:space="preserve">through (f) above), rather than receiving funds that it would </w:t>
      </w:r>
      <w:r w:rsidR="00A11600" w:rsidRPr="001E4207">
        <w:rPr>
          <w:szCs w:val="22"/>
        </w:rPr>
        <w:t xml:space="preserve">have to </w:t>
      </w:r>
      <w:r w:rsidRPr="001E4207">
        <w:rPr>
          <w:szCs w:val="22"/>
        </w:rPr>
        <w:t xml:space="preserve">manage and spend. </w:t>
      </w:r>
      <w:r w:rsidR="00A11600">
        <w:rPr>
          <w:szCs w:val="22"/>
        </w:rPr>
        <w:t>Each State Party determine</w:t>
      </w:r>
      <w:r w:rsidR="007A4158">
        <w:rPr>
          <w:szCs w:val="22"/>
        </w:rPr>
        <w:t>s</w:t>
      </w:r>
      <w:r w:rsidR="00A11600">
        <w:rPr>
          <w:szCs w:val="22"/>
        </w:rPr>
        <w:t xml:space="preserve"> whether it prefers to receive assistance in the form of services or in the form of money</w:t>
      </w:r>
      <w:r w:rsidR="00703C41">
        <w:rPr>
          <w:szCs w:val="22"/>
        </w:rPr>
        <w:t>; each approach may have certain advantages.</w:t>
      </w:r>
      <w:r w:rsidR="00E419C9">
        <w:rPr>
          <w:szCs w:val="22"/>
        </w:rPr>
        <w:t xml:space="preserve"> Regardless of whether a State Party receives financial assistance or receives services and technical assistance, the </w:t>
      </w:r>
      <w:r w:rsidR="00234642">
        <w:rPr>
          <w:szCs w:val="22"/>
        </w:rPr>
        <w:t>assistance is funded by</w:t>
      </w:r>
      <w:r w:rsidR="00E419C9">
        <w:rPr>
          <w:szCs w:val="22"/>
        </w:rPr>
        <w:t xml:space="preserve"> the ICH Fund. In either case, a request must come from the State Party and assistance can only be granted by the Committee (or its Bureau) through a decision</w:t>
      </w:r>
      <w:r w:rsidR="00234642" w:rsidRPr="00234642">
        <w:t xml:space="preserve"> </w:t>
      </w:r>
      <w:r w:rsidR="00234642">
        <w:t>referring to that specific request</w:t>
      </w:r>
      <w:r w:rsidR="00E419C9">
        <w:rPr>
          <w:szCs w:val="22"/>
        </w:rPr>
        <w:t>.</w:t>
      </w:r>
    </w:p>
    <w:p w14:paraId="6A7EA492" w14:textId="49DF707B" w:rsidR="00657CCC" w:rsidRPr="00562857" w:rsidRDefault="005E0EFD" w:rsidP="00C82E38">
      <w:pPr>
        <w:pStyle w:val="Titcoul"/>
        <w:rPr>
          <w:w w:val="107"/>
          <w:lang w:val="en-GB"/>
        </w:rPr>
      </w:pPr>
      <w:bookmarkStart w:id="19" w:name="_Toc241229761"/>
      <w:bookmarkStart w:id="20" w:name="_Toc241229965"/>
      <w:bookmarkStart w:id="21" w:name="_Toc242165659"/>
      <w:r w:rsidRPr="00562857">
        <w:rPr>
          <w:w w:val="107"/>
          <w:lang w:val="en-GB"/>
        </w:rPr>
        <w:lastRenderedPageBreak/>
        <w:t>12</w:t>
      </w:r>
      <w:r w:rsidR="00657CCC" w:rsidRPr="00562857">
        <w:rPr>
          <w:w w:val="107"/>
          <w:lang w:val="en-GB"/>
        </w:rPr>
        <w:t>.</w:t>
      </w:r>
      <w:r w:rsidR="000158F8">
        <w:rPr>
          <w:w w:val="107"/>
          <w:lang w:val="en-GB"/>
        </w:rPr>
        <w:t>5</w:t>
      </w:r>
      <w:r w:rsidR="00785A75" w:rsidRPr="00562857">
        <w:rPr>
          <w:w w:val="107"/>
          <w:lang w:val="en-GB"/>
        </w:rPr>
        <w:tab/>
      </w:r>
      <w:r w:rsidR="000158F8">
        <w:rPr>
          <w:w w:val="107"/>
          <w:lang w:val="en-GB"/>
        </w:rPr>
        <w:t xml:space="preserve">Procedures for requesting </w:t>
      </w:r>
      <w:r w:rsidR="00234642">
        <w:rPr>
          <w:w w:val="107"/>
          <w:lang w:val="en-GB"/>
        </w:rPr>
        <w:t xml:space="preserve">and granting </w:t>
      </w:r>
      <w:r w:rsidR="00657CCC" w:rsidRPr="00562857">
        <w:rPr>
          <w:w w:val="107"/>
          <w:lang w:val="en-GB"/>
        </w:rPr>
        <w:t>ASSISTANCE</w:t>
      </w:r>
      <w:bookmarkEnd w:id="19"/>
      <w:bookmarkEnd w:id="20"/>
      <w:bookmarkEnd w:id="21"/>
    </w:p>
    <w:p w14:paraId="177C5E77" w14:textId="6F65E2D3" w:rsidR="00657CCC" w:rsidRPr="00562857" w:rsidRDefault="000158F8" w:rsidP="002D5639">
      <w:pPr>
        <w:pStyle w:val="Texte1"/>
      </w:pPr>
      <w:r>
        <w:t>The Committee may grant</w:t>
      </w:r>
      <w:r w:rsidR="00657CCC" w:rsidRPr="00562857">
        <w:t xml:space="preserve"> assistance </w:t>
      </w:r>
      <w:r>
        <w:t>to a State Party</w:t>
      </w:r>
      <w:r w:rsidR="00657CCC" w:rsidRPr="00562857">
        <w:t xml:space="preserve"> for various activities under the Convention, including safeguarding, the preparation of inventories and capacity building. </w:t>
      </w:r>
      <w:r w:rsidR="00174524" w:rsidRPr="00562857">
        <w:t xml:space="preserve">Any State Party may submit </w:t>
      </w:r>
      <w:r w:rsidR="00174524">
        <w:t xml:space="preserve">a </w:t>
      </w:r>
      <w:r w:rsidR="00174524" w:rsidRPr="00562857">
        <w:t>request for such assistance. Only States Parties</w:t>
      </w:r>
      <w:r w:rsidR="00EC1B57">
        <w:t xml:space="preserve"> </w:t>
      </w:r>
      <w:r w:rsidR="00174524" w:rsidRPr="00562857">
        <w:t xml:space="preserve">may apply for </w:t>
      </w:r>
      <w:r w:rsidR="003728DD">
        <w:t>International Assistance</w:t>
      </w:r>
      <w:r w:rsidR="00EC1B57" w:rsidRPr="00562857">
        <w:t>, not individuals, communities or institutions</w:t>
      </w:r>
      <w:r w:rsidR="00174524" w:rsidRPr="00562857">
        <w:t>. Joint applications from two or more States Parties are welcomed (OD</w:t>
      </w:r>
      <w:r w:rsidR="00174524">
        <w:t xml:space="preserve"> 15</w:t>
      </w:r>
      <w:r w:rsidR="00174524" w:rsidRPr="00562857">
        <w:t>).</w:t>
      </w:r>
    </w:p>
    <w:p w14:paraId="1940C483" w14:textId="3F6C7795" w:rsidR="00657CCC" w:rsidRPr="00562857" w:rsidRDefault="00657CCC" w:rsidP="00A853D3">
      <w:pPr>
        <w:pStyle w:val="Heading4"/>
        <w:rPr>
          <w:lang w:val="en-GB"/>
        </w:rPr>
      </w:pPr>
      <w:r w:rsidRPr="00562857">
        <w:rPr>
          <w:lang w:val="en-GB"/>
        </w:rPr>
        <w:t>Three categories of assistan</w:t>
      </w:r>
      <w:r w:rsidRPr="00562857">
        <w:rPr>
          <w:spacing w:val="-1"/>
          <w:w w:val="107"/>
          <w:lang w:val="en-GB"/>
        </w:rPr>
        <w:t>c</w:t>
      </w:r>
      <w:r w:rsidRPr="00562857">
        <w:rPr>
          <w:lang w:val="en-GB"/>
        </w:rPr>
        <w:t>e</w:t>
      </w:r>
      <w:r w:rsidRPr="00562857">
        <w:rPr>
          <w:spacing w:val="-1"/>
          <w:w w:val="107"/>
          <w:lang w:val="en-GB"/>
        </w:rPr>
        <w:t xml:space="preserve"> r</w:t>
      </w:r>
      <w:r w:rsidRPr="00562857">
        <w:rPr>
          <w:lang w:val="en-GB"/>
        </w:rPr>
        <w:t>equests</w:t>
      </w:r>
    </w:p>
    <w:p w14:paraId="64BFA1CA" w14:textId="79E58FDC" w:rsidR="00657CCC" w:rsidRPr="00562857" w:rsidRDefault="00657CCC" w:rsidP="002D5639">
      <w:pPr>
        <w:pStyle w:val="Texte1"/>
      </w:pPr>
      <w:r w:rsidRPr="00562857">
        <w:t>Assistance requests are treated differently depending on the amount requested and whether the request concerns regular or emergency assistance. The requests are divided into three categories:</w:t>
      </w:r>
    </w:p>
    <w:p w14:paraId="3FAE718F" w14:textId="3F345496" w:rsidR="00A8620D" w:rsidRPr="00562857" w:rsidRDefault="00A8620D" w:rsidP="00A8620D">
      <w:pPr>
        <w:pStyle w:val="Enutiret"/>
      </w:pPr>
      <w:r w:rsidRPr="00562857">
        <w:t>regular assistance greater than US$</w:t>
      </w:r>
      <w:r w:rsidR="00450479">
        <w:t>100</w:t>
      </w:r>
      <w:r w:rsidRPr="00562857">
        <w:t>,000;</w:t>
      </w:r>
    </w:p>
    <w:p w14:paraId="26AEB82C" w14:textId="559DE6F1" w:rsidR="00657CCC" w:rsidRPr="00562857" w:rsidRDefault="00657CCC" w:rsidP="002D5639">
      <w:pPr>
        <w:pStyle w:val="Enutiret"/>
      </w:pPr>
      <w:r w:rsidRPr="00562857">
        <w:t>regular assistance up to US$</w:t>
      </w:r>
      <w:r w:rsidR="00450479">
        <w:t>100</w:t>
      </w:r>
      <w:r w:rsidRPr="00562857">
        <w:t>,000;</w:t>
      </w:r>
      <w:r w:rsidR="00A8620D" w:rsidRPr="00A8620D">
        <w:t xml:space="preserve"> </w:t>
      </w:r>
      <w:r w:rsidR="00A8620D" w:rsidRPr="00562857">
        <w:t>and</w:t>
      </w:r>
    </w:p>
    <w:p w14:paraId="766293D8" w14:textId="77777777" w:rsidR="00657CCC" w:rsidRPr="00562857" w:rsidRDefault="00657CCC" w:rsidP="002D5639">
      <w:pPr>
        <w:pStyle w:val="Enutiret"/>
      </w:pPr>
      <w:proofErr w:type="gramStart"/>
      <w:r w:rsidRPr="00562857">
        <w:t>emergency</w:t>
      </w:r>
      <w:proofErr w:type="gramEnd"/>
      <w:r w:rsidRPr="00562857">
        <w:t xml:space="preserve"> assistance (of any amount).</w:t>
      </w:r>
    </w:p>
    <w:p w14:paraId="3ECEAC58" w14:textId="3AD10573" w:rsidR="00657CCC" w:rsidRDefault="00657CCC" w:rsidP="002D5639">
      <w:pPr>
        <w:pStyle w:val="Texte1"/>
      </w:pPr>
      <w:r w:rsidRPr="00562857">
        <w:t>These categories are subject to different deadlines and different evaluation procedures</w:t>
      </w:r>
      <w:r w:rsidR="00196418">
        <w:t xml:space="preserve"> (see below)</w:t>
      </w:r>
      <w:r w:rsidRPr="00562857">
        <w:t>.</w:t>
      </w:r>
    </w:p>
    <w:p w14:paraId="3A66F45F" w14:textId="474CD39A" w:rsidR="00196418" w:rsidRPr="00562857" w:rsidRDefault="00196418" w:rsidP="002D5639">
      <w:pPr>
        <w:pStyle w:val="Texte1"/>
      </w:pPr>
      <w:r w:rsidRPr="00196418">
        <w:tab/>
        <w:t>Article 22.2 of the Convention provides that ‘In emergencies, requests for assistance shall be examined by the Committee as a matter of priority.’ Such requests are not subject to the normal annual deadline for requests greater than US$</w:t>
      </w:r>
      <w:r w:rsidR="00450479">
        <w:t>100</w:t>
      </w:r>
      <w:r w:rsidRPr="00196418">
        <w:t xml:space="preserve">,000 and are examined by the Bureau of the Committee. To assist submitting States and the Secretariat to distinguish which requests are eligible for such </w:t>
      </w:r>
      <w:r w:rsidR="00703C41">
        <w:t xml:space="preserve">expedited </w:t>
      </w:r>
      <w:r w:rsidRPr="00196418">
        <w:t xml:space="preserve">processing, the </w:t>
      </w:r>
      <w:r w:rsidR="003A6A2F">
        <w:t xml:space="preserve">ODs </w:t>
      </w:r>
      <w:r w:rsidRPr="00196418">
        <w:t>provide a clear definition of emergencies</w:t>
      </w:r>
      <w:r w:rsidRPr="00A918AB">
        <w:t>: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r w:rsidR="00793093">
        <w:t xml:space="preserve"> </w:t>
      </w:r>
      <w:r w:rsidR="00793093" w:rsidRPr="00196418">
        <w:t>(</w:t>
      </w:r>
      <w:r w:rsidR="00793093">
        <w:t>OD</w:t>
      </w:r>
      <w:r w:rsidR="00793093" w:rsidRPr="00196418">
        <w:t xml:space="preserve"> 50)</w:t>
      </w:r>
      <w:r>
        <w:t>.</w:t>
      </w:r>
    </w:p>
    <w:p w14:paraId="19B694F2" w14:textId="77777777" w:rsidR="00657CCC" w:rsidRPr="00562857" w:rsidRDefault="00657CCC" w:rsidP="00A853D3">
      <w:pPr>
        <w:pStyle w:val="Heading4"/>
        <w:rPr>
          <w:lang w:val="en-GB"/>
        </w:rPr>
      </w:pPr>
      <w:r w:rsidRPr="00562857">
        <w:rPr>
          <w:lang w:val="en-GB"/>
        </w:rPr>
        <w:t>Forms</w:t>
      </w:r>
      <w:r w:rsidRPr="00562857">
        <w:rPr>
          <w:spacing w:val="4"/>
          <w:w w:val="106"/>
          <w:lang w:val="en-GB"/>
        </w:rPr>
        <w:t xml:space="preserve"> </w:t>
      </w:r>
      <w:r w:rsidRPr="00562857">
        <w:rPr>
          <w:lang w:val="en-GB"/>
        </w:rPr>
        <w:t>and</w:t>
      </w:r>
      <w:r w:rsidRPr="00562857">
        <w:rPr>
          <w:spacing w:val="4"/>
          <w:w w:val="106"/>
          <w:lang w:val="en-GB"/>
        </w:rPr>
        <w:t xml:space="preserve"> </w:t>
      </w:r>
      <w:r w:rsidRPr="00562857">
        <w:rPr>
          <w:lang w:val="en-GB"/>
        </w:rPr>
        <w:t>deadlines</w:t>
      </w:r>
    </w:p>
    <w:p w14:paraId="0C7CCDC0" w14:textId="625CF576" w:rsidR="00657CCC" w:rsidRPr="00562857" w:rsidRDefault="00657CCC" w:rsidP="002D5639">
      <w:pPr>
        <w:pStyle w:val="Texte1"/>
      </w:pPr>
      <w:r w:rsidRPr="00562857">
        <w:t xml:space="preserve">Form </w:t>
      </w:r>
      <w:r w:rsidR="00660730" w:rsidRPr="00562857">
        <w:t>ICH-</w:t>
      </w:r>
      <w:r w:rsidRPr="00562857">
        <w:t xml:space="preserve">04 is used for requesting </w:t>
      </w:r>
      <w:r w:rsidR="003728DD">
        <w:t>International Assistance</w:t>
      </w:r>
      <w:r w:rsidRPr="00562857">
        <w:t xml:space="preserve"> for all activities other than preparing a </w:t>
      </w:r>
      <w:r w:rsidR="000708F2">
        <w:t xml:space="preserve">USL </w:t>
      </w:r>
      <w:r w:rsidRPr="00562857">
        <w:t>nomination file</w:t>
      </w:r>
      <w:r w:rsidR="000708F2">
        <w:t xml:space="preserve"> or </w:t>
      </w:r>
      <w:r w:rsidR="00F739F8">
        <w:t>good</w:t>
      </w:r>
      <w:r w:rsidR="000708F2">
        <w:t xml:space="preserve"> practices proposal</w:t>
      </w:r>
      <w:r w:rsidR="00A8620D">
        <w:t xml:space="preserve"> (see below)</w:t>
      </w:r>
      <w:r w:rsidRPr="00562857">
        <w:t>, so all three categories of requests mentioned above use th</w:t>
      </w:r>
      <w:r w:rsidR="000708F2">
        <w:t>e same</w:t>
      </w:r>
      <w:r w:rsidRPr="00562857">
        <w:t xml:space="preserve"> form.</w:t>
      </w:r>
      <w:r w:rsidR="00174524" w:rsidRPr="00174524">
        <w:t xml:space="preserve"> </w:t>
      </w:r>
      <w:r w:rsidR="00793093" w:rsidRPr="0052387D">
        <w:t>T</w:t>
      </w:r>
      <w:r w:rsidR="00A8620D" w:rsidRPr="0052387D">
        <w:t>he Committee</w:t>
      </w:r>
      <w:r w:rsidR="00793093" w:rsidRPr="0052387D">
        <w:t xml:space="preserve"> also asked</w:t>
      </w:r>
      <w:r w:rsidR="00174524" w:rsidRPr="0052387D">
        <w:t xml:space="preserve"> the Secretariat </w:t>
      </w:r>
      <w:r w:rsidR="00793093" w:rsidRPr="0052387D">
        <w:t xml:space="preserve">to </w:t>
      </w:r>
      <w:r w:rsidR="00174524" w:rsidRPr="0052387D">
        <w:t>introduce a</w:t>
      </w:r>
      <w:r w:rsidR="000708F2" w:rsidRPr="0052387D">
        <w:t>n</w:t>
      </w:r>
      <w:r w:rsidR="00174524" w:rsidRPr="0052387D">
        <w:t xml:space="preserve"> experimental ICH-01bis form</w:t>
      </w:r>
      <w:r w:rsidR="00FD309A">
        <w:t>. With this form,</w:t>
      </w:r>
      <w:r w:rsidR="00174524" w:rsidRPr="0052387D">
        <w:t xml:space="preserve"> a State Party may simultaneously nominate an element for inscription on the Urgent Safeguarding List and request </w:t>
      </w:r>
      <w:r w:rsidR="003728DD">
        <w:t>International Assistance</w:t>
      </w:r>
      <w:r w:rsidR="00174524" w:rsidRPr="0052387D">
        <w:t>. That form is subject to the same deadlines and procedures as the ICH-04 form</w:t>
      </w:r>
      <w:r w:rsidR="00A8620D" w:rsidRPr="0052387D">
        <w:t xml:space="preserve"> for regular assistance</w:t>
      </w:r>
      <w:r w:rsidR="003D128E">
        <w:t xml:space="preserve"> for requests greater than</w:t>
      </w:r>
      <w:r w:rsidR="003D128E" w:rsidRPr="003D128E">
        <w:t xml:space="preserve"> </w:t>
      </w:r>
      <w:r w:rsidR="003D128E" w:rsidRPr="00562857">
        <w:t>US$</w:t>
      </w:r>
      <w:r w:rsidR="003D128E">
        <w:t>100</w:t>
      </w:r>
      <w:r w:rsidR="003D128E" w:rsidRPr="00562857">
        <w:t>,000</w:t>
      </w:r>
      <w:r w:rsidR="003D128E">
        <w:t>.</w:t>
      </w:r>
    </w:p>
    <w:p w14:paraId="2AEDFD51" w14:textId="26270117" w:rsidR="00657CCC" w:rsidRPr="00562857" w:rsidRDefault="00657CCC" w:rsidP="002D5639">
      <w:pPr>
        <w:pStyle w:val="Texte1"/>
      </w:pPr>
      <w:r w:rsidRPr="00562857">
        <w:t xml:space="preserve">States Parties are required to submit regular </w:t>
      </w:r>
      <w:r w:rsidR="003728DD">
        <w:t>International Assistance</w:t>
      </w:r>
      <w:r w:rsidRPr="00562857">
        <w:t xml:space="preserve"> requests greater than US$</w:t>
      </w:r>
      <w:r w:rsidR="00755040">
        <w:t>100</w:t>
      </w:r>
      <w:r w:rsidRPr="00562857">
        <w:t>,000 to the Secretariat by 31 March. Other types of requests, i.e. emergency requests of any amount and other requests up to US$</w:t>
      </w:r>
      <w:r w:rsidR="00755040">
        <w:t>100</w:t>
      </w:r>
      <w:r w:rsidRPr="00562857">
        <w:t xml:space="preserve">,000, may be submitted at any time (ODs </w:t>
      </w:r>
      <w:r w:rsidR="00A8620D">
        <w:t>20-25</w:t>
      </w:r>
      <w:r w:rsidRPr="00562857">
        <w:t>).</w:t>
      </w:r>
    </w:p>
    <w:p w14:paraId="1FD90928" w14:textId="604E80E5" w:rsidR="000158F8" w:rsidRPr="00562857" w:rsidRDefault="00A8620D" w:rsidP="000158F8">
      <w:pPr>
        <w:pStyle w:val="Texte1"/>
      </w:pPr>
      <w:r>
        <w:lastRenderedPageBreak/>
        <w:t>All of the forms</w:t>
      </w:r>
      <w:r w:rsidR="000158F8" w:rsidRPr="00562857">
        <w:t xml:space="preserve"> can be downloaded from the website of the Convention</w:t>
      </w:r>
      <w:r w:rsidR="000158F8">
        <w:t>, together with instructions and an Aide-</w:t>
      </w:r>
      <w:r w:rsidR="00234642">
        <w:t xml:space="preserve">mémoire </w:t>
      </w:r>
      <w:r w:rsidR="000158F8">
        <w:t>compiling the relevant decisions of the Committee and recommendations of the evaluation bodies.</w:t>
      </w:r>
      <w:r w:rsidR="003D128E">
        <w:t xml:space="preserve"> The forms are regularly updated.</w:t>
      </w:r>
    </w:p>
    <w:p w14:paraId="644100F8" w14:textId="4D5A22F7" w:rsidR="000158F8" w:rsidRPr="00562857" w:rsidRDefault="000158F8" w:rsidP="000158F8">
      <w:pPr>
        <w:pStyle w:val="Heading4"/>
        <w:rPr>
          <w:lang w:val="en-GB"/>
        </w:rPr>
      </w:pPr>
      <w:r>
        <w:rPr>
          <w:lang w:val="en-GB"/>
        </w:rPr>
        <w:t>allowable expenses</w:t>
      </w:r>
      <w:r w:rsidR="00A20D07">
        <w:rPr>
          <w:lang w:val="en-GB"/>
        </w:rPr>
        <w:t xml:space="preserve"> and cost-sharing</w:t>
      </w:r>
    </w:p>
    <w:p w14:paraId="2245FAE8" w14:textId="56690597" w:rsidR="000158F8" w:rsidRPr="00562857" w:rsidRDefault="000158F8" w:rsidP="000158F8">
      <w:pPr>
        <w:pStyle w:val="Texte1"/>
      </w:pPr>
      <w:r w:rsidRPr="00562857">
        <w:t xml:space="preserve">There are no specific guidelines on what kinds of budget line items are permitted in </w:t>
      </w:r>
      <w:r w:rsidR="003728DD">
        <w:t>International Assistance</w:t>
      </w:r>
      <w:r w:rsidRPr="00562857">
        <w:t xml:space="preserve"> requests – each project is assessed on its own merits</w:t>
      </w:r>
      <w:r>
        <w:t>, as long as the forms of assistance correspond to Article 21</w:t>
      </w:r>
      <w:r w:rsidRPr="00562857">
        <w:t xml:space="preserve">. For example, expenditures for personnel, equipment, transport and materials are all permitted, as long as they are priced at a level the Committee considers reasonable, they are relevant and </w:t>
      </w:r>
      <w:r w:rsidR="00A8620D">
        <w:t xml:space="preserve">the amounts are </w:t>
      </w:r>
      <w:r w:rsidRPr="00562857">
        <w:t>appropriate. Budgets should be detailed enough to enable</w:t>
      </w:r>
      <w:r w:rsidR="00A8620D">
        <w:t xml:space="preserve"> readers to understand clearly</w:t>
      </w:r>
      <w:r w:rsidR="0042613B">
        <w:t xml:space="preserve"> the basis for arriving at a particular sum</w:t>
      </w:r>
      <w:r w:rsidR="00A8620D">
        <w:t>, and to permit</w:t>
      </w:r>
      <w:r w:rsidRPr="00562857">
        <w:t xml:space="preserve"> assessment and tracking of expenditure</w:t>
      </w:r>
      <w:r w:rsidR="00A8620D">
        <w:t>s later</w:t>
      </w:r>
      <w:r w:rsidRPr="00562857">
        <w:t>. It is difficult to change budget line items after funding has been granted and contracts drawn up, so it is important to ensure that budgets are likely to remain appropriate as the project progresses.</w:t>
      </w:r>
    </w:p>
    <w:p w14:paraId="34995D9C" w14:textId="3069C891" w:rsidR="00A20D07" w:rsidRPr="00562857" w:rsidRDefault="003728DD" w:rsidP="00A20D07">
      <w:pPr>
        <w:pStyle w:val="Texte1"/>
      </w:pPr>
      <w:r>
        <w:t>International Assistance</w:t>
      </w:r>
      <w:r w:rsidR="00A20D07" w:rsidRPr="00562857">
        <w:t xml:space="preserve"> is supplementary to national efforts for safeguarding (OD 8</w:t>
      </w:r>
      <w:r w:rsidR="007B09D9">
        <w:t>)</w:t>
      </w:r>
      <w:r w:rsidR="00A20D07" w:rsidRPr="00562857">
        <w:t>.</w:t>
      </w:r>
      <w:r w:rsidR="00A20D07" w:rsidRPr="00A20D07">
        <w:t xml:space="preserve"> </w:t>
      </w:r>
      <w:r w:rsidR="00A20D07">
        <w:t>Article</w:t>
      </w:r>
      <w:r w:rsidR="007B09D9">
        <w:t> </w:t>
      </w:r>
      <w:r w:rsidR="00A20D07">
        <w:t>24.2 of the Convention requires that ‘</w:t>
      </w:r>
      <w:r w:rsidR="00A20D07">
        <w:rPr>
          <w:lang w:val="en"/>
        </w:rPr>
        <w:t xml:space="preserve">As a general rule, the beneficiary State Party shall, within the limits of its resources, share the cost of the safeguarding measures for which </w:t>
      </w:r>
      <w:r>
        <w:rPr>
          <w:lang w:val="en"/>
        </w:rPr>
        <w:t>International Assistance</w:t>
      </w:r>
      <w:r w:rsidR="00A20D07">
        <w:rPr>
          <w:lang w:val="en"/>
        </w:rPr>
        <w:t xml:space="preserve"> is provided.’ </w:t>
      </w:r>
      <w:r w:rsidR="00A20D07" w:rsidRPr="00A20D07">
        <w:rPr>
          <w:lang w:val="en"/>
        </w:rPr>
        <w:t xml:space="preserve">No strict minimum has been established as to what share of the overall budget should be provided by the State, but </w:t>
      </w:r>
      <w:r w:rsidR="007D2AD8">
        <w:rPr>
          <w:lang w:val="en"/>
        </w:rPr>
        <w:t>if the project budget does not include a</w:t>
      </w:r>
      <w:r w:rsidR="00A20D07" w:rsidRPr="00A20D07">
        <w:rPr>
          <w:lang w:val="en"/>
        </w:rPr>
        <w:t xml:space="preserve"> State contribution</w:t>
      </w:r>
      <w:r w:rsidR="007B09D9">
        <w:rPr>
          <w:lang w:val="en"/>
        </w:rPr>
        <w:t xml:space="preserve"> in some form</w:t>
      </w:r>
      <w:r w:rsidR="007D2AD8">
        <w:rPr>
          <w:lang w:val="en"/>
        </w:rPr>
        <w:t>, it cannot be approved</w:t>
      </w:r>
      <w:r w:rsidR="00FD309A">
        <w:rPr>
          <w:lang w:val="en"/>
        </w:rPr>
        <w:t>.</w:t>
      </w:r>
    </w:p>
    <w:p w14:paraId="071BD99B" w14:textId="77777777" w:rsidR="00657CCC" w:rsidRPr="00562857" w:rsidRDefault="00657CCC" w:rsidP="00A853D3">
      <w:pPr>
        <w:pStyle w:val="Heading4"/>
        <w:rPr>
          <w:lang w:val="en-GB"/>
        </w:rPr>
      </w:pPr>
      <w:r w:rsidRPr="00562857">
        <w:rPr>
          <w:lang w:val="en-GB"/>
        </w:rPr>
        <w:t>Examination</w:t>
      </w:r>
      <w:r w:rsidRPr="00562857">
        <w:rPr>
          <w:spacing w:val="5"/>
          <w:w w:val="107"/>
          <w:lang w:val="en-GB"/>
        </w:rPr>
        <w:t xml:space="preserve"> </w:t>
      </w:r>
      <w:r w:rsidRPr="00562857">
        <w:rPr>
          <w:lang w:val="en-GB"/>
        </w:rPr>
        <w:t>of</w:t>
      </w:r>
      <w:r w:rsidRPr="00562857">
        <w:rPr>
          <w:spacing w:val="4"/>
          <w:w w:val="107"/>
          <w:lang w:val="en-GB"/>
        </w:rPr>
        <w:t xml:space="preserve"> </w:t>
      </w:r>
      <w:r w:rsidRPr="00562857">
        <w:rPr>
          <w:lang w:val="en-GB"/>
        </w:rPr>
        <w:t>requests</w:t>
      </w:r>
    </w:p>
    <w:p w14:paraId="49A44BF3" w14:textId="68108337" w:rsidR="0042613B" w:rsidRPr="00562857" w:rsidRDefault="0042613B" w:rsidP="0042613B">
      <w:pPr>
        <w:pStyle w:val="Texte1"/>
      </w:pPr>
      <w:r w:rsidRPr="00562857">
        <w:t>Requests greater than US$</w:t>
      </w:r>
      <w:r w:rsidR="00A766DC">
        <w:t>100</w:t>
      </w:r>
      <w:r w:rsidRPr="00562857">
        <w:t xml:space="preserve">,000 are evaluated by the </w:t>
      </w:r>
      <w:r>
        <w:t>Evaluation</w:t>
      </w:r>
      <w:r w:rsidRPr="00562857">
        <w:t xml:space="preserve"> Body (established annually by the Committee and which also evaluate</w:t>
      </w:r>
      <w:r>
        <w:t>s</w:t>
      </w:r>
      <w:r w:rsidRPr="00562857">
        <w:t xml:space="preserve"> nominations to the USL</w:t>
      </w:r>
      <w:r>
        <w:t xml:space="preserve"> and RL</w:t>
      </w:r>
      <w:r w:rsidRPr="00562857">
        <w:t xml:space="preserve"> and proposals for the Register of </w:t>
      </w:r>
      <w:r w:rsidR="00F739F8">
        <w:t>Good</w:t>
      </w:r>
      <w:r w:rsidRPr="00562857">
        <w:t xml:space="preserve"> Safeguarding Practices), before final examination and decision by the Committee</w:t>
      </w:r>
      <w:r w:rsidR="00794D5E">
        <w:t xml:space="preserve"> (ODs 26-37)</w:t>
      </w:r>
      <w:r w:rsidRPr="00562857">
        <w:t xml:space="preserve">. After the deadline of 31 March, this whole process takes </w:t>
      </w:r>
      <w:r w:rsidR="00C019A1">
        <w:t>more than</w:t>
      </w:r>
      <w:r w:rsidR="00C019A1" w:rsidRPr="00562857">
        <w:t xml:space="preserve"> </w:t>
      </w:r>
      <w:r w:rsidRPr="00562857">
        <w:t>eighteen months</w:t>
      </w:r>
      <w:r w:rsidR="00794D5E">
        <w:t xml:space="preserve"> (see the timetable in ODs 54-56)</w:t>
      </w:r>
      <w:r w:rsidRPr="00562857">
        <w:t>. After submission, the Secretariat may ask the States P</w:t>
      </w:r>
      <w:r w:rsidR="00607CC8">
        <w:t>arties concerned for additional</w:t>
      </w:r>
      <w:r w:rsidR="00A20D07" w:rsidRPr="00562857">
        <w:t xml:space="preserve"> </w:t>
      </w:r>
      <w:r w:rsidRPr="00562857">
        <w:t xml:space="preserve">information if </w:t>
      </w:r>
      <w:r w:rsidR="004E2090">
        <w:t xml:space="preserve">needed </w:t>
      </w:r>
      <w:r>
        <w:t>to complete the request</w:t>
      </w:r>
      <w:r w:rsidRPr="00562857">
        <w:t xml:space="preserve">. </w:t>
      </w:r>
      <w:r>
        <w:t xml:space="preserve">At the beginning of the following year, </w:t>
      </w:r>
      <w:r w:rsidRPr="00562857">
        <w:t xml:space="preserve">the requests are submitted to the </w:t>
      </w:r>
      <w:r>
        <w:t>Evaluation</w:t>
      </w:r>
      <w:r w:rsidRPr="00562857">
        <w:t xml:space="preserve"> Body for evaluation, and it is only </w:t>
      </w:r>
      <w:r>
        <w:t>after their recommendation</w:t>
      </w:r>
      <w:r w:rsidRPr="00562857">
        <w:t xml:space="preserve"> that the Committee can examine the request and make a positive or negative decision</w:t>
      </w:r>
      <w:r w:rsidR="003D128E">
        <w:t xml:space="preserve"> or to refer the request to the submitting state(s)</w:t>
      </w:r>
      <w:r w:rsidRPr="00562857">
        <w:t>.</w:t>
      </w:r>
    </w:p>
    <w:p w14:paraId="1248E8AA" w14:textId="264FF981" w:rsidR="00657CCC" w:rsidRPr="00562857" w:rsidRDefault="00657CCC" w:rsidP="002D5639">
      <w:pPr>
        <w:pStyle w:val="Texte1"/>
      </w:pPr>
      <w:r w:rsidRPr="00562857">
        <w:t>All requests up to US$</w:t>
      </w:r>
      <w:r w:rsidR="00A766DC">
        <w:t>100</w:t>
      </w:r>
      <w:r w:rsidRPr="00562857">
        <w:t xml:space="preserve">,000 </w:t>
      </w:r>
      <w:r w:rsidR="004E2090">
        <w:t>as well as</w:t>
      </w:r>
      <w:r w:rsidR="004E2090" w:rsidRPr="00562857">
        <w:t xml:space="preserve"> </w:t>
      </w:r>
      <w:r w:rsidRPr="00562857">
        <w:t xml:space="preserve">emergency requests </w:t>
      </w:r>
      <w:r w:rsidR="0042613B">
        <w:t>are</w:t>
      </w:r>
      <w:r w:rsidRPr="00562857">
        <w:t xml:space="preserve"> examined and the outcome decided by the Bureau of the Committee</w:t>
      </w:r>
      <w:r w:rsidR="00794D5E">
        <w:t xml:space="preserve"> (OD 49</w:t>
      </w:r>
      <w:r w:rsidR="00957B70">
        <w:t>-50</w:t>
      </w:r>
      <w:r w:rsidR="00794D5E">
        <w:t>)</w:t>
      </w:r>
      <w:r w:rsidRPr="00562857">
        <w:t xml:space="preserve">. Whereas the Committee meets once a year, its Bureau </w:t>
      </w:r>
      <w:r w:rsidR="00794D5E">
        <w:t>can</w:t>
      </w:r>
      <w:r w:rsidR="00794D5E" w:rsidRPr="00562857">
        <w:t xml:space="preserve"> </w:t>
      </w:r>
      <w:r w:rsidRPr="00562857">
        <w:t>meet more frequently between the sessions of the Committee</w:t>
      </w:r>
      <w:r w:rsidR="00794D5E">
        <w:t xml:space="preserve"> and is authorized to take decisions through electronic consultations</w:t>
      </w:r>
      <w:r w:rsidRPr="00562857">
        <w:t xml:space="preserve">. Therefore, the examination process for emergency requests, as well as for </w:t>
      </w:r>
      <w:r w:rsidR="00C019A1">
        <w:t>those</w:t>
      </w:r>
      <w:r w:rsidR="00C019A1" w:rsidRPr="00562857">
        <w:t xml:space="preserve"> </w:t>
      </w:r>
      <w:r w:rsidRPr="00562857">
        <w:t>up to US$</w:t>
      </w:r>
      <w:r w:rsidR="00A766DC">
        <w:t>100</w:t>
      </w:r>
      <w:r w:rsidRPr="00562857">
        <w:t xml:space="preserve">,000, </w:t>
      </w:r>
      <w:r w:rsidR="00794D5E">
        <w:t xml:space="preserve">can be </w:t>
      </w:r>
      <w:r w:rsidRPr="00562857">
        <w:t xml:space="preserve">shorter than the process for evaluating requests </w:t>
      </w:r>
      <w:r w:rsidR="00773277">
        <w:t>greater than</w:t>
      </w:r>
      <w:r w:rsidR="00773277" w:rsidRPr="00562857">
        <w:t xml:space="preserve"> </w:t>
      </w:r>
      <w:r w:rsidRPr="00562857">
        <w:t>US$</w:t>
      </w:r>
      <w:r w:rsidR="00A766DC">
        <w:t>100</w:t>
      </w:r>
      <w:r w:rsidRPr="00562857">
        <w:t>,000.</w:t>
      </w:r>
      <w:r w:rsidR="00C019A1">
        <w:t xml:space="preserve"> </w:t>
      </w:r>
    </w:p>
    <w:p w14:paraId="12127ADB" w14:textId="6B16B45E" w:rsidR="00657CCC" w:rsidRPr="00562857" w:rsidRDefault="005E0EFD" w:rsidP="00094539">
      <w:pPr>
        <w:pStyle w:val="Titcoul"/>
        <w:keepLines/>
        <w:rPr>
          <w:w w:val="107"/>
          <w:lang w:val="en-GB"/>
        </w:rPr>
      </w:pPr>
      <w:bookmarkStart w:id="22" w:name="_Toc241229762"/>
      <w:bookmarkStart w:id="23" w:name="_Toc241229966"/>
      <w:bookmarkStart w:id="24" w:name="_Toc242165660"/>
      <w:r w:rsidRPr="00562857">
        <w:rPr>
          <w:w w:val="107"/>
          <w:lang w:val="en-GB"/>
        </w:rPr>
        <w:lastRenderedPageBreak/>
        <w:t>12</w:t>
      </w:r>
      <w:r w:rsidR="00657CCC" w:rsidRPr="00562857">
        <w:rPr>
          <w:w w:val="107"/>
          <w:lang w:val="en-GB"/>
        </w:rPr>
        <w:t>.</w:t>
      </w:r>
      <w:r w:rsidR="00C73AF6">
        <w:rPr>
          <w:w w:val="107"/>
          <w:lang w:val="en-GB"/>
        </w:rPr>
        <w:t>6</w:t>
      </w:r>
      <w:r w:rsidR="000708F2">
        <w:rPr>
          <w:w w:val="107"/>
          <w:lang w:val="en-GB"/>
        </w:rPr>
        <w:tab/>
      </w:r>
      <w:r w:rsidR="00785A75" w:rsidRPr="00562857">
        <w:rPr>
          <w:w w:val="107"/>
          <w:lang w:val="en-GB"/>
        </w:rPr>
        <w:tab/>
      </w:r>
      <w:r w:rsidR="00657CCC" w:rsidRPr="00562857">
        <w:rPr>
          <w:w w:val="107"/>
          <w:lang w:val="en-GB"/>
        </w:rPr>
        <w:t xml:space="preserve">CRITERIA FOR </w:t>
      </w:r>
      <w:r w:rsidR="00C84051" w:rsidRPr="00562857">
        <w:rPr>
          <w:w w:val="107"/>
          <w:lang w:val="en-GB"/>
        </w:rPr>
        <w:tab/>
      </w:r>
      <w:r w:rsidR="00C019A1">
        <w:rPr>
          <w:w w:val="107"/>
          <w:lang w:val="en-GB"/>
        </w:rPr>
        <w:t xml:space="preserve">granting </w:t>
      </w:r>
      <w:r w:rsidR="003728DD">
        <w:rPr>
          <w:w w:val="107"/>
          <w:lang w:val="en-GB"/>
        </w:rPr>
        <w:t>INTERNATIONAL ASSISTANCE</w:t>
      </w:r>
      <w:bookmarkEnd w:id="22"/>
      <w:bookmarkEnd w:id="23"/>
      <w:bookmarkEnd w:id="24"/>
    </w:p>
    <w:p w14:paraId="69FFE6C4" w14:textId="697861F4" w:rsidR="00657CCC" w:rsidRPr="00A20D07" w:rsidRDefault="00A20D07" w:rsidP="00094539">
      <w:pPr>
        <w:pStyle w:val="Texte1"/>
        <w:keepNext/>
      </w:pPr>
      <w:r>
        <w:t xml:space="preserve">When assessing whether a request ought to be granted funds, the Evaluation Body, Bureau and Committee base their </w:t>
      </w:r>
      <w:r w:rsidR="006516C6">
        <w:t>conclusions</w:t>
      </w:r>
      <w:r>
        <w:t xml:space="preserve"> on seven criteria set out in OD 12 as well as several additional considerations described in OD 10. </w:t>
      </w:r>
      <w:r w:rsidR="00985BAD">
        <w:t xml:space="preserve">The Aide-mémoire for </w:t>
      </w:r>
      <w:r w:rsidR="00985BAD" w:rsidRPr="00857AF6">
        <w:t>completing</w:t>
      </w:r>
      <w:r w:rsidR="00985BAD">
        <w:t xml:space="preserve"> </w:t>
      </w:r>
      <w:r w:rsidR="00985BAD" w:rsidRPr="00857AF6">
        <w:t xml:space="preserve">a request for </w:t>
      </w:r>
      <w:r w:rsidR="003728DD">
        <w:t>International Assistance</w:t>
      </w:r>
      <w:r w:rsidR="00985BAD">
        <w:t xml:space="preserve"> discusses all of the</w:t>
      </w:r>
      <w:r w:rsidR="00234642">
        <w:t>se</w:t>
      </w:r>
      <w:r w:rsidR="00985BAD">
        <w:t xml:space="preserve"> criteria in detail. </w:t>
      </w:r>
      <w:r>
        <w:t>The formal evaluation criteria in OD 12 are</w:t>
      </w:r>
      <w:r w:rsidR="00657CCC" w:rsidRPr="00A20D07">
        <w:t>:</w:t>
      </w:r>
    </w:p>
    <w:p w14:paraId="64B475DB" w14:textId="77777777" w:rsidR="00A20D07" w:rsidRPr="001E4207" w:rsidRDefault="00A20D07" w:rsidP="00094539">
      <w:pPr>
        <w:pStyle w:val="U1"/>
        <w:widowControl/>
        <w:jc w:val="both"/>
        <w:rPr>
          <w:sz w:val="20"/>
          <w:szCs w:val="20"/>
          <w:lang w:val="en-GB"/>
        </w:rPr>
      </w:pPr>
      <w:r w:rsidRPr="00CE7094">
        <w:rPr>
          <w:sz w:val="20"/>
          <w:szCs w:val="20"/>
          <w:lang w:val="en-GB"/>
        </w:rPr>
        <w:t>A.1</w:t>
      </w:r>
      <w:r w:rsidRPr="00CE7094">
        <w:rPr>
          <w:sz w:val="20"/>
          <w:szCs w:val="20"/>
          <w:lang w:val="en-GB"/>
        </w:rPr>
        <w:tab/>
      </w:r>
      <w:r w:rsidRPr="001E4207">
        <w:rPr>
          <w:sz w:val="20"/>
          <w:szCs w:val="20"/>
          <w:lang w:val="en-GB"/>
        </w:rPr>
        <w:t>The community, group and/or individuals concerned participated in the preparation of the request and will be involved in the implementation of the proposed activities, and in their evaluation and follow-up as broadly as possible.</w:t>
      </w:r>
    </w:p>
    <w:p w14:paraId="7A1A47AB" w14:textId="77777777" w:rsidR="00A20D07" w:rsidRPr="001E4207" w:rsidRDefault="00A20D07" w:rsidP="00094539">
      <w:pPr>
        <w:pStyle w:val="U1"/>
        <w:widowControl/>
        <w:jc w:val="both"/>
        <w:rPr>
          <w:sz w:val="20"/>
          <w:szCs w:val="20"/>
          <w:lang w:val="en-GB"/>
        </w:rPr>
      </w:pPr>
      <w:r w:rsidRPr="001E4207">
        <w:rPr>
          <w:sz w:val="20"/>
          <w:szCs w:val="20"/>
          <w:lang w:val="en-GB"/>
        </w:rPr>
        <w:t>A.2</w:t>
      </w:r>
      <w:r w:rsidRPr="001E4207">
        <w:rPr>
          <w:sz w:val="20"/>
          <w:szCs w:val="20"/>
          <w:lang w:val="en-GB"/>
        </w:rPr>
        <w:tab/>
        <w:t>The amount of assistance requested is appropriate.</w:t>
      </w:r>
    </w:p>
    <w:p w14:paraId="5D3C67A7" w14:textId="77777777" w:rsidR="00A20D07" w:rsidRPr="001E4207" w:rsidRDefault="00A20D07" w:rsidP="00094539">
      <w:pPr>
        <w:pStyle w:val="U1"/>
        <w:widowControl/>
        <w:jc w:val="both"/>
        <w:rPr>
          <w:sz w:val="20"/>
          <w:szCs w:val="20"/>
          <w:lang w:val="en-GB"/>
        </w:rPr>
      </w:pPr>
      <w:r w:rsidRPr="001E4207">
        <w:rPr>
          <w:sz w:val="20"/>
          <w:szCs w:val="20"/>
          <w:lang w:val="en-GB"/>
        </w:rPr>
        <w:t>A.3</w:t>
      </w:r>
      <w:r w:rsidRPr="001E4207">
        <w:rPr>
          <w:sz w:val="20"/>
          <w:szCs w:val="20"/>
          <w:lang w:val="en-GB"/>
        </w:rPr>
        <w:tab/>
        <w:t>The proposed activities are well conceived and feasible.</w:t>
      </w:r>
    </w:p>
    <w:p w14:paraId="7161474F" w14:textId="77777777" w:rsidR="00A20D07" w:rsidRPr="00CE7094" w:rsidRDefault="00A20D07" w:rsidP="00094539">
      <w:pPr>
        <w:pStyle w:val="U1"/>
        <w:widowControl/>
        <w:jc w:val="both"/>
        <w:rPr>
          <w:sz w:val="20"/>
          <w:szCs w:val="20"/>
          <w:lang w:val="en-GB"/>
        </w:rPr>
      </w:pPr>
      <w:r w:rsidRPr="00CE7094">
        <w:rPr>
          <w:sz w:val="20"/>
          <w:szCs w:val="20"/>
          <w:lang w:val="en-GB"/>
        </w:rPr>
        <w:t>A.4</w:t>
      </w:r>
      <w:r w:rsidRPr="00CE7094">
        <w:rPr>
          <w:sz w:val="20"/>
          <w:szCs w:val="20"/>
          <w:lang w:val="en-GB"/>
        </w:rPr>
        <w:tab/>
        <w:t>The project may have lasting results.</w:t>
      </w:r>
    </w:p>
    <w:p w14:paraId="3BF99324" w14:textId="6242F095" w:rsidR="00A20D07" w:rsidRPr="00CE7094" w:rsidRDefault="00A20D07" w:rsidP="00094539">
      <w:pPr>
        <w:pStyle w:val="U1"/>
        <w:widowControl/>
        <w:jc w:val="both"/>
        <w:rPr>
          <w:sz w:val="20"/>
          <w:szCs w:val="20"/>
          <w:lang w:val="en-GB"/>
        </w:rPr>
      </w:pPr>
      <w:r w:rsidRPr="00CE7094">
        <w:rPr>
          <w:sz w:val="20"/>
          <w:szCs w:val="20"/>
          <w:lang w:val="en-GB"/>
        </w:rPr>
        <w:t>A.5</w:t>
      </w:r>
      <w:r w:rsidRPr="00CE7094">
        <w:rPr>
          <w:sz w:val="20"/>
          <w:szCs w:val="20"/>
          <w:lang w:val="en-GB"/>
        </w:rPr>
        <w:tab/>
        <w:t xml:space="preserve">The beneficiary State Party shares the cost of the activities for which </w:t>
      </w:r>
      <w:r w:rsidR="003728DD">
        <w:rPr>
          <w:sz w:val="20"/>
          <w:szCs w:val="20"/>
          <w:lang w:val="en-GB"/>
        </w:rPr>
        <w:t>International Assistance</w:t>
      </w:r>
      <w:r w:rsidRPr="00CE7094">
        <w:rPr>
          <w:sz w:val="20"/>
          <w:szCs w:val="20"/>
          <w:lang w:val="en-GB"/>
        </w:rPr>
        <w:t xml:space="preserve"> is provided, within the limits of its resources.</w:t>
      </w:r>
    </w:p>
    <w:p w14:paraId="708EA637" w14:textId="17667D6B" w:rsidR="00A20D07" w:rsidRPr="00CE7094" w:rsidRDefault="00A20D07" w:rsidP="00094539">
      <w:pPr>
        <w:pStyle w:val="U1"/>
        <w:widowControl/>
        <w:jc w:val="both"/>
        <w:rPr>
          <w:sz w:val="20"/>
          <w:szCs w:val="20"/>
          <w:lang w:val="en-GB"/>
        </w:rPr>
      </w:pPr>
      <w:r w:rsidRPr="00CE7094">
        <w:rPr>
          <w:sz w:val="20"/>
          <w:szCs w:val="20"/>
          <w:lang w:val="en-GB"/>
        </w:rPr>
        <w:t>A.6</w:t>
      </w:r>
      <w:r w:rsidRPr="00CE7094">
        <w:rPr>
          <w:sz w:val="20"/>
          <w:szCs w:val="20"/>
          <w:lang w:val="en-GB"/>
        </w:rPr>
        <w:tab/>
        <w:t>The assistance aims at building up or reinforcing capacities in the field of safeguarding intangible cultural heritage.</w:t>
      </w:r>
    </w:p>
    <w:p w14:paraId="2B8B7987" w14:textId="648DAB65" w:rsidR="00A20D07" w:rsidRPr="00A20D07" w:rsidRDefault="00A20D07" w:rsidP="00094539">
      <w:pPr>
        <w:pStyle w:val="U1"/>
        <w:widowControl/>
        <w:jc w:val="both"/>
        <w:rPr>
          <w:sz w:val="20"/>
          <w:szCs w:val="20"/>
          <w:lang w:val="en-GB"/>
        </w:rPr>
      </w:pPr>
      <w:r w:rsidRPr="00CE7094">
        <w:rPr>
          <w:sz w:val="20"/>
          <w:szCs w:val="20"/>
          <w:lang w:val="en-GB"/>
        </w:rPr>
        <w:t>A.7</w:t>
      </w:r>
      <w:r w:rsidRPr="00CE7094">
        <w:rPr>
          <w:sz w:val="20"/>
          <w:szCs w:val="20"/>
          <w:lang w:val="en-GB"/>
        </w:rPr>
        <w:tab/>
        <w:t>The</w:t>
      </w:r>
      <w:r w:rsidR="00F85F61" w:rsidRPr="00CE7094">
        <w:rPr>
          <w:sz w:val="20"/>
          <w:szCs w:val="20"/>
          <w:lang w:val="en-GB"/>
        </w:rPr>
        <w:tab/>
      </w:r>
      <w:r w:rsidRPr="00CE7094">
        <w:rPr>
          <w:sz w:val="20"/>
          <w:szCs w:val="20"/>
          <w:lang w:val="en-GB"/>
        </w:rPr>
        <w:t xml:space="preserve"> beneficiary State Party has implemented previously financed activities, if any, in line with all regulations and any conditions applied thereto.</w:t>
      </w:r>
    </w:p>
    <w:p w14:paraId="30F9B2DA" w14:textId="6A24A7A0" w:rsidR="00A20D07" w:rsidRDefault="00A20D07" w:rsidP="00A20D07">
      <w:pPr>
        <w:pStyle w:val="Texte1"/>
      </w:pPr>
      <w:r>
        <w:t xml:space="preserve">Other </w:t>
      </w:r>
      <w:r w:rsidR="000E28D9">
        <w:t xml:space="preserve">important </w:t>
      </w:r>
      <w:r>
        <w:t>factors also enter into the decision whether or not to fund a particular request.</w:t>
      </w:r>
      <w:r w:rsidRPr="00A20D07">
        <w:t xml:space="preserve"> </w:t>
      </w:r>
      <w:r>
        <w:t>OD</w:t>
      </w:r>
      <w:r w:rsidR="00C019A1">
        <w:t> </w:t>
      </w:r>
      <w:r>
        <w:t>10 provides that ‘the Committee shall take into account the principle of equitable geographical distribution and the special needs of developing countries.’ This consideration would enter into play if there are more strong requests than the amount of funds available and the Committee is obliged to prioritize among several eligible requests. OD 10 also provides that the Committee may take into account whether:</w:t>
      </w:r>
    </w:p>
    <w:p w14:paraId="764F1123" w14:textId="4862A0C2" w:rsidR="00A20D07" w:rsidRPr="00A20D07" w:rsidRDefault="00A20D07" w:rsidP="00094539">
      <w:pPr>
        <w:pStyle w:val="U1"/>
        <w:widowControl/>
        <w:jc w:val="both"/>
        <w:rPr>
          <w:sz w:val="20"/>
          <w:szCs w:val="20"/>
          <w:lang w:val="en-GB"/>
        </w:rPr>
      </w:pPr>
      <w:r w:rsidRPr="00A20D07">
        <w:rPr>
          <w:sz w:val="20"/>
          <w:szCs w:val="20"/>
          <w:lang w:val="en-GB"/>
        </w:rPr>
        <w:t>(a)</w:t>
      </w:r>
      <w:r w:rsidRPr="00A20D07">
        <w:rPr>
          <w:sz w:val="20"/>
          <w:szCs w:val="20"/>
          <w:lang w:val="en-GB"/>
        </w:rPr>
        <w:tab/>
      </w:r>
      <w:proofErr w:type="gramStart"/>
      <w:r w:rsidRPr="00A20D07">
        <w:rPr>
          <w:sz w:val="20"/>
          <w:szCs w:val="20"/>
          <w:lang w:val="en-GB"/>
        </w:rPr>
        <w:t>the</w:t>
      </w:r>
      <w:proofErr w:type="gramEnd"/>
      <w:r w:rsidR="00985BAD">
        <w:rPr>
          <w:sz w:val="20"/>
          <w:szCs w:val="20"/>
          <w:lang w:val="en-GB"/>
        </w:rPr>
        <w:tab/>
      </w:r>
      <w:r w:rsidRPr="00A20D07">
        <w:rPr>
          <w:sz w:val="20"/>
          <w:szCs w:val="20"/>
          <w:lang w:val="en-GB"/>
        </w:rPr>
        <w:t xml:space="preserve"> request implies cooperation at the bilateral, regional or international levels; and/or</w:t>
      </w:r>
    </w:p>
    <w:p w14:paraId="2289D2DB" w14:textId="22BF936E" w:rsidR="00C73AF6" w:rsidRDefault="00A20D07" w:rsidP="00094539">
      <w:pPr>
        <w:pStyle w:val="U1"/>
        <w:widowControl/>
        <w:jc w:val="both"/>
        <w:rPr>
          <w:sz w:val="20"/>
          <w:szCs w:val="20"/>
          <w:lang w:val="en-GB"/>
        </w:rPr>
      </w:pPr>
      <w:r w:rsidRPr="00A20D07">
        <w:rPr>
          <w:sz w:val="20"/>
          <w:szCs w:val="20"/>
          <w:lang w:val="en-GB"/>
        </w:rPr>
        <w:t>(b)</w:t>
      </w:r>
      <w:r w:rsidRPr="00A20D07">
        <w:rPr>
          <w:sz w:val="20"/>
          <w:szCs w:val="20"/>
          <w:lang w:val="en-GB"/>
        </w:rPr>
        <w:tab/>
      </w:r>
      <w:proofErr w:type="gramStart"/>
      <w:r w:rsidRPr="00A20D07">
        <w:rPr>
          <w:sz w:val="20"/>
          <w:szCs w:val="20"/>
          <w:lang w:val="en-GB"/>
        </w:rPr>
        <w:t>the</w:t>
      </w:r>
      <w:proofErr w:type="gramEnd"/>
      <w:r w:rsidR="00985BAD">
        <w:rPr>
          <w:sz w:val="20"/>
          <w:szCs w:val="20"/>
          <w:lang w:val="en-GB"/>
        </w:rPr>
        <w:tab/>
      </w:r>
      <w:r w:rsidRPr="00A20D07">
        <w:rPr>
          <w:sz w:val="20"/>
          <w:szCs w:val="20"/>
          <w:lang w:val="en-GB"/>
        </w:rPr>
        <w:t xml:space="preserve"> assistance may have a multiplier effect and may stimulate financial and technical contributions from other sources.</w:t>
      </w:r>
    </w:p>
    <w:p w14:paraId="07A47200" w14:textId="7A296F81" w:rsidR="00657CCC" w:rsidRPr="00A20D07" w:rsidRDefault="0077259E" w:rsidP="00C73AF6">
      <w:pPr>
        <w:pStyle w:val="Texte1"/>
      </w:pPr>
      <w:r>
        <w:t>The</w:t>
      </w:r>
      <w:r w:rsidR="006516C6">
        <w:t>se</w:t>
      </w:r>
      <w:r>
        <w:t xml:space="preserve"> criteria and considerations for </w:t>
      </w:r>
      <w:r w:rsidR="006516C6">
        <w:t>granting</w:t>
      </w:r>
      <w:r>
        <w:t xml:space="preserve"> </w:t>
      </w:r>
      <w:r w:rsidR="003728DD">
        <w:t>International Assistance</w:t>
      </w:r>
      <w:r>
        <w:t xml:space="preserve"> </w:t>
      </w:r>
      <w:r w:rsidR="00985BAD">
        <w:t>function</w:t>
      </w:r>
      <w:r>
        <w:t xml:space="preserve"> different</w:t>
      </w:r>
      <w:r w:rsidR="00985BAD">
        <w:t>ly</w:t>
      </w:r>
      <w:r>
        <w:t xml:space="preserve"> than those for inscription on the USL or RL. The inscription criteria</w:t>
      </w:r>
      <w:r w:rsidR="006F417A">
        <w:t xml:space="preserve"> for the lists</w:t>
      </w:r>
      <w:r>
        <w:t xml:space="preserve"> are all mandatory: a nomination that fails to demonstrate that all of the criteria are satisfied cannot be accepted. When evaluating or examining </w:t>
      </w:r>
      <w:r w:rsidR="003728DD">
        <w:t>International Assistance</w:t>
      </w:r>
      <w:r>
        <w:t xml:space="preserve"> requests, however, the Evaluation Body, Bureau and Committee may determine that a particular criterion does not apply directly to a given case, or that the overall strength of the request outweighs any small </w:t>
      </w:r>
      <w:r w:rsidR="00C96E79">
        <w:t>weaknesses</w:t>
      </w:r>
      <w:r w:rsidRPr="00BD149D">
        <w:t>. States Parties should not assume that any criterion is purely optional – the Committee is obliged to take them all into account, even if it may weigh different criteria differently from one situation to another. In particular, since several of the criteria reiterate conditions set out in the Convention itself</w:t>
      </w:r>
      <w:r w:rsidR="006516C6" w:rsidRPr="00BD149D">
        <w:t xml:space="preserve"> such as the requirement for cost-sharing</w:t>
      </w:r>
      <w:r w:rsidRPr="00BD149D">
        <w:t xml:space="preserve">, the Committee may not simply waive one or another. States Parties are accordingly advised to take every criterion seriously and not to assume that the Committee’s generosity will lead it to grant a request that has important </w:t>
      </w:r>
      <w:r w:rsidR="00C96E79">
        <w:t>weaknesses</w:t>
      </w:r>
      <w:r w:rsidRPr="00BD149D">
        <w:t>.</w:t>
      </w:r>
    </w:p>
    <w:p w14:paraId="4DA92CCD" w14:textId="214D4F66" w:rsidR="000158F8" w:rsidRPr="00562857" w:rsidRDefault="000158F8" w:rsidP="000158F8">
      <w:pPr>
        <w:pStyle w:val="Titcoul"/>
        <w:rPr>
          <w:w w:val="107"/>
          <w:lang w:val="en-GB"/>
        </w:rPr>
      </w:pPr>
      <w:bookmarkStart w:id="25" w:name="_Toc241229760"/>
      <w:bookmarkStart w:id="26" w:name="_Toc241229964"/>
      <w:bookmarkStart w:id="27" w:name="_Toc242165658"/>
      <w:bookmarkStart w:id="28" w:name="_Toc241229763"/>
      <w:bookmarkStart w:id="29" w:name="_Toc241229967"/>
      <w:bookmarkStart w:id="30" w:name="_Toc242165661"/>
      <w:r w:rsidRPr="00562857">
        <w:rPr>
          <w:w w:val="107"/>
          <w:lang w:val="en-GB"/>
        </w:rPr>
        <w:lastRenderedPageBreak/>
        <w:t>12.</w:t>
      </w:r>
      <w:r w:rsidR="00C73AF6">
        <w:rPr>
          <w:w w:val="107"/>
          <w:lang w:val="en-GB"/>
        </w:rPr>
        <w:t>7</w:t>
      </w:r>
      <w:r w:rsidRPr="00562857">
        <w:rPr>
          <w:w w:val="107"/>
          <w:lang w:val="en-GB"/>
        </w:rPr>
        <w:tab/>
        <w:t xml:space="preserve">FINANCIAL ASSISTANCE </w:t>
      </w:r>
      <w:r w:rsidRPr="00562857">
        <w:rPr>
          <w:w w:val="107"/>
          <w:lang w:val="en-GB"/>
        </w:rPr>
        <w:tab/>
        <w:t>FOR PREPARING NOMINATION FILES</w:t>
      </w:r>
      <w:bookmarkEnd w:id="25"/>
      <w:bookmarkEnd w:id="26"/>
      <w:bookmarkEnd w:id="27"/>
    </w:p>
    <w:p w14:paraId="6E288E9C" w14:textId="549C70AE" w:rsidR="000158F8" w:rsidRPr="00562857" w:rsidRDefault="000158F8" w:rsidP="000158F8">
      <w:pPr>
        <w:pStyle w:val="Texte1"/>
      </w:pPr>
      <w:r w:rsidRPr="00562857">
        <w:t>States Parties may request assistance from the ICH Fund for developing nominations for the USL using form ICH-05, and for the Register</w:t>
      </w:r>
      <w:r w:rsidR="00F07C6E">
        <w:t xml:space="preserve"> of </w:t>
      </w:r>
      <w:r w:rsidR="00F739F8">
        <w:t>Good</w:t>
      </w:r>
      <w:r w:rsidR="00F07C6E">
        <w:t xml:space="preserve"> Safeguarding Practices</w:t>
      </w:r>
      <w:r w:rsidRPr="00562857">
        <w:t xml:space="preserve"> using form ICH-06. </w:t>
      </w:r>
      <w:r>
        <w:t>No assistance can be provided f</w:t>
      </w:r>
      <w:r w:rsidRPr="00562857">
        <w:t>or the preparation of nomination files to the RL.</w:t>
      </w:r>
    </w:p>
    <w:p w14:paraId="24F3E438" w14:textId="66CD84B8" w:rsidR="000158F8" w:rsidRPr="00562857" w:rsidRDefault="000158F8" w:rsidP="000158F8">
      <w:pPr>
        <w:pStyle w:val="Texte1"/>
      </w:pPr>
      <w:r w:rsidRPr="00562857">
        <w:t xml:space="preserve">Possible activities to be funded through preparatory financial assistance for nominations to the USL include: the preparation of required </w:t>
      </w:r>
      <w:proofErr w:type="spellStart"/>
      <w:r w:rsidRPr="00562857">
        <w:t>audi</w:t>
      </w:r>
      <w:r w:rsidR="00334B18">
        <w:t>o</w:t>
      </w:r>
      <w:r w:rsidRPr="00562857">
        <w:t>visual</w:t>
      </w:r>
      <w:proofErr w:type="spellEnd"/>
      <w:r w:rsidRPr="00562857">
        <w:t xml:space="preserve"> material for the nomination file; the provision of expert assistance or translation services; and the organization of community consultations. Possible activities to be funded through preparatory financial assistance for proposals to the Register include </w:t>
      </w:r>
      <w:r w:rsidR="00985BAD">
        <w:t>conducting</w:t>
      </w:r>
      <w:r w:rsidR="00985BAD" w:rsidRPr="00562857">
        <w:t xml:space="preserve"> </w:t>
      </w:r>
      <w:r w:rsidR="00985BAD">
        <w:t>a</w:t>
      </w:r>
      <w:r w:rsidR="00A766DC">
        <w:t>n</w:t>
      </w:r>
      <w:r w:rsidR="00985BAD">
        <w:t xml:space="preserve"> evaluation</w:t>
      </w:r>
      <w:r w:rsidRPr="00562857">
        <w:t xml:space="preserve"> of the project and translation costs. States Parties cannot use preparatory assistance to implement the proposed project or programme. In both cases, no fixed amounts are determined for the assistance.</w:t>
      </w:r>
    </w:p>
    <w:p w14:paraId="3B870166" w14:textId="4B418EBA" w:rsidR="000158F8" w:rsidRDefault="000158F8" w:rsidP="000158F8">
      <w:pPr>
        <w:pStyle w:val="Texte1"/>
      </w:pPr>
      <w:r w:rsidRPr="00562857">
        <w:t>The deadline for submission of preparatory assistance requests is 31 March every year. The assistance requests are examined by the Bureau of the Committee</w:t>
      </w:r>
      <w:r w:rsidR="00F07C6E">
        <w:t xml:space="preserve"> in the following months</w:t>
      </w:r>
      <w:r w:rsidRPr="00562857">
        <w:t>. The first deadline for nomination files prepared with such assistance, however, is 31 March of the following year, which means that there will be at least thirty months between the deadline of the submission of the request for preparatory assistance and the time that the Committee examines the</w:t>
      </w:r>
      <w:r w:rsidR="006F417A">
        <w:t xml:space="preserve"> resulting</w:t>
      </w:r>
      <w:r w:rsidRPr="00562857">
        <w:t xml:space="preserve"> nomination file itself.</w:t>
      </w:r>
    </w:p>
    <w:p w14:paraId="4768922E" w14:textId="50AED385" w:rsidR="00BF57B3" w:rsidRPr="00D730B0" w:rsidRDefault="000158F8" w:rsidP="00644696">
      <w:pPr>
        <w:pStyle w:val="Texte1"/>
      </w:pPr>
      <w:r w:rsidRPr="00562857">
        <w:t>The UNESCO Secretariat cannot provide technical assistance for the development of specific nomination files, and no costs associated with the travel and expenditures of UNESCO personnel can be included in a</w:t>
      </w:r>
      <w:r>
        <w:t xml:space="preserve"> preparatory</w:t>
      </w:r>
      <w:r w:rsidRPr="00562857">
        <w:t xml:space="preserve"> assistance request.</w:t>
      </w:r>
      <w:bookmarkEnd w:id="28"/>
      <w:bookmarkEnd w:id="29"/>
      <w:bookmarkEnd w:id="30"/>
    </w:p>
    <w:sectPr w:rsidR="00BF57B3" w:rsidRPr="00D730B0" w:rsidSect="00737816">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4760B" w14:textId="77777777" w:rsidR="00DA0070" w:rsidRDefault="00DA0070" w:rsidP="000F4C6A">
      <w:r>
        <w:separator/>
      </w:r>
    </w:p>
    <w:p w14:paraId="729160C1" w14:textId="77777777" w:rsidR="00DA0070" w:rsidRDefault="00DA0070"/>
  </w:endnote>
  <w:endnote w:type="continuationSeparator" w:id="0">
    <w:p w14:paraId="19A259B6" w14:textId="77777777" w:rsidR="00DA0070" w:rsidRDefault="00DA0070" w:rsidP="000F4C6A">
      <w:r>
        <w:continuationSeparator/>
      </w:r>
    </w:p>
    <w:p w14:paraId="04585890" w14:textId="77777777" w:rsidR="00DA0070" w:rsidRDefault="00DA0070"/>
  </w:endnote>
  <w:endnote w:type="continuationNotice" w:id="1">
    <w:p w14:paraId="572D7DAD" w14:textId="77777777" w:rsidR="00DA0070" w:rsidRDefault="00DA00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6EA" w14:textId="3C90B7A1" w:rsidR="0030757E" w:rsidRPr="008B4139" w:rsidRDefault="0025131E" w:rsidP="00E9617F">
    <w:pPr>
      <w:pStyle w:val="Footer"/>
      <w:rPr>
        <w:lang w:val="en-US"/>
      </w:rPr>
    </w:pPr>
    <w:r w:rsidRPr="006021AD">
      <w:rPr>
        <w:noProof/>
        <w:sz w:val="22"/>
        <w:lang w:eastAsia="zh-TW"/>
      </w:rPr>
      <w:drawing>
        <wp:anchor distT="0" distB="0" distL="114300" distR="114300" simplePos="0" relativeHeight="252060672" behindDoc="0" locked="0" layoutInCell="1" allowOverlap="1" wp14:anchorId="16E17AA6" wp14:editId="7AA464A2">
          <wp:simplePos x="0" y="0"/>
          <wp:positionH relativeFrom="column">
            <wp:posOffset>2580640</wp:posOffset>
          </wp:positionH>
          <wp:positionV relativeFrom="paragraph">
            <wp:posOffset>-17780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0757E" w:rsidRPr="008B4139">
      <w:rPr>
        <w:noProof/>
        <w:snapToGrid/>
        <w:lang w:eastAsia="zh-TW"/>
      </w:rPr>
      <w:drawing>
        <wp:anchor distT="0" distB="0" distL="114300" distR="114300" simplePos="0" relativeHeight="251991040" behindDoc="0" locked="1" layoutInCell="1" allowOverlap="0" wp14:anchorId="2403E22E" wp14:editId="0FB20C5B">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30757E" w:rsidRPr="008B4139">
      <w:rPr>
        <w:rStyle w:val="PageNumber"/>
        <w:lang w:val="en-US"/>
      </w:rPr>
      <w:tab/>
    </w:r>
    <w:r w:rsidR="0030757E" w:rsidRPr="008B4139">
      <w:rPr>
        <w:lang w:val="en-US"/>
      </w:rPr>
      <w:tab/>
      <w:t>U01</w:t>
    </w:r>
    <w:r w:rsidR="0030757E">
      <w:rPr>
        <w:lang w:val="en-US"/>
      </w:rPr>
      <w:t>2</w:t>
    </w:r>
    <w:r w:rsidR="0030757E" w:rsidRPr="008B4139">
      <w:rPr>
        <w:lang w:val="en-US"/>
      </w:rPr>
      <w:t>-v</w:t>
    </w:r>
    <w:r w:rsidR="001E4207">
      <w:rPr>
        <w:lang w:val="en-US"/>
      </w:rPr>
      <w:t>2</w:t>
    </w:r>
    <w:r w:rsidR="0030757E" w:rsidRPr="008B4139">
      <w:rPr>
        <w:lang w:val="en-US"/>
      </w:rPr>
      <w:t>.0-PT-EN</w:t>
    </w:r>
  </w:p>
  <w:p w14:paraId="5DB780D7" w14:textId="2BC4ACDB" w:rsidR="0030757E" w:rsidRPr="008B4139" w:rsidRDefault="0030757E" w:rsidP="009D4AB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1E96C829" w:rsidR="0030757E" w:rsidRPr="008B4139" w:rsidRDefault="0025131E" w:rsidP="00CB334B">
    <w:pPr>
      <w:pStyle w:val="Footer"/>
      <w:rPr>
        <w:lang w:val="en-US"/>
      </w:rPr>
    </w:pPr>
    <w:r w:rsidRPr="006021AD">
      <w:rPr>
        <w:noProof/>
        <w:sz w:val="22"/>
        <w:lang w:eastAsia="zh-TW"/>
      </w:rPr>
      <w:drawing>
        <wp:anchor distT="0" distB="0" distL="114300" distR="114300" simplePos="0" relativeHeight="252062720" behindDoc="0" locked="0" layoutInCell="1" allowOverlap="1" wp14:anchorId="1989829F" wp14:editId="67655B89">
          <wp:simplePos x="0" y="0"/>
          <wp:positionH relativeFrom="column">
            <wp:posOffset>2580640</wp:posOffset>
          </wp:positionH>
          <wp:positionV relativeFrom="paragraph">
            <wp:posOffset>-8255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0757E" w:rsidRPr="008B4139">
      <w:rPr>
        <w:lang w:val="en-US"/>
      </w:rPr>
      <w:t>U01</w:t>
    </w:r>
    <w:r w:rsidR="0030757E">
      <w:rPr>
        <w:lang w:val="en-US"/>
      </w:rPr>
      <w:t>2</w:t>
    </w:r>
    <w:r w:rsidR="0030757E" w:rsidRPr="008B4139">
      <w:rPr>
        <w:lang w:val="en-US"/>
      </w:rPr>
      <w:t>-v</w:t>
    </w:r>
    <w:r w:rsidR="001E4207">
      <w:rPr>
        <w:lang w:val="en-US"/>
      </w:rPr>
      <w:t>2</w:t>
    </w:r>
    <w:r w:rsidR="0030757E" w:rsidRPr="008B4139">
      <w:rPr>
        <w:lang w:val="en-US"/>
      </w:rPr>
      <w:t>.0-PT-EN</w:t>
    </w:r>
    <w:r w:rsidR="0030757E" w:rsidRPr="008B4139">
      <w:rPr>
        <w:lang w:val="en-US"/>
      </w:rPr>
      <w:tab/>
    </w:r>
    <w:r w:rsidR="0030757E" w:rsidRPr="008B4139">
      <w:rPr>
        <w:lang w:val="en-US"/>
      </w:rPr>
      <w:tab/>
    </w:r>
    <w:r w:rsidR="0030757E" w:rsidRPr="008B4139">
      <w:rPr>
        <w:noProof/>
        <w:snapToGrid/>
        <w:lang w:eastAsia="zh-TW"/>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18B0CCA9" w:rsidR="0030757E" w:rsidRPr="008B4139" w:rsidRDefault="0025131E" w:rsidP="00DA711D">
    <w:pPr>
      <w:pStyle w:val="Footer"/>
      <w:rPr>
        <w:lang w:val="en-US"/>
      </w:rPr>
    </w:pPr>
    <w:r w:rsidRPr="006021AD">
      <w:rPr>
        <w:noProof/>
        <w:sz w:val="22"/>
        <w:lang w:eastAsia="zh-TW"/>
      </w:rPr>
      <w:drawing>
        <wp:anchor distT="0" distB="0" distL="114300" distR="114300" simplePos="0" relativeHeight="252058624" behindDoc="0" locked="0" layoutInCell="1" allowOverlap="1" wp14:anchorId="51A83860" wp14:editId="2E0F0C27">
          <wp:simplePos x="0" y="0"/>
          <wp:positionH relativeFrom="column">
            <wp:posOffset>2580640</wp:posOffset>
          </wp:positionH>
          <wp:positionV relativeFrom="paragraph">
            <wp:posOffset>-8255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0757E" w:rsidRPr="008B4139">
      <w:rPr>
        <w:lang w:val="en-US"/>
      </w:rPr>
      <w:t>U</w:t>
    </w:r>
    <w:r w:rsidR="0030757E">
      <w:rPr>
        <w:lang w:val="en-US"/>
      </w:rPr>
      <w:t>012</w:t>
    </w:r>
    <w:r w:rsidR="0030757E" w:rsidRPr="008B4139">
      <w:rPr>
        <w:lang w:val="en-US"/>
      </w:rPr>
      <w:t>-v</w:t>
    </w:r>
    <w:r w:rsidR="001E4207">
      <w:rPr>
        <w:lang w:val="en-US"/>
      </w:rPr>
      <w:t>2</w:t>
    </w:r>
    <w:r w:rsidR="0030757E" w:rsidRPr="008B4139">
      <w:rPr>
        <w:lang w:val="en-US"/>
      </w:rPr>
      <w:t>.0-PT-EN</w:t>
    </w:r>
    <w:r w:rsidR="0030757E" w:rsidRPr="008B4139">
      <w:rPr>
        <w:lang w:val="en-US"/>
      </w:rPr>
      <w:tab/>
    </w:r>
    <w:r w:rsidR="0030757E" w:rsidRPr="008B4139">
      <w:rPr>
        <w:lang w:val="en-US"/>
      </w:rPr>
      <w:tab/>
    </w:r>
    <w:r w:rsidR="0030757E" w:rsidRPr="008B4139">
      <w:rPr>
        <w:noProof/>
        <w:snapToGrid/>
        <w:lang w:eastAsia="zh-TW"/>
      </w:rPr>
      <w:drawing>
        <wp:anchor distT="0" distB="0" distL="114300" distR="114300" simplePos="0" relativeHeight="252050432" behindDoc="0" locked="1" layoutInCell="1" allowOverlap="0" wp14:anchorId="26B79FD2" wp14:editId="6D7AFB6D">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8DEEC" w14:textId="77777777" w:rsidR="00DA0070" w:rsidRDefault="00DA0070" w:rsidP="00117DDB">
      <w:pPr>
        <w:ind w:left="0"/>
      </w:pPr>
      <w:r>
        <w:separator/>
      </w:r>
    </w:p>
  </w:footnote>
  <w:footnote w:type="continuationSeparator" w:id="0">
    <w:p w14:paraId="44EFCB45" w14:textId="77777777" w:rsidR="00DA0070" w:rsidRDefault="00DA0070" w:rsidP="000F4C6A">
      <w:r>
        <w:continuationSeparator/>
      </w:r>
    </w:p>
    <w:p w14:paraId="3E55EA49" w14:textId="77777777" w:rsidR="00DA0070" w:rsidRDefault="00DA0070"/>
  </w:footnote>
  <w:footnote w:type="continuationNotice" w:id="1">
    <w:p w14:paraId="70E32C3A" w14:textId="77777777" w:rsidR="00DA0070" w:rsidRDefault="00DA0070">
      <w:pPr>
        <w:spacing w:line="240" w:lineRule="auto"/>
      </w:pPr>
    </w:p>
  </w:footnote>
  <w:footnote w:id="2">
    <w:p w14:paraId="652E1B81" w14:textId="68D19A49" w:rsidR="0030757E" w:rsidRPr="0071007C" w:rsidRDefault="0030757E" w:rsidP="00252C1A">
      <w:pPr>
        <w:pStyle w:val="FootnoteText"/>
        <w:rPr>
          <w:lang w:val="en-US"/>
        </w:rPr>
      </w:pPr>
      <w:r w:rsidRPr="007E3E09">
        <w:rPr>
          <w:rStyle w:val="FootnoteReference"/>
          <w:sz w:val="16"/>
          <w:szCs w:val="16"/>
          <w:vertAlign w:val="baseline"/>
          <w:lang w:val="en-US"/>
        </w:rPr>
        <w:t>1.</w:t>
      </w:r>
      <w:r w:rsidRPr="006E03EB">
        <w:rPr>
          <w:lang w:val="en-US"/>
        </w:rPr>
        <w:tab/>
        <w:t>Frequently referred to as the Intangible Cultural Heritage Convention and, for the purpose of this Unit, simply the Co</w:t>
      </w:r>
      <w:r w:rsidRPr="005031E4">
        <w:rPr>
          <w:lang w:val="en-US"/>
        </w:rPr>
        <w:t>nvention</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6031498E" w:rsidR="0030757E" w:rsidRDefault="0030757E">
    <w:pPr>
      <w:pStyle w:val="Header"/>
    </w:pPr>
    <w:r>
      <w:rPr>
        <w:rStyle w:val="PageNumber"/>
      </w:rPr>
      <w:fldChar w:fldCharType="begin"/>
    </w:r>
    <w:r>
      <w:rPr>
        <w:rStyle w:val="PageNumber"/>
      </w:rPr>
      <w:instrText xml:space="preserve"> PAGE </w:instrText>
    </w:r>
    <w:r>
      <w:rPr>
        <w:rStyle w:val="PageNumber"/>
      </w:rPr>
      <w:fldChar w:fldCharType="separate"/>
    </w:r>
    <w:r w:rsidR="00AA38FD">
      <w:rPr>
        <w:rStyle w:val="PageNumber"/>
        <w:noProof/>
      </w:rPr>
      <w:t>2</w:t>
    </w:r>
    <w:r>
      <w:rPr>
        <w:rStyle w:val="PageNumber"/>
      </w:rPr>
      <w:fldChar w:fldCharType="end"/>
    </w:r>
    <w:r>
      <w:tab/>
    </w:r>
    <w:r>
      <w:rPr>
        <w:szCs w:val="16"/>
      </w:rPr>
      <w:t>Unit 12: International cooperation and assistance</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144591ED" w:rsidR="0030757E" w:rsidRPr="00DB506E" w:rsidRDefault="0030757E" w:rsidP="009D4AB5">
    <w:pPr>
      <w:pStyle w:val="Header"/>
    </w:pPr>
    <w:r>
      <w:t>Participant’s text</w:t>
    </w:r>
    <w:r>
      <w:tab/>
    </w:r>
    <w:r>
      <w:rPr>
        <w:szCs w:val="16"/>
      </w:rPr>
      <w:t>Unit 12: International cooperation and assistance</w:t>
    </w:r>
    <w:r>
      <w:tab/>
    </w:r>
    <w:r>
      <w:rPr>
        <w:rStyle w:val="PageNumber"/>
      </w:rPr>
      <w:fldChar w:fldCharType="begin"/>
    </w:r>
    <w:r>
      <w:rPr>
        <w:rStyle w:val="PageNumber"/>
      </w:rPr>
      <w:instrText xml:space="preserve"> PAGE </w:instrText>
    </w:r>
    <w:r>
      <w:rPr>
        <w:rStyle w:val="PageNumber"/>
      </w:rPr>
      <w:fldChar w:fldCharType="separate"/>
    </w:r>
    <w:r w:rsidR="00AA38FD">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1B3E" w14:textId="6DBFAA03" w:rsidR="0030757E" w:rsidRDefault="0030757E" w:rsidP="00065059">
    <w:pPr>
      <w:pStyle w:val="Header"/>
      <w:ind w:right="360"/>
    </w:pPr>
    <w:r>
      <w:tab/>
      <w:t xml:space="preserve">Participant’s text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975B0F"/>
    <w:multiLevelType w:val="hybridMultilevel"/>
    <w:tmpl w:val="3AA2E516"/>
    <w:lvl w:ilvl="0" w:tplc="6834EF36">
      <w:start w:val="1"/>
      <w:numFmt w:val="lowerLetter"/>
      <w:lvlText w:val="(%1)"/>
      <w:lvlJc w:val="left"/>
      <w:pPr>
        <w:tabs>
          <w:tab w:val="num" w:pos="1137"/>
        </w:tabs>
        <w:ind w:left="1137" w:hanging="283"/>
      </w:pPr>
      <w:rPr>
        <w:rFonts w:hint="default"/>
        <w:color w:val="000000"/>
        <w:sz w:val="18"/>
      </w:rPr>
    </w:lvl>
    <w:lvl w:ilvl="1" w:tplc="040C0003" w:tentative="1">
      <w:start w:val="1"/>
      <w:numFmt w:val="bullet"/>
      <w:lvlText w:val="o"/>
      <w:lvlJc w:val="left"/>
      <w:pPr>
        <w:ind w:left="1443" w:hanging="360"/>
      </w:pPr>
      <w:rPr>
        <w:rFonts w:ascii="Courier New" w:hAnsi="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261"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8"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9"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15:restartNumberingAfterBreak="0">
    <w:nsid w:val="6DD7162C"/>
    <w:multiLevelType w:val="hybridMultilevel"/>
    <w:tmpl w:val="98D80B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lvlText w:val=""/>
      <w:lvlJc w:val="left"/>
      <w:pPr>
        <w:tabs>
          <w:tab w:val="num" w:pos="851"/>
        </w:tabs>
        <w:ind w:left="851"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1"/>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1"/>
  </w:num>
  <w:num w:numId="8">
    <w:abstractNumId w:val="237"/>
  </w:num>
  <w:num w:numId="9">
    <w:abstractNumId w:val="290"/>
  </w:num>
  <w:num w:numId="10">
    <w:abstractNumId w:val="219"/>
  </w:num>
  <w:num w:numId="11">
    <w:abstractNumId w:val="223"/>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6"/>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6"/>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41"/>
  </w:num>
  <w:num w:numId="38">
    <w:abstractNumId w:val="5"/>
  </w:num>
  <w:num w:numId="39">
    <w:abstractNumId w:val="318"/>
  </w:num>
  <w:num w:numId="40">
    <w:abstractNumId w:val="185"/>
  </w:num>
  <w:num w:numId="41">
    <w:abstractNumId w:val="213"/>
  </w:num>
  <w:num w:numId="42">
    <w:abstractNumId w:val="156"/>
  </w:num>
  <w:num w:numId="43">
    <w:abstractNumId w:val="148"/>
  </w:num>
  <w:num w:numId="44">
    <w:abstractNumId w:val="267"/>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7"/>
  </w:num>
  <w:num w:numId="53">
    <w:abstractNumId w:val="303"/>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5"/>
  </w:num>
  <w:num w:numId="62">
    <w:abstractNumId w:val="253"/>
  </w:num>
  <w:num w:numId="63">
    <w:abstractNumId w:val="315"/>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2"/>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2"/>
  </w:num>
  <w:num w:numId="85">
    <w:abstractNumId w:val="17"/>
  </w:num>
  <w:num w:numId="86">
    <w:abstractNumId w:val="176"/>
  </w:num>
  <w:num w:numId="87">
    <w:abstractNumId w:val="126"/>
  </w:num>
  <w:num w:numId="88">
    <w:abstractNumId w:val="171"/>
  </w:num>
  <w:num w:numId="89">
    <w:abstractNumId w:val="327"/>
  </w:num>
  <w:num w:numId="90">
    <w:abstractNumId w:val="242"/>
  </w:num>
  <w:num w:numId="91">
    <w:abstractNumId w:val="14"/>
  </w:num>
  <w:num w:numId="92">
    <w:abstractNumId w:val="313"/>
  </w:num>
  <w:num w:numId="93">
    <w:abstractNumId w:val="204"/>
  </w:num>
  <w:num w:numId="94">
    <w:abstractNumId w:val="257"/>
  </w:num>
  <w:num w:numId="95">
    <w:abstractNumId w:val="346"/>
  </w:num>
  <w:num w:numId="96">
    <w:abstractNumId w:val="89"/>
  </w:num>
  <w:num w:numId="97">
    <w:abstractNumId w:val="283"/>
  </w:num>
  <w:num w:numId="98">
    <w:abstractNumId w:val="43"/>
  </w:num>
  <w:num w:numId="99">
    <w:abstractNumId w:val="324"/>
  </w:num>
  <w:num w:numId="100">
    <w:abstractNumId w:val="133"/>
  </w:num>
  <w:num w:numId="101">
    <w:abstractNumId w:val="134"/>
  </w:num>
  <w:num w:numId="102">
    <w:abstractNumId w:val="284"/>
    <w:lvlOverride w:ilvl="0">
      <w:startOverride w:val="1"/>
    </w:lvlOverride>
  </w:num>
  <w:num w:numId="103">
    <w:abstractNumId w:val="284"/>
  </w:num>
  <w:num w:numId="104">
    <w:abstractNumId w:val="114"/>
  </w:num>
  <w:num w:numId="105">
    <w:abstractNumId w:val="68"/>
  </w:num>
  <w:num w:numId="106">
    <w:abstractNumId w:val="348"/>
  </w:num>
  <w:num w:numId="107">
    <w:abstractNumId w:val="202"/>
  </w:num>
  <w:num w:numId="108">
    <w:abstractNumId w:val="0"/>
  </w:num>
  <w:num w:numId="109">
    <w:abstractNumId w:val="288"/>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2"/>
  </w:num>
  <w:num w:numId="144">
    <w:abstractNumId w:val="224"/>
  </w:num>
  <w:num w:numId="145">
    <w:abstractNumId w:val="259"/>
  </w:num>
  <w:num w:numId="146">
    <w:abstractNumId w:val="153"/>
  </w:num>
  <w:num w:numId="147">
    <w:abstractNumId w:val="317"/>
  </w:num>
  <w:num w:numId="148">
    <w:abstractNumId w:val="141"/>
  </w:num>
  <w:num w:numId="149">
    <w:abstractNumId w:val="273"/>
  </w:num>
  <w:num w:numId="150">
    <w:abstractNumId w:val="153"/>
  </w:num>
  <w:num w:numId="151">
    <w:abstractNumId w:val="265"/>
  </w:num>
  <w:num w:numId="152">
    <w:abstractNumId w:val="220"/>
  </w:num>
  <w:num w:numId="153">
    <w:abstractNumId w:val="120"/>
  </w:num>
  <w:num w:numId="154">
    <w:abstractNumId w:val="167"/>
  </w:num>
  <w:num w:numId="155">
    <w:abstractNumId w:val="169"/>
  </w:num>
  <w:num w:numId="156">
    <w:abstractNumId w:val="345"/>
  </w:num>
  <w:num w:numId="157">
    <w:abstractNumId w:val="295"/>
  </w:num>
  <w:num w:numId="158">
    <w:abstractNumId w:val="107"/>
  </w:num>
  <w:num w:numId="159">
    <w:abstractNumId w:val="145"/>
  </w:num>
  <w:num w:numId="160">
    <w:abstractNumId w:val="295"/>
    <w:lvlOverride w:ilvl="0">
      <w:startOverride w:val="1"/>
    </w:lvlOverride>
  </w:num>
  <w:num w:numId="161">
    <w:abstractNumId w:val="35"/>
  </w:num>
  <w:num w:numId="162">
    <w:abstractNumId w:val="302"/>
  </w:num>
  <w:num w:numId="163">
    <w:abstractNumId w:val="109"/>
  </w:num>
  <w:num w:numId="164">
    <w:abstractNumId w:val="225"/>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4"/>
  </w:num>
  <w:num w:numId="177">
    <w:abstractNumId w:val="330"/>
  </w:num>
  <w:num w:numId="178">
    <w:abstractNumId w:val="296"/>
  </w:num>
  <w:num w:numId="179">
    <w:abstractNumId w:val="301"/>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8"/>
  </w:num>
  <w:num w:numId="190">
    <w:abstractNumId w:val="19"/>
  </w:num>
  <w:num w:numId="191">
    <w:abstractNumId w:val="36"/>
  </w:num>
  <w:num w:numId="192">
    <w:abstractNumId w:val="183"/>
  </w:num>
  <w:num w:numId="193">
    <w:abstractNumId w:val="333"/>
  </w:num>
  <w:num w:numId="194">
    <w:abstractNumId w:val="211"/>
  </w:num>
  <w:num w:numId="195">
    <w:abstractNumId w:val="81"/>
  </w:num>
  <w:num w:numId="196">
    <w:abstractNumId w:val="93"/>
  </w:num>
  <w:num w:numId="197">
    <w:abstractNumId w:val="86"/>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2"/>
  </w:num>
  <w:num w:numId="208">
    <w:abstractNumId w:val="30"/>
  </w:num>
  <w:num w:numId="209">
    <w:abstractNumId w:val="63"/>
  </w:num>
  <w:num w:numId="210">
    <w:abstractNumId w:val="268"/>
  </w:num>
  <w:num w:numId="211">
    <w:abstractNumId w:val="164"/>
  </w:num>
  <w:num w:numId="212">
    <w:abstractNumId w:val="277"/>
  </w:num>
  <w:num w:numId="213">
    <w:abstractNumId w:val="293"/>
  </w:num>
  <w:num w:numId="214">
    <w:abstractNumId w:val="350"/>
  </w:num>
  <w:num w:numId="215">
    <w:abstractNumId w:val="350"/>
  </w:num>
  <w:num w:numId="216">
    <w:abstractNumId w:val="4"/>
  </w:num>
  <w:num w:numId="217">
    <w:abstractNumId w:val="350"/>
    <w:lvlOverride w:ilvl="0">
      <w:startOverride w:val="1"/>
    </w:lvlOverride>
  </w:num>
  <w:num w:numId="218">
    <w:abstractNumId w:val="168"/>
  </w:num>
  <w:num w:numId="219">
    <w:abstractNumId w:val="339"/>
  </w:num>
  <w:num w:numId="220">
    <w:abstractNumId w:val="305"/>
  </w:num>
  <w:num w:numId="221">
    <w:abstractNumId w:val="334"/>
  </w:num>
  <w:num w:numId="222">
    <w:abstractNumId w:val="179"/>
  </w:num>
  <w:num w:numId="223">
    <w:abstractNumId w:val="255"/>
  </w:num>
  <w:num w:numId="224">
    <w:abstractNumId w:val="276"/>
  </w:num>
  <w:num w:numId="225">
    <w:abstractNumId w:val="270"/>
  </w:num>
  <w:num w:numId="226">
    <w:abstractNumId w:val="77"/>
  </w:num>
  <w:num w:numId="227">
    <w:abstractNumId w:val="349"/>
  </w:num>
  <w:num w:numId="228">
    <w:abstractNumId w:val="226"/>
  </w:num>
  <w:num w:numId="229">
    <w:abstractNumId w:val="20"/>
  </w:num>
  <w:num w:numId="230">
    <w:abstractNumId w:val="301"/>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2"/>
  </w:num>
  <w:num w:numId="250">
    <w:abstractNumId w:val="203"/>
  </w:num>
  <w:num w:numId="251">
    <w:abstractNumId w:val="266"/>
  </w:num>
  <w:num w:numId="252">
    <w:abstractNumId w:val="6"/>
  </w:num>
  <w:num w:numId="253">
    <w:abstractNumId w:val="301"/>
  </w:num>
  <w:num w:numId="254">
    <w:abstractNumId w:val="343"/>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10"/>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4"/>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7"/>
  </w:num>
  <w:num w:numId="281">
    <w:abstractNumId w:val="322"/>
  </w:num>
  <w:num w:numId="282">
    <w:abstractNumId w:val="67"/>
  </w:num>
  <w:num w:numId="283">
    <w:abstractNumId w:val="247"/>
  </w:num>
  <w:num w:numId="284">
    <w:abstractNumId w:val="314"/>
  </w:num>
  <w:num w:numId="285">
    <w:abstractNumId w:val="186"/>
  </w:num>
  <w:num w:numId="286">
    <w:abstractNumId w:val="355"/>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5"/>
  </w:num>
  <w:num w:numId="303">
    <w:abstractNumId w:val="193"/>
  </w:num>
  <w:num w:numId="304">
    <w:abstractNumId w:val="140"/>
  </w:num>
  <w:num w:numId="305">
    <w:abstractNumId w:val="128"/>
  </w:num>
  <w:num w:numId="306">
    <w:abstractNumId w:val="338"/>
  </w:num>
  <w:num w:numId="307">
    <w:abstractNumId w:val="337"/>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9"/>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4"/>
  </w:num>
  <w:num w:numId="325">
    <w:abstractNumId w:val="353"/>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21"/>
  </w:num>
  <w:num w:numId="339">
    <w:abstractNumId w:val="291"/>
  </w:num>
  <w:num w:numId="340">
    <w:abstractNumId w:val="326"/>
  </w:num>
  <w:num w:numId="341">
    <w:abstractNumId w:val="228"/>
  </w:num>
  <w:num w:numId="342">
    <w:abstractNumId w:val="311"/>
  </w:num>
  <w:num w:numId="343">
    <w:abstractNumId w:val="79"/>
  </w:num>
  <w:num w:numId="344">
    <w:abstractNumId w:val="301"/>
  </w:num>
  <w:num w:numId="345">
    <w:abstractNumId w:val="301"/>
  </w:num>
  <w:num w:numId="346">
    <w:abstractNumId w:val="306"/>
  </w:num>
  <w:num w:numId="347">
    <w:abstractNumId w:val="162"/>
  </w:num>
  <w:num w:numId="348">
    <w:abstractNumId w:val="177"/>
  </w:num>
  <w:num w:numId="349">
    <w:abstractNumId w:val="236"/>
  </w:num>
  <w:num w:numId="350">
    <w:abstractNumId w:val="306"/>
  </w:num>
  <w:num w:numId="351">
    <w:abstractNumId w:val="45"/>
  </w:num>
  <w:num w:numId="352">
    <w:abstractNumId w:val="37"/>
  </w:num>
  <w:num w:numId="353">
    <w:abstractNumId w:val="37"/>
  </w:num>
  <w:num w:numId="354">
    <w:abstractNumId w:val="214"/>
  </w:num>
  <w:num w:numId="355">
    <w:abstractNumId w:val="335"/>
  </w:num>
  <w:num w:numId="356">
    <w:abstractNumId w:val="289"/>
  </w:num>
  <w:num w:numId="357">
    <w:abstractNumId w:val="264"/>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31"/>
  </w:num>
  <w:num w:numId="388">
    <w:abstractNumId w:val="250"/>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7"/>
  </w:num>
  <w:num w:numId="406">
    <w:abstractNumId w:val="7"/>
  </w:num>
  <w:num w:numId="407">
    <w:abstractNumId w:val="162"/>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7"/>
  </w:num>
  <w:num w:numId="432">
    <w:abstractNumId w:val="275"/>
  </w:num>
  <w:num w:numId="433">
    <w:abstractNumId w:val="323"/>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8"/>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9"/>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9"/>
  </w:num>
  <w:num w:numId="471">
    <w:abstractNumId w:val="252"/>
    <w:lvlOverride w:ilvl="0">
      <w:startOverride w:val="1"/>
    </w:lvlOverride>
  </w:num>
  <w:num w:numId="472">
    <w:abstractNumId w:val="127"/>
  </w:num>
  <w:num w:numId="473">
    <w:abstractNumId w:val="329"/>
  </w:num>
  <w:num w:numId="474">
    <w:abstractNumId w:val="47"/>
  </w:num>
  <w:num w:numId="475">
    <w:abstractNumId w:val="88"/>
  </w:num>
  <w:num w:numId="476">
    <w:abstractNumId w:val="263"/>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51"/>
  </w:num>
  <w:num w:numId="484">
    <w:abstractNumId w:val="96"/>
  </w:num>
  <w:num w:numId="485">
    <w:abstractNumId w:val="149"/>
  </w:num>
  <w:num w:numId="486">
    <w:abstractNumId w:val="97"/>
  </w:num>
  <w:num w:numId="487">
    <w:abstractNumId w:val="215"/>
  </w:num>
  <w:num w:numId="488">
    <w:abstractNumId w:val="280"/>
  </w:num>
  <w:num w:numId="489">
    <w:abstractNumId w:val="69"/>
  </w:num>
  <w:num w:numId="490">
    <w:abstractNumId w:val="218"/>
  </w:num>
  <w:num w:numId="491">
    <w:abstractNumId w:val="130"/>
  </w:num>
  <w:num w:numId="492">
    <w:abstractNumId w:val="194"/>
  </w:num>
  <w:num w:numId="493">
    <w:abstractNumId w:val="116"/>
  </w:num>
  <w:num w:numId="494">
    <w:abstractNumId w:val="301"/>
  </w:num>
  <w:num w:numId="495">
    <w:abstractNumId w:val="162"/>
  </w:num>
  <w:num w:numId="496">
    <w:abstractNumId w:val="274"/>
  </w:num>
  <w:num w:numId="497">
    <w:abstractNumId w:val="312"/>
  </w:num>
  <w:num w:numId="498">
    <w:abstractNumId w:val="308"/>
  </w:num>
  <w:num w:numId="499">
    <w:abstractNumId w:val="352"/>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301"/>
  </w:num>
  <w:num w:numId="507">
    <w:abstractNumId w:val="301"/>
  </w:num>
  <w:num w:numId="508">
    <w:abstractNumId w:val="162"/>
  </w:num>
  <w:num w:numId="509">
    <w:abstractNumId w:val="162"/>
  </w:num>
  <w:num w:numId="510">
    <w:abstractNumId w:val="301"/>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 w:numId="520">
    <w:abstractNumId w:val="37"/>
  </w:num>
  <w:num w:numId="521">
    <w:abstractNumId w:val="260"/>
  </w:num>
  <w:num w:numId="522">
    <w:abstractNumId w:val="298"/>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38913"/>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58DA"/>
    <w:rsid w:val="00006598"/>
    <w:rsid w:val="000070CA"/>
    <w:rsid w:val="00014873"/>
    <w:rsid w:val="000158F8"/>
    <w:rsid w:val="00017360"/>
    <w:rsid w:val="00017D71"/>
    <w:rsid w:val="00020DDD"/>
    <w:rsid w:val="000213A8"/>
    <w:rsid w:val="0002203F"/>
    <w:rsid w:val="00022302"/>
    <w:rsid w:val="00024878"/>
    <w:rsid w:val="0002511C"/>
    <w:rsid w:val="00025E6B"/>
    <w:rsid w:val="00027510"/>
    <w:rsid w:val="0002775B"/>
    <w:rsid w:val="00032984"/>
    <w:rsid w:val="00033E6C"/>
    <w:rsid w:val="0003412A"/>
    <w:rsid w:val="000349C0"/>
    <w:rsid w:val="00035D61"/>
    <w:rsid w:val="00036BC5"/>
    <w:rsid w:val="0003710D"/>
    <w:rsid w:val="00037FE6"/>
    <w:rsid w:val="000408B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08F2"/>
    <w:rsid w:val="0007226E"/>
    <w:rsid w:val="00072B6A"/>
    <w:rsid w:val="00072F5E"/>
    <w:rsid w:val="00073E1C"/>
    <w:rsid w:val="00073E48"/>
    <w:rsid w:val="00074F29"/>
    <w:rsid w:val="00076221"/>
    <w:rsid w:val="00081E8B"/>
    <w:rsid w:val="000826CD"/>
    <w:rsid w:val="000838BD"/>
    <w:rsid w:val="0008417E"/>
    <w:rsid w:val="00084B88"/>
    <w:rsid w:val="00085406"/>
    <w:rsid w:val="0008689C"/>
    <w:rsid w:val="000870DC"/>
    <w:rsid w:val="000877FD"/>
    <w:rsid w:val="00090884"/>
    <w:rsid w:val="00094539"/>
    <w:rsid w:val="00094B61"/>
    <w:rsid w:val="00094E6C"/>
    <w:rsid w:val="00097B9C"/>
    <w:rsid w:val="000A06A3"/>
    <w:rsid w:val="000A1092"/>
    <w:rsid w:val="000A137F"/>
    <w:rsid w:val="000A7857"/>
    <w:rsid w:val="000A7DE3"/>
    <w:rsid w:val="000B3726"/>
    <w:rsid w:val="000B3AC7"/>
    <w:rsid w:val="000B3BEF"/>
    <w:rsid w:val="000B6CC5"/>
    <w:rsid w:val="000C08B2"/>
    <w:rsid w:val="000C0E6A"/>
    <w:rsid w:val="000C2812"/>
    <w:rsid w:val="000C4C10"/>
    <w:rsid w:val="000C61DA"/>
    <w:rsid w:val="000C65CB"/>
    <w:rsid w:val="000C6BD2"/>
    <w:rsid w:val="000D5D72"/>
    <w:rsid w:val="000D647B"/>
    <w:rsid w:val="000D6A34"/>
    <w:rsid w:val="000D7317"/>
    <w:rsid w:val="000E154C"/>
    <w:rsid w:val="000E18AA"/>
    <w:rsid w:val="000E1D9D"/>
    <w:rsid w:val="000E28D9"/>
    <w:rsid w:val="000E2C87"/>
    <w:rsid w:val="000E2FF5"/>
    <w:rsid w:val="000E38A5"/>
    <w:rsid w:val="000E487A"/>
    <w:rsid w:val="000E5B15"/>
    <w:rsid w:val="000E6438"/>
    <w:rsid w:val="000E6F12"/>
    <w:rsid w:val="000F0E2D"/>
    <w:rsid w:val="000F2801"/>
    <w:rsid w:val="000F4C6A"/>
    <w:rsid w:val="000F779D"/>
    <w:rsid w:val="001002E2"/>
    <w:rsid w:val="0010052B"/>
    <w:rsid w:val="00100A7F"/>
    <w:rsid w:val="00100F44"/>
    <w:rsid w:val="0010224B"/>
    <w:rsid w:val="001028D5"/>
    <w:rsid w:val="00103510"/>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4524"/>
    <w:rsid w:val="001757F9"/>
    <w:rsid w:val="00176F70"/>
    <w:rsid w:val="00176FD3"/>
    <w:rsid w:val="00180896"/>
    <w:rsid w:val="00184FC1"/>
    <w:rsid w:val="00185FB0"/>
    <w:rsid w:val="00186D10"/>
    <w:rsid w:val="00187734"/>
    <w:rsid w:val="00187E3F"/>
    <w:rsid w:val="00192448"/>
    <w:rsid w:val="00196418"/>
    <w:rsid w:val="001A2366"/>
    <w:rsid w:val="001A2A63"/>
    <w:rsid w:val="001A2B13"/>
    <w:rsid w:val="001A69CA"/>
    <w:rsid w:val="001B04F6"/>
    <w:rsid w:val="001B08A5"/>
    <w:rsid w:val="001B0F2D"/>
    <w:rsid w:val="001B3C85"/>
    <w:rsid w:val="001B3FA8"/>
    <w:rsid w:val="001B586D"/>
    <w:rsid w:val="001C10C4"/>
    <w:rsid w:val="001C3DD5"/>
    <w:rsid w:val="001C618F"/>
    <w:rsid w:val="001C6E5F"/>
    <w:rsid w:val="001C7258"/>
    <w:rsid w:val="001D0283"/>
    <w:rsid w:val="001D1BDC"/>
    <w:rsid w:val="001D2F2B"/>
    <w:rsid w:val="001D3FC1"/>
    <w:rsid w:val="001D67E3"/>
    <w:rsid w:val="001D70CD"/>
    <w:rsid w:val="001E068F"/>
    <w:rsid w:val="001E0D28"/>
    <w:rsid w:val="001E2B7D"/>
    <w:rsid w:val="001E2F9D"/>
    <w:rsid w:val="001E4207"/>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4642"/>
    <w:rsid w:val="0023521F"/>
    <w:rsid w:val="00235DC5"/>
    <w:rsid w:val="00243CC1"/>
    <w:rsid w:val="002440CE"/>
    <w:rsid w:val="00244283"/>
    <w:rsid w:val="00245527"/>
    <w:rsid w:val="00246192"/>
    <w:rsid w:val="0025131E"/>
    <w:rsid w:val="00252C1A"/>
    <w:rsid w:val="00253333"/>
    <w:rsid w:val="0025444A"/>
    <w:rsid w:val="002573B2"/>
    <w:rsid w:val="00261762"/>
    <w:rsid w:val="00261A28"/>
    <w:rsid w:val="00263BAE"/>
    <w:rsid w:val="002650D4"/>
    <w:rsid w:val="00267D7B"/>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0427"/>
    <w:rsid w:val="002E318B"/>
    <w:rsid w:val="002E5028"/>
    <w:rsid w:val="002E7171"/>
    <w:rsid w:val="002E728A"/>
    <w:rsid w:val="002E7FAC"/>
    <w:rsid w:val="002F02A6"/>
    <w:rsid w:val="002F20F5"/>
    <w:rsid w:val="002F2B9E"/>
    <w:rsid w:val="002F54E1"/>
    <w:rsid w:val="002F739D"/>
    <w:rsid w:val="00301581"/>
    <w:rsid w:val="0030168E"/>
    <w:rsid w:val="0030186B"/>
    <w:rsid w:val="00306BB2"/>
    <w:rsid w:val="0030757E"/>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3C3F"/>
    <w:rsid w:val="00334B18"/>
    <w:rsid w:val="0033606D"/>
    <w:rsid w:val="003403F4"/>
    <w:rsid w:val="00340604"/>
    <w:rsid w:val="003408F2"/>
    <w:rsid w:val="00340932"/>
    <w:rsid w:val="00340A29"/>
    <w:rsid w:val="003426FF"/>
    <w:rsid w:val="0034280C"/>
    <w:rsid w:val="00343923"/>
    <w:rsid w:val="00344B54"/>
    <w:rsid w:val="00345541"/>
    <w:rsid w:val="00346311"/>
    <w:rsid w:val="00346A86"/>
    <w:rsid w:val="00346CC4"/>
    <w:rsid w:val="00350705"/>
    <w:rsid w:val="00351040"/>
    <w:rsid w:val="003531BA"/>
    <w:rsid w:val="00356606"/>
    <w:rsid w:val="00361F8E"/>
    <w:rsid w:val="00367858"/>
    <w:rsid w:val="003728DD"/>
    <w:rsid w:val="003728E8"/>
    <w:rsid w:val="00375BFE"/>
    <w:rsid w:val="00376601"/>
    <w:rsid w:val="00377CF2"/>
    <w:rsid w:val="00377D0A"/>
    <w:rsid w:val="003801E5"/>
    <w:rsid w:val="00381789"/>
    <w:rsid w:val="0038258A"/>
    <w:rsid w:val="00387787"/>
    <w:rsid w:val="0039555D"/>
    <w:rsid w:val="00396449"/>
    <w:rsid w:val="0039661E"/>
    <w:rsid w:val="0039678B"/>
    <w:rsid w:val="003967C2"/>
    <w:rsid w:val="0039745B"/>
    <w:rsid w:val="003A0944"/>
    <w:rsid w:val="003A1010"/>
    <w:rsid w:val="003A33AE"/>
    <w:rsid w:val="003A63BD"/>
    <w:rsid w:val="003A6A2F"/>
    <w:rsid w:val="003A6CA1"/>
    <w:rsid w:val="003A75C8"/>
    <w:rsid w:val="003B0E03"/>
    <w:rsid w:val="003B2A6E"/>
    <w:rsid w:val="003B2FB9"/>
    <w:rsid w:val="003B3C8D"/>
    <w:rsid w:val="003B3F5C"/>
    <w:rsid w:val="003B4AA2"/>
    <w:rsid w:val="003B5330"/>
    <w:rsid w:val="003B70C7"/>
    <w:rsid w:val="003B7126"/>
    <w:rsid w:val="003B7243"/>
    <w:rsid w:val="003B7844"/>
    <w:rsid w:val="003B7D0F"/>
    <w:rsid w:val="003C0A6F"/>
    <w:rsid w:val="003C0C9F"/>
    <w:rsid w:val="003C16F8"/>
    <w:rsid w:val="003C2B59"/>
    <w:rsid w:val="003C2B71"/>
    <w:rsid w:val="003C2E1E"/>
    <w:rsid w:val="003C3419"/>
    <w:rsid w:val="003C58F0"/>
    <w:rsid w:val="003C6639"/>
    <w:rsid w:val="003C698E"/>
    <w:rsid w:val="003C7BB6"/>
    <w:rsid w:val="003D128E"/>
    <w:rsid w:val="003D3CA6"/>
    <w:rsid w:val="003D41AA"/>
    <w:rsid w:val="003D4B1D"/>
    <w:rsid w:val="003D5074"/>
    <w:rsid w:val="003D591B"/>
    <w:rsid w:val="003D7818"/>
    <w:rsid w:val="003D7AD9"/>
    <w:rsid w:val="003E0DFA"/>
    <w:rsid w:val="003E2227"/>
    <w:rsid w:val="003E2928"/>
    <w:rsid w:val="003E3FB3"/>
    <w:rsid w:val="003E687B"/>
    <w:rsid w:val="003E697A"/>
    <w:rsid w:val="003F104E"/>
    <w:rsid w:val="003F586A"/>
    <w:rsid w:val="003F5EF7"/>
    <w:rsid w:val="003F7994"/>
    <w:rsid w:val="004000C8"/>
    <w:rsid w:val="00400713"/>
    <w:rsid w:val="0040083C"/>
    <w:rsid w:val="0040286F"/>
    <w:rsid w:val="00402BBD"/>
    <w:rsid w:val="0040373D"/>
    <w:rsid w:val="00404B18"/>
    <w:rsid w:val="00404BA0"/>
    <w:rsid w:val="00406DE9"/>
    <w:rsid w:val="00410AD0"/>
    <w:rsid w:val="004117F7"/>
    <w:rsid w:val="004127A8"/>
    <w:rsid w:val="00414B99"/>
    <w:rsid w:val="004150DA"/>
    <w:rsid w:val="0041526A"/>
    <w:rsid w:val="004172D7"/>
    <w:rsid w:val="00421D0E"/>
    <w:rsid w:val="0042312C"/>
    <w:rsid w:val="004233C1"/>
    <w:rsid w:val="004241EB"/>
    <w:rsid w:val="0042613B"/>
    <w:rsid w:val="004272A4"/>
    <w:rsid w:val="00430B70"/>
    <w:rsid w:val="00432261"/>
    <w:rsid w:val="004338FB"/>
    <w:rsid w:val="0043553C"/>
    <w:rsid w:val="0043679B"/>
    <w:rsid w:val="0043729F"/>
    <w:rsid w:val="00441E29"/>
    <w:rsid w:val="004449EE"/>
    <w:rsid w:val="00445E2A"/>
    <w:rsid w:val="00447076"/>
    <w:rsid w:val="00450479"/>
    <w:rsid w:val="00450EF9"/>
    <w:rsid w:val="004524B2"/>
    <w:rsid w:val="00452B43"/>
    <w:rsid w:val="00460BA9"/>
    <w:rsid w:val="00461004"/>
    <w:rsid w:val="00466D6B"/>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4D7"/>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2090"/>
    <w:rsid w:val="004E3C1B"/>
    <w:rsid w:val="004E5B44"/>
    <w:rsid w:val="004E6DAA"/>
    <w:rsid w:val="004E7D6C"/>
    <w:rsid w:val="004F37E0"/>
    <w:rsid w:val="004F3C16"/>
    <w:rsid w:val="004F46C9"/>
    <w:rsid w:val="004F653A"/>
    <w:rsid w:val="00501117"/>
    <w:rsid w:val="005011E9"/>
    <w:rsid w:val="00504DFB"/>
    <w:rsid w:val="005058A4"/>
    <w:rsid w:val="00505F03"/>
    <w:rsid w:val="00505FCF"/>
    <w:rsid w:val="00506791"/>
    <w:rsid w:val="00506ADE"/>
    <w:rsid w:val="00507FCB"/>
    <w:rsid w:val="0051158F"/>
    <w:rsid w:val="00512235"/>
    <w:rsid w:val="00513A84"/>
    <w:rsid w:val="005141D8"/>
    <w:rsid w:val="00520CB3"/>
    <w:rsid w:val="00521548"/>
    <w:rsid w:val="00521937"/>
    <w:rsid w:val="005226D5"/>
    <w:rsid w:val="0052387D"/>
    <w:rsid w:val="00527CC5"/>
    <w:rsid w:val="00527E16"/>
    <w:rsid w:val="005322A5"/>
    <w:rsid w:val="00534897"/>
    <w:rsid w:val="0053533D"/>
    <w:rsid w:val="005358EF"/>
    <w:rsid w:val="00536045"/>
    <w:rsid w:val="00536A95"/>
    <w:rsid w:val="00536F8D"/>
    <w:rsid w:val="00542469"/>
    <w:rsid w:val="0054424B"/>
    <w:rsid w:val="00544344"/>
    <w:rsid w:val="00544CAE"/>
    <w:rsid w:val="00544FDE"/>
    <w:rsid w:val="0054655D"/>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857"/>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48D4"/>
    <w:rsid w:val="005855C9"/>
    <w:rsid w:val="0058637A"/>
    <w:rsid w:val="00587285"/>
    <w:rsid w:val="005904EF"/>
    <w:rsid w:val="00590B2E"/>
    <w:rsid w:val="00590F22"/>
    <w:rsid w:val="005914D3"/>
    <w:rsid w:val="0059228C"/>
    <w:rsid w:val="0059367A"/>
    <w:rsid w:val="005951FB"/>
    <w:rsid w:val="00595FA1"/>
    <w:rsid w:val="0059714B"/>
    <w:rsid w:val="00597A7C"/>
    <w:rsid w:val="005A0707"/>
    <w:rsid w:val="005A1EB2"/>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1184"/>
    <w:rsid w:val="005E1947"/>
    <w:rsid w:val="005E221C"/>
    <w:rsid w:val="005E274A"/>
    <w:rsid w:val="005E3735"/>
    <w:rsid w:val="005E39EF"/>
    <w:rsid w:val="005E45A5"/>
    <w:rsid w:val="005E4F57"/>
    <w:rsid w:val="005E6768"/>
    <w:rsid w:val="005E7014"/>
    <w:rsid w:val="005E735D"/>
    <w:rsid w:val="005E7556"/>
    <w:rsid w:val="005F07EE"/>
    <w:rsid w:val="005F3328"/>
    <w:rsid w:val="005F3D8C"/>
    <w:rsid w:val="005F6E75"/>
    <w:rsid w:val="00600682"/>
    <w:rsid w:val="00604225"/>
    <w:rsid w:val="006073FB"/>
    <w:rsid w:val="00607CC8"/>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4AEC"/>
    <w:rsid w:val="006361C2"/>
    <w:rsid w:val="00640640"/>
    <w:rsid w:val="00640A46"/>
    <w:rsid w:val="00640EB6"/>
    <w:rsid w:val="00644696"/>
    <w:rsid w:val="00645717"/>
    <w:rsid w:val="00645FE7"/>
    <w:rsid w:val="00646C0C"/>
    <w:rsid w:val="00646DFA"/>
    <w:rsid w:val="006516C6"/>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7538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03EB"/>
    <w:rsid w:val="006E1135"/>
    <w:rsid w:val="006E1465"/>
    <w:rsid w:val="006E147C"/>
    <w:rsid w:val="006E14A0"/>
    <w:rsid w:val="006E411D"/>
    <w:rsid w:val="006E45F1"/>
    <w:rsid w:val="006E5029"/>
    <w:rsid w:val="006E528B"/>
    <w:rsid w:val="006E61DF"/>
    <w:rsid w:val="006E7212"/>
    <w:rsid w:val="006E76BE"/>
    <w:rsid w:val="006F07A6"/>
    <w:rsid w:val="006F146C"/>
    <w:rsid w:val="006F39E5"/>
    <w:rsid w:val="006F417A"/>
    <w:rsid w:val="006F42AA"/>
    <w:rsid w:val="006F4915"/>
    <w:rsid w:val="006F4C1F"/>
    <w:rsid w:val="006F64E6"/>
    <w:rsid w:val="00701EE2"/>
    <w:rsid w:val="00703853"/>
    <w:rsid w:val="0070388C"/>
    <w:rsid w:val="00703C41"/>
    <w:rsid w:val="0070685A"/>
    <w:rsid w:val="0071007C"/>
    <w:rsid w:val="007102EC"/>
    <w:rsid w:val="00713A17"/>
    <w:rsid w:val="00714801"/>
    <w:rsid w:val="00714CFE"/>
    <w:rsid w:val="007228A8"/>
    <w:rsid w:val="00722E3D"/>
    <w:rsid w:val="00723017"/>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5040"/>
    <w:rsid w:val="0075609B"/>
    <w:rsid w:val="00757DCB"/>
    <w:rsid w:val="0076010D"/>
    <w:rsid w:val="007603C9"/>
    <w:rsid w:val="0076295A"/>
    <w:rsid w:val="0076391B"/>
    <w:rsid w:val="0076504E"/>
    <w:rsid w:val="0076686C"/>
    <w:rsid w:val="007669D0"/>
    <w:rsid w:val="00770273"/>
    <w:rsid w:val="00770324"/>
    <w:rsid w:val="007710BA"/>
    <w:rsid w:val="0077259E"/>
    <w:rsid w:val="00772C41"/>
    <w:rsid w:val="00773277"/>
    <w:rsid w:val="007751E2"/>
    <w:rsid w:val="0077574D"/>
    <w:rsid w:val="00775F40"/>
    <w:rsid w:val="00775F61"/>
    <w:rsid w:val="00776A8E"/>
    <w:rsid w:val="00776B40"/>
    <w:rsid w:val="0077700B"/>
    <w:rsid w:val="00777D96"/>
    <w:rsid w:val="00783111"/>
    <w:rsid w:val="0078434F"/>
    <w:rsid w:val="00785A75"/>
    <w:rsid w:val="00786167"/>
    <w:rsid w:val="00786996"/>
    <w:rsid w:val="00787639"/>
    <w:rsid w:val="00790E5E"/>
    <w:rsid w:val="00793093"/>
    <w:rsid w:val="00793BB8"/>
    <w:rsid w:val="00794D5E"/>
    <w:rsid w:val="00795C6B"/>
    <w:rsid w:val="00795D4A"/>
    <w:rsid w:val="007964D2"/>
    <w:rsid w:val="00796E00"/>
    <w:rsid w:val="007971CB"/>
    <w:rsid w:val="007A0E22"/>
    <w:rsid w:val="007A15E6"/>
    <w:rsid w:val="007A17E3"/>
    <w:rsid w:val="007A4158"/>
    <w:rsid w:val="007A57E4"/>
    <w:rsid w:val="007B09D9"/>
    <w:rsid w:val="007B3D5A"/>
    <w:rsid w:val="007B3F9D"/>
    <w:rsid w:val="007C222C"/>
    <w:rsid w:val="007C493D"/>
    <w:rsid w:val="007C5026"/>
    <w:rsid w:val="007C5307"/>
    <w:rsid w:val="007C70FB"/>
    <w:rsid w:val="007D0B07"/>
    <w:rsid w:val="007D120D"/>
    <w:rsid w:val="007D222B"/>
    <w:rsid w:val="007D2AD8"/>
    <w:rsid w:val="007D2C44"/>
    <w:rsid w:val="007D5D4C"/>
    <w:rsid w:val="007E04EC"/>
    <w:rsid w:val="007E0DC4"/>
    <w:rsid w:val="007E1A3B"/>
    <w:rsid w:val="007E3E09"/>
    <w:rsid w:val="007E60D0"/>
    <w:rsid w:val="007E61EF"/>
    <w:rsid w:val="007E68F0"/>
    <w:rsid w:val="007F1A48"/>
    <w:rsid w:val="007F1C51"/>
    <w:rsid w:val="007F6BE1"/>
    <w:rsid w:val="00800E68"/>
    <w:rsid w:val="00801545"/>
    <w:rsid w:val="00801CFC"/>
    <w:rsid w:val="00802500"/>
    <w:rsid w:val="00802D85"/>
    <w:rsid w:val="00803BA6"/>
    <w:rsid w:val="00803FB3"/>
    <w:rsid w:val="0080518F"/>
    <w:rsid w:val="0080530D"/>
    <w:rsid w:val="00806058"/>
    <w:rsid w:val="00812A5F"/>
    <w:rsid w:val="00812FBC"/>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5C97"/>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0BDF"/>
    <w:rsid w:val="00881BF7"/>
    <w:rsid w:val="008821BC"/>
    <w:rsid w:val="008824CF"/>
    <w:rsid w:val="00882ED1"/>
    <w:rsid w:val="00884416"/>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B6F2F"/>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1E"/>
    <w:rsid w:val="00925DB3"/>
    <w:rsid w:val="0092630D"/>
    <w:rsid w:val="0093206D"/>
    <w:rsid w:val="0093356D"/>
    <w:rsid w:val="00933B41"/>
    <w:rsid w:val="009356B4"/>
    <w:rsid w:val="009373AE"/>
    <w:rsid w:val="009413E6"/>
    <w:rsid w:val="009431BF"/>
    <w:rsid w:val="00943418"/>
    <w:rsid w:val="0094608F"/>
    <w:rsid w:val="00946262"/>
    <w:rsid w:val="00950EBA"/>
    <w:rsid w:val="00952DBE"/>
    <w:rsid w:val="00953DB9"/>
    <w:rsid w:val="00954D9A"/>
    <w:rsid w:val="00955176"/>
    <w:rsid w:val="00957B70"/>
    <w:rsid w:val="009614CB"/>
    <w:rsid w:val="00961866"/>
    <w:rsid w:val="0096597E"/>
    <w:rsid w:val="00965A02"/>
    <w:rsid w:val="009672A6"/>
    <w:rsid w:val="0097251E"/>
    <w:rsid w:val="00973CF0"/>
    <w:rsid w:val="00975132"/>
    <w:rsid w:val="00975B2D"/>
    <w:rsid w:val="0097794A"/>
    <w:rsid w:val="00977E50"/>
    <w:rsid w:val="00980A97"/>
    <w:rsid w:val="00980B32"/>
    <w:rsid w:val="00981122"/>
    <w:rsid w:val="009815DB"/>
    <w:rsid w:val="00982C3E"/>
    <w:rsid w:val="00985BAD"/>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A724D"/>
    <w:rsid w:val="009B3246"/>
    <w:rsid w:val="009B3F88"/>
    <w:rsid w:val="009B4129"/>
    <w:rsid w:val="009B4BEA"/>
    <w:rsid w:val="009C12C4"/>
    <w:rsid w:val="009C1704"/>
    <w:rsid w:val="009C402D"/>
    <w:rsid w:val="009D15A0"/>
    <w:rsid w:val="009D16DD"/>
    <w:rsid w:val="009D3889"/>
    <w:rsid w:val="009D4AB5"/>
    <w:rsid w:val="009E1392"/>
    <w:rsid w:val="009E36E3"/>
    <w:rsid w:val="009E3CFB"/>
    <w:rsid w:val="009E459E"/>
    <w:rsid w:val="009E47A7"/>
    <w:rsid w:val="009E47DA"/>
    <w:rsid w:val="009E4C0B"/>
    <w:rsid w:val="009E4EFE"/>
    <w:rsid w:val="009E59B1"/>
    <w:rsid w:val="009F2DD8"/>
    <w:rsid w:val="009F3AAE"/>
    <w:rsid w:val="009F6803"/>
    <w:rsid w:val="00A0101C"/>
    <w:rsid w:val="00A02DF9"/>
    <w:rsid w:val="00A03231"/>
    <w:rsid w:val="00A04665"/>
    <w:rsid w:val="00A0517A"/>
    <w:rsid w:val="00A06A5A"/>
    <w:rsid w:val="00A06C74"/>
    <w:rsid w:val="00A11600"/>
    <w:rsid w:val="00A121CB"/>
    <w:rsid w:val="00A129FC"/>
    <w:rsid w:val="00A1335D"/>
    <w:rsid w:val="00A14E17"/>
    <w:rsid w:val="00A154FF"/>
    <w:rsid w:val="00A15A6A"/>
    <w:rsid w:val="00A162F3"/>
    <w:rsid w:val="00A20D07"/>
    <w:rsid w:val="00A217A0"/>
    <w:rsid w:val="00A228F7"/>
    <w:rsid w:val="00A26548"/>
    <w:rsid w:val="00A27F81"/>
    <w:rsid w:val="00A31F35"/>
    <w:rsid w:val="00A42BCC"/>
    <w:rsid w:val="00A44699"/>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61F7"/>
    <w:rsid w:val="00A674BB"/>
    <w:rsid w:val="00A67DA7"/>
    <w:rsid w:val="00A716C2"/>
    <w:rsid w:val="00A734AC"/>
    <w:rsid w:val="00A766DC"/>
    <w:rsid w:val="00A775DA"/>
    <w:rsid w:val="00A80468"/>
    <w:rsid w:val="00A81058"/>
    <w:rsid w:val="00A81421"/>
    <w:rsid w:val="00A84586"/>
    <w:rsid w:val="00A84809"/>
    <w:rsid w:val="00A84E50"/>
    <w:rsid w:val="00A853D3"/>
    <w:rsid w:val="00A85D64"/>
    <w:rsid w:val="00A861B3"/>
    <w:rsid w:val="00A8620D"/>
    <w:rsid w:val="00A86D9A"/>
    <w:rsid w:val="00A918AB"/>
    <w:rsid w:val="00A9415D"/>
    <w:rsid w:val="00A95F3A"/>
    <w:rsid w:val="00A96D79"/>
    <w:rsid w:val="00A9799B"/>
    <w:rsid w:val="00AA1129"/>
    <w:rsid w:val="00AA16C5"/>
    <w:rsid w:val="00AA38FD"/>
    <w:rsid w:val="00AA4024"/>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7FE"/>
    <w:rsid w:val="00B11970"/>
    <w:rsid w:val="00B121E6"/>
    <w:rsid w:val="00B139E0"/>
    <w:rsid w:val="00B14A6D"/>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4E1"/>
    <w:rsid w:val="00B81CA0"/>
    <w:rsid w:val="00B81E78"/>
    <w:rsid w:val="00B828E6"/>
    <w:rsid w:val="00B83FCC"/>
    <w:rsid w:val="00B84DC8"/>
    <w:rsid w:val="00B84EA5"/>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149D"/>
    <w:rsid w:val="00BD485A"/>
    <w:rsid w:val="00BD4F2F"/>
    <w:rsid w:val="00BD55FF"/>
    <w:rsid w:val="00BD6B48"/>
    <w:rsid w:val="00BD7751"/>
    <w:rsid w:val="00BD7B3D"/>
    <w:rsid w:val="00BE17CC"/>
    <w:rsid w:val="00BE1A87"/>
    <w:rsid w:val="00BF300D"/>
    <w:rsid w:val="00BF4B81"/>
    <w:rsid w:val="00BF57B3"/>
    <w:rsid w:val="00C01918"/>
    <w:rsid w:val="00C019A1"/>
    <w:rsid w:val="00C05680"/>
    <w:rsid w:val="00C05A18"/>
    <w:rsid w:val="00C06D96"/>
    <w:rsid w:val="00C07366"/>
    <w:rsid w:val="00C10A1F"/>
    <w:rsid w:val="00C116D2"/>
    <w:rsid w:val="00C16C54"/>
    <w:rsid w:val="00C17136"/>
    <w:rsid w:val="00C17F25"/>
    <w:rsid w:val="00C209BC"/>
    <w:rsid w:val="00C223B7"/>
    <w:rsid w:val="00C2455A"/>
    <w:rsid w:val="00C25348"/>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131D"/>
    <w:rsid w:val="00C525E8"/>
    <w:rsid w:val="00C558BD"/>
    <w:rsid w:val="00C55AA0"/>
    <w:rsid w:val="00C56D36"/>
    <w:rsid w:val="00C570A2"/>
    <w:rsid w:val="00C605CA"/>
    <w:rsid w:val="00C61BCD"/>
    <w:rsid w:val="00C63065"/>
    <w:rsid w:val="00C67642"/>
    <w:rsid w:val="00C70192"/>
    <w:rsid w:val="00C70B5B"/>
    <w:rsid w:val="00C71F3C"/>
    <w:rsid w:val="00C73AF6"/>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9633A"/>
    <w:rsid w:val="00C96E79"/>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2030"/>
    <w:rsid w:val="00CC4285"/>
    <w:rsid w:val="00CC4980"/>
    <w:rsid w:val="00CC4C82"/>
    <w:rsid w:val="00CC5641"/>
    <w:rsid w:val="00CD10D5"/>
    <w:rsid w:val="00CD1F3D"/>
    <w:rsid w:val="00CD753F"/>
    <w:rsid w:val="00CE06CF"/>
    <w:rsid w:val="00CE1B8F"/>
    <w:rsid w:val="00CE3D17"/>
    <w:rsid w:val="00CE3E33"/>
    <w:rsid w:val="00CE4F34"/>
    <w:rsid w:val="00CE6A9D"/>
    <w:rsid w:val="00CE7094"/>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6B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30B0"/>
    <w:rsid w:val="00D74536"/>
    <w:rsid w:val="00D75EE5"/>
    <w:rsid w:val="00D762C8"/>
    <w:rsid w:val="00D76C34"/>
    <w:rsid w:val="00D80429"/>
    <w:rsid w:val="00D816A5"/>
    <w:rsid w:val="00D8190A"/>
    <w:rsid w:val="00D8346B"/>
    <w:rsid w:val="00D85538"/>
    <w:rsid w:val="00D86436"/>
    <w:rsid w:val="00D90418"/>
    <w:rsid w:val="00D90C20"/>
    <w:rsid w:val="00D915D7"/>
    <w:rsid w:val="00D926D0"/>
    <w:rsid w:val="00D93769"/>
    <w:rsid w:val="00D939B5"/>
    <w:rsid w:val="00D963DE"/>
    <w:rsid w:val="00D96C17"/>
    <w:rsid w:val="00DA0070"/>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310F"/>
    <w:rsid w:val="00DF5F13"/>
    <w:rsid w:val="00DF7123"/>
    <w:rsid w:val="00E0099C"/>
    <w:rsid w:val="00E03E22"/>
    <w:rsid w:val="00E07B52"/>
    <w:rsid w:val="00E11F88"/>
    <w:rsid w:val="00E122E3"/>
    <w:rsid w:val="00E123B5"/>
    <w:rsid w:val="00E13B6A"/>
    <w:rsid w:val="00E14A69"/>
    <w:rsid w:val="00E24688"/>
    <w:rsid w:val="00E251C3"/>
    <w:rsid w:val="00E25329"/>
    <w:rsid w:val="00E327C8"/>
    <w:rsid w:val="00E33654"/>
    <w:rsid w:val="00E3474D"/>
    <w:rsid w:val="00E419C9"/>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0B89"/>
    <w:rsid w:val="00E7113D"/>
    <w:rsid w:val="00E72870"/>
    <w:rsid w:val="00E72D1C"/>
    <w:rsid w:val="00E72EF8"/>
    <w:rsid w:val="00E749CB"/>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1B57"/>
    <w:rsid w:val="00EC23E6"/>
    <w:rsid w:val="00EC3441"/>
    <w:rsid w:val="00EC4BF6"/>
    <w:rsid w:val="00EC604A"/>
    <w:rsid w:val="00ED03A6"/>
    <w:rsid w:val="00ED1093"/>
    <w:rsid w:val="00ED4698"/>
    <w:rsid w:val="00EE2067"/>
    <w:rsid w:val="00EE22B0"/>
    <w:rsid w:val="00EE3CAB"/>
    <w:rsid w:val="00EE5287"/>
    <w:rsid w:val="00EE52C8"/>
    <w:rsid w:val="00EE57B4"/>
    <w:rsid w:val="00EE7FB8"/>
    <w:rsid w:val="00EF05E9"/>
    <w:rsid w:val="00EF0733"/>
    <w:rsid w:val="00EF1424"/>
    <w:rsid w:val="00EF5320"/>
    <w:rsid w:val="00EF5BCA"/>
    <w:rsid w:val="00EF6749"/>
    <w:rsid w:val="00EF693C"/>
    <w:rsid w:val="00EF7621"/>
    <w:rsid w:val="00F00A08"/>
    <w:rsid w:val="00F02C31"/>
    <w:rsid w:val="00F05812"/>
    <w:rsid w:val="00F07C6E"/>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522"/>
    <w:rsid w:val="00F51B06"/>
    <w:rsid w:val="00F537D1"/>
    <w:rsid w:val="00F53DE1"/>
    <w:rsid w:val="00F54994"/>
    <w:rsid w:val="00F60D75"/>
    <w:rsid w:val="00F61A93"/>
    <w:rsid w:val="00F649DE"/>
    <w:rsid w:val="00F65397"/>
    <w:rsid w:val="00F66B71"/>
    <w:rsid w:val="00F70BC8"/>
    <w:rsid w:val="00F739F8"/>
    <w:rsid w:val="00F73B23"/>
    <w:rsid w:val="00F74532"/>
    <w:rsid w:val="00F74BA1"/>
    <w:rsid w:val="00F74E20"/>
    <w:rsid w:val="00F7595D"/>
    <w:rsid w:val="00F764DC"/>
    <w:rsid w:val="00F76AC7"/>
    <w:rsid w:val="00F77FE5"/>
    <w:rsid w:val="00F8067A"/>
    <w:rsid w:val="00F82ADF"/>
    <w:rsid w:val="00F838A3"/>
    <w:rsid w:val="00F847AD"/>
    <w:rsid w:val="00F857B5"/>
    <w:rsid w:val="00F85F61"/>
    <w:rsid w:val="00F87174"/>
    <w:rsid w:val="00F8756D"/>
    <w:rsid w:val="00F90026"/>
    <w:rsid w:val="00F904CC"/>
    <w:rsid w:val="00F91721"/>
    <w:rsid w:val="00F924CC"/>
    <w:rsid w:val="00F94A0E"/>
    <w:rsid w:val="00F94BBB"/>
    <w:rsid w:val="00F95C43"/>
    <w:rsid w:val="00F97024"/>
    <w:rsid w:val="00FA0282"/>
    <w:rsid w:val="00FA0343"/>
    <w:rsid w:val="00FA1664"/>
    <w:rsid w:val="00FA3FE2"/>
    <w:rsid w:val="00FA5D86"/>
    <w:rsid w:val="00FB035A"/>
    <w:rsid w:val="00FB0EDB"/>
    <w:rsid w:val="00FB1842"/>
    <w:rsid w:val="00FB255B"/>
    <w:rsid w:val="00FB26FC"/>
    <w:rsid w:val="00FB33FA"/>
    <w:rsid w:val="00FB49CB"/>
    <w:rsid w:val="00FB5CFF"/>
    <w:rsid w:val="00FB605B"/>
    <w:rsid w:val="00FB6BDC"/>
    <w:rsid w:val="00FB74EC"/>
    <w:rsid w:val="00FC1FCD"/>
    <w:rsid w:val="00FC20ED"/>
    <w:rsid w:val="00FC40CC"/>
    <w:rsid w:val="00FC5D9B"/>
    <w:rsid w:val="00FC6BB1"/>
    <w:rsid w:val="00FC747E"/>
    <w:rsid w:val="00FC7DDA"/>
    <w:rsid w:val="00FD1685"/>
    <w:rsid w:val="00FD17F8"/>
    <w:rsid w:val="00FD1B37"/>
    <w:rsid w:val="00FD1E95"/>
    <w:rsid w:val="00FD309A"/>
    <w:rsid w:val="00FD5A48"/>
    <w:rsid w:val="00FD7C4B"/>
    <w:rsid w:val="00FE099C"/>
    <w:rsid w:val="00FE120E"/>
    <w:rsid w:val="00FE2223"/>
    <w:rsid w:val="00FF0FCD"/>
    <w:rsid w:val="00FF1221"/>
    <w:rsid w:val="00FF2732"/>
    <w:rsid w:val="00FF2E03"/>
    <w:rsid w:val="00FF3DCE"/>
    <w:rsid w:val="00FF48A7"/>
    <w:rsid w:val="00FF49E8"/>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5B3E6E5"/>
  <w15:docId w15:val="{E30C256E-8895-4646-9255-68753FE4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ind w:left="0"/>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C70192"/>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1">
    <w:name w:val="U.1"/>
    <w:basedOn w:val="Normal"/>
    <w:qFormat/>
    <w:rsid w:val="00A20D07"/>
    <w:pPr>
      <w:widowControl w:val="0"/>
      <w:tabs>
        <w:tab w:val="clear" w:pos="567"/>
        <w:tab w:val="left" w:pos="1701"/>
      </w:tabs>
      <w:autoSpaceDE w:val="0"/>
      <w:autoSpaceDN w:val="0"/>
      <w:adjustRightInd w:val="0"/>
      <w:snapToGrid/>
      <w:spacing w:after="120" w:line="240" w:lineRule="auto"/>
      <w:ind w:left="1701" w:hanging="567"/>
      <w:jc w:val="left"/>
    </w:pPr>
    <w:rPr>
      <w:sz w:val="22"/>
      <w:szCs w:val="22"/>
      <w:lang w:val="en-US" w:eastAsia="fr-FR"/>
    </w:rPr>
  </w:style>
  <w:style w:type="paragraph" w:styleId="BodyText">
    <w:name w:val="Body Text"/>
    <w:basedOn w:val="Normal"/>
    <w:link w:val="BodyTextChar"/>
    <w:rsid w:val="0025131E"/>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25131E"/>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7325">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135551">
      <w:bodyDiv w:val="1"/>
      <w:marLeft w:val="0"/>
      <w:marRight w:val="0"/>
      <w:marTop w:val="0"/>
      <w:marBottom w:val="0"/>
      <w:divBdr>
        <w:top w:val="none" w:sz="0" w:space="0" w:color="auto"/>
        <w:left w:val="none" w:sz="0" w:space="0" w:color="auto"/>
        <w:bottom w:val="none" w:sz="0" w:space="0" w:color="auto"/>
        <w:right w:val="none" w:sz="0" w:space="0" w:color="auto"/>
      </w:divBdr>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8C14-0859-435A-954A-BE887831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4794</Words>
  <Characters>26372</Characters>
  <Application>Microsoft Office Word</Application>
  <DocSecurity>0</DocSecurity>
  <Lines>219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31104</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Kim, Dain</cp:lastModifiedBy>
  <cp:revision>22</cp:revision>
  <cp:lastPrinted>2017-04-18T08:20:00Z</cp:lastPrinted>
  <dcterms:created xsi:type="dcterms:W3CDTF">2016-11-08T14:49:00Z</dcterms:created>
  <dcterms:modified xsi:type="dcterms:W3CDTF">2018-04-20T14:18:00Z</dcterms:modified>
</cp:coreProperties>
</file>