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9F21CB" w:rsidRDefault="00BD7FCE" w:rsidP="009F21CB">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9F21CB">
        <w:rPr>
          <w:rFonts w:ascii="Traditional Arabic" w:hAnsi="Traditional Arabic" w:cs="Traditional Arabic" w:hint="cs"/>
          <w:b/>
          <w:bCs/>
          <w:color w:val="3366FF"/>
          <w:sz w:val="72"/>
          <w:szCs w:val="72"/>
          <w:rtl/>
          <w:lang w:val="en-US" w:bidi="ar-IQ"/>
        </w:rPr>
        <w:t xml:space="preserve">الوحدة </w:t>
      </w:r>
      <w:r w:rsidR="00B467C0" w:rsidRPr="009F21CB">
        <w:rPr>
          <w:rFonts w:ascii="Traditional Arabic" w:hAnsi="Traditional Arabic" w:cs="Traditional Arabic" w:hint="cs"/>
          <w:b/>
          <w:bCs/>
          <w:color w:val="3366FF"/>
          <w:sz w:val="72"/>
          <w:szCs w:val="72"/>
          <w:rtl/>
          <w:lang w:val="en-US" w:bidi="ar-IQ"/>
        </w:rPr>
        <w:t>4</w:t>
      </w:r>
      <w:r w:rsidR="00E751D1" w:rsidRPr="009F21CB">
        <w:rPr>
          <w:rFonts w:ascii="Traditional Arabic" w:hAnsi="Traditional Arabic" w:cs="Traditional Arabic" w:hint="cs"/>
          <w:b/>
          <w:bCs/>
          <w:color w:val="3366FF"/>
          <w:sz w:val="72"/>
          <w:szCs w:val="72"/>
          <w:rtl/>
          <w:lang w:val="en-US" w:bidi="ar-IQ"/>
        </w:rPr>
        <w:t>8</w:t>
      </w:r>
    </w:p>
    <w:bookmarkEnd w:id="0"/>
    <w:bookmarkEnd w:id="1"/>
    <w:bookmarkEnd w:id="2"/>
    <w:p w:rsidR="00BD7FCE" w:rsidRPr="006D14B2" w:rsidRDefault="00BD7FCE" w:rsidP="00EA43C6">
      <w:pPr>
        <w:bidi/>
        <w:spacing w:after="0" w:line="240" w:lineRule="auto"/>
        <w:rPr>
          <w:rFonts w:ascii="Traditional Arabic" w:hAnsi="Traditional Arabic" w:cs="Traditional Arabic"/>
          <w:b/>
          <w:bCs/>
          <w:color w:val="3366FF"/>
          <w:sz w:val="40"/>
          <w:szCs w:val="40"/>
          <w:rtl/>
          <w:lang w:val="en-US" w:bidi="ar-IQ"/>
        </w:rPr>
      </w:pPr>
      <w:r w:rsidRPr="006D14B2">
        <w:rPr>
          <w:rFonts w:ascii="Traditional Arabic" w:hAnsi="Traditional Arabic" w:cs="Traditional Arabic" w:hint="cs"/>
          <w:b/>
          <w:bCs/>
          <w:color w:val="3366FF"/>
          <w:sz w:val="40"/>
          <w:szCs w:val="40"/>
          <w:rtl/>
          <w:lang w:val="en-US" w:bidi="ar-IQ"/>
        </w:rPr>
        <w:t>الورقة</w:t>
      </w:r>
      <w:r w:rsidRPr="006D14B2">
        <w:rPr>
          <w:rFonts w:ascii="Traditional Arabic" w:hAnsi="Traditional Arabic" w:cs="Traditional Arabic"/>
          <w:b/>
          <w:bCs/>
          <w:color w:val="3366FF"/>
          <w:sz w:val="40"/>
          <w:szCs w:val="40"/>
          <w:rtl/>
          <w:lang w:val="en-US" w:bidi="ar-IQ"/>
        </w:rPr>
        <w:t xml:space="preserve"> </w:t>
      </w:r>
      <w:r w:rsidR="00E751D1" w:rsidRPr="006D14B2">
        <w:rPr>
          <w:rFonts w:ascii="Traditional Arabic" w:hAnsi="Traditional Arabic" w:cs="Traditional Arabic" w:hint="cs"/>
          <w:b/>
          <w:bCs/>
          <w:color w:val="3366FF"/>
          <w:sz w:val="40"/>
          <w:szCs w:val="40"/>
          <w:rtl/>
          <w:lang w:val="en-US" w:bidi="ar-IQ"/>
        </w:rPr>
        <w:t>الأولى</w:t>
      </w:r>
      <w:r w:rsidRPr="006D14B2">
        <w:rPr>
          <w:rFonts w:ascii="Traditional Arabic" w:hAnsi="Traditional Arabic" w:cs="Traditional Arabic" w:hint="cs"/>
          <w:b/>
          <w:bCs/>
          <w:color w:val="3366FF"/>
          <w:sz w:val="40"/>
          <w:szCs w:val="40"/>
          <w:rtl/>
          <w:lang w:val="en-US" w:bidi="ar-IQ"/>
        </w:rPr>
        <w:t xml:space="preserve"> المعدة</w:t>
      </w:r>
      <w:r w:rsidRPr="006D14B2">
        <w:rPr>
          <w:rFonts w:ascii="Traditional Arabic" w:hAnsi="Traditional Arabic" w:cs="Traditional Arabic"/>
          <w:b/>
          <w:bCs/>
          <w:color w:val="3366FF"/>
          <w:sz w:val="40"/>
          <w:szCs w:val="40"/>
          <w:rtl/>
          <w:lang w:val="en-US" w:bidi="ar-IQ"/>
        </w:rPr>
        <w:t xml:space="preserve"> </w:t>
      </w:r>
      <w:r w:rsidRPr="006D14B2">
        <w:rPr>
          <w:rFonts w:ascii="Traditional Arabic" w:hAnsi="Traditional Arabic" w:cs="Traditional Arabic" w:hint="cs"/>
          <w:b/>
          <w:bCs/>
          <w:color w:val="3366FF"/>
          <w:sz w:val="40"/>
          <w:szCs w:val="40"/>
          <w:rtl/>
          <w:lang w:val="en-US" w:bidi="ar-IQ"/>
        </w:rPr>
        <w:t>للتوزيع</w:t>
      </w:r>
      <w:r w:rsidRPr="006D14B2">
        <w:rPr>
          <w:rFonts w:ascii="Traditional Arabic" w:hAnsi="Traditional Arabic" w:cs="Traditional Arabic"/>
          <w:b/>
          <w:bCs/>
          <w:color w:val="3366FF"/>
          <w:sz w:val="40"/>
          <w:szCs w:val="40"/>
          <w:rtl/>
          <w:lang w:val="en-US" w:bidi="ar-IQ"/>
        </w:rPr>
        <w:t>:</w:t>
      </w:r>
    </w:p>
    <w:p w:rsidR="00B467C0" w:rsidRPr="009F21CB" w:rsidRDefault="00E751D1" w:rsidP="00B94C7D">
      <w:pPr>
        <w:bidi/>
        <w:spacing w:after="200" w:line="240" w:lineRule="auto"/>
        <w:rPr>
          <w:rFonts w:ascii="Traditional Arabic" w:hAnsi="Traditional Arabic" w:cs="Traditional Arabic"/>
          <w:b/>
          <w:bCs/>
          <w:color w:val="3366FF"/>
          <w:sz w:val="48"/>
          <w:szCs w:val="48"/>
          <w:rtl/>
          <w:lang w:val="en-US" w:bidi="ar-IQ"/>
        </w:rPr>
      </w:pPr>
      <w:r w:rsidRPr="009F21CB">
        <w:rPr>
          <w:rFonts w:ascii="Traditional Arabic" w:hAnsi="Traditional Arabic" w:cs="Traditional Arabic" w:hint="cs"/>
          <w:b/>
          <w:bCs/>
          <w:color w:val="3366FF"/>
          <w:sz w:val="48"/>
          <w:szCs w:val="48"/>
          <w:rtl/>
          <w:lang w:val="en-US" w:bidi="ar-IQ"/>
        </w:rPr>
        <w:t>التمييز بين الجنسين والتراث الثقافي غير المادي</w:t>
      </w:r>
      <w:r w:rsidR="00B467C0" w:rsidRPr="009F21CB">
        <w:rPr>
          <w:rFonts w:ascii="Traditional Arabic" w:hAnsi="Traditional Arabic" w:cs="Traditional Arabic"/>
          <w:b/>
          <w:bCs/>
          <w:color w:val="3366FF"/>
          <w:sz w:val="48"/>
          <w:szCs w:val="48"/>
          <w:rtl/>
          <w:lang w:val="en-US" w:bidi="ar-IQ"/>
        </w:rPr>
        <w:t>:</w:t>
      </w:r>
    </w:p>
    <w:p w:rsidR="006742B2" w:rsidRPr="00E751D1" w:rsidRDefault="00E751D1" w:rsidP="009F21CB">
      <w:pPr>
        <w:bidi/>
        <w:spacing w:after="200" w:line="240" w:lineRule="auto"/>
        <w:ind w:left="851"/>
        <w:jc w:val="both"/>
        <w:rPr>
          <w:rFonts w:ascii="Traditional Arabic" w:hAnsi="Traditional Arabic" w:cs="Traditional Arabic"/>
          <w:b/>
          <w:bCs/>
          <w:i/>
          <w:iCs/>
          <w:color w:val="231F20"/>
          <w:sz w:val="32"/>
          <w:szCs w:val="32"/>
          <w:rtl/>
        </w:rPr>
      </w:pPr>
      <w:r w:rsidRPr="00E751D1">
        <w:rPr>
          <w:rFonts w:ascii="Traditional Arabic" w:hAnsi="Traditional Arabic" w:cs="Traditional Arabic" w:hint="cs"/>
          <w:b/>
          <w:bCs/>
          <w:i/>
          <w:iCs/>
          <w:color w:val="231F20"/>
          <w:sz w:val="32"/>
          <w:szCs w:val="32"/>
          <w:rtl/>
          <w:lang w:bidi="ar-MA"/>
        </w:rPr>
        <w:t>تعرّف الفقرة 1 من المادة 2 من الاتفاقية "التراث الثقافي غير المادي" على النحو التالي:</w:t>
      </w:r>
    </w:p>
    <w:p w:rsidR="006742B2" w:rsidRDefault="00E751D1" w:rsidP="00B94C7D">
      <w:pPr>
        <w:bidi/>
        <w:spacing w:after="200" w:line="240" w:lineRule="auto"/>
        <w:ind w:left="851"/>
        <w:jc w:val="both"/>
        <w:rPr>
          <w:rFonts w:ascii="Traditional Arabic" w:hAnsi="Traditional Arabic" w:cs="Traditional Arabic"/>
          <w:color w:val="231F20"/>
          <w:sz w:val="32"/>
          <w:szCs w:val="32"/>
          <w:rtl/>
          <w:lang w:bidi="ar-LB"/>
        </w:rPr>
      </w:pPr>
      <w:r>
        <w:rPr>
          <w:rFonts w:ascii="Traditional Arabic" w:hAnsi="Traditional Arabic" w:cs="Traditional Arabic" w:hint="cs"/>
          <w:color w:val="231F20"/>
          <w:sz w:val="32"/>
          <w:szCs w:val="32"/>
          <w:rtl/>
        </w:rPr>
        <w:t xml:space="preserve">... الممارسات والتصورات وأشكال التعبير والمعارف والمهارات </w:t>
      </w:r>
      <w:r w:rsidR="00B94C7D">
        <w:rPr>
          <w:rFonts w:ascii="Traditional Arabic" w:hAnsi="Traditional Arabic" w:cs="Traditional Arabic" w:hint="cs"/>
          <w:color w:val="231F20"/>
          <w:sz w:val="32"/>
          <w:szCs w:val="32"/>
          <w:rtl/>
        </w:rPr>
        <w:t>-</w:t>
      </w:r>
      <w:r>
        <w:rPr>
          <w:rFonts w:ascii="Traditional Arabic" w:hAnsi="Traditional Arabic" w:cs="Traditional Arabic" w:hint="cs"/>
          <w:color w:val="231F20"/>
          <w:sz w:val="32"/>
          <w:szCs w:val="32"/>
          <w:rtl/>
        </w:rPr>
        <w:t xml:space="preserve"> وما يرتبط بها من آلات وقطع ومصنوعات وأماكن ثقافية </w:t>
      </w:r>
      <w:r w:rsidR="00B94C7D">
        <w:rPr>
          <w:rFonts w:ascii="Traditional Arabic" w:hAnsi="Traditional Arabic" w:cs="Traditional Arabic" w:hint="cs"/>
          <w:color w:val="231F20"/>
          <w:sz w:val="32"/>
          <w:szCs w:val="32"/>
          <w:rtl/>
        </w:rPr>
        <w:t>-</w:t>
      </w:r>
      <w:r>
        <w:rPr>
          <w:rFonts w:ascii="Traditional Arabic" w:hAnsi="Traditional Arabic" w:cs="Traditional Arabic" w:hint="cs"/>
          <w:color w:val="231F20"/>
          <w:sz w:val="32"/>
          <w:szCs w:val="32"/>
          <w:rtl/>
        </w:rPr>
        <w:t xml:space="preserve">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وتفاعلاتها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w:t>
      </w:r>
    </w:p>
    <w:p w:rsidR="00E751D1" w:rsidRPr="00E751D1" w:rsidRDefault="00E751D1" w:rsidP="009F21CB">
      <w:pPr>
        <w:bidi/>
        <w:spacing w:after="200" w:line="240" w:lineRule="auto"/>
        <w:ind w:left="851"/>
        <w:jc w:val="both"/>
        <w:rPr>
          <w:rFonts w:ascii="Traditional Arabic" w:hAnsi="Traditional Arabic" w:cs="Traditional Arabic"/>
          <w:b/>
          <w:bCs/>
          <w:i/>
          <w:iCs/>
          <w:sz w:val="32"/>
          <w:szCs w:val="32"/>
          <w:rtl/>
          <w:lang w:bidi="ar-LB"/>
        </w:rPr>
      </w:pPr>
      <w:r w:rsidRPr="00E751D1">
        <w:rPr>
          <w:rFonts w:ascii="Traditional Arabic" w:hAnsi="Traditional Arabic" w:cs="Traditional Arabic" w:hint="cs"/>
          <w:b/>
          <w:bCs/>
          <w:i/>
          <w:iCs/>
          <w:sz w:val="32"/>
          <w:szCs w:val="32"/>
          <w:rtl/>
          <w:lang w:bidi="ar-LB"/>
        </w:rPr>
        <w:t>تنص المادة 4 من إعلان</w:t>
      </w:r>
      <w:r w:rsidRPr="00E751D1">
        <w:rPr>
          <w:rFonts w:ascii="Traditional Arabic" w:hAnsi="Traditional Arabic" w:cs="Traditional Arabic"/>
          <w:b/>
          <w:bCs/>
          <w:i/>
          <w:iCs/>
          <w:sz w:val="32"/>
          <w:szCs w:val="32"/>
          <w:rtl/>
          <w:lang w:bidi="ar-LB"/>
        </w:rPr>
        <w:t xml:space="preserve"> </w:t>
      </w:r>
      <w:r w:rsidRPr="00E751D1">
        <w:rPr>
          <w:rFonts w:ascii="Traditional Arabic" w:hAnsi="Traditional Arabic" w:cs="Traditional Arabic" w:hint="cs"/>
          <w:b/>
          <w:bCs/>
          <w:i/>
          <w:iCs/>
          <w:sz w:val="32"/>
          <w:szCs w:val="32"/>
          <w:rtl/>
          <w:lang w:bidi="ar-LB"/>
        </w:rPr>
        <w:t>اليونسكو</w:t>
      </w:r>
      <w:r w:rsidRPr="00E751D1">
        <w:rPr>
          <w:rFonts w:ascii="Traditional Arabic" w:hAnsi="Traditional Arabic" w:cs="Traditional Arabic"/>
          <w:b/>
          <w:bCs/>
          <w:i/>
          <w:iCs/>
          <w:sz w:val="32"/>
          <w:szCs w:val="32"/>
          <w:rtl/>
          <w:lang w:bidi="ar-LB"/>
        </w:rPr>
        <w:t xml:space="preserve"> </w:t>
      </w:r>
      <w:r w:rsidRPr="00E751D1">
        <w:rPr>
          <w:rFonts w:ascii="Traditional Arabic" w:hAnsi="Traditional Arabic" w:cs="Traditional Arabic" w:hint="cs"/>
          <w:b/>
          <w:bCs/>
          <w:i/>
          <w:iCs/>
          <w:sz w:val="32"/>
          <w:szCs w:val="32"/>
          <w:rtl/>
          <w:lang w:bidi="ar-LB"/>
        </w:rPr>
        <w:t>العالمي</w:t>
      </w:r>
      <w:r w:rsidRPr="00E751D1">
        <w:rPr>
          <w:rFonts w:ascii="Traditional Arabic" w:hAnsi="Traditional Arabic" w:cs="Traditional Arabic"/>
          <w:b/>
          <w:bCs/>
          <w:i/>
          <w:iCs/>
          <w:sz w:val="32"/>
          <w:szCs w:val="32"/>
          <w:rtl/>
          <w:lang w:bidi="ar-LB"/>
        </w:rPr>
        <w:t xml:space="preserve"> </w:t>
      </w:r>
      <w:r w:rsidRPr="00E751D1">
        <w:rPr>
          <w:rFonts w:ascii="Traditional Arabic" w:hAnsi="Traditional Arabic" w:cs="Traditional Arabic" w:hint="cs"/>
          <w:b/>
          <w:bCs/>
          <w:i/>
          <w:iCs/>
          <w:sz w:val="32"/>
          <w:szCs w:val="32"/>
          <w:rtl/>
          <w:lang w:bidi="ar-LB"/>
        </w:rPr>
        <w:t>بشأن</w:t>
      </w:r>
      <w:r w:rsidRPr="00E751D1">
        <w:rPr>
          <w:rFonts w:ascii="Traditional Arabic" w:hAnsi="Traditional Arabic" w:cs="Traditional Arabic"/>
          <w:b/>
          <w:bCs/>
          <w:i/>
          <w:iCs/>
          <w:sz w:val="32"/>
          <w:szCs w:val="32"/>
          <w:rtl/>
          <w:lang w:bidi="ar-LB"/>
        </w:rPr>
        <w:t xml:space="preserve"> </w:t>
      </w:r>
      <w:r w:rsidRPr="00E751D1">
        <w:rPr>
          <w:rFonts w:ascii="Traditional Arabic" w:hAnsi="Traditional Arabic" w:cs="Traditional Arabic" w:hint="cs"/>
          <w:b/>
          <w:bCs/>
          <w:i/>
          <w:iCs/>
          <w:sz w:val="32"/>
          <w:szCs w:val="32"/>
          <w:rtl/>
          <w:lang w:bidi="ar-LB"/>
        </w:rPr>
        <w:t>التنوع</w:t>
      </w:r>
      <w:r w:rsidRPr="00E751D1">
        <w:rPr>
          <w:rFonts w:ascii="Traditional Arabic" w:hAnsi="Traditional Arabic" w:cs="Traditional Arabic"/>
          <w:b/>
          <w:bCs/>
          <w:i/>
          <w:iCs/>
          <w:sz w:val="32"/>
          <w:szCs w:val="32"/>
          <w:rtl/>
          <w:lang w:bidi="ar-LB"/>
        </w:rPr>
        <w:t xml:space="preserve"> </w:t>
      </w:r>
      <w:r w:rsidRPr="00E751D1">
        <w:rPr>
          <w:rFonts w:ascii="Traditional Arabic" w:hAnsi="Traditional Arabic" w:cs="Traditional Arabic" w:hint="cs"/>
          <w:b/>
          <w:bCs/>
          <w:i/>
          <w:iCs/>
          <w:sz w:val="32"/>
          <w:szCs w:val="32"/>
          <w:rtl/>
          <w:lang w:bidi="ar-LB"/>
        </w:rPr>
        <w:t>الثقافي (2001) على ما يلي:</w:t>
      </w:r>
    </w:p>
    <w:p w:rsidR="00E751D1" w:rsidRDefault="00A913BC" w:rsidP="00B94C7D">
      <w:pPr>
        <w:pStyle w:val="BodyTextIndent"/>
        <w:rPr>
          <w:rtl/>
        </w:rPr>
      </w:pPr>
      <w:r>
        <w:rPr>
          <w:rFonts w:hint="cs"/>
          <w:rtl/>
        </w:rPr>
        <w:t>إن الدفاع عن التنوع الثقافي واجب أخلاقي لا ينفصل عن احترام كرامة الإنسان. فهو يفترض الالتزام باحترام حقوق الإنسان والحريات الأساسية، وخاصة حقوق الأشخاص المنتمين إلى أقليات وحقوق الشعوب الأصلية. ولا يجوز لأحد أن يستند إلى التنوع الثقافي لكي ينتهك أو يحدّ من نطاق حقوق الإنسان التي يضمنها القانون الدولي.</w:t>
      </w:r>
    </w:p>
    <w:p w:rsidR="00A913BC" w:rsidRPr="00A913BC" w:rsidRDefault="00A913BC" w:rsidP="009F21CB">
      <w:pPr>
        <w:bidi/>
        <w:spacing w:after="200" w:line="240" w:lineRule="auto"/>
        <w:ind w:left="851"/>
        <w:jc w:val="both"/>
        <w:rPr>
          <w:rFonts w:ascii="Traditional Arabic" w:hAnsi="Traditional Arabic" w:cs="Traditional Arabic"/>
          <w:b/>
          <w:bCs/>
          <w:i/>
          <w:iCs/>
          <w:sz w:val="32"/>
          <w:szCs w:val="32"/>
          <w:rtl/>
          <w:lang w:bidi="ar-LB"/>
        </w:rPr>
      </w:pPr>
      <w:r w:rsidRPr="00A913BC">
        <w:rPr>
          <w:rFonts w:ascii="Traditional Arabic" w:hAnsi="Traditional Arabic" w:cs="Traditional Arabic" w:hint="cs"/>
          <w:b/>
          <w:bCs/>
          <w:i/>
          <w:iCs/>
          <w:sz w:val="32"/>
          <w:szCs w:val="32"/>
          <w:rtl/>
          <w:lang w:bidi="ar-LB"/>
        </w:rPr>
        <w:t>تنص المادة 5 من اتفاقية</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القضاء</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على</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جميع</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أشكال</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التمييز</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ضد</w:t>
      </w:r>
      <w:r w:rsidRPr="00A913BC">
        <w:rPr>
          <w:rFonts w:ascii="Traditional Arabic" w:hAnsi="Traditional Arabic" w:cs="Traditional Arabic"/>
          <w:b/>
          <w:bCs/>
          <w:i/>
          <w:iCs/>
          <w:sz w:val="32"/>
          <w:szCs w:val="32"/>
          <w:rtl/>
          <w:lang w:bidi="ar-LB"/>
        </w:rPr>
        <w:t xml:space="preserve"> </w:t>
      </w:r>
      <w:r w:rsidRPr="00A913BC">
        <w:rPr>
          <w:rFonts w:ascii="Traditional Arabic" w:hAnsi="Traditional Arabic" w:cs="Traditional Arabic" w:hint="cs"/>
          <w:b/>
          <w:bCs/>
          <w:i/>
          <w:iCs/>
          <w:sz w:val="32"/>
          <w:szCs w:val="32"/>
          <w:rtl/>
          <w:lang w:bidi="ar-LB"/>
        </w:rPr>
        <w:t>المرأة (1979) على ما يلي:</w:t>
      </w:r>
    </w:p>
    <w:p w:rsidR="00A913BC" w:rsidRPr="00C359A4" w:rsidRDefault="00A913BC" w:rsidP="009F21CB">
      <w:pPr>
        <w:bidi/>
        <w:spacing w:after="200" w:line="240" w:lineRule="auto"/>
        <w:ind w:left="851"/>
        <w:jc w:val="both"/>
        <w:rPr>
          <w:rFonts w:ascii="Traditional Arabic" w:hAnsi="Traditional Arabic" w:cs="Traditional Arabic"/>
          <w:sz w:val="32"/>
          <w:szCs w:val="32"/>
          <w:lang w:val="en-US" w:bidi="ar-LB"/>
        </w:rPr>
      </w:pPr>
      <w:r>
        <w:rPr>
          <w:rFonts w:ascii="Traditional Arabic" w:hAnsi="Traditional Arabic" w:cs="Traditional Arabic" w:hint="cs"/>
          <w:sz w:val="32"/>
          <w:szCs w:val="32"/>
          <w:rtl/>
          <w:lang w:bidi="ar-LB"/>
        </w:rPr>
        <w:t>تتخذ الدول الأطراف جميع التدابير المناسبة لتعديل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bookmarkStart w:id="3" w:name="_GoBack"/>
      <w:bookmarkEnd w:id="3"/>
    </w:p>
    <w:sectPr w:rsidR="00A913BC" w:rsidRPr="00C359A4" w:rsidSect="009F21CB">
      <w:headerReference w:type="default" r:id="rId6"/>
      <w:footerReference w:type="default" r:id="rId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B2" w:rsidRDefault="006742B2" w:rsidP="006742B2">
      <w:pPr>
        <w:spacing w:after="0" w:line="240" w:lineRule="auto"/>
      </w:pPr>
      <w:r>
        <w:separator/>
      </w:r>
    </w:p>
  </w:endnote>
  <w:endnote w:type="continuationSeparator" w:id="0">
    <w:p w:rsidR="006742B2" w:rsidRDefault="006742B2"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F21CB" w:rsidTr="009F21CB">
      <w:tc>
        <w:tcPr>
          <w:tcW w:w="1234" w:type="pct"/>
          <w:vAlign w:val="center"/>
          <w:hideMark/>
        </w:tcPr>
        <w:p w:rsidR="009F21CB" w:rsidRDefault="009F21CB" w:rsidP="009F21CB">
          <w:pPr>
            <w:pStyle w:val="Footer"/>
            <w:tabs>
              <w:tab w:val="right" w:pos="2018"/>
            </w:tabs>
          </w:pPr>
          <w:r>
            <w:rPr>
              <w:noProof/>
              <w:lang w:eastAsia="zh-TW"/>
            </w:rPr>
            <w:drawing>
              <wp:inline distT="0" distB="0" distL="0" distR="0">
                <wp:extent cx="1041400" cy="668020"/>
                <wp:effectExtent l="0" t="0" r="6350" b="0"/>
                <wp:docPr id="1" name="Image 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68020"/>
                        </a:xfrm>
                        <a:prstGeom prst="rect">
                          <a:avLst/>
                        </a:prstGeom>
                        <a:noFill/>
                        <a:ln>
                          <a:noFill/>
                        </a:ln>
                      </pic:spPr>
                    </pic:pic>
                  </a:graphicData>
                </a:graphic>
              </wp:inline>
            </w:drawing>
          </w:r>
        </w:p>
      </w:tc>
      <w:tc>
        <w:tcPr>
          <w:tcW w:w="2506" w:type="pct"/>
          <w:vAlign w:val="bottom"/>
          <w:hideMark/>
        </w:tcPr>
        <w:p w:rsidR="009F21CB" w:rsidRDefault="008F6134" w:rsidP="009F21CB">
          <w:pPr>
            <w:pStyle w:val="Footer"/>
            <w:bidi/>
            <w:jc w:val="center"/>
            <w:rPr>
              <w:lang w:val="en-US"/>
            </w:rPr>
          </w:pPr>
          <w:r>
            <w:rPr>
              <w:rFonts w:eastAsia="Calibri" w:cs="Times New Roman"/>
              <w:noProof/>
              <w:sz w:val="16"/>
              <w:lang w:eastAsia="zh-TW"/>
            </w:rPr>
            <w:drawing>
              <wp:anchor distT="0" distB="0" distL="114300" distR="114300" simplePos="0" relativeHeight="251658240" behindDoc="0" locked="0" layoutInCell="1" allowOverlap="1" wp14:anchorId="40E215E6" wp14:editId="3C6EDDF0">
                <wp:simplePos x="0" y="0"/>
                <wp:positionH relativeFrom="column">
                  <wp:posOffset>1325880</wp:posOffset>
                </wp:positionH>
                <wp:positionV relativeFrom="paragraph">
                  <wp:posOffset>401320</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tc>
      <w:tc>
        <w:tcPr>
          <w:tcW w:w="1260" w:type="pct"/>
          <w:vAlign w:val="bottom"/>
          <w:hideMark/>
        </w:tcPr>
        <w:p w:rsidR="009F21CB" w:rsidRDefault="009F21CB" w:rsidP="009F21CB">
          <w:pPr>
            <w:pStyle w:val="Footer"/>
            <w:jc w:val="right"/>
            <w:rPr>
              <w:rFonts w:asciiTheme="minorBidi" w:hAnsiTheme="minorBidi"/>
              <w:sz w:val="18"/>
              <w:szCs w:val="18"/>
              <w:lang w:val="en-US"/>
            </w:rPr>
          </w:pPr>
          <w:r>
            <w:rPr>
              <w:rFonts w:asciiTheme="minorBidi" w:hAnsiTheme="minorBidi"/>
              <w:sz w:val="18"/>
              <w:szCs w:val="18"/>
              <w:lang w:val="en-GB"/>
            </w:rPr>
            <w:t>U048-v1</w:t>
          </w:r>
          <w:r w:rsidR="00D93021">
            <w:rPr>
              <w:rFonts w:asciiTheme="minorBidi" w:hAnsiTheme="minorBidi"/>
              <w:sz w:val="18"/>
              <w:szCs w:val="18"/>
            </w:rPr>
            <w:t>.0</w:t>
          </w:r>
          <w:r>
            <w:rPr>
              <w:rFonts w:asciiTheme="minorBidi" w:hAnsiTheme="minorBidi"/>
              <w:sz w:val="18"/>
              <w:szCs w:val="18"/>
              <w:lang w:val="en-GB"/>
            </w:rPr>
            <w:t>.HO1-AR</w:t>
          </w:r>
        </w:p>
      </w:tc>
    </w:tr>
  </w:tbl>
  <w:p w:rsidR="00A913BC" w:rsidRPr="009F21CB" w:rsidRDefault="00A913BC" w:rsidP="009F21C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B2" w:rsidRDefault="006742B2" w:rsidP="006742B2">
      <w:pPr>
        <w:spacing w:after="0" w:line="240" w:lineRule="auto"/>
      </w:pPr>
      <w:r>
        <w:separator/>
      </w:r>
    </w:p>
  </w:footnote>
  <w:footnote w:type="continuationSeparator" w:id="0">
    <w:p w:rsidR="006742B2" w:rsidRDefault="006742B2" w:rsidP="0067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9F21CB" w:rsidTr="009F21CB">
      <w:trPr>
        <w:jc w:val="center"/>
      </w:trPr>
      <w:tc>
        <w:tcPr>
          <w:tcW w:w="1667" w:type="pct"/>
        </w:tcPr>
        <w:p w:rsidR="009F21CB" w:rsidRDefault="009F21CB" w:rsidP="009F21CB">
          <w:pPr>
            <w:pStyle w:val="Header"/>
            <w:bidi/>
            <w:jc w:val="right"/>
            <w:rPr>
              <w:rFonts w:cs="Traditional Arabic"/>
              <w:sz w:val="18"/>
              <w:szCs w:val="24"/>
            </w:rPr>
          </w:pPr>
        </w:p>
      </w:tc>
      <w:tc>
        <w:tcPr>
          <w:tcW w:w="1667" w:type="pct"/>
          <w:hideMark/>
        </w:tcPr>
        <w:p w:rsidR="009F21CB" w:rsidRDefault="009F21CB" w:rsidP="009F21CB">
          <w:pPr>
            <w:pStyle w:val="Header"/>
            <w:jc w:val="center"/>
          </w:pPr>
          <w:r>
            <w:rPr>
              <w:rFonts w:eastAsia="Times New Roman" w:cs="Traditional Arabic"/>
              <w:kern w:val="36"/>
              <w:sz w:val="26"/>
              <w:szCs w:val="24"/>
              <w:rtl/>
              <w:lang w:eastAsia="en-GB" w:bidi="ar-MA"/>
            </w:rPr>
            <w:t>ورقة معدة للتوزيع</w:t>
          </w:r>
        </w:p>
      </w:tc>
      <w:tc>
        <w:tcPr>
          <w:tcW w:w="1667" w:type="pct"/>
        </w:tcPr>
        <w:p w:rsidR="009F21CB" w:rsidRDefault="009F21CB" w:rsidP="009F21CB">
          <w:pPr>
            <w:pStyle w:val="Header"/>
            <w:jc w:val="right"/>
            <w:rPr>
              <w:rFonts w:cs="Traditional Arabic"/>
              <w:sz w:val="18"/>
              <w:szCs w:val="24"/>
            </w:rPr>
          </w:pPr>
        </w:p>
      </w:tc>
    </w:tr>
  </w:tbl>
  <w:p w:rsidR="00BD7FCE" w:rsidRPr="009F21CB" w:rsidRDefault="00BD7FCE" w:rsidP="009F2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18413A"/>
    <w:rsid w:val="005F3CAC"/>
    <w:rsid w:val="006742B2"/>
    <w:rsid w:val="006D14B2"/>
    <w:rsid w:val="00805824"/>
    <w:rsid w:val="008F6134"/>
    <w:rsid w:val="009F21CB"/>
    <w:rsid w:val="00A913BC"/>
    <w:rsid w:val="00B467C0"/>
    <w:rsid w:val="00B94C7D"/>
    <w:rsid w:val="00BD7FCE"/>
    <w:rsid w:val="00C359A4"/>
    <w:rsid w:val="00D93021"/>
    <w:rsid w:val="00DD53A6"/>
    <w:rsid w:val="00E751D1"/>
    <w:rsid w:val="00EA43C6"/>
    <w:rsid w:val="00F0439E"/>
    <w:rsid w:val="00FF3B0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5E9269-592C-4B4C-B68A-C4F78525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table" w:styleId="TableGrid">
    <w:name w:val="Table Grid"/>
    <w:basedOn w:val="TableNormal"/>
    <w:rsid w:val="009F21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94C7D"/>
    <w:pPr>
      <w:bidi/>
      <w:spacing w:after="200" w:line="240" w:lineRule="auto"/>
      <w:ind w:left="851"/>
      <w:jc w:val="both"/>
    </w:pPr>
    <w:rPr>
      <w:rFonts w:ascii="Traditional Arabic" w:hAnsi="Traditional Arabic" w:cs="Traditional Arabic"/>
      <w:sz w:val="32"/>
      <w:szCs w:val="32"/>
      <w:lang w:bidi="ar-LB"/>
    </w:rPr>
  </w:style>
  <w:style w:type="character" w:customStyle="1" w:styleId="BodyTextIndentChar">
    <w:name w:val="Body Text Indent Char"/>
    <w:basedOn w:val="DefaultParagraphFont"/>
    <w:link w:val="BodyTextIndent"/>
    <w:uiPriority w:val="99"/>
    <w:rsid w:val="00B94C7D"/>
    <w:rPr>
      <w:rFonts w:ascii="Traditional Arabic" w:hAnsi="Traditional Arabic" w:cs="Traditional Arabic"/>
      <w:sz w:val="32"/>
      <w:szCs w:val="32"/>
      <w:lang w:bidi="ar-LB"/>
    </w:rPr>
  </w:style>
  <w:style w:type="paragraph" w:styleId="BalloonText">
    <w:name w:val="Balloon Text"/>
    <w:basedOn w:val="Normal"/>
    <w:link w:val="BalloonTextChar"/>
    <w:uiPriority w:val="99"/>
    <w:semiHidden/>
    <w:unhideWhenUsed/>
    <w:rsid w:val="00FF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0B"/>
    <w:rPr>
      <w:rFonts w:ascii="Tahoma" w:hAnsi="Tahoma" w:cs="Tahoma"/>
      <w:sz w:val="16"/>
      <w:szCs w:val="16"/>
    </w:rPr>
  </w:style>
  <w:style w:type="character" w:styleId="Hyperlink">
    <w:name w:val="Hyperlink"/>
    <w:basedOn w:val="DefaultParagraphFont"/>
    <w:uiPriority w:val="99"/>
    <w:unhideWhenUsed/>
    <w:rsid w:val="00FF3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19218">
      <w:bodyDiv w:val="1"/>
      <w:marLeft w:val="0"/>
      <w:marRight w:val="0"/>
      <w:marTop w:val="0"/>
      <w:marBottom w:val="0"/>
      <w:divBdr>
        <w:top w:val="none" w:sz="0" w:space="0" w:color="auto"/>
        <w:left w:val="none" w:sz="0" w:space="0" w:color="auto"/>
        <w:bottom w:val="none" w:sz="0" w:space="0" w:color="auto"/>
        <w:right w:val="none" w:sz="0" w:space="0" w:color="auto"/>
      </w:divBdr>
    </w:div>
    <w:div w:id="19925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Kaddoura, Maha</dc:creator>
  <cp:lastModifiedBy>Kim, Dain</cp:lastModifiedBy>
  <cp:revision>8</cp:revision>
  <dcterms:created xsi:type="dcterms:W3CDTF">2016-04-28T15:05:00Z</dcterms:created>
  <dcterms:modified xsi:type="dcterms:W3CDTF">2018-04-20T12:27:00Z</dcterms:modified>
</cp:coreProperties>
</file>