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C523" w14:textId="77777777" w:rsidR="00E3169C" w:rsidRPr="00C24FE8" w:rsidRDefault="00FA7EF1" w:rsidP="00C24FE8">
      <w:pPr>
        <w:pStyle w:val="Chapitre"/>
      </w:pPr>
      <w:r>
        <w:t>Unidad 55</w:t>
      </w:r>
    </w:p>
    <w:p w14:paraId="0B3F4BBE" w14:textId="5006A8D9" w:rsidR="00202668" w:rsidRDefault="00C24FE8" w:rsidP="00C24FE8">
      <w:pPr>
        <w:pStyle w:val="HO1"/>
      </w:pPr>
      <w:r>
        <w:t xml:space="preserve">Folleto 5: </w:t>
      </w:r>
    </w:p>
    <w:p w14:paraId="7E6BCC81" w14:textId="0A0BE6D5" w:rsidR="002F6CE3" w:rsidRDefault="002F6CE3" w:rsidP="00C24FE8">
      <w:pPr>
        <w:pStyle w:val="HO2"/>
      </w:pPr>
      <w:r>
        <w:t>Decisiones estratégicas en la elaboración de políticas relacionadas con el PCI: marco de debate</w:t>
      </w:r>
      <w:r>
        <w:rPr>
          <w:vertAlign w:val="superscript"/>
        </w:rPr>
        <w:footnoteReference w:id="1"/>
      </w:r>
      <w:r>
        <w:rPr>
          <w:vertAlign w:val="superscript"/>
        </w:rPr>
        <w:t>.</w:t>
      </w:r>
    </w:p>
    <w:p w14:paraId="01F2C1A6" w14:textId="77BCF798" w:rsidR="00424FFB" w:rsidRPr="007E154F" w:rsidRDefault="007F21F6" w:rsidP="007E154F">
      <w:pPr>
        <w:pStyle w:val="Texte1"/>
        <w:rPr>
          <w:rFonts w:eastAsia="Times New Roman"/>
        </w:rPr>
      </w:pPr>
      <w:r>
        <w:t xml:space="preserve">La Convención no prevé ninguna pauta estricta para la </w:t>
      </w:r>
      <w:r w:rsidR="007853C0">
        <w:t>elaboración</w:t>
      </w:r>
      <w:r>
        <w:t xml:space="preserve"> de políticas sobre PCI, aunque sí enuncia algunos principios amplios. Las políticas relacionadas con el PCI deben adaptarse a la situación de cada Estado. Para ello es necesario tomar decisiones estratégicas sobre los enfoques y prioridades en función del contexto y las necesidades específicas de cada Estado. El presente documento plantea algunos interrogantes sobre estas decisiones y puede emplearse ya sea para orientar el debate en una sesión de taller o como cuestionario.</w:t>
      </w:r>
    </w:p>
    <w:p w14:paraId="48F0AEE5" w14:textId="77777777" w:rsidR="00E610BC" w:rsidRPr="007E154F" w:rsidRDefault="00E610BC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¿Cómo se describirían los enfoques que apuntalan la elaboración de las políticas culturales en su Estado?</w:t>
      </w:r>
    </w:p>
    <w:p w14:paraId="5472544B" w14:textId="6D5CB42A" w:rsidR="007F21F6" w:rsidRPr="007E154F" w:rsidRDefault="00E610BC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 xml:space="preserve">Una nación, una cultura, entonces una política cultural. Se espera que los inmigrantes recién llegados se asimilen a la cultural </w:t>
      </w:r>
      <w:r w:rsidR="007853C0">
        <w:t>“</w:t>
      </w:r>
      <w:r>
        <w:t>nacional</w:t>
      </w:r>
      <w:r w:rsidR="007853C0">
        <w:t xml:space="preserve">”, </w:t>
      </w:r>
      <w:r>
        <w:t>o su eq</w:t>
      </w:r>
      <w:r w:rsidR="007853C0">
        <w:t>uivalente en un sistema federal</w:t>
      </w:r>
      <w:r>
        <w:t>.</w:t>
      </w:r>
    </w:p>
    <w:p w14:paraId="41189790" w14:textId="499DECC7" w:rsidR="00D859C5" w:rsidRPr="007E154F" w:rsidRDefault="00E610BC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 xml:space="preserve">Todas las </w:t>
      </w:r>
      <w:r w:rsidR="007853C0">
        <w:t>personas comparten una cultura “</w:t>
      </w:r>
      <w:r>
        <w:t>nacional</w:t>
      </w:r>
      <w:r w:rsidR="007853C0">
        <w:t>”</w:t>
      </w:r>
      <w:r>
        <w:t>, que puede en efecto estar fundada en los principios de buen gobierno del Estado, aunque las personas puedan identificarse además con otro grupo. Estas distintas culturas e identidades pueden ser cobijadas por la misma política cultural nacional o federal.</w:t>
      </w:r>
    </w:p>
    <w:p w14:paraId="677B52BE" w14:textId="6EDF609F" w:rsidR="00E610BC" w:rsidRPr="007E154F" w:rsidRDefault="002626AD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Compete a cada región, estado o provincia la regulación de sus propios asuntos culturales.</w:t>
      </w:r>
    </w:p>
    <w:p w14:paraId="14F0B981" w14:textId="7BAD7FBF" w:rsidR="009E6DE4" w:rsidRPr="007E154F" w:rsidRDefault="009E6DE4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No hay una política cultural. El Estado no regula la cultura.</w:t>
      </w:r>
    </w:p>
    <w:p w14:paraId="72093B50" w14:textId="77777777" w:rsidR="00E610BC" w:rsidRPr="007E154F" w:rsidRDefault="00E610BC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lastRenderedPageBreak/>
        <w:t>¿Cómo se describiría el enfoque de la consulta pública para la elaboración de políticas en el Estado?</w:t>
      </w:r>
    </w:p>
    <w:p w14:paraId="04CBB80C" w14:textId="77777777" w:rsidR="007E154F" w:rsidRDefault="00E610BC" w:rsidP="007E154F">
      <w:pPr>
        <w:pBdr>
          <w:bottom w:val="single" w:sz="4" w:space="0" w:color="auto"/>
        </w:pBdr>
        <w:tabs>
          <w:tab w:val="left" w:pos="3420"/>
          <w:tab w:val="left" w:pos="6660"/>
        </w:tabs>
        <w:rPr>
          <w:sz w:val="18"/>
          <w:szCs w:val="18"/>
        </w:rPr>
      </w:pPr>
      <w:r>
        <w:rPr>
          <w:sz w:val="18"/>
        </w:rPr>
        <w:t>El Estado hace las políticas para el público</w:t>
      </w:r>
    </w:p>
    <w:p w14:paraId="07AFC8EA" w14:textId="77777777" w:rsidR="007E154F" w:rsidRDefault="00E610BC" w:rsidP="007E154F">
      <w:pPr>
        <w:pBdr>
          <w:bottom w:val="single" w:sz="4" w:space="0" w:color="auto"/>
        </w:pBdr>
        <w:tabs>
          <w:tab w:val="left" w:pos="3420"/>
          <w:tab w:val="left" w:pos="6660"/>
        </w:tabs>
        <w:rPr>
          <w:sz w:val="18"/>
          <w:szCs w:val="18"/>
        </w:rPr>
      </w:pPr>
      <w:r>
        <w:rPr>
          <w:sz w:val="18"/>
        </w:rPr>
        <w:t>El público es consultado sobre la política</w:t>
      </w:r>
    </w:p>
    <w:p w14:paraId="67357345" w14:textId="7DBB741F" w:rsidR="00E610BC" w:rsidRPr="007E154F" w:rsidRDefault="00E610BC" w:rsidP="007E154F">
      <w:pPr>
        <w:pBdr>
          <w:bottom w:val="single" w:sz="4" w:space="0" w:color="auto"/>
        </w:pBdr>
        <w:tabs>
          <w:tab w:val="left" w:pos="3420"/>
          <w:tab w:val="left" w:pos="6660"/>
        </w:tabs>
        <w:rPr>
          <w:sz w:val="18"/>
          <w:szCs w:val="18"/>
        </w:rPr>
      </w:pPr>
      <w:r>
        <w:rPr>
          <w:sz w:val="18"/>
        </w:rPr>
        <w:t>El público participa en la elaboración de la política</w:t>
      </w:r>
    </w:p>
    <w:p w14:paraId="312CBED9" w14:textId="5114E4F0" w:rsidR="009856A6" w:rsidRPr="007E154F" w:rsidRDefault="00D44E29" w:rsidP="007E154F">
      <w:pPr>
        <w:pStyle w:val="Texte1"/>
        <w:rPr>
          <w:rFonts w:eastAsia="Times New Roman"/>
        </w:rPr>
      </w:pPr>
      <w:r>
        <w:t>¿A quién compete la elaboración de la política en el Estado? ¿Al Poder Ejecutivo (como los ministerios) o al Poder Legislativo de Gobierno (como el Parlamento)?</w:t>
      </w:r>
    </w:p>
    <w:p w14:paraId="1CA262BA" w14:textId="6136015D" w:rsidR="009856A6" w:rsidRPr="007E154F" w:rsidRDefault="007930FB" w:rsidP="007E154F">
      <w:pPr>
        <w:pStyle w:val="Texte1"/>
        <w:rPr>
          <w:rFonts w:eastAsia="Times New Roman"/>
        </w:rPr>
      </w:pPr>
      <w:r>
        <w:t>Mencione ejemplos de participación del público en la elaboración de políticas</w:t>
      </w:r>
      <w:r w:rsidR="007853C0">
        <w:t xml:space="preserve"> en el Estado</w:t>
      </w:r>
      <w:r>
        <w:t>, si existieran.</w:t>
      </w:r>
    </w:p>
    <w:p w14:paraId="1CB22F85" w14:textId="77777777" w:rsidR="007054FF" w:rsidRPr="007E154F" w:rsidRDefault="007054FF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¿Cuáles son los elementos del PCI considerados importantes por las comunidades en su Estado? Mencione ejemplos</w:t>
      </w:r>
    </w:p>
    <w:p w14:paraId="7AD5D2C3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Expresiones orales</w:t>
      </w:r>
    </w:p>
    <w:p w14:paraId="78036DAF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Artes escénicas</w:t>
      </w:r>
    </w:p>
    <w:p w14:paraId="3693D3AD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Prácticas sociales, rituales, eventos festivos</w:t>
      </w:r>
    </w:p>
    <w:p w14:paraId="602C6C7C" w14:textId="4106E4DB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Conocimientos y prácticas concernientes a</w:t>
      </w:r>
      <w:r w:rsidR="00214B47">
        <w:t xml:space="preserve"> la naturaleza y el universo</w:t>
      </w:r>
    </w:p>
    <w:p w14:paraId="234ACCAE" w14:textId="77777777" w:rsidR="007930FB" w:rsidRPr="007E154F" w:rsidRDefault="008D2642" w:rsidP="007E154F">
      <w:pPr>
        <w:pStyle w:val="Texte1"/>
        <w:numPr>
          <w:ilvl w:val="0"/>
          <w:numId w:val="14"/>
        </w:numPr>
        <w:rPr>
          <w:rFonts w:eastAsia="Times New Roman"/>
        </w:rPr>
      </w:pPr>
      <w:hyperlink r:id="rId8">
        <w:r w:rsidR="00152B32">
          <w:t>Conocimientos y habilidades para producir artesanías</w:t>
        </w:r>
      </w:hyperlink>
    </w:p>
    <w:p w14:paraId="079AFDD1" w14:textId="7D6B2EB1" w:rsidR="007930FB" w:rsidRPr="007E154F" w:rsidRDefault="007054FF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¿Cuáles son los principales factores que ponen o podrían poner en peligro la viabilidad del PCI en su Estado?</w:t>
      </w:r>
    </w:p>
    <w:p w14:paraId="6007DCCB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Pérdida del interés de las comunidades en continuar la práctica</w:t>
      </w:r>
    </w:p>
    <w:p w14:paraId="28AE357C" w14:textId="77777777" w:rsidR="007930FB" w:rsidRPr="007E154F" w:rsidRDefault="007930FB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Falta de oportunidades de empleo y de generación de ingresos provenientes de la práctica del elemento del PCI</w:t>
      </w:r>
    </w:p>
    <w:p w14:paraId="3E469271" w14:textId="77777777" w:rsidR="007054FF" w:rsidRPr="007E154F" w:rsidRDefault="00AF7C4E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Marginación actual de las comunidades y grupos interesados (económica, social, cultural)</w:t>
      </w:r>
    </w:p>
    <w:p w14:paraId="346CBBF6" w14:textId="77777777" w:rsidR="00AF7C4E" w:rsidRPr="007E154F" w:rsidRDefault="00AF7C4E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Marginación histórica de las comunidades y grupos interesados (económica, social, cultural)</w:t>
      </w:r>
    </w:p>
    <w:p w14:paraId="4A73AE13" w14:textId="77777777" w:rsidR="00490C56" w:rsidRPr="007E154F" w:rsidRDefault="00490C56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Factores ambientales</w:t>
      </w:r>
    </w:p>
    <w:p w14:paraId="52E9E358" w14:textId="77777777" w:rsidR="00271221" w:rsidRPr="007E154F" w:rsidRDefault="00271221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Otros (especifique)</w:t>
      </w:r>
    </w:p>
    <w:p w14:paraId="71C39C01" w14:textId="77777777" w:rsidR="0023072A" w:rsidRPr="007E154F" w:rsidRDefault="0023072A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¿Cuál es el ámbito más importante para sensibilizar sobre el PCI dada la situación en su Estado?</w:t>
      </w:r>
    </w:p>
    <w:p w14:paraId="7844C7EC" w14:textId="38C79350" w:rsidR="0023072A" w:rsidRPr="007E154F" w:rsidRDefault="002626AD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La comunidad internacional</w:t>
      </w:r>
    </w:p>
    <w:p w14:paraId="01B6A8CA" w14:textId="77777777" w:rsidR="0023072A" w:rsidRPr="007E154F" w:rsidRDefault="0023072A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El Estado</w:t>
      </w:r>
    </w:p>
    <w:p w14:paraId="57761131" w14:textId="77777777" w:rsidR="0023072A" w:rsidRPr="007E154F" w:rsidRDefault="0023072A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lastRenderedPageBreak/>
        <w:t>Las comunidades locales</w:t>
      </w:r>
    </w:p>
    <w:p w14:paraId="677E6D67" w14:textId="77777777" w:rsidR="0023072A" w:rsidRPr="007E154F" w:rsidRDefault="0023072A" w:rsidP="007E154F">
      <w:pPr>
        <w:pStyle w:val="Texte1"/>
        <w:numPr>
          <w:ilvl w:val="0"/>
          <w:numId w:val="14"/>
        </w:numPr>
        <w:rPr>
          <w:rFonts w:eastAsia="Times New Roman"/>
        </w:rPr>
      </w:pPr>
      <w:r>
        <w:t>Todos los anteriores</w:t>
      </w:r>
    </w:p>
    <w:p w14:paraId="7837E8C6" w14:textId="439985E2" w:rsidR="00E610BC" w:rsidRPr="00556B98" w:rsidRDefault="00E610BC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¿Cuáles son los principales beneficios de la salvaguardia del PCI dada la situación en su Estado?</w:t>
      </w:r>
    </w:p>
    <w:p w14:paraId="13E9E466" w14:textId="44E1EEBF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Reconocimiento de la diversidad y creatividad cultural en el ámbito nacional e internacional</w:t>
      </w:r>
    </w:p>
    <w:p w14:paraId="0EEBE943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Cohesión e identidad social para las comunidades interesadas</w:t>
      </w:r>
    </w:p>
    <w:p w14:paraId="0B605867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Fomento de una cultura nacional basada en el PCI</w:t>
      </w:r>
    </w:p>
    <w:p w14:paraId="0A2C2F94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Desarrollo económico del Estado</w:t>
      </w:r>
    </w:p>
    <w:p w14:paraId="5C29F12B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Desarrollo económico de determinadas comunidades</w:t>
      </w:r>
    </w:p>
    <w:p w14:paraId="5015E57F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Desarrollo sostenible de las comunidades en términos más generales</w:t>
      </w:r>
    </w:p>
    <w:p w14:paraId="73122209" w14:textId="77777777" w:rsidR="00E610BC" w:rsidRPr="00556B98" w:rsidRDefault="00E610BC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Identificación del PCI para la protección de los derechos de propiedad intelectual</w:t>
      </w:r>
    </w:p>
    <w:p w14:paraId="19B09880" w14:textId="1070AA3D" w:rsidR="00556B98" w:rsidRDefault="007930FB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Otros (especifique)</w:t>
      </w:r>
    </w:p>
    <w:p w14:paraId="4D3F9C2F" w14:textId="77777777" w:rsidR="00556B98" w:rsidRDefault="00556B98">
      <w:pPr>
        <w:tabs>
          <w:tab w:val="clear" w:pos="567"/>
        </w:tabs>
        <w:snapToGrid/>
        <w:spacing w:before="0" w:after="160" w:line="259" w:lineRule="auto"/>
        <w:jc w:val="left"/>
        <w:rPr>
          <w:rFonts w:eastAsia="Times New Roman"/>
          <w:snapToGrid/>
          <w:sz w:val="20"/>
        </w:rPr>
      </w:pPr>
      <w:r>
        <w:br w:type="page"/>
      </w:r>
    </w:p>
    <w:p w14:paraId="26D72943" w14:textId="77777777" w:rsidR="00271221" w:rsidRPr="00556B98" w:rsidRDefault="00271221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lastRenderedPageBreak/>
        <w:t>¿Qué leyes y políticas en vigor podrían afectar la salvaguardia del PCI en su Estado?</w:t>
      </w:r>
    </w:p>
    <w:p w14:paraId="2756C31D" w14:textId="366D620A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Acuerdos y leyes internacionales o regionales. Especifique</w:t>
      </w:r>
    </w:p>
    <w:p w14:paraId="4687E5DC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Cláusulas constitucionales o de derechos humanos en el Estado. Especifique</w:t>
      </w:r>
    </w:p>
    <w:p w14:paraId="6689F6D8" w14:textId="77777777" w:rsidR="00271221" w:rsidRPr="00556B98" w:rsidRDefault="00212CF7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Disposiciones gubernamentales para grupos minoritarios en el Estado. Especifique</w:t>
      </w:r>
    </w:p>
    <w:p w14:paraId="55CFB913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Políticas y leyes del sector cultural. Especifique</w:t>
      </w:r>
    </w:p>
    <w:p w14:paraId="1CFBEA5E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Políticas y leyes ajenas al sector cultural. Especifique</w:t>
      </w:r>
    </w:p>
    <w:p w14:paraId="075AD12C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Otras (especifique)</w:t>
      </w:r>
    </w:p>
    <w:p w14:paraId="4217413A" w14:textId="408675E2" w:rsidR="00271221" w:rsidRPr="00556B98" w:rsidRDefault="00271221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¿Quién, además de las comunidades y grupos interesados, tiene actualmente responsabilidad institucional por la salvaguardia del PCI en su Estado?</w:t>
      </w:r>
    </w:p>
    <w:p w14:paraId="112E2969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Organismos públicos. Especifique</w:t>
      </w:r>
    </w:p>
    <w:p w14:paraId="32F764BB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Organizaciones no gubernamentales y organizaciones de la sociedad civil. Especifique</w:t>
      </w:r>
    </w:p>
    <w:p w14:paraId="57E02DA1" w14:textId="77777777" w:rsidR="00271221" w:rsidRPr="00556B98" w:rsidRDefault="00271221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Instituciones de investigación u otros centros de conocimiento especializado. Especifique</w:t>
      </w:r>
    </w:p>
    <w:p w14:paraId="4E434F35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Otros (especifique)</w:t>
      </w:r>
    </w:p>
    <w:p w14:paraId="1A35FE40" w14:textId="556C048A" w:rsidR="00556B98" w:rsidRDefault="00936496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¿Qué otras cuestiones de importancia deberían tomarse en cuenta en la elaboración de políticas para la salvaguardia del PCI en su Estado?</w:t>
      </w:r>
    </w:p>
    <w:p w14:paraId="2BF71872" w14:textId="77777777" w:rsidR="00556B98" w:rsidRDefault="00556B98">
      <w:pPr>
        <w:tabs>
          <w:tab w:val="clear" w:pos="567"/>
        </w:tabs>
        <w:snapToGrid/>
        <w:spacing w:before="0" w:after="160" w:line="259" w:lineRule="auto"/>
        <w:jc w:val="left"/>
        <w:rPr>
          <w:rFonts w:cs="Times New Roman"/>
          <w:b/>
          <w:bCs/>
          <w:caps/>
          <w:snapToGrid/>
          <w:sz w:val="20"/>
        </w:rPr>
      </w:pPr>
      <w:r>
        <w:br w:type="page"/>
      </w:r>
      <w:bookmarkStart w:id="0" w:name="_GoBack"/>
      <w:bookmarkEnd w:id="0"/>
    </w:p>
    <w:p w14:paraId="1BC13DD8" w14:textId="77777777" w:rsidR="00E610BC" w:rsidRPr="00556B98" w:rsidRDefault="00EE58ED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lastRenderedPageBreak/>
        <w:t>¿De qué manera las políticas relacionadas con el PCI promoverán la participación de las comunidades, grupos e individuos interesados en la gestión del PCI?</w:t>
      </w:r>
    </w:p>
    <w:p w14:paraId="5F6E4116" w14:textId="77777777" w:rsidR="0087091E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Representación de las comunidades exigida en los órganos de consulta civil en el ámbito nacional o federal, provincial (condados, estados) o local</w:t>
      </w:r>
    </w:p>
    <w:p w14:paraId="23C3DCFC" w14:textId="77777777" w:rsidR="00EE58ED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Representación de las comunidades exigida en las comisiones de PCI u otros órganos específicos sobre PCI</w:t>
      </w:r>
    </w:p>
    <w:p w14:paraId="2C0169EB" w14:textId="77777777" w:rsidR="0087091E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Representación de las comunidades y constancia de consentimiento de las comunidades exigida en la labor relativa al PCI de las ONG y organizaciones de la sociedad civil</w:t>
      </w:r>
    </w:p>
    <w:p w14:paraId="4D4922F4" w14:textId="77777777" w:rsidR="0087091E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Representación de las comunidades y constancia de consentimiento de las comunidades exigida en la labor relativa al PCI de las instituciones de investigación u otros centros de conocimiento especializado</w:t>
      </w:r>
    </w:p>
    <w:p w14:paraId="09CEC888" w14:textId="17B0D682" w:rsidR="00EE58ED" w:rsidRPr="00556B98" w:rsidRDefault="00EE58ED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Consentimiento libre, previo e informado exigido para las actividades de salvaguardia del PCI</w:t>
      </w:r>
    </w:p>
    <w:p w14:paraId="5CEFAD5F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Otras (especifique)</w:t>
      </w:r>
    </w:p>
    <w:p w14:paraId="71DAF68B" w14:textId="6AFAB40D" w:rsidR="00243792" w:rsidRPr="00556B98" w:rsidRDefault="00243792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¿Cuáles de los siguientes enfoques de políticas sobre PCI podrían ayudar a enfrentar los desafíos que rodean a la salvaguardia del PCI en su Estado? Tilde todos los que correspondan ¿Cómo lo harían?</w:t>
      </w:r>
    </w:p>
    <w:p w14:paraId="71694316" w14:textId="77777777" w:rsidR="00D44E29" w:rsidRPr="00556B98" w:rsidRDefault="00D44E29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Políticas sobre PCI que colocan un acento especial en las áreas específicas del PCI o comunidades o grupos específicos. Fundamente</w:t>
      </w:r>
    </w:p>
    <w:p w14:paraId="0FB3B004" w14:textId="77777777" w:rsidR="00D44E29" w:rsidRPr="00556B98" w:rsidRDefault="00D44E29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Políticas sobre PCI que colocan un acento especial en aquellos elementos del PCI cuya viabilidad está impedida o amenazada</w:t>
      </w:r>
    </w:p>
    <w:p w14:paraId="7B743C40" w14:textId="77777777" w:rsidR="00D44E29" w:rsidRPr="00556B98" w:rsidRDefault="00D44E29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Políticas sobre PCI que colocan un acento especial en alentar o ayudar a los depositarios de los conocimientos del PCI y destrezas relacionadas</w:t>
      </w:r>
    </w:p>
    <w:p w14:paraId="783114F3" w14:textId="1544B519" w:rsidR="000D29C0" w:rsidRPr="00556B98" w:rsidRDefault="000D29C0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Políticas sobre PCI que se aplican por igual a todas las áreas o elementos del PCI</w:t>
      </w:r>
    </w:p>
    <w:p w14:paraId="3135C4A4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Otras (especifique)</w:t>
      </w:r>
    </w:p>
    <w:p w14:paraId="76C595CD" w14:textId="6D832769" w:rsidR="006245B2" w:rsidRPr="00556B98" w:rsidRDefault="00D44E29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¿Cuál de los siguientes enfoques podrían utilizarse para incluir disposiciones relativas al PCI en los distintos tipos de políticas? Tilde todos los que correspondan</w:t>
      </w:r>
    </w:p>
    <w:p w14:paraId="1510CB97" w14:textId="77777777" w:rsidR="00B76C03" w:rsidRPr="00556B98" w:rsidRDefault="00B76C03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Todas las disposiciones sobre PCI incluidas en las políticas culturales o sobre patrimonio cultural, incluidos el patrimonio material, las industrias culturales, etc.</w:t>
      </w:r>
    </w:p>
    <w:p w14:paraId="405F2BE8" w14:textId="1CE0CA8C" w:rsidR="00AB1E08" w:rsidRPr="00556B98" w:rsidRDefault="00AB1E08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 xml:space="preserve">La </w:t>
      </w:r>
      <w:r w:rsidR="0061470B">
        <w:t>elaboración</w:t>
      </w:r>
      <w:r>
        <w:t xml:space="preserve"> de políticas y acuerdos institucionales independientes para el PCI; es decir, aparte de las políticas generales sobre cultura o patrimonio cultural</w:t>
      </w:r>
    </w:p>
    <w:p w14:paraId="1E244B22" w14:textId="07E444DF" w:rsidR="00223611" w:rsidRPr="00556B98" w:rsidRDefault="00223611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lastRenderedPageBreak/>
        <w:t>Mención específica al PCI en otras políticas, por ejemplo, de cultura, sobre patrimonio cultural, políticas sobre idioma, etc.</w:t>
      </w:r>
    </w:p>
    <w:p w14:paraId="716327BF" w14:textId="5B32C8BF" w:rsidR="00223611" w:rsidRPr="00556B98" w:rsidRDefault="00223611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Mención específica al PCI en otras políticas ajenas al sector cultural, por ejemplo, la Constitución, políticas de educación, de cultura, etc.</w:t>
      </w:r>
    </w:p>
    <w:p w14:paraId="03F8C6C6" w14:textId="77777777" w:rsidR="0023072A" w:rsidRPr="00556B98" w:rsidRDefault="0023072A" w:rsidP="00556B98">
      <w:pPr>
        <w:pStyle w:val="Texte1"/>
        <w:numPr>
          <w:ilvl w:val="0"/>
          <w:numId w:val="14"/>
        </w:numPr>
        <w:rPr>
          <w:rFonts w:eastAsia="Times New Roman"/>
        </w:rPr>
      </w:pPr>
      <w:r>
        <w:t>Otros (especifique)</w:t>
      </w:r>
    </w:p>
    <w:sectPr w:rsidR="0023072A" w:rsidRPr="00556B98" w:rsidSect="00262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B94DB" w14:textId="77777777" w:rsidR="00B720CC" w:rsidRDefault="00B720CC" w:rsidP="00D44E29">
      <w:pPr>
        <w:spacing w:after="0"/>
      </w:pPr>
      <w:r>
        <w:separator/>
      </w:r>
    </w:p>
  </w:endnote>
  <w:endnote w:type="continuationSeparator" w:id="0">
    <w:p w14:paraId="59586B99" w14:textId="77777777" w:rsidR="00B720CC" w:rsidRDefault="00B720CC" w:rsidP="00D44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22A0" w14:textId="2491924B" w:rsidR="001923C4" w:rsidRPr="002626AD" w:rsidRDefault="008D2642" w:rsidP="002626AD">
    <w:pPr>
      <w:tabs>
        <w:tab w:val="clear" w:pos="567"/>
        <w:tab w:val="center" w:pos="6840"/>
        <w:tab w:val="right" w:pos="138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</w:rPr>
    </w:pPr>
    <w:r>
      <w:rPr>
        <w:noProof/>
        <w:lang w:val="fr-FR" w:eastAsia="ja-JP"/>
      </w:rPr>
      <w:drawing>
        <wp:anchor distT="0" distB="0" distL="114300" distR="114300" simplePos="0" relativeHeight="251683840" behindDoc="0" locked="0" layoutInCell="1" allowOverlap="1" wp14:anchorId="7FA60A9A" wp14:editId="41525934">
          <wp:simplePos x="0" y="0"/>
          <wp:positionH relativeFrom="column">
            <wp:posOffset>4162567</wp:posOffset>
          </wp:positionH>
          <wp:positionV relativeFrom="paragraph">
            <wp:posOffset>13383</wp:posOffset>
          </wp:positionV>
          <wp:extent cx="542290" cy="18923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AAD">
      <w:rPr>
        <w:rFonts w:eastAsia="Calibri" w:cs="Times New Roman"/>
        <w:noProof/>
        <w:snapToGrid/>
        <w:sz w:val="16"/>
        <w:szCs w:val="20"/>
        <w:lang w:val="fr-FR" w:eastAsia="ja-JP" w:bidi="ar-SA"/>
      </w:rPr>
      <w:drawing>
        <wp:anchor distT="0" distB="0" distL="114300" distR="114300" simplePos="0" relativeHeight="251671552" behindDoc="0" locked="0" layoutInCell="1" allowOverlap="1" wp14:anchorId="00CF0105" wp14:editId="787034DA">
          <wp:simplePos x="0" y="0"/>
          <wp:positionH relativeFrom="column">
            <wp:posOffset>-113497</wp:posOffset>
          </wp:positionH>
          <wp:positionV relativeFrom="paragraph">
            <wp:posOffset>-437347</wp:posOffset>
          </wp:positionV>
          <wp:extent cx="992505" cy="72009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06">
      <w:rPr>
        <w:rFonts w:eastAsia="Calibri" w:cs="Times New Roman"/>
        <w:noProof/>
        <w:snapToGrid/>
        <w:sz w:val="16"/>
        <w:szCs w:val="22"/>
        <w:lang w:val="fr-FR" w:eastAsia="ja-JP" w:bidi="ar-SA"/>
      </w:rPr>
      <w:drawing>
        <wp:anchor distT="0" distB="0" distL="114300" distR="114300" simplePos="0" relativeHeight="251661312" behindDoc="0" locked="1" layoutInCell="1" allowOverlap="0" wp14:anchorId="119E6C1A" wp14:editId="5943B95B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06">
      <w:tab/>
    </w:r>
    <w:r w:rsidR="00036706">
      <w:tab/>
    </w:r>
    <w:r w:rsidR="00036706">
      <w:rPr>
        <w:snapToGrid/>
        <w:sz w:val="16"/>
      </w:rPr>
      <w:t>U055-v1.0-HO5-ES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DFB7" w14:textId="7E860CDF" w:rsidR="001923C4" w:rsidRPr="0066186F" w:rsidRDefault="008D2642" w:rsidP="00036706">
    <w:pPr>
      <w:tabs>
        <w:tab w:val="clear" w:pos="567"/>
        <w:tab w:val="left" w:pos="5040"/>
        <w:tab w:val="center" w:pos="7020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</w:rPr>
    </w:pPr>
    <w:r>
      <w:rPr>
        <w:noProof/>
        <w:lang w:val="fr-FR" w:eastAsia="ja-JP"/>
      </w:rPr>
      <w:drawing>
        <wp:anchor distT="0" distB="0" distL="114300" distR="114300" simplePos="0" relativeHeight="251685888" behindDoc="0" locked="0" layoutInCell="1" allowOverlap="1" wp14:anchorId="77A8BD8C" wp14:editId="70BC063A">
          <wp:simplePos x="0" y="0"/>
          <wp:positionH relativeFrom="column">
            <wp:posOffset>4162567</wp:posOffset>
          </wp:positionH>
          <wp:positionV relativeFrom="paragraph">
            <wp:posOffset>54326</wp:posOffset>
          </wp:positionV>
          <wp:extent cx="542290" cy="189230"/>
          <wp:effectExtent l="0" t="0" r="0" b="127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AAD">
      <w:rPr>
        <w:rFonts w:eastAsia="Calibri" w:cs="Times New Roman"/>
        <w:noProof/>
        <w:snapToGrid/>
        <w:sz w:val="16"/>
        <w:szCs w:val="20"/>
        <w:lang w:val="fr-FR" w:eastAsia="ja-JP" w:bidi="ar-SA"/>
      </w:rPr>
      <w:drawing>
        <wp:anchor distT="0" distB="0" distL="114300" distR="114300" simplePos="0" relativeHeight="251673600" behindDoc="0" locked="0" layoutInCell="1" allowOverlap="1" wp14:anchorId="71A22E00" wp14:editId="1EB91D10">
          <wp:simplePos x="0" y="0"/>
          <wp:positionH relativeFrom="column">
            <wp:posOffset>8152765</wp:posOffset>
          </wp:positionH>
          <wp:positionV relativeFrom="paragraph">
            <wp:posOffset>-323215</wp:posOffset>
          </wp:positionV>
          <wp:extent cx="992505" cy="72009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06">
      <w:rPr>
        <w:snapToGrid/>
        <w:sz w:val="16"/>
      </w:rPr>
      <w:t>U055-v1.0-HO5-ES</w:t>
    </w:r>
    <w:r w:rsidR="00036706">
      <w:tab/>
    </w:r>
    <w:r w:rsidR="00236168">
      <w:tab/>
    </w:r>
    <w:r w:rsidR="00036706">
      <w:rPr>
        <w:rFonts w:eastAsia="Calibri" w:cs="Times New Roman"/>
        <w:noProof/>
        <w:snapToGrid/>
        <w:sz w:val="16"/>
        <w:szCs w:val="20"/>
        <w:lang w:val="fr-FR" w:eastAsia="ja-JP" w:bidi="ar-SA"/>
      </w:rPr>
      <w:drawing>
        <wp:anchor distT="0" distB="0" distL="114300" distR="114300" simplePos="0" relativeHeight="251663360" behindDoc="0" locked="1" layoutInCell="1" allowOverlap="0" wp14:anchorId="505F7D6F" wp14:editId="7A5BDF3E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3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3FE5" w14:textId="7CB6AEA6" w:rsidR="001923C4" w:rsidRPr="0066186F" w:rsidRDefault="008D2642" w:rsidP="002626AD">
    <w:pPr>
      <w:tabs>
        <w:tab w:val="clear" w:pos="567"/>
        <w:tab w:val="left" w:pos="504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</w:rPr>
    </w:pPr>
    <w:r>
      <w:rPr>
        <w:noProof/>
        <w:lang w:val="fr-FR" w:eastAsia="ja-JP"/>
      </w:rPr>
      <w:drawing>
        <wp:anchor distT="0" distB="0" distL="114300" distR="114300" simplePos="0" relativeHeight="251681792" behindDoc="0" locked="0" layoutInCell="1" allowOverlap="1" wp14:anchorId="07570281" wp14:editId="57263CD5">
          <wp:simplePos x="0" y="0"/>
          <wp:positionH relativeFrom="column">
            <wp:posOffset>4162567</wp:posOffset>
          </wp:positionH>
          <wp:positionV relativeFrom="paragraph">
            <wp:posOffset>13382</wp:posOffset>
          </wp:positionV>
          <wp:extent cx="542290" cy="189230"/>
          <wp:effectExtent l="0" t="0" r="0" b="127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AAD">
      <w:rPr>
        <w:rFonts w:eastAsia="Calibri" w:cs="Times New Roman"/>
        <w:noProof/>
        <w:snapToGrid/>
        <w:sz w:val="16"/>
        <w:szCs w:val="20"/>
        <w:lang w:val="fr-FR" w:eastAsia="ja-JP" w:bidi="ar-SA"/>
      </w:rPr>
      <w:drawing>
        <wp:anchor distT="0" distB="0" distL="114300" distR="114300" simplePos="0" relativeHeight="251669504" behindDoc="0" locked="0" layoutInCell="1" allowOverlap="1" wp14:anchorId="19C0B6F2" wp14:editId="63CF590B">
          <wp:simplePos x="0" y="0"/>
          <wp:positionH relativeFrom="column">
            <wp:posOffset>8000377</wp:posOffset>
          </wp:positionH>
          <wp:positionV relativeFrom="paragraph">
            <wp:posOffset>-439204</wp:posOffset>
          </wp:positionV>
          <wp:extent cx="992505" cy="72009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06">
      <w:rPr>
        <w:snapToGrid/>
        <w:sz w:val="16"/>
      </w:rPr>
      <w:t>U055-v1.0-HO5-ES</w:t>
    </w:r>
    <w:r w:rsidR="000367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E77E" w14:textId="77777777" w:rsidR="00B720CC" w:rsidRDefault="00B720CC" w:rsidP="00D44E29">
      <w:pPr>
        <w:spacing w:after="0"/>
      </w:pPr>
      <w:r>
        <w:separator/>
      </w:r>
    </w:p>
  </w:footnote>
  <w:footnote w:type="continuationSeparator" w:id="0">
    <w:p w14:paraId="0ECE2A8A" w14:textId="77777777" w:rsidR="00B720CC" w:rsidRDefault="00B720CC" w:rsidP="00D44E29">
      <w:pPr>
        <w:spacing w:after="0"/>
      </w:pPr>
      <w:r>
        <w:continuationSeparator/>
      </w:r>
    </w:p>
  </w:footnote>
  <w:footnote w:id="1">
    <w:p w14:paraId="05A31CF9" w14:textId="4B16D3C5" w:rsidR="00D44E29" w:rsidRPr="003A6098" w:rsidRDefault="00D44E29" w:rsidP="004956E3">
      <w:pPr>
        <w:pStyle w:val="FootnoteText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i/>
          <w:lang w:eastAsia="en-GB"/>
        </w:rPr>
      </w:pPr>
      <w:r>
        <w:rPr>
          <w:rStyle w:val="FootnoteReference"/>
          <w:snapToGrid/>
          <w:sz w:val="16"/>
          <w:vertAlign w:val="baseline"/>
        </w:rPr>
        <w:footnoteRef/>
      </w:r>
      <w:r>
        <w:rPr>
          <w:rStyle w:val="FootnoteReference"/>
          <w:snapToGrid/>
          <w:sz w:val="16"/>
          <w:vertAlign w:val="baseline"/>
        </w:rPr>
        <w:t>.</w:t>
      </w:r>
      <w:r>
        <w:tab/>
      </w:r>
      <w:r>
        <w:rPr>
          <w:rStyle w:val="FootnoteReference"/>
          <w:snapToGrid/>
          <w:sz w:val="16"/>
          <w:vertAlign w:val="baseline"/>
        </w:rPr>
        <w:t>Nota: según el contexto, podría ser necesario hacer una adaptación del presente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EA12" w14:textId="57929499" w:rsidR="001923C4" w:rsidRPr="0066186F" w:rsidRDefault="0066186F" w:rsidP="002626AD">
    <w:pPr>
      <w:tabs>
        <w:tab w:val="clear" w:pos="567"/>
        <w:tab w:val="left" w:pos="5040"/>
        <w:tab w:val="center" w:pos="648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</w:rPr>
    </w:pPr>
    <w:r w:rsidRPr="0066186F">
      <w:rPr>
        <w:rFonts w:eastAsia="Calibri" w:cs="Times New Roman"/>
        <w:snapToGrid/>
        <w:sz w:val="16"/>
        <w:szCs w:val="22"/>
      </w:rPr>
      <w:fldChar w:fldCharType="begin"/>
    </w:r>
    <w:r w:rsidRPr="0066186F">
      <w:rPr>
        <w:rFonts w:eastAsia="Calibri" w:cs="Times New Roman"/>
        <w:snapToGrid/>
        <w:sz w:val="16"/>
        <w:szCs w:val="22"/>
      </w:rPr>
      <w:instrText xml:space="preserve"> PAGE </w:instrText>
    </w:r>
    <w:r w:rsidRPr="0066186F">
      <w:rPr>
        <w:rFonts w:eastAsia="Calibri" w:cs="Times New Roman"/>
        <w:snapToGrid/>
        <w:sz w:val="16"/>
        <w:szCs w:val="22"/>
      </w:rPr>
      <w:fldChar w:fldCharType="separate"/>
    </w:r>
    <w:r w:rsidR="008D2642">
      <w:rPr>
        <w:rFonts w:eastAsia="Calibri" w:cs="Times New Roman"/>
        <w:noProof/>
        <w:snapToGrid/>
        <w:sz w:val="16"/>
        <w:szCs w:val="22"/>
      </w:rPr>
      <w:t>4</w:t>
    </w:r>
    <w:r w:rsidRPr="0066186F">
      <w:rPr>
        <w:rFonts w:eastAsia="Calibri" w:cs="Times New Roman"/>
        <w:snapToGrid/>
        <w:sz w:val="16"/>
        <w:szCs w:val="22"/>
      </w:rPr>
      <w:fldChar w:fldCharType="end"/>
    </w:r>
    <w:r>
      <w:tab/>
    </w:r>
    <w:r>
      <w:rPr>
        <w:snapToGrid/>
        <w:sz w:val="16"/>
      </w:rPr>
      <w:t>Unidad 55: Taller sobre elaboración de políticas para la salvaguardia del PCI</w:t>
    </w:r>
    <w:r>
      <w:tab/>
    </w:r>
    <w:r w:rsidR="007853C0">
      <w:rPr>
        <w:snapToGrid/>
        <w:sz w:val="16"/>
      </w:rPr>
      <w:t xml:space="preserve">Folleto </w:t>
    </w:r>
    <w:r>
      <w:rPr>
        <w:snapToGrid/>
        <w:sz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FB8AF" w14:textId="1520AC5A" w:rsidR="004076CA" w:rsidRPr="0066186F" w:rsidRDefault="0066186F" w:rsidP="002626AD">
    <w:pPr>
      <w:tabs>
        <w:tab w:val="clear" w:pos="567"/>
        <w:tab w:val="center" w:pos="684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</w:rPr>
    </w:pPr>
    <w:r>
      <w:rPr>
        <w:snapToGrid/>
        <w:sz w:val="16"/>
      </w:rPr>
      <w:t>Folleto 5</w:t>
    </w:r>
    <w:r>
      <w:tab/>
    </w:r>
    <w:r>
      <w:rPr>
        <w:snapToGrid/>
        <w:sz w:val="16"/>
      </w:rPr>
      <w:t>Unidad 55: Taller sobre elaboración de políticas para la salvaguardia del PCI</w:t>
    </w:r>
    <w:r>
      <w:tab/>
    </w:r>
    <w:r w:rsidRPr="0066186F">
      <w:rPr>
        <w:rFonts w:eastAsia="Calibri" w:cs="Times New Roman"/>
        <w:snapToGrid/>
        <w:sz w:val="16"/>
        <w:szCs w:val="22"/>
      </w:rPr>
      <w:fldChar w:fldCharType="begin"/>
    </w:r>
    <w:r w:rsidRPr="0066186F">
      <w:rPr>
        <w:rFonts w:eastAsia="Calibri" w:cs="Times New Roman"/>
        <w:snapToGrid/>
        <w:sz w:val="16"/>
        <w:szCs w:val="22"/>
      </w:rPr>
      <w:instrText xml:space="preserve"> PAGE </w:instrText>
    </w:r>
    <w:r w:rsidRPr="0066186F">
      <w:rPr>
        <w:rFonts w:eastAsia="Calibri" w:cs="Times New Roman"/>
        <w:snapToGrid/>
        <w:sz w:val="16"/>
        <w:szCs w:val="22"/>
      </w:rPr>
      <w:fldChar w:fldCharType="separate"/>
    </w:r>
    <w:r w:rsidR="008D2642">
      <w:rPr>
        <w:rFonts w:eastAsia="Calibri" w:cs="Times New Roman"/>
        <w:noProof/>
        <w:snapToGrid/>
        <w:sz w:val="16"/>
        <w:szCs w:val="22"/>
      </w:rPr>
      <w:t>3</w:t>
    </w:r>
    <w:r w:rsidRPr="0066186F">
      <w:rPr>
        <w:rFonts w:eastAsia="Calibri" w:cs="Times New Roman"/>
        <w:snapToGrid/>
        <w:sz w:val="16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32A0" w14:textId="0A07D98F" w:rsidR="001923C4" w:rsidRPr="0066186F" w:rsidRDefault="0066186F" w:rsidP="0066186F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r>
      <w:rPr>
        <w:sz w:val="16"/>
      </w:rPr>
      <w:t>Folleto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ED0"/>
    <w:multiLevelType w:val="hybridMultilevel"/>
    <w:tmpl w:val="3132A9E0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0B4"/>
    <w:multiLevelType w:val="hybridMultilevel"/>
    <w:tmpl w:val="66BCB8A6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CF5"/>
    <w:multiLevelType w:val="hybridMultilevel"/>
    <w:tmpl w:val="3044F258"/>
    <w:lvl w:ilvl="0" w:tplc="90801C6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DE7AD3"/>
    <w:multiLevelType w:val="hybridMultilevel"/>
    <w:tmpl w:val="9CF84A9C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1678"/>
    <w:multiLevelType w:val="hybridMultilevel"/>
    <w:tmpl w:val="7820C00A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4DA73A16"/>
    <w:multiLevelType w:val="hybridMultilevel"/>
    <w:tmpl w:val="211A56E6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0C48"/>
    <w:multiLevelType w:val="hybridMultilevel"/>
    <w:tmpl w:val="AD40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71612"/>
    <w:multiLevelType w:val="hybridMultilevel"/>
    <w:tmpl w:val="EA2C3232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916F1"/>
    <w:multiLevelType w:val="hybridMultilevel"/>
    <w:tmpl w:val="B46623B0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46F32"/>
    <w:multiLevelType w:val="hybridMultilevel"/>
    <w:tmpl w:val="372A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9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3"/>
    <w:rsid w:val="00036706"/>
    <w:rsid w:val="000403BF"/>
    <w:rsid w:val="00054CAB"/>
    <w:rsid w:val="000D29C0"/>
    <w:rsid w:val="00151D10"/>
    <w:rsid w:val="00152B32"/>
    <w:rsid w:val="001923C4"/>
    <w:rsid w:val="001B29D5"/>
    <w:rsid w:val="001B45BC"/>
    <w:rsid w:val="001E3A2C"/>
    <w:rsid w:val="00202668"/>
    <w:rsid w:val="00212CF7"/>
    <w:rsid w:val="00214B47"/>
    <w:rsid w:val="00223611"/>
    <w:rsid w:val="0023072A"/>
    <w:rsid w:val="00236168"/>
    <w:rsid w:val="00243792"/>
    <w:rsid w:val="002626AD"/>
    <w:rsid w:val="002658BE"/>
    <w:rsid w:val="00271221"/>
    <w:rsid w:val="00287B21"/>
    <w:rsid w:val="002E38B4"/>
    <w:rsid w:val="002F6CE3"/>
    <w:rsid w:val="00303D21"/>
    <w:rsid w:val="00327B8D"/>
    <w:rsid w:val="00354AAD"/>
    <w:rsid w:val="0039336A"/>
    <w:rsid w:val="003A6098"/>
    <w:rsid w:val="003B1D54"/>
    <w:rsid w:val="003C115E"/>
    <w:rsid w:val="003E6FB2"/>
    <w:rsid w:val="004076CA"/>
    <w:rsid w:val="00424FFB"/>
    <w:rsid w:val="0044661D"/>
    <w:rsid w:val="0045172A"/>
    <w:rsid w:val="00490C56"/>
    <w:rsid w:val="004956E3"/>
    <w:rsid w:val="004E4466"/>
    <w:rsid w:val="00524CB3"/>
    <w:rsid w:val="00556B98"/>
    <w:rsid w:val="005959E0"/>
    <w:rsid w:val="005B314A"/>
    <w:rsid w:val="005C2FEB"/>
    <w:rsid w:val="005C56EE"/>
    <w:rsid w:val="00613C81"/>
    <w:rsid w:val="0061470B"/>
    <w:rsid w:val="006245B2"/>
    <w:rsid w:val="00634920"/>
    <w:rsid w:val="00660B93"/>
    <w:rsid w:val="0066186F"/>
    <w:rsid w:val="006C77EE"/>
    <w:rsid w:val="006E5D30"/>
    <w:rsid w:val="007054FF"/>
    <w:rsid w:val="00765609"/>
    <w:rsid w:val="007853C0"/>
    <w:rsid w:val="007930FB"/>
    <w:rsid w:val="007A65BF"/>
    <w:rsid w:val="007D239A"/>
    <w:rsid w:val="007E154F"/>
    <w:rsid w:val="007F21F6"/>
    <w:rsid w:val="007F30C4"/>
    <w:rsid w:val="00823792"/>
    <w:rsid w:val="0087091E"/>
    <w:rsid w:val="008721EB"/>
    <w:rsid w:val="008A1055"/>
    <w:rsid w:val="008C46C6"/>
    <w:rsid w:val="008D2642"/>
    <w:rsid w:val="00936496"/>
    <w:rsid w:val="00936E61"/>
    <w:rsid w:val="009856A6"/>
    <w:rsid w:val="009A791C"/>
    <w:rsid w:val="009E6DE4"/>
    <w:rsid w:val="00A737A2"/>
    <w:rsid w:val="00A87273"/>
    <w:rsid w:val="00A940B3"/>
    <w:rsid w:val="00AA6E44"/>
    <w:rsid w:val="00AB1E08"/>
    <w:rsid w:val="00AD180E"/>
    <w:rsid w:val="00AF7C4E"/>
    <w:rsid w:val="00B53522"/>
    <w:rsid w:val="00B720CC"/>
    <w:rsid w:val="00B76C03"/>
    <w:rsid w:val="00BC2B2C"/>
    <w:rsid w:val="00BF4864"/>
    <w:rsid w:val="00BF4B72"/>
    <w:rsid w:val="00C24FE8"/>
    <w:rsid w:val="00C55EFA"/>
    <w:rsid w:val="00D04E00"/>
    <w:rsid w:val="00D060B3"/>
    <w:rsid w:val="00D44E29"/>
    <w:rsid w:val="00D717B9"/>
    <w:rsid w:val="00D859C5"/>
    <w:rsid w:val="00D85C5E"/>
    <w:rsid w:val="00DC1FAA"/>
    <w:rsid w:val="00DC50D3"/>
    <w:rsid w:val="00DE126A"/>
    <w:rsid w:val="00E3169C"/>
    <w:rsid w:val="00E610BC"/>
    <w:rsid w:val="00EA3C26"/>
    <w:rsid w:val="00EC1AD4"/>
    <w:rsid w:val="00EC2091"/>
    <w:rsid w:val="00EE58ED"/>
    <w:rsid w:val="00EF1FF6"/>
    <w:rsid w:val="00F479E3"/>
    <w:rsid w:val="00F67F2E"/>
    <w:rsid w:val="00FA7EF1"/>
    <w:rsid w:val="00FC4A1F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1BD68"/>
  <w15:docId w15:val="{5927D02E-C1E9-4FF4-82B1-C58F1CE8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1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1F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A1F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C4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A1F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FC4A1F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FC4A1F"/>
    <w:rPr>
      <w:rFonts w:ascii="Arial" w:eastAsia="SimSun" w:hAnsi="Arial" w:cstheme="majorBidi"/>
      <w:b/>
      <w:bCs/>
      <w:caps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FC4A1F"/>
    <w:pPr>
      <w:tabs>
        <w:tab w:val="clear" w:pos="567"/>
        <w:tab w:val="left" w:pos="360"/>
      </w:tabs>
      <w:ind w:left="720" w:hanging="360"/>
    </w:pPr>
  </w:style>
  <w:style w:type="character" w:styleId="Hyperlink">
    <w:name w:val="Hyperlink"/>
    <w:basedOn w:val="DefaultParagraphFont"/>
    <w:uiPriority w:val="99"/>
    <w:semiHidden/>
    <w:unhideWhenUsed/>
    <w:rsid w:val="007930F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C2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44E2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4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4E29"/>
    <w:rPr>
      <w:vertAlign w:val="superscript"/>
    </w:rPr>
  </w:style>
  <w:style w:type="paragraph" w:customStyle="1" w:styleId="1">
    <w:name w:val="1."/>
    <w:basedOn w:val="Normal"/>
    <w:link w:val="1Char"/>
    <w:qFormat/>
    <w:rsid w:val="00FC4A1F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</w:rPr>
  </w:style>
  <w:style w:type="character" w:customStyle="1" w:styleId="1Char">
    <w:name w:val="1. Char"/>
    <w:link w:val="1"/>
    <w:locked/>
    <w:rsid w:val="00FC4A1F"/>
    <w:rPr>
      <w:rFonts w:ascii="Arial" w:eastAsia="SimSun" w:hAnsi="Arial" w:cs="Arial"/>
      <w:w w:val="96"/>
      <w:lang w:val="es-ES" w:eastAsia="es-ES"/>
    </w:rPr>
  </w:style>
  <w:style w:type="paragraph" w:customStyle="1" w:styleId="U1">
    <w:name w:val="U.1"/>
    <w:basedOn w:val="Normal"/>
    <w:qFormat/>
    <w:rsid w:val="00FC4A1F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</w:rPr>
  </w:style>
  <w:style w:type="paragraph" w:customStyle="1" w:styleId="Paragraph">
    <w:name w:val="Paragraph"/>
    <w:basedOn w:val="Normal"/>
    <w:link w:val="ParagraphChar"/>
    <w:qFormat/>
    <w:rsid w:val="00FC4A1F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</w:rPr>
  </w:style>
  <w:style w:type="character" w:customStyle="1" w:styleId="ParagraphChar">
    <w:name w:val="Paragraph Char"/>
    <w:link w:val="Paragraph"/>
    <w:rsid w:val="00FC4A1F"/>
    <w:rPr>
      <w:rFonts w:ascii="Arial" w:eastAsia="SimSun" w:hAnsi="Arial" w:cs="Arial"/>
      <w:lang w:val="es-ES" w:eastAsia="es-ES"/>
    </w:rPr>
  </w:style>
  <w:style w:type="paragraph" w:customStyle="1" w:styleId="Slideheading">
    <w:name w:val="Slide heading"/>
    <w:basedOn w:val="Heading2"/>
    <w:link w:val="SlideheadingChar"/>
    <w:qFormat/>
    <w:rsid w:val="00FC4A1F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FC4A1F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es-ES"/>
    </w:rPr>
  </w:style>
  <w:style w:type="paragraph" w:customStyle="1" w:styleId="Txtsecondbullet">
    <w:name w:val="Txt second bullet"/>
    <w:basedOn w:val="Normal"/>
    <w:qFormat/>
    <w:rsid w:val="00FC4A1F"/>
    <w:pPr>
      <w:numPr>
        <w:ilvl w:val="1"/>
        <w:numId w:val="13"/>
      </w:numPr>
      <w:spacing w:before="0" w:after="60" w:line="280" w:lineRule="exact"/>
    </w:pPr>
    <w:rPr>
      <w:snapToGrid/>
      <w:sz w:val="20"/>
    </w:rPr>
  </w:style>
  <w:style w:type="paragraph" w:customStyle="1" w:styleId="citationunit">
    <w:name w:val="citation unit"/>
    <w:basedOn w:val="Normal"/>
    <w:qFormat/>
    <w:rsid w:val="00FC4A1F"/>
    <w:pPr>
      <w:spacing w:before="0" w:after="60" w:line="280" w:lineRule="exact"/>
      <w:ind w:left="1134" w:right="284"/>
    </w:pPr>
    <w:rPr>
      <w:snapToGrid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A1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A1F"/>
    <w:rPr>
      <w:rFonts w:ascii="Arial" w:eastAsia="SimSun" w:hAnsi="Arial" w:cs="Times New Roman"/>
      <w:b/>
      <w:bCs/>
      <w:caps/>
      <w:sz w:val="20"/>
      <w:szCs w:val="24"/>
      <w:lang w:val="es-ES"/>
    </w:rPr>
  </w:style>
  <w:style w:type="character" w:styleId="Strong">
    <w:name w:val="Strong"/>
    <w:basedOn w:val="DefaultParagraphFont"/>
    <w:uiPriority w:val="22"/>
    <w:qFormat/>
    <w:rsid w:val="00FC4A1F"/>
    <w:rPr>
      <w:b/>
      <w:bCs/>
    </w:rPr>
  </w:style>
  <w:style w:type="character" w:styleId="Emphasis">
    <w:name w:val="Emphasis"/>
    <w:basedOn w:val="DefaultParagraphFont"/>
    <w:uiPriority w:val="20"/>
    <w:qFormat/>
    <w:rsid w:val="00FC4A1F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C4A1F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C4A1F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4A1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4A1F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A1F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A1F"/>
    <w:rPr>
      <w:rFonts w:eastAsiaTheme="minorEastAsia" w:cs="Arial"/>
      <w:i/>
      <w:iCs/>
      <w:color w:val="4F81BD"/>
      <w:sz w:val="20"/>
      <w:szCs w:val="20"/>
      <w:lang w:val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A1F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76CA"/>
    <w:rPr>
      <w:rFonts w:ascii="Arial" w:eastAsia="SimSun" w:hAnsi="Arial" w:cs="Arial"/>
      <w:snapToGrid w:val="0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76CA"/>
    <w:rPr>
      <w:rFonts w:ascii="Arial" w:eastAsia="SimSun" w:hAnsi="Arial" w:cs="Arial"/>
      <w:snapToGrid w:val="0"/>
      <w:szCs w:val="24"/>
      <w:lang w:val="es-ES" w:eastAsia="es-ES"/>
    </w:rPr>
  </w:style>
  <w:style w:type="character" w:styleId="PageNumber">
    <w:name w:val="page number"/>
    <w:rsid w:val="004076CA"/>
  </w:style>
  <w:style w:type="paragraph" w:customStyle="1" w:styleId="Chapitre">
    <w:name w:val="Chapitre"/>
    <w:basedOn w:val="Heading1"/>
    <w:link w:val="ChapitreCar"/>
    <w:rsid w:val="00C24FE8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</w:rPr>
  </w:style>
  <w:style w:type="character" w:customStyle="1" w:styleId="ChapitreCar">
    <w:name w:val="Chapitre Car"/>
    <w:link w:val="Chapitre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es-ES"/>
    </w:rPr>
  </w:style>
  <w:style w:type="paragraph" w:customStyle="1" w:styleId="HO1">
    <w:name w:val="HO1"/>
    <w:basedOn w:val="Normal"/>
    <w:link w:val="HO1Car"/>
    <w:rsid w:val="00C24FE8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C24FE8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HO2">
    <w:name w:val="HO2"/>
    <w:basedOn w:val="HO1"/>
    <w:link w:val="HO2Car"/>
    <w:rsid w:val="00C24FE8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Texte1">
    <w:name w:val="Texte1"/>
    <w:basedOn w:val="Normal"/>
    <w:link w:val="Texte1Car"/>
    <w:rsid w:val="007E154F"/>
    <w:pPr>
      <w:spacing w:before="0" w:after="60" w:line="280" w:lineRule="exact"/>
      <w:ind w:left="851"/>
    </w:pPr>
    <w:rPr>
      <w:snapToGrid/>
      <w:sz w:val="20"/>
    </w:rPr>
  </w:style>
  <w:style w:type="character" w:customStyle="1" w:styleId="Texte1Car">
    <w:name w:val="Texte1 Car"/>
    <w:link w:val="Texte1"/>
    <w:rsid w:val="007E154F"/>
    <w:rPr>
      <w:rFonts w:ascii="Arial" w:eastAsia="SimSu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es/tecnicas-artesanales-tradicionales-0005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94AD-55D3-4CEF-9F2E-4B5490DA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5</cp:revision>
  <dcterms:created xsi:type="dcterms:W3CDTF">2016-03-15T15:31:00Z</dcterms:created>
  <dcterms:modified xsi:type="dcterms:W3CDTF">2018-03-23T13:20:00Z</dcterms:modified>
</cp:coreProperties>
</file>