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AC" w:rsidRPr="003D1DD9" w:rsidRDefault="00D169AC" w:rsidP="007B168F">
      <w:pPr>
        <w:pStyle w:val="Chapitre"/>
        <w:jc w:val="both"/>
      </w:pPr>
      <w:r>
        <w:t>unidad 61</w:t>
      </w:r>
    </w:p>
    <w:p w:rsidR="00D169AC" w:rsidRPr="002775D0" w:rsidRDefault="00D169AC" w:rsidP="007B168F">
      <w:pPr>
        <w:rPr>
          <w:rFonts w:cs="Calibri"/>
          <w:b/>
          <w:bCs/>
          <w:caps/>
          <w:snapToGrid w:val="0"/>
          <w:color w:val="3366FF"/>
          <w:kern w:val="28"/>
          <w:sz w:val="56"/>
          <w:szCs w:val="56"/>
        </w:rPr>
      </w:pPr>
      <w:r>
        <w:rPr>
          <w:b/>
          <w:caps/>
          <w:color w:val="3366FF"/>
          <w:kern w:val="28"/>
          <w:sz w:val="56"/>
        </w:rPr>
        <w:t xml:space="preserve">RESUMEN SOBRE LA HERRAMIENTA EN LÍNEA PARA LA PRESENTACIÓN DE </w:t>
      </w:r>
      <w:r w:rsidR="00D7746B">
        <w:rPr>
          <w:b/>
          <w:caps/>
          <w:color w:val="3366FF"/>
          <w:kern w:val="28"/>
          <w:sz w:val="56"/>
        </w:rPr>
        <w:t>INFORMES PERIÓDICOS (formulario </w:t>
      </w:r>
      <w:r>
        <w:rPr>
          <w:b/>
          <w:caps/>
          <w:color w:val="3366FF"/>
          <w:kern w:val="28"/>
          <w:sz w:val="56"/>
        </w:rPr>
        <w:t>ICH-10)</w:t>
      </w:r>
    </w:p>
    <w:p w:rsidR="00D169AC" w:rsidRPr="003D1DD9" w:rsidRDefault="00D169AC" w:rsidP="007B168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Este resumen de la herramienta en línea para la presentación de informes periódicos ha sido preparado con el propósito de brindar a los participantes una descripción breve de la estructura de la herramienta en línea para la presentación de informes y las distintas secciones y los títulos en las que fue dividida. </w:t>
      </w:r>
    </w:p>
    <w:p w:rsidR="00D169AC" w:rsidRPr="003D1DD9" w:rsidRDefault="00D169AC" w:rsidP="007B168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Esto puede ayudar a los participantes que estén planificando su estrategia para recopilar datos e información a identificar las fuentes de dichos datos e información y a determinar de qué manera se cumplimentará la herramienta en línea para la presentación de informes y quién estará a cargo de dicha tarea. Por lo tanto, en este resumen sobre la herramienta para la presentación de informes, las dos secciones principales (secciones A y B) se presentan sintetizadas con información sobre los distintos títulos en los que se divide cada una de dichas secciones. </w:t>
      </w:r>
    </w:p>
    <w:p w:rsidR="00D169AC" w:rsidRPr="003D1DD9" w:rsidRDefault="00D169AC" w:rsidP="007B168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Para la sección A (donde se solicita información general sobre el Estado Parte que presenta el informe, el punto focal, los elementos inscritos, etc.), en este resumen se muestran el número de los títulos y una descripción breve del contenido necesario para cumplimentar cada uno de dichos títulos. </w:t>
      </w:r>
    </w:p>
    <w:p w:rsidR="00D169AC" w:rsidRPr="003D1DD9" w:rsidRDefault="00D169AC" w:rsidP="007B168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Para la sección B (sobre las medidas de salvaguardia en el ámbito nacional), que es la parte principal de la herramienta para la presentación de informes, en este resumen se muestra</w:t>
      </w:r>
      <w:r w:rsidR="00D7746B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cada una de las áreas temáticas y su numeración, junto con el indicador de base pertinente a cada una. Las preguntas (enumeradas en la columna ubicada a la derecha de la pantalla) se relacionan con el nivel inferior de los factores de evaluación. Estos no se encuentran incluidos en el presente resumen, el cual está orientado a brindar una descripción breve de la </w:t>
      </w:r>
      <w:r>
        <w:rPr>
          <w:rFonts w:ascii="Arial" w:hAnsi="Arial"/>
          <w:sz w:val="20"/>
          <w:cs/>
        </w:rPr>
        <w:t>“</w:t>
      </w:r>
      <w:r>
        <w:rPr>
          <w:rFonts w:ascii="Arial" w:hAnsi="Arial"/>
          <w:sz w:val="20"/>
        </w:rPr>
        <w:t>arquitectura</w:t>
      </w:r>
      <w:r>
        <w:rPr>
          <w:rFonts w:ascii="Arial" w:hAnsi="Arial"/>
          <w:sz w:val="20"/>
          <w:cs/>
        </w:rPr>
        <w:t xml:space="preserve">” </w:t>
      </w:r>
      <w:r>
        <w:rPr>
          <w:rFonts w:ascii="Arial" w:hAnsi="Arial"/>
          <w:sz w:val="20"/>
        </w:rPr>
        <w:t>de la herramienta para la presentación de informes.</w:t>
      </w:r>
    </w:p>
    <w:p w:rsidR="00D169AC" w:rsidRDefault="00D169AC" w:rsidP="007B168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lastRenderedPageBreak/>
        <w:t>La sección C, diseñada para reunir información específica a los elementos presentes en el territorio del Estado Parte que presenta el informe e inscritos en la Lista Representativa, no está contemplada en el presente resumen, debido a que esta sección aún no ha sido actualizada y se ha mantenido bastante concordante con la sección C del formulario ICH-10 para la presentación de informes que se utilizó en el período comprendido entre 2011 y 2018 y con el que probablemente los participantes ya se encuentren familiarizados.</w:t>
      </w:r>
    </w:p>
    <w:p w:rsidR="00D169AC" w:rsidRDefault="00D169AC">
      <w:pPr>
        <w:rPr>
          <w:rFonts w:ascii="Arial" w:hAnsi="Arial"/>
          <w:sz w:val="20"/>
          <w:szCs w:val="20"/>
        </w:rPr>
      </w:pPr>
      <w:r>
        <w:br w:type="page"/>
      </w:r>
    </w:p>
    <w:p w:rsidR="00D169AC" w:rsidRPr="003D1DD9" w:rsidRDefault="00D169AC" w:rsidP="007B168F">
      <w:pPr>
        <w:jc w:val="both"/>
        <w:rPr>
          <w:rFonts w:ascii="Arial" w:hAnsi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385"/>
        <w:gridCol w:w="9324"/>
      </w:tblGrid>
      <w:tr w:rsidR="00D169AC" w:rsidRPr="002775D0" w:rsidTr="007B168F">
        <w:trPr>
          <w:trHeight w:val="488"/>
        </w:trPr>
        <w:tc>
          <w:tcPr>
            <w:tcW w:w="14425" w:type="dxa"/>
            <w:gridSpan w:val="3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SECCIÓN A: INFORMACIÓN GENERAL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Núm.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9355" w:type="dxa"/>
          </w:tcPr>
          <w:p w:rsidR="00D169AC" w:rsidRPr="002775D0" w:rsidRDefault="00D169AC" w:rsidP="00EB5DF4">
            <w:pPr>
              <w:spacing w:after="0" w:line="240" w:lineRule="auto"/>
              <w:rPr>
                <w:rFonts w:ascii="Arial" w:eastAsia="SimSun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Contenido solicitado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A.1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Resumen ejecutivo (entre 400 y 600 palabras)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Resumen de la situación general legislativa y normativa y de otras medidas adoptadas en el ámbito nacional con miras a aplicar la Convención, siguiendo la estructura organizativa del formulario.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A.2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Información de contacto del punto focal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Se piden los detalles habituales, comprendido el nombre de la institución, el cargo, la dirección de correo electrónico y </w:t>
            </w:r>
            <w:r>
              <w:rPr>
                <w:rFonts w:ascii="Arial" w:hAnsi="Arial"/>
                <w:sz w:val="20"/>
                <w:cs/>
              </w:rPr>
              <w:t>“</w:t>
            </w:r>
            <w:r>
              <w:rPr>
                <w:rFonts w:ascii="Arial" w:hAnsi="Arial"/>
                <w:sz w:val="20"/>
              </w:rPr>
              <w:t>otra información relevante</w:t>
            </w:r>
            <w:r>
              <w:rPr>
                <w:rFonts w:ascii="Arial" w:hAnsi="Arial"/>
                <w:sz w:val="20"/>
                <w:cs/>
              </w:rPr>
              <w:t>”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A.3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Instituciones y organizaciones que participan en la preparación del informe periódico</w:t>
            </w:r>
          </w:p>
        </w:tc>
        <w:tc>
          <w:tcPr>
            <w:tcW w:w="9355" w:type="dxa"/>
          </w:tcPr>
          <w:p w:rsidR="00D169AC" w:rsidRPr="002775D0" w:rsidRDefault="00D169AC" w:rsidP="00EB5DF4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Instituciones gubernamentales, comisión nacional, centros culturales, instituciones de investigación, centros de competencias, universidades, museos, organizaciones no gubernamentales (ONG), municipios, gobiernos locales, entidades benéficas, entidades del sector privado y otras (que deberán especificarse).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A.4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Organizaciones no gubernamentales acreditadas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Estas se refieren a las ONG acreditadas ante el Comité con arreglo al Artículo 9 de la Convención y las Directrices Operativas 90 y 91.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A.5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Participación en los mecanismos internacionales de la Convención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Elementos inscritos en la Lista de Salvaguardia Urgente o en la Lista Representativa, programas inscritos en el Registro de Buenas Prácticas de Salvaguardia, proyectos financiados con asistencia internacional.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A.6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Inventarios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Nótese que existen también otras preguntas referidas al proceso de inventarios en la sección B (indicadores 7 y 8).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este punto, la atención se centra en la información más detallada acerca de qué inventarios se han confeccionado (generales o específicos), la cantidad de inventarios, cómo se administran (criterios empleados, principios de organización, cómo y con qué frecuencia se actualizan, si se toma en cuenta o no la viabilidad de estos, etc.). </w:t>
            </w:r>
          </w:p>
        </w:tc>
      </w:tr>
      <w:tr w:rsidR="00D169AC" w:rsidRPr="002775D0" w:rsidTr="007B168F">
        <w:tc>
          <w:tcPr>
            <w:tcW w:w="67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A.7</w:t>
            </w:r>
          </w:p>
        </w:tc>
        <w:tc>
          <w:tcPr>
            <w:tcW w:w="439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Sinergias con otros programas y convenciones de la UNESCO</w:t>
            </w:r>
          </w:p>
        </w:tc>
        <w:tc>
          <w:tcPr>
            <w:tcW w:w="935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nombre de la actividad o el proyecto emprendido y sus contribuciones a la salvaguardia del patrimonio cultural inmaterial.</w:t>
            </w:r>
          </w:p>
        </w:tc>
      </w:tr>
    </w:tbl>
    <w:p w:rsidR="00D169AC" w:rsidRPr="003D1DD9" w:rsidRDefault="00D169AC" w:rsidP="007B168F">
      <w:pPr>
        <w:rPr>
          <w:rFonts w:ascii="Arial" w:hAnsi="Arial"/>
          <w:sz w:val="20"/>
          <w:szCs w:val="20"/>
        </w:rPr>
      </w:pPr>
    </w:p>
    <w:p w:rsidR="00D169AC" w:rsidRPr="003D1DD9" w:rsidRDefault="00D169AC">
      <w:pPr>
        <w:rPr>
          <w:rFonts w:ascii="Arial" w:hAnsi="Arial"/>
          <w:sz w:val="20"/>
          <w:szCs w:val="20"/>
        </w:rPr>
      </w:pPr>
      <w:r>
        <w:br w:type="page"/>
      </w:r>
    </w:p>
    <w:tbl>
      <w:tblPr>
        <w:tblW w:w="1442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9"/>
      </w:tblGrid>
      <w:tr w:rsidR="00D169AC" w:rsidRPr="002775D0" w:rsidTr="007B168F">
        <w:trPr>
          <w:trHeight w:val="465"/>
        </w:trPr>
        <w:tc>
          <w:tcPr>
            <w:tcW w:w="14429" w:type="dxa"/>
          </w:tcPr>
          <w:p w:rsidR="00D169AC" w:rsidRPr="002775D0" w:rsidRDefault="00D169AC" w:rsidP="007B168F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Sección B: MEDIDAS DE SALVAGUARDIA EN EL ÁMBITO NACIONAL</w:t>
            </w:r>
          </w:p>
        </w:tc>
      </w:tr>
    </w:tbl>
    <w:p w:rsidR="00D169AC" w:rsidRPr="002775D0" w:rsidRDefault="00D169AC" w:rsidP="007B168F">
      <w:pPr>
        <w:spacing w:after="0"/>
        <w:rPr>
          <w:vanish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0064"/>
        <w:gridCol w:w="1559"/>
      </w:tblGrid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Núm.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Área temática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Indicadores abordados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Preguntas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Capacidades institucionales y humanas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Grado en el que los órganos e instituciones competentes y los mecanismos consultivos apoyan la práctica y la transmisión continuas del PCI.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>
              <w:rPr>
                <w:rFonts w:ascii="Arial" w:hAnsi="Arial"/>
                <w:smallCap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Grado en el que los programas apoyan el fortalecimiento de las capacidades humanas para promover la salvaguardia y la gestión del PCI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 Grado en el que se ofrece formación dirigida o, impartida por comunidades, grupos, individuos así como aquellos que trabajen en el ámbito de la cultura y del patrimonio. 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1.1 a 1.5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2.1 a 2.3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3.1 a 3.2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Transmisión y educación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 Grado en el que la educación formal y no formal fortalece la transmisión del PCI y promueve el respeto por el mismo.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 Grado en el que el PCI y su salvaguardia están integrados en la educación primaria y secundaria, por ejemplo en el contenido de las materias pertinentes, y la forma en que se utilizan para fortalecer la educación y el aprendizaje del PCI y permiten respetar el PCI propio y ajeno.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 Grado en el que la educación superior apoya la práctica y la transmisión del PCI y el estudio de sus dimensiones sociales, culturales y de otra índole.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4.1 a 4.4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5.1 a 5.4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6.1 a 6.2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Elaboración de inventarios e investigación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7.  Grado en el que los inventarios reflejan la diversidad del PCI y contribuyen a su salvaguardia.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 Grado en el que el proceso de inventariado es inclusivo, respeta la diversidad del PCI y de sus practicantes y fomenta la salvaguardia por parte de las comunidades, los grupos y los individuos interesados.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9. Grado en el que la investigación y la documentación, incluidos los estudios científicos, técnicos y artísticos, contribuyen a la salvaguardia.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10. Grado en el que los resultados de las investigaciones y la documentación son accesibles y se utilizan para reforzar la elaboración de políticas y mejorar la salvaguardia.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7.1.a a 7.4.b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8.1 a 8.2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9.1 a 9.3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10.1 a 10.3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Políticas y medidas administrativas y legales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11. Grado en el que las políticas y las medidas legales y administrativas en ámbitos que no sean el de la cultura y la educación reflejan la diversidad del PCI y la importancia de su salvaguardia y grado en el que se implementan.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12. Grado en el que las políticas y las medidas legales y administrativas en el ámbito de la educación reflejan </w:t>
            </w:r>
            <w:r>
              <w:rPr>
                <w:rFonts w:ascii="Arial" w:hAnsi="Arial"/>
                <w:sz w:val="20"/>
              </w:rPr>
              <w:lastRenderedPageBreak/>
              <w:t>la diversidad del PCI y la importancia de su salvaguardia y se ponen en práctica.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13. Grado en el que las políticas y las medidas legales y administrativas en ámbitos que no sean el de la cultura y la educación, reflejan la diversidad del PCI y la importancia de su salvaguardia y grado en el que se implementan.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14. Grado en el que las políticas así como las medidas legales y administrativas respetan los derechos, las prácticas y las expresiones consuetudinarias, en especial en relación a la práctica y transmisión del PCI. 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11.1 a 11.4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7746B" w:rsidRDefault="00D7746B" w:rsidP="007B168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12.1 a 12.3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13.1 a 13.5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7746B" w:rsidRDefault="00D7746B" w:rsidP="007B168F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14.1 a 14.3</w:t>
            </w:r>
          </w:p>
        </w:tc>
      </w:tr>
      <w:tr w:rsidR="00D169AC" w:rsidRPr="002775D0" w:rsidTr="00AD5406">
        <w:trPr>
          <w:trHeight w:val="288"/>
        </w:trPr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Función del patrimonio cultural inmaterial y de su salvaguardia en la sociedad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15. Grado en el que se reconoce la importancia del PCI en los planes y programas inclusivos que fomentan el respeto de sí mismo y el respeto mutuo.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16.  Grado en el que se reconoce la importancia del PCI en los planes y programas inclusivos que fomentan el respeto de sí mismo y el respeto mutuo.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15.1 a 15.3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16.1 a 16.2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Sensibilización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17. Grado en que las comunidades, los grupos y los individuos participan en la sensibilización acerca de la importancia del PCI y de su salvaguardia.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18. Grado en el que se incluyen los medios de comunicación para sensibilizar acerca de la importancia del PCI y de su salvaguardia así como para promover la comprensión y el respeto mutuo.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19. Grado en el que las medidas de información pública sensibilizan acerca de la importancia del PCI y de su salvaguardia y promueven la comprensión y el respeto mutuo.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20. Grado en el que los programas de sensibilización sobre el PCI respetan los principios éticos relevantes.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17.1 a 17.5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18.1 a 18.4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19.1 a 19.4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20.1 a 20.2</w:t>
            </w:r>
          </w:p>
        </w:tc>
      </w:tr>
      <w:tr w:rsidR="00D169AC" w:rsidRPr="002775D0" w:rsidTr="00AD5406"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Participación de las comunidades, los grupos y los individuos así como de otros actores interesados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21.  Grado en el que el compromiso de los actores involucrados se fortalece con miras para salvaguardar el PCI.</w:t>
            </w:r>
          </w:p>
          <w:p w:rsidR="00D169AC" w:rsidRPr="002775D0" w:rsidRDefault="00D169AC" w:rsidP="007B168F">
            <w:pPr>
              <w:keepNext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keepNext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22. Grado en el que la sociedad civil contribuye al monitoreo de la salvaguardia del PCI.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21.1 a 21.3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</w:tr>
      <w:bookmarkEnd w:id="0"/>
      <w:tr w:rsidR="00D169AC" w:rsidRPr="002775D0" w:rsidTr="00AD5406">
        <w:trPr>
          <w:trHeight w:val="1341"/>
        </w:trPr>
        <w:tc>
          <w:tcPr>
            <w:tcW w:w="817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eastAsia="MS Mincho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Participación internacional</w:t>
            </w:r>
          </w:p>
        </w:tc>
        <w:tc>
          <w:tcPr>
            <w:tcW w:w="10064" w:type="dxa"/>
          </w:tcPr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23. Cantidad y distribución geográfica de ONG, organismos públicos y privados y personas particulares que el Comité ha involucrado en calidad de consultores o asesores.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24. Porcentaje de Estados Partes comprometidos de manera activa con otros Estados Partes en la cooperación para la salvaguardia. 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25.  Porcentaje de Estados Partes que participan de manera activa en la creación de redes internacionales y en la cooperación institucional.</w:t>
            </w:r>
          </w:p>
          <w:p w:rsidR="00D169AC" w:rsidRPr="002775D0" w:rsidRDefault="00D169AC" w:rsidP="007B168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26. El Fondo del PCI apoya de manera eficaz la salvaguardia y el compromiso internacional.</w:t>
            </w:r>
          </w:p>
        </w:tc>
        <w:tc>
          <w:tcPr>
            <w:tcW w:w="1559" w:type="dxa"/>
          </w:tcPr>
          <w:p w:rsidR="00D169AC" w:rsidRPr="002775D0" w:rsidRDefault="00D169AC" w:rsidP="007B168F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  <w:r>
              <w:rPr>
                <w:rStyle w:val="Appelnotedebasdep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7746B" w:rsidRDefault="00D7746B" w:rsidP="007B168F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</w:p>
          <w:p w:rsidR="00D169AC" w:rsidRPr="002775D0" w:rsidRDefault="00D169AC" w:rsidP="007B168F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24.1 a 24.4</w:t>
            </w:r>
          </w:p>
          <w:p w:rsidR="00D169AC" w:rsidRPr="002775D0" w:rsidRDefault="00D169AC" w:rsidP="007B168F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25.1 a 25.3</w:t>
            </w:r>
          </w:p>
          <w:p w:rsidR="00D169AC" w:rsidRPr="002775D0" w:rsidRDefault="00D169AC" w:rsidP="007B168F">
            <w:p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</w:t>
            </w:r>
            <w:r>
              <w:rPr>
                <w:rStyle w:val="Appelnotedebasdep"/>
                <w:rFonts w:ascii="Arial" w:hAnsi="Arial"/>
                <w:sz w:val="20"/>
              </w:rPr>
              <w:footnoteReference w:id="2"/>
            </w:r>
          </w:p>
        </w:tc>
      </w:tr>
    </w:tbl>
    <w:p w:rsidR="00D169AC" w:rsidRPr="00F21986" w:rsidRDefault="00D169AC" w:rsidP="007B168F"/>
    <w:sectPr w:rsidR="00D169AC" w:rsidRPr="00F21986" w:rsidSect="007B168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40" w:rsidRDefault="00CE4840" w:rsidP="007B168F">
      <w:pPr>
        <w:spacing w:after="0" w:line="240" w:lineRule="auto"/>
      </w:pPr>
      <w:r>
        <w:separator/>
      </w:r>
    </w:p>
  </w:endnote>
  <w:endnote w:type="continuationSeparator" w:id="0">
    <w:p w:rsidR="00CE4840" w:rsidRDefault="00CE4840" w:rsidP="007B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0" w:rsidRPr="007B1C89" w:rsidRDefault="005A43DC" w:rsidP="007B168F">
    <w:pPr>
      <w:pStyle w:val="Pieddepage"/>
      <w:jc w:val="both"/>
      <w:rPr>
        <w:rFonts w:ascii="Arial" w:hAnsi="Arial"/>
        <w:sz w:val="16"/>
        <w:szCs w:val="16"/>
      </w:rPr>
    </w:pPr>
    <w:r>
      <w:rPr>
        <w:noProof/>
        <w:lang w:val="fr-FR" w:eastAsia="fr-FR"/>
      </w:rPr>
      <w:pict w14:anchorId="1EF07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92.65pt;margin-top:-12.3pt;width:65.75pt;height:47.5pt;z-index:251660800">
          <v:imagedata r:id="rId1" o:title=""/>
        </v:shape>
      </w:pict>
    </w:r>
    <w:r>
      <w:rPr>
        <w:noProof/>
        <w:lang w:val="es-AR" w:eastAsia="es-AR"/>
      </w:rPr>
      <w:pict>
        <v:shape id="Picture 1" o:spid="_x0000_s2049" type="#_x0000_t75" style="position:absolute;left:0;text-align:left;margin-left:330.15pt;margin-top:2.35pt;width:42.75pt;height:15pt;z-index:251657728;visibility:visible" wrapcoords="-379 0 -379 20520 21600 20520 21600 0 -379 0">
          <v:imagedata r:id="rId2" o:title=""/>
          <w10:wrap type="through"/>
        </v:shape>
      </w:pict>
    </w:r>
    <w:r w:rsidR="004167E0">
      <w:rPr>
        <w:rFonts w:ascii="Arial" w:hAnsi="Arial"/>
        <w:sz w:val="16"/>
      </w:rPr>
      <w:t>U061-v1.0-PT-ES</w:t>
    </w:r>
    <w:r w:rsidR="004167E0">
      <w:rPr>
        <w:rFonts w:ascii="Arial" w:hAnsi="Arial"/>
        <w:sz w:val="16"/>
      </w:rPr>
      <w:tab/>
    </w:r>
    <w:r w:rsidR="004167E0">
      <w:rPr>
        <w:rFonts w:ascii="Arial" w:hAnsi="Arial"/>
        <w:sz w:val="16"/>
      </w:rPr>
      <w:tab/>
    </w:r>
    <w:r>
      <w:rPr>
        <w:noProof/>
        <w:lang w:val="es-AR" w:eastAsia="es-AR"/>
      </w:rPr>
      <w:pict>
        <v:shape id="Image 51" o:spid="_x0000_s2050" type="#_x0000_t75" style="position:absolute;left:0;text-align:left;margin-left:405.3pt;margin-top:714.15pt;width:74.25pt;height:42.4pt;z-index:251656704;visibility:visible;mso-position-horizontal-relative:margin;mso-position-vertical-relative:margin;mso-width-relative:margin;mso-height-relative:margin" o:allowoverlap="f">
          <v:imagedata r:id="rId3" o:title=""/>
          <w10:wrap type="square" anchorx="margin" anchory="margin"/>
          <w10:anchorlock/>
        </v:shape>
      </w:pict>
    </w:r>
  </w:p>
  <w:p w:rsidR="004167E0" w:rsidRDefault="005A43DC" w:rsidP="007B168F">
    <w:pPr>
      <w:pStyle w:val="Pieddepage"/>
      <w:jc w:val="center"/>
    </w:pPr>
    <w:r>
      <w:rPr>
        <w:noProof/>
      </w:rPr>
      <w:pict>
        <v:shape id="Picture 3" o:spid="_x0000_s2052" type="#_x0000_t75" style="position:absolute;left:0;text-align:left;margin-left:458.95pt;margin-top:769.5pt;width:65.65pt;height:4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40" w:rsidRDefault="00CE4840" w:rsidP="007B168F">
      <w:pPr>
        <w:spacing w:after="0" w:line="240" w:lineRule="auto"/>
      </w:pPr>
      <w:r>
        <w:separator/>
      </w:r>
    </w:p>
  </w:footnote>
  <w:footnote w:type="continuationSeparator" w:id="0">
    <w:p w:rsidR="00CE4840" w:rsidRDefault="00CE4840" w:rsidP="007B168F">
      <w:pPr>
        <w:spacing w:after="0" w:line="240" w:lineRule="auto"/>
      </w:pPr>
      <w:r>
        <w:continuationSeparator/>
      </w:r>
    </w:p>
  </w:footnote>
  <w:footnote w:id="1">
    <w:p w:rsidR="00D169AC" w:rsidRDefault="00D169AC" w:rsidP="007B168F">
      <w:pPr>
        <w:pStyle w:val="Notedebasdepage"/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Arial" w:hAnsi="Arial"/>
          <w:sz w:val="16"/>
        </w:rPr>
        <w:t>A este indicador se le da seguimiento y se informa únicamente en el ámbito mundial.</w:t>
      </w:r>
    </w:p>
  </w:footnote>
  <w:footnote w:id="2">
    <w:p w:rsidR="00D169AC" w:rsidRDefault="00D169AC" w:rsidP="007B168F">
      <w:pPr>
        <w:pStyle w:val="Notedebasdepage"/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Arial" w:hAnsi="Arial"/>
          <w:sz w:val="16"/>
        </w:rPr>
        <w:t>A este indicador se le da seguimiento y se informa únicamente en el ámbito mundial.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0" w:rsidRPr="00812BD7" w:rsidRDefault="004167E0" w:rsidP="007B168F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Texto para el Participante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Unidad 61: Cumplimentación del formulario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43D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167E0" w:rsidRDefault="004167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986"/>
    <w:rsid w:val="002775D0"/>
    <w:rsid w:val="003D1DD9"/>
    <w:rsid w:val="004167E0"/>
    <w:rsid w:val="005A43DC"/>
    <w:rsid w:val="007B168F"/>
    <w:rsid w:val="007B1C89"/>
    <w:rsid w:val="00812BD7"/>
    <w:rsid w:val="00AD5406"/>
    <w:rsid w:val="00CE4840"/>
    <w:rsid w:val="00D169AC"/>
    <w:rsid w:val="00D7746B"/>
    <w:rsid w:val="00EB5DF4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0DC6B226-4082-43C7-8CD0-34457E2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table" w:styleId="Grilledutableau">
    <w:name w:val="Table Grid"/>
    <w:basedOn w:val="TableauNormal"/>
    <w:uiPriority w:val="39"/>
    <w:rPr>
      <w:rFonts w:eastAsia="MS Mincho" w:cs="Arial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Pr>
      <w:rFonts w:ascii="Times New Roman" w:hAnsi="Times New Roman"/>
      <w:sz w:val="20"/>
      <w:lang w:val="es-ES" w:eastAsia="es-ES"/>
    </w:rPr>
  </w:style>
  <w:style w:type="character" w:styleId="Appelnotedebasdep">
    <w:name w:val="footnote reference"/>
    <w:uiPriority w:val="99"/>
    <w:semiHidden/>
    <w:unhideWhenUsed/>
    <w:rPr>
      <w:vertAlign w:val="superscript"/>
      <w:lang w:val="es-ES" w:eastAsia="es-ES"/>
    </w:rPr>
  </w:style>
  <w:style w:type="paragraph" w:customStyle="1" w:styleId="Chapitre">
    <w:name w:val="Chapitre"/>
    <w:basedOn w:val="Titre1"/>
    <w:link w:val="ChapitreCar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noProof/>
      <w:color w:val="3366FF"/>
      <w:kern w:val="28"/>
      <w:sz w:val="70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character" w:styleId="Numrodepage">
    <w:name w:val="page number"/>
    <w:uiPriority w:val="99"/>
    <w:rPr>
      <w:rFonts w:ascii="Arial" w:hAnsi="Arial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1458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Maria-Paz Fernandez Undurraga</cp:lastModifiedBy>
  <cp:revision>22</cp:revision>
  <cp:lastPrinted>2019-08-30T13:44:00Z</cp:lastPrinted>
  <dcterms:created xsi:type="dcterms:W3CDTF">2020-01-07T14:41:00Z</dcterms:created>
  <dcterms:modified xsi:type="dcterms:W3CDTF">2020-02-28T10:32:00Z</dcterms:modified>
</cp:coreProperties>
</file>