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0989F" w14:textId="36AE81C2" w:rsidR="004D76DA" w:rsidRDefault="00A853D3" w:rsidP="00C70B5B">
      <w:pPr>
        <w:pStyle w:val="Chapitre"/>
        <w:keepNext w:val="0"/>
        <w:widowControl w:val="0"/>
        <w:rPr>
          <w:w w:val="99"/>
        </w:rPr>
      </w:pPr>
      <w:bookmarkStart w:id="0" w:name="_Toc241229720"/>
      <w:bookmarkStart w:id="1" w:name="_Toc241229924"/>
      <w:bookmarkStart w:id="2" w:name="_Toc242165618"/>
      <w:r w:rsidRPr="00787639">
        <w:rPr>
          <w:w w:val="99"/>
        </w:rPr>
        <w:t xml:space="preserve">Unit </w:t>
      </w:r>
      <w:r w:rsidR="00020DDD" w:rsidRPr="00787639">
        <w:rPr>
          <w:w w:val="99"/>
        </w:rPr>
        <w:t>9</w:t>
      </w:r>
      <w:r w:rsidR="00830A9C" w:rsidRPr="00787639">
        <w:rPr>
          <w:w w:val="99"/>
        </w:rPr>
        <w:tab/>
      </w:r>
    </w:p>
    <w:p w14:paraId="0EEFBC88" w14:textId="77777777" w:rsidR="00FA49AE" w:rsidRPr="00FA49AE" w:rsidRDefault="00FA49AE" w:rsidP="00FA49AE">
      <w:pPr>
        <w:keepNext/>
        <w:keepLines/>
        <w:spacing w:before="480" w:line="480" w:lineRule="exact"/>
        <w:ind w:left="0"/>
        <w:jc w:val="left"/>
        <w:outlineLvl w:val="0"/>
        <w:rPr>
          <w:rFonts w:eastAsia="Times New Roman"/>
          <w:b/>
          <w:bCs/>
          <w:caps/>
          <w:noProof/>
          <w:snapToGrid w:val="0"/>
          <w:color w:val="3366FF"/>
          <w:kern w:val="28"/>
          <w:sz w:val="48"/>
          <w:szCs w:val="48"/>
          <w:lang w:val="en-GB"/>
        </w:rPr>
      </w:pPr>
      <w:bookmarkStart w:id="3" w:name="_Toc241644724"/>
      <w:bookmarkEnd w:id="0"/>
      <w:bookmarkEnd w:id="1"/>
      <w:bookmarkEnd w:id="2"/>
      <w:r w:rsidRPr="00FA49AE">
        <w:rPr>
          <w:rFonts w:eastAsia="Times New Roman"/>
          <w:b/>
          <w:bCs/>
          <w:caps/>
          <w:noProof/>
          <w:snapToGrid w:val="0"/>
          <w:color w:val="3366FF"/>
          <w:kern w:val="28"/>
          <w:sz w:val="48"/>
          <w:szCs w:val="48"/>
          <w:lang w:val="en-GB"/>
        </w:rPr>
        <w:t>safeguarding</w:t>
      </w:r>
    </w:p>
    <w:bookmarkEnd w:id="3"/>
    <w:p w14:paraId="07381E51" w14:textId="673FF4AA" w:rsidR="00FA49AE" w:rsidRPr="00FA49AE" w:rsidRDefault="00FA49AE" w:rsidP="00FA49AE">
      <w:pPr>
        <w:keepNext/>
        <w:keepLines/>
        <w:spacing w:before="480" w:after="480" w:line="480" w:lineRule="exact"/>
        <w:ind w:left="0"/>
        <w:jc w:val="left"/>
        <w:outlineLvl w:val="0"/>
        <w:rPr>
          <w:rFonts w:eastAsia="Times New Roman"/>
          <w:b/>
          <w:bCs/>
          <w:caps/>
          <w:noProof/>
          <w:snapToGrid w:val="0"/>
          <w:color w:val="3366FF"/>
          <w:sz w:val="32"/>
          <w:szCs w:val="70"/>
          <w:lang w:val="en-US"/>
        </w:rPr>
      </w:pPr>
      <w:r>
        <w:rPr>
          <w:rFonts w:eastAsia="Times New Roman"/>
          <w:b/>
          <w:bCs/>
          <w:caps/>
          <w:noProof/>
          <w:snapToGrid w:val="0"/>
          <w:color w:val="3366FF"/>
          <w:sz w:val="32"/>
          <w:szCs w:val="70"/>
          <w:lang w:val="en-US"/>
        </w:rPr>
        <w:t>participant’s text</w:t>
      </w:r>
    </w:p>
    <w:p w14:paraId="2459DFDB" w14:textId="1AEC0DBA" w:rsidR="00487F47" w:rsidRPr="00B43374" w:rsidRDefault="00487F47" w:rsidP="00631657">
      <w:pPr>
        <w:pStyle w:val="Sschap"/>
      </w:pPr>
      <w:r w:rsidRPr="00B43374">
        <w:rPr>
          <w:rFonts w:hint="eastAsia"/>
        </w:rPr>
        <w:t xml:space="preserve">This </w:t>
      </w:r>
      <w:r w:rsidR="00A31F35" w:rsidRPr="00B73CA7">
        <w:rPr>
          <w:rFonts w:hint="eastAsia"/>
        </w:rPr>
        <w:t>unit</w:t>
      </w:r>
      <w:r w:rsidRPr="0071007C">
        <w:t xml:space="preserve"> is about safeguarding of </w:t>
      </w:r>
      <w:r w:rsidR="00915125">
        <w:t>intangible cultural heritage (</w:t>
      </w:r>
      <w:r w:rsidRPr="0071007C">
        <w:t>ICH</w:t>
      </w:r>
      <w:r w:rsidR="00915125">
        <w:t>)</w:t>
      </w:r>
      <w:r w:rsidRPr="0071007C">
        <w:t xml:space="preserve"> elements at the national level, covering both general safeguarding measures and safeguarding activities relating to specific element(s) of ICH. </w:t>
      </w:r>
      <w:r w:rsidRPr="0071007C">
        <w:rPr>
          <w:lang w:val="en-US"/>
        </w:rPr>
        <w:t xml:space="preserve">It </w:t>
      </w:r>
      <w:r w:rsidRPr="00FF1221">
        <w:rPr>
          <w:rFonts w:hint="eastAsia"/>
        </w:rPr>
        <w:t>covers</w:t>
      </w:r>
      <w:r w:rsidRPr="0071007C">
        <w:t xml:space="preserve"> </w:t>
      </w:r>
      <w:r w:rsidRPr="00FF1221">
        <w:rPr>
          <w:rFonts w:hint="eastAsia"/>
        </w:rPr>
        <w:t>the</w:t>
      </w:r>
      <w:r w:rsidRPr="0071007C">
        <w:t xml:space="preserve"> </w:t>
      </w:r>
      <w:r w:rsidRPr="00FF1221">
        <w:rPr>
          <w:rFonts w:hint="eastAsia"/>
        </w:rPr>
        <w:t>following</w:t>
      </w:r>
      <w:r w:rsidRPr="0071007C">
        <w:t xml:space="preserve"> </w:t>
      </w:r>
      <w:r w:rsidRPr="00FF1221">
        <w:rPr>
          <w:rFonts w:hint="eastAsia"/>
        </w:rPr>
        <w:t>topics:</w:t>
      </w:r>
    </w:p>
    <w:p w14:paraId="26ED89FC" w14:textId="6D1FEFFD" w:rsidR="00487F47" w:rsidRPr="00FF3DCE" w:rsidRDefault="00830A9C" w:rsidP="0071007C">
      <w:pPr>
        <w:pStyle w:val="Txtchap"/>
        <w:rPr>
          <w:w w:val="99"/>
        </w:rPr>
      </w:pPr>
      <w:r w:rsidRPr="0071007C">
        <w:t>S</w:t>
      </w:r>
      <w:r w:rsidR="00487F47" w:rsidRPr="0071007C">
        <w:t>afeguarding under the Convention</w:t>
      </w:r>
      <w:r w:rsidR="00915125">
        <w:t xml:space="preserve"> for the Safeguarding of the Intangible Cultural Heritage</w:t>
      </w:r>
      <w:r w:rsidR="00B168E5">
        <w:t>.</w:t>
      </w:r>
      <w:r w:rsidR="00915125" w:rsidRPr="00482544">
        <w:rPr>
          <w:rStyle w:val="FootnoteReference"/>
          <w:sz w:val="24"/>
          <w:szCs w:val="24"/>
          <w:lang w:val="en-US"/>
        </w:rPr>
        <w:footnoteReference w:id="1"/>
      </w:r>
    </w:p>
    <w:p w14:paraId="01D34F95" w14:textId="77777777" w:rsidR="00487F47" w:rsidRPr="00787639" w:rsidRDefault="00830A9C" w:rsidP="0071007C">
      <w:pPr>
        <w:pStyle w:val="Txtchap"/>
        <w:rPr>
          <w:w w:val="99"/>
        </w:rPr>
      </w:pPr>
      <w:r w:rsidRPr="0071007C">
        <w:t>G</w:t>
      </w:r>
      <w:r w:rsidR="00487F47" w:rsidRPr="0071007C">
        <w:t>eneral and specific safeguarding measures</w:t>
      </w:r>
      <w:r w:rsidRPr="00787639">
        <w:rPr>
          <w:w w:val="99"/>
        </w:rPr>
        <w:t>.</w:t>
      </w:r>
    </w:p>
    <w:p w14:paraId="22A0C219" w14:textId="30AE2513" w:rsidR="00487F47" w:rsidRPr="0071007C" w:rsidRDefault="00830A9C" w:rsidP="0071007C">
      <w:pPr>
        <w:pStyle w:val="Txtchap"/>
      </w:pPr>
      <w:r w:rsidRPr="0071007C">
        <w:t>A</w:t>
      </w:r>
      <w:r w:rsidR="00487F47" w:rsidRPr="0071007C">
        <w:t>ddressing threats and risks to viability</w:t>
      </w:r>
      <w:r w:rsidRPr="0071007C">
        <w:t>.</w:t>
      </w:r>
      <w:r w:rsidR="00CE3D17" w:rsidRPr="00842392">
        <w:rPr>
          <w:noProof/>
          <w:lang w:val="fr-FR" w:eastAsia="fr-FR"/>
        </w:rPr>
        <w:drawing>
          <wp:anchor distT="0" distB="0" distL="114300" distR="114300" simplePos="0" relativeHeight="252045824" behindDoc="1" locked="0" layoutInCell="1" allowOverlap="0" wp14:anchorId="230E3EDE" wp14:editId="1A70E030">
            <wp:simplePos x="0" y="0"/>
            <wp:positionH relativeFrom="margin">
              <wp:posOffset>360045</wp:posOffset>
            </wp:positionH>
            <wp:positionV relativeFrom="margin">
              <wp:posOffset>1800225</wp:posOffset>
            </wp:positionV>
            <wp:extent cx="4870411" cy="4498145"/>
            <wp:effectExtent l="0" t="0" r="6985" b="0"/>
            <wp:wrapNone/>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0C43110E" w14:textId="77777777" w:rsidR="00487F47" w:rsidRPr="0071007C" w:rsidRDefault="00830A9C" w:rsidP="0071007C">
      <w:pPr>
        <w:pStyle w:val="Txtchap"/>
      </w:pPr>
      <w:r w:rsidRPr="0071007C">
        <w:t>S</w:t>
      </w:r>
      <w:r w:rsidR="00487F47" w:rsidRPr="0071007C">
        <w:t>afeguarding measures and plans.</w:t>
      </w:r>
    </w:p>
    <w:p w14:paraId="03F1F3A5" w14:textId="23D1295D" w:rsidR="00487F47" w:rsidRPr="00787639" w:rsidRDefault="00487F47" w:rsidP="0071007C">
      <w:pPr>
        <w:pStyle w:val="Chapinfo"/>
        <w:rPr>
          <w:rFonts w:ascii="Calibri" w:eastAsia="MS Gothic" w:hAnsi="Calibri" w:cs="Times New Roman"/>
          <w:b/>
          <w:bCs/>
          <w:color w:val="365F91"/>
          <w:sz w:val="28"/>
          <w:szCs w:val="28"/>
          <w:lang w:eastAsia="fr-FR"/>
        </w:rPr>
      </w:pPr>
      <w:r w:rsidRPr="00787639">
        <w:rPr>
          <w:position w:val="1"/>
        </w:rPr>
        <w:t xml:space="preserve">Relevant entries in </w:t>
      </w:r>
      <w:r w:rsidR="00C61BCD" w:rsidRPr="00D44CAC">
        <w:rPr>
          <w:position w:val="1"/>
        </w:rPr>
        <w:t>Participant’s</w:t>
      </w:r>
      <w:r w:rsidR="003D642D">
        <w:rPr>
          <w:position w:val="1"/>
        </w:rPr>
        <w:t> </w:t>
      </w:r>
      <w:r w:rsidR="00C61BCD" w:rsidRPr="00D44CAC">
        <w:rPr>
          <w:position w:val="1"/>
        </w:rPr>
        <w:t>text</w:t>
      </w:r>
      <w:r w:rsidRPr="00787639">
        <w:rPr>
          <w:position w:val="1"/>
        </w:rPr>
        <w:t xml:space="preserve"> </w:t>
      </w:r>
      <w:r w:rsidR="00002A62" w:rsidRPr="00787639">
        <w:rPr>
          <w:position w:val="1"/>
        </w:rPr>
        <w:t>Unit</w:t>
      </w:r>
      <w:r w:rsidR="008A1398">
        <w:rPr>
          <w:position w:val="1"/>
        </w:rPr>
        <w:t> </w:t>
      </w:r>
      <w:r w:rsidR="00002A62" w:rsidRPr="00787639">
        <w:rPr>
          <w:position w:val="1"/>
        </w:rPr>
        <w:t>3</w:t>
      </w:r>
      <w:r w:rsidRPr="00787639">
        <w:rPr>
          <w:position w:val="1"/>
        </w:rPr>
        <w:t xml:space="preserve"> include:</w:t>
      </w:r>
      <w:r w:rsidRPr="00787639">
        <w:rPr>
          <w:spacing w:val="-1"/>
          <w:position w:val="1"/>
        </w:rPr>
        <w:t xml:space="preserve"> </w:t>
      </w:r>
      <w:r w:rsidRPr="00787639">
        <w:rPr>
          <w:position w:val="1"/>
        </w:rPr>
        <w:t>‘Awareness</w:t>
      </w:r>
      <w:r w:rsidRPr="00787639">
        <w:rPr>
          <w:spacing w:val="-1"/>
          <w:position w:val="1"/>
        </w:rPr>
        <w:t xml:space="preserve"> </w:t>
      </w:r>
      <w:r w:rsidRPr="00787639">
        <w:rPr>
          <w:position w:val="1"/>
        </w:rPr>
        <w:t>raising’,</w:t>
      </w:r>
      <w:r w:rsidRPr="00787639">
        <w:rPr>
          <w:spacing w:val="-1"/>
          <w:position w:val="1"/>
        </w:rPr>
        <w:t xml:space="preserve"> </w:t>
      </w:r>
      <w:r w:rsidRPr="00787639">
        <w:rPr>
          <w:position w:val="1"/>
        </w:rPr>
        <w:t xml:space="preserve">‘Domains </w:t>
      </w:r>
      <w:r w:rsidRPr="00787639">
        <w:t>of</w:t>
      </w:r>
      <w:r w:rsidRPr="00787639">
        <w:rPr>
          <w:spacing w:val="3"/>
        </w:rPr>
        <w:t xml:space="preserve"> </w:t>
      </w:r>
      <w:r w:rsidRPr="00787639">
        <w:t>ICH’,</w:t>
      </w:r>
      <w:r w:rsidRPr="00787639">
        <w:rPr>
          <w:spacing w:val="3"/>
        </w:rPr>
        <w:t xml:space="preserve"> </w:t>
      </w:r>
      <w:r w:rsidRPr="00787639">
        <w:t>‘Elements</w:t>
      </w:r>
      <w:r w:rsidRPr="00787639">
        <w:rPr>
          <w:spacing w:val="3"/>
        </w:rPr>
        <w:t xml:space="preserve"> </w:t>
      </w:r>
      <w:r w:rsidRPr="00787639">
        <w:t>of</w:t>
      </w:r>
      <w:r w:rsidRPr="00787639">
        <w:rPr>
          <w:spacing w:val="3"/>
        </w:rPr>
        <w:t xml:space="preserve"> </w:t>
      </w:r>
      <w:r w:rsidRPr="00787639">
        <w:t>ICH’,</w:t>
      </w:r>
      <w:r w:rsidRPr="00787639">
        <w:rPr>
          <w:spacing w:val="2"/>
        </w:rPr>
        <w:t xml:space="preserve"> </w:t>
      </w:r>
      <w:r w:rsidRPr="00787639">
        <w:t>‘Identification</w:t>
      </w:r>
      <w:r w:rsidRPr="00787639">
        <w:rPr>
          <w:spacing w:val="2"/>
        </w:rPr>
        <w:t xml:space="preserve"> </w:t>
      </w:r>
      <w:r w:rsidRPr="00787639">
        <w:t>and</w:t>
      </w:r>
      <w:r w:rsidRPr="00787639">
        <w:rPr>
          <w:spacing w:val="2"/>
        </w:rPr>
        <w:t xml:space="preserve"> </w:t>
      </w:r>
      <w:r w:rsidRPr="00787639">
        <w:t>definition’,</w:t>
      </w:r>
      <w:r w:rsidRPr="00787639">
        <w:rPr>
          <w:spacing w:val="2"/>
        </w:rPr>
        <w:t xml:space="preserve"> </w:t>
      </w:r>
      <w:r w:rsidRPr="00787639">
        <w:t>‘Inventorying’, ‘Preservation</w:t>
      </w:r>
      <w:r w:rsidRPr="00787639">
        <w:rPr>
          <w:spacing w:val="1"/>
        </w:rPr>
        <w:t xml:space="preserve"> </w:t>
      </w:r>
      <w:r w:rsidRPr="00787639">
        <w:t>and protection’, ‘Promotion and enhancement’, ‘Respect’, ‘Revitalization’,</w:t>
      </w:r>
      <w:r w:rsidRPr="00787639">
        <w:rPr>
          <w:spacing w:val="14"/>
        </w:rPr>
        <w:t xml:space="preserve"> </w:t>
      </w:r>
      <w:r w:rsidRPr="00787639">
        <w:t>‘Safeguarding</w:t>
      </w:r>
      <w:r w:rsidRPr="00787639">
        <w:rPr>
          <w:spacing w:val="14"/>
        </w:rPr>
        <w:t xml:space="preserve"> </w:t>
      </w:r>
      <w:r w:rsidRPr="00787639">
        <w:t>and</w:t>
      </w:r>
      <w:r w:rsidRPr="00787639">
        <w:rPr>
          <w:spacing w:val="13"/>
        </w:rPr>
        <w:t xml:space="preserve"> </w:t>
      </w:r>
      <w:r w:rsidRPr="00787639">
        <w:t>safeguarding</w:t>
      </w:r>
      <w:r w:rsidRPr="00787639">
        <w:rPr>
          <w:spacing w:val="13"/>
        </w:rPr>
        <w:t xml:space="preserve"> </w:t>
      </w:r>
      <w:r w:rsidRPr="00787639">
        <w:t>measures’,</w:t>
      </w:r>
      <w:r w:rsidRPr="00787639">
        <w:rPr>
          <w:spacing w:val="13"/>
        </w:rPr>
        <w:t xml:space="preserve"> </w:t>
      </w:r>
      <w:r w:rsidRPr="00787639">
        <w:t>‘Threats</w:t>
      </w:r>
      <w:r w:rsidRPr="00787639">
        <w:rPr>
          <w:spacing w:val="13"/>
        </w:rPr>
        <w:t xml:space="preserve"> </w:t>
      </w:r>
      <w:r w:rsidRPr="00787639">
        <w:t>and</w:t>
      </w:r>
      <w:r w:rsidRPr="00787639">
        <w:rPr>
          <w:spacing w:val="13"/>
        </w:rPr>
        <w:t xml:space="preserve"> </w:t>
      </w:r>
      <w:r w:rsidRPr="00787639">
        <w:t xml:space="preserve">risks’ </w:t>
      </w:r>
      <w:r w:rsidRPr="00787639">
        <w:rPr>
          <w:w w:val="103"/>
        </w:rPr>
        <w:t>and</w:t>
      </w:r>
      <w:r w:rsidRPr="00787639">
        <w:rPr>
          <w:spacing w:val="1"/>
          <w:w w:val="103"/>
        </w:rPr>
        <w:t xml:space="preserve"> </w:t>
      </w:r>
      <w:r w:rsidRPr="00787639">
        <w:rPr>
          <w:w w:val="103"/>
        </w:rPr>
        <w:t>‘Viability’.</w:t>
      </w:r>
    </w:p>
    <w:p w14:paraId="2BCAD8C6" w14:textId="4D20B7D0" w:rsidR="00713A17" w:rsidRDefault="00487F47">
      <w:pPr>
        <w:pStyle w:val="Chapinfo"/>
      </w:pPr>
      <w:r w:rsidRPr="00787639">
        <w:t>Examples</w:t>
      </w:r>
      <w:r w:rsidRPr="00787639">
        <w:rPr>
          <w:spacing w:val="-4"/>
        </w:rPr>
        <w:t xml:space="preserve"> </w:t>
      </w:r>
      <w:r w:rsidRPr="00787639">
        <w:t>relevant</w:t>
      </w:r>
      <w:r w:rsidRPr="00787639">
        <w:rPr>
          <w:spacing w:val="-3"/>
        </w:rPr>
        <w:t xml:space="preserve"> </w:t>
      </w:r>
      <w:r w:rsidRPr="00787639">
        <w:t>to</w:t>
      </w:r>
      <w:r w:rsidRPr="00787639">
        <w:rPr>
          <w:spacing w:val="-3"/>
        </w:rPr>
        <w:t xml:space="preserve"> </w:t>
      </w:r>
      <w:r w:rsidRPr="00787639">
        <w:t>this</w:t>
      </w:r>
      <w:r w:rsidRPr="00787639">
        <w:rPr>
          <w:spacing w:val="-3"/>
        </w:rPr>
        <w:t xml:space="preserve"> </w:t>
      </w:r>
      <w:r w:rsidR="00A31F35" w:rsidRPr="00787639">
        <w:t>unit</w:t>
      </w:r>
      <w:r w:rsidRPr="00787639">
        <w:rPr>
          <w:spacing w:val="-3"/>
        </w:rPr>
        <w:t xml:space="preserve"> </w:t>
      </w:r>
      <w:r w:rsidRPr="00787639">
        <w:t>can</w:t>
      </w:r>
      <w:r w:rsidRPr="00787639">
        <w:rPr>
          <w:spacing w:val="-4"/>
        </w:rPr>
        <w:t xml:space="preserve"> </w:t>
      </w:r>
      <w:r w:rsidRPr="00787639">
        <w:t>be</w:t>
      </w:r>
      <w:r w:rsidRPr="00787639">
        <w:rPr>
          <w:spacing w:val="-4"/>
        </w:rPr>
        <w:t xml:space="preserve"> </w:t>
      </w:r>
      <w:r w:rsidRPr="00787639">
        <w:t>found</w:t>
      </w:r>
      <w:r w:rsidRPr="00787639">
        <w:rPr>
          <w:spacing w:val="-4"/>
        </w:rPr>
        <w:t xml:space="preserve"> </w:t>
      </w:r>
      <w:r w:rsidRPr="00787639">
        <w:t>in</w:t>
      </w:r>
      <w:r w:rsidRPr="00787639">
        <w:rPr>
          <w:spacing w:val="-5"/>
        </w:rPr>
        <w:t xml:space="preserve"> </w:t>
      </w:r>
      <w:r w:rsidR="00C62D56">
        <w:t>C</w:t>
      </w:r>
      <w:r w:rsidR="00C62D56" w:rsidRPr="00787639">
        <w:t>ase</w:t>
      </w:r>
      <w:r w:rsidR="00C62D56" w:rsidRPr="00787639">
        <w:rPr>
          <w:spacing w:val="-2"/>
        </w:rPr>
        <w:t xml:space="preserve"> </w:t>
      </w:r>
      <w:r w:rsidRPr="00787639">
        <w:t>studies</w:t>
      </w:r>
      <w:r w:rsidR="008A1398">
        <w:t> </w:t>
      </w:r>
      <w:r w:rsidRPr="00787639">
        <w:t>21–27.</w:t>
      </w:r>
    </w:p>
    <w:p w14:paraId="0F169264" w14:textId="77777777" w:rsidR="00713A17" w:rsidRDefault="00713A17">
      <w:pPr>
        <w:tabs>
          <w:tab w:val="clear" w:pos="567"/>
        </w:tabs>
        <w:snapToGrid/>
        <w:spacing w:line="240" w:lineRule="auto"/>
        <w:ind w:left="0"/>
        <w:jc w:val="left"/>
        <w:rPr>
          <w:i/>
          <w:iCs/>
          <w:color w:val="3366FF"/>
          <w:sz w:val="24"/>
          <w:szCs w:val="24"/>
          <w:lang w:val="en-GB"/>
        </w:rPr>
      </w:pPr>
      <w:r w:rsidRPr="008C4432">
        <w:rPr>
          <w:lang w:val="en-US"/>
        </w:rPr>
        <w:br w:type="page"/>
      </w:r>
    </w:p>
    <w:p w14:paraId="0EC62194" w14:textId="4CE64FCA" w:rsidR="00802500" w:rsidRPr="00787639" w:rsidRDefault="00955176" w:rsidP="00C824DE">
      <w:pPr>
        <w:pStyle w:val="Titcoul"/>
        <w:spacing w:before="0"/>
        <w:rPr>
          <w:spacing w:val="1"/>
          <w:w w:val="107"/>
          <w:lang w:val="en-GB"/>
        </w:rPr>
      </w:pPr>
      <w:bookmarkStart w:id="4" w:name="_Toc241229721"/>
      <w:bookmarkStart w:id="5" w:name="_Toc241229925"/>
      <w:bookmarkStart w:id="6" w:name="_Toc242165619"/>
      <w:r w:rsidRPr="004D76DA">
        <w:rPr>
          <w:lang w:val="en-GB"/>
        </w:rPr>
        <w:lastRenderedPageBreak/>
        <w:t>9</w:t>
      </w:r>
      <w:r w:rsidR="00802500" w:rsidRPr="004D76DA">
        <w:rPr>
          <w:lang w:val="en-GB"/>
        </w:rPr>
        <w:t>.1</w:t>
      </w:r>
      <w:r w:rsidR="003426FF" w:rsidRPr="00787639">
        <w:rPr>
          <w:spacing w:val="1"/>
          <w:w w:val="107"/>
          <w:lang w:val="en-GB"/>
        </w:rPr>
        <w:tab/>
      </w:r>
      <w:r w:rsidR="00802500" w:rsidRPr="00D44CAC">
        <w:rPr>
          <w:spacing w:val="3"/>
          <w:w w:val="107"/>
          <w:lang w:val="en-GB"/>
        </w:rPr>
        <w:t>TH</w:t>
      </w:r>
      <w:r w:rsidR="00802500" w:rsidRPr="004D76DA">
        <w:rPr>
          <w:lang w:val="en-GB"/>
        </w:rPr>
        <w:t>E</w:t>
      </w:r>
      <w:r w:rsidR="00802500" w:rsidRPr="00787639">
        <w:rPr>
          <w:spacing w:val="1"/>
          <w:w w:val="107"/>
          <w:lang w:val="en-GB"/>
        </w:rPr>
        <w:t xml:space="preserve"> </w:t>
      </w:r>
      <w:r w:rsidR="00802500" w:rsidRPr="004D76DA">
        <w:rPr>
          <w:lang w:val="en-GB"/>
        </w:rPr>
        <w:t>C</w:t>
      </w:r>
      <w:r w:rsidR="00802500" w:rsidRPr="00787639">
        <w:rPr>
          <w:spacing w:val="3"/>
          <w:w w:val="107"/>
          <w:lang w:val="en-GB"/>
        </w:rPr>
        <w:t>ONVENTIO</w:t>
      </w:r>
      <w:r w:rsidR="00802500" w:rsidRPr="00D44CAC">
        <w:rPr>
          <w:spacing w:val="1"/>
          <w:w w:val="107"/>
          <w:lang w:val="en-GB"/>
        </w:rPr>
        <w:t xml:space="preserve">N </w:t>
      </w:r>
      <w:r w:rsidR="00802500" w:rsidRPr="004D76DA">
        <w:rPr>
          <w:lang w:val="en-GB"/>
        </w:rPr>
        <w:t>AN</w:t>
      </w:r>
      <w:r w:rsidR="00802500" w:rsidRPr="00787639">
        <w:rPr>
          <w:spacing w:val="2"/>
          <w:w w:val="107"/>
          <w:lang w:val="en-GB"/>
        </w:rPr>
        <w:t>D</w:t>
      </w:r>
      <w:r w:rsidR="00802500" w:rsidRPr="004D76DA">
        <w:rPr>
          <w:lang w:val="en-GB"/>
        </w:rPr>
        <w:t xml:space="preserve"> SAFEGUARDING</w:t>
      </w:r>
      <w:bookmarkEnd w:id="4"/>
      <w:bookmarkEnd w:id="5"/>
      <w:bookmarkEnd w:id="6"/>
    </w:p>
    <w:p w14:paraId="497DFB71" w14:textId="0BCFE8DB" w:rsidR="005523C8" w:rsidRPr="00787639" w:rsidRDefault="00DB3411" w:rsidP="002D5639">
      <w:pPr>
        <w:pStyle w:val="Texte1"/>
      </w:pPr>
      <w:r w:rsidRPr="000C3AB5">
        <w:rPr>
          <w:bCs/>
          <w:noProof/>
          <w:lang w:val="fr-FR" w:eastAsia="fr-FR"/>
        </w:rPr>
        <w:drawing>
          <wp:anchor distT="0" distB="0" distL="114300" distR="114300" simplePos="0" relativeHeight="252070400" behindDoc="0" locked="1" layoutInCell="1" allowOverlap="0" wp14:anchorId="14234934" wp14:editId="73124B05">
            <wp:simplePos x="0" y="0"/>
            <wp:positionH relativeFrom="column">
              <wp:posOffset>-635</wp:posOffset>
            </wp:positionH>
            <wp:positionV relativeFrom="paragraph">
              <wp:posOffset>982345</wp:posOffset>
            </wp:positionV>
            <wp:extent cx="283210" cy="358775"/>
            <wp:effectExtent l="0" t="0" r="2540" b="3175"/>
            <wp:wrapThrough wrapText="bothSides">
              <wp:wrapPolygon edited="0">
                <wp:start x="0" y="0"/>
                <wp:lineTo x="0" y="20644"/>
                <wp:lineTo x="20341" y="20644"/>
                <wp:lineTo x="20341" y="0"/>
                <wp:lineTo x="0" y="0"/>
              </wp:wrapPolygon>
            </wp:wrapThrough>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21548" w:rsidRPr="000C3AB5">
        <w:rPr>
          <w:bCs/>
          <w:noProof/>
          <w:lang w:val="fr-FR" w:eastAsia="fr-FR"/>
        </w:rPr>
        <w:drawing>
          <wp:anchor distT="0" distB="0" distL="114300" distR="114300" simplePos="0" relativeHeight="251954688" behindDoc="0" locked="1" layoutInCell="1" allowOverlap="0" wp14:anchorId="52723C0B" wp14:editId="663AFBB2">
            <wp:simplePos x="0" y="0"/>
            <wp:positionH relativeFrom="column">
              <wp:posOffset>0</wp:posOffset>
            </wp:positionH>
            <wp:positionV relativeFrom="paragraph">
              <wp:posOffset>381000</wp:posOffset>
            </wp:positionV>
            <wp:extent cx="283210" cy="358775"/>
            <wp:effectExtent l="0" t="0" r="0" b="0"/>
            <wp:wrapThrough wrapText="bothSides">
              <wp:wrapPolygon edited="0">
                <wp:start x="0" y="0"/>
                <wp:lineTo x="0" y="19880"/>
                <wp:lineTo x="19372" y="19880"/>
                <wp:lineTo x="19372" y="0"/>
                <wp:lineTo x="0" y="0"/>
              </wp:wrapPolygon>
            </wp:wrapThrough>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DD01F3" w:rsidRPr="000C3AB5">
        <w:rPr>
          <w:bCs/>
        </w:rPr>
        <w:t>Article </w:t>
      </w:r>
      <w:r w:rsidR="00802500" w:rsidRPr="000C3AB5">
        <w:rPr>
          <w:bCs/>
        </w:rPr>
        <w:t>2.3</w:t>
      </w:r>
      <w:r w:rsidR="00802500" w:rsidRPr="00D90418">
        <w:t xml:space="preserve"> of the Convention</w:t>
      </w:r>
      <w:r w:rsidR="00802500" w:rsidRPr="00787639">
        <w:t xml:space="preserve"> defines safeguarding as ‘ensuring the viability of the intangible cultural heritage’, i.e. ensuring the continued enactment and transmission of ICH while maintaining its value and function for the people concerned (see </w:t>
      </w:r>
      <w:r w:rsidR="00C61BCD" w:rsidRPr="00787639">
        <w:t>Participant’s</w:t>
      </w:r>
      <w:r w:rsidR="009467F3">
        <w:t> </w:t>
      </w:r>
      <w:r w:rsidR="00C61BCD" w:rsidRPr="00787639">
        <w:t>text</w:t>
      </w:r>
      <w:r w:rsidR="00802500" w:rsidRPr="00787639">
        <w:t xml:space="preserve"> </w:t>
      </w:r>
      <w:r w:rsidR="00002A62" w:rsidRPr="00787639">
        <w:t>Unit</w:t>
      </w:r>
      <w:r w:rsidR="008A1398">
        <w:t> </w:t>
      </w:r>
      <w:r w:rsidR="00002A62" w:rsidRPr="00787639">
        <w:t>3</w:t>
      </w:r>
      <w:r w:rsidR="00802500" w:rsidRPr="00787639">
        <w:t>: ‘Safeguarding and safeguarding measures’).</w:t>
      </w:r>
    </w:p>
    <w:p w14:paraId="6202DB8B" w14:textId="4224DD85" w:rsidR="00802500" w:rsidRPr="00787639" w:rsidRDefault="00802500" w:rsidP="002D5639">
      <w:pPr>
        <w:pStyle w:val="Texte1"/>
      </w:pPr>
      <w:r w:rsidRPr="00787639">
        <w:t xml:space="preserve">In its focus on maintaining the viability of practice or expressions, safeguarding of intangible heritage is quite different from conservation of tangible heritage and places (see </w:t>
      </w:r>
      <w:r w:rsidR="00C62D56">
        <w:t>C</w:t>
      </w:r>
      <w:r w:rsidR="00C62D56" w:rsidRPr="00787639">
        <w:t xml:space="preserve">ase </w:t>
      </w:r>
      <w:r w:rsidRPr="00787639">
        <w:t>study</w:t>
      </w:r>
      <w:r w:rsidR="002727D1" w:rsidRPr="00787639">
        <w:t> </w:t>
      </w:r>
      <w:r w:rsidRPr="00787639">
        <w:t xml:space="preserve">21 on the repatriation of </w:t>
      </w:r>
      <w:proofErr w:type="spellStart"/>
      <w:r w:rsidRPr="00787639">
        <w:t>Ahayu</w:t>
      </w:r>
      <w:proofErr w:type="gramStart"/>
      <w:r w:rsidRPr="00787639">
        <w:t>:da</w:t>
      </w:r>
      <w:proofErr w:type="spellEnd"/>
      <w:proofErr w:type="gramEnd"/>
      <w:r w:rsidRPr="00787639">
        <w:t xml:space="preserve"> masks held in museums in the USA).</w:t>
      </w:r>
    </w:p>
    <w:p w14:paraId="22AD46DA" w14:textId="77777777" w:rsidR="00802500" w:rsidRPr="004D76DA" w:rsidRDefault="00802500" w:rsidP="00A853D3">
      <w:pPr>
        <w:pStyle w:val="Heading4"/>
        <w:rPr>
          <w:lang w:val="en-GB"/>
        </w:rPr>
      </w:pPr>
      <w:r w:rsidRPr="004D76DA">
        <w:rPr>
          <w:lang w:val="en-GB"/>
        </w:rPr>
        <w:t>Safeguarding</w:t>
      </w:r>
      <w:r w:rsidRPr="00787639">
        <w:rPr>
          <w:spacing w:val="2"/>
          <w:w w:val="106"/>
          <w:lang w:val="en-GB"/>
        </w:rPr>
        <w:t xml:space="preserve"> </w:t>
      </w:r>
      <w:r w:rsidRPr="004D76DA">
        <w:rPr>
          <w:lang w:val="en-GB"/>
        </w:rPr>
        <w:t>is</w:t>
      </w:r>
      <w:r w:rsidRPr="00787639">
        <w:rPr>
          <w:spacing w:val="2"/>
          <w:w w:val="106"/>
          <w:lang w:val="en-GB"/>
        </w:rPr>
        <w:t xml:space="preserve"> </w:t>
      </w:r>
      <w:r w:rsidRPr="004D76DA">
        <w:rPr>
          <w:lang w:val="en-GB"/>
        </w:rPr>
        <w:t>the</w:t>
      </w:r>
      <w:r w:rsidRPr="00787639">
        <w:rPr>
          <w:spacing w:val="2"/>
          <w:w w:val="106"/>
          <w:lang w:val="en-GB"/>
        </w:rPr>
        <w:t xml:space="preserve"> </w:t>
      </w:r>
      <w:r w:rsidRPr="004D76DA">
        <w:rPr>
          <w:lang w:val="en-GB"/>
        </w:rPr>
        <w:t>main</w:t>
      </w:r>
      <w:r w:rsidRPr="00787639">
        <w:rPr>
          <w:spacing w:val="1"/>
          <w:w w:val="106"/>
          <w:lang w:val="en-GB"/>
        </w:rPr>
        <w:t xml:space="preserve"> </w:t>
      </w:r>
      <w:r w:rsidRPr="004D76DA">
        <w:rPr>
          <w:lang w:val="en-GB"/>
        </w:rPr>
        <w:t>goal</w:t>
      </w:r>
      <w:r w:rsidRPr="00787639">
        <w:rPr>
          <w:spacing w:val="1"/>
          <w:w w:val="106"/>
          <w:lang w:val="en-GB"/>
        </w:rPr>
        <w:t xml:space="preserve"> </w:t>
      </w:r>
      <w:r w:rsidRPr="004D76DA">
        <w:rPr>
          <w:lang w:val="en-GB"/>
        </w:rPr>
        <w:t>of</w:t>
      </w:r>
      <w:r w:rsidRPr="00787639">
        <w:rPr>
          <w:spacing w:val="1"/>
          <w:w w:val="106"/>
          <w:lang w:val="en-GB"/>
        </w:rPr>
        <w:t xml:space="preserve"> </w:t>
      </w:r>
      <w:r w:rsidRPr="004D76DA">
        <w:rPr>
          <w:lang w:val="en-GB"/>
        </w:rPr>
        <w:t>the</w:t>
      </w:r>
      <w:r w:rsidRPr="00787639">
        <w:rPr>
          <w:spacing w:val="1"/>
          <w:w w:val="106"/>
          <w:lang w:val="en-GB"/>
        </w:rPr>
        <w:t xml:space="preserve"> </w:t>
      </w:r>
      <w:r w:rsidRPr="004D76DA">
        <w:rPr>
          <w:lang w:val="en-GB"/>
        </w:rPr>
        <w:t>Convention</w:t>
      </w:r>
    </w:p>
    <w:p w14:paraId="6C83ED7D" w14:textId="1B53077E" w:rsidR="00802500" w:rsidRPr="00D90418" w:rsidRDefault="00802500" w:rsidP="002D5639">
      <w:pPr>
        <w:pStyle w:val="Texte1"/>
      </w:pPr>
      <w:r w:rsidRPr="00787639">
        <w:t>Sa</w:t>
      </w:r>
      <w:r w:rsidRPr="00D44CAC">
        <w:t xml:space="preserve">feguarding ICH is the main goal of the Convention, as indicated by its full title, the Convention for the Safeguarding of the Intangible Cultural Heritage. Various provisions of </w:t>
      </w:r>
      <w:r w:rsidRPr="00D90418">
        <w:t>the Convention and the Operational Directives (ODs) support this:</w:t>
      </w:r>
    </w:p>
    <w:p w14:paraId="1C3ABB84" w14:textId="77777777" w:rsidR="00802500" w:rsidRPr="00787639" w:rsidRDefault="00802500" w:rsidP="00AD2211">
      <w:pPr>
        <w:pStyle w:val="Txtpucegras"/>
      </w:pPr>
      <w:r w:rsidRPr="00787639">
        <w:t>States Parties are required to ‘take the necessary measures’ to safeguard the</w:t>
      </w:r>
      <w:r w:rsidR="001F0E80" w:rsidRPr="00787639">
        <w:t xml:space="preserve"> </w:t>
      </w:r>
      <w:r w:rsidRPr="00787639">
        <w:t>ICH present in their territory (</w:t>
      </w:r>
      <w:r w:rsidR="00DD01F3" w:rsidRPr="00787639">
        <w:t>Article </w:t>
      </w:r>
      <w:r w:rsidRPr="00787639">
        <w:t>11(a)).</w:t>
      </w:r>
    </w:p>
    <w:p w14:paraId="14386809" w14:textId="77777777" w:rsidR="00802500" w:rsidRPr="00787639" w:rsidRDefault="00802500" w:rsidP="00952DBE">
      <w:pPr>
        <w:pStyle w:val="Txtpucegras"/>
      </w:pPr>
      <w:r w:rsidRPr="00787639">
        <w:t>States Parties are encouraged to support and assist communities living in</w:t>
      </w:r>
      <w:r w:rsidR="001F0E80" w:rsidRPr="00787639">
        <w:t xml:space="preserve"> </w:t>
      </w:r>
      <w:r w:rsidRPr="00787639">
        <w:t>their territories who wish to safeguard specific elements of their ICH.</w:t>
      </w:r>
    </w:p>
    <w:p w14:paraId="52FBD3C5" w14:textId="21143163" w:rsidR="00802500" w:rsidRPr="00787639" w:rsidRDefault="00802500">
      <w:pPr>
        <w:pStyle w:val="Txtpucegras"/>
      </w:pPr>
      <w:r w:rsidRPr="00787639">
        <w:t>The ODs suggest many different ways in which States may assist in</w:t>
      </w:r>
      <w:r w:rsidR="001F0E80" w:rsidRPr="00787639">
        <w:t xml:space="preserve"> </w:t>
      </w:r>
      <w:r w:rsidRPr="00787639">
        <w:t xml:space="preserve">safeguarding ICH and in supporting communities to do so (e.g. </w:t>
      </w:r>
      <w:r w:rsidRPr="000C3AB5">
        <w:t>ODs</w:t>
      </w:r>
      <w:r w:rsidR="00947385" w:rsidRPr="000C3AB5">
        <w:t> </w:t>
      </w:r>
      <w:r w:rsidRPr="000C3AB5">
        <w:t>80–82 and 85–86</w:t>
      </w:r>
      <w:r w:rsidRPr="00787639">
        <w:t>).</w:t>
      </w:r>
    </w:p>
    <w:p w14:paraId="21F816BE" w14:textId="7F84801A" w:rsidR="00802500" w:rsidRPr="00787639" w:rsidRDefault="00FF1221">
      <w:pPr>
        <w:pStyle w:val="Txtpucegras"/>
      </w:pPr>
      <w:r>
        <w:t>T</w:t>
      </w:r>
      <w:r w:rsidR="00802500" w:rsidRPr="00787639">
        <w:t>he Convention establishes a special List for ICH in need of urgent</w:t>
      </w:r>
      <w:r w:rsidR="001F0E80" w:rsidRPr="00787639">
        <w:t xml:space="preserve"> </w:t>
      </w:r>
      <w:r w:rsidR="00802500" w:rsidRPr="00787639">
        <w:t>safeguarding (</w:t>
      </w:r>
      <w:r w:rsidR="00DD01F3" w:rsidRPr="00787639">
        <w:t>Article </w:t>
      </w:r>
      <w:r w:rsidR="00802500" w:rsidRPr="00787639">
        <w:t>17; OD</w:t>
      </w:r>
      <w:r w:rsidR="00947385">
        <w:t> </w:t>
      </w:r>
      <w:r w:rsidR="00802500" w:rsidRPr="00787639">
        <w:t>1) and makes special provisions for elements that need safeguarding on an extremely urgent basis (</w:t>
      </w:r>
      <w:r w:rsidR="00802500" w:rsidRPr="000C3AB5">
        <w:t>ODs</w:t>
      </w:r>
      <w:r w:rsidR="00947385" w:rsidRPr="000C3AB5">
        <w:t> </w:t>
      </w:r>
      <w:r w:rsidR="00802500" w:rsidRPr="000C3AB5">
        <w:t>32</w:t>
      </w:r>
      <w:r w:rsidR="00802500" w:rsidRPr="00787639">
        <w:t>).</w:t>
      </w:r>
    </w:p>
    <w:p w14:paraId="458D3943" w14:textId="1933614E" w:rsidR="00802500" w:rsidRPr="00787639" w:rsidRDefault="00DD01F3">
      <w:pPr>
        <w:pStyle w:val="Txtpucegras"/>
      </w:pPr>
      <w:r w:rsidRPr="00787639">
        <w:t>Article </w:t>
      </w:r>
      <w:r w:rsidR="00802500" w:rsidRPr="00787639">
        <w:t>18 of the Convention calls for the nomination, selection and</w:t>
      </w:r>
      <w:r w:rsidR="001F0E80" w:rsidRPr="00787639">
        <w:t xml:space="preserve"> </w:t>
      </w:r>
      <w:r w:rsidR="00802500" w:rsidRPr="00787639">
        <w:t>dissemination of what are commonly called best safeguarding practices (</w:t>
      </w:r>
      <w:r w:rsidR="00802500" w:rsidRPr="00500962">
        <w:t>ODs</w:t>
      </w:r>
      <w:r w:rsidR="00947385" w:rsidRPr="00500962">
        <w:t> </w:t>
      </w:r>
      <w:r w:rsidR="00802500" w:rsidRPr="00500962">
        <w:t>42–46</w:t>
      </w:r>
      <w:r w:rsidR="00802500" w:rsidRPr="00787639">
        <w:t>).</w:t>
      </w:r>
    </w:p>
    <w:p w14:paraId="55DA88B2" w14:textId="6328AA8D" w:rsidR="00210AA6" w:rsidRPr="00787639" w:rsidRDefault="00802500">
      <w:pPr>
        <w:pStyle w:val="Txtpucegras"/>
      </w:pPr>
      <w:r w:rsidRPr="00787639">
        <w:t xml:space="preserve">The primary purpose of international assistance mentioned in </w:t>
      </w:r>
      <w:r w:rsidR="00DD01F3" w:rsidRPr="00787639">
        <w:t>Article </w:t>
      </w:r>
      <w:r w:rsidRPr="00787639">
        <w:t>20</w:t>
      </w:r>
      <w:r w:rsidR="001F0E80" w:rsidRPr="00787639">
        <w:t xml:space="preserve"> </w:t>
      </w:r>
      <w:r w:rsidRPr="00787639">
        <w:t>of the Convention is the safeguarding of heritage inscribed on the Urgent Safeguarding List (</w:t>
      </w:r>
      <w:r w:rsidRPr="00500962">
        <w:t>OD</w:t>
      </w:r>
      <w:r w:rsidR="00947385" w:rsidRPr="00500962">
        <w:t> </w:t>
      </w:r>
      <w:r w:rsidRPr="00500962">
        <w:t>9(a)).</w:t>
      </w:r>
    </w:p>
    <w:p w14:paraId="3BBAE7D6" w14:textId="77777777" w:rsidR="00802500" w:rsidRPr="004D76DA" w:rsidRDefault="00802500" w:rsidP="00A853D3">
      <w:pPr>
        <w:pStyle w:val="Heading4"/>
        <w:rPr>
          <w:lang w:val="en-GB"/>
        </w:rPr>
      </w:pPr>
      <w:r w:rsidRPr="004D76DA">
        <w:rPr>
          <w:lang w:val="en-GB"/>
        </w:rPr>
        <w:t>Gene</w:t>
      </w:r>
      <w:r w:rsidRPr="00787639">
        <w:rPr>
          <w:spacing w:val="-1"/>
          <w:w w:val="107"/>
          <w:lang w:val="en-GB"/>
        </w:rPr>
        <w:t>r</w:t>
      </w:r>
      <w:r w:rsidRPr="004D76DA">
        <w:rPr>
          <w:lang w:val="en-GB"/>
        </w:rPr>
        <w:t>al and specific sa</w:t>
      </w:r>
      <w:r w:rsidRPr="00787639">
        <w:rPr>
          <w:spacing w:val="-1"/>
          <w:w w:val="107"/>
          <w:lang w:val="en-GB"/>
        </w:rPr>
        <w:t>f</w:t>
      </w:r>
      <w:r w:rsidRPr="004D76DA">
        <w:rPr>
          <w:lang w:val="en-GB"/>
        </w:rPr>
        <w:t>egua</w:t>
      </w:r>
      <w:r w:rsidRPr="00787639">
        <w:rPr>
          <w:spacing w:val="-2"/>
          <w:w w:val="107"/>
          <w:lang w:val="en-GB"/>
        </w:rPr>
        <w:t>r</w:t>
      </w:r>
      <w:r w:rsidRPr="004D76DA">
        <w:rPr>
          <w:lang w:val="en-GB"/>
        </w:rPr>
        <w:t>ding</w:t>
      </w:r>
      <w:r w:rsidRPr="00787639">
        <w:rPr>
          <w:spacing w:val="-1"/>
          <w:w w:val="107"/>
          <w:lang w:val="en-GB"/>
        </w:rPr>
        <w:t xml:space="preserve"> </w:t>
      </w:r>
      <w:r w:rsidRPr="004D76DA">
        <w:rPr>
          <w:lang w:val="en-GB"/>
        </w:rPr>
        <w:t>measu</w:t>
      </w:r>
      <w:r w:rsidRPr="00787639">
        <w:rPr>
          <w:spacing w:val="-1"/>
          <w:w w:val="107"/>
          <w:lang w:val="en-GB"/>
        </w:rPr>
        <w:t>r</w:t>
      </w:r>
      <w:r w:rsidRPr="004D76DA">
        <w:rPr>
          <w:lang w:val="en-GB"/>
        </w:rPr>
        <w:t>es</w:t>
      </w:r>
    </w:p>
    <w:p w14:paraId="0C5CC80C" w14:textId="4CE0A67B" w:rsidR="00802500" w:rsidRPr="00D90418" w:rsidRDefault="00802500" w:rsidP="002D5639">
      <w:pPr>
        <w:pStyle w:val="Texte1"/>
      </w:pPr>
      <w:r w:rsidRPr="00787639">
        <w:t>M</w:t>
      </w:r>
      <w:r w:rsidRPr="00D44CAC">
        <w:t>easures for safeguarding may aim at creating favourable general conditions in which the ICH present in a country can thrive</w:t>
      </w:r>
      <w:r w:rsidR="000C2D7C">
        <w:t>,</w:t>
      </w:r>
      <w:r w:rsidRPr="00D44CAC">
        <w:t xml:space="preserve"> e.g. through legislative, administrative, financial or awareness-raising measures. S</w:t>
      </w:r>
      <w:r w:rsidRPr="00D90418">
        <w:t>afeguarding measures may also target specific ICH elements or groups of elements that face threats or risks to their continued viability.</w:t>
      </w:r>
    </w:p>
    <w:p w14:paraId="5E733CE3" w14:textId="759B7497" w:rsidR="00802500" w:rsidRPr="004D76DA" w:rsidRDefault="00955176" w:rsidP="00C82E38">
      <w:pPr>
        <w:pStyle w:val="Titcoul"/>
        <w:rPr>
          <w:lang w:val="en-GB"/>
        </w:rPr>
      </w:pPr>
      <w:bookmarkStart w:id="7" w:name="_Toc241229722"/>
      <w:bookmarkStart w:id="8" w:name="_Toc241229926"/>
      <w:bookmarkStart w:id="9" w:name="_Toc242165620"/>
      <w:r w:rsidRPr="004D76DA">
        <w:rPr>
          <w:lang w:val="en-GB"/>
        </w:rPr>
        <w:t>9</w:t>
      </w:r>
      <w:r w:rsidR="00802500" w:rsidRPr="004D76DA">
        <w:rPr>
          <w:lang w:val="en-GB"/>
        </w:rPr>
        <w:t xml:space="preserve">.2 </w:t>
      </w:r>
      <w:r w:rsidR="003C3419" w:rsidRPr="004D76DA">
        <w:rPr>
          <w:lang w:val="en-GB"/>
        </w:rPr>
        <w:tab/>
      </w:r>
      <w:r w:rsidR="00802500" w:rsidRPr="004D76DA">
        <w:rPr>
          <w:lang w:val="en-GB"/>
        </w:rPr>
        <w:t>MEASURES FOR SAFEGUARDING ICH IN GENERAL</w:t>
      </w:r>
      <w:bookmarkEnd w:id="7"/>
      <w:bookmarkEnd w:id="8"/>
      <w:bookmarkEnd w:id="9"/>
    </w:p>
    <w:p w14:paraId="05F3CA14" w14:textId="615F8F7A" w:rsidR="00802500" w:rsidRPr="00787639" w:rsidRDefault="00802500" w:rsidP="002D5639">
      <w:pPr>
        <w:pStyle w:val="Texte1"/>
      </w:pPr>
      <w:r w:rsidRPr="00787639">
        <w:t>A</w:t>
      </w:r>
      <w:r w:rsidRPr="00D44CAC">
        <w:t>rticles</w:t>
      </w:r>
      <w:r w:rsidR="00614593">
        <w:t> </w:t>
      </w:r>
      <w:r w:rsidRPr="00D44CAC">
        <w:t>11(b)–15 of the Convention give clear indications of how a St</w:t>
      </w:r>
      <w:r w:rsidRPr="00D90418">
        <w:t>ate Party may fulfil its obligation to ‘take the necessary measures’ to ensure the safeguarding of the ICH present in its territory (</w:t>
      </w:r>
      <w:r w:rsidR="00DD01F3" w:rsidRPr="00787639">
        <w:t>Article </w:t>
      </w:r>
      <w:r w:rsidRPr="00787639">
        <w:t>11(a)). The provisions in these articles may be summarized as follows (for the full text see the Convention):</w:t>
      </w:r>
    </w:p>
    <w:p w14:paraId="749C0D2C" w14:textId="77777777" w:rsidR="00802500" w:rsidRPr="00787639" w:rsidRDefault="00802500" w:rsidP="008B4139">
      <w:pPr>
        <w:pStyle w:val="Soustitre"/>
      </w:pPr>
      <w:r w:rsidRPr="00787639">
        <w:rPr>
          <w:rFonts w:hint="eastAsia"/>
        </w:rPr>
        <w:lastRenderedPageBreak/>
        <w:t>Each State Party shall:</w:t>
      </w:r>
    </w:p>
    <w:p w14:paraId="21B23BC2" w14:textId="273810FD" w:rsidR="00802500" w:rsidRPr="00787639" w:rsidRDefault="00DB3411" w:rsidP="0071007C">
      <w:pPr>
        <w:pStyle w:val="Txtpucegras"/>
      </w:pPr>
      <w:r w:rsidRPr="00787639">
        <w:t xml:space="preserve">Identify </w:t>
      </w:r>
      <w:r w:rsidR="00802500" w:rsidRPr="00787639">
        <w:t>and define the ICH present in its territory (</w:t>
      </w:r>
      <w:r w:rsidR="00DD01F3" w:rsidRPr="00787639">
        <w:t>Article </w:t>
      </w:r>
      <w:r w:rsidR="00802500" w:rsidRPr="00787639">
        <w:t>11(b))</w:t>
      </w:r>
      <w:r w:rsidRPr="00787639">
        <w:t>.</w:t>
      </w:r>
    </w:p>
    <w:p w14:paraId="4DAB552C" w14:textId="215EA115" w:rsidR="00802500" w:rsidRPr="00787639" w:rsidRDefault="00DB3411" w:rsidP="00AD2211">
      <w:pPr>
        <w:pStyle w:val="Txtpucegras"/>
      </w:pPr>
      <w:r w:rsidRPr="00787639">
        <w:t xml:space="preserve">Draw </w:t>
      </w:r>
      <w:r w:rsidR="00802500" w:rsidRPr="00787639">
        <w:t>up one or more inventories of the ICH present in its territory (</w:t>
      </w:r>
      <w:r w:rsidR="00DD01F3" w:rsidRPr="00787639">
        <w:t>Article </w:t>
      </w:r>
      <w:r w:rsidR="00802500" w:rsidRPr="00787639">
        <w:t>12).</w:t>
      </w:r>
    </w:p>
    <w:p w14:paraId="40EF4EB4" w14:textId="77777777" w:rsidR="00802500" w:rsidRPr="00787639" w:rsidRDefault="00802500" w:rsidP="008B4139">
      <w:pPr>
        <w:pStyle w:val="Soustitre"/>
      </w:pPr>
      <w:r w:rsidRPr="00787639">
        <w:rPr>
          <w:rFonts w:hint="eastAsia"/>
        </w:rPr>
        <w:t>Each State Party shall endeavour to:</w:t>
      </w:r>
    </w:p>
    <w:p w14:paraId="37AB2170" w14:textId="4A21C85D" w:rsidR="00802500" w:rsidRPr="00787639" w:rsidRDefault="00DB3411" w:rsidP="00AD2211">
      <w:pPr>
        <w:pStyle w:val="Txtpucegras"/>
      </w:pPr>
      <w:r w:rsidRPr="00787639">
        <w:t xml:space="preserve">Adopt </w:t>
      </w:r>
      <w:r w:rsidR="00802500" w:rsidRPr="00787639">
        <w:t>general policies; designate or establish one or more competent bodies</w:t>
      </w:r>
      <w:r w:rsidR="001F0E80" w:rsidRPr="00787639">
        <w:t xml:space="preserve"> </w:t>
      </w:r>
      <w:r w:rsidR="00802500" w:rsidRPr="00787639">
        <w:t>for safeguarding ICH; foster studies (‘with a view to effective safeguarding of the intangible cultural heritage’); and adopt appropriate legal, technical, administrative and financial measures (</w:t>
      </w:r>
      <w:r w:rsidR="00DD01F3" w:rsidRPr="00787639">
        <w:t>Article </w:t>
      </w:r>
      <w:r w:rsidR="00802500" w:rsidRPr="00787639">
        <w:t>13)</w:t>
      </w:r>
      <w:r w:rsidRPr="00787639">
        <w:t>.</w:t>
      </w:r>
    </w:p>
    <w:p w14:paraId="3B2E9B8E" w14:textId="0D106929" w:rsidR="00802500" w:rsidRPr="00787639" w:rsidRDefault="00DB3411" w:rsidP="00A83B80">
      <w:pPr>
        <w:pStyle w:val="Txtpucegras"/>
      </w:pPr>
      <w:r w:rsidRPr="00787639">
        <w:t xml:space="preserve">Ensure </w:t>
      </w:r>
      <w:r w:rsidR="00802500" w:rsidRPr="00787639">
        <w:t>recognition of, respect for and enhancement of ICH in society</w:t>
      </w:r>
      <w:r w:rsidR="00DD01F3" w:rsidRPr="00787639">
        <w:t xml:space="preserve"> </w:t>
      </w:r>
      <w:r w:rsidR="00802500" w:rsidRPr="00787639">
        <w:t>(</w:t>
      </w:r>
      <w:r w:rsidR="00DD01F3" w:rsidRPr="00787639">
        <w:t>Article </w:t>
      </w:r>
      <w:r w:rsidR="00802500" w:rsidRPr="00787639">
        <w:t>14)</w:t>
      </w:r>
      <w:r w:rsidRPr="00787639">
        <w:t>.</w:t>
      </w:r>
    </w:p>
    <w:p w14:paraId="06127693" w14:textId="499F0769" w:rsidR="00802500" w:rsidRPr="00787639" w:rsidRDefault="00DB3411">
      <w:pPr>
        <w:pStyle w:val="Txtpucegras"/>
      </w:pPr>
      <w:r w:rsidRPr="00787639">
        <w:t xml:space="preserve">Ensure </w:t>
      </w:r>
      <w:r w:rsidR="00802500" w:rsidRPr="00787639">
        <w:t>the participation of communities in safeguarding activities and</w:t>
      </w:r>
      <w:r w:rsidR="001F0E80" w:rsidRPr="00787639">
        <w:t xml:space="preserve"> </w:t>
      </w:r>
      <w:r w:rsidR="00802500" w:rsidRPr="00787639">
        <w:t>involve them in the management of their ICH (Articles</w:t>
      </w:r>
      <w:r w:rsidR="00614593">
        <w:t> </w:t>
      </w:r>
      <w:r w:rsidR="00802500" w:rsidRPr="00787639">
        <w:t>11(b), 15).</w:t>
      </w:r>
    </w:p>
    <w:p w14:paraId="0D5B8CAB" w14:textId="7F7961B3" w:rsidR="00802500" w:rsidRPr="00787639" w:rsidRDefault="00802500" w:rsidP="002D5639">
      <w:pPr>
        <w:pStyle w:val="Texte1"/>
      </w:pPr>
      <w:r w:rsidRPr="00787639">
        <w:t>These provisions aim at achieving the following objectives of the Convention at the national level (</w:t>
      </w:r>
      <w:r w:rsidR="00DD01F3" w:rsidRPr="00787639">
        <w:t>Article </w:t>
      </w:r>
      <w:r w:rsidRPr="00787639">
        <w:t>1): (a) safeguarding ICH; (b) ensuring respect for ICH; and (c) raising awareness of the importance of ICH in general and ensuring mutual appreciation of ICH between and within different communities.</w:t>
      </w:r>
    </w:p>
    <w:p w14:paraId="0C30367E" w14:textId="77777777" w:rsidR="00802500" w:rsidRPr="00787639" w:rsidRDefault="00802500" w:rsidP="008B4139">
      <w:pPr>
        <w:pStyle w:val="Soustitre"/>
      </w:pPr>
      <w:r w:rsidRPr="00787639">
        <w:rPr>
          <w:rFonts w:hint="eastAsia"/>
        </w:rPr>
        <w:t>The Operational Directives elaborate further on these general measures:</w:t>
      </w:r>
    </w:p>
    <w:p w14:paraId="30A7465B" w14:textId="6EA5FD92" w:rsidR="00802500" w:rsidRPr="00787639" w:rsidRDefault="00DB3411" w:rsidP="00AD2211">
      <w:pPr>
        <w:pStyle w:val="Txtpucegras"/>
      </w:pPr>
      <w:r w:rsidRPr="00787639">
        <w:t xml:space="preserve">Ensuring </w:t>
      </w:r>
      <w:r w:rsidR="00802500" w:rsidRPr="00787639">
        <w:t>community participation in and consent to safeguarding (ODs</w:t>
      </w:r>
      <w:r w:rsidR="00947385">
        <w:t> </w:t>
      </w:r>
      <w:r w:rsidR="00802500" w:rsidRPr="00787639">
        <w:t>1, 2, 7,</w:t>
      </w:r>
      <w:r w:rsidR="001F0E80" w:rsidRPr="00787639">
        <w:t xml:space="preserve"> </w:t>
      </w:r>
      <w:r w:rsidR="00802500" w:rsidRPr="00787639">
        <w:t>12, 79–80, 88, 101, 157 and 162)</w:t>
      </w:r>
      <w:r w:rsidRPr="00787639">
        <w:t>.</w:t>
      </w:r>
    </w:p>
    <w:p w14:paraId="1C42EEF2" w14:textId="70FDB974" w:rsidR="00802500" w:rsidRPr="00787639" w:rsidRDefault="00DB3411" w:rsidP="00952DBE">
      <w:pPr>
        <w:pStyle w:val="Txtpucegras"/>
      </w:pPr>
      <w:r w:rsidRPr="00787639">
        <w:t xml:space="preserve">Ensuring </w:t>
      </w:r>
      <w:r w:rsidR="00802500" w:rsidRPr="00787639">
        <w:t>capacity building for safeguarding (ODs</w:t>
      </w:r>
      <w:r w:rsidR="00947385">
        <w:t> </w:t>
      </w:r>
      <w:r w:rsidR="00802500" w:rsidRPr="00787639">
        <w:t>82, 107 and 155)</w:t>
      </w:r>
      <w:r w:rsidRPr="00787639">
        <w:t>.</w:t>
      </w:r>
    </w:p>
    <w:p w14:paraId="4ED5843E" w14:textId="081055FF" w:rsidR="00802500" w:rsidRPr="00787639" w:rsidRDefault="00DB3411">
      <w:pPr>
        <w:pStyle w:val="Txtpucegras"/>
      </w:pPr>
      <w:r w:rsidRPr="00787639">
        <w:t xml:space="preserve">Ensuring </w:t>
      </w:r>
      <w:r w:rsidR="00802500" w:rsidRPr="00787639">
        <w:t>the existence of appropriate legal frameworks and codes of ethics for</w:t>
      </w:r>
      <w:r w:rsidR="001F0E80" w:rsidRPr="00787639">
        <w:t xml:space="preserve"> </w:t>
      </w:r>
      <w:r w:rsidR="00802500" w:rsidRPr="00787639">
        <w:t>safeguarding ICH and raising awareness (ODs</w:t>
      </w:r>
      <w:r w:rsidR="00947385">
        <w:t> </w:t>
      </w:r>
      <w:r w:rsidR="00802500" w:rsidRPr="00787639">
        <w:t>103, 105 and 107), including ‘ensuring the rights of communities, groups and individuals concerned are duly protected when raising awareness about their heritage or engaging in commercial activities’ (OD</w:t>
      </w:r>
      <w:r w:rsidR="00947385">
        <w:t> </w:t>
      </w:r>
      <w:r w:rsidR="00802500" w:rsidRPr="00787639">
        <w:t>104)</w:t>
      </w:r>
      <w:r w:rsidRPr="00787639">
        <w:t>.</w:t>
      </w:r>
    </w:p>
    <w:p w14:paraId="703F1F8E" w14:textId="75BFBB26" w:rsidR="00802500" w:rsidRPr="00787639" w:rsidRDefault="00DB3411">
      <w:pPr>
        <w:pStyle w:val="Txtpucegras"/>
      </w:pPr>
      <w:r w:rsidRPr="00787639">
        <w:t xml:space="preserve">Raising </w:t>
      </w:r>
      <w:r w:rsidR="00802500" w:rsidRPr="00787639">
        <w:t>awareness (ODs</w:t>
      </w:r>
      <w:r w:rsidR="00947385">
        <w:t> </w:t>
      </w:r>
      <w:r w:rsidR="00802500" w:rsidRPr="00787639">
        <w:t>100–123)</w:t>
      </w:r>
      <w:r w:rsidRPr="00787639">
        <w:t>.</w:t>
      </w:r>
    </w:p>
    <w:p w14:paraId="40AA6D0B" w14:textId="3D6C5502" w:rsidR="00802500" w:rsidRPr="00787639" w:rsidRDefault="00DB3411">
      <w:pPr>
        <w:pStyle w:val="Txtpucegras"/>
      </w:pPr>
      <w:r w:rsidRPr="00787639">
        <w:t xml:space="preserve">Undertaking </w:t>
      </w:r>
      <w:r w:rsidR="00802500" w:rsidRPr="00787639">
        <w:t>risk assessment, monitoring and evaluation of threats facing</w:t>
      </w:r>
      <w:r w:rsidR="001F0E80" w:rsidRPr="00787639">
        <w:t xml:space="preserve"> </w:t>
      </w:r>
      <w:r w:rsidR="00802500" w:rsidRPr="00787639">
        <w:t>ICH (OD</w:t>
      </w:r>
      <w:r w:rsidR="00947385">
        <w:t> </w:t>
      </w:r>
      <w:r w:rsidR="00802500" w:rsidRPr="00787639">
        <w:t>116)</w:t>
      </w:r>
      <w:r w:rsidRPr="00787639">
        <w:t>.</w:t>
      </w:r>
    </w:p>
    <w:p w14:paraId="65260C8C" w14:textId="0005FFDA" w:rsidR="00802500" w:rsidRPr="00787639" w:rsidRDefault="00DB3411">
      <w:pPr>
        <w:pStyle w:val="Txtpucegras"/>
      </w:pPr>
      <w:r w:rsidRPr="00787639">
        <w:t xml:space="preserve">Ensuring </w:t>
      </w:r>
      <w:r w:rsidR="00802500" w:rsidRPr="00787639">
        <w:t>the existence of administrative structures to promote consultation</w:t>
      </w:r>
      <w:r w:rsidR="001F0E80" w:rsidRPr="00787639">
        <w:t xml:space="preserve"> </w:t>
      </w:r>
      <w:r w:rsidR="00802500" w:rsidRPr="00787639">
        <w:t>between communities, NGOs, experts and centres of expertise and others (OD</w:t>
      </w:r>
      <w:r w:rsidR="00947385">
        <w:t> </w:t>
      </w:r>
      <w:r w:rsidR="00802500" w:rsidRPr="00787639">
        <w:t>80).</w:t>
      </w:r>
    </w:p>
    <w:p w14:paraId="7FBC309F" w14:textId="5A5521A5" w:rsidR="00802500" w:rsidRPr="004D76DA" w:rsidRDefault="00955176" w:rsidP="00C82E38">
      <w:pPr>
        <w:pStyle w:val="Titcoul"/>
        <w:rPr>
          <w:lang w:val="en-GB"/>
        </w:rPr>
      </w:pPr>
      <w:bookmarkStart w:id="10" w:name="_Toc241229723"/>
      <w:bookmarkStart w:id="11" w:name="_Toc241229927"/>
      <w:bookmarkStart w:id="12" w:name="_Toc242165621"/>
      <w:r w:rsidRPr="004D76DA">
        <w:rPr>
          <w:lang w:val="en-GB"/>
        </w:rPr>
        <w:t>9</w:t>
      </w:r>
      <w:r w:rsidR="00802500" w:rsidRPr="004D76DA">
        <w:rPr>
          <w:lang w:val="en-GB"/>
        </w:rPr>
        <w:t>.3</w:t>
      </w:r>
      <w:r w:rsidR="003C3419" w:rsidRPr="004D76DA">
        <w:rPr>
          <w:lang w:val="en-GB"/>
        </w:rPr>
        <w:tab/>
      </w:r>
      <w:r w:rsidR="00802500" w:rsidRPr="004D76DA">
        <w:rPr>
          <w:lang w:val="en-GB"/>
        </w:rPr>
        <w:t>EXAMPLES OF GENERAL SAFEGUARDING MEASURES</w:t>
      </w:r>
      <w:bookmarkEnd w:id="10"/>
      <w:bookmarkEnd w:id="11"/>
      <w:bookmarkEnd w:id="12"/>
    </w:p>
    <w:p w14:paraId="71A234D3" w14:textId="5BAAF0D6" w:rsidR="00802500" w:rsidRPr="00D44CAC" w:rsidRDefault="00802500" w:rsidP="002D5639">
      <w:pPr>
        <w:pStyle w:val="Texte1"/>
      </w:pPr>
      <w:r w:rsidRPr="00787639">
        <w:t>T</w:t>
      </w:r>
      <w:r w:rsidRPr="00D44CAC">
        <w:t>here are a number of measures used for safeguarding ICH in general:</w:t>
      </w:r>
    </w:p>
    <w:p w14:paraId="76D18699" w14:textId="013504AC" w:rsidR="00802500" w:rsidRPr="00787639" w:rsidRDefault="00802500" w:rsidP="002D5639">
      <w:pPr>
        <w:pStyle w:val="Enutiret"/>
      </w:pPr>
      <w:r w:rsidRPr="00D90418">
        <w:t xml:space="preserve">raising awareness about the value of ICH (discussed in detail in </w:t>
      </w:r>
      <w:r w:rsidR="00C61BCD" w:rsidRPr="00787639">
        <w:t>Participant’s</w:t>
      </w:r>
      <w:r w:rsidR="003D642D">
        <w:t> </w:t>
      </w:r>
      <w:r w:rsidR="00C61BCD" w:rsidRPr="00787639">
        <w:t>text</w:t>
      </w:r>
      <w:r w:rsidR="00497179" w:rsidRPr="00787639">
        <w:t>,</w:t>
      </w:r>
      <w:r w:rsidR="001F0E80" w:rsidRPr="00787639">
        <w:t xml:space="preserve"> </w:t>
      </w:r>
      <w:r w:rsidR="00A853D3" w:rsidRPr="00787639">
        <w:t>Unit</w:t>
      </w:r>
      <w:r w:rsidR="005D35D9" w:rsidRPr="00787639">
        <w:t> </w:t>
      </w:r>
      <w:r w:rsidR="00955176" w:rsidRPr="00787639">
        <w:t>5</w:t>
      </w:r>
      <w:r w:rsidRPr="00787639">
        <w:t>);</w:t>
      </w:r>
    </w:p>
    <w:p w14:paraId="5F2596D6" w14:textId="41037234" w:rsidR="00802500" w:rsidRPr="00787639" w:rsidRDefault="00802500" w:rsidP="002D5639">
      <w:pPr>
        <w:pStyle w:val="Enutiret"/>
      </w:pPr>
      <w:r w:rsidRPr="00787639">
        <w:t xml:space="preserve">identifying and inventorying ICH (discussed in </w:t>
      </w:r>
      <w:r w:rsidR="00C61BCD" w:rsidRPr="00787639">
        <w:t>Participant’s</w:t>
      </w:r>
      <w:r w:rsidR="003D642D">
        <w:t> </w:t>
      </w:r>
      <w:r w:rsidR="00C61BCD" w:rsidRPr="00787639">
        <w:t>text</w:t>
      </w:r>
      <w:r w:rsidRPr="00787639">
        <w:t xml:space="preserve"> </w:t>
      </w:r>
      <w:r w:rsidR="00A853D3" w:rsidRPr="00787639">
        <w:t>Unit</w:t>
      </w:r>
      <w:r w:rsidR="008A1398">
        <w:t> </w:t>
      </w:r>
      <w:r w:rsidR="00955176" w:rsidRPr="00787639">
        <w:t>6</w:t>
      </w:r>
      <w:r w:rsidRPr="00787639">
        <w:t>); and</w:t>
      </w:r>
    </w:p>
    <w:p w14:paraId="4018884D" w14:textId="3C410105" w:rsidR="00802500" w:rsidRPr="00787639" w:rsidRDefault="00EC0C35" w:rsidP="002D5639">
      <w:pPr>
        <w:pStyle w:val="Enutiret"/>
      </w:pPr>
      <w:r w:rsidRPr="00AD244C">
        <w:rPr>
          <w:noProof/>
          <w:lang w:val="fr-FR" w:eastAsia="fr-FR"/>
        </w:rPr>
        <w:drawing>
          <wp:anchor distT="0" distB="0" distL="114300" distR="114300" simplePos="0" relativeHeight="251729408" behindDoc="0" locked="1" layoutInCell="1" allowOverlap="0" wp14:anchorId="34CB9F3D" wp14:editId="22B85358">
            <wp:simplePos x="0" y="0"/>
            <wp:positionH relativeFrom="column">
              <wp:posOffset>0</wp:posOffset>
            </wp:positionH>
            <wp:positionV relativeFrom="paragraph">
              <wp:posOffset>360045</wp:posOffset>
            </wp:positionV>
            <wp:extent cx="283695" cy="358970"/>
            <wp:effectExtent l="0" t="0" r="0" b="0"/>
            <wp:wrapThrough wrapText="bothSides">
              <wp:wrapPolygon edited="0">
                <wp:start x="0" y="0"/>
                <wp:lineTo x="0" y="19880"/>
                <wp:lineTo x="19372" y="19880"/>
                <wp:lineTo x="19372"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proofErr w:type="gramStart"/>
      <w:r w:rsidR="00802500" w:rsidRPr="00787639">
        <w:t>creating</w:t>
      </w:r>
      <w:proofErr w:type="gramEnd"/>
      <w:r w:rsidR="00802500" w:rsidRPr="00787639">
        <w:t xml:space="preserve"> an enabling legal and ad</w:t>
      </w:r>
      <w:r w:rsidR="00802500" w:rsidRPr="00D44CAC">
        <w:t>ministrative environment for safeguarding</w:t>
      </w:r>
      <w:r w:rsidR="00DD01F3" w:rsidRPr="00D90418">
        <w:t xml:space="preserve"> </w:t>
      </w:r>
      <w:r w:rsidR="00802500" w:rsidRPr="00787639">
        <w:t xml:space="preserve">(discussed in </w:t>
      </w:r>
      <w:r w:rsidR="00C61BCD" w:rsidRPr="00787639">
        <w:t>Participant’s</w:t>
      </w:r>
      <w:r w:rsidR="003D642D">
        <w:t> </w:t>
      </w:r>
      <w:r w:rsidR="00C61BCD" w:rsidRPr="00787639">
        <w:t>text</w:t>
      </w:r>
      <w:r w:rsidR="00F13DB7" w:rsidRPr="00787639">
        <w:t xml:space="preserve"> </w:t>
      </w:r>
      <w:r w:rsidR="00A853D3" w:rsidRPr="00787639">
        <w:t>Unit</w:t>
      </w:r>
      <w:r w:rsidR="008A1398">
        <w:t> </w:t>
      </w:r>
      <w:r w:rsidR="00802500" w:rsidRPr="00787639">
        <w:t>9).</w:t>
      </w:r>
    </w:p>
    <w:p w14:paraId="0831D5C8" w14:textId="1927A9DB" w:rsidR="00802500" w:rsidRPr="00787639" w:rsidRDefault="00802500" w:rsidP="002D5639">
      <w:pPr>
        <w:pStyle w:val="Informations"/>
      </w:pPr>
      <w:r w:rsidRPr="00787639">
        <w:t xml:space="preserve">Case studies illustrating general measures for safeguarding include </w:t>
      </w:r>
      <w:r w:rsidR="00C62D56">
        <w:t>C</w:t>
      </w:r>
      <w:r w:rsidRPr="00787639">
        <w:t>ase studies</w:t>
      </w:r>
      <w:r w:rsidR="008A1398">
        <w:t> </w:t>
      </w:r>
      <w:r w:rsidRPr="00787639">
        <w:t>3, 6, 28 and 29.</w:t>
      </w:r>
    </w:p>
    <w:p w14:paraId="643BBA96" w14:textId="24D0E546" w:rsidR="005523C8" w:rsidRPr="00787639" w:rsidRDefault="00802500" w:rsidP="002D5639">
      <w:pPr>
        <w:pStyle w:val="Texte1"/>
      </w:pPr>
      <w:r w:rsidRPr="0071007C">
        <w:lastRenderedPageBreak/>
        <w:t xml:space="preserve">When taking general measures, States Parties will not usually have to start </w:t>
      </w:r>
      <w:r w:rsidRPr="00787639">
        <w:t>from scratch: they will be able to make use of existing institutions, networks and programmes, expanding and reinforcing them as required.</w:t>
      </w:r>
    </w:p>
    <w:p w14:paraId="7AE30B08" w14:textId="6271F983" w:rsidR="00802500" w:rsidRPr="00787639" w:rsidRDefault="00802500" w:rsidP="002D5639">
      <w:pPr>
        <w:pStyle w:val="Texte1"/>
        <w:rPr>
          <w:position w:val="-1"/>
        </w:rPr>
      </w:pPr>
      <w:r w:rsidRPr="00787639">
        <w:t xml:space="preserve">Before ratifying the Convention, some States review existing regulations, laws and policies concerning the ICH present in their territory, collecting information about relevant programmes and networks, institutes and organizations, as well as about previous and ongoing activities for the identification, promotion and </w:t>
      </w:r>
      <w:r w:rsidRPr="00787639">
        <w:rPr>
          <w:position w:val="-1"/>
        </w:rPr>
        <w:t>safeguarding of ICH.</w:t>
      </w:r>
    </w:p>
    <w:p w14:paraId="732B26A4" w14:textId="595FD805" w:rsidR="00802500" w:rsidRPr="004D76DA" w:rsidRDefault="00955176" w:rsidP="00C82E38">
      <w:pPr>
        <w:pStyle w:val="Titcoul"/>
        <w:rPr>
          <w:lang w:val="en-GB"/>
        </w:rPr>
      </w:pPr>
      <w:bookmarkStart w:id="13" w:name="_Toc241229724"/>
      <w:bookmarkStart w:id="14" w:name="_Toc241229928"/>
      <w:bookmarkStart w:id="15" w:name="_Toc242165622"/>
      <w:r w:rsidRPr="004D76DA">
        <w:rPr>
          <w:lang w:val="en-GB"/>
        </w:rPr>
        <w:t>9</w:t>
      </w:r>
      <w:r w:rsidR="00802500" w:rsidRPr="004D76DA">
        <w:rPr>
          <w:lang w:val="en-GB"/>
        </w:rPr>
        <w:t>.4</w:t>
      </w:r>
      <w:r w:rsidR="00EC0C35" w:rsidRPr="004D76DA">
        <w:rPr>
          <w:lang w:val="en-GB"/>
        </w:rPr>
        <w:tab/>
      </w:r>
      <w:r w:rsidR="00802500" w:rsidRPr="004D76DA">
        <w:rPr>
          <w:lang w:val="en-GB"/>
        </w:rPr>
        <w:t>MEASURES FOR SAFEGUARDING SPECIFIC ICH ELEMENTS</w:t>
      </w:r>
      <w:bookmarkEnd w:id="13"/>
      <w:bookmarkEnd w:id="14"/>
      <w:bookmarkEnd w:id="15"/>
    </w:p>
    <w:p w14:paraId="597661C7" w14:textId="2F7EC3DD" w:rsidR="00802500" w:rsidRPr="00D44CAC" w:rsidRDefault="00817F2E" w:rsidP="002D5639">
      <w:pPr>
        <w:pStyle w:val="Texte1"/>
      </w:pPr>
      <w:r w:rsidRPr="00AD244C">
        <w:rPr>
          <w:noProof/>
          <w:lang w:val="fr-FR" w:eastAsia="fr-FR"/>
        </w:rPr>
        <w:drawing>
          <wp:anchor distT="0" distB="0" distL="114300" distR="114300" simplePos="0" relativeHeight="251895296" behindDoc="0" locked="1" layoutInCell="1" allowOverlap="0" wp14:anchorId="03894ACA" wp14:editId="1C29661A">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02500" w:rsidRPr="00787639">
        <w:t>Specific safeguarding measures seek to ensure the continued viability of a specific ICH element, or of a specific group of elements, when practice and transmission thereof is under threat in some way.</w:t>
      </w:r>
    </w:p>
    <w:p w14:paraId="2D920768" w14:textId="77777777" w:rsidR="00802500" w:rsidRPr="00787639" w:rsidRDefault="00802500" w:rsidP="002D5639">
      <w:pPr>
        <w:pStyle w:val="Texte1"/>
      </w:pPr>
      <w:r w:rsidRPr="00D90418">
        <w:t xml:space="preserve">Specific safeguarding measures are not necessary when </w:t>
      </w:r>
      <w:r w:rsidRPr="00500962">
        <w:t>normal</w:t>
      </w:r>
      <w:r w:rsidRPr="00D90418">
        <w:t xml:space="preserve"> practice and t</w:t>
      </w:r>
      <w:r w:rsidRPr="00787639">
        <w:t xml:space="preserve">ransmission sustain an ICH element over time. Under these circumstances, the ICH does not face any specific threats or risks to its viability; no outside interventions are needed and general safeguarding measures (such as awareness </w:t>
      </w:r>
      <w:proofErr w:type="gramStart"/>
      <w:r w:rsidRPr="00787639">
        <w:t>raising</w:t>
      </w:r>
      <w:proofErr w:type="gramEnd"/>
      <w:r w:rsidRPr="00787639">
        <w:t>) are more appropriate than specific ones.</w:t>
      </w:r>
    </w:p>
    <w:p w14:paraId="5632DAC6" w14:textId="77777777" w:rsidR="00802500" w:rsidRPr="004D76DA" w:rsidRDefault="00802500" w:rsidP="00233CE4">
      <w:pPr>
        <w:pStyle w:val="Heading4"/>
        <w:rPr>
          <w:lang w:val="en-GB"/>
        </w:rPr>
      </w:pPr>
      <w:r w:rsidRPr="004D76DA">
        <w:rPr>
          <w:lang w:val="en-GB"/>
        </w:rPr>
        <w:t>Addressing threats and risks</w:t>
      </w:r>
    </w:p>
    <w:p w14:paraId="77FFCE65" w14:textId="77777777" w:rsidR="00802500" w:rsidRPr="00D90418" w:rsidRDefault="00802500" w:rsidP="002D5639">
      <w:pPr>
        <w:pStyle w:val="Texte1"/>
      </w:pPr>
      <w:r w:rsidRPr="00787639">
        <w:t>Identification</w:t>
      </w:r>
      <w:r w:rsidRPr="00D44CAC">
        <w:t xml:space="preserve"> and analysis of threats and risks is required before safeguarding measures can be elaborated. Sometimes the problems are relatively simple, but usually they are not. Safeguarding measures often propose change</w:t>
      </w:r>
      <w:r w:rsidRPr="00D90418">
        <w:t>s in the practice or transmission of ICH in an effort to adapt it to the rapidly changing living circumstances of the communities concerned; similar adaptations commonly occur in the practice of thriving ICH elements.</w:t>
      </w:r>
    </w:p>
    <w:p w14:paraId="2B9DEB2F" w14:textId="77777777" w:rsidR="00802500" w:rsidRPr="00787639" w:rsidRDefault="00802500" w:rsidP="002D5639">
      <w:pPr>
        <w:pStyle w:val="Texte1"/>
      </w:pPr>
      <w:r w:rsidRPr="00787639">
        <w:t>If threats to the viability of ICH are not mitigated, the ICH might cease to be practised as living heritage although performances or products may continue to be produced for tourists or other outsiders purely for commercial reasons. Not all ICH should – or indeed can be – safeguarded or revitalized. If the community or group concerned no longer considers certain elements of ICH relevant or meaningful, they can hardly be safeguarded in the sense of the Convention. In such cases, elements may simply be recorded before they cease to be enacted at all.</w:t>
      </w:r>
    </w:p>
    <w:p w14:paraId="64543287" w14:textId="77777777" w:rsidR="00802500" w:rsidRPr="004D76DA" w:rsidRDefault="00802500" w:rsidP="00A853D3">
      <w:pPr>
        <w:pStyle w:val="Heading4"/>
        <w:rPr>
          <w:lang w:val="en-GB"/>
        </w:rPr>
      </w:pPr>
      <w:r w:rsidRPr="004D76DA">
        <w:rPr>
          <w:lang w:val="en-GB"/>
        </w:rPr>
        <w:t>Types of safeguarding measures</w:t>
      </w:r>
    </w:p>
    <w:p w14:paraId="0D2357B0" w14:textId="77777777" w:rsidR="00802500" w:rsidRPr="00787639" w:rsidRDefault="00802500" w:rsidP="002D5639">
      <w:pPr>
        <w:pStyle w:val="Texte1"/>
      </w:pPr>
      <w:r w:rsidRPr="00787639">
        <w:t>Safeguarding measures may be straightfo</w:t>
      </w:r>
      <w:r w:rsidRPr="00D44CAC">
        <w:t xml:space="preserve">rward activities, such as the reinforcing of an organizing committee or the planting of new trees required for making musical instruments, collecting money within the community or </w:t>
      </w:r>
      <w:r w:rsidRPr="00D90418">
        <w:t>setting up informal training sessions for the transmission of skills. Safeguarding measures may also involve more complex activities, grouped together in a coherent plan: multifaceted, medium-term safeguarding strategies, for example,</w:t>
      </w:r>
      <w:r w:rsidRPr="00787639">
        <w:t xml:space="preserve"> involving numerous role players that might be coordinated by a community-based organization, assisted by NGOs, local authorities, specialized institutions, etc.</w:t>
      </w:r>
    </w:p>
    <w:p w14:paraId="1FE7AAF8" w14:textId="63884825" w:rsidR="00802500" w:rsidRPr="00D90418" w:rsidRDefault="00802500" w:rsidP="002D5639">
      <w:pPr>
        <w:pStyle w:val="Texte1"/>
      </w:pPr>
      <w:r w:rsidRPr="00787639">
        <w:lastRenderedPageBreak/>
        <w:t xml:space="preserve">Some types of safeguarding measures that could be applied to specific elements are mentioned in </w:t>
      </w:r>
      <w:r w:rsidR="00DD01F3" w:rsidRPr="00787639">
        <w:t>Article </w:t>
      </w:r>
      <w:r w:rsidRPr="00787639">
        <w:t>2.3: ‘identification, documentation, research, preservation, protection, promotion, enhancement, transmission, particularly through formal and non-formal education [and] revitalization’</w:t>
      </w:r>
      <w:r w:rsidR="00F74532" w:rsidRPr="00787639">
        <w:t xml:space="preserve"> </w:t>
      </w:r>
      <w:r w:rsidRPr="00787639">
        <w:t>provides a detailed discussion of these terms</w:t>
      </w:r>
      <w:r w:rsidR="005D35D9" w:rsidRPr="00787639">
        <w:t xml:space="preserve">; see also </w:t>
      </w:r>
      <w:r w:rsidR="00FB49CB" w:rsidRPr="00787639">
        <w:t>Participant’s</w:t>
      </w:r>
      <w:r w:rsidR="003D642D">
        <w:t> </w:t>
      </w:r>
      <w:r w:rsidR="00FB49CB" w:rsidRPr="00787639">
        <w:t>text</w:t>
      </w:r>
      <w:r w:rsidR="005D35D9" w:rsidRPr="00787639">
        <w:t xml:space="preserve"> </w:t>
      </w:r>
      <w:r w:rsidR="00E50FB4">
        <w:t>U</w:t>
      </w:r>
      <w:r w:rsidR="00E50FB4" w:rsidRPr="00787639">
        <w:t>nit </w:t>
      </w:r>
      <w:r w:rsidR="005D35D9" w:rsidRPr="00787639">
        <w:t>3</w:t>
      </w:r>
      <w:r w:rsidR="004542FE">
        <w:t>.</w:t>
      </w:r>
      <w:r w:rsidRPr="00787639">
        <w:t xml:space="preserve"> This list of safeguarding measures is non-exhaustive, and safeguarding activities may be categorized under several of the measures at the same time. In the context of safeguarding under the Convention, however, the classification of </w:t>
      </w:r>
      <w:r w:rsidR="005D35D9" w:rsidRPr="00AD244C">
        <w:rPr>
          <w:noProof/>
          <w:lang w:val="fr-FR" w:eastAsia="fr-FR"/>
        </w:rPr>
        <w:drawing>
          <wp:anchor distT="0" distB="0" distL="114300" distR="114300" simplePos="0" relativeHeight="252155392" behindDoc="0" locked="1" layoutInCell="1" allowOverlap="0" wp14:anchorId="6A23DB28" wp14:editId="704281C9">
            <wp:simplePos x="0" y="0"/>
            <wp:positionH relativeFrom="column">
              <wp:posOffset>0</wp:posOffset>
            </wp:positionH>
            <wp:positionV relativeFrom="paragraph">
              <wp:posOffset>672465</wp:posOffset>
            </wp:positionV>
            <wp:extent cx="283210" cy="358775"/>
            <wp:effectExtent l="0" t="0" r="0" b="0"/>
            <wp:wrapThrough wrapText="bothSides">
              <wp:wrapPolygon edited="0">
                <wp:start x="0" y="0"/>
                <wp:lineTo x="0" y="19880"/>
                <wp:lineTo x="19372" y="19880"/>
                <wp:lineTo x="19372" y="0"/>
                <wp:lineTo x="0" y="0"/>
              </wp:wrapPolygon>
            </wp:wrapThrough>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specific</w:t>
      </w:r>
      <w:r w:rsidRPr="00D44CAC">
        <w:t xml:space="preserve"> measures (as</w:t>
      </w:r>
      <w:r w:rsidRPr="00D90418">
        <w:t xml:space="preserve"> ‘research’, ‘documentation’, ‘revitalization’ and so on) is less important than the tailoring of these activities to address threats posed to the viability of the elements concerned.</w:t>
      </w:r>
    </w:p>
    <w:p w14:paraId="1596B022" w14:textId="0B6B215C" w:rsidR="00802500" w:rsidRPr="004D76DA" w:rsidRDefault="00955176" w:rsidP="00C82E38">
      <w:pPr>
        <w:pStyle w:val="Titcoul"/>
        <w:rPr>
          <w:lang w:val="en-GB"/>
        </w:rPr>
      </w:pPr>
      <w:bookmarkStart w:id="16" w:name="_Toc241229725"/>
      <w:bookmarkStart w:id="17" w:name="_Toc241229929"/>
      <w:bookmarkStart w:id="18" w:name="_Toc242165623"/>
      <w:r w:rsidRPr="004D76DA">
        <w:rPr>
          <w:lang w:val="en-GB"/>
        </w:rPr>
        <w:t>9</w:t>
      </w:r>
      <w:r w:rsidR="00802500" w:rsidRPr="004D76DA">
        <w:rPr>
          <w:lang w:val="en-GB"/>
        </w:rPr>
        <w:t>.5</w:t>
      </w:r>
      <w:r w:rsidR="00EC0C35" w:rsidRPr="004D76DA">
        <w:rPr>
          <w:lang w:val="en-GB"/>
        </w:rPr>
        <w:tab/>
      </w:r>
      <w:r w:rsidR="00802500" w:rsidRPr="004D76DA">
        <w:rPr>
          <w:lang w:val="en-GB"/>
        </w:rPr>
        <w:t>EXAMPLES OF SPECIFIC SAFEGUARDING MEASURES</w:t>
      </w:r>
      <w:bookmarkEnd w:id="16"/>
      <w:bookmarkEnd w:id="17"/>
      <w:bookmarkEnd w:id="18"/>
    </w:p>
    <w:p w14:paraId="50EFB921" w14:textId="77777777" w:rsidR="00802500" w:rsidRPr="00D90418" w:rsidRDefault="00802500" w:rsidP="002D5639">
      <w:pPr>
        <w:pStyle w:val="Texte1"/>
      </w:pPr>
      <w:r w:rsidRPr="00787639">
        <w:t>Some</w:t>
      </w:r>
      <w:r w:rsidRPr="00D44CAC">
        <w:t xml:space="preserve"> examples of measures</w:t>
      </w:r>
      <w:r w:rsidRPr="00D90418">
        <w:t xml:space="preserve"> that might be used in safeguarding projects are listed below. Any safeguarding measure chosen to address specific threats to an ICH element would need to be adapted to the specific circumstances of that situation.</w:t>
      </w:r>
    </w:p>
    <w:p w14:paraId="179E0A59" w14:textId="7E449DE9" w:rsidR="00802500" w:rsidRPr="00787639" w:rsidRDefault="00802500">
      <w:pPr>
        <w:pStyle w:val="Texte1"/>
      </w:pPr>
      <w:r w:rsidRPr="00787639">
        <w:t xml:space="preserve">In drafting safeguarding measures, inspiration may be sought from experiences of other States Parties. Examples of safeguarding activities are provided in the Register of Best Safeguarding Practices and safeguarding measures are elaborated in all nomination files submitted for inscription notably on the Urgent Safeguarding List (USL). All nomination files are available on the </w:t>
      </w:r>
      <w:r w:rsidR="00614593">
        <w:t xml:space="preserve">ICH </w:t>
      </w:r>
      <w:r w:rsidRPr="00787639">
        <w:t>website.</w:t>
      </w:r>
    </w:p>
    <w:p w14:paraId="24FFA644" w14:textId="77777777" w:rsidR="00802500" w:rsidRPr="00787639" w:rsidRDefault="00802500" w:rsidP="008B4139">
      <w:pPr>
        <w:pStyle w:val="Heading4"/>
        <w:rPr>
          <w:w w:val="106"/>
          <w:lang w:val="en-GB"/>
        </w:rPr>
      </w:pPr>
      <w:r w:rsidRPr="00787639">
        <w:rPr>
          <w:w w:val="106"/>
          <w:lang w:val="en-GB"/>
        </w:rPr>
        <w:t>Research and documentation</w:t>
      </w:r>
    </w:p>
    <w:p w14:paraId="7E9A3F70" w14:textId="77777777" w:rsidR="00802500" w:rsidRPr="00787639" w:rsidRDefault="00802500" w:rsidP="002D5639">
      <w:pPr>
        <w:pStyle w:val="Texte1"/>
      </w:pPr>
      <w:r w:rsidRPr="00787639">
        <w:t>Research and documentation of ICH often used to be undertaken by experts, centres of expertise, research institutions and State agencies or NGOs, only involving the communities concerned as informants. Under the Convention, however, these activities should be carried out with full community participation and consent. Documentation of an element in the framework of the implementation of the Convention should take into account variations in its forms and functions. Possible activities include:</w:t>
      </w:r>
    </w:p>
    <w:p w14:paraId="7E80A97D" w14:textId="77777777" w:rsidR="00802500" w:rsidRPr="00787639" w:rsidRDefault="00356606" w:rsidP="00AD2211">
      <w:pPr>
        <w:pStyle w:val="Txtpucegras"/>
      </w:pPr>
      <w:r w:rsidRPr="00787639">
        <w:t>D</w:t>
      </w:r>
      <w:r w:rsidR="00802500" w:rsidRPr="00787639">
        <w:t>ocumenting ICH elements (with community participation), with a view</w:t>
      </w:r>
      <w:r w:rsidR="00F358EA" w:rsidRPr="00787639">
        <w:t xml:space="preserve"> </w:t>
      </w:r>
      <w:r w:rsidR="00802500" w:rsidRPr="00787639">
        <w:t>to safeguarding, awareness-raising and capacity building within the community</w:t>
      </w:r>
      <w:r w:rsidRPr="00787639">
        <w:t>.</w:t>
      </w:r>
    </w:p>
    <w:p w14:paraId="28F31FB7" w14:textId="77777777" w:rsidR="00802500" w:rsidRPr="00787639" w:rsidRDefault="00356606" w:rsidP="00952DBE">
      <w:pPr>
        <w:pStyle w:val="Txtpucegras"/>
      </w:pPr>
      <w:r w:rsidRPr="00787639">
        <w:t>H</w:t>
      </w:r>
      <w:r w:rsidR="00802500" w:rsidRPr="00787639">
        <w:t>elping the communities concerned to manage an archive of information</w:t>
      </w:r>
      <w:r w:rsidR="00F358EA" w:rsidRPr="00787639">
        <w:t xml:space="preserve"> </w:t>
      </w:r>
      <w:r w:rsidR="00802500" w:rsidRPr="00787639">
        <w:t xml:space="preserve">about their </w:t>
      </w:r>
      <w:r w:rsidRPr="00787639">
        <w:t>ICH.</w:t>
      </w:r>
    </w:p>
    <w:p w14:paraId="12147A56" w14:textId="77777777" w:rsidR="00802500" w:rsidRPr="00787639" w:rsidRDefault="00356606">
      <w:pPr>
        <w:pStyle w:val="Txtpucegras"/>
      </w:pPr>
      <w:r w:rsidRPr="00787639">
        <w:t>E</w:t>
      </w:r>
      <w:r w:rsidR="00802500" w:rsidRPr="00787639">
        <w:t>ncouraging people to document ICH elements associated with their</w:t>
      </w:r>
      <w:r w:rsidR="00F358EA" w:rsidRPr="00787639">
        <w:t xml:space="preserve"> </w:t>
      </w:r>
      <w:r w:rsidR="00802500" w:rsidRPr="00787639">
        <w:t>communities, for example by interviewing practitioners and tradition bearers, and to disseminate the resulting informa</w:t>
      </w:r>
      <w:r w:rsidRPr="00787639">
        <w:t>tion.</w:t>
      </w:r>
    </w:p>
    <w:p w14:paraId="36A5FA54" w14:textId="77777777" w:rsidR="00802500" w:rsidRPr="00787639" w:rsidRDefault="00356606">
      <w:pPr>
        <w:pStyle w:val="Txtpucegras"/>
      </w:pPr>
      <w:r w:rsidRPr="00787639">
        <w:t>C</w:t>
      </w:r>
      <w:r w:rsidR="00802500" w:rsidRPr="00787639">
        <w:t>apacity building among community members to support the</w:t>
      </w:r>
      <w:r w:rsidR="00F358EA" w:rsidRPr="00787639">
        <w:t xml:space="preserve"> </w:t>
      </w:r>
      <w:r w:rsidR="00802500" w:rsidRPr="00787639">
        <w:t>documentation proc</w:t>
      </w:r>
      <w:r w:rsidRPr="00787639">
        <w:t>ess.</w:t>
      </w:r>
    </w:p>
    <w:p w14:paraId="18812E20" w14:textId="77777777" w:rsidR="00802500" w:rsidRPr="00787639" w:rsidRDefault="00356606">
      <w:pPr>
        <w:pStyle w:val="Txtpucegras"/>
      </w:pPr>
      <w:r w:rsidRPr="00787639">
        <w:t>M</w:t>
      </w:r>
      <w:r w:rsidR="00802500" w:rsidRPr="00787639">
        <w:t xml:space="preserve">obilizing existing documentation and </w:t>
      </w:r>
      <w:proofErr w:type="spellStart"/>
      <w:r w:rsidR="00802500" w:rsidRPr="00787639">
        <w:t>audiovisual</w:t>
      </w:r>
      <w:proofErr w:type="spellEnd"/>
      <w:r w:rsidR="00802500" w:rsidRPr="00787639">
        <w:t xml:space="preserve"> recordings for</w:t>
      </w:r>
      <w:r w:rsidR="00F358EA" w:rsidRPr="00787639">
        <w:t xml:space="preserve"> </w:t>
      </w:r>
      <w:r w:rsidR="00802500" w:rsidRPr="00787639">
        <w:t>revitalization pr</w:t>
      </w:r>
      <w:r w:rsidRPr="00787639">
        <w:t>ojects.</w:t>
      </w:r>
    </w:p>
    <w:p w14:paraId="2ED351A6" w14:textId="392BCB81" w:rsidR="00A83B80" w:rsidRDefault="00356606">
      <w:pPr>
        <w:pStyle w:val="Txtpucegras"/>
      </w:pPr>
      <w:r w:rsidRPr="00787639">
        <w:t>H</w:t>
      </w:r>
      <w:r w:rsidR="00802500" w:rsidRPr="00787639">
        <w:t>elping the communities concerned have access to existing archived</w:t>
      </w:r>
      <w:r w:rsidR="00F358EA" w:rsidRPr="00787639">
        <w:t xml:space="preserve"> </w:t>
      </w:r>
      <w:r w:rsidR="00802500" w:rsidRPr="00787639">
        <w:t>information about their ICH that has been compiled by others.</w:t>
      </w:r>
    </w:p>
    <w:p w14:paraId="50E9ECBC" w14:textId="670285AF" w:rsidR="00802500" w:rsidRPr="00764FA8" w:rsidRDefault="00A83B80" w:rsidP="00764FA8">
      <w:pPr>
        <w:tabs>
          <w:tab w:val="clear" w:pos="567"/>
        </w:tabs>
        <w:snapToGrid/>
        <w:spacing w:line="240" w:lineRule="auto"/>
        <w:ind w:left="0"/>
        <w:jc w:val="left"/>
        <w:rPr>
          <w:lang w:val="en-US"/>
        </w:rPr>
      </w:pPr>
      <w:r w:rsidRPr="00764FA8">
        <w:rPr>
          <w:lang w:val="en-US"/>
        </w:rPr>
        <w:br w:type="page"/>
      </w:r>
    </w:p>
    <w:p w14:paraId="6AF6643D" w14:textId="1BD3732E" w:rsidR="00C27CF6" w:rsidRPr="00C27CF6" w:rsidRDefault="00C27CF6" w:rsidP="002D5639">
      <w:pPr>
        <w:pStyle w:val="Texte1"/>
        <w:rPr>
          <w:b/>
          <w:bCs/>
        </w:rPr>
      </w:pPr>
      <w:r w:rsidRPr="00C27CF6">
        <w:rPr>
          <w:b/>
          <w:bCs/>
        </w:rPr>
        <w:lastRenderedPageBreak/>
        <w:t>Example: Recording music, stories and linguistic material in Papua New Guinea</w:t>
      </w:r>
    </w:p>
    <w:p w14:paraId="7BF026D7" w14:textId="7D46BE9C" w:rsidR="00802500" w:rsidRPr="000E1D9D" w:rsidRDefault="00802500" w:rsidP="002D5639">
      <w:pPr>
        <w:pStyle w:val="Texte1"/>
      </w:pPr>
      <w:r w:rsidRPr="00482544">
        <w:t>In the late 1990s,</w:t>
      </w:r>
      <w:r w:rsidRPr="000E1D9D">
        <w:t xml:space="preserve"> the Austrian Academy of Sciences in Vienna collaborated with the Institute of Papua New Guinea Studies to make music, stories and other linguistic material recorded in Papua New Guinea in the early </w:t>
      </w:r>
      <w:r w:rsidRPr="001E70E2">
        <w:t>1900s</w:t>
      </w:r>
      <w:r w:rsidRPr="000E1D9D">
        <w:t xml:space="preserve"> available to institutions and cultural centres in Papua New Guinea today. Public awareness of the availability of the material was promoted through local newspapers and radio stations. Some of the recordings documented ceremonial songs that were no longer performed – either prohibited by missionaries or replaced by ceremonies from neighbouring groups. Today, these traditions are only remembered in a very fragmentary form. Local performance groups are thus using the recordings to stimulate village elders to recall performance practices of their youth, which can then be passed on to younger generations. Without these recorded examples as a starting point, such revitalization efforts would not have been possible</w:t>
      </w:r>
      <w:r w:rsidR="004542FE">
        <w:t>.</w:t>
      </w:r>
      <w:r w:rsidR="00F358EA" w:rsidRPr="000E1D9D">
        <w:rPr>
          <w:rStyle w:val="FootnoteReference"/>
          <w:sz w:val="20"/>
          <w:szCs w:val="20"/>
        </w:rPr>
        <w:footnoteReference w:id="2"/>
      </w:r>
    </w:p>
    <w:p w14:paraId="470F08A1" w14:textId="77777777" w:rsidR="00802500" w:rsidRPr="004D76DA" w:rsidRDefault="00802500" w:rsidP="00A853D3">
      <w:pPr>
        <w:pStyle w:val="Heading4"/>
        <w:rPr>
          <w:lang w:val="en-GB"/>
        </w:rPr>
      </w:pPr>
      <w:r w:rsidRPr="004D76DA">
        <w:rPr>
          <w:lang w:val="en-GB"/>
        </w:rPr>
        <w:t>Revitalizing the practice and transmission of ICH</w:t>
      </w:r>
    </w:p>
    <w:p w14:paraId="26CAF284" w14:textId="77777777" w:rsidR="00802500" w:rsidRPr="00D44CAC" w:rsidRDefault="00802500" w:rsidP="002D5639">
      <w:pPr>
        <w:pStyle w:val="Texte1"/>
      </w:pPr>
      <w:r w:rsidRPr="00787639">
        <w:t>T</w:t>
      </w:r>
      <w:r w:rsidRPr="00D44CAC">
        <w:t>he communities concerned may be assisted in this task by State agencies, NGOs, experts, centres of expertise and research institutions. Possible activities include:</w:t>
      </w:r>
    </w:p>
    <w:p w14:paraId="52C66641" w14:textId="77777777" w:rsidR="00802500" w:rsidRPr="00787639" w:rsidRDefault="00356606" w:rsidP="00AD2211">
      <w:pPr>
        <w:pStyle w:val="Txtpucegras"/>
      </w:pPr>
      <w:r w:rsidRPr="00D90418">
        <w:t>A</w:t>
      </w:r>
      <w:r w:rsidR="00802500" w:rsidRPr="00787639">
        <w:t>wareness-raising within the community concerned about the value of</w:t>
      </w:r>
      <w:r w:rsidR="00F358EA" w:rsidRPr="00787639">
        <w:t xml:space="preserve"> </w:t>
      </w:r>
      <w:r w:rsidR="00802500" w:rsidRPr="00787639">
        <w:t>specific ICH elemen</w:t>
      </w:r>
      <w:r w:rsidRPr="00787639">
        <w:t>ts.</w:t>
      </w:r>
    </w:p>
    <w:p w14:paraId="204D9D36" w14:textId="77777777" w:rsidR="00802500" w:rsidRPr="00787639" w:rsidRDefault="00356606" w:rsidP="00952DBE">
      <w:pPr>
        <w:pStyle w:val="Txtpucegras"/>
      </w:pPr>
      <w:r w:rsidRPr="00787639">
        <w:t>E</w:t>
      </w:r>
      <w:r w:rsidR="00802500" w:rsidRPr="00787639">
        <w:t>ncouraging the establishment of community organizations that will</w:t>
      </w:r>
      <w:r w:rsidR="00F358EA" w:rsidRPr="00787639">
        <w:t xml:space="preserve"> </w:t>
      </w:r>
      <w:r w:rsidR="00802500" w:rsidRPr="00787639">
        <w:t>promote the safeguarding of their ICH and take steps to safeguar</w:t>
      </w:r>
      <w:r w:rsidRPr="00787639">
        <w:t>d it.</w:t>
      </w:r>
    </w:p>
    <w:p w14:paraId="5C94F309" w14:textId="77777777" w:rsidR="00802500" w:rsidRPr="00787639" w:rsidRDefault="00356606">
      <w:pPr>
        <w:pStyle w:val="Txtpucegras"/>
      </w:pPr>
      <w:r w:rsidRPr="00787639">
        <w:t>A</w:t>
      </w:r>
      <w:r w:rsidR="00802500" w:rsidRPr="00787639">
        <w:t>nalysing (by or with the communities concerned) threats to the viability of</w:t>
      </w:r>
      <w:r w:rsidR="00F358EA" w:rsidRPr="00787639">
        <w:t xml:space="preserve"> </w:t>
      </w:r>
      <w:r w:rsidR="00802500" w:rsidRPr="00787639">
        <w:t>their ICH elements, if an</w:t>
      </w:r>
      <w:r w:rsidRPr="00787639">
        <w:t>y.</w:t>
      </w:r>
    </w:p>
    <w:p w14:paraId="593C98FA" w14:textId="77777777" w:rsidR="00802500" w:rsidRPr="00787639" w:rsidRDefault="00356606">
      <w:pPr>
        <w:pStyle w:val="Txtpucegras"/>
      </w:pPr>
      <w:r w:rsidRPr="00787639">
        <w:t>S</w:t>
      </w:r>
      <w:r w:rsidR="00802500" w:rsidRPr="00787639">
        <w:t>upporting experienced practitioners to transmit knowledge, skills and</w:t>
      </w:r>
      <w:r w:rsidR="00F358EA" w:rsidRPr="00787639">
        <w:t xml:space="preserve"> </w:t>
      </w:r>
      <w:r w:rsidR="00802500" w:rsidRPr="00787639">
        <w:t>values required for the practice and appreciation of ICH elements by others in the community conc</w:t>
      </w:r>
      <w:r w:rsidRPr="00787639">
        <w:t>erned.</w:t>
      </w:r>
    </w:p>
    <w:p w14:paraId="04C5A091" w14:textId="77777777" w:rsidR="00802500" w:rsidRPr="00787639" w:rsidRDefault="00356606">
      <w:pPr>
        <w:pStyle w:val="Txtpucegras"/>
      </w:pPr>
      <w:r w:rsidRPr="00787639">
        <w:t>P</w:t>
      </w:r>
      <w:r w:rsidR="00802500" w:rsidRPr="00787639">
        <w:t>roviding education and training for young community members to ensure</w:t>
      </w:r>
      <w:r w:rsidR="00F358EA" w:rsidRPr="00787639">
        <w:t xml:space="preserve"> </w:t>
      </w:r>
      <w:r w:rsidR="00802500" w:rsidRPr="00787639">
        <w:t>that the skills are in place for continued practice of ICH elements in cases where traditional methods of transmission ar</w:t>
      </w:r>
      <w:r w:rsidRPr="00787639">
        <w:t>e no longer viable.</w:t>
      </w:r>
    </w:p>
    <w:p w14:paraId="2CAD83D0" w14:textId="77777777" w:rsidR="00802500" w:rsidRPr="00787639" w:rsidRDefault="00356606">
      <w:pPr>
        <w:pStyle w:val="Txtpucegras"/>
      </w:pPr>
      <w:r w:rsidRPr="00787639">
        <w:t>E</w:t>
      </w:r>
      <w:r w:rsidR="00802500" w:rsidRPr="00787639">
        <w:t>ncouraging traditional contests and competitions, in particular where</w:t>
      </w:r>
      <w:r w:rsidR="00F358EA" w:rsidRPr="00787639">
        <w:t xml:space="preserve"> </w:t>
      </w:r>
      <w:r w:rsidR="00802500" w:rsidRPr="00787639">
        <w:t>these were used in the past as vehicles for enactment and transmission of the elemen</w:t>
      </w:r>
      <w:r w:rsidRPr="00787639">
        <w:t>t.</w:t>
      </w:r>
    </w:p>
    <w:p w14:paraId="17A691B1" w14:textId="77777777" w:rsidR="00802500" w:rsidRPr="00787639" w:rsidRDefault="00356606">
      <w:pPr>
        <w:pStyle w:val="Txtpucegras"/>
      </w:pPr>
      <w:r w:rsidRPr="00787639">
        <w:t>E</w:t>
      </w:r>
      <w:r w:rsidR="00802500" w:rsidRPr="00787639">
        <w:t>nsuring that the material conditions for continued practice and</w:t>
      </w:r>
      <w:r w:rsidR="00F358EA" w:rsidRPr="00787639">
        <w:t xml:space="preserve"> </w:t>
      </w:r>
      <w:r w:rsidR="00802500" w:rsidRPr="00787639">
        <w:t>transmission are met, e.g. through the continued availability of sufficient raw materials, performance spaces or t</w:t>
      </w:r>
      <w:r w:rsidRPr="00787639">
        <w:t>ools.</w:t>
      </w:r>
    </w:p>
    <w:p w14:paraId="6C2FDF95" w14:textId="296AF81F" w:rsidR="00802500" w:rsidRPr="00787639" w:rsidRDefault="00356606">
      <w:pPr>
        <w:pStyle w:val="Txtpucegras"/>
      </w:pPr>
      <w:r w:rsidRPr="00787639">
        <w:t>E</w:t>
      </w:r>
      <w:r w:rsidR="00802500" w:rsidRPr="00787639">
        <w:t>nsuring funding for safeguarding projects</w:t>
      </w:r>
      <w:r w:rsidRPr="00787639">
        <w:t>.</w:t>
      </w:r>
    </w:p>
    <w:p w14:paraId="19F6663C" w14:textId="07BD7623" w:rsidR="00C27CF6" w:rsidRDefault="00356606" w:rsidP="00406F9D">
      <w:pPr>
        <w:pStyle w:val="Txtpucegras"/>
      </w:pPr>
      <w:r w:rsidRPr="00787639">
        <w:t>M</w:t>
      </w:r>
      <w:r w:rsidR="00802500" w:rsidRPr="00787639">
        <w:t>onitoring the effects of safeguarding measures and development</w:t>
      </w:r>
      <w:r w:rsidR="00F358EA" w:rsidRPr="00787639">
        <w:t xml:space="preserve"> </w:t>
      </w:r>
      <w:r w:rsidR="00802500" w:rsidRPr="00787639">
        <w:t>activities on the viability of the elements and taking remedial action if new threats to the viability of the element emerge.</w:t>
      </w:r>
    </w:p>
    <w:p w14:paraId="1CBCB9F5" w14:textId="60AA2D8B" w:rsidR="00C27CF6" w:rsidRPr="00BE1A7C" w:rsidRDefault="00C27CF6" w:rsidP="00BE1A7C">
      <w:pPr>
        <w:pStyle w:val="Txtpucegras"/>
        <w:numPr>
          <w:ilvl w:val="0"/>
          <w:numId w:val="0"/>
        </w:numPr>
        <w:ind w:left="851"/>
        <w:rPr>
          <w:b/>
          <w:bCs/>
        </w:rPr>
      </w:pPr>
      <w:r w:rsidRPr="00BE1A7C">
        <w:rPr>
          <w:b/>
          <w:bCs/>
        </w:rPr>
        <w:t xml:space="preserve">Example: </w:t>
      </w:r>
      <w:r w:rsidR="00F13F47" w:rsidRPr="00BE1A7C">
        <w:rPr>
          <w:b/>
          <w:bCs/>
        </w:rPr>
        <w:t>Batik cloth dyeing in Indonesia</w:t>
      </w:r>
    </w:p>
    <w:p w14:paraId="5BE2F4C4" w14:textId="77777777" w:rsidR="00802500" w:rsidRPr="000E1D9D" w:rsidRDefault="00802500" w:rsidP="002D5639">
      <w:pPr>
        <w:pStyle w:val="Texte1"/>
      </w:pPr>
      <w:r w:rsidRPr="00482544">
        <w:t>Batik is a method of cloth dyeing common in Indonesia; it was inscribed on the Representative List in 2009. In making ba</w:t>
      </w:r>
      <w:r w:rsidRPr="000E1D9D">
        <w:t xml:space="preserve">tik cloth, craftspeople draw designs on fabric using dots and lines of hot wax, which resists vegetable and other dyes and therefore </w:t>
      </w:r>
      <w:r w:rsidRPr="000E1D9D">
        <w:lastRenderedPageBreak/>
        <w:t>allows selective colouring of the cloth. Individuals skilled in batik making have been identified with a view to declaring them as National Treasures. In 2008 the Indonesian Batik Community Forum was established to facilitate communication and collaboration among batik community members for its safeguarding.</w:t>
      </w:r>
      <w:r w:rsidR="00F358EA" w:rsidRPr="000E1D9D">
        <w:rPr>
          <w:rStyle w:val="FootnoteReference"/>
          <w:sz w:val="20"/>
          <w:szCs w:val="20"/>
        </w:rPr>
        <w:footnoteReference w:id="3"/>
      </w:r>
    </w:p>
    <w:p w14:paraId="2CD4E1C4" w14:textId="0A69CB06" w:rsidR="00802500" w:rsidRPr="00787639" w:rsidRDefault="00802500" w:rsidP="002D5639">
      <w:pPr>
        <w:pStyle w:val="Texte1"/>
        <w:rPr>
          <w:szCs w:val="22"/>
        </w:rPr>
      </w:pPr>
      <w:r w:rsidRPr="00787639">
        <w:t>The members developed various safeguarding measures:</w:t>
      </w:r>
      <w:r w:rsidR="005E0090" w:rsidRPr="00787639">
        <w:t xml:space="preserve"> one of them was to ensure that specialized </w:t>
      </w:r>
      <w:proofErr w:type="spellStart"/>
      <w:r w:rsidR="005E0090" w:rsidRPr="00787639">
        <w:t>canthing</w:t>
      </w:r>
      <w:proofErr w:type="spellEnd"/>
      <w:r w:rsidR="005E0090" w:rsidRPr="00787639">
        <w:t xml:space="preserve"> </w:t>
      </w:r>
      <w:proofErr w:type="spellStart"/>
      <w:r w:rsidR="005E0090" w:rsidRPr="00787639">
        <w:t>tulis</w:t>
      </w:r>
      <w:proofErr w:type="spellEnd"/>
      <w:r w:rsidR="005E0090" w:rsidRPr="00787639">
        <w:t xml:space="preserve"> pens and </w:t>
      </w:r>
      <w:proofErr w:type="spellStart"/>
      <w:r w:rsidR="005E0090" w:rsidRPr="00787639">
        <w:t>canthing</w:t>
      </w:r>
      <w:proofErr w:type="spellEnd"/>
      <w:r w:rsidR="005E0090" w:rsidRPr="00787639">
        <w:t xml:space="preserve"> cap stamps were available to make the cloth, as the knowledge of how to make these pens and stamps has now become endangered. The Batik Museum Institute planned to carry out a training programme to teach the making of these tools.</w:t>
      </w:r>
    </w:p>
    <w:p w14:paraId="7DE5D884" w14:textId="27EB8909" w:rsidR="00802500" w:rsidRPr="004D76DA" w:rsidRDefault="00955176" w:rsidP="008B4139">
      <w:pPr>
        <w:pStyle w:val="Titcoul"/>
        <w:rPr>
          <w:lang w:val="en-GB"/>
        </w:rPr>
      </w:pPr>
      <w:bookmarkStart w:id="20" w:name="_Toc241229726"/>
      <w:bookmarkStart w:id="21" w:name="_Toc241229930"/>
      <w:bookmarkStart w:id="22" w:name="_Toc242165624"/>
      <w:r w:rsidRPr="004D76DA">
        <w:rPr>
          <w:lang w:val="en-GB"/>
        </w:rPr>
        <w:t>9</w:t>
      </w:r>
      <w:r w:rsidR="00802500" w:rsidRPr="004D76DA">
        <w:rPr>
          <w:lang w:val="en-GB"/>
        </w:rPr>
        <w:t>.6</w:t>
      </w:r>
      <w:r w:rsidR="00EC0C35" w:rsidRPr="004D76DA">
        <w:rPr>
          <w:lang w:val="en-GB"/>
        </w:rPr>
        <w:tab/>
      </w:r>
      <w:r w:rsidR="00802500" w:rsidRPr="004D76DA">
        <w:rPr>
          <w:lang w:val="en-GB"/>
        </w:rPr>
        <w:t>INVOLVING COMMUNITIES CONCERNED IN SAFEGUARDING</w:t>
      </w:r>
      <w:bookmarkEnd w:id="20"/>
      <w:bookmarkEnd w:id="21"/>
      <w:bookmarkEnd w:id="22"/>
    </w:p>
    <w:p w14:paraId="75B0489F" w14:textId="3B863DA6" w:rsidR="00802500" w:rsidRPr="00320A0E" w:rsidRDefault="005523C8" w:rsidP="00764FA8">
      <w:pPr>
        <w:pStyle w:val="Texte1"/>
      </w:pPr>
      <w:r w:rsidRPr="003531BA">
        <w:rPr>
          <w:noProof/>
          <w:lang w:val="fr-FR" w:eastAsia="fr-FR"/>
        </w:rPr>
        <w:drawing>
          <wp:anchor distT="0" distB="0" distL="114300" distR="114300" simplePos="0" relativeHeight="251731456" behindDoc="0" locked="1" layoutInCell="1" allowOverlap="0" wp14:anchorId="72319F9D" wp14:editId="2E8335EF">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02500" w:rsidRPr="003531BA">
        <w:t xml:space="preserve">This issue </w:t>
      </w:r>
      <w:r w:rsidR="00A83B80">
        <w:t>of involving the communities concerned in safeguarding</w:t>
      </w:r>
      <w:r w:rsidR="00802500" w:rsidRPr="003531BA">
        <w:t xml:space="preserve"> </w:t>
      </w:r>
      <w:r w:rsidR="00A31ED9">
        <w:t xml:space="preserve">is </w:t>
      </w:r>
      <w:r w:rsidR="00802500" w:rsidRPr="003531BA">
        <w:t xml:space="preserve">also discussed in </w:t>
      </w:r>
      <w:r w:rsidR="00C61BCD" w:rsidRPr="003531BA">
        <w:t>Participant’s</w:t>
      </w:r>
      <w:r w:rsidR="008A1398">
        <w:t> </w:t>
      </w:r>
      <w:r w:rsidR="00C61BCD" w:rsidRPr="003531BA">
        <w:t>text</w:t>
      </w:r>
      <w:r w:rsidR="00802500" w:rsidRPr="00346CC4">
        <w:t xml:space="preserve"> </w:t>
      </w:r>
      <w:r w:rsidR="00A853D3" w:rsidRPr="00320A0E">
        <w:t>Unit</w:t>
      </w:r>
      <w:r w:rsidR="008A1398">
        <w:t> </w:t>
      </w:r>
      <w:r w:rsidR="00955176" w:rsidRPr="00320A0E">
        <w:t>7</w:t>
      </w:r>
      <w:r w:rsidR="00802500" w:rsidRPr="00320A0E">
        <w:t>.</w:t>
      </w:r>
    </w:p>
    <w:p w14:paraId="06DEE198" w14:textId="77777777" w:rsidR="00802500" w:rsidRPr="00320A0E" w:rsidRDefault="00DD01F3" w:rsidP="002D5639">
      <w:pPr>
        <w:pStyle w:val="Texte1"/>
      </w:pPr>
      <w:proofErr w:type="gramStart"/>
      <w:r w:rsidRPr="00406F9D">
        <w:t>Article </w:t>
      </w:r>
      <w:r w:rsidR="00802500" w:rsidRPr="00406F9D">
        <w:t>15</w:t>
      </w:r>
      <w:r w:rsidR="00802500" w:rsidRPr="00320A0E">
        <w:t xml:space="preserve"> of the Convention requests States Parties to try to ensure that the communities concerned are fully involved in the safeguarding of their ICH.</w:t>
      </w:r>
      <w:proofErr w:type="gramEnd"/>
    </w:p>
    <w:p w14:paraId="2F813200" w14:textId="5C551A44" w:rsidR="00802500" w:rsidRPr="00B43374" w:rsidRDefault="00802500" w:rsidP="002D5639">
      <w:pPr>
        <w:pStyle w:val="citation"/>
      </w:pPr>
      <w:r w:rsidRPr="00320A0E">
        <w:t xml:space="preserve">Within the framework of its safeguarding activities of the intangible cultural heritage, each State Party shall endeavour to ensure the </w:t>
      </w:r>
      <w:r w:rsidRPr="00150F56">
        <w:rPr>
          <w:i/>
        </w:rPr>
        <w:t>widest possible participation of communities</w:t>
      </w:r>
      <w:r w:rsidRPr="00150F56">
        <w:t xml:space="preserve">, </w:t>
      </w:r>
      <w:r w:rsidRPr="00BE1A7C">
        <w:rPr>
          <w:i/>
        </w:rPr>
        <w:t>groups and, where appropriate, individuals</w:t>
      </w:r>
      <w:r w:rsidRPr="00612E93">
        <w:t xml:space="preserve"> that create, maintain and transmit such heritage, and to </w:t>
      </w:r>
      <w:r w:rsidRPr="00612E93">
        <w:rPr>
          <w:i/>
        </w:rPr>
        <w:t>involve them actively in its management</w:t>
      </w:r>
      <w:r w:rsidRPr="00B43374">
        <w:t xml:space="preserve">. </w:t>
      </w:r>
      <w:r w:rsidRPr="00BE1A7C">
        <w:t>(Emphasis added.)</w:t>
      </w:r>
    </w:p>
    <w:p w14:paraId="0A68032B" w14:textId="4A91A270" w:rsidR="00802500" w:rsidRPr="00D44CAC" w:rsidRDefault="00802500" w:rsidP="002D5639">
      <w:pPr>
        <w:pStyle w:val="Texte1"/>
      </w:pPr>
      <w:r w:rsidRPr="00B73CA7">
        <w:t>The most promising safeguarding activities are initiated at the community level, by individuals who are concerned abo</w:t>
      </w:r>
      <w:r w:rsidRPr="003531BA">
        <w:t>ut</w:t>
      </w:r>
      <w:r w:rsidRPr="00787639">
        <w:t xml:space="preserve"> threats to the viability of one or more elements of their ICH and mobilize themselves and others, often without outside support. The </w:t>
      </w:r>
      <w:r w:rsidR="00FF7FA1" w:rsidRPr="00AD244C">
        <w:rPr>
          <w:noProof/>
          <w:lang w:val="fr-FR" w:eastAsia="fr-FR"/>
        </w:rPr>
        <w:drawing>
          <wp:anchor distT="0" distB="0" distL="114300" distR="114300" simplePos="0" relativeHeight="252157440" behindDoc="0" locked="1" layoutInCell="1" allowOverlap="0" wp14:anchorId="25264EB2" wp14:editId="146A8497">
            <wp:simplePos x="0" y="0"/>
            <wp:positionH relativeFrom="column">
              <wp:posOffset>-13970</wp:posOffset>
            </wp:positionH>
            <wp:positionV relativeFrom="paragraph">
              <wp:posOffset>558800</wp:posOffset>
            </wp:positionV>
            <wp:extent cx="283210" cy="358775"/>
            <wp:effectExtent l="0" t="0" r="2540" b="3175"/>
            <wp:wrapThrough wrapText="bothSides">
              <wp:wrapPolygon edited="0">
                <wp:start x="0" y="0"/>
                <wp:lineTo x="0" y="20644"/>
                <wp:lineTo x="20341" y="20644"/>
                <wp:lineTo x="20341" y="0"/>
                <wp:lineTo x="0" y="0"/>
              </wp:wrapPolygon>
            </wp:wrapThrough>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787639">
        <w:t>documents of the Asia/Pacific Cultural Centre for UNESCO (ACCU), a Japanese non-profit organization, provides</w:t>
      </w:r>
      <w:proofErr w:type="gramEnd"/>
      <w:r w:rsidRPr="00787639">
        <w:t xml:space="preserve"> some fine examples o</w:t>
      </w:r>
      <w:r w:rsidRPr="00D44CAC">
        <w:t xml:space="preserve">f community-based safeguarding activities (see, for example, </w:t>
      </w:r>
      <w:r w:rsidR="003531BA" w:rsidRPr="003531BA">
        <w:t>http://www.accu.or.jp/ich/en/pdf/2ndworkshop.pdf</w:t>
      </w:r>
      <w:r w:rsidRPr="00D44CAC">
        <w:t>).</w:t>
      </w:r>
    </w:p>
    <w:p w14:paraId="534E41F1" w14:textId="3231A5E4" w:rsidR="00802500" w:rsidRPr="00D90418" w:rsidRDefault="00EC0C35" w:rsidP="002D5639">
      <w:pPr>
        <w:pStyle w:val="Informations"/>
      </w:pPr>
      <w:r w:rsidRPr="00AD244C">
        <w:rPr>
          <w:noProof/>
          <w:lang w:val="fr-FR" w:eastAsia="fr-FR"/>
        </w:rPr>
        <w:drawing>
          <wp:anchor distT="0" distB="0" distL="114300" distR="114300" simplePos="0" relativeHeight="251733504" behindDoc="0" locked="1" layoutInCell="1" allowOverlap="0" wp14:anchorId="485DD5EA" wp14:editId="5A4FBCD8">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13B6A" w:rsidRPr="00787639">
        <w:t>C</w:t>
      </w:r>
      <w:r w:rsidR="00802500" w:rsidRPr="00D44CAC">
        <w:t>ase study</w:t>
      </w:r>
      <w:r w:rsidR="00C06994">
        <w:t> </w:t>
      </w:r>
      <w:r w:rsidR="00802500" w:rsidRPr="00D44CAC">
        <w:t>25 discusses the revitalizati</w:t>
      </w:r>
      <w:r w:rsidR="00802500" w:rsidRPr="00D90418">
        <w:t xml:space="preserve">on and renewed appreciation of a traditional practice, the </w:t>
      </w:r>
      <w:proofErr w:type="spellStart"/>
      <w:r w:rsidR="00802500" w:rsidRPr="00D90418">
        <w:t>Sanbasomawashi</w:t>
      </w:r>
      <w:proofErr w:type="spellEnd"/>
      <w:r w:rsidR="00802500" w:rsidRPr="00D90418">
        <w:t xml:space="preserve"> (New Year’s Performance) in Japan through community participation.</w:t>
      </w:r>
    </w:p>
    <w:p w14:paraId="7C4492AA" w14:textId="13E4CAFF" w:rsidR="00802500" w:rsidRPr="004D76DA" w:rsidRDefault="00955176" w:rsidP="00C82E38">
      <w:pPr>
        <w:pStyle w:val="Titcoul"/>
        <w:rPr>
          <w:lang w:val="en-GB"/>
        </w:rPr>
      </w:pPr>
      <w:bookmarkStart w:id="23" w:name="_Toc241229727"/>
      <w:bookmarkStart w:id="24" w:name="_Toc241229931"/>
      <w:bookmarkStart w:id="25" w:name="_Toc242165625"/>
      <w:r w:rsidRPr="004D76DA">
        <w:rPr>
          <w:lang w:val="en-GB"/>
        </w:rPr>
        <w:t>9</w:t>
      </w:r>
      <w:r w:rsidR="00802500" w:rsidRPr="004D76DA">
        <w:rPr>
          <w:lang w:val="en-GB"/>
        </w:rPr>
        <w:t>.7</w:t>
      </w:r>
      <w:r w:rsidR="00EC0C35" w:rsidRPr="004D76DA">
        <w:rPr>
          <w:lang w:val="en-GB"/>
        </w:rPr>
        <w:tab/>
      </w:r>
      <w:r w:rsidR="00802500" w:rsidRPr="004D76DA">
        <w:rPr>
          <w:lang w:val="en-GB"/>
        </w:rPr>
        <w:t>SAFEGUARDING MEASURES AND PLANS</w:t>
      </w:r>
      <w:bookmarkEnd w:id="23"/>
      <w:bookmarkEnd w:id="24"/>
      <w:bookmarkEnd w:id="25"/>
    </w:p>
    <w:p w14:paraId="6DBB74F9" w14:textId="35B5F691" w:rsidR="00802500" w:rsidRPr="00787639" w:rsidRDefault="00802500" w:rsidP="002D5639">
      <w:pPr>
        <w:pStyle w:val="Texte1"/>
      </w:pPr>
      <w:r w:rsidRPr="00787639">
        <w:t>Safeguarding measures may be developed for any ICH elements that face threat</w:t>
      </w:r>
      <w:r w:rsidRPr="00D44CAC">
        <w:t>s o</w:t>
      </w:r>
      <w:r w:rsidRPr="00D90418">
        <w:t xml:space="preserve">r risks to their viability, but </w:t>
      </w:r>
      <w:r w:rsidRPr="00A677E2">
        <w:t>they have to be developed for elements nominated to the Lists of the</w:t>
      </w:r>
      <w:r w:rsidRPr="00D90418">
        <w:t xml:space="preserve"> Convention (see ODs</w:t>
      </w:r>
      <w:r w:rsidR="00947385">
        <w:t> </w:t>
      </w:r>
      <w:r w:rsidRPr="00D90418">
        <w:t xml:space="preserve">1 and 2). Safeguarding measures should, if possible, be presented as a coherent set of measures (i.e. as a </w:t>
      </w:r>
      <w:r w:rsidR="00F4420F">
        <w:t xml:space="preserve">safeguarding </w:t>
      </w:r>
      <w:r w:rsidRPr="00D90418">
        <w:t>plan).</w:t>
      </w:r>
      <w:r w:rsidRPr="00787639">
        <w:t xml:space="preserve"> However, </w:t>
      </w:r>
      <w:r w:rsidR="00F4420F">
        <w:t xml:space="preserve">already </w:t>
      </w:r>
      <w:r w:rsidRPr="00787639">
        <w:t>a single measure can sometimes do wonders.</w:t>
      </w:r>
    </w:p>
    <w:p w14:paraId="4B835FFB" w14:textId="778A6B79" w:rsidR="00802500" w:rsidRPr="00787639" w:rsidRDefault="00802500" w:rsidP="002D5639">
      <w:pPr>
        <w:pStyle w:val="Texte1"/>
      </w:pPr>
      <w:r w:rsidRPr="00787639">
        <w:t xml:space="preserve">Where several safeguarding measures are proposed, it may be necessary to prioritize them, as </w:t>
      </w:r>
      <w:r w:rsidR="00F4420F">
        <w:t>b</w:t>
      </w:r>
      <w:r w:rsidRPr="00787639">
        <w:t>udgets for safeguarding are</w:t>
      </w:r>
      <w:r w:rsidR="00F4420F">
        <w:t xml:space="preserve"> usually rather limited</w:t>
      </w:r>
      <w:r w:rsidRPr="00787639">
        <w:t xml:space="preserve">. </w:t>
      </w:r>
      <w:r w:rsidR="00F4420F">
        <w:t>However, s</w:t>
      </w:r>
      <w:r w:rsidRPr="00787639">
        <w:t xml:space="preserve">afeguarding measures </w:t>
      </w:r>
      <w:r w:rsidR="00F4420F">
        <w:t xml:space="preserve">are not always </w:t>
      </w:r>
      <w:r w:rsidRPr="00787639">
        <w:t xml:space="preserve">expensive to implement. If funds are required to </w:t>
      </w:r>
      <w:r w:rsidRPr="00D44CAC">
        <w:t xml:space="preserve">implement them, </w:t>
      </w:r>
      <w:r w:rsidRPr="00D44CAC">
        <w:lastRenderedPageBreak/>
        <w:t xml:space="preserve">especially in relation to elements (being) inscribed on the USL, States Parties may seek international assistance under the Convention (discussed further in </w:t>
      </w:r>
      <w:r w:rsidR="00C61BCD" w:rsidRPr="00D90418">
        <w:t>Participant’s</w:t>
      </w:r>
      <w:r w:rsidR="003D642D">
        <w:t> </w:t>
      </w:r>
      <w:r w:rsidR="00C61BCD" w:rsidRPr="00D90418">
        <w:t>text</w:t>
      </w:r>
      <w:r w:rsidRPr="00787639">
        <w:t xml:space="preserve"> </w:t>
      </w:r>
      <w:r w:rsidR="00A853D3" w:rsidRPr="00787639">
        <w:t>Unit</w:t>
      </w:r>
      <w:r w:rsidR="008A1398">
        <w:t> </w:t>
      </w:r>
      <w:r w:rsidR="003967C2" w:rsidRPr="00787639">
        <w:t>12</w:t>
      </w:r>
      <w:r w:rsidRPr="00787639">
        <w:t>). States may also turn to other States Parties for cooperation, for instance concerning ICH shared between them, or for other forms of assistance, such as documentation or advice.</w:t>
      </w:r>
    </w:p>
    <w:p w14:paraId="0A05ECD7" w14:textId="323ED094" w:rsidR="00802500" w:rsidRPr="00787639" w:rsidRDefault="005C31D5" w:rsidP="002D5639">
      <w:pPr>
        <w:pStyle w:val="Texte1"/>
      </w:pPr>
      <w:r w:rsidRPr="00AD244C">
        <w:rPr>
          <w:noProof/>
          <w:lang w:val="fr-FR" w:eastAsia="fr-FR"/>
        </w:rPr>
        <w:drawing>
          <wp:anchor distT="0" distB="0" distL="114300" distR="114300" simplePos="0" relativeHeight="251735552" behindDoc="0" locked="0" layoutInCell="1" allowOverlap="0" wp14:anchorId="7A1BAD6B" wp14:editId="6387CDFA">
            <wp:simplePos x="0" y="0"/>
            <wp:positionH relativeFrom="column">
              <wp:posOffset>0</wp:posOffset>
            </wp:positionH>
            <wp:positionV relativeFrom="paragraph">
              <wp:posOffset>559435</wp:posOffset>
            </wp:positionV>
            <wp:extent cx="283210" cy="358775"/>
            <wp:effectExtent l="0" t="0" r="2540" b="3175"/>
            <wp:wrapThrough wrapText="bothSides">
              <wp:wrapPolygon edited="0">
                <wp:start x="0" y="0"/>
                <wp:lineTo x="0" y="20644"/>
                <wp:lineTo x="20341" y="20644"/>
                <wp:lineTo x="20341" y="0"/>
                <wp:lineTo x="0" y="0"/>
              </wp:wrapPolygon>
            </wp:wrapThrough>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02500" w:rsidRPr="00787639">
        <w:t>Safeguarding plans should be assessed for feasibility. It is seldom possible to anticipate all the positive and negative effects of safeguarding interventions. Safeguarding measures should thus be regularly reviewed and assessed, and adapted where necessary.</w:t>
      </w:r>
    </w:p>
    <w:p w14:paraId="205BA09D" w14:textId="7E65A422" w:rsidR="00802500" w:rsidRPr="00787639" w:rsidRDefault="00E13B6A" w:rsidP="002D5639">
      <w:pPr>
        <w:pStyle w:val="Informations"/>
      </w:pPr>
      <w:r w:rsidRPr="00787639">
        <w:t>C</w:t>
      </w:r>
      <w:r w:rsidR="00802500" w:rsidRPr="00D44CAC">
        <w:t>ase study</w:t>
      </w:r>
      <w:r w:rsidR="00C06994">
        <w:t> </w:t>
      </w:r>
      <w:r w:rsidR="00802500" w:rsidRPr="00D44CAC">
        <w:t>22, discusses the safeguarding measures developed to address threats to the viabilit</w:t>
      </w:r>
      <w:r w:rsidR="00802500" w:rsidRPr="00D90418">
        <w:t xml:space="preserve">y of the Ritual ceremony of the </w:t>
      </w:r>
      <w:proofErr w:type="spellStart"/>
      <w:r w:rsidR="00802500" w:rsidRPr="00D90418">
        <w:t>Voladores</w:t>
      </w:r>
      <w:proofErr w:type="spellEnd"/>
      <w:r w:rsidR="00802500" w:rsidRPr="00D90418">
        <w:t xml:space="preserve"> (‘flying men’) in Mexico</w:t>
      </w:r>
      <w:r w:rsidR="00E61C19" w:rsidRPr="00787639">
        <w:t>.</w:t>
      </w:r>
    </w:p>
    <w:p w14:paraId="762D7CD3" w14:textId="2AE7A23B" w:rsidR="00E61C19" w:rsidRPr="0071007C" w:rsidRDefault="00955176" w:rsidP="00C82E38">
      <w:pPr>
        <w:pStyle w:val="Titcoul"/>
        <w:rPr>
          <w:lang w:val="en-GB"/>
        </w:rPr>
      </w:pPr>
      <w:bookmarkStart w:id="26" w:name="_Toc241229728"/>
      <w:bookmarkStart w:id="27" w:name="_Toc241229932"/>
      <w:bookmarkStart w:id="28" w:name="_Toc242165626"/>
      <w:r w:rsidRPr="0071007C">
        <w:rPr>
          <w:lang w:val="en-GB"/>
        </w:rPr>
        <w:t>9</w:t>
      </w:r>
      <w:r w:rsidR="00E61C19" w:rsidRPr="0071007C">
        <w:rPr>
          <w:lang w:val="en-GB"/>
        </w:rPr>
        <w:t>.8</w:t>
      </w:r>
      <w:r w:rsidR="00EC0C35" w:rsidRPr="0071007C">
        <w:rPr>
          <w:lang w:val="en-GB"/>
        </w:rPr>
        <w:tab/>
      </w:r>
      <w:r w:rsidR="00E61C19" w:rsidRPr="0071007C">
        <w:rPr>
          <w:lang w:val="en-GB"/>
        </w:rPr>
        <w:t>DEVELOPING SAFEGUARDING MEASURES</w:t>
      </w:r>
      <w:bookmarkEnd w:id="26"/>
      <w:bookmarkEnd w:id="27"/>
      <w:bookmarkEnd w:id="28"/>
    </w:p>
    <w:p w14:paraId="4A1AAA08" w14:textId="77777777" w:rsidR="00E61C19" w:rsidRPr="00D90418" w:rsidRDefault="00E61C19" w:rsidP="002D5639">
      <w:pPr>
        <w:pStyle w:val="Texte1"/>
      </w:pPr>
      <w:r w:rsidRPr="00787639">
        <w:t>Identifyin</w:t>
      </w:r>
      <w:r w:rsidRPr="00D44CAC">
        <w:t xml:space="preserve">g, preparing and implementing successful safeguarding measures for individual elements might cover most if not all of the following actions, </w:t>
      </w:r>
      <w:r w:rsidRPr="00D90418">
        <w:t>not necessarily in the order below:</w:t>
      </w:r>
    </w:p>
    <w:p w14:paraId="7BF9C6A6" w14:textId="77777777" w:rsidR="00E61C19" w:rsidRPr="00787639" w:rsidRDefault="00E61C19" w:rsidP="00AD2211">
      <w:pPr>
        <w:pStyle w:val="Txtpucegras"/>
      </w:pPr>
      <w:r w:rsidRPr="00787639">
        <w:t>Establish who will work together and draw up an initial working plan. If the</w:t>
      </w:r>
      <w:r w:rsidR="001D0283" w:rsidRPr="00787639">
        <w:t xml:space="preserve"> </w:t>
      </w:r>
      <w:r w:rsidRPr="00787639">
        <w:t>initiative does not come from within the community, involve community representatives from the start and make sure that they do indeed represent that community.</w:t>
      </w:r>
    </w:p>
    <w:p w14:paraId="3846D507" w14:textId="77777777" w:rsidR="00E61C19" w:rsidRPr="00787639" w:rsidRDefault="00E61C19" w:rsidP="00952DBE">
      <w:pPr>
        <w:pStyle w:val="Txtpucegras"/>
      </w:pPr>
      <w:r w:rsidRPr="00787639">
        <w:t>Determine the current viability of the element.</w:t>
      </w:r>
    </w:p>
    <w:p w14:paraId="106737CD" w14:textId="7E905E14" w:rsidR="00E61C19" w:rsidRPr="00787639" w:rsidRDefault="00E61C19">
      <w:pPr>
        <w:pStyle w:val="Txtpucegras"/>
      </w:pPr>
      <w:r w:rsidRPr="00787639">
        <w:t>Identify any existing threats to the viability of the element.</w:t>
      </w:r>
    </w:p>
    <w:p w14:paraId="62D4672C" w14:textId="77777777" w:rsidR="00E61C19" w:rsidRPr="00787639" w:rsidRDefault="00E61C19">
      <w:pPr>
        <w:pStyle w:val="Txtpucegras"/>
      </w:pPr>
      <w:r w:rsidRPr="00787639">
        <w:t>Identify any future risks to the viability of the element.</w:t>
      </w:r>
    </w:p>
    <w:p w14:paraId="0986E991" w14:textId="77777777" w:rsidR="00E61C19" w:rsidRPr="00787639" w:rsidRDefault="00E61C19">
      <w:pPr>
        <w:pStyle w:val="Txtpucegras"/>
      </w:pPr>
      <w:r w:rsidRPr="00787639">
        <w:t>Identify and evaluate previous and current safeguarding measures (if any).</w:t>
      </w:r>
    </w:p>
    <w:p w14:paraId="17BB0657" w14:textId="77777777" w:rsidR="00E61C19" w:rsidRPr="00787639" w:rsidRDefault="00E61C19">
      <w:pPr>
        <w:pStyle w:val="Txtpucegras"/>
      </w:pPr>
      <w:r w:rsidRPr="00787639">
        <w:t>Inform the community concerned, making use of means that are tailored to</w:t>
      </w:r>
      <w:r w:rsidR="001D0283" w:rsidRPr="00787639">
        <w:t xml:space="preserve"> </w:t>
      </w:r>
      <w:r w:rsidRPr="00787639">
        <w:t>the occasion. If appropriate, inform other communities.</w:t>
      </w:r>
    </w:p>
    <w:p w14:paraId="7CEF06F3" w14:textId="77777777" w:rsidR="00E61C19" w:rsidRPr="00787639" w:rsidRDefault="00E61C19">
      <w:pPr>
        <w:pStyle w:val="Txtpucegras"/>
      </w:pPr>
      <w:r w:rsidRPr="00787639">
        <w:t>Determine the commitment within the community concerned, and outside</w:t>
      </w:r>
      <w:r w:rsidR="001D0283" w:rsidRPr="00787639">
        <w:t xml:space="preserve"> </w:t>
      </w:r>
      <w:r w:rsidRPr="00787639">
        <w:t>it, to safeguarding the element.</w:t>
      </w:r>
    </w:p>
    <w:p w14:paraId="78EAA630" w14:textId="77777777" w:rsidR="00E61C19" w:rsidRPr="00787639" w:rsidRDefault="00E61C19">
      <w:pPr>
        <w:pStyle w:val="Txtpucegras"/>
      </w:pPr>
      <w:r w:rsidRPr="00787639">
        <w:t>If appropriate, identify or create a structure that will coordinate the</w:t>
      </w:r>
      <w:r w:rsidR="001D0283" w:rsidRPr="00787639">
        <w:t xml:space="preserve"> </w:t>
      </w:r>
      <w:r w:rsidRPr="00787639">
        <w:t>implementation of the measures – with the involvement of community members.</w:t>
      </w:r>
    </w:p>
    <w:p w14:paraId="5CF680D6" w14:textId="77777777" w:rsidR="00E61C19" w:rsidRPr="00787639" w:rsidRDefault="00E61C19">
      <w:pPr>
        <w:pStyle w:val="Txtpucegras"/>
      </w:pPr>
      <w:r w:rsidRPr="00787639">
        <w:t>Prioritize and cost the safeguarding measures.</w:t>
      </w:r>
    </w:p>
    <w:p w14:paraId="77B98641" w14:textId="77777777" w:rsidR="00E61C19" w:rsidRPr="00787639" w:rsidRDefault="00E61C19">
      <w:pPr>
        <w:pStyle w:val="Txtpucegras"/>
      </w:pPr>
      <w:r w:rsidRPr="00787639">
        <w:t>Obtain community consent to the implementation of the safeguarding</w:t>
      </w:r>
      <w:r w:rsidR="001D0283" w:rsidRPr="00787639">
        <w:t xml:space="preserve"> </w:t>
      </w:r>
      <w:r w:rsidRPr="00787639">
        <w:t>measures.</w:t>
      </w:r>
    </w:p>
    <w:p w14:paraId="236056C3" w14:textId="77777777" w:rsidR="00E61C19" w:rsidRPr="00787639" w:rsidRDefault="00E61C19">
      <w:pPr>
        <w:pStyle w:val="Txtpucegras"/>
      </w:pPr>
      <w:r w:rsidRPr="00787639">
        <w:t>Find resources (human and material) to implement the safeguarding</w:t>
      </w:r>
      <w:r w:rsidR="001D0283" w:rsidRPr="00787639">
        <w:t xml:space="preserve"> </w:t>
      </w:r>
      <w:r w:rsidRPr="00787639">
        <w:t>measures.</w:t>
      </w:r>
    </w:p>
    <w:p w14:paraId="41ED4717" w14:textId="77777777" w:rsidR="00E61C19" w:rsidRPr="00787639" w:rsidRDefault="00E61C19">
      <w:pPr>
        <w:pStyle w:val="Txtpucegras"/>
      </w:pPr>
      <w:r w:rsidRPr="00787639">
        <w:t>Implement the safeguarding measures.</w:t>
      </w:r>
    </w:p>
    <w:p w14:paraId="46CD0570" w14:textId="77777777" w:rsidR="00E61C19" w:rsidRPr="00787639" w:rsidRDefault="00E61C19">
      <w:pPr>
        <w:pStyle w:val="Txtpucegras"/>
      </w:pPr>
      <w:r w:rsidRPr="00787639">
        <w:t>Monitor and evaluate the impact of the safeguarding measures.</w:t>
      </w:r>
    </w:p>
    <w:p w14:paraId="4256697C" w14:textId="77777777" w:rsidR="00E61C19" w:rsidRPr="00787639" w:rsidRDefault="00E61C19">
      <w:pPr>
        <w:pStyle w:val="Txtpucegras"/>
      </w:pPr>
      <w:r w:rsidRPr="00787639">
        <w:t>If necessary, adjust the safeguarding measures.</w:t>
      </w:r>
    </w:p>
    <w:p w14:paraId="4768922E" w14:textId="037612F7" w:rsidR="00BF57B3" w:rsidRPr="00C06994" w:rsidRDefault="00EC0C35">
      <w:pPr>
        <w:pStyle w:val="Informations"/>
      </w:pPr>
      <w:r w:rsidRPr="00AD244C">
        <w:rPr>
          <w:noProof/>
          <w:lang w:val="fr-FR" w:eastAsia="fr-FR"/>
        </w:rPr>
        <w:drawing>
          <wp:anchor distT="0" distB="0" distL="114300" distR="114300" simplePos="0" relativeHeight="251737600" behindDoc="0" locked="0" layoutInCell="1" allowOverlap="1" wp14:anchorId="190498C1" wp14:editId="4B865131">
            <wp:simplePos x="0" y="0"/>
            <wp:positionH relativeFrom="column">
              <wp:posOffset>0</wp:posOffset>
            </wp:positionH>
            <wp:positionV relativeFrom="paragraph">
              <wp:posOffset>107950</wp:posOffset>
            </wp:positionV>
            <wp:extent cx="283695" cy="358970"/>
            <wp:effectExtent l="0" t="0" r="0" b="0"/>
            <wp:wrapThrough wrapText="bothSides">
              <wp:wrapPolygon edited="0">
                <wp:start x="0" y="0"/>
                <wp:lineTo x="0" y="19880"/>
                <wp:lineTo x="19372" y="19880"/>
                <wp:lineTo x="19372" y="0"/>
                <wp:lineTo x="0" y="0"/>
              </wp:wrapPolygon>
            </wp:wrapThrough>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E13B6A" w:rsidRPr="00787639">
        <w:t>C</w:t>
      </w:r>
      <w:r w:rsidR="00E61C19" w:rsidRPr="00D44CAC">
        <w:t>ase studies</w:t>
      </w:r>
      <w:r w:rsidR="00C06994">
        <w:t> </w:t>
      </w:r>
      <w:r w:rsidR="00E61C19" w:rsidRPr="00D44CAC">
        <w:t>22–27, provide vario</w:t>
      </w:r>
      <w:r w:rsidR="00E61C19" w:rsidRPr="00D90418">
        <w:t>us examples of safeguarding measures developed and/or implemented for elements of ICH; some but not all of these elements are inscribed on a List of the Convention.</w:t>
      </w:r>
    </w:p>
    <w:sectPr w:rsidR="00BF57B3" w:rsidRPr="00C06994" w:rsidSect="00B60555">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1905" w:h="16837"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873ED" w:rsidRDefault="004873ED" w:rsidP="000F4C6A">
      <w:r>
        <w:separator/>
      </w:r>
    </w:p>
    <w:p w14:paraId="262E9671" w14:textId="77777777" w:rsidR="004873ED" w:rsidRDefault="004873ED"/>
  </w:endnote>
  <w:endnote w:type="continuationSeparator" w:id="0">
    <w:p w14:paraId="26A4114D" w14:textId="77777777" w:rsidR="004873ED" w:rsidRDefault="004873ED" w:rsidP="000F4C6A">
      <w:r>
        <w:continuationSeparator/>
      </w:r>
    </w:p>
    <w:p w14:paraId="7F3872B0" w14:textId="77777777" w:rsidR="004873ED" w:rsidRDefault="0048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23AB2" w14:textId="63C23E35" w:rsidR="00166A8A" w:rsidRPr="008B4139" w:rsidRDefault="004873ED" w:rsidP="009D4AB5">
    <w:pPr>
      <w:pStyle w:val="Footer"/>
      <w:rPr>
        <w:lang w:val="en-US"/>
      </w:rPr>
    </w:pPr>
    <w:r w:rsidRPr="008B4139">
      <w:rPr>
        <w:noProof/>
        <w:snapToGrid/>
        <w:lang w:eastAsia="fr-FR"/>
      </w:rPr>
      <w:drawing>
        <wp:anchor distT="0" distB="0" distL="114300" distR="114300" simplePos="0" relativeHeight="251991040" behindDoc="0" locked="1" layoutInCell="1" allowOverlap="0" wp14:anchorId="2403E22E" wp14:editId="4408CA04">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8B4139">
      <w:rPr>
        <w:rStyle w:val="PageNumber"/>
        <w:lang w:val="en-US"/>
      </w:rPr>
      <w:tab/>
    </w:r>
    <w:r w:rsidRPr="008B4139">
      <w:rPr>
        <w:lang w:val="en-US"/>
      </w:rPr>
      <w:t xml:space="preserve">© UNESCO • Not to be reproduced without permission </w:t>
    </w:r>
    <w:r w:rsidRPr="008B4139">
      <w:rPr>
        <w:lang w:val="en-US"/>
      </w:rPr>
      <w:tab/>
      <w:t>U0</w:t>
    </w:r>
    <w:r w:rsidR="00767F03">
      <w:rPr>
        <w:lang w:val="en-US"/>
      </w:rPr>
      <w:t>09</w:t>
    </w:r>
    <w:r w:rsidRPr="008B4139">
      <w:rPr>
        <w:lang w:val="en-US"/>
      </w:rPr>
      <w:t>-v1.</w:t>
    </w:r>
    <w:r w:rsidR="00545807">
      <w:rPr>
        <w:lang w:val="en-US"/>
      </w:rPr>
      <w:t>1</w:t>
    </w:r>
    <w:r w:rsidRPr="008B4139">
      <w:rPr>
        <w:lang w:val="en-US"/>
      </w:rPr>
      <w:t>-PT-EN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2DD9651A" w:rsidR="004873ED" w:rsidRPr="008B4139" w:rsidRDefault="004873ED" w:rsidP="00CB334B">
    <w:pPr>
      <w:pStyle w:val="Footer"/>
      <w:rPr>
        <w:lang w:val="en-US"/>
      </w:rPr>
    </w:pPr>
    <w:r w:rsidRPr="008B4139">
      <w:rPr>
        <w:lang w:val="en-US"/>
      </w:rPr>
      <w:t>U0</w:t>
    </w:r>
    <w:r w:rsidR="00767F03">
      <w:rPr>
        <w:lang w:val="en-US"/>
      </w:rPr>
      <w:t>09</w:t>
    </w:r>
    <w:r w:rsidRPr="008B4139">
      <w:rPr>
        <w:lang w:val="en-US"/>
      </w:rPr>
      <w:t>-v1.</w:t>
    </w:r>
    <w:r w:rsidR="00545807">
      <w:rPr>
        <w:lang w:val="en-US"/>
      </w:rPr>
      <w:t>1</w:t>
    </w:r>
    <w:r w:rsidRPr="008B4139">
      <w:rPr>
        <w:lang w:val="en-US"/>
      </w:rPr>
      <w:t>-PT-EN</w:t>
    </w:r>
    <w:r w:rsidRPr="008B4139">
      <w:rPr>
        <w:lang w:val="en-US"/>
      </w:rPr>
      <w:tab/>
      <w:t>© UNESCO • Not to be reproduced without permission</w:t>
    </w:r>
    <w:r w:rsidRPr="008B4139">
      <w:rPr>
        <w:lang w:val="en-US"/>
      </w:rPr>
      <w:tab/>
    </w:r>
    <w:r w:rsidRPr="008B4139">
      <w:rPr>
        <w:noProof/>
        <w:snapToGrid/>
        <w:lang w:eastAsia="fr-FR"/>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EDC6" w14:textId="080854DD" w:rsidR="004873ED" w:rsidRPr="008B4139" w:rsidRDefault="00767F03" w:rsidP="00DA711D">
    <w:pPr>
      <w:pStyle w:val="Footer"/>
      <w:rPr>
        <w:lang w:val="en-US"/>
      </w:rPr>
    </w:pPr>
    <w:r w:rsidRPr="008B4139">
      <w:rPr>
        <w:lang w:val="en-US"/>
      </w:rPr>
      <w:t>U</w:t>
    </w:r>
    <w:r>
      <w:rPr>
        <w:lang w:val="en-US"/>
      </w:rPr>
      <w:t>009</w:t>
    </w:r>
    <w:r w:rsidR="004873ED" w:rsidRPr="008B4139">
      <w:rPr>
        <w:lang w:val="en-US"/>
      </w:rPr>
      <w:t>-v1.</w:t>
    </w:r>
    <w:r w:rsidR="00545807">
      <w:rPr>
        <w:lang w:val="en-US"/>
      </w:rPr>
      <w:t>1</w:t>
    </w:r>
    <w:r w:rsidR="004873ED" w:rsidRPr="008B4139">
      <w:rPr>
        <w:lang w:val="en-US"/>
      </w:rPr>
      <w:t>-PT-EN</w:t>
    </w:r>
    <w:r w:rsidR="004873ED" w:rsidRPr="008B4139">
      <w:rPr>
        <w:lang w:val="en-US"/>
      </w:rPr>
      <w:tab/>
      <w:t>© UNESCO • Not to be reproduced without permission</w:t>
    </w:r>
    <w:r w:rsidR="004873ED" w:rsidRPr="008B4139">
      <w:rPr>
        <w:lang w:val="en-US"/>
      </w:rPr>
      <w:tab/>
    </w:r>
    <w:r w:rsidR="004873ED" w:rsidRPr="008B4139">
      <w:rPr>
        <w:noProof/>
        <w:snapToGrid/>
        <w:lang w:eastAsia="fr-FR"/>
      </w:rPr>
      <w:drawing>
        <wp:anchor distT="0" distB="0" distL="114300" distR="114300" simplePos="0" relativeHeight="252050432" behindDoc="0" locked="1" layoutInCell="1" allowOverlap="0" wp14:anchorId="26B79FD2" wp14:editId="6D7AFB6D">
          <wp:simplePos x="0" y="0"/>
          <wp:positionH relativeFrom="margin">
            <wp:posOffset>4680585</wp:posOffset>
          </wp:positionH>
          <wp:positionV relativeFrom="margin">
            <wp:posOffset>8641080</wp:posOffset>
          </wp:positionV>
          <wp:extent cx="942975" cy="53848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873ED" w:rsidRDefault="004873ED" w:rsidP="00117DDB">
      <w:pPr>
        <w:ind w:left="0"/>
      </w:pPr>
      <w:r>
        <w:separator/>
      </w:r>
    </w:p>
  </w:footnote>
  <w:footnote w:type="continuationSeparator" w:id="0">
    <w:p w14:paraId="2DF99750" w14:textId="77777777" w:rsidR="004873ED" w:rsidRDefault="004873ED" w:rsidP="000F4C6A">
      <w:r>
        <w:continuationSeparator/>
      </w:r>
    </w:p>
    <w:p w14:paraId="5B2EB559" w14:textId="77777777" w:rsidR="004873ED" w:rsidRDefault="004873ED"/>
  </w:footnote>
  <w:footnote w:id="1">
    <w:p w14:paraId="58492D51" w14:textId="6CC94BA6" w:rsidR="004873ED" w:rsidRPr="008A1398" w:rsidRDefault="004873ED" w:rsidP="00491965">
      <w:pPr>
        <w:pStyle w:val="FootnoteText"/>
        <w:rPr>
          <w:lang w:val="en-GB"/>
        </w:rPr>
      </w:pPr>
      <w:r w:rsidRPr="008A1398">
        <w:rPr>
          <w:rStyle w:val="FootnoteReference"/>
          <w:sz w:val="16"/>
          <w:szCs w:val="16"/>
          <w:vertAlign w:val="baseline"/>
          <w:lang w:val="en-GB"/>
        </w:rPr>
        <w:t>1.</w:t>
      </w:r>
      <w:r w:rsidRPr="008A1398">
        <w:rPr>
          <w:lang w:val="en-GB"/>
        </w:rPr>
        <w:tab/>
      </w:r>
      <w:r w:rsidR="00DB5F2D" w:rsidRPr="008A1398">
        <w:rPr>
          <w:lang w:val="en-GB"/>
        </w:rPr>
        <w:t xml:space="preserve">Frequently referred to as the ‘Intangible Heritage Convention’, the ‘2003 Convention’ and, for the purpose of this </w:t>
      </w:r>
      <w:r w:rsidR="009467F3">
        <w:rPr>
          <w:lang w:val="en-GB"/>
        </w:rPr>
        <w:t>u</w:t>
      </w:r>
      <w:r w:rsidR="00DB5F2D" w:rsidRPr="008A1398">
        <w:rPr>
          <w:lang w:val="en-GB"/>
        </w:rPr>
        <w:t>nit, simply the ‘Convention’.</w:t>
      </w:r>
    </w:p>
  </w:footnote>
  <w:footnote w:id="2">
    <w:p w14:paraId="02B55E99" w14:textId="64A2152F" w:rsidR="004873ED" w:rsidRPr="008A1398" w:rsidRDefault="004873ED" w:rsidP="0057663D">
      <w:pPr>
        <w:pStyle w:val="FootnoteText"/>
        <w:rPr>
          <w:lang w:val="en-GB"/>
        </w:rPr>
      </w:pPr>
      <w:r w:rsidRPr="008A1398">
        <w:rPr>
          <w:rStyle w:val="FootnoteReference"/>
          <w:sz w:val="16"/>
          <w:szCs w:val="16"/>
          <w:vertAlign w:val="baseline"/>
          <w:lang w:val="en-GB"/>
        </w:rPr>
        <w:t>2.</w:t>
      </w:r>
      <w:r w:rsidRPr="008A1398">
        <w:rPr>
          <w:lang w:val="en-GB"/>
        </w:rPr>
        <w:tab/>
      </w:r>
      <w:r w:rsidRPr="008A1398">
        <w:rPr>
          <w:lang w:val="en-GB"/>
        </w:rPr>
        <w:tab/>
      </w:r>
      <w:r w:rsidRPr="00500962">
        <w:rPr>
          <w:lang w:val="en-GB"/>
        </w:rPr>
        <w:t xml:space="preserve">Intangible Heritage Messenger, 2007, No. </w:t>
      </w:r>
      <w:r w:rsidR="001E70E2" w:rsidRPr="00500962">
        <w:rPr>
          <w:lang w:val="en-GB"/>
        </w:rPr>
        <w:t>6</w:t>
      </w:r>
      <w:r w:rsidRPr="00500962">
        <w:rPr>
          <w:lang w:val="en-GB"/>
        </w:rPr>
        <w:t>, May</w:t>
      </w:r>
      <w:r w:rsidRPr="008A1398">
        <w:rPr>
          <w:lang w:val="en-GB"/>
        </w:rPr>
        <w:t xml:space="preserve">. </w:t>
      </w:r>
      <w:hyperlink r:id="rId1" w:history="1">
        <w:r w:rsidR="0057663D" w:rsidRPr="006C0EC9">
          <w:rPr>
            <w:rStyle w:val="Hyperlink"/>
            <w:lang w:val="en-GB"/>
          </w:rPr>
          <w:t>http://unesdoc.unesco.org/images/0015/001506/150671e.pdf</w:t>
        </w:r>
      </w:hyperlink>
      <w:bookmarkStart w:id="19" w:name="_GoBack"/>
      <w:bookmarkEnd w:id="19"/>
    </w:p>
  </w:footnote>
  <w:footnote w:id="3">
    <w:p w14:paraId="02FAC976" w14:textId="572CC8D4" w:rsidR="004873ED" w:rsidRPr="001E0D28" w:rsidRDefault="004873ED">
      <w:pPr>
        <w:pStyle w:val="FootnoteText"/>
        <w:rPr>
          <w:lang w:val="en-GB"/>
        </w:rPr>
      </w:pPr>
      <w:r w:rsidRPr="00545807">
        <w:rPr>
          <w:rStyle w:val="FootnoteReference"/>
          <w:sz w:val="16"/>
          <w:szCs w:val="16"/>
          <w:vertAlign w:val="baseline"/>
        </w:rPr>
        <w:footnoteRef/>
      </w:r>
      <w:r w:rsidRPr="00C06994">
        <w:rPr>
          <w:rStyle w:val="FootnoteReference"/>
          <w:sz w:val="16"/>
          <w:szCs w:val="16"/>
          <w:vertAlign w:val="baseline"/>
          <w:lang w:val="en-GB"/>
        </w:rPr>
        <w:t>.</w:t>
      </w:r>
      <w:r w:rsidRPr="00C06994">
        <w:rPr>
          <w:lang w:val="en-GB"/>
        </w:rPr>
        <w:tab/>
        <w:t xml:space="preserve">Batik nomination file, UNESCO website. See also L. </w:t>
      </w:r>
      <w:proofErr w:type="spellStart"/>
      <w:r w:rsidRPr="00C06994">
        <w:rPr>
          <w:lang w:val="en-GB"/>
        </w:rPr>
        <w:t>Lowthorp</w:t>
      </w:r>
      <w:proofErr w:type="spellEnd"/>
      <w:r w:rsidRPr="00C06994">
        <w:rPr>
          <w:lang w:val="en-GB"/>
        </w:rPr>
        <w:t>, 2010, ‘National Intangible Cultural Heritage (ICH) Legislation and initiatives’, UNESCO, New Delhi Office, p.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7013549A" w:rsidR="004873ED" w:rsidRDefault="004873ED">
    <w:pPr>
      <w:pStyle w:val="Header"/>
    </w:pPr>
    <w:r>
      <w:rPr>
        <w:rStyle w:val="PageNumber"/>
      </w:rPr>
      <w:fldChar w:fldCharType="begin"/>
    </w:r>
    <w:r>
      <w:rPr>
        <w:rStyle w:val="PageNumber"/>
      </w:rPr>
      <w:instrText xml:space="preserve"> PAGE </w:instrText>
    </w:r>
    <w:r>
      <w:rPr>
        <w:rStyle w:val="PageNumber"/>
      </w:rPr>
      <w:fldChar w:fldCharType="separate"/>
    </w:r>
    <w:r w:rsidR="006C0EC9">
      <w:rPr>
        <w:rStyle w:val="PageNumber"/>
        <w:noProof/>
      </w:rPr>
      <w:t>6</w:t>
    </w:r>
    <w:r>
      <w:rPr>
        <w:rStyle w:val="PageNumber"/>
      </w:rPr>
      <w:fldChar w:fldCharType="end"/>
    </w:r>
    <w:r>
      <w:tab/>
    </w:r>
    <w:r>
      <w:rPr>
        <w:szCs w:val="16"/>
      </w:rPr>
      <w:t xml:space="preserve">Unit </w:t>
    </w:r>
    <w:r w:rsidR="00767F03">
      <w:rPr>
        <w:szCs w:val="16"/>
      </w:rPr>
      <w:t>9: Safeguarding</w:t>
    </w:r>
    <w:r>
      <w:tab/>
      <w:t xml:space="preserve">Participant’s text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FB59" w14:textId="30A18DA9" w:rsidR="004873ED" w:rsidRPr="00DB506E" w:rsidRDefault="004873ED" w:rsidP="009D4AB5">
    <w:pPr>
      <w:pStyle w:val="Header"/>
    </w:pPr>
    <w:r>
      <w:t>Participant’s text</w:t>
    </w:r>
    <w:r>
      <w:tab/>
    </w:r>
    <w:r w:rsidR="00767F03">
      <w:rPr>
        <w:szCs w:val="16"/>
      </w:rPr>
      <w:t>Unit 9: Safeguarding</w:t>
    </w:r>
    <w:r>
      <w:tab/>
    </w:r>
    <w:r>
      <w:rPr>
        <w:rStyle w:val="PageNumber"/>
      </w:rPr>
      <w:fldChar w:fldCharType="begin"/>
    </w:r>
    <w:r>
      <w:rPr>
        <w:rStyle w:val="PageNumber"/>
      </w:rPr>
      <w:instrText xml:space="preserve"> PAGE </w:instrText>
    </w:r>
    <w:r>
      <w:rPr>
        <w:rStyle w:val="PageNumber"/>
      </w:rPr>
      <w:fldChar w:fldCharType="separate"/>
    </w:r>
    <w:r w:rsidR="006C0EC9">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1B3E" w14:textId="6DBFAA03" w:rsidR="004873ED" w:rsidRDefault="004873ED" w:rsidP="00065059">
    <w:pPr>
      <w:pStyle w:val="Header"/>
      <w:ind w:right="360"/>
    </w:pPr>
    <w:r>
      <w:tab/>
      <w:t xml:space="preserve">Participant’s text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ED2692A2"/>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57345">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843"/>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6CC5"/>
    <w:rsid w:val="000C08B2"/>
    <w:rsid w:val="000C0E6A"/>
    <w:rsid w:val="000C2812"/>
    <w:rsid w:val="000C2D7C"/>
    <w:rsid w:val="000C3AB5"/>
    <w:rsid w:val="000C4C10"/>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1215"/>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62AC"/>
    <w:rsid w:val="00166A8A"/>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0E2"/>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521F"/>
    <w:rsid w:val="00235DC5"/>
    <w:rsid w:val="00243CC1"/>
    <w:rsid w:val="002440CE"/>
    <w:rsid w:val="00244283"/>
    <w:rsid w:val="00246192"/>
    <w:rsid w:val="00253333"/>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F8E"/>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642D"/>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06F9D"/>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542FE"/>
    <w:rsid w:val="00460BA9"/>
    <w:rsid w:val="00461004"/>
    <w:rsid w:val="00466D6B"/>
    <w:rsid w:val="004671E8"/>
    <w:rsid w:val="0047474E"/>
    <w:rsid w:val="00475F68"/>
    <w:rsid w:val="00476162"/>
    <w:rsid w:val="00477C3F"/>
    <w:rsid w:val="00482544"/>
    <w:rsid w:val="00482FAD"/>
    <w:rsid w:val="00483E5F"/>
    <w:rsid w:val="004873ED"/>
    <w:rsid w:val="00487F47"/>
    <w:rsid w:val="00491965"/>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0962"/>
    <w:rsid w:val="00501117"/>
    <w:rsid w:val="005011E9"/>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5807"/>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63D"/>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C31D5"/>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593"/>
    <w:rsid w:val="0061494B"/>
    <w:rsid w:val="00614CB8"/>
    <w:rsid w:val="00615968"/>
    <w:rsid w:val="00615CE8"/>
    <w:rsid w:val="00616CEB"/>
    <w:rsid w:val="00621FCA"/>
    <w:rsid w:val="00625277"/>
    <w:rsid w:val="006273B9"/>
    <w:rsid w:val="00630559"/>
    <w:rsid w:val="0063095F"/>
    <w:rsid w:val="00630C52"/>
    <w:rsid w:val="00631657"/>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0EC9"/>
    <w:rsid w:val="006C3379"/>
    <w:rsid w:val="006C6F2C"/>
    <w:rsid w:val="006D3839"/>
    <w:rsid w:val="006D3F50"/>
    <w:rsid w:val="006D52B1"/>
    <w:rsid w:val="006D65B3"/>
    <w:rsid w:val="006D7EAB"/>
    <w:rsid w:val="006E1465"/>
    <w:rsid w:val="006E147C"/>
    <w:rsid w:val="006E14A0"/>
    <w:rsid w:val="006E45F1"/>
    <w:rsid w:val="006E5029"/>
    <w:rsid w:val="006E528B"/>
    <w:rsid w:val="006E61DF"/>
    <w:rsid w:val="006E76BE"/>
    <w:rsid w:val="006F0100"/>
    <w:rsid w:val="006F07A6"/>
    <w:rsid w:val="006F146C"/>
    <w:rsid w:val="006F42AA"/>
    <w:rsid w:val="006F4915"/>
    <w:rsid w:val="006F64E6"/>
    <w:rsid w:val="00701EE2"/>
    <w:rsid w:val="00703853"/>
    <w:rsid w:val="0070388C"/>
    <w:rsid w:val="0070685A"/>
    <w:rsid w:val="0071007C"/>
    <w:rsid w:val="007102EC"/>
    <w:rsid w:val="00713A17"/>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4FA8"/>
    <w:rsid w:val="0076686C"/>
    <w:rsid w:val="007669D0"/>
    <w:rsid w:val="00767F03"/>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199B"/>
    <w:rsid w:val="007B3D5A"/>
    <w:rsid w:val="007C222C"/>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1398"/>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467F3"/>
    <w:rsid w:val="00947385"/>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4AB5"/>
    <w:rsid w:val="009E1392"/>
    <w:rsid w:val="009E36E3"/>
    <w:rsid w:val="009E3CFB"/>
    <w:rsid w:val="009E459E"/>
    <w:rsid w:val="009E47DA"/>
    <w:rsid w:val="009E59B1"/>
    <w:rsid w:val="009F275E"/>
    <w:rsid w:val="009F2DD8"/>
    <w:rsid w:val="009F3AAE"/>
    <w:rsid w:val="009F6803"/>
    <w:rsid w:val="00A0101C"/>
    <w:rsid w:val="00A02DF9"/>
    <w:rsid w:val="00A03231"/>
    <w:rsid w:val="00A04665"/>
    <w:rsid w:val="00A0517A"/>
    <w:rsid w:val="00A05FCD"/>
    <w:rsid w:val="00A06A5A"/>
    <w:rsid w:val="00A121CB"/>
    <w:rsid w:val="00A129FC"/>
    <w:rsid w:val="00A1335D"/>
    <w:rsid w:val="00A14E17"/>
    <w:rsid w:val="00A15A6A"/>
    <w:rsid w:val="00A162F3"/>
    <w:rsid w:val="00A217A0"/>
    <w:rsid w:val="00A228F7"/>
    <w:rsid w:val="00A26548"/>
    <w:rsid w:val="00A27F81"/>
    <w:rsid w:val="00A31ED9"/>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7E2"/>
    <w:rsid w:val="00A67DA7"/>
    <w:rsid w:val="00A716C2"/>
    <w:rsid w:val="00A734AC"/>
    <w:rsid w:val="00A775DA"/>
    <w:rsid w:val="00A80468"/>
    <w:rsid w:val="00A81058"/>
    <w:rsid w:val="00A81421"/>
    <w:rsid w:val="00A83B80"/>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168E5"/>
    <w:rsid w:val="00B217EE"/>
    <w:rsid w:val="00B24530"/>
    <w:rsid w:val="00B245A2"/>
    <w:rsid w:val="00B2590B"/>
    <w:rsid w:val="00B26124"/>
    <w:rsid w:val="00B31B06"/>
    <w:rsid w:val="00B31D6C"/>
    <w:rsid w:val="00B32948"/>
    <w:rsid w:val="00B43374"/>
    <w:rsid w:val="00B5184E"/>
    <w:rsid w:val="00B53A40"/>
    <w:rsid w:val="00B545FC"/>
    <w:rsid w:val="00B54BB0"/>
    <w:rsid w:val="00B554D7"/>
    <w:rsid w:val="00B55B6D"/>
    <w:rsid w:val="00B570D4"/>
    <w:rsid w:val="00B57BFE"/>
    <w:rsid w:val="00B603FA"/>
    <w:rsid w:val="00B60555"/>
    <w:rsid w:val="00B63045"/>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7C"/>
    <w:rsid w:val="00BE1A87"/>
    <w:rsid w:val="00BE486A"/>
    <w:rsid w:val="00BF300D"/>
    <w:rsid w:val="00BF4B81"/>
    <w:rsid w:val="00BF57B3"/>
    <w:rsid w:val="00C01918"/>
    <w:rsid w:val="00C05680"/>
    <w:rsid w:val="00C05A18"/>
    <w:rsid w:val="00C06994"/>
    <w:rsid w:val="00C06D96"/>
    <w:rsid w:val="00C07366"/>
    <w:rsid w:val="00C10A1F"/>
    <w:rsid w:val="00C16C54"/>
    <w:rsid w:val="00C17136"/>
    <w:rsid w:val="00C17F25"/>
    <w:rsid w:val="00C209BC"/>
    <w:rsid w:val="00C223B7"/>
    <w:rsid w:val="00C2455A"/>
    <w:rsid w:val="00C27CF6"/>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2D56"/>
    <w:rsid w:val="00C63065"/>
    <w:rsid w:val="00C67642"/>
    <w:rsid w:val="00C70B5B"/>
    <w:rsid w:val="00C71A18"/>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4155"/>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3D3C"/>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5F2D"/>
    <w:rsid w:val="00DB7A41"/>
    <w:rsid w:val="00DC01F1"/>
    <w:rsid w:val="00DC0EC6"/>
    <w:rsid w:val="00DC2C8F"/>
    <w:rsid w:val="00DC2D07"/>
    <w:rsid w:val="00DC2DB4"/>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3E22"/>
    <w:rsid w:val="00E07B52"/>
    <w:rsid w:val="00E122E3"/>
    <w:rsid w:val="00E13B6A"/>
    <w:rsid w:val="00E14A69"/>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3F4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420F"/>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A49AE"/>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C71A18"/>
    <w:pPr>
      <w:numPr>
        <w:numId w:val="6"/>
      </w:numPr>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63165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C71A18"/>
    <w:pPr>
      <w:numPr>
        <w:numId w:val="6"/>
      </w:numPr>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63165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52" Type="http://schemas.microsoft.com/office/2011/relationships/people" Target="people.xml"/><Relationship Id="rId10" Type="http://schemas.openxmlformats.org/officeDocument/2006/relationships/image" Target="media/image2.jpg"/><Relationship Id="rId19" Type="http://schemas.openxmlformats.org/officeDocument/2006/relationships/fontTable" Target="fontTable.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15/001506/150671e.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0B4D-10A8-453E-B603-F366DCE0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19391</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2014-07-23T12:53:00Z</dcterms:created>
  <dcterms:modified xsi:type="dcterms:W3CDTF">2015-09-24T14:20:00Z</dcterms:modified>
</cp:coreProperties>
</file>