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2C79AF" w:rsidRDefault="00BD7FCE" w:rsidP="002C79AF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bookmarkStart w:id="0" w:name="_Toc241229778"/>
      <w:bookmarkStart w:id="1" w:name="_Toc241229982"/>
      <w:bookmarkStart w:id="2" w:name="_Toc242165676"/>
      <w:r w:rsidRPr="002C79AF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B467C0" w:rsidRPr="002C79AF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</w:t>
      </w:r>
      <w:r w:rsidR="00E751D1" w:rsidRPr="002C79AF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8</w:t>
      </w:r>
    </w:p>
    <w:bookmarkEnd w:id="0"/>
    <w:bookmarkEnd w:id="1"/>
    <w:bookmarkEnd w:id="2"/>
    <w:p w:rsidR="00BD7FCE" w:rsidRPr="002C79AF" w:rsidRDefault="00BD7FCE" w:rsidP="002C79AF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 w:rsidRPr="002C79AF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الورقة</w:t>
      </w:r>
      <w:r w:rsidRPr="002C79AF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="00A03903" w:rsidRPr="002C79AF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الثانية</w:t>
      </w:r>
      <w:r w:rsidRPr="002C79AF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المعدة</w:t>
      </w:r>
      <w:r w:rsidRPr="002C79AF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Pr="002C79AF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للتوزيع</w:t>
      </w:r>
      <w:r w:rsidRPr="002C79AF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>:</w:t>
      </w:r>
    </w:p>
    <w:p w:rsidR="00B467C0" w:rsidRPr="002C79AF" w:rsidRDefault="0007695A" w:rsidP="002C79AF">
      <w:pP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lang w:val="en-US" w:bidi="ar-IQ"/>
        </w:rPr>
      </w:pPr>
      <w:r w:rsidRPr="002C79AF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أربع حالات توضيحية</w:t>
      </w:r>
    </w:p>
    <w:p w:rsidR="00A913BC" w:rsidRDefault="0007695A" w:rsidP="002C79AF">
      <w:pPr>
        <w:bidi/>
        <w:spacing w:after="200" w:line="240" w:lineRule="auto"/>
        <w:ind w:left="851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2C79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(1)</w:t>
      </w:r>
      <w:r w:rsidR="002C79AF" w:rsidRPr="002C79A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ab/>
      </w:r>
      <w:r w:rsidR="0014557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تخص الحالة الأولى ممارسة اجتماعية في أفريقيا جنوب الصحراء الكبرى تُنظِّم</w:t>
      </w:r>
      <w:r w:rsidR="002C79A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9107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علاقة</w:t>
      </w:r>
      <w:r w:rsidR="0014557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الاحترام بين </w:t>
      </w:r>
      <w:r w:rsidR="0080691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النساء المتزوجات وأحمائهن. ومن </w:t>
      </w:r>
      <w:r w:rsidR="009107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أصول</w:t>
      </w:r>
      <w:r w:rsidR="0080691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هذه الممارسة أن </w:t>
      </w:r>
      <w:r w:rsidR="00110A8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تُسمى</w:t>
      </w:r>
      <w:r w:rsidR="0046794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80691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العروس باسم جديد</w:t>
      </w:r>
      <w:r w:rsidR="002C79A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110A8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يمنحها إياه أحماؤها الذين يطلبون منها أيضاً أن تتزيّا بطريقة معينة</w:t>
      </w:r>
      <w:r w:rsidR="00C535F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هذا إلى جانب</w:t>
      </w:r>
      <w:r w:rsidR="00110A8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C535F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استبعادها من مجمَّع العائلة (</w:t>
      </w:r>
      <w:proofErr w:type="spellStart"/>
      <w:r w:rsidR="00C535F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كرال</w:t>
      </w:r>
      <w:proofErr w:type="spellEnd"/>
      <w:r w:rsidR="00C535F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="002C79A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C535F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الذي تُجرى فيه جميع الطقوس الاجتماعية والثقافية. وعلى الرغم من أن هذه الممارسة </w:t>
      </w:r>
      <w:r w:rsidR="007349E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لا تمثل كما يبدو</w:t>
      </w:r>
      <w:r w:rsidR="008073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7349E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حالة </w:t>
      </w:r>
      <w:r w:rsidR="008073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خطيرة </w:t>
      </w:r>
      <w:r w:rsidR="00812FA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من التمييز المحتمل بين الجنسين، هناك بعض العناصر التي يمكن أن تُعتبر انتهاكاً لحقوق العروس الثقافية وغيرها من الحقوق وتثير تساؤلات مهمة بش</w:t>
      </w:r>
      <w:r w:rsidR="002C79A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812FA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ن كيفية التعامل مع مثل هذه الممارسات الثقافية.</w:t>
      </w:r>
    </w:p>
    <w:p w:rsidR="00812FA6" w:rsidRDefault="00812FA6" w:rsidP="002C79AF">
      <w:pPr>
        <w:bidi/>
        <w:spacing w:after="200" w:line="240" w:lineRule="auto"/>
        <w:ind w:left="851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2C79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 w:rsidR="00624189" w:rsidRPr="002C79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2</w:t>
      </w:r>
      <w:r w:rsidRPr="002C79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="002C79AF" w:rsidRPr="002C79A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ab/>
      </w:r>
      <w:r w:rsidR="0082493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 w:rsidR="006241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تتعلق الحالة الثانية </w:t>
      </w:r>
      <w:r w:rsidR="005C403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بطقس خاص من طقوس البلوغ</w:t>
      </w:r>
      <w:r w:rsidR="002C79A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5C403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يُمارس في غرب </w:t>
      </w:r>
      <w:r w:rsidR="002C79A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أفريقيا</w:t>
      </w:r>
      <w:r w:rsidR="005C403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حيث جرت التقاليد </w:t>
      </w:r>
      <w:r w:rsidR="00181EF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على عزل </w:t>
      </w:r>
      <w:r w:rsidR="005C403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الفتيات المراهقات </w:t>
      </w:r>
      <w:r w:rsidR="00972E2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لمدة تتراوح بين 9 أشهر و12 شهراً. وقد أضحت هذه الممارسة غير عملية </w:t>
      </w:r>
      <w:r w:rsidR="00181EF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في العصر الحديث الذي يتطلب </w:t>
      </w:r>
      <w:r w:rsidR="0032548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التحاق الفتيات بالتعليم النظامي. وقد </w:t>
      </w:r>
      <w:r w:rsidR="002C79A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32548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لغي اليوم جانب العزل من هذا الطقس إلا أن دلالته الاجتماعية بالنسبة للنساء والفتيات لاتزال باقية.</w:t>
      </w:r>
    </w:p>
    <w:p w:rsidR="00824931" w:rsidRDefault="00824931" w:rsidP="002C79AF">
      <w:pPr>
        <w:bidi/>
        <w:spacing w:after="200" w:line="240" w:lineRule="auto"/>
        <w:ind w:left="851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2C79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(3)</w:t>
      </w:r>
      <w:r w:rsidR="002C79AF" w:rsidRPr="002C79A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ab/>
      </w:r>
      <w:r w:rsidR="001452A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وتقع الحالة الثالثة في إحدى جزر المحيط الهادي حيث يُمارس إجراء عرفي </w:t>
      </w:r>
      <w:r w:rsidR="00A955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لإصلاح ذات البين بين طرفين أحدهما أخطأ بحق الآخر، فيقوم الطرف المخطئ بتقديم هدية صلح واعتذار للطرف الذي أسيء إليه</w:t>
      </w:r>
      <w:r w:rsidR="00AC53E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 ولكن جرى استغلال هذه الممارسة من قبل الرجال المتهمين بحوادث اغتصاب مما حدا باللجنة المعنية بالقضاء على التمييز ضد المرأة (</w:t>
      </w:r>
      <w:r w:rsidR="004D61C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المنبثقة عن </w:t>
      </w:r>
      <w:r w:rsidR="00AC53E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اتفاقية القضاء على جميع أشكال</w:t>
      </w:r>
      <w:r w:rsidR="004D61C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التمييز ضد المرأة)</w:t>
      </w:r>
      <w:r w:rsidR="00AC53E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4D61C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أن توصي حكومة البلد المعني بإلغاء هذه الممارسة التقليدية. </w:t>
      </w:r>
      <w:r w:rsidR="001468F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وتمثل هذه </w:t>
      </w:r>
      <w:r w:rsidR="003824A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الحالة </w:t>
      </w:r>
      <w:r w:rsidR="001468F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نموذجاً ممتازاً لعنصر تراثي غير مادي </w:t>
      </w:r>
      <w:r w:rsidR="00EE5E4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أزيلت أو عُدّلت بعض جوانبه غير المقبولة وأبقي على محتواه الأساسي.</w:t>
      </w:r>
    </w:p>
    <w:p w:rsidR="00EE5E4F" w:rsidRPr="0007695A" w:rsidRDefault="00EE5E4F" w:rsidP="002C79AF">
      <w:pPr>
        <w:bidi/>
        <w:spacing w:after="200" w:line="240" w:lineRule="auto"/>
        <w:ind w:left="851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2C79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(4)</w:t>
      </w:r>
      <w:r w:rsidR="002C79AF" w:rsidRPr="002C79A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ab/>
      </w:r>
      <w:r w:rsidR="00353EB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أما الحالة الرابعة فتخص </w:t>
      </w:r>
      <w:r w:rsidR="00633D4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الحصول على</w:t>
      </w:r>
      <w:r w:rsidR="00F901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633D4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ماء الشرب من بئر في قرية بالهند تقوم بجلبه تقليديا</w:t>
      </w:r>
      <w:r w:rsidR="002C79A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</w:t>
      </w:r>
      <w:r w:rsidR="00F901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النساء الريفيات</w:t>
      </w:r>
      <w:r w:rsidR="00633D4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. ويتحكم الوضع الاجتماعي </w:t>
      </w:r>
      <w:r w:rsidR="003824A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الطبقي بعملية الحصول على الماء من البئر، وفي بعض الأيام تستبعد النساء من الطائفة أو الطبقة الدنيا </w:t>
      </w:r>
      <w:bookmarkStart w:id="3" w:name="_GoBack"/>
      <w:bookmarkEnd w:id="3"/>
      <w:r w:rsidR="003824A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من جلب الماء من البئر.</w:t>
      </w:r>
    </w:p>
    <w:sectPr w:rsidR="00EE5E4F" w:rsidRPr="0007695A" w:rsidSect="002C79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1A" w:rsidRDefault="00681D1A" w:rsidP="006742B2">
      <w:pPr>
        <w:spacing w:after="0" w:line="240" w:lineRule="auto"/>
      </w:pPr>
      <w:r>
        <w:separator/>
      </w:r>
    </w:p>
  </w:endnote>
  <w:endnote w:type="continuationSeparator" w:id="0">
    <w:p w:rsidR="00681D1A" w:rsidRDefault="00681D1A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BC" w:rsidRPr="00A913BC" w:rsidRDefault="00A913BC" w:rsidP="0007695A">
    <w:pPr>
      <w:pStyle w:val="Footer"/>
      <w:bidi/>
      <w:rPr>
        <w:rFonts w:ascii="Traditional Arabic" w:hAnsi="Traditional Arabic" w:cs="Traditional Arabic"/>
        <w:sz w:val="26"/>
        <w:szCs w:val="26"/>
        <w:rtl/>
        <w:lang w:bidi="ar-LB"/>
      </w:rPr>
    </w:pPr>
    <w:r>
      <w:t>U048-v1.0-HO</w:t>
    </w:r>
    <w:r w:rsidR="0007695A">
      <w:t>2</w:t>
    </w:r>
    <w:r>
      <w:t>-AR</w:t>
    </w:r>
    <w:r w:rsidRPr="00A913BC">
      <w:rPr>
        <w:rFonts w:ascii="Traditional Arabic" w:hAnsi="Traditional Arabic" w:cs="Traditional Arabic"/>
        <w:sz w:val="26"/>
        <w:szCs w:val="26"/>
        <w:rtl/>
        <w:lang w:bidi="ar-LB"/>
      </w:rPr>
      <w:t xml:space="preserve"> </w:t>
    </w:r>
    <w:r>
      <w:rPr>
        <w:rFonts w:ascii="Traditional Arabic" w:hAnsi="Traditional Arabic" w:cs="Traditional Arabic"/>
        <w:sz w:val="26"/>
        <w:szCs w:val="26"/>
        <w:rtl/>
        <w:lang w:bidi="ar-LB"/>
      </w:rPr>
      <w:tab/>
    </w:r>
    <w:r w:rsidRPr="00A913BC">
      <w:rPr>
        <w:rFonts w:ascii="Traditional Arabic" w:hAnsi="Traditional Arabic" w:cs="Traditional Arabic"/>
        <w:sz w:val="26"/>
        <w:szCs w:val="26"/>
        <w:rtl/>
        <w:lang w:bidi="ar-LB"/>
      </w:rPr>
      <w:t>©‏ اليونسكو - لا يجوز استنساخ هذه الوثيقة بدون إذن مسبق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2C79AF" w:rsidTr="002C79AF">
      <w:tc>
        <w:tcPr>
          <w:tcW w:w="1234" w:type="pct"/>
          <w:vAlign w:val="center"/>
          <w:hideMark/>
        </w:tcPr>
        <w:p w:rsidR="002C79AF" w:rsidRDefault="002C79AF" w:rsidP="002C79AF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>
                <wp:extent cx="1041400" cy="668020"/>
                <wp:effectExtent l="0" t="0" r="6350" b="0"/>
                <wp:docPr id="1" name="Image 1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2C79AF" w:rsidRDefault="002C79AF" w:rsidP="00F7616B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  <w:hideMark/>
        </w:tcPr>
        <w:p w:rsidR="002C79AF" w:rsidRDefault="002C79AF" w:rsidP="002C79AF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U048-v1</w:t>
          </w:r>
          <w:r>
            <w:rPr>
              <w:rFonts w:asciiTheme="minorBidi" w:hAnsiTheme="minorBidi"/>
              <w:sz w:val="18"/>
              <w:szCs w:val="18"/>
            </w:rPr>
            <w:t>.0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.HO2-AR</w:t>
          </w:r>
        </w:p>
      </w:tc>
    </w:tr>
  </w:tbl>
  <w:p w:rsidR="002C79AF" w:rsidRPr="002C79AF" w:rsidRDefault="00F7616B" w:rsidP="002C79AF">
    <w:pPr>
      <w:pStyle w:val="Footer"/>
    </w:pPr>
    <w:r>
      <w:rPr>
        <w:rFonts w:eastAsia="Calibri" w:cs="Times New Roman"/>
        <w:noProof/>
        <w:sz w:val="16"/>
        <w:lang w:eastAsia="zh-TW"/>
      </w:rPr>
      <w:drawing>
        <wp:anchor distT="0" distB="0" distL="114300" distR="114300" simplePos="0" relativeHeight="251658752" behindDoc="0" locked="0" layoutInCell="1" allowOverlap="1" wp14:anchorId="40E215E6" wp14:editId="3C6EDDF0">
          <wp:simplePos x="0" y="0"/>
          <wp:positionH relativeFrom="column">
            <wp:posOffset>2936240</wp:posOffset>
          </wp:positionH>
          <wp:positionV relativeFrom="paragraph">
            <wp:posOffset>-153670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1A" w:rsidRDefault="00681D1A" w:rsidP="006742B2">
      <w:pPr>
        <w:spacing w:after="0" w:line="240" w:lineRule="auto"/>
      </w:pPr>
      <w:r>
        <w:separator/>
      </w:r>
    </w:p>
  </w:footnote>
  <w:footnote w:type="continuationSeparator" w:id="0">
    <w:p w:rsidR="00681D1A" w:rsidRDefault="00681D1A" w:rsidP="006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CE" w:rsidRDefault="00BD7FCE" w:rsidP="00BD7FCE">
    <w:pPr>
      <w:pStyle w:val="Header"/>
      <w:jc w:val="center"/>
    </w:pPr>
    <w:r w:rsidRPr="00142CEC">
      <w:rPr>
        <w:rFonts w:eastAsia="Times New Roman" w:cs="Traditional Arabic" w:hint="cs"/>
        <w:kern w:val="36"/>
        <w:sz w:val="26"/>
        <w:szCs w:val="24"/>
        <w:rtl/>
        <w:lang w:eastAsia="en-GB" w:bidi="ar-MA"/>
      </w:rPr>
      <w:t>ورقة</w:t>
    </w:r>
    <w:r w:rsidRPr="00142CEC">
      <w:rPr>
        <w:rFonts w:eastAsia="Times New Roman" w:cs="Traditional Arabic"/>
        <w:kern w:val="36"/>
        <w:sz w:val="26"/>
        <w:szCs w:val="24"/>
        <w:rtl/>
        <w:lang w:eastAsia="en-GB" w:bidi="ar-MA"/>
      </w:rPr>
      <w:t xml:space="preserve"> </w:t>
    </w:r>
    <w:r w:rsidRPr="00142CEC">
      <w:rPr>
        <w:rFonts w:eastAsia="Times New Roman" w:cs="Traditional Arabic" w:hint="cs"/>
        <w:kern w:val="36"/>
        <w:sz w:val="26"/>
        <w:szCs w:val="24"/>
        <w:rtl/>
        <w:lang w:eastAsia="en-GB" w:bidi="ar-MA"/>
      </w:rPr>
      <w:t>معدة</w:t>
    </w:r>
    <w:r w:rsidRPr="00142CEC">
      <w:rPr>
        <w:rFonts w:eastAsia="Times New Roman" w:cs="Traditional Arabic"/>
        <w:kern w:val="36"/>
        <w:sz w:val="26"/>
        <w:szCs w:val="24"/>
        <w:rtl/>
        <w:lang w:eastAsia="en-GB" w:bidi="ar-MA"/>
      </w:rPr>
      <w:t xml:space="preserve"> </w:t>
    </w:r>
    <w:r w:rsidRPr="00142CEC">
      <w:rPr>
        <w:rFonts w:eastAsia="Times New Roman" w:cs="Traditional Arabic" w:hint="cs"/>
        <w:kern w:val="36"/>
        <w:sz w:val="26"/>
        <w:szCs w:val="24"/>
        <w:rtl/>
        <w:lang w:eastAsia="en-GB" w:bidi="ar-MA"/>
      </w:rPr>
      <w:t>للتوزيع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2C79AF" w:rsidTr="002C79AF">
      <w:trPr>
        <w:jc w:val="center"/>
      </w:trPr>
      <w:tc>
        <w:tcPr>
          <w:tcW w:w="1667" w:type="pct"/>
        </w:tcPr>
        <w:p w:rsidR="002C79AF" w:rsidRDefault="002C79AF" w:rsidP="002C79AF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2C79AF" w:rsidRDefault="002C79AF" w:rsidP="002C79AF">
          <w:pPr>
            <w:pStyle w:val="Header"/>
            <w:jc w:val="center"/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</w:p>
      </w:tc>
      <w:tc>
        <w:tcPr>
          <w:tcW w:w="1667" w:type="pct"/>
        </w:tcPr>
        <w:p w:rsidR="002C79AF" w:rsidRDefault="002C79AF" w:rsidP="002C79AF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2C79AF" w:rsidRPr="002C79AF" w:rsidRDefault="002C79AF" w:rsidP="002C7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ADF"/>
    <w:multiLevelType w:val="hybridMultilevel"/>
    <w:tmpl w:val="9D7E9C58"/>
    <w:lvl w:ilvl="0" w:tplc="FDA43E0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4"/>
    <w:rsid w:val="0007695A"/>
    <w:rsid w:val="00110A81"/>
    <w:rsid w:val="001452A1"/>
    <w:rsid w:val="00145570"/>
    <w:rsid w:val="001468F8"/>
    <w:rsid w:val="00181EF5"/>
    <w:rsid w:val="0018413A"/>
    <w:rsid w:val="002C3868"/>
    <w:rsid w:val="002C79AF"/>
    <w:rsid w:val="0032548A"/>
    <w:rsid w:val="00353EB5"/>
    <w:rsid w:val="003824AB"/>
    <w:rsid w:val="003E3DD2"/>
    <w:rsid w:val="0046794C"/>
    <w:rsid w:val="004D61C6"/>
    <w:rsid w:val="005C403E"/>
    <w:rsid w:val="005F3CAC"/>
    <w:rsid w:val="0062208C"/>
    <w:rsid w:val="00624189"/>
    <w:rsid w:val="00633D49"/>
    <w:rsid w:val="006742B2"/>
    <w:rsid w:val="00681D1A"/>
    <w:rsid w:val="007349E8"/>
    <w:rsid w:val="007B0DFC"/>
    <w:rsid w:val="00805824"/>
    <w:rsid w:val="0080691F"/>
    <w:rsid w:val="008073B9"/>
    <w:rsid w:val="00812FA6"/>
    <w:rsid w:val="00824931"/>
    <w:rsid w:val="0091074D"/>
    <w:rsid w:val="00972E27"/>
    <w:rsid w:val="00A03903"/>
    <w:rsid w:val="00A05746"/>
    <w:rsid w:val="00A913BC"/>
    <w:rsid w:val="00A955B8"/>
    <w:rsid w:val="00AC53EE"/>
    <w:rsid w:val="00B467C0"/>
    <w:rsid w:val="00BD7FCE"/>
    <w:rsid w:val="00BF2A4A"/>
    <w:rsid w:val="00C535FA"/>
    <w:rsid w:val="00E751D1"/>
    <w:rsid w:val="00EE5E4F"/>
    <w:rsid w:val="00F0439E"/>
    <w:rsid w:val="00F7616B"/>
    <w:rsid w:val="00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E33F-DA3A-4756-A5AA-81D7718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table" w:styleId="TableGrid">
    <w:name w:val="Table Grid"/>
    <w:basedOn w:val="TableNormal"/>
    <w:rsid w:val="002C7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Kaddoura, Maha</dc:creator>
  <cp:keywords/>
  <dc:description/>
  <cp:lastModifiedBy>Kim, Dain</cp:lastModifiedBy>
  <cp:revision>5</cp:revision>
  <dcterms:created xsi:type="dcterms:W3CDTF">2016-04-29T15:06:00Z</dcterms:created>
  <dcterms:modified xsi:type="dcterms:W3CDTF">2018-04-20T12:27:00Z</dcterms:modified>
</cp:coreProperties>
</file>