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39" w:rsidRPr="00216C72" w:rsidRDefault="009306AE" w:rsidP="004936EF">
      <w:pPr>
        <w:pStyle w:val="Chapitre"/>
        <w:rPr>
          <w:noProof w:val="0"/>
          <w:kern w:val="0"/>
          <w:sz w:val="72"/>
          <w:lang w:val="fr-FR"/>
        </w:rPr>
      </w:pPr>
      <w:r w:rsidRPr="00216C72">
        <w:rPr>
          <w:b w:val="0"/>
          <w:caps w:val="0"/>
          <w:sz w:val="72"/>
          <w:szCs w:val="20"/>
          <w:lang w:val="fr-FR" w:eastAsia="ja-JP"/>
        </w:rPr>
        <w:drawing>
          <wp:anchor distT="0" distB="0" distL="114300" distR="114300" simplePos="0" relativeHeight="251678720" behindDoc="1" locked="1" layoutInCell="1" allowOverlap="0" wp14:anchorId="32B8687C" wp14:editId="678D2773">
            <wp:simplePos x="0" y="0"/>
            <wp:positionH relativeFrom="margin">
              <wp:posOffset>431800</wp:posOffset>
            </wp:positionH>
            <wp:positionV relativeFrom="margin">
              <wp:posOffset>1980565</wp:posOffset>
            </wp:positionV>
            <wp:extent cx="4870411" cy="4498145"/>
            <wp:effectExtent l="0" t="0" r="6985" b="0"/>
            <wp:wrapNone/>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bookmarkStart w:id="0" w:name="_Toc302374698"/>
      <w:r w:rsidR="00301CC8" w:rsidRPr="00216C72">
        <w:rPr>
          <w:noProof w:val="0"/>
          <w:kern w:val="0"/>
          <w:sz w:val="72"/>
          <w:lang w:val="fr-FR"/>
        </w:rPr>
        <w:t>Unité 44</w:t>
      </w:r>
    </w:p>
    <w:bookmarkEnd w:id="0"/>
    <w:p w:rsidR="009306AE" w:rsidRDefault="00301CC8" w:rsidP="00216C72">
      <w:pPr>
        <w:pStyle w:val="UPlan"/>
        <w:rPr>
          <w:rFonts w:eastAsia="Calibri"/>
          <w:lang w:val="fr-FR"/>
        </w:rPr>
      </w:pPr>
      <w:r w:rsidRPr="008A55CC">
        <w:rPr>
          <w:lang w:val="fr-FR"/>
        </w:rPr>
        <w:t>atelier sur la préparation des candidatures:</w:t>
      </w:r>
      <w:bookmarkStart w:id="1" w:name="_GoBack"/>
      <w:bookmarkEnd w:id="1"/>
      <w:r w:rsidRPr="008A55CC">
        <w:rPr>
          <w:lang w:val="fr-FR"/>
        </w:rPr>
        <w:t xml:space="preserve"> </w:t>
      </w:r>
      <w:r w:rsidRPr="008A55CC">
        <w:rPr>
          <w:rFonts w:eastAsia="Calibri"/>
          <w:lang w:val="fr-FR"/>
        </w:rPr>
        <w:t>séance de clÔture</w:t>
      </w:r>
    </w:p>
    <w:p w:rsidR="00CC4ADC" w:rsidRPr="00325834" w:rsidRDefault="00CC4ADC" w:rsidP="00CC4ADC">
      <w:pPr>
        <w:tabs>
          <w:tab w:val="clear" w:pos="567"/>
        </w:tabs>
        <w:snapToGrid/>
        <w:spacing w:before="480"/>
        <w:jc w:val="left"/>
        <w:rPr>
          <w:rFonts w:eastAsia="Times New Roman"/>
          <w:szCs w:val="22"/>
          <w:lang w:val="fr-FR" w:eastAsia="pt-BR"/>
        </w:rPr>
      </w:pPr>
      <w:r w:rsidRPr="00325834">
        <w:rPr>
          <w:rFonts w:eastAsia="Times New Roman"/>
          <w:szCs w:val="22"/>
          <w:lang w:val="fr-FR" w:eastAsia="pt-BR"/>
        </w:rPr>
        <w:t xml:space="preserve">Publié en </w:t>
      </w:r>
      <w:r w:rsidR="00E7765A">
        <w:rPr>
          <w:rFonts w:eastAsia="Times New Roman"/>
          <w:szCs w:val="22"/>
          <w:lang w:val="fr-FR" w:eastAsia="pt-BR"/>
        </w:rPr>
        <w:t>2016</w:t>
      </w:r>
      <w:r w:rsidRPr="00325834">
        <w:rPr>
          <w:rFonts w:eastAsia="Times New Roman"/>
          <w:szCs w:val="22"/>
          <w:lang w:val="fr-FR" w:eastAsia="pt-BR"/>
        </w:rPr>
        <w:t xml:space="preserve"> par l’Organisation des Nations Unies pour l’éducation, la science et la culture </w:t>
      </w:r>
    </w:p>
    <w:p w:rsidR="00CC4ADC" w:rsidRPr="00325834" w:rsidRDefault="00CC4ADC" w:rsidP="00CC4ADC">
      <w:pPr>
        <w:autoSpaceDE w:val="0"/>
        <w:autoSpaceDN w:val="0"/>
        <w:adjustRightInd w:val="0"/>
        <w:rPr>
          <w:szCs w:val="22"/>
          <w:lang w:val="fr-FR"/>
        </w:rPr>
      </w:pPr>
      <w:r w:rsidRPr="00325834">
        <w:rPr>
          <w:szCs w:val="22"/>
          <w:lang w:val="fr-FR"/>
        </w:rPr>
        <w:t>7, place de Fontenoy, 75352 Paris 07 SP, France</w:t>
      </w:r>
    </w:p>
    <w:p w:rsidR="00CC4ADC" w:rsidRPr="00325834" w:rsidRDefault="00CC4ADC" w:rsidP="00CC4ADC">
      <w:pPr>
        <w:autoSpaceDE w:val="0"/>
        <w:autoSpaceDN w:val="0"/>
        <w:adjustRightInd w:val="0"/>
        <w:rPr>
          <w:szCs w:val="22"/>
          <w:lang w:val="fr-FR"/>
        </w:rPr>
      </w:pPr>
    </w:p>
    <w:p w:rsidR="00CC4ADC" w:rsidRPr="0063660E" w:rsidRDefault="00CC4ADC" w:rsidP="00CC4ADC">
      <w:pPr>
        <w:autoSpaceDE w:val="0"/>
        <w:autoSpaceDN w:val="0"/>
        <w:adjustRightInd w:val="0"/>
        <w:rPr>
          <w:szCs w:val="22"/>
          <w:lang w:val="fr-FR"/>
        </w:rPr>
      </w:pPr>
      <w:r w:rsidRPr="0063660E">
        <w:rPr>
          <w:szCs w:val="22"/>
          <w:lang w:val="fr-FR"/>
        </w:rPr>
        <w:t xml:space="preserve">© UNESCO </w:t>
      </w:r>
      <w:r w:rsidR="00E7765A">
        <w:rPr>
          <w:szCs w:val="22"/>
          <w:lang w:val="fr-FR"/>
        </w:rPr>
        <w:t>2016</w:t>
      </w:r>
    </w:p>
    <w:p w:rsidR="00CC4ADC" w:rsidRPr="0063660E" w:rsidRDefault="00CC4ADC" w:rsidP="00CC4ADC">
      <w:pPr>
        <w:autoSpaceDE w:val="0"/>
        <w:autoSpaceDN w:val="0"/>
        <w:adjustRightInd w:val="0"/>
        <w:rPr>
          <w:szCs w:val="22"/>
          <w:lang w:val="fr-FR"/>
        </w:rPr>
      </w:pPr>
      <w:r w:rsidRPr="00CA0F44">
        <w:rPr>
          <w:noProof/>
          <w:szCs w:val="22"/>
          <w:lang w:val="fr-FR" w:eastAsia="ja-JP"/>
        </w:rPr>
        <w:drawing>
          <wp:anchor distT="0" distB="0" distL="114300" distR="114300" simplePos="0" relativeHeight="251680768" behindDoc="0" locked="0" layoutInCell="1" allowOverlap="1" wp14:anchorId="1B3C342F" wp14:editId="6FAAA745">
            <wp:simplePos x="0" y="0"/>
            <wp:positionH relativeFrom="column">
              <wp:posOffset>-3810</wp:posOffset>
            </wp:positionH>
            <wp:positionV relativeFrom="paragraph">
              <wp:posOffset>202565</wp:posOffset>
            </wp:positionV>
            <wp:extent cx="756285" cy="265430"/>
            <wp:effectExtent l="0" t="0" r="571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CC4ADC" w:rsidRDefault="00CC4ADC" w:rsidP="00CC4ADC">
      <w:pPr>
        <w:autoSpaceDE w:val="0"/>
        <w:autoSpaceDN w:val="0"/>
        <w:adjustRightInd w:val="0"/>
        <w:rPr>
          <w:szCs w:val="22"/>
          <w:lang w:val="fr-FR"/>
        </w:rPr>
      </w:pPr>
    </w:p>
    <w:p w:rsidR="00CC4ADC" w:rsidRPr="00325834" w:rsidRDefault="00CC4ADC" w:rsidP="00CC4ADC">
      <w:pPr>
        <w:autoSpaceDE w:val="0"/>
        <w:autoSpaceDN w:val="0"/>
        <w:adjustRightInd w:val="0"/>
        <w:rPr>
          <w:szCs w:val="22"/>
          <w:lang w:val="fr-FR"/>
        </w:rPr>
      </w:pPr>
      <w:r w:rsidRPr="00325834">
        <w:rPr>
          <w:szCs w:val="22"/>
          <w:lang w:val="fr-FR"/>
        </w:rPr>
        <w:t>Œuvre publiée en libre accès sous la licence Attribution-ShareAlike 3.0 IGO (CC-BY-SA 3.0 IGO) (</w:t>
      </w:r>
      <w:hyperlink r:id="rId12" w:history="1">
        <w:r w:rsidRPr="00325834">
          <w:rPr>
            <w:szCs w:val="22"/>
            <w:lang w:val="fr-FR"/>
          </w:rPr>
          <w:t>http://creativecommons.org/licenses/by-sa/3.0/igo/</w:t>
        </w:r>
      </w:hyperlink>
      <w:r w:rsidRPr="00325834">
        <w:rPr>
          <w:szCs w:val="22"/>
          <w:lang w:val="fr-FR"/>
        </w:rPr>
        <w:t>). Les utilisateurs du contenu de la présente publication acceptent les termes d’utilisation de l’Archive ouverte de libre accès UNESCO (</w:t>
      </w:r>
      <w:hyperlink r:id="rId13" w:history="1">
        <w:r w:rsidRPr="00325834">
          <w:rPr>
            <w:szCs w:val="22"/>
            <w:lang w:val="fr-FR"/>
          </w:rPr>
          <w:t>www.unesco.org/open-access/terms-use-ccbysa-fr</w:t>
        </w:r>
      </w:hyperlink>
      <w:r w:rsidRPr="00325834">
        <w:rPr>
          <w:szCs w:val="22"/>
          <w:lang w:val="fr-FR"/>
        </w:rPr>
        <w:t>).</w:t>
      </w:r>
    </w:p>
    <w:p w:rsidR="00CC4ADC" w:rsidRPr="00325834" w:rsidRDefault="00CC4ADC" w:rsidP="00CC4ADC">
      <w:pPr>
        <w:autoSpaceDE w:val="0"/>
        <w:autoSpaceDN w:val="0"/>
        <w:adjustRightInd w:val="0"/>
        <w:rPr>
          <w:szCs w:val="22"/>
          <w:lang w:val="fr-FR"/>
        </w:rPr>
      </w:pPr>
      <w:r w:rsidRPr="00325834">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rsidR="00CC4ADC" w:rsidRPr="00325834" w:rsidRDefault="00CC4ADC" w:rsidP="00CC4ADC">
      <w:pPr>
        <w:autoSpaceDE w:val="0"/>
        <w:autoSpaceDN w:val="0"/>
        <w:adjustRightInd w:val="0"/>
        <w:rPr>
          <w:szCs w:val="22"/>
          <w:lang w:val="fr-FR"/>
        </w:rPr>
      </w:pPr>
    </w:p>
    <w:p w:rsidR="00CC4ADC" w:rsidRPr="00CA0F44" w:rsidRDefault="00CC4ADC" w:rsidP="00CC4ADC">
      <w:pPr>
        <w:autoSpaceDE w:val="0"/>
        <w:autoSpaceDN w:val="0"/>
        <w:adjustRightInd w:val="0"/>
        <w:rPr>
          <w:szCs w:val="22"/>
        </w:rPr>
      </w:pPr>
      <w:r w:rsidRPr="00CA0F44">
        <w:rPr>
          <w:szCs w:val="22"/>
        </w:rPr>
        <w:t xml:space="preserve">Titre original : </w:t>
      </w:r>
      <w:r>
        <w:rPr>
          <w:szCs w:val="22"/>
        </w:rPr>
        <w:t>Workshop on preparing nominations concluding session</w:t>
      </w:r>
    </w:p>
    <w:p w:rsidR="00CC4ADC" w:rsidRPr="00325834" w:rsidRDefault="00CC4ADC" w:rsidP="00CC4ADC">
      <w:pPr>
        <w:autoSpaceDE w:val="0"/>
        <w:autoSpaceDN w:val="0"/>
        <w:adjustRightInd w:val="0"/>
        <w:rPr>
          <w:szCs w:val="22"/>
          <w:lang w:val="fr-FR"/>
        </w:rPr>
      </w:pPr>
      <w:r w:rsidRPr="00325834">
        <w:rPr>
          <w:szCs w:val="22"/>
          <w:lang w:val="fr-FR"/>
        </w:rPr>
        <w:t xml:space="preserve">Publié en </w:t>
      </w:r>
      <w:r w:rsidR="00E7765A">
        <w:rPr>
          <w:szCs w:val="22"/>
          <w:lang w:val="fr-FR"/>
        </w:rPr>
        <w:t>2016</w:t>
      </w:r>
      <w:r w:rsidRPr="00325834">
        <w:rPr>
          <w:szCs w:val="22"/>
          <w:lang w:val="fr-FR"/>
        </w:rPr>
        <w:t xml:space="preserve"> par l’Organisation des Nations Unies pour l’éducation, la science et la culture </w:t>
      </w:r>
    </w:p>
    <w:p w:rsidR="00CC4ADC" w:rsidRPr="00325834" w:rsidRDefault="00CC4ADC" w:rsidP="00CC4ADC">
      <w:pPr>
        <w:autoSpaceDE w:val="0"/>
        <w:autoSpaceDN w:val="0"/>
        <w:adjustRightInd w:val="0"/>
        <w:rPr>
          <w:szCs w:val="22"/>
          <w:lang w:val="fr-FR"/>
        </w:rPr>
      </w:pPr>
    </w:p>
    <w:p w:rsidR="00CC4ADC" w:rsidRPr="00325834" w:rsidRDefault="00CC4ADC" w:rsidP="00CC4ADC">
      <w:pPr>
        <w:autoSpaceDE w:val="0"/>
        <w:autoSpaceDN w:val="0"/>
        <w:adjustRightInd w:val="0"/>
        <w:rPr>
          <w:szCs w:val="22"/>
          <w:lang w:val="fr-FR"/>
        </w:rPr>
      </w:pPr>
      <w:r w:rsidRPr="00325834">
        <w:rPr>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CC4ADC" w:rsidRPr="00325834" w:rsidRDefault="00CC4ADC" w:rsidP="00CC4ADC">
      <w:pPr>
        <w:autoSpaceDE w:val="0"/>
        <w:autoSpaceDN w:val="0"/>
        <w:adjustRightInd w:val="0"/>
        <w:rPr>
          <w:szCs w:val="22"/>
          <w:lang w:val="fr-FR"/>
        </w:rPr>
      </w:pPr>
    </w:p>
    <w:p w:rsidR="00CC4ADC" w:rsidRDefault="00CC4ADC" w:rsidP="00CC4ADC">
      <w:pPr>
        <w:autoSpaceDE w:val="0"/>
        <w:autoSpaceDN w:val="0"/>
        <w:adjustRightInd w:val="0"/>
        <w:rPr>
          <w:szCs w:val="22"/>
          <w:lang w:val="fr-FR"/>
        </w:rPr>
      </w:pPr>
      <w:r w:rsidRPr="00325834">
        <w:rPr>
          <w:szCs w:val="22"/>
          <w:lang w:val="fr-FR"/>
        </w:rPr>
        <w:t>Les idées et les opinions exprimées dans cette publication sont celles des auteurs ; elles ne reflètent pas nécessairement les points de vue de l’UNESCO et n’engagent en aucune façon l’Organisation.</w:t>
      </w:r>
    </w:p>
    <w:p w:rsidR="00CC4ADC" w:rsidRPr="00325834" w:rsidRDefault="00CC4ADC" w:rsidP="00CC4ADC">
      <w:pPr>
        <w:autoSpaceDE w:val="0"/>
        <w:autoSpaceDN w:val="0"/>
        <w:adjustRightInd w:val="0"/>
        <w:rPr>
          <w:szCs w:val="22"/>
          <w:lang w:val="fr-FR"/>
        </w:rPr>
      </w:pPr>
      <w:r>
        <w:rPr>
          <w:szCs w:val="22"/>
          <w:lang w:val="fr-FR"/>
        </w:rPr>
        <w:br w:type="page"/>
      </w:r>
    </w:p>
    <w:p w:rsidR="009306AE" w:rsidRPr="008A55CC" w:rsidRDefault="00301CC8" w:rsidP="00216C72">
      <w:pPr>
        <w:pStyle w:val="Titcoul"/>
        <w:rPr>
          <w:rFonts w:eastAsia="Calibri"/>
          <w:lang w:val="fr-FR"/>
        </w:rPr>
      </w:pPr>
      <w:r w:rsidRPr="008A55CC">
        <w:rPr>
          <w:lang w:val="fr-FR"/>
        </w:rPr>
        <w:lastRenderedPageBreak/>
        <w:t>plan de cours</w:t>
      </w:r>
    </w:p>
    <w:p w:rsidR="00075939" w:rsidRPr="00B159A4" w:rsidRDefault="00301CC8" w:rsidP="004936EF">
      <w:pPr>
        <w:pStyle w:val="UTit4"/>
        <w:rPr>
          <w:lang w:val="fr-FR"/>
        </w:rPr>
      </w:pPr>
      <w:r w:rsidRPr="00216C72">
        <w:rPr>
          <w:lang w:val="fr-FR"/>
        </w:rPr>
        <w:t>Durée :</w:t>
      </w:r>
    </w:p>
    <w:p w:rsidR="00075939" w:rsidRPr="00216C72" w:rsidRDefault="00301CC8" w:rsidP="00AD2C99">
      <w:pPr>
        <w:pStyle w:val="UTxt"/>
        <w:rPr>
          <w:i w:val="0"/>
          <w:lang w:eastAsia="en-US"/>
        </w:rPr>
      </w:pPr>
      <w:r w:rsidRPr="00216C72">
        <w:rPr>
          <w:i w:val="0"/>
          <w:lang w:eastAsia="en-US"/>
        </w:rPr>
        <w:t>1</w:t>
      </w:r>
      <w:r w:rsidR="0053224C">
        <w:rPr>
          <w:i w:val="0"/>
          <w:lang w:eastAsia="en-US"/>
        </w:rPr>
        <w:t> </w:t>
      </w:r>
      <w:r w:rsidRPr="00216C72">
        <w:rPr>
          <w:i w:val="0"/>
          <w:lang w:eastAsia="en-US"/>
        </w:rPr>
        <w:t>heure 30</w:t>
      </w:r>
      <w:r w:rsidR="0053224C">
        <w:rPr>
          <w:i w:val="0"/>
          <w:lang w:eastAsia="en-US"/>
        </w:rPr>
        <w:t> </w:t>
      </w:r>
      <w:r w:rsidRPr="00216C72">
        <w:rPr>
          <w:i w:val="0"/>
          <w:lang w:eastAsia="en-US"/>
        </w:rPr>
        <w:t>minutes</w:t>
      </w:r>
    </w:p>
    <w:p w:rsidR="00075939" w:rsidRPr="00B159A4" w:rsidRDefault="00301CC8" w:rsidP="004936EF">
      <w:pPr>
        <w:pStyle w:val="UTit4"/>
        <w:rPr>
          <w:lang w:val="fr-FR"/>
        </w:rPr>
      </w:pPr>
      <w:r w:rsidRPr="00216C72">
        <w:rPr>
          <w:lang w:val="fr-FR"/>
        </w:rPr>
        <w:t>Objectif(s) :</w:t>
      </w:r>
    </w:p>
    <w:p w:rsidR="00075939" w:rsidRPr="00B159A4" w:rsidRDefault="00301CC8" w:rsidP="002F30D8">
      <w:pPr>
        <w:pStyle w:val="UTxt"/>
        <w:rPr>
          <w:i w:val="0"/>
          <w:lang w:eastAsia="en-US"/>
        </w:rPr>
      </w:pPr>
      <w:r w:rsidRPr="00216C72">
        <w:rPr>
          <w:i w:val="0"/>
          <w:lang w:eastAsia="en-US"/>
        </w:rPr>
        <w:t xml:space="preserve">Évaluer les connaissances acquises sur la préparation des candidatures </w:t>
      </w:r>
      <w:r w:rsidR="00426F80" w:rsidRPr="00B159A4">
        <w:rPr>
          <w:i w:val="0"/>
          <w:lang w:eastAsia="en-US"/>
        </w:rPr>
        <w:t>en vue d’une i</w:t>
      </w:r>
      <w:r w:rsidRPr="00216C72">
        <w:rPr>
          <w:i w:val="0"/>
          <w:lang w:eastAsia="en-US"/>
        </w:rPr>
        <w:t>nscription sur les Listes de la Convention pour la sauvegarde du patrimoine culturel immatériel</w:t>
      </w:r>
      <w:r w:rsidRPr="00216C72">
        <w:rPr>
          <w:rStyle w:val="FootnoteReference"/>
          <w:i w:val="0"/>
          <w:lang w:eastAsia="en-US"/>
        </w:rPr>
        <w:footnoteReference w:id="1"/>
      </w:r>
      <w:r w:rsidRPr="00216C72">
        <w:rPr>
          <w:i w:val="0"/>
          <w:lang w:eastAsia="en-US"/>
        </w:rPr>
        <w:t xml:space="preserve"> et </w:t>
      </w:r>
      <w:r w:rsidR="00426F80" w:rsidRPr="00B159A4">
        <w:rPr>
          <w:i w:val="0"/>
          <w:lang w:eastAsia="en-US"/>
        </w:rPr>
        <w:t>répondre clairement aux</w:t>
      </w:r>
      <w:r w:rsidRPr="00216C72">
        <w:rPr>
          <w:i w:val="0"/>
          <w:lang w:eastAsia="en-US"/>
        </w:rPr>
        <w:t xml:space="preserve"> interrogations </w:t>
      </w:r>
      <w:r w:rsidR="00C1150D" w:rsidRPr="00B159A4">
        <w:rPr>
          <w:i w:val="0"/>
          <w:lang w:eastAsia="en-US"/>
        </w:rPr>
        <w:t xml:space="preserve">et questions </w:t>
      </w:r>
      <w:r w:rsidRPr="00216C72">
        <w:rPr>
          <w:i w:val="0"/>
          <w:lang w:eastAsia="en-US"/>
        </w:rPr>
        <w:t>en suspens.</w:t>
      </w:r>
    </w:p>
    <w:p w:rsidR="00075939" w:rsidRPr="00B159A4" w:rsidRDefault="00301CC8" w:rsidP="00E301E9">
      <w:pPr>
        <w:pStyle w:val="UTit4"/>
        <w:rPr>
          <w:lang w:val="fr-FR"/>
        </w:rPr>
      </w:pPr>
      <w:r w:rsidRPr="00216C72">
        <w:rPr>
          <w:lang w:val="fr-FR"/>
        </w:rPr>
        <w:t>Description :</w:t>
      </w:r>
    </w:p>
    <w:p w:rsidR="00075939" w:rsidRPr="00B159A4" w:rsidRDefault="00C1150D" w:rsidP="00AD2C99">
      <w:pPr>
        <w:pStyle w:val="UTxt"/>
        <w:rPr>
          <w:i w:val="0"/>
          <w:lang w:eastAsia="en-US"/>
        </w:rPr>
      </w:pPr>
      <w:r w:rsidRPr="00B159A4">
        <w:rPr>
          <w:i w:val="0"/>
          <w:lang w:eastAsia="en-US"/>
        </w:rPr>
        <w:t>Cette</w:t>
      </w:r>
      <w:r w:rsidR="00301CC8" w:rsidRPr="00216C72">
        <w:rPr>
          <w:i w:val="0"/>
          <w:lang w:eastAsia="en-US"/>
        </w:rPr>
        <w:t xml:space="preserve"> unité offre des </w:t>
      </w:r>
      <w:r w:rsidRPr="00B159A4">
        <w:rPr>
          <w:i w:val="0"/>
          <w:lang w:eastAsia="en-US"/>
        </w:rPr>
        <w:t>lignes de conduite</w:t>
      </w:r>
      <w:r w:rsidR="00301CC8" w:rsidRPr="00216C72">
        <w:rPr>
          <w:i w:val="0"/>
          <w:lang w:eastAsia="en-US"/>
        </w:rPr>
        <w:t xml:space="preserve"> sur la façon d’évaluer les connaissances qu’ont les participants des sujets couverts à l’atelier. Des questions à choix multiple sur les connaissances élémentaires en </w:t>
      </w:r>
      <w:r w:rsidR="00426F80" w:rsidRPr="00B159A4">
        <w:rPr>
          <w:i w:val="0"/>
          <w:lang w:eastAsia="en-US"/>
        </w:rPr>
        <w:t>termes</w:t>
      </w:r>
      <w:r w:rsidR="00301CC8" w:rsidRPr="00216C72">
        <w:rPr>
          <w:i w:val="0"/>
          <w:lang w:eastAsia="en-US"/>
        </w:rPr>
        <w:t xml:space="preserve"> de candidatures à l’inscription sur les Listes de la Convention constituent le principal instrument </w:t>
      </w:r>
      <w:r w:rsidR="00426F80" w:rsidRPr="00B159A4">
        <w:rPr>
          <w:i w:val="0"/>
          <w:lang w:eastAsia="en-US"/>
        </w:rPr>
        <w:t>d</w:t>
      </w:r>
      <w:r w:rsidR="00301CC8" w:rsidRPr="00216C72">
        <w:rPr>
          <w:i w:val="0"/>
          <w:lang w:eastAsia="en-US"/>
        </w:rPr>
        <w:t xml:space="preserve">’évaluation. Les </w:t>
      </w:r>
      <w:r w:rsidR="00655110">
        <w:rPr>
          <w:i w:val="0"/>
          <w:lang w:eastAsia="en-US"/>
        </w:rPr>
        <w:t>a</w:t>
      </w:r>
      <w:r w:rsidR="00301CC8" w:rsidRPr="00216C72">
        <w:rPr>
          <w:i w:val="0"/>
          <w:lang w:eastAsia="en-US"/>
        </w:rPr>
        <w:t xml:space="preserve">ide-mémoire pour l’élaboration de candidatures sur les Listes de la Convention – la Liste </w:t>
      </w:r>
      <w:r w:rsidR="00194365">
        <w:rPr>
          <w:i w:val="0"/>
          <w:lang w:eastAsia="en-US"/>
        </w:rPr>
        <w:t xml:space="preserve">du patrimoine immatériel nécessitant une </w:t>
      </w:r>
      <w:r w:rsidR="00301CC8" w:rsidRPr="00216C72">
        <w:rPr>
          <w:i w:val="0"/>
          <w:lang w:eastAsia="en-US"/>
        </w:rPr>
        <w:t>sauvegarde urgente et la Liste représentative</w:t>
      </w:r>
      <w:r w:rsidR="00D46614">
        <w:rPr>
          <w:i w:val="0"/>
          <w:lang w:eastAsia="en-US"/>
        </w:rPr>
        <w:t xml:space="preserve"> du patrimoine culturel immatériel de l’humanité</w:t>
      </w:r>
      <w:r w:rsidR="00301CC8" w:rsidRPr="00216C72">
        <w:rPr>
          <w:i w:val="0"/>
          <w:lang w:eastAsia="en-US"/>
        </w:rPr>
        <w:t>– sont d’autres instruments utiles.</w:t>
      </w:r>
    </w:p>
    <w:p w:rsidR="009306AE" w:rsidRPr="00216C72" w:rsidRDefault="00301CC8" w:rsidP="00C36DEF">
      <w:pPr>
        <w:pStyle w:val="Upuce"/>
        <w:rPr>
          <w:lang w:eastAsia="en-US"/>
        </w:rPr>
      </w:pPr>
      <w:r w:rsidRPr="00216C72">
        <w:rPr>
          <w:lang w:eastAsia="en-US"/>
        </w:rPr>
        <w:t>Séquence proposée :</w:t>
      </w:r>
    </w:p>
    <w:p w:rsidR="009306AE" w:rsidRPr="009F1D3A" w:rsidRDefault="00301CC8">
      <w:pPr>
        <w:pStyle w:val="Upuce"/>
        <w:rPr>
          <w:i w:val="0"/>
        </w:rPr>
      </w:pPr>
      <w:r w:rsidRPr="009F1D3A">
        <w:rPr>
          <w:i w:val="0"/>
        </w:rPr>
        <w:t>Le facilitateur a deux</w:t>
      </w:r>
      <w:r w:rsidR="00915978" w:rsidRPr="009F1D3A">
        <w:rPr>
          <w:i w:val="0"/>
        </w:rPr>
        <w:t> </w:t>
      </w:r>
      <w:r w:rsidRPr="009F1D3A">
        <w:rPr>
          <w:i w:val="0"/>
        </w:rPr>
        <w:t xml:space="preserve">options </w:t>
      </w:r>
      <w:r w:rsidR="005D1F27" w:rsidRPr="009F1D3A">
        <w:rPr>
          <w:i w:val="0"/>
        </w:rPr>
        <w:t>(</w:t>
      </w:r>
      <w:r w:rsidRPr="009F1D3A">
        <w:rPr>
          <w:i w:val="0"/>
        </w:rPr>
        <w:t>voir Remarques et suggestions ci-après) pour utiliser les questions à choix multiple dans l’Imprimé de l’Unité</w:t>
      </w:r>
      <w:r w:rsidR="0053224C" w:rsidRPr="009F1D3A">
        <w:rPr>
          <w:i w:val="0"/>
        </w:rPr>
        <w:t> </w:t>
      </w:r>
      <w:r w:rsidRPr="009F1D3A">
        <w:rPr>
          <w:i w:val="0"/>
        </w:rPr>
        <w:t>44. Dans les deux options, les participants d</w:t>
      </w:r>
      <w:r w:rsidR="005D1F27" w:rsidRPr="009F1D3A">
        <w:rPr>
          <w:i w:val="0"/>
        </w:rPr>
        <w:t>iscu</w:t>
      </w:r>
      <w:r w:rsidRPr="009F1D3A">
        <w:rPr>
          <w:i w:val="0"/>
        </w:rPr>
        <w:t>tent des questions et des réponses possibles.</w:t>
      </w:r>
    </w:p>
    <w:p w:rsidR="009306AE" w:rsidRPr="009F1D3A" w:rsidRDefault="00301CC8">
      <w:pPr>
        <w:pStyle w:val="Upuce"/>
        <w:rPr>
          <w:i w:val="0"/>
        </w:rPr>
      </w:pPr>
      <w:r w:rsidRPr="009F1D3A">
        <w:rPr>
          <w:i w:val="0"/>
        </w:rPr>
        <w:t xml:space="preserve">Le facilitateur aborde les problèmes mis en exergue lors des sessions du Comité intergouvernemental </w:t>
      </w:r>
      <w:r w:rsidR="0053224C" w:rsidRPr="009F1D3A">
        <w:rPr>
          <w:i w:val="0"/>
        </w:rPr>
        <w:t xml:space="preserve">de sauvegarde du patrimoine culturel immatériel </w:t>
      </w:r>
      <w:r w:rsidRPr="009F1D3A">
        <w:rPr>
          <w:i w:val="0"/>
        </w:rPr>
        <w:t>et de l’Organe d’évaluation à propos des critères d’inscription spécifiques.</w:t>
      </w:r>
    </w:p>
    <w:p w:rsidR="009306AE" w:rsidRPr="009F1D3A" w:rsidRDefault="00301CC8">
      <w:pPr>
        <w:pStyle w:val="Upuce"/>
        <w:rPr>
          <w:i w:val="0"/>
        </w:rPr>
      </w:pPr>
      <w:r w:rsidRPr="009F1D3A">
        <w:rPr>
          <w:i w:val="0"/>
        </w:rPr>
        <w:t>Le facilitateur répond aux questions et interrogations en suspens.</w:t>
      </w:r>
    </w:p>
    <w:p w:rsidR="00075939" w:rsidRPr="00B159A4" w:rsidRDefault="00301CC8" w:rsidP="004936EF">
      <w:pPr>
        <w:pStyle w:val="UTit4"/>
        <w:rPr>
          <w:lang w:val="fr-FR"/>
        </w:rPr>
      </w:pPr>
      <w:r w:rsidRPr="00216C72">
        <w:rPr>
          <w:lang w:val="fr-FR"/>
        </w:rPr>
        <w:t>documents de référence :</w:t>
      </w:r>
    </w:p>
    <w:p w:rsidR="009306AE" w:rsidRPr="009B30B6" w:rsidRDefault="00301CC8" w:rsidP="009F1D3A">
      <w:pPr>
        <w:pStyle w:val="Upuce"/>
        <w:ind w:left="470" w:hanging="357"/>
        <w:rPr>
          <w:i w:val="0"/>
        </w:rPr>
      </w:pPr>
      <w:r w:rsidRPr="009B30B6">
        <w:rPr>
          <w:i w:val="0"/>
        </w:rPr>
        <w:t>Exposé du facilitateur de l’Unité</w:t>
      </w:r>
      <w:r w:rsidR="0053224C" w:rsidRPr="009B30B6">
        <w:rPr>
          <w:i w:val="0"/>
        </w:rPr>
        <w:t> </w:t>
      </w:r>
      <w:r w:rsidRPr="009B30B6">
        <w:rPr>
          <w:i w:val="0"/>
        </w:rPr>
        <w:t>44</w:t>
      </w:r>
      <w:r w:rsidR="00663F17" w:rsidRPr="009B30B6">
        <w:rPr>
          <w:i w:val="0"/>
        </w:rPr>
        <w:t> ;</w:t>
      </w:r>
    </w:p>
    <w:p w:rsidR="009306AE" w:rsidRPr="009B30B6" w:rsidRDefault="00301CC8" w:rsidP="009F1D3A">
      <w:pPr>
        <w:pStyle w:val="Upuce"/>
        <w:ind w:left="470" w:hanging="357"/>
        <w:rPr>
          <w:i w:val="0"/>
        </w:rPr>
      </w:pPr>
      <w:r w:rsidRPr="009B30B6">
        <w:rPr>
          <w:i w:val="0"/>
        </w:rPr>
        <w:t>Imprimé de l’Unité</w:t>
      </w:r>
      <w:r w:rsidR="0053224C" w:rsidRPr="009B30B6">
        <w:rPr>
          <w:i w:val="0"/>
        </w:rPr>
        <w:t> </w:t>
      </w:r>
      <w:r w:rsidRPr="009B30B6">
        <w:rPr>
          <w:i w:val="0"/>
        </w:rPr>
        <w:t>44 : Questions à choix multiple</w:t>
      </w:r>
      <w:r w:rsidR="00663F17" w:rsidRPr="009B30B6">
        <w:rPr>
          <w:i w:val="0"/>
        </w:rPr>
        <w:t> ;</w:t>
      </w:r>
    </w:p>
    <w:p w:rsidR="009306AE" w:rsidRPr="009B30B6" w:rsidRDefault="00655110" w:rsidP="009F1D3A">
      <w:pPr>
        <w:pStyle w:val="Upuce"/>
        <w:ind w:left="470" w:hanging="357"/>
        <w:rPr>
          <w:i w:val="0"/>
        </w:rPr>
      </w:pPr>
      <w:r w:rsidRPr="009B30B6">
        <w:rPr>
          <w:i w:val="0"/>
        </w:rPr>
        <w:t>a</w:t>
      </w:r>
      <w:r w:rsidR="00301CC8" w:rsidRPr="009B30B6">
        <w:rPr>
          <w:i w:val="0"/>
        </w:rPr>
        <w:t>ide-mémoire pour l’élaboration de candidatures sur les Listes de la Convention (</w:t>
      </w:r>
      <w:hyperlink r:id="rId14" w:history="1">
        <w:r w:rsidR="00301CC8" w:rsidRPr="009B30B6">
          <w:rPr>
            <w:i w:val="0"/>
          </w:rPr>
          <w:t>http://www.unesco.org/culture/ich/fr/formulaires/</w:t>
        </w:r>
      </w:hyperlink>
      <w:r w:rsidR="00301CC8" w:rsidRPr="009B30B6">
        <w:rPr>
          <w:i w:val="0"/>
        </w:rPr>
        <w:t>)</w:t>
      </w:r>
      <w:r w:rsidR="00663F17" w:rsidRPr="009B30B6">
        <w:rPr>
          <w:i w:val="0"/>
        </w:rPr>
        <w:t> ;</w:t>
      </w:r>
    </w:p>
    <w:p w:rsidR="009306AE" w:rsidRPr="009B30B6" w:rsidRDefault="00301CC8" w:rsidP="009F1D3A">
      <w:pPr>
        <w:pStyle w:val="Upuce"/>
        <w:ind w:left="470" w:hanging="357"/>
        <w:rPr>
          <w:i w:val="0"/>
        </w:rPr>
      </w:pPr>
      <w:r w:rsidRPr="009B30B6">
        <w:rPr>
          <w:i w:val="0"/>
        </w:rPr>
        <w:t>Textes fondamentaux de la Convention de 2003 pour la sauvegarde du patrimoine culturel immatériel</w:t>
      </w:r>
      <w:r w:rsidR="00663F17" w:rsidRPr="009B30B6">
        <w:rPr>
          <w:i w:val="0"/>
        </w:rPr>
        <w:t>.</w:t>
      </w:r>
      <w:r w:rsidRPr="009F1D3A">
        <w:rPr>
          <w:i w:val="0"/>
          <w:lang w:val="en-GB"/>
        </w:rPr>
        <w:footnoteReference w:id="2"/>
      </w:r>
    </w:p>
    <w:p w:rsidR="001228FB" w:rsidRPr="00B159A4" w:rsidRDefault="00301CC8" w:rsidP="004936EF">
      <w:pPr>
        <w:pStyle w:val="Soustitre"/>
        <w:rPr>
          <w:noProof w:val="0"/>
        </w:rPr>
      </w:pPr>
      <w:bookmarkStart w:id="2" w:name="_Toc238982280"/>
      <w:r w:rsidRPr="00216C72">
        <w:rPr>
          <w:noProof w:val="0"/>
        </w:rPr>
        <w:lastRenderedPageBreak/>
        <w:t>Remarques et suggestions</w:t>
      </w:r>
      <w:bookmarkEnd w:id="2"/>
    </w:p>
    <w:p w:rsidR="001D2D28" w:rsidRPr="00216C72" w:rsidRDefault="00301CC8" w:rsidP="00D227F6">
      <w:pPr>
        <w:spacing w:before="0" w:after="60" w:line="280" w:lineRule="exact"/>
        <w:ind w:left="851"/>
        <w:rPr>
          <w:sz w:val="20"/>
          <w:lang w:val="fr-FR"/>
        </w:rPr>
      </w:pPr>
      <w:r w:rsidRPr="00216C72">
        <w:rPr>
          <w:snapToGrid/>
          <w:sz w:val="20"/>
          <w:lang w:val="fr-FR"/>
        </w:rPr>
        <w:t>La présente unité évalue ce que les participants ont retenu des différentes unités de l’atelier. Le facilitateur</w:t>
      </w:r>
      <w:r w:rsidRPr="00216C72">
        <w:rPr>
          <w:sz w:val="20"/>
          <w:lang w:val="fr-FR"/>
        </w:rPr>
        <w:t xml:space="preserve"> devra adapter et développer les questions à choix multiple afin que l’exercice corresponde aux attentes des participants spécifiques.</w:t>
      </w:r>
    </w:p>
    <w:p w:rsidR="00A76A6E" w:rsidRPr="00B159A4" w:rsidRDefault="00301CC8" w:rsidP="00D227F6">
      <w:pPr>
        <w:spacing w:before="0" w:after="60" w:line="280" w:lineRule="exact"/>
        <w:ind w:left="851"/>
        <w:rPr>
          <w:sz w:val="20"/>
          <w:lang w:val="fr-FR"/>
        </w:rPr>
      </w:pPr>
      <w:r w:rsidRPr="00216C72">
        <w:rPr>
          <w:sz w:val="20"/>
          <w:lang w:val="fr-FR"/>
        </w:rPr>
        <w:t>Option</w:t>
      </w:r>
      <w:r w:rsidR="0053224C">
        <w:rPr>
          <w:sz w:val="20"/>
          <w:lang w:val="fr-FR"/>
        </w:rPr>
        <w:t> </w:t>
      </w:r>
      <w:r w:rsidRPr="00216C72">
        <w:rPr>
          <w:sz w:val="20"/>
          <w:lang w:val="fr-FR"/>
        </w:rPr>
        <w:t>1: Sous la direction du facilitateur, en plénière, les participants pourraient échanger sur les réponses possibles aux questions à choix multiple proposées.</w:t>
      </w:r>
    </w:p>
    <w:p w:rsidR="009306AE" w:rsidRPr="00216C72" w:rsidRDefault="00301CC8" w:rsidP="00216C72">
      <w:pPr>
        <w:spacing w:before="0" w:after="60" w:line="280" w:lineRule="exact"/>
        <w:ind w:left="851"/>
        <w:rPr>
          <w:lang w:val="fr-FR"/>
        </w:rPr>
      </w:pPr>
      <w:r w:rsidRPr="00216C72">
        <w:rPr>
          <w:sz w:val="20"/>
          <w:lang w:val="fr-FR"/>
        </w:rPr>
        <w:t>Option</w:t>
      </w:r>
      <w:r w:rsidR="0053224C">
        <w:rPr>
          <w:sz w:val="20"/>
          <w:lang w:val="fr-FR"/>
        </w:rPr>
        <w:t> </w:t>
      </w:r>
      <w:r w:rsidRPr="00216C72">
        <w:rPr>
          <w:sz w:val="20"/>
          <w:lang w:val="fr-FR"/>
        </w:rPr>
        <w:t xml:space="preserve">2 : </w:t>
      </w:r>
      <w:r w:rsidR="00426F80" w:rsidRPr="00B159A4">
        <w:rPr>
          <w:sz w:val="20"/>
          <w:lang w:val="fr-FR"/>
        </w:rPr>
        <w:t>L</w:t>
      </w:r>
      <w:r w:rsidRPr="00216C72">
        <w:rPr>
          <w:sz w:val="20"/>
          <w:lang w:val="fr-FR"/>
        </w:rPr>
        <w:t xml:space="preserve">e facilitateur pourrait </w:t>
      </w:r>
      <w:r w:rsidR="00426F80" w:rsidRPr="00216C72">
        <w:rPr>
          <w:sz w:val="20"/>
          <w:lang w:val="fr-FR"/>
        </w:rPr>
        <w:t xml:space="preserve">sinon </w:t>
      </w:r>
      <w:r w:rsidRPr="00216C72">
        <w:rPr>
          <w:sz w:val="20"/>
          <w:lang w:val="fr-FR"/>
        </w:rPr>
        <w:t xml:space="preserve">commencer par </w:t>
      </w:r>
      <w:r w:rsidR="00426F80" w:rsidRPr="00216C72">
        <w:rPr>
          <w:sz w:val="20"/>
          <w:lang w:val="fr-FR"/>
        </w:rPr>
        <w:t>soumettre</w:t>
      </w:r>
      <w:r w:rsidRPr="00216C72">
        <w:rPr>
          <w:sz w:val="20"/>
          <w:lang w:val="fr-FR"/>
        </w:rPr>
        <w:t xml:space="preserve"> les questions à choix multiple</w:t>
      </w:r>
      <w:r w:rsidR="00426F80" w:rsidRPr="00216C72">
        <w:rPr>
          <w:sz w:val="20"/>
          <w:lang w:val="fr-FR"/>
        </w:rPr>
        <w:t xml:space="preserve"> aux participants</w:t>
      </w:r>
      <w:r w:rsidRPr="00216C72">
        <w:rPr>
          <w:sz w:val="20"/>
          <w:lang w:val="fr-FR"/>
        </w:rPr>
        <w:t>, puis ensemble en groupe passer en revue les domaines qui posent problème et finir par une dernière séance de questions/réponses.</w:t>
      </w:r>
    </w:p>
    <w:p w:rsidR="00EE219A" w:rsidRPr="00B159A4" w:rsidRDefault="00301CC8">
      <w:pPr>
        <w:pStyle w:val="Texte1"/>
        <w:rPr>
          <w:rFonts w:eastAsia="Calibri"/>
          <w:szCs w:val="22"/>
          <w:lang w:eastAsia="en-US"/>
        </w:rPr>
      </w:pPr>
      <w:r w:rsidRPr="00216C72">
        <w:t xml:space="preserve">Un exercice d’évaluation des connaissances des participants sur les critères retenus pour évaluer les dossiers de candidature pourrait suivre. À cette fin, le facilitateur peut donner lecture </w:t>
      </w:r>
      <w:r w:rsidR="00FC5D2A">
        <w:t xml:space="preserve">de </w:t>
      </w:r>
      <w:r w:rsidRPr="00216C72">
        <w:t>critère</w:t>
      </w:r>
      <w:r w:rsidR="00FC5D2A">
        <w:t>s</w:t>
      </w:r>
      <w:r w:rsidRPr="00216C72">
        <w:t xml:space="preserve"> utilisé</w:t>
      </w:r>
      <w:r w:rsidR="00FC5D2A">
        <w:t>s</w:t>
      </w:r>
      <w:r w:rsidRPr="00216C72">
        <w:t xml:space="preserve"> pour évaluer un dossier de candidature et demander au groupe s’il se souvient des questions soulevées à ce sujet par l’Organe d’évaluation et le Comité. Le facilitateur peut répéter l’exercice jusqu’à ce que tous les critères </w:t>
      </w:r>
      <w:r w:rsidR="00426F80" w:rsidRPr="00B159A4">
        <w:t>aient été</w:t>
      </w:r>
      <w:r w:rsidRPr="00216C72">
        <w:t xml:space="preserve"> couverts. Les </w:t>
      </w:r>
      <w:r w:rsidR="00655110">
        <w:t>a</w:t>
      </w:r>
      <w:r w:rsidRPr="00216C72">
        <w:t>ide-mémoire pour l’</w:t>
      </w:r>
      <w:r w:rsidRPr="00216C72">
        <w:rPr>
          <w:lang w:eastAsia="en-US"/>
        </w:rPr>
        <w:t>élaboration</w:t>
      </w:r>
      <w:r w:rsidRPr="00216C72">
        <w:t xml:space="preserve"> de candidatures sur les Listes de la Convention - la Liste de sauvegarde urgente et la Liste représentative» peuvent être utiles à cet égard. Ils </w:t>
      </w:r>
      <w:r w:rsidR="00426F80" w:rsidRPr="00B159A4">
        <w:t>contienn</w:t>
      </w:r>
      <w:r w:rsidRPr="00216C72">
        <w:t>ent tou</w:t>
      </w:r>
      <w:r w:rsidR="008E6358" w:rsidRPr="00B159A4">
        <w:t>te</w:t>
      </w:r>
      <w:r w:rsidRPr="00216C72">
        <w:t xml:space="preserve">s les </w:t>
      </w:r>
      <w:r w:rsidR="008E6358" w:rsidRPr="00B159A4">
        <w:t>leçon</w:t>
      </w:r>
      <w:r w:rsidRPr="00216C72">
        <w:t>s tiré</w:t>
      </w:r>
      <w:r w:rsidR="008E6358" w:rsidRPr="00B159A4">
        <w:t>e</w:t>
      </w:r>
      <w:r w:rsidRPr="00216C72">
        <w:t>s, les observations et les recommandations formulées par les anciens Organe subsidiaire et Organe consultatif, l’Organe d’évaluation et le Comité au fil des ans.</w:t>
      </w:r>
    </w:p>
    <w:p w:rsidR="00CF4899" w:rsidRPr="00216C72" w:rsidRDefault="00301CC8" w:rsidP="004936EF">
      <w:pPr>
        <w:pStyle w:val="Soustitre"/>
        <w:rPr>
          <w:i w:val="0"/>
          <w:noProof w:val="0"/>
        </w:rPr>
      </w:pPr>
      <w:r w:rsidRPr="00216C72">
        <w:rPr>
          <w:i w:val="0"/>
          <w:noProof w:val="0"/>
        </w:rPr>
        <w:t>On pourrait ajouter les questions suivantes :</w:t>
      </w:r>
    </w:p>
    <w:p w:rsidR="00CF4899" w:rsidRPr="00B159A4" w:rsidRDefault="00301CC8" w:rsidP="00216C72">
      <w:pPr>
        <w:pStyle w:val="Txtpucegras"/>
        <w:tabs>
          <w:tab w:val="clear" w:pos="851"/>
          <w:tab w:val="num" w:pos="1560"/>
        </w:tabs>
        <w:ind w:left="1276" w:hanging="426"/>
        <w:rPr>
          <w:szCs w:val="20"/>
        </w:rPr>
      </w:pPr>
      <w:r w:rsidRPr="00216C72">
        <w:t>Quel est le but des Listes de la Convention ?</w:t>
      </w:r>
    </w:p>
    <w:p w:rsidR="00CF4899" w:rsidRPr="00B159A4" w:rsidRDefault="00301CC8" w:rsidP="00216C72">
      <w:pPr>
        <w:pStyle w:val="Txtpucegras"/>
        <w:tabs>
          <w:tab w:val="clear" w:pos="851"/>
          <w:tab w:val="num" w:pos="1560"/>
        </w:tabs>
        <w:ind w:left="1276" w:hanging="426"/>
        <w:rPr>
          <w:szCs w:val="20"/>
        </w:rPr>
      </w:pPr>
      <w:r w:rsidRPr="00216C72">
        <w:rPr>
          <w:szCs w:val="20"/>
        </w:rPr>
        <w:t>Quel rôle joue l’Organe d’évaluation dans le processus de candidature ?</w:t>
      </w:r>
    </w:p>
    <w:p w:rsidR="00CF4899" w:rsidRPr="00B159A4" w:rsidRDefault="00301CC8" w:rsidP="00216C72">
      <w:pPr>
        <w:pStyle w:val="Txtpucegras"/>
        <w:tabs>
          <w:tab w:val="clear" w:pos="851"/>
          <w:tab w:val="num" w:pos="1560"/>
        </w:tabs>
        <w:ind w:left="1276" w:hanging="426"/>
      </w:pPr>
      <w:r w:rsidRPr="00216C72">
        <w:rPr>
          <w:szCs w:val="20"/>
        </w:rPr>
        <w:t>Qui doit être impliqué dans la préparation des candidatures (expliquez pourquoi) ?</w:t>
      </w:r>
    </w:p>
    <w:p w:rsidR="009306AE" w:rsidRPr="00B159A4" w:rsidRDefault="00301CC8" w:rsidP="00216C72">
      <w:pPr>
        <w:pStyle w:val="Txtpucegras"/>
        <w:numPr>
          <w:ilvl w:val="0"/>
          <w:numId w:val="0"/>
        </w:numPr>
        <w:ind w:left="850"/>
        <w:rPr>
          <w:szCs w:val="20"/>
        </w:rPr>
      </w:pPr>
      <w:r w:rsidRPr="00216C72">
        <w:rPr>
          <w:szCs w:val="20"/>
        </w:rPr>
        <w:t>Les États parties peuvent-ils faire une demande d’assistance internationale pour préparer un dossier de candidature ?</w:t>
      </w:r>
    </w:p>
    <w:p w:rsidR="00075939" w:rsidRPr="00216C72" w:rsidRDefault="00301CC8" w:rsidP="004936EF">
      <w:pPr>
        <w:pStyle w:val="Chapitre"/>
        <w:rPr>
          <w:noProof w:val="0"/>
          <w:kern w:val="0"/>
          <w:sz w:val="72"/>
          <w:lang w:val="fr-FR"/>
        </w:rPr>
      </w:pPr>
      <w:bookmarkStart w:id="3" w:name="_Toc302374699"/>
      <w:r w:rsidRPr="00216C72">
        <w:rPr>
          <w:noProof w:val="0"/>
          <w:sz w:val="20"/>
          <w:lang w:val="fr-FR"/>
        </w:rPr>
        <w:br w:type="page"/>
      </w:r>
      <w:r w:rsidRPr="00216C72">
        <w:rPr>
          <w:noProof w:val="0"/>
          <w:kern w:val="0"/>
          <w:sz w:val="72"/>
          <w:lang w:val="fr-FR"/>
        </w:rPr>
        <w:lastRenderedPageBreak/>
        <w:t>Unité 44</w:t>
      </w:r>
    </w:p>
    <w:bookmarkEnd w:id="3"/>
    <w:p w:rsidR="008718D4" w:rsidRPr="00216C72" w:rsidRDefault="00301CC8" w:rsidP="00216C72">
      <w:pPr>
        <w:pStyle w:val="UPlan"/>
        <w:rPr>
          <w:lang w:val="fr-FR"/>
        </w:rPr>
      </w:pPr>
      <w:r w:rsidRPr="00216C72">
        <w:rPr>
          <w:lang w:val="fr-FR"/>
        </w:rPr>
        <w:t>atelier sur la préparation des candidatures : séance de clôture</w:t>
      </w:r>
    </w:p>
    <w:p w:rsidR="008718D4" w:rsidRPr="00216C72" w:rsidRDefault="00301CC8" w:rsidP="00216C72">
      <w:pPr>
        <w:pStyle w:val="Titcoul"/>
        <w:rPr>
          <w:lang w:val="fr-FR"/>
        </w:rPr>
      </w:pPr>
      <w:r w:rsidRPr="00216C72">
        <w:rPr>
          <w:lang w:val="fr-FR"/>
        </w:rPr>
        <w:t>exposé du facilitateur</w:t>
      </w:r>
    </w:p>
    <w:p w:rsidR="009306AE" w:rsidRPr="00216C72" w:rsidRDefault="00301CC8" w:rsidP="00216C72">
      <w:pPr>
        <w:pStyle w:val="UPlan"/>
        <w:rPr>
          <w:noProof w:val="0"/>
          <w:color w:val="000000" w:themeColor="text1"/>
          <w:sz w:val="20"/>
          <w:lang w:val="fr-FR"/>
        </w:rPr>
      </w:pPr>
      <w:r w:rsidRPr="00216C72">
        <w:rPr>
          <w:noProof w:val="0"/>
          <w:color w:val="000000" w:themeColor="text1"/>
          <w:sz w:val="20"/>
          <w:lang w:val="fr-FR"/>
        </w:rPr>
        <w:t>questions à choix multiple</w:t>
      </w:r>
    </w:p>
    <w:p w:rsidR="009D1425" w:rsidRPr="00B159A4" w:rsidRDefault="00301CC8" w:rsidP="009D1425">
      <w:pPr>
        <w:pStyle w:val="Texte1"/>
      </w:pPr>
      <w:r w:rsidRPr="00216C72">
        <w:t>Ces questions à choix multiple s</w:t>
      </w:r>
      <w:r w:rsidR="008E6358" w:rsidRPr="00B159A4">
        <w:t>ont basées</w:t>
      </w:r>
      <w:r w:rsidRPr="00216C72">
        <w:t xml:space="preserve"> sur des questions fréquemment posées</w:t>
      </w:r>
      <w:r w:rsidR="000435AD">
        <w:t xml:space="preserve">. </w:t>
      </w:r>
      <w:r w:rsidR="000435AD">
        <w:br/>
        <w:t>Le facilitateur</w:t>
      </w:r>
      <w:r w:rsidRPr="00216C72">
        <w:t xml:space="preserve"> </w:t>
      </w:r>
      <w:r w:rsidR="000435AD">
        <w:t xml:space="preserve">peut les utiliser </w:t>
      </w:r>
      <w:r w:rsidR="009306AE" w:rsidRPr="00B159A4">
        <w:t>à</w:t>
      </w:r>
      <w:r w:rsidRPr="00216C72">
        <w:t xml:space="preserve"> la dernière séance de l’atelier sur la préparation des candidatures afin de passer en revue les informations </w:t>
      </w:r>
      <w:r w:rsidR="009306AE" w:rsidRPr="00B159A4">
        <w:t>diffus</w:t>
      </w:r>
      <w:r w:rsidRPr="00216C72">
        <w:t>ées.</w:t>
      </w:r>
    </w:p>
    <w:p w:rsidR="009D1425" w:rsidRPr="00B159A4" w:rsidRDefault="00301CC8" w:rsidP="009D1425">
      <w:pPr>
        <w:pStyle w:val="Texte1"/>
      </w:pPr>
      <w:r w:rsidRPr="00216C72">
        <w:t xml:space="preserve">La réponse (avec une explication) </w:t>
      </w:r>
      <w:r w:rsidR="000435AD">
        <w:t xml:space="preserve">se trouve </w:t>
      </w:r>
      <w:r w:rsidRPr="00216C72">
        <w:t>dans l’encadré qui suit chaque question – certaines réponses peuvent être partie</w:t>
      </w:r>
      <w:r w:rsidR="008E6358" w:rsidRPr="00B159A4">
        <w:t>llement</w:t>
      </w:r>
      <w:r w:rsidRPr="00216C72">
        <w:t xml:space="preserve"> correctes.</w:t>
      </w:r>
    </w:p>
    <w:p w:rsidR="009D1425" w:rsidRPr="00B159A4" w:rsidRDefault="00301CC8" w:rsidP="009D1425">
      <w:pPr>
        <w:pStyle w:val="Heading4"/>
        <w:rPr>
          <w:lang w:val="fr-FR"/>
        </w:rPr>
      </w:pPr>
      <w:r w:rsidRPr="00216C72">
        <w:rPr>
          <w:lang w:val="fr-FR"/>
        </w:rPr>
        <w:t>candidatures</w:t>
      </w:r>
    </w:p>
    <w:p w:rsidR="009D1425" w:rsidRPr="00216C72" w:rsidRDefault="00301CC8" w:rsidP="009D1425">
      <w:pPr>
        <w:pStyle w:val="Heading3"/>
        <w:rPr>
          <w:color w:val="000000" w:themeColor="text1"/>
          <w:lang w:val="fr-FR"/>
        </w:rPr>
      </w:pPr>
      <w:r w:rsidRPr="00216C72">
        <w:rPr>
          <w:color w:val="000000" w:themeColor="text1"/>
          <w:lang w:val="fr-FR"/>
        </w:rPr>
        <w:t>Question 1</w:t>
      </w:r>
    </w:p>
    <w:p w:rsidR="009D1425" w:rsidRPr="00B159A4" w:rsidRDefault="00301CC8" w:rsidP="009D1425">
      <w:pPr>
        <w:pStyle w:val="Texte1"/>
      </w:pPr>
      <w:r w:rsidRPr="00216C72">
        <w:t>Les États parties soumettent des candidatures à l’inscription sur les Listes de la Convention. De nombreux acteurs peuvent être impliqués dans la préparation d’une candidature, mais lequel d’entre eux peut en prendre l’initiative ?</w:t>
      </w:r>
    </w:p>
    <w:p w:rsidR="00CF6609" w:rsidRPr="00B159A4" w:rsidRDefault="00301CC8" w:rsidP="00E97E4A">
      <w:pPr>
        <w:pStyle w:val="numrationa"/>
        <w:ind w:left="1134" w:hanging="283"/>
        <w:rPr>
          <w:szCs w:val="20"/>
        </w:rPr>
      </w:pPr>
      <w:r w:rsidRPr="00216C72">
        <w:rPr>
          <w:szCs w:val="20"/>
        </w:rPr>
        <w:t>(a) Tout groupe ou agence peut entamer le processus dès lors que les communautés, groupes et individus pertinents y participent et l’acceptent.</w:t>
      </w:r>
    </w:p>
    <w:p w:rsidR="009D1425" w:rsidRPr="00B159A4" w:rsidRDefault="00301CC8" w:rsidP="00E97E4A">
      <w:pPr>
        <w:pStyle w:val="numrationa"/>
        <w:ind w:left="1134" w:hanging="283"/>
        <w:rPr>
          <w:szCs w:val="20"/>
        </w:rPr>
      </w:pPr>
      <w:r w:rsidRPr="00216C72">
        <w:rPr>
          <w:szCs w:val="20"/>
        </w:rPr>
        <w:t>(b) Les communautés ou leurs représentants doivent entamer le processus car ce sont eux qui doivent donner leur consentement préalable et informé.</w:t>
      </w:r>
    </w:p>
    <w:p w:rsidR="009D1425" w:rsidRPr="00B159A4" w:rsidRDefault="00301CC8" w:rsidP="00E97E4A">
      <w:pPr>
        <w:pStyle w:val="numrationa"/>
        <w:tabs>
          <w:tab w:val="clear" w:pos="567"/>
          <w:tab w:val="left" w:pos="1843"/>
        </w:tabs>
        <w:ind w:left="1134" w:hanging="283"/>
        <w:rPr>
          <w:szCs w:val="20"/>
        </w:rPr>
      </w:pPr>
      <w:r w:rsidRPr="00216C72">
        <w:rPr>
          <w:szCs w:val="20"/>
        </w:rPr>
        <w:t xml:space="preserve">(c) Les chercheurs ou les institutions spécialisées doivent </w:t>
      </w:r>
      <w:r w:rsidR="00EB5B1C" w:rsidRPr="00B159A4">
        <w:rPr>
          <w:szCs w:val="20"/>
        </w:rPr>
        <w:t>lanc</w:t>
      </w:r>
      <w:r w:rsidRPr="00216C72">
        <w:rPr>
          <w:szCs w:val="20"/>
        </w:rPr>
        <w:t>er le processus car ils sont les mieux informés sur le PCI proposé pour inscription.</w:t>
      </w:r>
    </w:p>
    <w:p w:rsidR="00E74B6F" w:rsidRPr="00B159A4" w:rsidRDefault="00301CC8" w:rsidP="00E74B6F">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216C72">
        <w:rPr>
          <w:rFonts w:eastAsia="SimSun"/>
          <w:szCs w:val="20"/>
        </w:rPr>
        <w:t xml:space="preserve">L’option (a) est la bonne réponse : ni la Convention, ni les DO ne </w:t>
      </w:r>
      <w:r w:rsidR="00EB5B1C" w:rsidRPr="00B159A4">
        <w:rPr>
          <w:rFonts w:eastAsia="SimSun"/>
          <w:szCs w:val="20"/>
        </w:rPr>
        <w:t>précisent</w:t>
      </w:r>
      <w:r w:rsidRPr="00216C72">
        <w:rPr>
          <w:rFonts w:eastAsia="SimSun"/>
          <w:szCs w:val="20"/>
        </w:rPr>
        <w:t xml:space="preserve"> qui doit être à l’origine du processus de candidature. Les DO demandent expressément que, quelle que soit l’entité qui mène l</w:t>
      </w:r>
      <w:r w:rsidR="00231C4A" w:rsidRPr="00B159A4">
        <w:rPr>
          <w:rFonts w:eastAsia="SimSun"/>
          <w:szCs w:val="20"/>
        </w:rPr>
        <w:t>a</w:t>
      </w:r>
      <w:r w:rsidRPr="00216C72">
        <w:rPr>
          <w:rFonts w:eastAsia="SimSun"/>
          <w:szCs w:val="20"/>
        </w:rPr>
        <w:t xml:space="preserve"> proc</w:t>
      </w:r>
      <w:r w:rsidR="00231C4A" w:rsidRPr="00B159A4">
        <w:rPr>
          <w:rFonts w:eastAsia="SimSun"/>
          <w:szCs w:val="20"/>
        </w:rPr>
        <w:t>édure</w:t>
      </w:r>
      <w:r w:rsidRPr="00216C72">
        <w:rPr>
          <w:rFonts w:eastAsia="SimSun"/>
          <w:szCs w:val="20"/>
        </w:rPr>
        <w:t>, la communauté concernée en soit toujours informée (DO</w:t>
      </w:r>
      <w:r w:rsidR="0053224C">
        <w:rPr>
          <w:rFonts w:eastAsia="SimSun"/>
          <w:szCs w:val="20"/>
        </w:rPr>
        <w:t> </w:t>
      </w:r>
      <w:r w:rsidRPr="00216C72">
        <w:rPr>
          <w:rFonts w:eastAsia="SimSun"/>
          <w:szCs w:val="20"/>
        </w:rPr>
        <w:t>1 et 2), soit impliquée (DO</w:t>
      </w:r>
      <w:r w:rsidR="0053224C">
        <w:rPr>
          <w:rFonts w:eastAsia="SimSun"/>
          <w:szCs w:val="20"/>
        </w:rPr>
        <w:t> </w:t>
      </w:r>
      <w:r w:rsidRPr="00216C72">
        <w:rPr>
          <w:rFonts w:eastAsia="SimSun"/>
          <w:szCs w:val="20"/>
        </w:rPr>
        <w:t xml:space="preserve">24) et </w:t>
      </w:r>
      <w:r w:rsidR="00EB5B1C" w:rsidRPr="00B159A4">
        <w:rPr>
          <w:rFonts w:eastAsia="SimSun"/>
          <w:szCs w:val="20"/>
        </w:rPr>
        <w:t xml:space="preserve">y </w:t>
      </w:r>
      <w:r w:rsidRPr="00216C72">
        <w:rPr>
          <w:rFonts w:eastAsia="SimSun"/>
          <w:szCs w:val="20"/>
        </w:rPr>
        <w:t>consent</w:t>
      </w:r>
      <w:r w:rsidR="00EB5B1C" w:rsidRPr="00B159A4">
        <w:rPr>
          <w:rFonts w:eastAsia="SimSun"/>
          <w:szCs w:val="20"/>
        </w:rPr>
        <w:t>e</w:t>
      </w:r>
      <w:r w:rsidRPr="00216C72">
        <w:rPr>
          <w:rFonts w:eastAsia="SimSun"/>
          <w:szCs w:val="20"/>
        </w:rPr>
        <w:t xml:space="preserve"> (DO</w:t>
      </w:r>
      <w:r w:rsidR="0053224C">
        <w:rPr>
          <w:rFonts w:eastAsia="SimSun"/>
          <w:szCs w:val="20"/>
        </w:rPr>
        <w:t> </w:t>
      </w:r>
      <w:r w:rsidRPr="00216C72">
        <w:rPr>
          <w:rFonts w:eastAsia="SimSun"/>
          <w:szCs w:val="20"/>
        </w:rPr>
        <w:t>1 et 2). Faute d’un consentement libre, préalable et éclairé des communautés concernées, le dossier de candidature sera incomplet.</w:t>
      </w:r>
    </w:p>
    <w:p w:rsidR="00E74B6F" w:rsidRPr="00B159A4" w:rsidRDefault="00301CC8" w:rsidP="00E74B6F">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216C72">
        <w:rPr>
          <w:rFonts w:eastAsia="SimSun"/>
          <w:szCs w:val="20"/>
        </w:rPr>
        <w:t>L’option (b) n’est pas bien formulée : les communautés concernées peuvent entamer le processus, mais ce n’est pas obligatoirement à elles d</w:t>
      </w:r>
      <w:r w:rsidR="00EB5B1C" w:rsidRPr="00B159A4">
        <w:rPr>
          <w:rFonts w:eastAsia="SimSun"/>
          <w:szCs w:val="20"/>
        </w:rPr>
        <w:t>’en prendre l’initiative</w:t>
      </w:r>
      <w:r w:rsidRPr="00216C72">
        <w:rPr>
          <w:rFonts w:eastAsia="SimSun"/>
          <w:szCs w:val="20"/>
        </w:rPr>
        <w:t>, dès lors qu’elles sont impliquées, informées et consent</w:t>
      </w:r>
      <w:r w:rsidR="00EB5B1C" w:rsidRPr="00B159A4">
        <w:rPr>
          <w:rFonts w:eastAsia="SimSun"/>
          <w:szCs w:val="20"/>
        </w:rPr>
        <w:t>a</w:t>
      </w:r>
      <w:r w:rsidRPr="00216C72">
        <w:rPr>
          <w:rFonts w:eastAsia="SimSun"/>
          <w:szCs w:val="20"/>
        </w:rPr>
        <w:t>nt</w:t>
      </w:r>
      <w:r w:rsidR="00EB5B1C" w:rsidRPr="00B159A4">
        <w:rPr>
          <w:rFonts w:eastAsia="SimSun"/>
          <w:szCs w:val="20"/>
        </w:rPr>
        <w:t>es</w:t>
      </w:r>
      <w:r w:rsidRPr="00216C72">
        <w:rPr>
          <w:rFonts w:eastAsia="SimSun"/>
          <w:szCs w:val="20"/>
        </w:rPr>
        <w:t>.</w:t>
      </w:r>
    </w:p>
    <w:p w:rsidR="00E74B6F" w:rsidRPr="00B159A4" w:rsidRDefault="00301CC8" w:rsidP="00E74B6F">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216C72">
        <w:rPr>
          <w:rFonts w:eastAsia="SimSun"/>
          <w:szCs w:val="20"/>
        </w:rPr>
        <w:lastRenderedPageBreak/>
        <w:t>L’option (c) n’est pas formulée dans l’esprit de la Convention qui met l’accent sur le savoir et le contrôle de la communauté sur le PCI. Les chercheurs ou les institutions spécialisées ne sont pas toujours les mieux informés sur le PCI. Ils peuvent, bien sûr, prendre l’initiative, mais ils devront, dès le début du processus, informer et impliquer la communauté concernée et ne pas agir sans son consentement.</w:t>
      </w:r>
    </w:p>
    <w:p w:rsidR="00645A22" w:rsidRPr="00B159A4" w:rsidRDefault="00301CC8" w:rsidP="00C50EB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216C72">
        <w:rPr>
          <w:rFonts w:eastAsia="SimSun"/>
          <w:szCs w:val="20"/>
        </w:rPr>
        <w:t xml:space="preserve">Les dossiers de candidature doivent être soumis par l’(les)État(s) partie(s). Si </w:t>
      </w:r>
      <w:r w:rsidR="000435AD">
        <w:rPr>
          <w:rFonts w:eastAsia="SimSun"/>
          <w:szCs w:val="20"/>
        </w:rPr>
        <w:t xml:space="preserve">une agence non gouvernementale lance </w:t>
      </w:r>
      <w:r w:rsidRPr="00216C72">
        <w:rPr>
          <w:rFonts w:eastAsia="SimSun"/>
          <w:szCs w:val="20"/>
        </w:rPr>
        <w:t xml:space="preserve">le processus de candidature, il serait judicieux d’informer dès que possible les agences gouvernementales </w:t>
      </w:r>
      <w:r w:rsidR="00833483" w:rsidRPr="00B159A4">
        <w:rPr>
          <w:rFonts w:eastAsia="SimSun"/>
          <w:szCs w:val="20"/>
        </w:rPr>
        <w:t>compétent</w:t>
      </w:r>
      <w:r w:rsidRPr="00216C72">
        <w:rPr>
          <w:rFonts w:eastAsia="SimSun"/>
          <w:szCs w:val="20"/>
        </w:rPr>
        <w:t xml:space="preserve">es. Une candidature </w:t>
      </w:r>
      <w:r w:rsidR="00231C4A" w:rsidRPr="00B159A4">
        <w:rPr>
          <w:rFonts w:eastAsia="SimSun"/>
          <w:szCs w:val="20"/>
        </w:rPr>
        <w:t>proposé</w:t>
      </w:r>
      <w:r w:rsidRPr="00216C72">
        <w:rPr>
          <w:rFonts w:eastAsia="SimSun"/>
          <w:szCs w:val="20"/>
        </w:rPr>
        <w:t xml:space="preserve">e par une communauté, une </w:t>
      </w:r>
      <w:r w:rsidR="00F37071">
        <w:rPr>
          <w:rFonts w:eastAsia="SimSun"/>
          <w:szCs w:val="20"/>
        </w:rPr>
        <w:t xml:space="preserve">organisation non gouvernementale </w:t>
      </w:r>
      <w:r w:rsidRPr="00216C72">
        <w:rPr>
          <w:rFonts w:eastAsia="SimSun"/>
          <w:szCs w:val="20"/>
        </w:rPr>
        <w:t>ou une institution n’est pas toujours considérée comme prioritaire aux yeux du gouvernement, ce qui peut conduire à des retards dans l</w:t>
      </w:r>
      <w:r w:rsidR="00511947" w:rsidRPr="00B159A4">
        <w:rPr>
          <w:rFonts w:eastAsia="SimSun"/>
          <w:szCs w:val="20"/>
        </w:rPr>
        <w:t>e dépôt</w:t>
      </w:r>
      <w:r w:rsidRPr="00216C72">
        <w:rPr>
          <w:rFonts w:eastAsia="SimSun"/>
          <w:szCs w:val="20"/>
        </w:rPr>
        <w:t xml:space="preserve"> d</w:t>
      </w:r>
      <w:r w:rsidR="00511947" w:rsidRPr="00B159A4">
        <w:rPr>
          <w:rFonts w:eastAsia="SimSun"/>
          <w:szCs w:val="20"/>
        </w:rPr>
        <w:t>u dossier de</w:t>
      </w:r>
      <w:r w:rsidRPr="00216C72">
        <w:rPr>
          <w:rFonts w:eastAsia="SimSun"/>
          <w:szCs w:val="20"/>
        </w:rPr>
        <w:t xml:space="preserve"> candidature, voire à son échec. Quelle que soit l’entité qui </w:t>
      </w:r>
      <w:r w:rsidR="00511947" w:rsidRPr="00B159A4">
        <w:rPr>
          <w:rFonts w:eastAsia="SimSun"/>
          <w:szCs w:val="20"/>
        </w:rPr>
        <w:t>lance la procédure</w:t>
      </w:r>
      <w:r w:rsidRPr="00216C72">
        <w:rPr>
          <w:rFonts w:eastAsia="SimSun"/>
          <w:szCs w:val="20"/>
        </w:rPr>
        <w:t>, il est important que les principaux acteurs en soient informés dès le début (voir la DO</w:t>
      </w:r>
      <w:r w:rsidR="0053224C">
        <w:rPr>
          <w:rFonts w:eastAsia="SimSun"/>
          <w:szCs w:val="20"/>
        </w:rPr>
        <w:t> </w:t>
      </w:r>
      <w:r w:rsidRPr="00216C72">
        <w:rPr>
          <w:rFonts w:eastAsia="SimSun"/>
          <w:szCs w:val="20"/>
        </w:rPr>
        <w:t xml:space="preserve">80 qui encourage la création d’un mécanisme de </w:t>
      </w:r>
      <w:r w:rsidRPr="00216C72">
        <w:rPr>
          <w:rFonts w:eastAsia="SimSun"/>
          <w:szCs w:val="20"/>
          <w:lang w:eastAsia="en-US"/>
        </w:rPr>
        <w:t>coordination</w:t>
      </w:r>
      <w:r w:rsidRPr="00216C72">
        <w:rPr>
          <w:rFonts w:eastAsia="SimSun"/>
          <w:szCs w:val="20"/>
        </w:rPr>
        <w:t xml:space="preserve"> au sein des États parties, destiné à soutenir la préparation des dossiers de candidature). Dans quelques pays assez centralisés, l’État pourrait souhaiter contrôler tout le processus et ne pas faire cas des propositions d’autres parties prenantes ; de telles situations sont susceptibles d’évoluer grâce à l’influence de meilleures pratiques dans d’autres États.</w:t>
      </w:r>
    </w:p>
    <w:p w:rsidR="009D1425" w:rsidRPr="00B159A4" w:rsidRDefault="00301CC8" w:rsidP="009D1425">
      <w:pPr>
        <w:pStyle w:val="Heading3"/>
        <w:rPr>
          <w:lang w:val="fr-FR"/>
        </w:rPr>
      </w:pPr>
      <w:r w:rsidRPr="00216C72">
        <w:rPr>
          <w:lang w:val="fr-FR"/>
        </w:rPr>
        <w:t>Question 2</w:t>
      </w:r>
    </w:p>
    <w:p w:rsidR="009D1425" w:rsidRPr="00B159A4" w:rsidRDefault="00301CC8" w:rsidP="00645A22">
      <w:pPr>
        <w:pStyle w:val="Texte1"/>
      </w:pPr>
      <w:r w:rsidRPr="00216C72">
        <w:t>Un pays qui n’est pas État partie à la Convention peut-il soumettre la candidature d’un élément à l’inscription sur les Listes de la Convention ?</w:t>
      </w:r>
    </w:p>
    <w:p w:rsidR="00645A22" w:rsidRPr="00B159A4" w:rsidRDefault="00301CC8" w:rsidP="00E97E4A">
      <w:pPr>
        <w:numPr>
          <w:ilvl w:val="0"/>
          <w:numId w:val="26"/>
        </w:numPr>
        <w:tabs>
          <w:tab w:val="clear" w:pos="567"/>
        </w:tabs>
        <w:spacing w:before="0" w:line="280" w:lineRule="exact"/>
        <w:ind w:left="1134" w:hanging="283"/>
        <w:rPr>
          <w:sz w:val="20"/>
          <w:szCs w:val="20"/>
          <w:lang w:val="fr-FR" w:eastAsia="en-US"/>
        </w:rPr>
      </w:pPr>
      <w:r w:rsidRPr="00216C72">
        <w:rPr>
          <w:sz w:val="20"/>
          <w:szCs w:val="20"/>
          <w:lang w:val="fr-FR" w:eastAsia="en-US"/>
        </w:rPr>
        <w:t>Oui, mais uniquement si l’élément nécessite une sauvegarde d’extrême urgence.</w:t>
      </w:r>
    </w:p>
    <w:p w:rsidR="00645A22" w:rsidRPr="00B159A4" w:rsidRDefault="00301CC8" w:rsidP="00E97E4A">
      <w:pPr>
        <w:numPr>
          <w:ilvl w:val="0"/>
          <w:numId w:val="26"/>
        </w:numPr>
        <w:tabs>
          <w:tab w:val="clear" w:pos="567"/>
        </w:tabs>
        <w:spacing w:before="0" w:line="280" w:lineRule="exact"/>
        <w:ind w:left="1134" w:hanging="283"/>
        <w:rPr>
          <w:sz w:val="20"/>
          <w:szCs w:val="20"/>
          <w:lang w:val="fr-FR" w:eastAsia="en-US"/>
        </w:rPr>
      </w:pPr>
      <w:r w:rsidRPr="00216C72">
        <w:rPr>
          <w:sz w:val="20"/>
          <w:szCs w:val="20"/>
          <w:lang w:val="fr-FR" w:eastAsia="en-US"/>
        </w:rPr>
        <w:t>Non, pas jusqu’à ce qu’il devienne État partie.</w:t>
      </w:r>
    </w:p>
    <w:p w:rsidR="00645A22" w:rsidRPr="00B159A4" w:rsidRDefault="00301CC8" w:rsidP="00E97E4A">
      <w:pPr>
        <w:numPr>
          <w:ilvl w:val="0"/>
          <w:numId w:val="26"/>
        </w:numPr>
        <w:tabs>
          <w:tab w:val="clear" w:pos="567"/>
        </w:tabs>
        <w:spacing w:before="0" w:line="280" w:lineRule="exact"/>
        <w:ind w:left="1134" w:hanging="283"/>
        <w:rPr>
          <w:sz w:val="20"/>
          <w:szCs w:val="20"/>
          <w:lang w:val="fr-FR" w:eastAsia="en-US"/>
        </w:rPr>
      </w:pPr>
      <w:r w:rsidRPr="00216C72">
        <w:rPr>
          <w:sz w:val="20"/>
          <w:szCs w:val="20"/>
          <w:lang w:val="fr-FR" w:eastAsia="en-US"/>
        </w:rPr>
        <w:t>Oui, mais uniquement s’il fait partie d’une candidature multinationale soumise également par un ou plusieurs autres États déjà parties à la Convention.</w:t>
      </w:r>
    </w:p>
    <w:p w:rsidR="009D1425" w:rsidRPr="00B159A4" w:rsidRDefault="00301CC8" w:rsidP="00B0586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216C72">
        <w:rPr>
          <w:rFonts w:eastAsia="SimSun"/>
          <w:szCs w:val="20"/>
        </w:rPr>
        <w:t>L’option (b) est correcte : seuls les États parties à la Convention peuvent soumettre la candidature d’éléments sur les Listes de la Convention et ne peuvent proposer pour inscription que des éléments présents sur leur territoire.</w:t>
      </w:r>
    </w:p>
    <w:p w:rsidR="009D1425" w:rsidRPr="00B159A4" w:rsidRDefault="00301CC8" w:rsidP="009D1425">
      <w:pPr>
        <w:pStyle w:val="Heading3"/>
        <w:rPr>
          <w:rFonts w:eastAsiaTheme="minorHAnsi"/>
          <w:lang w:val="fr-FR"/>
        </w:rPr>
      </w:pPr>
      <w:r w:rsidRPr="00216C72">
        <w:rPr>
          <w:lang w:val="fr-FR"/>
        </w:rPr>
        <w:t>Question 3</w:t>
      </w:r>
    </w:p>
    <w:p w:rsidR="009D1425" w:rsidRPr="00B159A4" w:rsidRDefault="00301CC8" w:rsidP="009D1425">
      <w:pPr>
        <w:pStyle w:val="Texte1"/>
      </w:pPr>
      <w:r w:rsidRPr="00216C72">
        <w:t xml:space="preserve">Le Département du </w:t>
      </w:r>
      <w:r w:rsidR="00B25126" w:rsidRPr="00B159A4">
        <w:t>p</w:t>
      </w:r>
      <w:r w:rsidRPr="00216C72">
        <w:t>atrimoine du pays fédéral W examine la demande de la communauté X, population majoritaire de la province Y, de faire inscrire sa pratique du PCI Z, sur une Liste de la Convention du PCI. L’élément Z du PCI a été inscrit il y a deux</w:t>
      </w:r>
      <w:r w:rsidR="00DA7BDD">
        <w:t> </w:t>
      </w:r>
      <w:r w:rsidRPr="00216C72">
        <w:t xml:space="preserve">ans sur le registre fédéral du PCI. La tradition Z, bien que florissante dans beaucoup de villages de la moitié sud de la province Y, est très en danger partout ailleurs. Le choix de la liste correcte où inscrire l’élément fait l’objet d’un débat. Quelle serait la meilleure option </w:t>
      </w:r>
      <w:r w:rsidR="00511947" w:rsidRPr="00B159A4">
        <w:t>à choisir</w:t>
      </w:r>
      <w:r w:rsidRPr="00216C72">
        <w:t> ?</w:t>
      </w:r>
    </w:p>
    <w:p w:rsidR="009D1425" w:rsidRPr="00B159A4" w:rsidRDefault="00301CC8" w:rsidP="00E97E4A">
      <w:pPr>
        <w:pStyle w:val="numrationa"/>
        <w:tabs>
          <w:tab w:val="clear" w:pos="567"/>
          <w:tab w:val="left" w:pos="1843"/>
        </w:tabs>
        <w:ind w:left="1134" w:hanging="283"/>
        <w:rPr>
          <w:szCs w:val="20"/>
        </w:rPr>
      </w:pPr>
      <w:r w:rsidRPr="00216C72">
        <w:rPr>
          <w:szCs w:val="20"/>
        </w:rPr>
        <w:t>(a) Une inscription sur les deux Listes.</w:t>
      </w:r>
    </w:p>
    <w:p w:rsidR="009D1425" w:rsidRPr="00B159A4" w:rsidRDefault="00301CC8" w:rsidP="00B35263">
      <w:pPr>
        <w:pStyle w:val="numrationa"/>
        <w:tabs>
          <w:tab w:val="left" w:pos="1843"/>
        </w:tabs>
        <w:ind w:left="1276" w:hanging="425"/>
        <w:rPr>
          <w:szCs w:val="20"/>
        </w:rPr>
      </w:pPr>
      <w:r w:rsidRPr="00216C72">
        <w:rPr>
          <w:szCs w:val="20"/>
        </w:rPr>
        <w:t>(b) Une inscription sur la</w:t>
      </w:r>
      <w:r w:rsidR="00F37071">
        <w:rPr>
          <w:szCs w:val="20"/>
        </w:rPr>
        <w:t xml:space="preserve"> Liste représentative</w:t>
      </w:r>
      <w:r w:rsidRPr="00216C72">
        <w:rPr>
          <w:szCs w:val="20"/>
        </w:rPr>
        <w:t>.</w:t>
      </w:r>
    </w:p>
    <w:p w:rsidR="009D1425" w:rsidRPr="00B159A4" w:rsidRDefault="00301CC8" w:rsidP="00B35263">
      <w:pPr>
        <w:pStyle w:val="numrationa"/>
        <w:tabs>
          <w:tab w:val="left" w:pos="1843"/>
        </w:tabs>
        <w:ind w:left="1276" w:hanging="425"/>
        <w:rPr>
          <w:szCs w:val="20"/>
        </w:rPr>
      </w:pPr>
      <w:r w:rsidRPr="00216C72">
        <w:rPr>
          <w:szCs w:val="20"/>
        </w:rPr>
        <w:t>(c) Une inscription sur la</w:t>
      </w:r>
      <w:r w:rsidR="00F37071">
        <w:rPr>
          <w:szCs w:val="20"/>
        </w:rPr>
        <w:t xml:space="preserve"> Liste de sauvegarde urgente</w:t>
      </w:r>
      <w:r w:rsidRPr="00216C72">
        <w:rPr>
          <w:szCs w:val="20"/>
        </w:rPr>
        <w:t>.</w:t>
      </w:r>
    </w:p>
    <w:p w:rsidR="009D1425" w:rsidRPr="00B159A4" w:rsidRDefault="00301CC8" w:rsidP="00E97E4A">
      <w:pPr>
        <w:pStyle w:val="numrationa"/>
        <w:tabs>
          <w:tab w:val="left" w:pos="1843"/>
        </w:tabs>
        <w:ind w:left="1134" w:hanging="283"/>
      </w:pPr>
      <w:r w:rsidRPr="00216C72">
        <w:rPr>
          <w:szCs w:val="20"/>
        </w:rPr>
        <w:t>(d) Attendre que l’élément soit partout dans la même situation, que ce soit en danger ou non, avant d’essayer de l’inscrire sur une ou deux listes.</w:t>
      </w:r>
    </w:p>
    <w:p w:rsidR="00C02AFA" w:rsidRPr="00B159A4" w:rsidRDefault="00301CC8" w:rsidP="009D1425">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216C72">
        <w:rPr>
          <w:rFonts w:eastAsia="SimSun"/>
          <w:szCs w:val="20"/>
        </w:rPr>
        <w:lastRenderedPageBreak/>
        <w:t>L’option (a) est exclue car un élément ne peut pas être inscrit sur les deux listes en même temps (DO</w:t>
      </w:r>
      <w:r w:rsidR="0053224C">
        <w:rPr>
          <w:rFonts w:eastAsia="SimSun"/>
          <w:szCs w:val="20"/>
        </w:rPr>
        <w:t> </w:t>
      </w:r>
      <w:r w:rsidRPr="00216C72">
        <w:rPr>
          <w:rFonts w:eastAsia="SimSun"/>
          <w:szCs w:val="20"/>
        </w:rPr>
        <w:t>38).</w:t>
      </w:r>
    </w:p>
    <w:p w:rsidR="009D1425" w:rsidRPr="00B159A4" w:rsidRDefault="00301CC8" w:rsidP="00C02AF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216C72">
        <w:rPr>
          <w:rFonts w:eastAsia="SimSun"/>
          <w:szCs w:val="20"/>
        </w:rPr>
        <w:t>Les États parties à la Convention doivent s’efforcer d’encourager la sauvegarde du PCI présent sur leur territoire. Si la candidature sur l’une des Listes est souhaitée par la communauté et est susceptible de contribuer à une meilleure sauvegarde, gestion ou visibilité de l’élément, l’option (d) doit être rejetée.</w:t>
      </w:r>
    </w:p>
    <w:p w:rsidR="00B35263" w:rsidRPr="00B159A4" w:rsidRDefault="00301CC8" w:rsidP="00C02AF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216C72">
        <w:rPr>
          <w:rFonts w:eastAsia="SimSun"/>
          <w:szCs w:val="20"/>
        </w:rPr>
        <w:t>Les options (b) et (c) semblent possibles, selon les souhaits et les engagements de l’ensemble de la communauté. Si la viabilité de l’élément n’est pas assurée et évolue dans un sens plus négatif, l’option (c) serait probablement plus appropriée.</w:t>
      </w:r>
    </w:p>
    <w:p w:rsidR="009D1425" w:rsidRPr="00B159A4" w:rsidRDefault="00301CC8" w:rsidP="009D1425">
      <w:pPr>
        <w:pStyle w:val="Heading3"/>
        <w:rPr>
          <w:lang w:val="fr-FR"/>
        </w:rPr>
      </w:pPr>
      <w:r w:rsidRPr="00216C72">
        <w:rPr>
          <w:lang w:val="fr-FR"/>
        </w:rPr>
        <w:t>Question 4</w:t>
      </w:r>
    </w:p>
    <w:p w:rsidR="00C02AFA" w:rsidRPr="00B159A4" w:rsidRDefault="00301CC8" w:rsidP="00C02AFA">
      <w:pPr>
        <w:pStyle w:val="Texte1"/>
        <w:rPr>
          <w:szCs w:val="20"/>
        </w:rPr>
      </w:pPr>
      <w:r w:rsidRPr="00216C72">
        <w:rPr>
          <w:szCs w:val="20"/>
        </w:rPr>
        <w:t>Les langues en tant que telles peuvent-elles être inscrites sur les Listes de la Convention ?</w:t>
      </w:r>
    </w:p>
    <w:p w:rsidR="00C02AFA" w:rsidRPr="00B159A4" w:rsidRDefault="00301CC8" w:rsidP="00E97E4A">
      <w:pPr>
        <w:numPr>
          <w:ilvl w:val="0"/>
          <w:numId w:val="27"/>
        </w:numPr>
        <w:tabs>
          <w:tab w:val="clear" w:pos="567"/>
        </w:tabs>
        <w:spacing w:before="0" w:after="60" w:line="280" w:lineRule="exact"/>
        <w:ind w:left="1134" w:hanging="283"/>
        <w:rPr>
          <w:sz w:val="20"/>
          <w:szCs w:val="20"/>
          <w:lang w:val="fr-FR" w:eastAsia="en-US"/>
        </w:rPr>
      </w:pPr>
      <w:r w:rsidRPr="00216C72">
        <w:rPr>
          <w:sz w:val="20"/>
          <w:szCs w:val="20"/>
          <w:lang w:val="fr-FR" w:eastAsia="en-US"/>
        </w:rPr>
        <w:t>Oui, les langues peuvent être inscrites sur les Listes car elles sont intrinsèques au PCI.</w:t>
      </w:r>
    </w:p>
    <w:p w:rsidR="00C02AFA" w:rsidRPr="00B159A4" w:rsidRDefault="00301CC8" w:rsidP="00E97E4A">
      <w:pPr>
        <w:numPr>
          <w:ilvl w:val="0"/>
          <w:numId w:val="27"/>
        </w:numPr>
        <w:tabs>
          <w:tab w:val="clear" w:pos="567"/>
        </w:tabs>
        <w:spacing w:before="0" w:after="60" w:line="280" w:lineRule="exact"/>
        <w:ind w:left="1134" w:hanging="283"/>
        <w:rPr>
          <w:sz w:val="20"/>
          <w:szCs w:val="20"/>
          <w:lang w:val="fr-FR" w:eastAsia="en-US"/>
        </w:rPr>
      </w:pPr>
      <w:r w:rsidRPr="00216C72">
        <w:rPr>
          <w:sz w:val="20"/>
          <w:szCs w:val="20"/>
          <w:lang w:val="fr-FR" w:eastAsia="en-US"/>
        </w:rPr>
        <w:t>Non, les langues n</w:t>
      </w:r>
      <w:r w:rsidR="00163432" w:rsidRPr="00B159A4">
        <w:rPr>
          <w:sz w:val="20"/>
          <w:szCs w:val="20"/>
          <w:lang w:val="fr-FR" w:eastAsia="en-US"/>
        </w:rPr>
        <w:t>’ont pas à</w:t>
      </w:r>
      <w:r w:rsidRPr="00216C72">
        <w:rPr>
          <w:sz w:val="20"/>
          <w:szCs w:val="20"/>
          <w:lang w:val="fr-FR" w:eastAsia="en-US"/>
        </w:rPr>
        <w:t xml:space="preserve"> être mentionnées dans les candidatures pour les Listes de la Convention car la langue n</w:t>
      </w:r>
      <w:r w:rsidR="00163432" w:rsidRPr="00B159A4">
        <w:rPr>
          <w:sz w:val="20"/>
          <w:szCs w:val="20"/>
          <w:lang w:val="fr-FR" w:eastAsia="en-US"/>
        </w:rPr>
        <w:t>’appartient</w:t>
      </w:r>
      <w:r w:rsidRPr="00216C72">
        <w:rPr>
          <w:sz w:val="20"/>
          <w:szCs w:val="20"/>
          <w:lang w:val="fr-FR" w:eastAsia="en-US"/>
        </w:rPr>
        <w:t xml:space="preserve"> à aucun domaine du PCI.</w:t>
      </w:r>
    </w:p>
    <w:p w:rsidR="00C02AFA" w:rsidRPr="00B159A4" w:rsidRDefault="00301CC8" w:rsidP="00E97E4A">
      <w:pPr>
        <w:numPr>
          <w:ilvl w:val="0"/>
          <w:numId w:val="27"/>
        </w:numPr>
        <w:tabs>
          <w:tab w:val="clear" w:pos="567"/>
        </w:tabs>
        <w:spacing w:before="0" w:after="60" w:line="280" w:lineRule="exact"/>
        <w:ind w:left="1134" w:hanging="283"/>
        <w:rPr>
          <w:sz w:val="20"/>
          <w:szCs w:val="20"/>
          <w:lang w:val="fr-FR" w:eastAsia="en-US"/>
        </w:rPr>
      </w:pPr>
      <w:r w:rsidRPr="00216C72">
        <w:rPr>
          <w:sz w:val="20"/>
          <w:szCs w:val="20"/>
          <w:lang w:val="fr-FR" w:eastAsia="en-US"/>
        </w:rPr>
        <w:t>Non, la Convention précise que la langue est une composante d’une inscription seulement si elle est considérée comme vecteur du PCI.</w:t>
      </w:r>
    </w:p>
    <w:p w:rsidR="003579DE" w:rsidRPr="00B159A4" w:rsidRDefault="00301CC8" w:rsidP="003579DE">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216C72">
        <w:rPr>
          <w:rFonts w:eastAsia="SimSun"/>
          <w:szCs w:val="20"/>
        </w:rPr>
        <w:t>L’option (b) n’est pas valable : la liste des domaines à l’article</w:t>
      </w:r>
      <w:r w:rsidR="0053224C">
        <w:rPr>
          <w:rFonts w:eastAsia="SimSun"/>
          <w:szCs w:val="20"/>
        </w:rPr>
        <w:t> </w:t>
      </w:r>
      <w:r w:rsidRPr="00216C72">
        <w:rPr>
          <w:rFonts w:eastAsia="SimSun"/>
          <w:szCs w:val="20"/>
        </w:rPr>
        <w:t>2.2 est explicitement présentée comme non exhaustive.</w:t>
      </w:r>
    </w:p>
    <w:p w:rsidR="003579DE" w:rsidRPr="00B159A4" w:rsidRDefault="00301CC8" w:rsidP="003579DE">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216C72">
        <w:rPr>
          <w:rFonts w:eastAsia="SimSun"/>
          <w:szCs w:val="20"/>
        </w:rPr>
        <w:t>Options (a) et (c) : Le Comité n’a pas encore eu à statuer sur une candidature concernant des langues et devra en donner une interprétation le moment venu. À ce jour, aucun élément ne laisse présager laquelle de ces deux options est susceptible d’avoir la préférence du Comité.</w:t>
      </w:r>
    </w:p>
    <w:p w:rsidR="009D1425" w:rsidRPr="00B159A4" w:rsidRDefault="00301CC8" w:rsidP="003579DE">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216C72">
        <w:rPr>
          <w:rFonts w:eastAsia="SimSun"/>
          <w:szCs w:val="20"/>
        </w:rPr>
        <w:t xml:space="preserve">Lors de la préparation de la Convention, il a été reconnu que la langue est inhérente au PCI car elle est un élément de la pratique et de la transmission de la plupart </w:t>
      </w:r>
      <w:r w:rsidR="00163432" w:rsidRPr="00B159A4">
        <w:rPr>
          <w:rFonts w:eastAsia="SimSun"/>
          <w:szCs w:val="20"/>
        </w:rPr>
        <w:t xml:space="preserve">des éléments </w:t>
      </w:r>
      <w:r w:rsidRPr="00216C72">
        <w:rPr>
          <w:rFonts w:eastAsia="SimSun"/>
          <w:szCs w:val="20"/>
        </w:rPr>
        <w:t xml:space="preserve">du PCI. La langue </w:t>
      </w:r>
      <w:r w:rsidR="002C30F2" w:rsidRPr="00B159A4">
        <w:rPr>
          <w:rFonts w:eastAsia="SimSun"/>
          <w:szCs w:val="20"/>
        </w:rPr>
        <w:t xml:space="preserve">sert à </w:t>
      </w:r>
      <w:r w:rsidR="00163432" w:rsidRPr="00B159A4">
        <w:rPr>
          <w:rFonts w:eastAsia="SimSun"/>
          <w:szCs w:val="20"/>
        </w:rPr>
        <w:t>véhicule</w:t>
      </w:r>
      <w:r w:rsidR="002C30F2" w:rsidRPr="00B159A4">
        <w:rPr>
          <w:rFonts w:eastAsia="SimSun"/>
          <w:szCs w:val="20"/>
        </w:rPr>
        <w:t>r</w:t>
      </w:r>
      <w:r w:rsidR="00163432" w:rsidRPr="00B159A4">
        <w:rPr>
          <w:rFonts w:eastAsia="SimSun"/>
          <w:szCs w:val="20"/>
        </w:rPr>
        <w:t xml:space="preserve"> </w:t>
      </w:r>
      <w:r w:rsidRPr="00216C72">
        <w:rPr>
          <w:rFonts w:eastAsia="SimSun"/>
          <w:szCs w:val="20"/>
        </w:rPr>
        <w:t>de</w:t>
      </w:r>
      <w:r w:rsidR="00163432" w:rsidRPr="00B159A4">
        <w:rPr>
          <w:rFonts w:eastAsia="SimSun"/>
          <w:szCs w:val="20"/>
        </w:rPr>
        <w:t>s</w:t>
      </w:r>
      <w:r w:rsidRPr="00216C72">
        <w:rPr>
          <w:rFonts w:eastAsia="SimSun"/>
          <w:szCs w:val="20"/>
        </w:rPr>
        <w:t xml:space="preserve"> valeurs et de</w:t>
      </w:r>
      <w:r w:rsidR="00163432" w:rsidRPr="00B159A4">
        <w:rPr>
          <w:rFonts w:eastAsia="SimSun"/>
          <w:szCs w:val="20"/>
        </w:rPr>
        <w:t>s</w:t>
      </w:r>
      <w:r w:rsidRPr="00216C72">
        <w:rPr>
          <w:rFonts w:eastAsia="SimSun"/>
          <w:szCs w:val="20"/>
        </w:rPr>
        <w:t xml:space="preserve"> connaissances et </w:t>
      </w:r>
      <w:r w:rsidR="002C30F2" w:rsidRPr="00B159A4">
        <w:rPr>
          <w:rFonts w:eastAsia="SimSun"/>
          <w:szCs w:val="20"/>
        </w:rPr>
        <w:t xml:space="preserve">est </w:t>
      </w:r>
      <w:r w:rsidRPr="00216C72">
        <w:rPr>
          <w:rFonts w:eastAsia="SimSun"/>
          <w:szCs w:val="20"/>
        </w:rPr>
        <w:t>un outil essentiel de transmission du PCI. Il a néanmoins été décidé de ne pas inclure la « langue » en tant que telle dans la liste des domaines à l’article</w:t>
      </w:r>
      <w:r w:rsidR="0053224C">
        <w:rPr>
          <w:rFonts w:eastAsia="SimSun"/>
          <w:szCs w:val="20"/>
        </w:rPr>
        <w:t> </w:t>
      </w:r>
      <w:r w:rsidRPr="00216C72">
        <w:rPr>
          <w:rFonts w:eastAsia="SimSun"/>
          <w:szCs w:val="20"/>
        </w:rPr>
        <w:t>2.2 de la Convention, bien qu</w:t>
      </w:r>
      <w:r w:rsidR="002C30F2" w:rsidRPr="00B159A4">
        <w:rPr>
          <w:rFonts w:eastAsia="SimSun"/>
          <w:szCs w:val="20"/>
        </w:rPr>
        <w:t>’elle</w:t>
      </w:r>
      <w:r w:rsidRPr="00216C72">
        <w:rPr>
          <w:rFonts w:eastAsia="SimSun"/>
          <w:szCs w:val="20"/>
        </w:rPr>
        <w:t xml:space="preserve"> </w:t>
      </w:r>
      <w:r w:rsidR="002C30F2" w:rsidRPr="00B159A4">
        <w:rPr>
          <w:rFonts w:eastAsia="SimSun"/>
          <w:szCs w:val="20"/>
        </w:rPr>
        <w:t>soit</w:t>
      </w:r>
      <w:r w:rsidRPr="00216C72">
        <w:rPr>
          <w:rFonts w:eastAsia="SimSun"/>
          <w:szCs w:val="20"/>
        </w:rPr>
        <w:t xml:space="preserve"> effectivement </w:t>
      </w:r>
      <w:r w:rsidR="002C30F2" w:rsidRPr="00B159A4">
        <w:rPr>
          <w:rFonts w:eastAsia="SimSun"/>
          <w:szCs w:val="20"/>
        </w:rPr>
        <w:t xml:space="preserve">mentionnée </w:t>
      </w:r>
      <w:r w:rsidRPr="00216C72">
        <w:rPr>
          <w:rFonts w:eastAsia="SimSun"/>
          <w:szCs w:val="20"/>
        </w:rPr>
        <w:t>dans le premier domaine : « les traditions et expressions orales, y compris la langue comme vecteur du patrimoine culturel immatériel ». Cette liste n’est évidemment pas exhaustive. Ce compromis est le reflet des politiques fort différentes des divers États s’agissant de leur diversité linguistique intérieure.</w:t>
      </w:r>
    </w:p>
    <w:p w:rsidR="009D1425" w:rsidRPr="00216C72" w:rsidRDefault="00301CC8" w:rsidP="009D1425">
      <w:pPr>
        <w:pStyle w:val="Heading3"/>
        <w:rPr>
          <w:color w:val="000000" w:themeColor="text1"/>
          <w:lang w:val="fr-FR"/>
        </w:rPr>
      </w:pPr>
      <w:r w:rsidRPr="00216C72">
        <w:rPr>
          <w:color w:val="000000" w:themeColor="text1"/>
          <w:lang w:val="fr-FR"/>
        </w:rPr>
        <w:t>Question 5</w:t>
      </w:r>
    </w:p>
    <w:p w:rsidR="003579DE" w:rsidRPr="00B159A4" w:rsidRDefault="00301CC8" w:rsidP="00917BA2">
      <w:pPr>
        <w:pStyle w:val="Texte1"/>
        <w:rPr>
          <w:szCs w:val="20"/>
        </w:rPr>
      </w:pPr>
      <w:r w:rsidRPr="00216C72">
        <w:rPr>
          <w:szCs w:val="20"/>
        </w:rPr>
        <w:t>Plusieurs États parties à la Convention peuvent-ils soumettre la candidature commune d’un élément qu’ils partagent ensemble plutôt que des candidatures séparées ?</w:t>
      </w:r>
    </w:p>
    <w:p w:rsidR="003579DE" w:rsidRPr="00B159A4" w:rsidRDefault="00301CC8" w:rsidP="00E97E4A">
      <w:pPr>
        <w:numPr>
          <w:ilvl w:val="0"/>
          <w:numId w:val="28"/>
        </w:numPr>
        <w:tabs>
          <w:tab w:val="clear" w:pos="567"/>
        </w:tabs>
        <w:spacing w:before="0" w:after="60" w:line="280" w:lineRule="exact"/>
        <w:ind w:left="1134" w:hanging="283"/>
        <w:rPr>
          <w:sz w:val="20"/>
          <w:szCs w:val="20"/>
          <w:lang w:val="fr-FR" w:eastAsia="en-US"/>
        </w:rPr>
      </w:pPr>
      <w:r w:rsidRPr="00216C72">
        <w:rPr>
          <w:sz w:val="20"/>
          <w:szCs w:val="20"/>
          <w:lang w:val="fr-FR" w:eastAsia="en-US"/>
        </w:rPr>
        <w:t>Oui, la Convention et les DO encouragent à soumettre une candidature multinationale pour un même élément s’il est transfrontalier.</w:t>
      </w:r>
    </w:p>
    <w:p w:rsidR="003579DE" w:rsidRPr="00B159A4" w:rsidRDefault="00301CC8" w:rsidP="00E97E4A">
      <w:pPr>
        <w:numPr>
          <w:ilvl w:val="0"/>
          <w:numId w:val="28"/>
        </w:numPr>
        <w:tabs>
          <w:tab w:val="clear" w:pos="567"/>
        </w:tabs>
        <w:spacing w:before="0" w:after="60" w:line="280" w:lineRule="exact"/>
        <w:ind w:left="1134" w:hanging="283"/>
        <w:rPr>
          <w:sz w:val="20"/>
          <w:szCs w:val="20"/>
          <w:lang w:val="fr-FR" w:eastAsia="en-US"/>
        </w:rPr>
      </w:pPr>
      <w:r w:rsidRPr="00216C72">
        <w:rPr>
          <w:sz w:val="20"/>
          <w:szCs w:val="20"/>
          <w:lang w:val="fr-FR" w:eastAsia="en-US"/>
        </w:rPr>
        <w:t>Non, si un élément est présent dans deux États, ils doivent trouver un moyen de le différencier afin de pouvoir soumettre deux candidatures différentes.</w:t>
      </w:r>
    </w:p>
    <w:p w:rsidR="009D1425" w:rsidRPr="00216C72" w:rsidRDefault="00301CC8" w:rsidP="00216C72">
      <w:pPr>
        <w:numPr>
          <w:ilvl w:val="0"/>
          <w:numId w:val="28"/>
        </w:numPr>
        <w:tabs>
          <w:tab w:val="clear" w:pos="567"/>
        </w:tabs>
        <w:spacing w:before="0" w:after="60" w:line="280" w:lineRule="exact"/>
        <w:ind w:left="1134" w:hanging="283"/>
        <w:rPr>
          <w:lang w:val="fr-FR"/>
        </w:rPr>
      </w:pPr>
      <w:r w:rsidRPr="00216C72">
        <w:rPr>
          <w:sz w:val="20"/>
          <w:szCs w:val="20"/>
          <w:lang w:val="fr-FR" w:eastAsia="en-US"/>
        </w:rPr>
        <w:t>Non, seul l’État partie où l’élément a la plus longue histoire de pratique ininterrompue est autorisé à soumettre un dossier de candidature.</w:t>
      </w:r>
    </w:p>
    <w:p w:rsidR="009D1425" w:rsidRPr="00B159A4" w:rsidRDefault="00301CC8" w:rsidP="003579DE">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216C72">
        <w:rPr>
          <w:rFonts w:eastAsia="SimSun"/>
          <w:szCs w:val="20"/>
        </w:rPr>
        <w:lastRenderedPageBreak/>
        <w:t xml:space="preserve">L’option (a) est correcte : dans l’esprit de la Convention, les DO encouragent les candidatures multinationales qui sont possibles dès lors que les États où </w:t>
      </w:r>
      <w:r w:rsidR="0080127F" w:rsidRPr="00B159A4">
        <w:rPr>
          <w:rFonts w:eastAsia="SimSun"/>
          <w:szCs w:val="20"/>
        </w:rPr>
        <w:t>se trouve</w:t>
      </w:r>
      <w:r w:rsidRPr="00216C72">
        <w:rPr>
          <w:rFonts w:eastAsia="SimSun"/>
          <w:szCs w:val="20"/>
        </w:rPr>
        <w:t xml:space="preserve"> le patrimoine commun sont parties à la Convention. Bien que les États parties ne soient pas obligés de proposer d’inscrire un patrimoine partagé </w:t>
      </w:r>
      <w:r w:rsidR="0080127F" w:rsidRPr="00B159A4">
        <w:rPr>
          <w:rFonts w:eastAsia="SimSun"/>
          <w:szCs w:val="20"/>
        </w:rPr>
        <w:t>dans le cadre d’</w:t>
      </w:r>
      <w:r w:rsidRPr="00216C72">
        <w:rPr>
          <w:rFonts w:eastAsia="SimSun"/>
          <w:szCs w:val="20"/>
        </w:rPr>
        <w:t>une candidature multinationale, ils sont fortement encouragés à le faire car c’est une façon de promouvoir la coopération internationale et de renforcer l’efficacité des efforts de sauvegarde. Dans ces cas-là, bien sûr, l’opinion de la (des) communauté(s) concernée(s) sera déterminante.</w:t>
      </w:r>
    </w:p>
    <w:p w:rsidR="009D1425" w:rsidRPr="00B159A4" w:rsidRDefault="00301CC8" w:rsidP="009D1425">
      <w:pPr>
        <w:pStyle w:val="Heading3"/>
        <w:rPr>
          <w:lang w:val="fr-FR"/>
        </w:rPr>
      </w:pPr>
      <w:r w:rsidRPr="00216C72">
        <w:rPr>
          <w:lang w:val="fr-FR"/>
        </w:rPr>
        <w:t>Question 6</w:t>
      </w:r>
    </w:p>
    <w:p w:rsidR="00917BA2" w:rsidRPr="00B159A4" w:rsidRDefault="00301CC8" w:rsidP="00917BA2">
      <w:pPr>
        <w:pStyle w:val="Texte1"/>
        <w:rPr>
          <w:szCs w:val="20"/>
        </w:rPr>
      </w:pPr>
      <w:r w:rsidRPr="00216C72">
        <w:rPr>
          <w:szCs w:val="20"/>
        </w:rPr>
        <w:t xml:space="preserve">Le PCI des communautés immigrées peut-il prétendre à l’inclusion </w:t>
      </w:r>
      <w:r w:rsidR="0080127F" w:rsidRPr="00B159A4">
        <w:rPr>
          <w:szCs w:val="20"/>
        </w:rPr>
        <w:t>dans</w:t>
      </w:r>
      <w:r w:rsidRPr="00216C72">
        <w:rPr>
          <w:szCs w:val="20"/>
        </w:rPr>
        <w:t xml:space="preserve"> les Listes de la Convention ?</w:t>
      </w:r>
    </w:p>
    <w:p w:rsidR="00917BA2" w:rsidRPr="00B159A4" w:rsidRDefault="00301CC8" w:rsidP="00E97E4A">
      <w:pPr>
        <w:numPr>
          <w:ilvl w:val="0"/>
          <w:numId w:val="29"/>
        </w:numPr>
        <w:tabs>
          <w:tab w:val="clear" w:pos="567"/>
        </w:tabs>
        <w:spacing w:before="0" w:after="60" w:line="280" w:lineRule="exact"/>
        <w:ind w:left="1134" w:hanging="283"/>
        <w:rPr>
          <w:sz w:val="20"/>
          <w:szCs w:val="20"/>
          <w:lang w:val="fr-FR" w:eastAsia="en-US"/>
        </w:rPr>
      </w:pPr>
      <w:r w:rsidRPr="00216C72">
        <w:rPr>
          <w:sz w:val="20"/>
          <w:szCs w:val="20"/>
          <w:lang w:val="fr-FR" w:eastAsia="en-US"/>
        </w:rPr>
        <w:t>Oui, les candidatures aux Listes de la Convention qui concernent des éléments du PCI de communautés immigrées installées dans un État spécifique peuvent être inscrites si ces éléments satisfont aux critères définis dans les DO.</w:t>
      </w:r>
    </w:p>
    <w:p w:rsidR="00917BA2" w:rsidRPr="00B159A4" w:rsidRDefault="00301CC8" w:rsidP="00E97E4A">
      <w:pPr>
        <w:numPr>
          <w:ilvl w:val="0"/>
          <w:numId w:val="29"/>
        </w:numPr>
        <w:tabs>
          <w:tab w:val="clear" w:pos="567"/>
        </w:tabs>
        <w:spacing w:before="0" w:after="60" w:line="280" w:lineRule="exact"/>
        <w:ind w:left="1134" w:hanging="283"/>
        <w:rPr>
          <w:sz w:val="20"/>
          <w:szCs w:val="20"/>
          <w:lang w:val="fr-FR" w:eastAsia="en-US"/>
        </w:rPr>
      </w:pPr>
      <w:r w:rsidRPr="00216C72">
        <w:rPr>
          <w:sz w:val="20"/>
          <w:szCs w:val="20"/>
          <w:lang w:val="fr-FR" w:eastAsia="en-US"/>
        </w:rPr>
        <w:t>Oui, les éléments dont la candidature est proposée sur les Listes de la Convention et qui concernent le PCI de communautés immigrées peuvent être inscrits, mais uniquement si une autorisation spéciale est sollicitée auprès du pays d’origine des immigrants concernés.</w:t>
      </w:r>
    </w:p>
    <w:p w:rsidR="00917BA2" w:rsidRPr="00B159A4" w:rsidRDefault="00301CC8" w:rsidP="00E97E4A">
      <w:pPr>
        <w:numPr>
          <w:ilvl w:val="0"/>
          <w:numId w:val="29"/>
        </w:numPr>
        <w:tabs>
          <w:tab w:val="clear" w:pos="567"/>
        </w:tabs>
        <w:spacing w:before="0" w:after="60" w:line="280" w:lineRule="exact"/>
        <w:ind w:left="1134" w:hanging="283"/>
        <w:rPr>
          <w:sz w:val="20"/>
          <w:szCs w:val="20"/>
          <w:lang w:val="fr-FR" w:eastAsia="en-US"/>
        </w:rPr>
      </w:pPr>
      <w:r w:rsidRPr="00216C72">
        <w:rPr>
          <w:sz w:val="20"/>
          <w:szCs w:val="20"/>
          <w:lang w:val="fr-FR" w:eastAsia="en-US"/>
        </w:rPr>
        <w:t>Non, seuls les éléments qui sont des composantes autochtones des États parties soumissionnaires et qui ont une pertinence pour leur identité nationale ou pour celle des groupes majoritaires présents sur leur territoire, peuvent être inscrits sur les Listes de la Convention.</w:t>
      </w:r>
    </w:p>
    <w:p w:rsidR="00917BA2" w:rsidRPr="00B159A4" w:rsidRDefault="00301CC8" w:rsidP="00917BA2">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216C72">
        <w:rPr>
          <w:rFonts w:eastAsia="SimSun"/>
          <w:szCs w:val="20"/>
        </w:rPr>
        <w:t xml:space="preserve">L’option (a) est correcte : il appartient à chaque État partie à la Convention de décider quels éléments soumettre à l’inscription sur les Listes de la Convention à condition que ces éléments et les communautés concernées soient situés sur son territoire. Aucune raison ne justifie de ne pas inscrire le PCI d’immigrants sur les Listes dès lors que l’élément satisfait aux critères et que le dossier est </w:t>
      </w:r>
      <w:r w:rsidR="001168E0" w:rsidRPr="00B159A4">
        <w:rPr>
          <w:rFonts w:eastAsia="SimSun"/>
          <w:szCs w:val="20"/>
        </w:rPr>
        <w:t>jug</w:t>
      </w:r>
      <w:r w:rsidRPr="00216C72">
        <w:rPr>
          <w:rFonts w:eastAsia="SimSun"/>
          <w:szCs w:val="20"/>
        </w:rPr>
        <w:t>é convaincant et complet. En fait, Il peut y avoir de très bonnes raisons d’agir ainsi.</w:t>
      </w:r>
    </w:p>
    <w:p w:rsidR="00917BA2" w:rsidRPr="00B159A4" w:rsidRDefault="00301CC8" w:rsidP="00917BA2">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216C72">
        <w:rPr>
          <w:rFonts w:eastAsia="SimSun"/>
          <w:szCs w:val="20"/>
        </w:rPr>
        <w:t>Option (b) : tout État partie est libre de proposer pour inscription des éléments du PCI qui sont situés sur son territoire. Si des groupes dans le pays d’origine des immigrants concernés pratiquent aussi l’élément et qu’il se trouve que ce pays est un État partie à la Convention, les États parties sont encouragés à mettre en œuvre une coopération internationale afin de soumettre une candidature multinationale (DO</w:t>
      </w:r>
      <w:r w:rsidR="0053224C">
        <w:rPr>
          <w:rFonts w:eastAsia="SimSun"/>
          <w:szCs w:val="20"/>
        </w:rPr>
        <w:t> </w:t>
      </w:r>
      <w:r w:rsidRPr="00216C72">
        <w:rPr>
          <w:rFonts w:eastAsia="SimSun"/>
          <w:szCs w:val="20"/>
        </w:rPr>
        <w:t>13). Cette recommandation ne saurait, toutefois, être imposée.</w:t>
      </w:r>
    </w:p>
    <w:p w:rsidR="009D1425" w:rsidRPr="00B159A4" w:rsidRDefault="00301CC8" w:rsidP="00917BA2">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rPr>
      </w:pPr>
      <w:r w:rsidRPr="00216C72">
        <w:rPr>
          <w:rFonts w:eastAsia="SimSun"/>
          <w:szCs w:val="20"/>
        </w:rPr>
        <w:t xml:space="preserve">Option (c) : l’idée que les éléments « autochtones » d’un PCI devraient être les seuls qui puissent être soumis à l’inscription pose problème. La Convention, qui a pour but de promouvoir et célébrer la diversité culturelle, n’entend pas exclure de la sauvegarde au niveau national ou de la candidature à l’inscription sur les Listes de la Convention le PCI de groupes ou de communautés vivant sur le territoire des États parties à la Convention. La Convention ne mentionne pas l’identité nationale ; beaucoup d’États – </w:t>
      </w:r>
      <w:r w:rsidRPr="00216C72">
        <w:rPr>
          <w:rFonts w:eastAsia="SimSun"/>
          <w:szCs w:val="20"/>
          <w:lang w:eastAsia="en-US"/>
        </w:rPr>
        <w:t>en particulier</w:t>
      </w:r>
      <w:r w:rsidRPr="00216C72">
        <w:rPr>
          <w:rFonts w:eastAsia="SimSun"/>
          <w:szCs w:val="20"/>
        </w:rPr>
        <w:t xml:space="preserve"> les États fédéraux – ne revendiquent pas une identité nationale. Qui plus est, l’esprit de la Convention ne saurait permettre d’</w:t>
      </w:r>
      <w:r w:rsidR="00B13C43" w:rsidRPr="00B159A4">
        <w:rPr>
          <w:rFonts w:eastAsia="SimSun"/>
          <w:szCs w:val="20"/>
        </w:rPr>
        <w:t>introduire</w:t>
      </w:r>
      <w:r w:rsidRPr="00216C72">
        <w:rPr>
          <w:rFonts w:eastAsia="SimSun"/>
          <w:szCs w:val="20"/>
        </w:rPr>
        <w:t xml:space="preserve"> des distinctions entre le PCI de</w:t>
      </w:r>
      <w:r w:rsidR="00B13C43" w:rsidRPr="00B159A4">
        <w:rPr>
          <w:rFonts w:eastAsia="SimSun"/>
          <w:szCs w:val="20"/>
        </w:rPr>
        <w:t>s</w:t>
      </w:r>
      <w:r w:rsidRPr="00216C72">
        <w:rPr>
          <w:rFonts w:eastAsia="SimSun"/>
          <w:szCs w:val="20"/>
        </w:rPr>
        <w:t xml:space="preserve"> groupes majoritaires et minoritaires.</w:t>
      </w:r>
    </w:p>
    <w:p w:rsidR="009D1425" w:rsidRPr="00B159A4" w:rsidRDefault="00301CC8" w:rsidP="009D1425">
      <w:pPr>
        <w:pStyle w:val="Heading3"/>
        <w:rPr>
          <w:lang w:val="fr-FR"/>
        </w:rPr>
      </w:pPr>
      <w:r w:rsidRPr="00216C72">
        <w:rPr>
          <w:lang w:val="fr-FR"/>
        </w:rPr>
        <w:lastRenderedPageBreak/>
        <w:t>Question 7</w:t>
      </w:r>
    </w:p>
    <w:p w:rsidR="00917BA2" w:rsidRPr="00B159A4" w:rsidRDefault="00301CC8" w:rsidP="00590C86">
      <w:pPr>
        <w:pStyle w:val="Texte1"/>
        <w:rPr>
          <w:szCs w:val="20"/>
        </w:rPr>
      </w:pPr>
      <w:r w:rsidRPr="00216C72">
        <w:rPr>
          <w:szCs w:val="20"/>
        </w:rPr>
        <w:t>L’inscription d’un élément sur les Listes de la Convention peut-elle servir à établir des droits de propriété intellectuelle (DPI) d’une communauté ou d’un groupe sur un élément ?</w:t>
      </w:r>
    </w:p>
    <w:p w:rsidR="00917BA2" w:rsidRPr="00B159A4" w:rsidRDefault="00301CC8" w:rsidP="00E97E4A">
      <w:pPr>
        <w:numPr>
          <w:ilvl w:val="0"/>
          <w:numId w:val="30"/>
        </w:numPr>
        <w:tabs>
          <w:tab w:val="clear" w:pos="567"/>
        </w:tabs>
        <w:spacing w:before="0" w:after="60" w:line="280" w:lineRule="exact"/>
        <w:ind w:left="1134" w:hanging="283"/>
        <w:rPr>
          <w:sz w:val="20"/>
          <w:szCs w:val="20"/>
          <w:lang w:val="fr-FR" w:eastAsia="en-US"/>
        </w:rPr>
      </w:pPr>
      <w:r w:rsidRPr="00216C72">
        <w:rPr>
          <w:sz w:val="20"/>
          <w:szCs w:val="20"/>
          <w:lang w:val="fr-FR" w:eastAsia="en-US"/>
        </w:rPr>
        <w:t xml:space="preserve">Non, la Convention ne peut pas établir de DPI sur un élément </w:t>
      </w:r>
      <w:r w:rsidR="00C96F57" w:rsidRPr="00B159A4">
        <w:rPr>
          <w:sz w:val="20"/>
          <w:szCs w:val="20"/>
          <w:lang w:val="fr-FR" w:eastAsia="en-US"/>
        </w:rPr>
        <w:t>de par</w:t>
      </w:r>
      <w:r w:rsidRPr="00216C72">
        <w:rPr>
          <w:sz w:val="20"/>
          <w:szCs w:val="20"/>
          <w:lang w:val="fr-FR" w:eastAsia="en-US"/>
        </w:rPr>
        <w:t xml:space="preserve"> l’inscription sur ses Listes.</w:t>
      </w:r>
    </w:p>
    <w:p w:rsidR="00917BA2" w:rsidRPr="00B159A4" w:rsidRDefault="00301CC8" w:rsidP="00E97E4A">
      <w:pPr>
        <w:numPr>
          <w:ilvl w:val="0"/>
          <w:numId w:val="30"/>
        </w:numPr>
        <w:tabs>
          <w:tab w:val="clear" w:pos="567"/>
        </w:tabs>
        <w:spacing w:before="0" w:after="60" w:line="280" w:lineRule="exact"/>
        <w:ind w:left="1134" w:hanging="283"/>
        <w:rPr>
          <w:sz w:val="20"/>
          <w:szCs w:val="20"/>
          <w:lang w:val="fr-FR" w:eastAsia="en-US"/>
        </w:rPr>
      </w:pPr>
      <w:r w:rsidRPr="00216C72">
        <w:rPr>
          <w:sz w:val="20"/>
          <w:szCs w:val="20"/>
          <w:lang w:val="fr-FR" w:eastAsia="en-US"/>
        </w:rPr>
        <w:t>Oui, l’inscription sur l’une des Listes de la Convention</w:t>
      </w:r>
      <w:r w:rsidR="00C96F57" w:rsidRPr="00B159A4">
        <w:rPr>
          <w:sz w:val="20"/>
          <w:szCs w:val="20"/>
          <w:lang w:val="fr-FR" w:eastAsia="en-US"/>
        </w:rPr>
        <w:t xml:space="preserve"> </w:t>
      </w:r>
      <w:r w:rsidRPr="00216C72">
        <w:rPr>
          <w:sz w:val="20"/>
          <w:szCs w:val="20"/>
          <w:lang w:val="fr-FR" w:eastAsia="en-US"/>
        </w:rPr>
        <w:t xml:space="preserve">donne aux communautés et aux groupes le droit automatique </w:t>
      </w:r>
      <w:r w:rsidR="00C96F57" w:rsidRPr="00B159A4">
        <w:rPr>
          <w:sz w:val="20"/>
          <w:szCs w:val="20"/>
          <w:lang w:val="fr-FR" w:eastAsia="en-US"/>
        </w:rPr>
        <w:t>de</w:t>
      </w:r>
      <w:r w:rsidRPr="00216C72">
        <w:rPr>
          <w:sz w:val="20"/>
          <w:szCs w:val="20"/>
          <w:lang w:val="fr-FR" w:eastAsia="en-US"/>
        </w:rPr>
        <w:t xml:space="preserve"> demander réparation si toute autre personne pratique leur élément du PCI.</w:t>
      </w:r>
    </w:p>
    <w:p w:rsidR="009D1425" w:rsidRPr="00B159A4" w:rsidRDefault="00301CC8" w:rsidP="00E97E4A">
      <w:pPr>
        <w:numPr>
          <w:ilvl w:val="0"/>
          <w:numId w:val="30"/>
        </w:numPr>
        <w:tabs>
          <w:tab w:val="clear" w:pos="567"/>
        </w:tabs>
        <w:spacing w:before="0" w:after="60" w:line="280" w:lineRule="exact"/>
        <w:ind w:left="1134" w:hanging="283"/>
        <w:rPr>
          <w:sz w:val="20"/>
          <w:szCs w:val="20"/>
          <w:lang w:val="fr-FR" w:eastAsia="en-US"/>
        </w:rPr>
      </w:pPr>
      <w:r w:rsidRPr="00216C72">
        <w:rPr>
          <w:sz w:val="20"/>
          <w:szCs w:val="20"/>
          <w:lang w:val="fr-FR" w:eastAsia="en-US"/>
        </w:rPr>
        <w:t>Oui, l’inscription sur l’une des Listes de la Convention donne aux communautés et aux groupes concernés des DPI sur leur patrimoine.</w:t>
      </w:r>
    </w:p>
    <w:p w:rsidR="00E97E4A" w:rsidRPr="00B159A4" w:rsidRDefault="00301CC8" w:rsidP="00E97E4A">
      <w:pPr>
        <w:pStyle w:val="Encadr"/>
        <w:pBdr>
          <w:top w:val="single" w:sz="2" w:space="3" w:color="auto"/>
          <w:left w:val="single" w:sz="2" w:space="3" w:color="auto"/>
          <w:bottom w:val="single" w:sz="2" w:space="3" w:color="auto"/>
          <w:right w:val="single" w:sz="2" w:space="3" w:color="auto"/>
        </w:pBdr>
        <w:shd w:val="clear" w:color="auto" w:fill="F2F2F2"/>
        <w:ind w:left="357" w:right="113"/>
        <w:rPr>
          <w:rFonts w:eastAsia="SimSun"/>
          <w:szCs w:val="20"/>
        </w:rPr>
      </w:pPr>
      <w:r w:rsidRPr="00216C72">
        <w:rPr>
          <w:rFonts w:eastAsia="SimSun"/>
          <w:szCs w:val="20"/>
        </w:rPr>
        <w:t>L’option (a) est correcte : la Convention se concentre sur la sauvegarde du patrimoine culturel immatériel, c’est-à-dire qu’elle veille à sa recréation permanente plutôt qu’à la protection juridique de ses manifestations spécifiques à travers les DPI</w:t>
      </w:r>
      <w:r w:rsidR="00F24405" w:rsidRPr="00B159A4">
        <w:rPr>
          <w:rFonts w:eastAsia="SimSun"/>
          <w:szCs w:val="20"/>
        </w:rPr>
        <w:t>, ce</w:t>
      </w:r>
      <w:r w:rsidRPr="00216C72">
        <w:rPr>
          <w:rFonts w:eastAsia="SimSun"/>
          <w:szCs w:val="20"/>
        </w:rPr>
        <w:t xml:space="preserve"> qui, au niveau international, relève de la compétence de l’Organisation mondiale de la propriété intellectuelle (OMPI). L’OMPI étudie actuellement la possibilité de créer un instrument normatif pour la protection des DPI en matière d’expressions culturelles traditionnelles, de savoirs traditionnels et d’expressions du folklore. L’OMPI aide aussi ses États membres à élaborer des lois et des réglementations nationales à cet égard.</w:t>
      </w:r>
    </w:p>
    <w:p w:rsidR="009306AE" w:rsidRPr="00B1343A" w:rsidRDefault="00301CC8" w:rsidP="00B1343A">
      <w:pPr>
        <w:pStyle w:val="Encadr"/>
        <w:pBdr>
          <w:top w:val="single" w:sz="2" w:space="3" w:color="auto"/>
          <w:left w:val="single" w:sz="2" w:space="3" w:color="auto"/>
          <w:bottom w:val="single" w:sz="2" w:space="3" w:color="auto"/>
          <w:right w:val="single" w:sz="2" w:space="3" w:color="auto"/>
        </w:pBdr>
        <w:shd w:val="clear" w:color="auto" w:fill="F2F2F2"/>
        <w:ind w:left="357" w:right="113"/>
        <w:rPr>
          <w:rFonts w:eastAsia="SimSun"/>
          <w:szCs w:val="20"/>
        </w:rPr>
      </w:pPr>
      <w:r w:rsidRPr="00216C72">
        <w:rPr>
          <w:rFonts w:eastAsia="SimSun"/>
          <w:szCs w:val="20"/>
        </w:rPr>
        <w:t>Dans son article</w:t>
      </w:r>
      <w:r w:rsidR="0053224C">
        <w:rPr>
          <w:rFonts w:eastAsia="SimSun"/>
          <w:szCs w:val="20"/>
        </w:rPr>
        <w:t> </w:t>
      </w:r>
      <w:r w:rsidRPr="00216C72">
        <w:rPr>
          <w:rFonts w:eastAsia="SimSun"/>
          <w:szCs w:val="20"/>
        </w:rPr>
        <w:t xml:space="preserve">3, la Convention stipule que ses dispositions ne peuvent être interprétées comme affectant les droits et obligations des États parties découlant de tout instrument international relatif aux DPI. Ces droits sont établis, en premier lieu, par la législation au niveau national et les éléments du PCI bénéficient de </w:t>
      </w:r>
      <w:r w:rsidR="00F24405" w:rsidRPr="00B159A4">
        <w:rPr>
          <w:rFonts w:eastAsia="SimSun"/>
          <w:szCs w:val="20"/>
        </w:rPr>
        <w:t>t</w:t>
      </w:r>
      <w:r w:rsidRPr="00216C72">
        <w:rPr>
          <w:rFonts w:eastAsia="SimSun"/>
          <w:szCs w:val="20"/>
        </w:rPr>
        <w:t>e</w:t>
      </w:r>
      <w:r w:rsidR="00F24405" w:rsidRPr="00B159A4">
        <w:rPr>
          <w:rFonts w:eastAsia="SimSun"/>
          <w:szCs w:val="20"/>
        </w:rPr>
        <w:t>l</w:t>
      </w:r>
      <w:r w:rsidRPr="00216C72">
        <w:rPr>
          <w:rFonts w:eastAsia="SimSun"/>
          <w:szCs w:val="20"/>
        </w:rPr>
        <w:t>s droits dans plusieurs États.</w:t>
      </w:r>
    </w:p>
    <w:sectPr w:rsidR="009306AE" w:rsidRPr="00B1343A" w:rsidSect="009B3A94">
      <w:headerReference w:type="even" r:id="rId15"/>
      <w:headerReference w:type="default" r:id="rId16"/>
      <w:footerReference w:type="even" r:id="rId17"/>
      <w:footerReference w:type="default" r:id="rId18"/>
      <w:headerReference w:type="first" r:id="rId19"/>
      <w:footerReference w:type="first" r:id="rId20"/>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8E0" w:rsidRDefault="001168E0" w:rsidP="000A699C">
      <w:pPr>
        <w:spacing w:before="0" w:after="0"/>
      </w:pPr>
      <w:r>
        <w:separator/>
      </w:r>
    </w:p>
  </w:endnote>
  <w:endnote w:type="continuationSeparator" w:id="0">
    <w:p w:rsidR="001168E0" w:rsidRDefault="001168E0"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E0" w:rsidRDefault="00CC4ADC" w:rsidP="00B1343A">
    <w:pPr>
      <w:pStyle w:val="Footer"/>
      <w:ind w:right="360" w:firstLine="360"/>
    </w:pPr>
    <w:r w:rsidRPr="006021AD">
      <w:rPr>
        <w:rFonts w:cs="Arial"/>
        <w:noProof/>
        <w:sz w:val="22"/>
        <w:lang w:val="fr-FR" w:eastAsia="ja-JP"/>
      </w:rPr>
      <w:drawing>
        <wp:anchor distT="0" distB="0" distL="114300" distR="114300" simplePos="0" relativeHeight="251791360" behindDoc="0" locked="0" layoutInCell="1" allowOverlap="1" wp14:anchorId="56118F2E" wp14:editId="7AAEC8A0">
          <wp:simplePos x="0" y="0"/>
          <wp:positionH relativeFrom="column">
            <wp:posOffset>2399665</wp:posOffset>
          </wp:positionH>
          <wp:positionV relativeFrom="paragraph">
            <wp:posOffset>-14605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35C83">
      <w:rPr>
        <w:noProof/>
        <w:lang w:val="fr-FR" w:eastAsia="ja-JP"/>
      </w:rPr>
      <w:drawing>
        <wp:anchor distT="0" distB="0" distL="114300" distR="114300" simplePos="0" relativeHeight="251780096" behindDoc="1" locked="1" layoutInCell="1" allowOverlap="0" wp14:anchorId="6AC2845C" wp14:editId="435CA62C">
          <wp:simplePos x="0" y="0"/>
          <wp:positionH relativeFrom="margin">
            <wp:align>left</wp:align>
          </wp:positionH>
          <wp:positionV relativeFrom="margin">
            <wp:posOffset>8631555</wp:posOffset>
          </wp:positionV>
          <wp:extent cx="763270" cy="533400"/>
          <wp:effectExtent l="0" t="0" r="0" b="0"/>
          <wp:wrapThrough wrapText="bothSides">
            <wp:wrapPolygon edited="0">
              <wp:start x="0" y="0"/>
              <wp:lineTo x="0" y="20829"/>
              <wp:lineTo x="21025" y="20829"/>
              <wp:lineTo x="210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7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C83" w:rsidRPr="00D53593">
      <w:tab/>
    </w:r>
    <w:r w:rsidR="00235C83">
      <w:tab/>
      <w:t>U044-v</w:t>
    </w:r>
    <w:r w:rsidR="00583A6B">
      <w:t>2</w:t>
    </w:r>
    <w:r w:rsidR="00235C83">
      <w:t>.</w:t>
    </w:r>
    <w:r w:rsidR="00583A6B">
      <w:t>0</w:t>
    </w:r>
    <w:r w:rsidR="00235C83" w:rsidRPr="00D53593">
      <w:t>-</w:t>
    </w:r>
    <w:r w:rsidR="00235C83">
      <w:t>FN</w:t>
    </w:r>
    <w:r w:rsidR="00235C83" w:rsidRPr="00D53593">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E0" w:rsidRPr="00216C72" w:rsidRDefault="00CC4ADC" w:rsidP="00216C72">
    <w:pPr>
      <w:widowControl w:val="0"/>
      <w:tabs>
        <w:tab w:val="clear" w:pos="567"/>
        <w:tab w:val="center" w:pos="4423"/>
        <w:tab w:val="right" w:pos="8845"/>
      </w:tabs>
      <w:spacing w:before="0" w:after="0" w:line="280" w:lineRule="exact"/>
      <w:rPr>
        <w:sz w:val="16"/>
        <w:szCs w:val="18"/>
        <w:lang w:val="fr-FR"/>
      </w:rPr>
    </w:pPr>
    <w:r w:rsidRPr="006021AD">
      <w:rPr>
        <w:noProof/>
        <w:lang w:val="fr-FR" w:eastAsia="ja-JP"/>
      </w:rPr>
      <w:drawing>
        <wp:anchor distT="0" distB="0" distL="114300" distR="114300" simplePos="0" relativeHeight="251793408" behindDoc="0" locked="0" layoutInCell="1" allowOverlap="1" wp14:anchorId="56118F2E" wp14:editId="7AAEC8A0">
          <wp:simplePos x="0" y="0"/>
          <wp:positionH relativeFrom="column">
            <wp:posOffset>2675890</wp:posOffset>
          </wp:positionH>
          <wp:positionV relativeFrom="paragraph">
            <wp:posOffset>48895</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35C83" w:rsidRPr="00244986">
      <w:rPr>
        <w:sz w:val="16"/>
        <w:szCs w:val="18"/>
        <w:lang w:val="fr-FR"/>
      </w:rPr>
      <w:t>U</w:t>
    </w:r>
    <w:r w:rsidR="00235C83">
      <w:rPr>
        <w:sz w:val="16"/>
        <w:szCs w:val="18"/>
        <w:lang w:val="fr-FR"/>
      </w:rPr>
      <w:t>044</w:t>
    </w:r>
    <w:r w:rsidR="00235C83" w:rsidRPr="00244986">
      <w:rPr>
        <w:sz w:val="16"/>
        <w:szCs w:val="18"/>
        <w:lang w:val="fr-FR"/>
      </w:rPr>
      <w:t>-v</w:t>
    </w:r>
    <w:r w:rsidR="00583A6B">
      <w:rPr>
        <w:sz w:val="16"/>
        <w:szCs w:val="18"/>
        <w:lang w:val="fr-FR"/>
      </w:rPr>
      <w:t>2</w:t>
    </w:r>
    <w:r w:rsidR="00235C83" w:rsidRPr="00244986">
      <w:rPr>
        <w:sz w:val="16"/>
        <w:szCs w:val="18"/>
        <w:lang w:val="fr-FR"/>
      </w:rPr>
      <w:t>.</w:t>
    </w:r>
    <w:r w:rsidR="00583A6B">
      <w:rPr>
        <w:sz w:val="16"/>
        <w:szCs w:val="18"/>
        <w:lang w:val="fr-FR"/>
      </w:rPr>
      <w:t>0</w:t>
    </w:r>
    <w:r w:rsidR="00235C83" w:rsidRPr="00244986">
      <w:rPr>
        <w:sz w:val="16"/>
        <w:szCs w:val="18"/>
        <w:lang w:val="fr-FR"/>
      </w:rPr>
      <w:t xml:space="preserve">-FN-FR </w:t>
    </w:r>
    <w:r w:rsidR="00235C83" w:rsidRPr="00244986">
      <w:rPr>
        <w:sz w:val="16"/>
        <w:szCs w:val="18"/>
        <w:lang w:val="fr-FR"/>
      </w:rPr>
      <w:tab/>
    </w:r>
    <w:r w:rsidR="00235C83" w:rsidRPr="00244986">
      <w:rPr>
        <w:sz w:val="16"/>
        <w:szCs w:val="18"/>
        <w:lang w:val="fr-FR"/>
      </w:rPr>
      <w:tab/>
    </w:r>
    <w:r w:rsidR="00235C83" w:rsidRPr="00244986">
      <w:rPr>
        <w:noProof/>
        <w:snapToGrid/>
        <w:lang w:val="fr-FR" w:eastAsia="ja-JP"/>
      </w:rPr>
      <w:drawing>
        <wp:anchor distT="0" distB="0" distL="114300" distR="114300" simplePos="0" relativeHeight="251782144" behindDoc="1" locked="1" layoutInCell="1" allowOverlap="0" wp14:anchorId="7C08B324" wp14:editId="74CD5799">
          <wp:simplePos x="0" y="0"/>
          <wp:positionH relativeFrom="margin">
            <wp:align>right</wp:align>
          </wp:positionH>
          <wp:positionV relativeFrom="margin">
            <wp:posOffset>8670290</wp:posOffset>
          </wp:positionV>
          <wp:extent cx="714375" cy="535940"/>
          <wp:effectExtent l="0" t="0" r="9525" b="0"/>
          <wp:wrapThrough wrapText="bothSides">
            <wp:wrapPolygon edited="0">
              <wp:start x="0" y="0"/>
              <wp:lineTo x="0" y="20730"/>
              <wp:lineTo x="21312" y="20730"/>
              <wp:lineTo x="213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535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E0" w:rsidRPr="00216C72" w:rsidRDefault="00CC4ADC" w:rsidP="00216C72">
    <w:pPr>
      <w:widowControl w:val="0"/>
      <w:tabs>
        <w:tab w:val="clear" w:pos="567"/>
        <w:tab w:val="center" w:pos="4423"/>
        <w:tab w:val="right" w:pos="8845"/>
      </w:tabs>
      <w:spacing w:before="0" w:after="0" w:line="280" w:lineRule="exact"/>
      <w:rPr>
        <w:sz w:val="16"/>
        <w:szCs w:val="18"/>
        <w:lang w:val="fr-FR"/>
      </w:rPr>
    </w:pPr>
    <w:r w:rsidRPr="006021AD">
      <w:rPr>
        <w:noProof/>
        <w:lang w:val="fr-FR" w:eastAsia="ja-JP"/>
      </w:rPr>
      <w:drawing>
        <wp:anchor distT="0" distB="0" distL="114300" distR="114300" simplePos="0" relativeHeight="251789312" behindDoc="0" locked="0" layoutInCell="1" allowOverlap="1" wp14:anchorId="56118F2E" wp14:editId="7AAEC8A0">
          <wp:simplePos x="0" y="0"/>
          <wp:positionH relativeFrom="column">
            <wp:posOffset>2733040</wp:posOffset>
          </wp:positionH>
          <wp:positionV relativeFrom="paragraph">
            <wp:posOffset>-27305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35C83" w:rsidRPr="00EE7846">
      <w:rPr>
        <w:sz w:val="16"/>
        <w:szCs w:val="18"/>
        <w:lang w:val="fr-FR"/>
      </w:rPr>
      <w:t>U</w:t>
    </w:r>
    <w:r w:rsidR="00235C83">
      <w:rPr>
        <w:sz w:val="16"/>
        <w:szCs w:val="18"/>
        <w:lang w:val="fr-FR"/>
      </w:rPr>
      <w:t>044-v</w:t>
    </w:r>
    <w:r w:rsidR="00583A6B">
      <w:rPr>
        <w:sz w:val="16"/>
        <w:szCs w:val="18"/>
        <w:lang w:val="fr-FR"/>
      </w:rPr>
      <w:t>2</w:t>
    </w:r>
    <w:r w:rsidR="00235C83">
      <w:rPr>
        <w:sz w:val="16"/>
        <w:szCs w:val="18"/>
        <w:lang w:val="fr-FR"/>
      </w:rPr>
      <w:t>.</w:t>
    </w:r>
    <w:r w:rsidR="00583A6B">
      <w:rPr>
        <w:sz w:val="16"/>
        <w:szCs w:val="18"/>
        <w:lang w:val="fr-FR"/>
      </w:rPr>
      <w:t>0</w:t>
    </w:r>
    <w:r w:rsidR="00235C83" w:rsidRPr="00EE7846">
      <w:rPr>
        <w:sz w:val="16"/>
        <w:szCs w:val="18"/>
        <w:lang w:val="fr-FR"/>
      </w:rPr>
      <w:t xml:space="preserve">-FN-FR </w:t>
    </w:r>
    <w:r w:rsidR="00235C83" w:rsidRPr="00EE7846">
      <w:rPr>
        <w:sz w:val="16"/>
        <w:szCs w:val="18"/>
        <w:lang w:val="fr-FR"/>
      </w:rPr>
      <w:tab/>
    </w:r>
    <w:r w:rsidR="00235C83">
      <w:rPr>
        <w:noProof/>
        <w:snapToGrid/>
        <w:lang w:val="fr-FR" w:eastAsia="ja-JP"/>
      </w:rPr>
      <w:drawing>
        <wp:anchor distT="0" distB="0" distL="114300" distR="114300" simplePos="0" relativeHeight="251778048" behindDoc="1" locked="1" layoutInCell="1" allowOverlap="0" wp14:anchorId="1E4BD657" wp14:editId="5E6A9B4D">
          <wp:simplePos x="0" y="0"/>
          <wp:positionH relativeFrom="margin">
            <wp:posOffset>4835525</wp:posOffset>
          </wp:positionH>
          <wp:positionV relativeFrom="margin">
            <wp:posOffset>8727440</wp:posOffset>
          </wp:positionV>
          <wp:extent cx="714375" cy="535940"/>
          <wp:effectExtent l="0" t="0" r="9525" b="0"/>
          <wp:wrapThrough wrapText="bothSides">
            <wp:wrapPolygon edited="0">
              <wp:start x="0" y="0"/>
              <wp:lineTo x="0" y="20730"/>
              <wp:lineTo x="21312" y="20730"/>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535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8E0" w:rsidRDefault="001168E0" w:rsidP="000A699C">
      <w:pPr>
        <w:spacing w:before="0" w:after="0"/>
      </w:pPr>
      <w:r>
        <w:separator/>
      </w:r>
    </w:p>
  </w:footnote>
  <w:footnote w:type="continuationSeparator" w:id="0">
    <w:p w:rsidR="001168E0" w:rsidRDefault="001168E0" w:rsidP="000A699C">
      <w:pPr>
        <w:spacing w:before="0" w:after="0"/>
      </w:pPr>
      <w:r>
        <w:continuationSeparator/>
      </w:r>
    </w:p>
  </w:footnote>
  <w:footnote w:id="1">
    <w:p w:rsidR="001168E0" w:rsidRPr="00426E53" w:rsidRDefault="001168E0" w:rsidP="00B1343A">
      <w:pPr>
        <w:pStyle w:val="FootnoteText"/>
        <w:rPr>
          <w:lang w:val="fr-FR"/>
        </w:rPr>
      </w:pPr>
      <w:r w:rsidRPr="00216C72">
        <w:rPr>
          <w:rStyle w:val="FootnoteReference"/>
          <w:vertAlign w:val="baseline"/>
        </w:rPr>
        <w:footnoteRef/>
      </w:r>
      <w:r w:rsidRPr="008A55CC">
        <w:rPr>
          <w:lang w:val="fr-FR"/>
        </w:rPr>
        <w:t>.</w:t>
      </w:r>
      <w:r w:rsidRPr="008A55CC">
        <w:rPr>
          <w:lang w:val="fr-FR"/>
        </w:rPr>
        <w:tab/>
        <w:t>Fréquemment appelée « Convention du le patrimoine immatériel », « Convention de 2003 » et, aux fins de la présente unité, dite simplement « la Convention ».</w:t>
      </w:r>
    </w:p>
  </w:footnote>
  <w:footnote w:id="2">
    <w:p w:rsidR="001168E0" w:rsidRPr="00B1343A" w:rsidRDefault="001168E0" w:rsidP="00B1343A">
      <w:pPr>
        <w:pStyle w:val="FootnoteText"/>
        <w:rPr>
          <w:lang w:val="fr-FR"/>
        </w:rPr>
      </w:pPr>
      <w:r w:rsidRPr="00216C72">
        <w:rPr>
          <w:rStyle w:val="FootnoteReference"/>
          <w:vertAlign w:val="baseline"/>
        </w:rPr>
        <w:footnoteRef/>
      </w:r>
      <w:r w:rsidR="00475917" w:rsidRPr="00216C72">
        <w:rPr>
          <w:lang w:val="fr-FR"/>
        </w:rPr>
        <w:t>.</w:t>
      </w:r>
      <w:r w:rsidR="00475917" w:rsidRPr="00216C72">
        <w:rPr>
          <w:lang w:val="fr-FR"/>
        </w:rPr>
        <w:tab/>
      </w:r>
      <w:r w:rsidRPr="00216C72">
        <w:rPr>
          <w:lang w:val="fr-FR"/>
        </w:rPr>
        <w:t xml:space="preserve">UNESCO. </w:t>
      </w:r>
      <w:r w:rsidRPr="00F134CA">
        <w:rPr>
          <w:i/>
          <w:lang w:val="fr-FR"/>
        </w:rPr>
        <w:t>Textes fondamentaux de la Convention de 2003 pour la sauvegarde du patrimoine culturel immatériel</w:t>
      </w:r>
      <w:r w:rsidRPr="00216C72">
        <w:rPr>
          <w:lang w:val="fr-FR"/>
        </w:rPr>
        <w:t xml:space="preserve"> (dénommé ci-après ‘Textes fo</w:t>
      </w:r>
      <w:r w:rsidRPr="008A55CC">
        <w:rPr>
          <w:lang w:val="fr-FR"/>
        </w:rPr>
        <w:t>ndamentaux’). Paris, UNESCO. Disponible à l’adresse http://www.unesco.org/culture/ich/index.php?lg=fr&amp;pg=00503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E0" w:rsidRPr="00426E53" w:rsidRDefault="001168E0">
    <w:pPr>
      <w:pStyle w:val="Header"/>
      <w:rPr>
        <w:lang w:val="fr-FR"/>
      </w:rPr>
    </w:pPr>
    <w:r w:rsidRPr="00426E53">
      <w:rPr>
        <w:rStyle w:val="PageNumber"/>
        <w:lang w:val="fr-FR"/>
      </w:rPr>
      <w:fldChar w:fldCharType="begin"/>
    </w:r>
    <w:r w:rsidRPr="00426E53">
      <w:rPr>
        <w:rStyle w:val="PageNumber"/>
        <w:lang w:val="fr-FR"/>
      </w:rPr>
      <w:instrText xml:space="preserve"> PAGE </w:instrText>
    </w:r>
    <w:r w:rsidRPr="00426E53">
      <w:rPr>
        <w:rStyle w:val="PageNumber"/>
        <w:lang w:val="fr-FR"/>
      </w:rPr>
      <w:fldChar w:fldCharType="separate"/>
    </w:r>
    <w:r w:rsidR="00E7765A">
      <w:rPr>
        <w:rStyle w:val="PageNumber"/>
        <w:noProof/>
        <w:lang w:val="fr-FR"/>
      </w:rPr>
      <w:t>2</w:t>
    </w:r>
    <w:r w:rsidRPr="00426E53">
      <w:rPr>
        <w:rStyle w:val="PageNumber"/>
        <w:lang w:val="fr-FR"/>
      </w:rPr>
      <w:fldChar w:fldCharType="end"/>
    </w:r>
    <w:r w:rsidRPr="00426E53">
      <w:rPr>
        <w:rStyle w:val="PageNumber"/>
        <w:lang w:val="fr-FR"/>
      </w:rPr>
      <w:tab/>
    </w:r>
    <w:r w:rsidRPr="00426E53">
      <w:rPr>
        <w:lang w:val="fr-FR"/>
      </w:rPr>
      <w:t>Unité 44 : S</w:t>
    </w:r>
    <w:r>
      <w:rPr>
        <w:lang w:val="fr-FR"/>
      </w:rPr>
      <w:t>éanc</w:t>
    </w:r>
    <w:r w:rsidRPr="00426E53">
      <w:rPr>
        <w:lang w:val="fr-FR"/>
      </w:rPr>
      <w:t xml:space="preserve">e </w:t>
    </w:r>
    <w:r>
      <w:rPr>
        <w:lang w:val="fr-FR"/>
      </w:rPr>
      <w:t>de clôture</w:t>
    </w:r>
    <w:r w:rsidRPr="00426E53">
      <w:rPr>
        <w:lang w:val="fr-FR"/>
      </w:rPr>
      <w:t xml:space="preserve"> </w:t>
    </w:r>
    <w:r>
      <w:rPr>
        <w:lang w:val="fr-FR"/>
      </w:rPr>
      <w:t>NOM</w:t>
    </w:r>
    <w:r>
      <w:rPr>
        <w:lang w:val="fr-FR"/>
      </w:rPr>
      <w:tab/>
      <w:t xml:space="preserve">Notes du </w:t>
    </w:r>
    <w:r w:rsidRPr="00426E53">
      <w:rPr>
        <w:lang w:val="fr-FR"/>
      </w:rPr>
      <w:t>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E0" w:rsidRPr="00426E53" w:rsidRDefault="001168E0" w:rsidP="00216C72">
    <w:pPr>
      <w:pStyle w:val="Header"/>
      <w:tabs>
        <w:tab w:val="left" w:pos="5970"/>
      </w:tabs>
      <w:rPr>
        <w:lang w:val="fr-FR"/>
      </w:rPr>
    </w:pPr>
    <w:r w:rsidRPr="00426E53">
      <w:rPr>
        <w:lang w:val="fr-FR"/>
      </w:rPr>
      <w:t>Notes du facilitateur</w:t>
    </w:r>
    <w:r>
      <w:rPr>
        <w:lang w:val="fr-FR"/>
      </w:rPr>
      <w:tab/>
      <w:t>Unité 44 : Séance de clôture NOM</w:t>
    </w:r>
    <w:r w:rsidRPr="00426E53">
      <w:rPr>
        <w:lang w:val="fr-FR"/>
      </w:rPr>
      <w:tab/>
    </w:r>
    <w:r w:rsidR="00636FDE">
      <w:rPr>
        <w:lang w:val="fr-FR"/>
      </w:rPr>
      <w:tab/>
    </w:r>
    <w:r w:rsidRPr="00426E53">
      <w:rPr>
        <w:rStyle w:val="PageNumber"/>
        <w:lang w:val="fr-FR"/>
      </w:rPr>
      <w:fldChar w:fldCharType="begin"/>
    </w:r>
    <w:r w:rsidRPr="00426E53">
      <w:rPr>
        <w:rStyle w:val="PageNumber"/>
        <w:lang w:val="fr-FR"/>
      </w:rPr>
      <w:instrText xml:space="preserve"> PAGE </w:instrText>
    </w:r>
    <w:r w:rsidRPr="00426E53">
      <w:rPr>
        <w:rStyle w:val="PageNumber"/>
        <w:lang w:val="fr-FR"/>
      </w:rPr>
      <w:fldChar w:fldCharType="separate"/>
    </w:r>
    <w:r w:rsidR="00E7765A">
      <w:rPr>
        <w:rStyle w:val="PageNumber"/>
        <w:noProof/>
        <w:lang w:val="fr-FR"/>
      </w:rPr>
      <w:t>5</w:t>
    </w:r>
    <w:r w:rsidRPr="00426E53">
      <w:rPr>
        <w:rStyle w:val="PageNumber"/>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E0" w:rsidRPr="00426E53" w:rsidRDefault="001168E0" w:rsidP="00F53AE6">
    <w:pPr>
      <w:pStyle w:val="Header"/>
      <w:rPr>
        <w:lang w:val="fr-FR"/>
      </w:rPr>
    </w:pPr>
    <w:r w:rsidRPr="00426E53">
      <w:rPr>
        <w:rStyle w:val="PageNumber"/>
        <w:lang w:val="fr-FR"/>
      </w:rPr>
      <w:tab/>
    </w:r>
    <w:r w:rsidRPr="00426E53">
      <w:rPr>
        <w:lang w:val="fr-FR"/>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038AA5C"/>
    <w:lvl w:ilvl="0">
      <w:start w:val="1"/>
      <w:numFmt w:val="bullet"/>
      <w:lvlText w:val="·"/>
      <w:lvlJc w:val="left"/>
      <w:pPr>
        <w:tabs>
          <w:tab w:val="num" w:pos="408"/>
        </w:tabs>
        <w:ind w:left="408" w:hanging="408"/>
      </w:pPr>
      <w:rPr>
        <w:rFonts w:ascii="Symbol" w:hAnsi="Symbol" w:cs="Times New Roman" w:hint="default"/>
        <w:b w:val="0"/>
        <w:i w:val="0"/>
        <w:sz w:val="22"/>
      </w:r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588587D"/>
    <w:multiLevelType w:val="hybridMultilevel"/>
    <w:tmpl w:val="DF58DEA8"/>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3" w15:restartNumberingAfterBreak="0">
    <w:nsid w:val="08567E0E"/>
    <w:multiLevelType w:val="hybridMultilevel"/>
    <w:tmpl w:val="71761D7A"/>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4" w15:restartNumberingAfterBreak="0">
    <w:nsid w:val="08B70708"/>
    <w:multiLevelType w:val="hybridMultilevel"/>
    <w:tmpl w:val="DEB204EC"/>
    <w:lvl w:ilvl="0" w:tplc="358ED702">
      <w:start w:val="1"/>
      <w:numFmt w:val="bullet"/>
      <w:lvlText w:val="·"/>
      <w:lvlJc w:val="left"/>
      <w:pPr>
        <w:tabs>
          <w:tab w:val="num" w:pos="975"/>
        </w:tabs>
        <w:ind w:left="975" w:hanging="408"/>
      </w:pPr>
      <w:rPr>
        <w:rFonts w:ascii="Symbol" w:hAnsi="Symbol" w:cs="Times New Roman" w:hint="default"/>
        <w:b w:val="0"/>
        <w:i w:val="0"/>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3BE1408"/>
    <w:multiLevelType w:val="hybridMultilevel"/>
    <w:tmpl w:val="3FFAEDB2"/>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7" w15:restartNumberingAfterBreak="0">
    <w:nsid w:val="1C0E70C5"/>
    <w:multiLevelType w:val="multilevel"/>
    <w:tmpl w:val="347CDB62"/>
    <w:lvl w:ilvl="0">
      <w:start w:val="1"/>
      <w:numFmt w:val="bullet"/>
      <w:lvlText w:val="·"/>
      <w:lvlJc w:val="left"/>
      <w:pPr>
        <w:tabs>
          <w:tab w:val="num" w:pos="975"/>
        </w:tabs>
        <w:ind w:left="975" w:hanging="408"/>
      </w:pPr>
      <w:rPr>
        <w:rFonts w:ascii="Symbol" w:hAnsi="Symbo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115456"/>
    <w:multiLevelType w:val="multilevel"/>
    <w:tmpl w:val="7038AA5C"/>
    <w:lvl w:ilvl="0">
      <w:start w:val="1"/>
      <w:numFmt w:val="bullet"/>
      <w:lvlText w:val="·"/>
      <w:lvlJc w:val="left"/>
      <w:pPr>
        <w:tabs>
          <w:tab w:val="num" w:pos="408"/>
        </w:tabs>
        <w:ind w:left="408" w:hanging="408"/>
      </w:pPr>
      <w:rPr>
        <w:rFonts w:ascii="Symbol" w:hAnsi="Symbol" w:cs="Times New Roman"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C15AC8"/>
    <w:multiLevelType w:val="hybridMultilevel"/>
    <w:tmpl w:val="019E8058"/>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0"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E14412"/>
    <w:multiLevelType w:val="hybridMultilevel"/>
    <w:tmpl w:val="32346778"/>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2"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824F86"/>
    <w:multiLevelType w:val="hybridMultilevel"/>
    <w:tmpl w:val="0FA0D996"/>
    <w:lvl w:ilvl="0" w:tplc="121860A2">
      <w:start w:val="1"/>
      <w:numFmt w:val="bullet"/>
      <w:lvlText w:val=""/>
      <w:lvlJc w:val="left"/>
      <w:pPr>
        <w:ind w:left="473" w:hanging="360"/>
      </w:pPr>
      <w:rPr>
        <w:rFonts w:ascii="Symbol" w:hAnsi="Symbol" w:hint="default"/>
      </w:rPr>
    </w:lvl>
    <w:lvl w:ilvl="1" w:tplc="040C0003" w:tentative="1">
      <w:start w:val="1"/>
      <w:numFmt w:val="bullet"/>
      <w:lvlText w:val="o"/>
      <w:lvlJc w:val="left"/>
      <w:pPr>
        <w:ind w:left="702" w:hanging="360"/>
      </w:pPr>
      <w:rPr>
        <w:rFonts w:ascii="Courier New" w:hAnsi="Courier New" w:hint="default"/>
      </w:rPr>
    </w:lvl>
    <w:lvl w:ilvl="2" w:tplc="040C0005" w:tentative="1">
      <w:start w:val="1"/>
      <w:numFmt w:val="bullet"/>
      <w:lvlText w:val=""/>
      <w:lvlJc w:val="left"/>
      <w:pPr>
        <w:ind w:left="1422" w:hanging="360"/>
      </w:pPr>
      <w:rPr>
        <w:rFonts w:ascii="Wingdings" w:hAnsi="Wingdings" w:hint="default"/>
      </w:rPr>
    </w:lvl>
    <w:lvl w:ilvl="3" w:tplc="040C0001" w:tentative="1">
      <w:start w:val="1"/>
      <w:numFmt w:val="bullet"/>
      <w:lvlText w:val=""/>
      <w:lvlJc w:val="left"/>
      <w:pPr>
        <w:ind w:left="2142" w:hanging="360"/>
      </w:pPr>
      <w:rPr>
        <w:rFonts w:ascii="Symbol" w:hAnsi="Symbol" w:hint="default"/>
      </w:rPr>
    </w:lvl>
    <w:lvl w:ilvl="4" w:tplc="040C0003" w:tentative="1">
      <w:start w:val="1"/>
      <w:numFmt w:val="bullet"/>
      <w:lvlText w:val="o"/>
      <w:lvlJc w:val="left"/>
      <w:pPr>
        <w:ind w:left="2862" w:hanging="360"/>
      </w:pPr>
      <w:rPr>
        <w:rFonts w:ascii="Courier New" w:hAnsi="Courier New" w:hint="default"/>
      </w:rPr>
    </w:lvl>
    <w:lvl w:ilvl="5" w:tplc="040C0005" w:tentative="1">
      <w:start w:val="1"/>
      <w:numFmt w:val="bullet"/>
      <w:lvlText w:val=""/>
      <w:lvlJc w:val="left"/>
      <w:pPr>
        <w:ind w:left="3582" w:hanging="360"/>
      </w:pPr>
      <w:rPr>
        <w:rFonts w:ascii="Wingdings" w:hAnsi="Wingdings" w:hint="default"/>
      </w:rPr>
    </w:lvl>
    <w:lvl w:ilvl="6" w:tplc="040C0001" w:tentative="1">
      <w:start w:val="1"/>
      <w:numFmt w:val="bullet"/>
      <w:lvlText w:val=""/>
      <w:lvlJc w:val="left"/>
      <w:pPr>
        <w:ind w:left="4302" w:hanging="360"/>
      </w:pPr>
      <w:rPr>
        <w:rFonts w:ascii="Symbol" w:hAnsi="Symbol" w:hint="default"/>
      </w:rPr>
    </w:lvl>
    <w:lvl w:ilvl="7" w:tplc="040C0003" w:tentative="1">
      <w:start w:val="1"/>
      <w:numFmt w:val="bullet"/>
      <w:lvlText w:val="o"/>
      <w:lvlJc w:val="left"/>
      <w:pPr>
        <w:ind w:left="5022" w:hanging="360"/>
      </w:pPr>
      <w:rPr>
        <w:rFonts w:ascii="Courier New" w:hAnsi="Courier New" w:hint="default"/>
      </w:rPr>
    </w:lvl>
    <w:lvl w:ilvl="8" w:tplc="040C0005" w:tentative="1">
      <w:start w:val="1"/>
      <w:numFmt w:val="bullet"/>
      <w:lvlText w:val=""/>
      <w:lvlJc w:val="left"/>
      <w:pPr>
        <w:ind w:left="5742" w:hanging="360"/>
      </w:pPr>
      <w:rPr>
        <w:rFonts w:ascii="Wingdings" w:hAnsi="Wingdings" w:hint="default"/>
      </w:rPr>
    </w:lvl>
  </w:abstractNum>
  <w:abstractNum w:abstractNumId="15"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33E47A9"/>
    <w:multiLevelType w:val="hybridMultilevel"/>
    <w:tmpl w:val="D2046B80"/>
    <w:lvl w:ilvl="0" w:tplc="9FFE7832">
      <w:start w:val="1"/>
      <w:numFmt w:val="bullet"/>
      <w:lvlText w:val=""/>
      <w:lvlJc w:val="left"/>
      <w:pPr>
        <w:ind w:left="473" w:hanging="360"/>
      </w:pPr>
      <w:rPr>
        <w:rFonts w:ascii="Symbol" w:eastAsia="SimSun" w:hAnsi="Symbo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8"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9" w15:restartNumberingAfterBreak="0">
    <w:nsid w:val="66162671"/>
    <w:multiLevelType w:val="hybridMultilevel"/>
    <w:tmpl w:val="239C9B20"/>
    <w:lvl w:ilvl="0" w:tplc="254C4FB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6B1F521F"/>
    <w:multiLevelType w:val="hybridMultilevel"/>
    <w:tmpl w:val="75B8A2C4"/>
    <w:lvl w:ilvl="0" w:tplc="F4AC2EF0">
      <w:start w:val="1"/>
      <w:numFmt w:val="lowerLetter"/>
      <w:lvlText w:val="(%1)"/>
      <w:lvlJc w:val="left"/>
      <w:pPr>
        <w:tabs>
          <w:tab w:val="num" w:pos="-10"/>
        </w:tabs>
        <w:ind w:left="1070" w:hanging="360"/>
      </w:pPr>
      <w:rPr>
        <w:rFonts w:cs="Times New Roman" w:hint="default"/>
      </w:rPr>
    </w:lvl>
    <w:lvl w:ilvl="1" w:tplc="08090019" w:tentative="1">
      <w:start w:val="1"/>
      <w:numFmt w:val="lowerLetter"/>
      <w:lvlText w:val="%2."/>
      <w:lvlJc w:val="left"/>
      <w:pPr>
        <w:tabs>
          <w:tab w:val="num" w:pos="1583"/>
        </w:tabs>
        <w:ind w:left="1583" w:hanging="360"/>
      </w:pPr>
      <w:rPr>
        <w:rFonts w:cs="Times New Roman"/>
      </w:rPr>
    </w:lvl>
    <w:lvl w:ilvl="2" w:tplc="0809001B" w:tentative="1">
      <w:start w:val="1"/>
      <w:numFmt w:val="lowerRoman"/>
      <w:lvlText w:val="%3."/>
      <w:lvlJc w:val="right"/>
      <w:pPr>
        <w:tabs>
          <w:tab w:val="num" w:pos="2303"/>
        </w:tabs>
        <w:ind w:left="2303" w:hanging="180"/>
      </w:pPr>
      <w:rPr>
        <w:rFonts w:cs="Times New Roman"/>
      </w:rPr>
    </w:lvl>
    <w:lvl w:ilvl="3" w:tplc="0809000F" w:tentative="1">
      <w:start w:val="1"/>
      <w:numFmt w:val="decimal"/>
      <w:lvlText w:val="%4."/>
      <w:lvlJc w:val="left"/>
      <w:pPr>
        <w:tabs>
          <w:tab w:val="num" w:pos="3023"/>
        </w:tabs>
        <w:ind w:left="3023" w:hanging="360"/>
      </w:pPr>
      <w:rPr>
        <w:rFonts w:cs="Times New Roman"/>
      </w:rPr>
    </w:lvl>
    <w:lvl w:ilvl="4" w:tplc="08090019" w:tentative="1">
      <w:start w:val="1"/>
      <w:numFmt w:val="lowerLetter"/>
      <w:lvlText w:val="%5."/>
      <w:lvlJc w:val="left"/>
      <w:pPr>
        <w:tabs>
          <w:tab w:val="num" w:pos="3743"/>
        </w:tabs>
        <w:ind w:left="3743" w:hanging="360"/>
      </w:pPr>
      <w:rPr>
        <w:rFonts w:cs="Times New Roman"/>
      </w:rPr>
    </w:lvl>
    <w:lvl w:ilvl="5" w:tplc="0809001B" w:tentative="1">
      <w:start w:val="1"/>
      <w:numFmt w:val="lowerRoman"/>
      <w:lvlText w:val="%6."/>
      <w:lvlJc w:val="right"/>
      <w:pPr>
        <w:tabs>
          <w:tab w:val="num" w:pos="4463"/>
        </w:tabs>
        <w:ind w:left="4463" w:hanging="180"/>
      </w:pPr>
      <w:rPr>
        <w:rFonts w:cs="Times New Roman"/>
      </w:rPr>
    </w:lvl>
    <w:lvl w:ilvl="6" w:tplc="0809000F" w:tentative="1">
      <w:start w:val="1"/>
      <w:numFmt w:val="decimal"/>
      <w:lvlText w:val="%7."/>
      <w:lvlJc w:val="left"/>
      <w:pPr>
        <w:tabs>
          <w:tab w:val="num" w:pos="5183"/>
        </w:tabs>
        <w:ind w:left="5183" w:hanging="360"/>
      </w:pPr>
      <w:rPr>
        <w:rFonts w:cs="Times New Roman"/>
      </w:rPr>
    </w:lvl>
    <w:lvl w:ilvl="7" w:tplc="08090019" w:tentative="1">
      <w:start w:val="1"/>
      <w:numFmt w:val="lowerLetter"/>
      <w:lvlText w:val="%8."/>
      <w:lvlJc w:val="left"/>
      <w:pPr>
        <w:tabs>
          <w:tab w:val="num" w:pos="5903"/>
        </w:tabs>
        <w:ind w:left="5903" w:hanging="360"/>
      </w:pPr>
      <w:rPr>
        <w:rFonts w:cs="Times New Roman"/>
      </w:rPr>
    </w:lvl>
    <w:lvl w:ilvl="8" w:tplc="0809001B" w:tentative="1">
      <w:start w:val="1"/>
      <w:numFmt w:val="lowerRoman"/>
      <w:lvlText w:val="%9."/>
      <w:lvlJc w:val="right"/>
      <w:pPr>
        <w:tabs>
          <w:tab w:val="num" w:pos="6623"/>
        </w:tabs>
        <w:ind w:left="6623" w:hanging="180"/>
      </w:pPr>
      <w:rPr>
        <w:rFonts w:cs="Times New Roman"/>
      </w:rPr>
    </w:lvl>
  </w:abstractNum>
  <w:abstractNum w:abstractNumId="21"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D04610"/>
    <w:multiLevelType w:val="hybridMultilevel"/>
    <w:tmpl w:val="53065FF4"/>
    <w:lvl w:ilvl="0" w:tplc="36BAFCA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4A7AEE"/>
    <w:multiLevelType w:val="multilevel"/>
    <w:tmpl w:val="A04CEB6C"/>
    <w:lvl w:ilvl="0">
      <w:start w:val="1"/>
      <w:numFmt w:val="decimal"/>
      <w:pStyle w:val="Table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num w:numId="1">
    <w:abstractNumId w:val="16"/>
  </w:num>
  <w:num w:numId="2">
    <w:abstractNumId w:val="26"/>
  </w:num>
  <w:num w:numId="3">
    <w:abstractNumId w:val="5"/>
  </w:num>
  <w:num w:numId="4">
    <w:abstractNumId w:val="18"/>
  </w:num>
  <w:num w:numId="5">
    <w:abstractNumId w:val="12"/>
  </w:num>
  <w:num w:numId="6">
    <w:abstractNumId w:val="13"/>
  </w:num>
  <w:num w:numId="7">
    <w:abstractNumId w:val="23"/>
  </w:num>
  <w:num w:numId="8">
    <w:abstractNumId w:val="15"/>
  </w:num>
  <w:num w:numId="9">
    <w:abstractNumId w:val="24"/>
  </w:num>
  <w:num w:numId="10">
    <w:abstractNumId w:val="21"/>
  </w:num>
  <w:num w:numId="11">
    <w:abstractNumId w:val="10"/>
  </w:num>
  <w:num w:numId="12">
    <w:abstractNumId w:val="4"/>
  </w:num>
  <w:num w:numId="13">
    <w:abstractNumId w:val="0"/>
  </w:num>
  <w:num w:numId="14">
    <w:abstractNumId w:val="22"/>
  </w:num>
  <w:num w:numId="15">
    <w:abstractNumId w:val="12"/>
  </w:num>
  <w:num w:numId="16">
    <w:abstractNumId w:val="12"/>
  </w:num>
  <w:num w:numId="17">
    <w:abstractNumId w:val="4"/>
  </w:num>
  <w:num w:numId="18">
    <w:abstractNumId w:val="4"/>
  </w:num>
  <w:num w:numId="19">
    <w:abstractNumId w:val="4"/>
  </w:num>
  <w:num w:numId="20">
    <w:abstractNumId w:val="4"/>
  </w:num>
  <w:num w:numId="21">
    <w:abstractNumId w:val="8"/>
  </w:num>
  <w:num w:numId="22">
    <w:abstractNumId w:val="7"/>
  </w:num>
  <w:num w:numId="23">
    <w:abstractNumId w:val="25"/>
  </w:num>
  <w:num w:numId="24">
    <w:abstractNumId w:val="17"/>
  </w:num>
  <w:num w:numId="25">
    <w:abstractNumId w:val="19"/>
  </w:num>
  <w:num w:numId="26">
    <w:abstractNumId w:val="20"/>
  </w:num>
  <w:num w:numId="27">
    <w:abstractNumId w:val="9"/>
  </w:num>
  <w:num w:numId="28">
    <w:abstractNumId w:val="3"/>
  </w:num>
  <w:num w:numId="29">
    <w:abstractNumId w:val="11"/>
  </w:num>
  <w:num w:numId="30">
    <w:abstractNumId w:val="6"/>
  </w:num>
  <w:num w:numId="31">
    <w:abstractNumId w:val="2"/>
  </w:num>
  <w:num w:numId="32">
    <w:abstractNumId w:val="14"/>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DFD"/>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306"/>
    <w:rsid w:val="00016662"/>
    <w:rsid w:val="000169B3"/>
    <w:rsid w:val="000169F7"/>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C39"/>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5AD"/>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432"/>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00"/>
    <w:rsid w:val="0008614B"/>
    <w:rsid w:val="00086DFB"/>
    <w:rsid w:val="00086EE5"/>
    <w:rsid w:val="0008733D"/>
    <w:rsid w:val="00087357"/>
    <w:rsid w:val="0008767B"/>
    <w:rsid w:val="000877BF"/>
    <w:rsid w:val="00087959"/>
    <w:rsid w:val="000903D1"/>
    <w:rsid w:val="00090473"/>
    <w:rsid w:val="00090959"/>
    <w:rsid w:val="00090C9E"/>
    <w:rsid w:val="000913F3"/>
    <w:rsid w:val="00091598"/>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11"/>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037"/>
    <w:rsid w:val="000A36AA"/>
    <w:rsid w:val="000A3A99"/>
    <w:rsid w:val="000A3B80"/>
    <w:rsid w:val="000A3E74"/>
    <w:rsid w:val="000A5092"/>
    <w:rsid w:val="000A5341"/>
    <w:rsid w:val="000A5925"/>
    <w:rsid w:val="000A667F"/>
    <w:rsid w:val="000A699C"/>
    <w:rsid w:val="000A742E"/>
    <w:rsid w:val="000A7A98"/>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BCE"/>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370"/>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A9"/>
    <w:rsid w:val="000E46B4"/>
    <w:rsid w:val="000E4A00"/>
    <w:rsid w:val="000E4A8B"/>
    <w:rsid w:val="000E4CB3"/>
    <w:rsid w:val="000E4D5D"/>
    <w:rsid w:val="000E4E55"/>
    <w:rsid w:val="000E4F9F"/>
    <w:rsid w:val="000E53EB"/>
    <w:rsid w:val="000E5ABD"/>
    <w:rsid w:val="000E5D65"/>
    <w:rsid w:val="000E5F65"/>
    <w:rsid w:val="000E61EE"/>
    <w:rsid w:val="000E6408"/>
    <w:rsid w:val="000E696D"/>
    <w:rsid w:val="000E7242"/>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31F"/>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2B4E"/>
    <w:rsid w:val="001137D2"/>
    <w:rsid w:val="001137F7"/>
    <w:rsid w:val="00113B52"/>
    <w:rsid w:val="00113BF5"/>
    <w:rsid w:val="00113EFD"/>
    <w:rsid w:val="00113F4F"/>
    <w:rsid w:val="00114835"/>
    <w:rsid w:val="00114C3C"/>
    <w:rsid w:val="00115A9A"/>
    <w:rsid w:val="001165B3"/>
    <w:rsid w:val="001168E0"/>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432"/>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94D"/>
    <w:rsid w:val="00182A77"/>
    <w:rsid w:val="00182AA1"/>
    <w:rsid w:val="001832A4"/>
    <w:rsid w:val="0018388F"/>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365"/>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1B8"/>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D28"/>
    <w:rsid w:val="001D2F1D"/>
    <w:rsid w:val="001D32B2"/>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A70"/>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6C72"/>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4A"/>
    <w:rsid w:val="00231CFE"/>
    <w:rsid w:val="0023223A"/>
    <w:rsid w:val="00232835"/>
    <w:rsid w:val="00232981"/>
    <w:rsid w:val="00232B82"/>
    <w:rsid w:val="00232D5E"/>
    <w:rsid w:val="00232DE6"/>
    <w:rsid w:val="00232F05"/>
    <w:rsid w:val="00233CB6"/>
    <w:rsid w:val="00234A41"/>
    <w:rsid w:val="00234E85"/>
    <w:rsid w:val="00235437"/>
    <w:rsid w:val="00235B0C"/>
    <w:rsid w:val="00235C83"/>
    <w:rsid w:val="00236006"/>
    <w:rsid w:val="00236442"/>
    <w:rsid w:val="002364F1"/>
    <w:rsid w:val="00236AB8"/>
    <w:rsid w:val="00236ADA"/>
    <w:rsid w:val="00236CC1"/>
    <w:rsid w:val="00236DEE"/>
    <w:rsid w:val="00236FFE"/>
    <w:rsid w:val="0023753A"/>
    <w:rsid w:val="002376BB"/>
    <w:rsid w:val="00237914"/>
    <w:rsid w:val="00237F06"/>
    <w:rsid w:val="0024006B"/>
    <w:rsid w:val="0024061F"/>
    <w:rsid w:val="00240750"/>
    <w:rsid w:val="00240982"/>
    <w:rsid w:val="00241082"/>
    <w:rsid w:val="002410B1"/>
    <w:rsid w:val="002412BC"/>
    <w:rsid w:val="0024132D"/>
    <w:rsid w:val="00241A0D"/>
    <w:rsid w:val="00241B6B"/>
    <w:rsid w:val="0024261C"/>
    <w:rsid w:val="002431A6"/>
    <w:rsid w:val="002435A0"/>
    <w:rsid w:val="00243A55"/>
    <w:rsid w:val="00243C9B"/>
    <w:rsid w:val="0024448F"/>
    <w:rsid w:val="0024489F"/>
    <w:rsid w:val="002448C2"/>
    <w:rsid w:val="00245AE9"/>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945"/>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7EC"/>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EC"/>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0F2"/>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4ECB"/>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5A3"/>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CC8"/>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9DE"/>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657"/>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69C"/>
    <w:rsid w:val="00394841"/>
    <w:rsid w:val="00394E99"/>
    <w:rsid w:val="00395BD7"/>
    <w:rsid w:val="00395CD6"/>
    <w:rsid w:val="0039652C"/>
    <w:rsid w:val="0039682B"/>
    <w:rsid w:val="003968FF"/>
    <w:rsid w:val="0039695D"/>
    <w:rsid w:val="00396D5C"/>
    <w:rsid w:val="00396D8E"/>
    <w:rsid w:val="00396EB2"/>
    <w:rsid w:val="00396F8C"/>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8FE"/>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14"/>
    <w:rsid w:val="003C6C31"/>
    <w:rsid w:val="003C6ECC"/>
    <w:rsid w:val="003C72B6"/>
    <w:rsid w:val="003C7814"/>
    <w:rsid w:val="003C7DA7"/>
    <w:rsid w:val="003C7F67"/>
    <w:rsid w:val="003D0123"/>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69C"/>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162"/>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9AD"/>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CAD"/>
    <w:rsid w:val="00425ECE"/>
    <w:rsid w:val="00426A82"/>
    <w:rsid w:val="00426E53"/>
    <w:rsid w:val="00426EBF"/>
    <w:rsid w:val="00426F80"/>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E8"/>
    <w:rsid w:val="00450BF7"/>
    <w:rsid w:val="00450DA2"/>
    <w:rsid w:val="00451232"/>
    <w:rsid w:val="004517AB"/>
    <w:rsid w:val="00451A1C"/>
    <w:rsid w:val="00451C3A"/>
    <w:rsid w:val="00451F0F"/>
    <w:rsid w:val="004521DD"/>
    <w:rsid w:val="004523E9"/>
    <w:rsid w:val="0045284B"/>
    <w:rsid w:val="00452B26"/>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090"/>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591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CE6"/>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16D"/>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9A4"/>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DE"/>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0C"/>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204"/>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7D7"/>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947"/>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394"/>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5F5"/>
    <w:rsid w:val="00531DC3"/>
    <w:rsid w:val="0053224C"/>
    <w:rsid w:val="00532341"/>
    <w:rsid w:val="00532611"/>
    <w:rsid w:val="00532C70"/>
    <w:rsid w:val="00532D92"/>
    <w:rsid w:val="005330EB"/>
    <w:rsid w:val="0053323E"/>
    <w:rsid w:val="00533965"/>
    <w:rsid w:val="0053396D"/>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3BE3"/>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A6B"/>
    <w:rsid w:val="00583DD2"/>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C86"/>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1F27"/>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6FDE"/>
    <w:rsid w:val="00637222"/>
    <w:rsid w:val="006375F6"/>
    <w:rsid w:val="00637635"/>
    <w:rsid w:val="00637B9E"/>
    <w:rsid w:val="00640002"/>
    <w:rsid w:val="00640011"/>
    <w:rsid w:val="006407B2"/>
    <w:rsid w:val="00640873"/>
    <w:rsid w:val="00640AAA"/>
    <w:rsid w:val="00640C6C"/>
    <w:rsid w:val="00641077"/>
    <w:rsid w:val="0064109C"/>
    <w:rsid w:val="006410F0"/>
    <w:rsid w:val="00641880"/>
    <w:rsid w:val="00641AE2"/>
    <w:rsid w:val="006425ED"/>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A22"/>
    <w:rsid w:val="00645CBE"/>
    <w:rsid w:val="00645CE9"/>
    <w:rsid w:val="00645F75"/>
    <w:rsid w:val="00646051"/>
    <w:rsid w:val="006467C6"/>
    <w:rsid w:val="00646F8D"/>
    <w:rsid w:val="00647418"/>
    <w:rsid w:val="006477D5"/>
    <w:rsid w:val="00647F2B"/>
    <w:rsid w:val="006509FC"/>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110"/>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3F17"/>
    <w:rsid w:val="0066415D"/>
    <w:rsid w:val="00664A13"/>
    <w:rsid w:val="00665220"/>
    <w:rsid w:val="00666152"/>
    <w:rsid w:val="006661D0"/>
    <w:rsid w:val="00666885"/>
    <w:rsid w:val="006669BF"/>
    <w:rsid w:val="00666B26"/>
    <w:rsid w:val="00666E91"/>
    <w:rsid w:val="00667A7C"/>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2A8"/>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9F6"/>
    <w:rsid w:val="006F4FD8"/>
    <w:rsid w:val="006F52B7"/>
    <w:rsid w:val="006F5649"/>
    <w:rsid w:val="006F6090"/>
    <w:rsid w:val="006F6BF9"/>
    <w:rsid w:val="006F6C8E"/>
    <w:rsid w:val="006F6F12"/>
    <w:rsid w:val="006F75E6"/>
    <w:rsid w:val="006F776D"/>
    <w:rsid w:val="006F78A7"/>
    <w:rsid w:val="0070036E"/>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5F3"/>
    <w:rsid w:val="007106CC"/>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83D"/>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CE1"/>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547"/>
    <w:rsid w:val="007853E1"/>
    <w:rsid w:val="00785E54"/>
    <w:rsid w:val="00786327"/>
    <w:rsid w:val="00786513"/>
    <w:rsid w:val="007871C3"/>
    <w:rsid w:val="007876C4"/>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74E"/>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011"/>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CF8"/>
    <w:rsid w:val="007B6F5F"/>
    <w:rsid w:val="007B7328"/>
    <w:rsid w:val="007B77FA"/>
    <w:rsid w:val="007B7BC8"/>
    <w:rsid w:val="007B7CD1"/>
    <w:rsid w:val="007B7E6B"/>
    <w:rsid w:val="007C012A"/>
    <w:rsid w:val="007C030B"/>
    <w:rsid w:val="007C03DF"/>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7A4"/>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BEF"/>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27F"/>
    <w:rsid w:val="008015C3"/>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520"/>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1FEA"/>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483"/>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0F14"/>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6F"/>
    <w:rsid w:val="00867279"/>
    <w:rsid w:val="008673FA"/>
    <w:rsid w:val="00867F1A"/>
    <w:rsid w:val="00867F6C"/>
    <w:rsid w:val="008705A3"/>
    <w:rsid w:val="00870611"/>
    <w:rsid w:val="00871017"/>
    <w:rsid w:val="0087159D"/>
    <w:rsid w:val="00871659"/>
    <w:rsid w:val="00871753"/>
    <w:rsid w:val="00871846"/>
    <w:rsid w:val="008718D4"/>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20"/>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D67"/>
    <w:rsid w:val="00883FC4"/>
    <w:rsid w:val="0088456B"/>
    <w:rsid w:val="008845A3"/>
    <w:rsid w:val="008850AF"/>
    <w:rsid w:val="0088527B"/>
    <w:rsid w:val="00885361"/>
    <w:rsid w:val="0088557E"/>
    <w:rsid w:val="00885846"/>
    <w:rsid w:val="0088604D"/>
    <w:rsid w:val="0088610C"/>
    <w:rsid w:val="0088623E"/>
    <w:rsid w:val="00886A15"/>
    <w:rsid w:val="00887C66"/>
    <w:rsid w:val="00887D11"/>
    <w:rsid w:val="0089005C"/>
    <w:rsid w:val="00890196"/>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5CC"/>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05"/>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58"/>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26E"/>
    <w:rsid w:val="009133FA"/>
    <w:rsid w:val="009135D8"/>
    <w:rsid w:val="009137E8"/>
    <w:rsid w:val="00913A9B"/>
    <w:rsid w:val="00913AE9"/>
    <w:rsid w:val="00913BA9"/>
    <w:rsid w:val="00913C02"/>
    <w:rsid w:val="009145BD"/>
    <w:rsid w:val="009149B9"/>
    <w:rsid w:val="00914E2F"/>
    <w:rsid w:val="00915092"/>
    <w:rsid w:val="009152BE"/>
    <w:rsid w:val="0091558F"/>
    <w:rsid w:val="00915978"/>
    <w:rsid w:val="00915CD4"/>
    <w:rsid w:val="009164CF"/>
    <w:rsid w:val="009169FE"/>
    <w:rsid w:val="00916B9C"/>
    <w:rsid w:val="00916EA9"/>
    <w:rsid w:val="00917054"/>
    <w:rsid w:val="009172C7"/>
    <w:rsid w:val="00917BA2"/>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6AE"/>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2B9"/>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2B63"/>
    <w:rsid w:val="009B30B6"/>
    <w:rsid w:val="009B3A94"/>
    <w:rsid w:val="009B424B"/>
    <w:rsid w:val="009B4617"/>
    <w:rsid w:val="009B4C50"/>
    <w:rsid w:val="009B4F14"/>
    <w:rsid w:val="009B5074"/>
    <w:rsid w:val="009B5273"/>
    <w:rsid w:val="009B5568"/>
    <w:rsid w:val="009B5A0F"/>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C0"/>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25"/>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1D3A"/>
    <w:rsid w:val="009F23E4"/>
    <w:rsid w:val="009F2543"/>
    <w:rsid w:val="009F28BC"/>
    <w:rsid w:val="009F2C3D"/>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2EFB"/>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A5F"/>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57BBD"/>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6A6E"/>
    <w:rsid w:val="00A7744C"/>
    <w:rsid w:val="00A809B5"/>
    <w:rsid w:val="00A80DB3"/>
    <w:rsid w:val="00A81646"/>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3D5"/>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CB0"/>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6F6A"/>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5E"/>
    <w:rsid w:val="00B0166F"/>
    <w:rsid w:val="00B019FA"/>
    <w:rsid w:val="00B01CE4"/>
    <w:rsid w:val="00B01DC7"/>
    <w:rsid w:val="00B01FD0"/>
    <w:rsid w:val="00B0289A"/>
    <w:rsid w:val="00B02CBA"/>
    <w:rsid w:val="00B0305A"/>
    <w:rsid w:val="00B03D12"/>
    <w:rsid w:val="00B040C7"/>
    <w:rsid w:val="00B04692"/>
    <w:rsid w:val="00B048E4"/>
    <w:rsid w:val="00B048E7"/>
    <w:rsid w:val="00B05869"/>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43A"/>
    <w:rsid w:val="00B13561"/>
    <w:rsid w:val="00B13AA6"/>
    <w:rsid w:val="00B13C43"/>
    <w:rsid w:val="00B144E3"/>
    <w:rsid w:val="00B14588"/>
    <w:rsid w:val="00B14680"/>
    <w:rsid w:val="00B1543C"/>
    <w:rsid w:val="00B155BD"/>
    <w:rsid w:val="00B159A4"/>
    <w:rsid w:val="00B15B87"/>
    <w:rsid w:val="00B15F75"/>
    <w:rsid w:val="00B165FA"/>
    <w:rsid w:val="00B167B9"/>
    <w:rsid w:val="00B17019"/>
    <w:rsid w:val="00B1753C"/>
    <w:rsid w:val="00B17F48"/>
    <w:rsid w:val="00B2035F"/>
    <w:rsid w:val="00B2063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126"/>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263"/>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2DA0"/>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685"/>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39A"/>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005"/>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AFA"/>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1E1"/>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50D"/>
    <w:rsid w:val="00C116AF"/>
    <w:rsid w:val="00C11B6A"/>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0A3"/>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A0D"/>
    <w:rsid w:val="00C32B45"/>
    <w:rsid w:val="00C32D46"/>
    <w:rsid w:val="00C33077"/>
    <w:rsid w:val="00C333A6"/>
    <w:rsid w:val="00C338F6"/>
    <w:rsid w:val="00C33D06"/>
    <w:rsid w:val="00C33D11"/>
    <w:rsid w:val="00C340F2"/>
    <w:rsid w:val="00C348DD"/>
    <w:rsid w:val="00C34BC4"/>
    <w:rsid w:val="00C34BE7"/>
    <w:rsid w:val="00C34FB3"/>
    <w:rsid w:val="00C3599E"/>
    <w:rsid w:val="00C35F56"/>
    <w:rsid w:val="00C36296"/>
    <w:rsid w:val="00C363DB"/>
    <w:rsid w:val="00C36531"/>
    <w:rsid w:val="00C36706"/>
    <w:rsid w:val="00C368A0"/>
    <w:rsid w:val="00C36DEF"/>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0EB9"/>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262"/>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0F6A"/>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6F57"/>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9D0"/>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5E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4ADC"/>
    <w:rsid w:val="00CC5735"/>
    <w:rsid w:val="00CC5DEC"/>
    <w:rsid w:val="00CC5E92"/>
    <w:rsid w:val="00CC5F56"/>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1D5"/>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4AC"/>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6CF"/>
    <w:rsid w:val="00CF578D"/>
    <w:rsid w:val="00CF5A0A"/>
    <w:rsid w:val="00CF5EE5"/>
    <w:rsid w:val="00CF63E1"/>
    <w:rsid w:val="00CF63EA"/>
    <w:rsid w:val="00CF6609"/>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480"/>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780"/>
    <w:rsid w:val="00D15D58"/>
    <w:rsid w:val="00D15E44"/>
    <w:rsid w:val="00D1648C"/>
    <w:rsid w:val="00D16490"/>
    <w:rsid w:val="00D1650C"/>
    <w:rsid w:val="00D171F2"/>
    <w:rsid w:val="00D173EA"/>
    <w:rsid w:val="00D17BCC"/>
    <w:rsid w:val="00D17CE2"/>
    <w:rsid w:val="00D20466"/>
    <w:rsid w:val="00D2047B"/>
    <w:rsid w:val="00D20715"/>
    <w:rsid w:val="00D20752"/>
    <w:rsid w:val="00D20AC1"/>
    <w:rsid w:val="00D20B94"/>
    <w:rsid w:val="00D20E21"/>
    <w:rsid w:val="00D2107A"/>
    <w:rsid w:val="00D2112E"/>
    <w:rsid w:val="00D21513"/>
    <w:rsid w:val="00D21687"/>
    <w:rsid w:val="00D2232B"/>
    <w:rsid w:val="00D22670"/>
    <w:rsid w:val="00D227F6"/>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4D7"/>
    <w:rsid w:val="00D425F6"/>
    <w:rsid w:val="00D42D98"/>
    <w:rsid w:val="00D4363F"/>
    <w:rsid w:val="00D43698"/>
    <w:rsid w:val="00D44A8F"/>
    <w:rsid w:val="00D44FF5"/>
    <w:rsid w:val="00D455F3"/>
    <w:rsid w:val="00D45BB7"/>
    <w:rsid w:val="00D45DD7"/>
    <w:rsid w:val="00D45F42"/>
    <w:rsid w:val="00D45FA5"/>
    <w:rsid w:val="00D4644B"/>
    <w:rsid w:val="00D46614"/>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72E"/>
    <w:rsid w:val="00D54CB5"/>
    <w:rsid w:val="00D54FCD"/>
    <w:rsid w:val="00D550EE"/>
    <w:rsid w:val="00D55116"/>
    <w:rsid w:val="00D554B0"/>
    <w:rsid w:val="00D555D0"/>
    <w:rsid w:val="00D55A8C"/>
    <w:rsid w:val="00D55EAC"/>
    <w:rsid w:val="00D560A0"/>
    <w:rsid w:val="00D56213"/>
    <w:rsid w:val="00D5648C"/>
    <w:rsid w:val="00D56940"/>
    <w:rsid w:val="00D56B3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7"/>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2FDD"/>
    <w:rsid w:val="00D83267"/>
    <w:rsid w:val="00D834A5"/>
    <w:rsid w:val="00D83B22"/>
    <w:rsid w:val="00D83D0F"/>
    <w:rsid w:val="00D8506F"/>
    <w:rsid w:val="00D852F5"/>
    <w:rsid w:val="00D858B6"/>
    <w:rsid w:val="00D85A1E"/>
    <w:rsid w:val="00D85BCA"/>
    <w:rsid w:val="00D85E08"/>
    <w:rsid w:val="00D85F08"/>
    <w:rsid w:val="00D8675A"/>
    <w:rsid w:val="00D870E9"/>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DD"/>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84E"/>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26"/>
    <w:rsid w:val="00E24CF6"/>
    <w:rsid w:val="00E254CB"/>
    <w:rsid w:val="00E259FD"/>
    <w:rsid w:val="00E26186"/>
    <w:rsid w:val="00E2713D"/>
    <w:rsid w:val="00E2755D"/>
    <w:rsid w:val="00E276B7"/>
    <w:rsid w:val="00E27897"/>
    <w:rsid w:val="00E27DE9"/>
    <w:rsid w:val="00E27F2A"/>
    <w:rsid w:val="00E30164"/>
    <w:rsid w:val="00E301E9"/>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005"/>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A72"/>
    <w:rsid w:val="00E46CC9"/>
    <w:rsid w:val="00E47539"/>
    <w:rsid w:val="00E47578"/>
    <w:rsid w:val="00E475A6"/>
    <w:rsid w:val="00E47E2B"/>
    <w:rsid w:val="00E50217"/>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B6F"/>
    <w:rsid w:val="00E74EAE"/>
    <w:rsid w:val="00E74F6F"/>
    <w:rsid w:val="00E753DE"/>
    <w:rsid w:val="00E7580E"/>
    <w:rsid w:val="00E76246"/>
    <w:rsid w:val="00E765E1"/>
    <w:rsid w:val="00E766F8"/>
    <w:rsid w:val="00E76A43"/>
    <w:rsid w:val="00E76AB0"/>
    <w:rsid w:val="00E76E6B"/>
    <w:rsid w:val="00E76E90"/>
    <w:rsid w:val="00E77219"/>
    <w:rsid w:val="00E77382"/>
    <w:rsid w:val="00E7765A"/>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666"/>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58"/>
    <w:rsid w:val="00E9309F"/>
    <w:rsid w:val="00E93932"/>
    <w:rsid w:val="00E94053"/>
    <w:rsid w:val="00E94843"/>
    <w:rsid w:val="00E94E94"/>
    <w:rsid w:val="00E95162"/>
    <w:rsid w:val="00E9526C"/>
    <w:rsid w:val="00E95280"/>
    <w:rsid w:val="00E9551B"/>
    <w:rsid w:val="00E963E3"/>
    <w:rsid w:val="00E966A7"/>
    <w:rsid w:val="00E968AF"/>
    <w:rsid w:val="00E97282"/>
    <w:rsid w:val="00E97392"/>
    <w:rsid w:val="00E9750C"/>
    <w:rsid w:val="00E977B5"/>
    <w:rsid w:val="00E97816"/>
    <w:rsid w:val="00E979FE"/>
    <w:rsid w:val="00E97D12"/>
    <w:rsid w:val="00E97E4A"/>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1C"/>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19A"/>
    <w:rsid w:val="00EE2513"/>
    <w:rsid w:val="00EE27E4"/>
    <w:rsid w:val="00EE288C"/>
    <w:rsid w:val="00EE28F4"/>
    <w:rsid w:val="00EE308C"/>
    <w:rsid w:val="00EE3098"/>
    <w:rsid w:val="00EE320A"/>
    <w:rsid w:val="00EE324A"/>
    <w:rsid w:val="00EE3349"/>
    <w:rsid w:val="00EE33B1"/>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849"/>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2C"/>
    <w:rsid w:val="00F10365"/>
    <w:rsid w:val="00F103E8"/>
    <w:rsid w:val="00F1059F"/>
    <w:rsid w:val="00F11FEA"/>
    <w:rsid w:val="00F120AD"/>
    <w:rsid w:val="00F12231"/>
    <w:rsid w:val="00F12375"/>
    <w:rsid w:val="00F123B0"/>
    <w:rsid w:val="00F127FA"/>
    <w:rsid w:val="00F12841"/>
    <w:rsid w:val="00F12C40"/>
    <w:rsid w:val="00F132DE"/>
    <w:rsid w:val="00F134CA"/>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40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12DE"/>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071"/>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276"/>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AE6"/>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0ED"/>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431"/>
    <w:rsid w:val="00FA550A"/>
    <w:rsid w:val="00FA5932"/>
    <w:rsid w:val="00FA5C63"/>
    <w:rsid w:val="00FA63A5"/>
    <w:rsid w:val="00FA64B9"/>
    <w:rsid w:val="00FA64C5"/>
    <w:rsid w:val="00FA7188"/>
    <w:rsid w:val="00FA73AB"/>
    <w:rsid w:val="00FA76A0"/>
    <w:rsid w:val="00FA77B1"/>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D2A"/>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BF597C"/>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qFormat/>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autoRedefine/>
    <w:rsid w:val="00C36DEF"/>
    <w:pPr>
      <w:widowControl w:val="0"/>
    </w:p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395CD6"/>
    <w:pPr>
      <w:ind w:left="720"/>
    </w:pPr>
  </w:style>
  <w:style w:type="paragraph" w:customStyle="1" w:styleId="TableParagraph">
    <w:name w:val="Table Paragraph"/>
    <w:basedOn w:val="Normal"/>
    <w:rsid w:val="00D5472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fr"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fr/formulair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2420-1989-4EFC-BA43-CBDB86449E5A}">
  <ds:schemaRefs>
    <ds:schemaRef ds:uri="http://schemas.openxmlformats.org/officeDocument/2006/bibliography"/>
  </ds:schemaRefs>
</ds:datastoreItem>
</file>

<file path=customXml/itemProps2.xml><?xml version="1.0" encoding="utf-8"?>
<ds:datastoreItem xmlns:ds="http://schemas.openxmlformats.org/officeDocument/2006/customXml" ds:itemID="{61EDCB1C-4F7F-4E22-8D19-F87C18AC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2776</Words>
  <Characters>15272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U044-v1.1-FN-FRA.docx</vt:lpstr>
    </vt:vector>
  </TitlesOfParts>
  <LinksUpToDate>false</LinksUpToDate>
  <CharactersWithSpaces>18012</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U044-v1.1-FN-FRA.docx</dc:title>
  <dc:creator/>
  <cp:lastModifiedBy/>
  <cp:revision>1</cp:revision>
  <dcterms:created xsi:type="dcterms:W3CDTF">2015-09-29T14:53:00Z</dcterms:created>
  <dcterms:modified xsi:type="dcterms:W3CDTF">2018-04-23T10:00:00Z</dcterms:modified>
</cp:coreProperties>
</file>