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CE" w:rsidRPr="00A12AE6" w:rsidRDefault="00BD7FCE" w:rsidP="00A12AE6">
      <w:pPr>
        <w:pBdr>
          <w:bottom w:val="single" w:sz="4" w:space="1" w:color="3366FF"/>
        </w:pBdr>
        <w:bidi/>
        <w:spacing w:after="200" w:line="240" w:lineRule="auto"/>
        <w:rPr>
          <w:rFonts w:ascii="Traditional Arabic" w:hAnsi="Traditional Arabic" w:cs="Traditional Arabic"/>
          <w:b/>
          <w:bCs/>
          <w:color w:val="3366FF"/>
          <w:sz w:val="72"/>
          <w:szCs w:val="72"/>
          <w:rtl/>
          <w:lang w:val="en-US" w:bidi="ar-IQ"/>
        </w:rPr>
      </w:pPr>
      <w:bookmarkStart w:id="0" w:name="_Toc241229778"/>
      <w:bookmarkStart w:id="1" w:name="_Toc241229982"/>
      <w:bookmarkStart w:id="2" w:name="_Toc242165676"/>
      <w:r w:rsidRPr="00A12AE6">
        <w:rPr>
          <w:rFonts w:ascii="Traditional Arabic" w:hAnsi="Traditional Arabic" w:cs="Traditional Arabic" w:hint="cs"/>
          <w:b/>
          <w:bCs/>
          <w:color w:val="3366FF"/>
          <w:sz w:val="72"/>
          <w:szCs w:val="72"/>
          <w:rtl/>
          <w:lang w:val="en-US" w:bidi="ar-IQ"/>
        </w:rPr>
        <w:t xml:space="preserve">الوحدة </w:t>
      </w:r>
      <w:r w:rsidR="00887159" w:rsidRPr="00A12AE6">
        <w:rPr>
          <w:rFonts w:ascii="Traditional Arabic" w:hAnsi="Traditional Arabic" w:cs="Traditional Arabic" w:hint="cs"/>
          <w:b/>
          <w:bCs/>
          <w:color w:val="3366FF"/>
          <w:sz w:val="72"/>
          <w:szCs w:val="72"/>
          <w:rtl/>
          <w:lang w:val="en-US" w:bidi="ar-IQ"/>
        </w:rPr>
        <w:t>49</w:t>
      </w:r>
    </w:p>
    <w:bookmarkEnd w:id="0"/>
    <w:bookmarkEnd w:id="1"/>
    <w:bookmarkEnd w:id="2"/>
    <w:p w:rsidR="00BD7FCE" w:rsidRPr="00A12AE6" w:rsidRDefault="00BD7FCE" w:rsidP="00A12AE6">
      <w:pPr>
        <w:bidi/>
        <w:spacing w:after="0" w:line="240" w:lineRule="auto"/>
        <w:rPr>
          <w:rFonts w:ascii="Traditional Arabic" w:hAnsi="Traditional Arabic" w:cs="Traditional Arabic"/>
          <w:b/>
          <w:bCs/>
          <w:color w:val="3366FF"/>
          <w:sz w:val="40"/>
          <w:szCs w:val="40"/>
          <w:rtl/>
          <w:lang w:val="en-US" w:bidi="ar-IQ"/>
        </w:rPr>
      </w:pPr>
      <w:r w:rsidRPr="00A12AE6">
        <w:rPr>
          <w:rFonts w:ascii="Traditional Arabic" w:hAnsi="Traditional Arabic" w:cs="Traditional Arabic" w:hint="cs"/>
          <w:b/>
          <w:bCs/>
          <w:color w:val="3366FF"/>
          <w:sz w:val="40"/>
          <w:szCs w:val="40"/>
          <w:rtl/>
          <w:lang w:val="en-US" w:bidi="ar-IQ"/>
        </w:rPr>
        <w:t>الورقة</w:t>
      </w:r>
      <w:r w:rsidRPr="00A12AE6">
        <w:rPr>
          <w:rFonts w:ascii="Traditional Arabic" w:hAnsi="Traditional Arabic" w:cs="Traditional Arabic"/>
          <w:b/>
          <w:bCs/>
          <w:color w:val="3366FF"/>
          <w:sz w:val="40"/>
          <w:szCs w:val="40"/>
          <w:rtl/>
          <w:lang w:val="en-US" w:bidi="ar-IQ"/>
        </w:rPr>
        <w:t xml:space="preserve"> </w:t>
      </w:r>
      <w:r w:rsidR="00E751D1" w:rsidRPr="00A12AE6">
        <w:rPr>
          <w:rFonts w:ascii="Traditional Arabic" w:hAnsi="Traditional Arabic" w:cs="Traditional Arabic" w:hint="cs"/>
          <w:b/>
          <w:bCs/>
          <w:color w:val="3366FF"/>
          <w:sz w:val="40"/>
          <w:szCs w:val="40"/>
          <w:rtl/>
          <w:lang w:val="en-US" w:bidi="ar-IQ"/>
        </w:rPr>
        <w:t>الأولى</w:t>
      </w:r>
      <w:r w:rsidRPr="00A12AE6">
        <w:rPr>
          <w:rFonts w:ascii="Traditional Arabic" w:hAnsi="Traditional Arabic" w:cs="Traditional Arabic" w:hint="cs"/>
          <w:b/>
          <w:bCs/>
          <w:color w:val="3366FF"/>
          <w:sz w:val="40"/>
          <w:szCs w:val="40"/>
          <w:rtl/>
          <w:lang w:val="en-US" w:bidi="ar-IQ"/>
        </w:rPr>
        <w:t xml:space="preserve"> المعدة</w:t>
      </w:r>
      <w:r w:rsidRPr="00A12AE6">
        <w:rPr>
          <w:rFonts w:ascii="Traditional Arabic" w:hAnsi="Traditional Arabic" w:cs="Traditional Arabic"/>
          <w:b/>
          <w:bCs/>
          <w:color w:val="3366FF"/>
          <w:sz w:val="40"/>
          <w:szCs w:val="40"/>
          <w:rtl/>
          <w:lang w:val="en-US" w:bidi="ar-IQ"/>
        </w:rPr>
        <w:t xml:space="preserve"> </w:t>
      </w:r>
      <w:r w:rsidRPr="00A12AE6">
        <w:rPr>
          <w:rFonts w:ascii="Traditional Arabic" w:hAnsi="Traditional Arabic" w:cs="Traditional Arabic" w:hint="cs"/>
          <w:b/>
          <w:bCs/>
          <w:color w:val="3366FF"/>
          <w:sz w:val="40"/>
          <w:szCs w:val="40"/>
          <w:rtl/>
          <w:lang w:val="en-US" w:bidi="ar-IQ"/>
        </w:rPr>
        <w:t>للتوزيع</w:t>
      </w:r>
      <w:r w:rsidRPr="00A12AE6">
        <w:rPr>
          <w:rFonts w:ascii="Traditional Arabic" w:hAnsi="Traditional Arabic" w:cs="Traditional Arabic"/>
          <w:b/>
          <w:bCs/>
          <w:color w:val="3366FF"/>
          <w:sz w:val="40"/>
          <w:szCs w:val="40"/>
          <w:rtl/>
          <w:lang w:val="en-US" w:bidi="ar-IQ"/>
        </w:rPr>
        <w:t>:</w:t>
      </w:r>
    </w:p>
    <w:p w:rsidR="00B467C0" w:rsidRPr="00A12AE6" w:rsidRDefault="00887159" w:rsidP="00A12AE6">
      <w:pPr>
        <w:bidi/>
        <w:spacing w:after="200" w:line="240" w:lineRule="auto"/>
        <w:rPr>
          <w:rFonts w:ascii="Traditional Arabic" w:hAnsi="Traditional Arabic" w:cs="Traditional Arabic"/>
          <w:b/>
          <w:bCs/>
          <w:color w:val="3366FF"/>
          <w:sz w:val="48"/>
          <w:szCs w:val="48"/>
          <w:lang w:val="en-US" w:bidi="ar-IQ"/>
        </w:rPr>
      </w:pPr>
      <w:r w:rsidRPr="00A12AE6">
        <w:rPr>
          <w:rFonts w:ascii="Traditional Arabic" w:hAnsi="Traditional Arabic" w:cs="Traditional Arabic" w:hint="cs"/>
          <w:b/>
          <w:bCs/>
          <w:color w:val="3366FF"/>
          <w:sz w:val="48"/>
          <w:szCs w:val="48"/>
          <w:rtl/>
          <w:lang w:val="en-US" w:bidi="ar-IQ"/>
        </w:rPr>
        <w:t>تنقيح التوجيهات التنفيذية</w:t>
      </w:r>
    </w:p>
    <w:p w:rsidR="00A913BC" w:rsidRPr="00A12AE6" w:rsidRDefault="00F012CF" w:rsidP="00F70A90">
      <w:pPr>
        <w:bidi/>
        <w:spacing w:after="200" w:line="240" w:lineRule="auto"/>
        <w:ind w:left="1588" w:hanging="737"/>
        <w:jc w:val="both"/>
        <w:rPr>
          <w:rFonts w:ascii="Traditional Arabic" w:hAnsi="Traditional Arabic" w:cs="Traditional Arabic"/>
          <w:b/>
          <w:bCs/>
          <w:sz w:val="32"/>
          <w:szCs w:val="32"/>
          <w:rtl/>
        </w:rPr>
      </w:pPr>
      <w:r w:rsidRPr="00A12AE6">
        <w:rPr>
          <w:rFonts w:ascii="Traditional Arabic" w:hAnsi="Traditional Arabic" w:cs="Traditional Arabic" w:hint="cs"/>
          <w:b/>
          <w:bCs/>
          <w:sz w:val="32"/>
          <w:szCs w:val="32"/>
          <w:rtl/>
          <w:lang w:bidi="ar-IQ"/>
        </w:rPr>
        <w:t>(ألف)</w:t>
      </w:r>
      <w:r w:rsidR="00A12AE6" w:rsidRPr="00A12AE6">
        <w:rPr>
          <w:rFonts w:ascii="Traditional Arabic" w:hAnsi="Traditional Arabic" w:cs="Traditional Arabic"/>
          <w:b/>
          <w:bCs/>
          <w:sz w:val="32"/>
          <w:szCs w:val="32"/>
          <w:rtl/>
          <w:lang w:bidi="ar-IQ"/>
        </w:rPr>
        <w:tab/>
      </w:r>
      <w:r w:rsidRPr="00A12AE6">
        <w:rPr>
          <w:rFonts w:ascii="Traditional Arabic" w:hAnsi="Traditional Arabic" w:cs="Traditional Arabic" w:hint="cs"/>
          <w:b/>
          <w:bCs/>
          <w:sz w:val="32"/>
          <w:szCs w:val="32"/>
          <w:rtl/>
          <w:lang w:bidi="ar-IQ"/>
        </w:rPr>
        <w:t>تدعو الفقرة الفرعية 11 (ب) من القرار</w:t>
      </w:r>
      <w:r w:rsidR="00F70A90">
        <w:rPr>
          <w:rFonts w:ascii="Traditional Arabic" w:hAnsi="Traditional Arabic" w:cs="Traditional Arabic" w:hint="cs"/>
          <w:b/>
          <w:bCs/>
          <w:sz w:val="24"/>
          <w:szCs w:val="24"/>
          <w:rtl/>
          <w:lang w:bidi="ar-IQ"/>
        </w:rPr>
        <w:t xml:space="preserve"> </w:t>
      </w:r>
      <w:r w:rsidR="00F70A90" w:rsidRPr="00F70A90">
        <w:rPr>
          <w:rFonts w:asciiTheme="minorBidi" w:hAnsiTheme="minorBidi"/>
          <w:b/>
          <w:bCs/>
          <w:lang w:val="en-US" w:eastAsia="en-GB"/>
        </w:rPr>
        <w:t>8.COM 5c.1</w:t>
      </w:r>
      <w:r w:rsidRPr="00F70A90">
        <w:rPr>
          <w:rFonts w:asciiTheme="minorBidi" w:hAnsiTheme="minorBidi"/>
          <w:b/>
          <w:bCs/>
          <w:sz w:val="32"/>
          <w:szCs w:val="32"/>
          <w:rtl/>
          <w:lang w:bidi="ar-IQ"/>
        </w:rPr>
        <w:t xml:space="preserve"> </w:t>
      </w:r>
      <w:r w:rsidRPr="00A12AE6">
        <w:rPr>
          <w:rFonts w:ascii="Traditional Arabic" w:hAnsi="Traditional Arabic" w:cs="Traditional Arabic" w:hint="cs"/>
          <w:b/>
          <w:bCs/>
          <w:sz w:val="32"/>
          <w:szCs w:val="32"/>
          <w:rtl/>
          <w:lang w:bidi="ar-IQ"/>
        </w:rPr>
        <w:t>الأمانة إلى ما يلي:</w:t>
      </w:r>
    </w:p>
    <w:p w:rsidR="005B7AE2" w:rsidRPr="00A12AE6" w:rsidRDefault="005B7AE2" w:rsidP="00F70A90">
      <w:pPr>
        <w:bidi/>
        <w:spacing w:after="200" w:line="240" w:lineRule="auto"/>
        <w:ind w:left="851"/>
        <w:jc w:val="both"/>
        <w:rPr>
          <w:rFonts w:ascii="Arial" w:hAnsi="Arial" w:cs="Traditional Arabic"/>
          <w:szCs w:val="32"/>
          <w:rtl/>
          <w:lang w:bidi="ar-IQ"/>
        </w:rPr>
      </w:pPr>
      <w:r>
        <w:rPr>
          <w:rFonts w:ascii="Traditional Arabic" w:hAnsi="Traditional Arabic" w:cs="Traditional Arabic" w:hint="cs"/>
          <w:sz w:val="32"/>
          <w:szCs w:val="32"/>
          <w:rtl/>
          <w:lang w:bidi="ar-IQ"/>
        </w:rPr>
        <w:t>تنقيح جميع الوثائق والنماذج ذات الصلة (بما فيها</w:t>
      </w:r>
      <w:r w:rsidR="00F328B2">
        <w:rPr>
          <w:rFonts w:ascii="Traditional Arabic" w:hAnsi="Traditional Arabic" w:cs="Traditional Arabic" w:hint="cs"/>
          <w:sz w:val="32"/>
          <w:szCs w:val="32"/>
          <w:rtl/>
          <w:lang w:bidi="ar-IQ"/>
        </w:rPr>
        <w:t xml:space="preserve"> التوجيهات التنفيذية، واشكال التقارير الدورية، وملفات </w:t>
      </w:r>
      <w:r w:rsidR="00F328B2" w:rsidRPr="00A12AE6">
        <w:rPr>
          <w:rFonts w:ascii="Arial" w:hAnsi="Arial" w:cs="Traditional Arabic" w:hint="cs"/>
          <w:szCs w:val="32"/>
          <w:rtl/>
          <w:lang w:bidi="ar-IQ"/>
        </w:rPr>
        <w:t>الترشيح)</w:t>
      </w:r>
      <w:r w:rsidR="00F70A90">
        <w:rPr>
          <w:rFonts w:ascii="Arial" w:hAnsi="Arial" w:cs="Traditional Arabic" w:hint="cs"/>
          <w:szCs w:val="32"/>
          <w:rtl/>
          <w:lang w:bidi="ar-IQ"/>
        </w:rPr>
        <w:t xml:space="preserve"> </w:t>
      </w:r>
      <w:r w:rsidR="00F328B2" w:rsidRPr="00A12AE6">
        <w:rPr>
          <w:rFonts w:ascii="Arial" w:hAnsi="Arial" w:cs="Traditional Arabic" w:hint="cs"/>
          <w:szCs w:val="32"/>
          <w:rtl/>
          <w:lang w:bidi="ar-IQ"/>
        </w:rPr>
        <w:t xml:space="preserve">كي تتضمن توجيهات </w:t>
      </w:r>
      <w:r w:rsidR="00F70A90" w:rsidRPr="00A12AE6">
        <w:rPr>
          <w:rFonts w:ascii="Arial" w:hAnsi="Arial" w:cs="Traditional Arabic" w:hint="cs"/>
          <w:szCs w:val="32"/>
          <w:rtl/>
          <w:lang w:bidi="ar-IQ"/>
        </w:rPr>
        <w:t>وأسئلة</w:t>
      </w:r>
      <w:r w:rsidR="00F328B2" w:rsidRPr="00A12AE6">
        <w:rPr>
          <w:rFonts w:ascii="Arial" w:hAnsi="Arial" w:cs="Traditional Arabic" w:hint="cs"/>
          <w:szCs w:val="32"/>
          <w:rtl/>
          <w:lang w:bidi="ar-IQ"/>
        </w:rPr>
        <w:t xml:space="preserve"> جنسانية. (التوصية 1).</w:t>
      </w:r>
    </w:p>
    <w:p w:rsidR="00F328B2" w:rsidRPr="00A12AE6" w:rsidRDefault="00F328B2" w:rsidP="00362BAB">
      <w:pPr>
        <w:bidi/>
        <w:spacing w:after="200" w:line="240" w:lineRule="auto"/>
        <w:ind w:left="1588" w:hanging="737"/>
        <w:jc w:val="both"/>
        <w:rPr>
          <w:rFonts w:ascii="Arial" w:hAnsi="Arial" w:cs="Traditional Arabic"/>
          <w:szCs w:val="32"/>
          <w:rtl/>
          <w:lang w:val="en-GB" w:bidi="ar-IQ"/>
        </w:rPr>
      </w:pPr>
      <w:r w:rsidRPr="00AA3576">
        <w:rPr>
          <w:rFonts w:ascii="Arial" w:hAnsi="Arial" w:cs="Traditional Arabic" w:hint="cs"/>
          <w:b/>
          <w:bCs/>
          <w:szCs w:val="32"/>
          <w:rtl/>
          <w:lang w:bidi="ar-IQ"/>
        </w:rPr>
        <w:t>(باء)</w:t>
      </w:r>
      <w:r w:rsidR="00AA3576" w:rsidRPr="00AA3576">
        <w:rPr>
          <w:rFonts w:ascii="Arial" w:hAnsi="Arial" w:cs="Traditional Arabic"/>
          <w:szCs w:val="32"/>
          <w:rtl/>
          <w:lang w:bidi="ar-IQ"/>
        </w:rPr>
        <w:tab/>
      </w:r>
      <w:r w:rsidR="00D33E9A" w:rsidRPr="00A12AE6">
        <w:rPr>
          <w:rFonts w:ascii="Arial" w:hAnsi="Arial" w:cs="Traditional Arabic" w:hint="cs"/>
          <w:szCs w:val="32"/>
          <w:rtl/>
          <w:lang w:bidi="ar-IQ"/>
        </w:rPr>
        <w:t>ا</w:t>
      </w:r>
      <w:r w:rsidR="00D33E9A" w:rsidRPr="00A12AE6">
        <w:rPr>
          <w:rFonts w:ascii="Arial" w:hAnsi="Arial" w:cs="Traditional Arabic" w:hint="cs"/>
          <w:b/>
          <w:bCs/>
          <w:szCs w:val="32"/>
          <w:rtl/>
          <w:lang w:bidi="ar-IQ"/>
        </w:rPr>
        <w:t xml:space="preserve">لفقرة 14 من مشروع التوجيهات التنفيذية بشأن </w:t>
      </w:r>
      <w:r w:rsidR="00362BAB">
        <w:rPr>
          <w:rFonts w:ascii="Arial" w:hAnsi="Arial" w:cs="Traditional Arabic" w:hint="cs"/>
          <w:b/>
          <w:bCs/>
          <w:szCs w:val="32"/>
          <w:rtl/>
          <w:lang w:bidi="ar-IQ"/>
        </w:rPr>
        <w:t>"</w:t>
      </w:r>
      <w:r w:rsidR="00D33E9A" w:rsidRPr="00A12AE6">
        <w:rPr>
          <w:rFonts w:ascii="Arial" w:hAnsi="Arial" w:cs="Traditional Arabic" w:hint="cs"/>
          <w:b/>
          <w:bCs/>
          <w:szCs w:val="32"/>
          <w:rtl/>
          <w:lang w:bidi="ar-IQ"/>
        </w:rPr>
        <w:t>صون التراث الثقافي غير المادي والتنمية المستدامة على المستوى الوطني</w:t>
      </w:r>
      <w:r w:rsidR="00362BAB">
        <w:rPr>
          <w:rFonts w:ascii="Arial" w:hAnsi="Arial" w:cs="Traditional Arabic" w:hint="cs"/>
          <w:b/>
          <w:bCs/>
          <w:szCs w:val="32"/>
          <w:rtl/>
          <w:lang w:bidi="ar-IQ"/>
        </w:rPr>
        <w:t>"</w:t>
      </w:r>
      <w:r w:rsidR="00D33E9A" w:rsidRPr="00A12AE6">
        <w:rPr>
          <w:rFonts w:ascii="Arial" w:hAnsi="Arial" w:cs="Traditional Arabic" w:hint="cs"/>
          <w:b/>
          <w:bCs/>
          <w:szCs w:val="32"/>
          <w:rtl/>
          <w:lang w:bidi="ar-IQ"/>
        </w:rPr>
        <w:t xml:space="preserve"> (</w:t>
      </w:r>
      <w:r w:rsidR="00E66287" w:rsidRPr="00A12AE6">
        <w:rPr>
          <w:rFonts w:ascii="Arial" w:hAnsi="Arial" w:cs="Traditional Arabic" w:hint="cs"/>
          <w:b/>
          <w:bCs/>
          <w:szCs w:val="32"/>
          <w:rtl/>
          <w:lang w:val="en-GB" w:bidi="ar-IQ"/>
        </w:rPr>
        <w:t xml:space="preserve">ملحق للوثيقة </w:t>
      </w:r>
      <w:r w:rsidR="00E66287" w:rsidRPr="00A12AE6">
        <w:rPr>
          <w:rFonts w:ascii="Arial" w:hAnsi="Arial" w:cs="Traditional Arabic"/>
          <w:b/>
          <w:bCs/>
          <w:szCs w:val="24"/>
          <w:lang w:val="en-GB" w:bidi="ar-IQ"/>
        </w:rPr>
        <w:t>ITH/14/9.COM/13.b</w:t>
      </w:r>
      <w:r w:rsidR="00E66287" w:rsidRPr="00A12AE6">
        <w:rPr>
          <w:rFonts w:ascii="Arial" w:hAnsi="Arial" w:cs="Traditional Arabic" w:hint="cs"/>
          <w:szCs w:val="32"/>
          <w:rtl/>
          <w:lang w:val="en-GB" w:bidi="ar-IQ"/>
        </w:rPr>
        <w:t>):</w:t>
      </w:r>
    </w:p>
    <w:p w:rsidR="00E66287" w:rsidRPr="00A12AE6" w:rsidRDefault="00E66287" w:rsidP="00F70A90">
      <w:pPr>
        <w:bidi/>
        <w:spacing w:after="200" w:line="240" w:lineRule="auto"/>
        <w:ind w:left="851"/>
        <w:jc w:val="both"/>
        <w:rPr>
          <w:rFonts w:ascii="Arial" w:hAnsi="Arial" w:cs="Traditional Arabic"/>
          <w:szCs w:val="32"/>
          <w:rtl/>
          <w:lang w:bidi="ar-IQ"/>
        </w:rPr>
      </w:pPr>
      <w:r w:rsidRPr="00A12AE6">
        <w:rPr>
          <w:rFonts w:ascii="Arial" w:hAnsi="Arial" w:cs="Traditional Arabic" w:hint="cs"/>
          <w:szCs w:val="32"/>
          <w:rtl/>
          <w:lang w:val="en-GB" w:bidi="ar-IQ"/>
        </w:rPr>
        <w:t>تسعى الدول الأطراف إلى تعزيز مساهمات التراث الثقافي غير المادي في النهوض بالمساواة بين الجنسين</w:t>
      </w:r>
      <w:r w:rsidR="00051EEC" w:rsidRPr="00A12AE6">
        <w:rPr>
          <w:rFonts w:ascii="Arial" w:hAnsi="Arial" w:cs="Traditional Arabic" w:hint="cs"/>
          <w:szCs w:val="32"/>
          <w:rtl/>
          <w:lang w:val="en-GB" w:bidi="ar-IQ"/>
        </w:rPr>
        <w:t xml:space="preserve"> والقضاء على التمييز القائم على نوع الجنس،</w:t>
      </w:r>
      <w:r w:rsidR="00F70A90">
        <w:rPr>
          <w:rFonts w:ascii="Arial" w:hAnsi="Arial" w:cs="Traditional Arabic"/>
          <w:szCs w:val="32"/>
          <w:rtl/>
          <w:lang w:val="en-GB" w:bidi="ar-IQ"/>
        </w:rPr>
        <w:t xml:space="preserve"> </w:t>
      </w:r>
      <w:r w:rsidR="003266E0" w:rsidRPr="00A12AE6">
        <w:rPr>
          <w:rFonts w:ascii="Arial" w:hAnsi="Arial" w:cs="Traditional Arabic" w:hint="cs"/>
          <w:szCs w:val="32"/>
          <w:rtl/>
          <w:lang w:bidi="ar-IQ"/>
        </w:rPr>
        <w:t>واضعة في اعتبارها أن المجتمعات المحلية والجماعات تُعبر عن قيمها ومعاييرها وتوقعاتها ذات الصلة بالجنسانية من خلال تراثها الثقافي غير المادي الذي يمثل بالتالي سياقاً متميزاً تتشكل فيه الهويات الجنسانية لأفراد هذه المجتمعات والجماعات. ولهذا الغرض تُشجَّع الدول الأطراف على ما</w:t>
      </w:r>
      <w:r w:rsidR="007A005D" w:rsidRPr="00A12AE6">
        <w:rPr>
          <w:rFonts w:ascii="Arial" w:hAnsi="Arial" w:cs="Traditional Arabic" w:hint="cs"/>
          <w:szCs w:val="32"/>
          <w:rtl/>
          <w:lang w:bidi="ar-IQ"/>
        </w:rPr>
        <w:t xml:space="preserve"> </w:t>
      </w:r>
      <w:r w:rsidR="003266E0" w:rsidRPr="00A12AE6">
        <w:rPr>
          <w:rFonts w:ascii="Arial" w:hAnsi="Arial" w:cs="Traditional Arabic" w:hint="cs"/>
          <w:szCs w:val="32"/>
          <w:rtl/>
          <w:lang w:bidi="ar-IQ"/>
        </w:rPr>
        <w:t>يلي:</w:t>
      </w:r>
    </w:p>
    <w:p w:rsidR="003266E0" w:rsidRPr="00A12AE6" w:rsidRDefault="0016094C" w:rsidP="00F70A90">
      <w:pPr>
        <w:bidi/>
        <w:spacing w:after="120" w:line="240" w:lineRule="auto"/>
        <w:ind w:left="1985" w:hanging="567"/>
        <w:jc w:val="both"/>
        <w:rPr>
          <w:rFonts w:ascii="Arial" w:hAnsi="Arial" w:cs="Traditional Arabic"/>
          <w:szCs w:val="32"/>
          <w:lang w:bidi="ar-IQ"/>
        </w:rPr>
      </w:pPr>
      <w:r w:rsidRPr="00A12AE6">
        <w:rPr>
          <w:rFonts w:ascii="Arial" w:hAnsi="Arial" w:cs="Traditional Arabic" w:hint="cs"/>
          <w:szCs w:val="32"/>
          <w:rtl/>
          <w:lang w:bidi="ar-IQ"/>
        </w:rPr>
        <w:t>(أ)</w:t>
      </w:r>
      <w:r w:rsidR="00AA3576">
        <w:rPr>
          <w:rFonts w:ascii="Arial" w:hAnsi="Arial" w:cs="Traditional Arabic"/>
          <w:szCs w:val="32"/>
          <w:rtl/>
          <w:lang w:bidi="ar-IQ"/>
        </w:rPr>
        <w:tab/>
      </w:r>
      <w:r w:rsidR="007A005D" w:rsidRPr="00A12AE6">
        <w:rPr>
          <w:rFonts w:ascii="Arial" w:hAnsi="Arial" w:cs="Traditional Arabic" w:hint="cs"/>
          <w:szCs w:val="32"/>
          <w:rtl/>
          <w:lang w:bidi="ar-IQ"/>
        </w:rPr>
        <w:t xml:space="preserve">الاستفادة من إمكانات التراث الثقافي غير المادي </w:t>
      </w:r>
      <w:r w:rsidR="004058C2" w:rsidRPr="00A12AE6">
        <w:rPr>
          <w:rFonts w:ascii="Arial" w:hAnsi="Arial" w:cs="Traditional Arabic" w:hint="cs"/>
          <w:szCs w:val="32"/>
          <w:rtl/>
          <w:lang w:bidi="ar-IQ"/>
        </w:rPr>
        <w:t xml:space="preserve">لإنشاء مساحات مشتركة للحوار بشأن </w:t>
      </w:r>
      <w:r w:rsidR="00B6041F" w:rsidRPr="00A12AE6">
        <w:rPr>
          <w:rFonts w:ascii="Arial" w:hAnsi="Arial" w:cs="Traditional Arabic" w:hint="cs"/>
          <w:szCs w:val="32"/>
          <w:rtl/>
          <w:lang w:bidi="ar-IQ"/>
        </w:rPr>
        <w:t>أفضل السبل لتحقيق المساواة بين الجنسين، مع الأخذ في الاعتبار وجهات النظر المختلفة لجميع الأطراف المعنية؛</w:t>
      </w:r>
    </w:p>
    <w:p w:rsidR="00B6041F" w:rsidRPr="00A12AE6" w:rsidRDefault="0016094C" w:rsidP="00F70A90">
      <w:pPr>
        <w:bidi/>
        <w:spacing w:after="120" w:line="240" w:lineRule="auto"/>
        <w:ind w:left="1985" w:hanging="567"/>
        <w:jc w:val="both"/>
        <w:rPr>
          <w:rFonts w:ascii="Arial" w:hAnsi="Arial" w:cs="Traditional Arabic"/>
          <w:szCs w:val="32"/>
          <w:lang w:bidi="ar-IQ"/>
        </w:rPr>
      </w:pPr>
      <w:r w:rsidRPr="00A12AE6">
        <w:rPr>
          <w:rFonts w:ascii="Arial" w:hAnsi="Arial" w:cs="Traditional Arabic" w:hint="cs"/>
          <w:szCs w:val="32"/>
          <w:rtl/>
          <w:lang w:bidi="ar-IQ"/>
        </w:rPr>
        <w:t>(ب)</w:t>
      </w:r>
      <w:r w:rsidR="00AA3576">
        <w:rPr>
          <w:rFonts w:ascii="Arial" w:hAnsi="Arial" w:cs="Traditional Arabic"/>
          <w:szCs w:val="32"/>
          <w:rtl/>
          <w:lang w:bidi="ar-IQ"/>
        </w:rPr>
        <w:tab/>
      </w:r>
      <w:r w:rsidR="00B6041F" w:rsidRPr="00A12AE6">
        <w:rPr>
          <w:rFonts w:ascii="Arial" w:hAnsi="Arial" w:cs="Traditional Arabic" w:hint="cs"/>
          <w:szCs w:val="32"/>
          <w:rtl/>
          <w:lang w:bidi="ar-IQ"/>
        </w:rPr>
        <w:t xml:space="preserve">تعزيز الدور المهم الذي يمكن </w:t>
      </w:r>
      <w:r w:rsidR="00DE131D" w:rsidRPr="00A12AE6">
        <w:rPr>
          <w:rFonts w:ascii="Arial" w:hAnsi="Arial" w:cs="Traditional Arabic" w:hint="cs"/>
          <w:szCs w:val="32"/>
          <w:rtl/>
          <w:lang w:bidi="ar-IQ"/>
        </w:rPr>
        <w:t xml:space="preserve">أن يقوم به التراث الثقافي غير المادي في بناء احترام متبادل بين المجتمعات المحلية والجماعات التي قد تتباين مفاهيمها ومواقفها </w:t>
      </w:r>
      <w:r w:rsidR="006605ED" w:rsidRPr="00A12AE6">
        <w:rPr>
          <w:rFonts w:ascii="Arial" w:hAnsi="Arial" w:cs="Traditional Arabic" w:hint="cs"/>
          <w:szCs w:val="32"/>
          <w:rtl/>
          <w:lang w:bidi="ar-IQ"/>
        </w:rPr>
        <w:t>بشأن</w:t>
      </w:r>
      <w:r w:rsidR="00DE131D" w:rsidRPr="00A12AE6">
        <w:rPr>
          <w:rFonts w:ascii="Arial" w:hAnsi="Arial" w:cs="Traditional Arabic" w:hint="cs"/>
          <w:szCs w:val="32"/>
          <w:rtl/>
          <w:lang w:bidi="ar-IQ"/>
        </w:rPr>
        <w:t xml:space="preserve"> قضايا الجنسين؛</w:t>
      </w:r>
    </w:p>
    <w:p w:rsidR="007C7E97" w:rsidRPr="00F70A90" w:rsidRDefault="0016094C" w:rsidP="00F70A90">
      <w:pPr>
        <w:pStyle w:val="ListParagraph"/>
        <w:bidi/>
        <w:spacing w:after="120" w:line="240" w:lineRule="auto"/>
        <w:ind w:left="1985" w:hanging="567"/>
        <w:contextualSpacing w:val="0"/>
        <w:jc w:val="both"/>
        <w:rPr>
          <w:rFonts w:ascii="Arial" w:hAnsi="Arial" w:cs="Traditional Arabic"/>
          <w:spacing w:val="-2"/>
          <w:szCs w:val="32"/>
          <w:rtl/>
        </w:rPr>
      </w:pPr>
      <w:r w:rsidRPr="00A12AE6">
        <w:rPr>
          <w:rFonts w:ascii="Arial" w:hAnsi="Arial" w:cs="Traditional Arabic" w:hint="cs"/>
          <w:szCs w:val="32"/>
          <w:rtl/>
          <w:lang w:bidi="ar-IQ"/>
        </w:rPr>
        <w:t>(جـ)</w:t>
      </w:r>
      <w:r w:rsidR="00AA3576">
        <w:rPr>
          <w:rFonts w:ascii="Arial" w:hAnsi="Arial" w:cs="Traditional Arabic"/>
          <w:szCs w:val="32"/>
          <w:rtl/>
          <w:lang w:bidi="ar-IQ"/>
        </w:rPr>
        <w:tab/>
      </w:r>
      <w:r w:rsidR="007C7E97" w:rsidRPr="00F70A90">
        <w:rPr>
          <w:rFonts w:ascii="Arial" w:hAnsi="Arial" w:cs="Traditional Arabic" w:hint="cs"/>
          <w:spacing w:val="-2"/>
          <w:szCs w:val="32"/>
          <w:rtl/>
          <w:lang w:bidi="ar-IQ"/>
        </w:rPr>
        <w:t>تعزيز</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الدراسات</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العلمية</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ومنهجيات</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البحث،</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وبضمنها</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تلك</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التي</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تقوم</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بها</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المجتمعات</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المحلية</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والجماعات</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نفسها،</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والرامية</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إلى</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فهم</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تنوع</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أدوار</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الجنسين</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ضمن</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تعبيرات</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معينة</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للتراث</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الثقافي</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غير</w:t>
      </w:r>
      <w:r w:rsidR="007C7E97" w:rsidRPr="00F70A90">
        <w:rPr>
          <w:rFonts w:ascii="Arial" w:hAnsi="Arial" w:cs="Traditional Arabic"/>
          <w:spacing w:val="-2"/>
          <w:szCs w:val="32"/>
          <w:rtl/>
          <w:lang w:bidi="ar-IQ"/>
        </w:rPr>
        <w:t xml:space="preserve"> </w:t>
      </w:r>
      <w:r w:rsidR="007C7E97" w:rsidRPr="00F70A90">
        <w:rPr>
          <w:rFonts w:ascii="Arial" w:hAnsi="Arial" w:cs="Traditional Arabic" w:hint="cs"/>
          <w:spacing w:val="-2"/>
          <w:szCs w:val="32"/>
          <w:rtl/>
          <w:lang w:bidi="ar-IQ"/>
        </w:rPr>
        <w:t>المادي؛</w:t>
      </w:r>
    </w:p>
    <w:p w:rsidR="007C7E97" w:rsidRPr="00A12AE6" w:rsidRDefault="0016094C" w:rsidP="00F70A90">
      <w:pPr>
        <w:pStyle w:val="BodyTextIndent"/>
        <w:spacing w:after="200" w:line="240" w:lineRule="auto"/>
        <w:ind w:left="1985" w:hanging="567"/>
        <w:rPr>
          <w:rtl/>
        </w:rPr>
      </w:pPr>
      <w:r w:rsidRPr="00A12AE6">
        <w:rPr>
          <w:rFonts w:hint="cs"/>
          <w:rtl/>
        </w:rPr>
        <w:lastRenderedPageBreak/>
        <w:t>(د)</w:t>
      </w:r>
      <w:r w:rsidR="00AA3576">
        <w:rPr>
          <w:rtl/>
        </w:rPr>
        <w:tab/>
      </w:r>
      <w:r w:rsidR="007C7E97" w:rsidRPr="00A12AE6">
        <w:rPr>
          <w:rFonts w:hint="cs"/>
          <w:rtl/>
        </w:rPr>
        <w:t>ضمان المساواة بين الجنسين في تخطيط تدابير الصون وإدارتها وتنفيذها</w:t>
      </w:r>
      <w:r w:rsidRPr="00A12AE6">
        <w:rPr>
          <w:rFonts w:hint="cs"/>
          <w:rtl/>
        </w:rPr>
        <w:t>، على جميع المستويات وفي كل السياقات، من أجل الاستفادة التامة من وجهات النظر المختلفة لجميع أفراد المجتمع.</w:t>
      </w:r>
    </w:p>
    <w:p w:rsidR="0016094C" w:rsidRPr="00A12AE6" w:rsidRDefault="0016094C" w:rsidP="00F70A90">
      <w:pPr>
        <w:bidi/>
        <w:spacing w:after="200" w:line="240" w:lineRule="auto"/>
        <w:ind w:left="1588" w:hanging="737"/>
        <w:jc w:val="both"/>
        <w:rPr>
          <w:rFonts w:ascii="Arial" w:hAnsi="Arial" w:cs="Traditional Arabic"/>
          <w:szCs w:val="32"/>
          <w:lang w:bidi="ar-IQ"/>
        </w:rPr>
      </w:pPr>
      <w:r w:rsidRPr="00AA3576">
        <w:rPr>
          <w:rFonts w:ascii="Arial" w:hAnsi="Arial" w:cs="Traditional Arabic" w:hint="cs"/>
          <w:b/>
          <w:bCs/>
          <w:szCs w:val="32"/>
          <w:rtl/>
          <w:lang w:bidi="ar-IQ"/>
        </w:rPr>
        <w:t>(جيم)</w:t>
      </w:r>
      <w:r w:rsidR="00AA3576" w:rsidRPr="00AA3576">
        <w:rPr>
          <w:rFonts w:ascii="Arial" w:hAnsi="Arial" w:cs="Traditional Arabic"/>
          <w:b/>
          <w:bCs/>
          <w:szCs w:val="32"/>
          <w:rtl/>
          <w:lang w:bidi="ar-IQ"/>
        </w:rPr>
        <w:tab/>
      </w:r>
      <w:r w:rsidR="00684172" w:rsidRPr="00A12AE6">
        <w:rPr>
          <w:rFonts w:ascii="Arial" w:hAnsi="Arial" w:cs="Traditional Arabic" w:hint="cs"/>
          <w:szCs w:val="32"/>
          <w:rtl/>
          <w:lang w:bidi="ar-IQ"/>
        </w:rPr>
        <w:t xml:space="preserve">هناك وثائق إضافية متاحة على الإنترنت </w:t>
      </w:r>
      <w:r w:rsidR="008E1364" w:rsidRPr="00A12AE6">
        <w:rPr>
          <w:rFonts w:ascii="Arial" w:hAnsi="Arial" w:cs="Traditional Arabic" w:hint="cs"/>
          <w:szCs w:val="32"/>
          <w:rtl/>
          <w:lang w:bidi="ar-IQ"/>
        </w:rPr>
        <w:t>تكشف تزايد اهتمام</w:t>
      </w:r>
      <w:r w:rsidR="008A49E0" w:rsidRPr="00A12AE6">
        <w:rPr>
          <w:rFonts w:ascii="Arial" w:hAnsi="Arial" w:cs="Traditional Arabic" w:hint="cs"/>
          <w:szCs w:val="32"/>
          <w:rtl/>
          <w:lang w:bidi="ar-IQ"/>
        </w:rPr>
        <w:t xml:space="preserve"> الدول الأطراف بقضايا الجنسين</w:t>
      </w:r>
      <w:r w:rsidR="008E1364" w:rsidRPr="00A12AE6">
        <w:rPr>
          <w:rFonts w:ascii="Arial" w:hAnsi="Arial" w:cs="Traditional Arabic" w:hint="cs"/>
          <w:szCs w:val="32"/>
          <w:rtl/>
          <w:lang w:bidi="ar-IQ"/>
        </w:rPr>
        <w:t xml:space="preserve"> واعتمادها مقاربات إيجابية في هذا المضمار، وتشم</w:t>
      </w:r>
      <w:bookmarkStart w:id="3" w:name="_GoBack"/>
      <w:bookmarkEnd w:id="3"/>
      <w:r w:rsidR="008E1364" w:rsidRPr="00A12AE6">
        <w:rPr>
          <w:rFonts w:ascii="Arial" w:hAnsi="Arial" w:cs="Traditional Arabic" w:hint="cs"/>
          <w:szCs w:val="32"/>
          <w:rtl/>
          <w:lang w:bidi="ar-IQ"/>
        </w:rPr>
        <w:t>ل: التقارير الدورية، والمذكرات، والترشيحات</w:t>
      </w:r>
      <w:r w:rsidR="008E1364" w:rsidRPr="00A12AE6">
        <w:rPr>
          <w:rStyle w:val="FootnoteReference"/>
          <w:rFonts w:ascii="Arial" w:hAnsi="Arial" w:cs="Traditional Arabic"/>
          <w:szCs w:val="32"/>
          <w:rtl/>
          <w:lang w:bidi="ar-IQ"/>
        </w:rPr>
        <w:footnoteReference w:id="1"/>
      </w:r>
      <w:r w:rsidR="00E46001" w:rsidRPr="00A12AE6">
        <w:rPr>
          <w:rFonts w:ascii="Arial" w:hAnsi="Arial" w:cs="Traditional Arabic" w:hint="cs"/>
          <w:szCs w:val="32"/>
          <w:rtl/>
          <w:lang w:bidi="ar-IQ"/>
        </w:rPr>
        <w:t>.</w:t>
      </w:r>
    </w:p>
    <w:sectPr w:rsidR="0016094C" w:rsidRPr="00A12AE6" w:rsidSect="00A12AE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2B2" w:rsidRDefault="006742B2" w:rsidP="006742B2">
      <w:pPr>
        <w:spacing w:after="0" w:line="240" w:lineRule="auto"/>
      </w:pPr>
      <w:r>
        <w:separator/>
      </w:r>
    </w:p>
  </w:endnote>
  <w:endnote w:type="continuationSeparator" w:id="0">
    <w:p w:rsidR="006742B2" w:rsidRDefault="006742B2" w:rsidP="0067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D057BD" w:rsidTr="00D057BD">
      <w:tc>
        <w:tcPr>
          <w:tcW w:w="1234" w:type="pct"/>
          <w:vAlign w:val="center"/>
          <w:hideMark/>
        </w:tcPr>
        <w:p w:rsidR="00D057BD" w:rsidRDefault="00D057BD" w:rsidP="00D057BD">
          <w:pPr>
            <w:pStyle w:val="Footer"/>
            <w:tabs>
              <w:tab w:val="right" w:pos="2018"/>
            </w:tabs>
          </w:pPr>
          <w:r>
            <w:rPr>
              <w:noProof/>
              <w:lang w:eastAsia="zh-TW"/>
            </w:rPr>
            <w:drawing>
              <wp:inline distT="0" distB="0" distL="0" distR="0">
                <wp:extent cx="1041400" cy="668020"/>
                <wp:effectExtent l="0" t="0" r="6350" b="0"/>
                <wp:docPr id="2"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668020"/>
                        </a:xfrm>
                        <a:prstGeom prst="rect">
                          <a:avLst/>
                        </a:prstGeom>
                        <a:noFill/>
                        <a:ln>
                          <a:noFill/>
                        </a:ln>
                      </pic:spPr>
                    </pic:pic>
                  </a:graphicData>
                </a:graphic>
              </wp:inline>
            </w:drawing>
          </w:r>
        </w:p>
      </w:tc>
      <w:tc>
        <w:tcPr>
          <w:tcW w:w="2506" w:type="pct"/>
          <w:vAlign w:val="bottom"/>
          <w:hideMark/>
        </w:tcPr>
        <w:p w:rsidR="00D057BD" w:rsidRDefault="000B77E5" w:rsidP="00D057BD">
          <w:pPr>
            <w:pStyle w:val="Footer"/>
            <w:bidi/>
            <w:jc w:val="center"/>
            <w:rPr>
              <w:lang w:val="en-US"/>
            </w:rPr>
          </w:pPr>
          <w:r>
            <w:rPr>
              <w:noProof/>
              <w:lang w:eastAsia="zh-TW"/>
            </w:rPr>
            <w:drawing>
              <wp:anchor distT="0" distB="0" distL="114300" distR="114300" simplePos="0" relativeHeight="251665408" behindDoc="0" locked="0" layoutInCell="1" allowOverlap="1" wp14:anchorId="4C389B61" wp14:editId="32ADAC75">
                <wp:simplePos x="0" y="0"/>
                <wp:positionH relativeFrom="column">
                  <wp:posOffset>1276350</wp:posOffset>
                </wp:positionH>
                <wp:positionV relativeFrom="paragraph">
                  <wp:posOffset>398145</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lang w:val="en-US"/>
            </w:rPr>
            <w:t xml:space="preserve"> </w:t>
          </w:r>
        </w:p>
      </w:tc>
      <w:tc>
        <w:tcPr>
          <w:tcW w:w="1260" w:type="pct"/>
          <w:vAlign w:val="bottom"/>
          <w:hideMark/>
        </w:tcPr>
        <w:p w:rsidR="00D057BD" w:rsidRDefault="00D057BD" w:rsidP="00D057BD">
          <w:pPr>
            <w:pStyle w:val="Footer"/>
            <w:jc w:val="right"/>
            <w:rPr>
              <w:rFonts w:asciiTheme="minorBidi" w:hAnsiTheme="minorBidi"/>
              <w:sz w:val="18"/>
              <w:szCs w:val="18"/>
              <w:lang w:val="en-US"/>
            </w:rPr>
          </w:pPr>
          <w:r>
            <w:rPr>
              <w:rFonts w:asciiTheme="minorBidi" w:hAnsiTheme="minorBidi"/>
              <w:sz w:val="18"/>
              <w:szCs w:val="18"/>
              <w:lang w:val="en-GB"/>
            </w:rPr>
            <w:t>U049-v1</w:t>
          </w:r>
          <w:r>
            <w:rPr>
              <w:rFonts w:asciiTheme="minorBidi" w:hAnsiTheme="minorBidi"/>
              <w:sz w:val="18"/>
              <w:szCs w:val="18"/>
            </w:rPr>
            <w:t>.0</w:t>
          </w:r>
          <w:r>
            <w:rPr>
              <w:rFonts w:asciiTheme="minorBidi" w:hAnsiTheme="minorBidi"/>
              <w:sz w:val="18"/>
              <w:szCs w:val="18"/>
              <w:lang w:val="en-GB"/>
            </w:rPr>
            <w:t>.HO1-AR</w:t>
          </w:r>
        </w:p>
      </w:tc>
    </w:tr>
  </w:tbl>
  <w:p w:rsidR="00D057BD" w:rsidRPr="00D057BD" w:rsidRDefault="00D057BD" w:rsidP="00D05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BC" w:rsidRPr="00A913BC" w:rsidRDefault="00F012CF" w:rsidP="00F012CF">
    <w:pPr>
      <w:pStyle w:val="Footer"/>
      <w:bidi/>
      <w:rPr>
        <w:rFonts w:ascii="Traditional Arabic" w:hAnsi="Traditional Arabic" w:cs="Traditional Arabic"/>
        <w:sz w:val="26"/>
        <w:szCs w:val="26"/>
        <w:rtl/>
        <w:lang w:bidi="ar-LB"/>
      </w:rPr>
    </w:pPr>
    <w:r w:rsidRPr="00F012CF">
      <w:t>U049-v1.0-HO1-</w:t>
    </w:r>
    <w:r>
      <w:t>AR</w:t>
    </w:r>
    <w:r w:rsidR="00A913BC">
      <w:rPr>
        <w:rFonts w:ascii="Traditional Arabic" w:hAnsi="Traditional Arabic" w:cs="Traditional Arabic"/>
        <w:sz w:val="26"/>
        <w:szCs w:val="26"/>
        <w:rtl/>
        <w:lang w:bidi="ar-LB"/>
      </w:rPr>
      <w:tab/>
    </w:r>
    <w:r w:rsidR="00A913BC" w:rsidRPr="00A913BC">
      <w:rPr>
        <w:rFonts w:ascii="Traditional Arabic" w:hAnsi="Traditional Arabic" w:cs="Traditional Arabic"/>
        <w:sz w:val="26"/>
        <w:szCs w:val="26"/>
        <w:rtl/>
        <w:lang w:bidi="ar-LB"/>
      </w:rPr>
      <w:t>©‏ اليونسكو - لا يجوز استنساخ هذه الوثيقة بدون إذن مسبق</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F70A90" w:rsidTr="00F70A90">
      <w:tc>
        <w:tcPr>
          <w:tcW w:w="1234" w:type="pct"/>
          <w:vAlign w:val="center"/>
          <w:hideMark/>
        </w:tcPr>
        <w:p w:rsidR="00F70A90" w:rsidRDefault="00F70A90" w:rsidP="00F70A90">
          <w:pPr>
            <w:pStyle w:val="Footer"/>
            <w:tabs>
              <w:tab w:val="right" w:pos="2018"/>
            </w:tabs>
          </w:pPr>
          <w:r>
            <w:rPr>
              <w:noProof/>
              <w:lang w:eastAsia="zh-TW"/>
            </w:rPr>
            <w:drawing>
              <wp:inline distT="0" distB="0" distL="0" distR="0">
                <wp:extent cx="1041400" cy="668020"/>
                <wp:effectExtent l="0" t="0" r="6350" b="0"/>
                <wp:docPr id="1" name="Image 1"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668020"/>
                        </a:xfrm>
                        <a:prstGeom prst="rect">
                          <a:avLst/>
                        </a:prstGeom>
                        <a:noFill/>
                        <a:ln>
                          <a:noFill/>
                        </a:ln>
                      </pic:spPr>
                    </pic:pic>
                  </a:graphicData>
                </a:graphic>
              </wp:inline>
            </w:drawing>
          </w:r>
        </w:p>
      </w:tc>
      <w:tc>
        <w:tcPr>
          <w:tcW w:w="2506" w:type="pct"/>
          <w:vAlign w:val="bottom"/>
          <w:hideMark/>
        </w:tcPr>
        <w:p w:rsidR="00F70A90" w:rsidRDefault="000B77E5" w:rsidP="00F70A90">
          <w:pPr>
            <w:pStyle w:val="Footer"/>
            <w:bidi/>
            <w:jc w:val="center"/>
            <w:rPr>
              <w:lang w:val="en-US"/>
            </w:rPr>
          </w:pPr>
          <w:r>
            <w:rPr>
              <w:noProof/>
              <w:lang w:eastAsia="zh-TW"/>
            </w:rPr>
            <w:drawing>
              <wp:anchor distT="0" distB="0" distL="114300" distR="114300" simplePos="0" relativeHeight="251663360" behindDoc="0" locked="0" layoutInCell="1" allowOverlap="1" wp14:anchorId="4C389B61" wp14:editId="32ADAC75">
                <wp:simplePos x="0" y="0"/>
                <wp:positionH relativeFrom="column">
                  <wp:posOffset>1419225</wp:posOffset>
                </wp:positionH>
                <wp:positionV relativeFrom="paragraph">
                  <wp:posOffset>26035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lang w:val="en-US"/>
            </w:rPr>
            <w:t xml:space="preserve"> </w:t>
          </w:r>
        </w:p>
      </w:tc>
      <w:tc>
        <w:tcPr>
          <w:tcW w:w="1260" w:type="pct"/>
          <w:vAlign w:val="bottom"/>
          <w:hideMark/>
        </w:tcPr>
        <w:p w:rsidR="00F70A90" w:rsidRDefault="00F70A90" w:rsidP="00F70A90">
          <w:pPr>
            <w:pStyle w:val="Footer"/>
            <w:jc w:val="right"/>
            <w:rPr>
              <w:rFonts w:asciiTheme="minorBidi" w:hAnsiTheme="minorBidi"/>
              <w:sz w:val="18"/>
              <w:szCs w:val="18"/>
              <w:lang w:val="en-US"/>
            </w:rPr>
          </w:pPr>
          <w:r>
            <w:rPr>
              <w:rFonts w:asciiTheme="minorBidi" w:hAnsiTheme="minorBidi"/>
              <w:sz w:val="18"/>
              <w:szCs w:val="18"/>
              <w:lang w:val="en-GB"/>
            </w:rPr>
            <w:t>U049-v1</w:t>
          </w:r>
          <w:r>
            <w:rPr>
              <w:rFonts w:asciiTheme="minorBidi" w:hAnsiTheme="minorBidi"/>
              <w:sz w:val="18"/>
              <w:szCs w:val="18"/>
            </w:rPr>
            <w:t>.0</w:t>
          </w:r>
          <w:r>
            <w:rPr>
              <w:rFonts w:asciiTheme="minorBidi" w:hAnsiTheme="minorBidi"/>
              <w:sz w:val="18"/>
              <w:szCs w:val="18"/>
              <w:lang w:val="en-GB"/>
            </w:rPr>
            <w:t>.HO1-AR</w:t>
          </w:r>
        </w:p>
      </w:tc>
    </w:tr>
  </w:tbl>
  <w:p w:rsidR="00F70A90" w:rsidRPr="00F70A90" w:rsidRDefault="00F70A90" w:rsidP="00F70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2B2" w:rsidRDefault="006742B2" w:rsidP="00691050">
      <w:pPr>
        <w:bidi/>
        <w:spacing w:after="0" w:line="240" w:lineRule="auto"/>
      </w:pPr>
      <w:r>
        <w:separator/>
      </w:r>
    </w:p>
  </w:footnote>
  <w:footnote w:type="continuationSeparator" w:id="0">
    <w:p w:rsidR="006742B2" w:rsidRDefault="006742B2" w:rsidP="006742B2">
      <w:pPr>
        <w:spacing w:after="0" w:line="240" w:lineRule="auto"/>
      </w:pPr>
      <w:r>
        <w:continuationSeparator/>
      </w:r>
    </w:p>
  </w:footnote>
  <w:footnote w:id="1">
    <w:p w:rsidR="008E1364" w:rsidRDefault="008E1364" w:rsidP="000167D5">
      <w:pPr>
        <w:pStyle w:val="FootnoteText"/>
        <w:bidi/>
        <w:spacing w:line="204" w:lineRule="auto"/>
        <w:ind w:left="284" w:hanging="284"/>
        <w:jc w:val="both"/>
        <w:rPr>
          <w:rFonts w:ascii="Traditional Arabic" w:hAnsi="Traditional Arabic"/>
          <w:sz w:val="28"/>
          <w:szCs w:val="28"/>
          <w:rtl/>
        </w:rPr>
      </w:pPr>
      <w:r w:rsidRPr="00691050">
        <w:rPr>
          <w:rStyle w:val="FootnoteReference"/>
          <w:rFonts w:ascii="Traditional Arabic" w:hAnsi="Traditional Arabic"/>
          <w:sz w:val="28"/>
          <w:szCs w:val="28"/>
        </w:rPr>
        <w:footnoteRef/>
      </w:r>
      <w:r w:rsidR="00691050">
        <w:rPr>
          <w:rFonts w:ascii="Traditional Arabic" w:hAnsi="Traditional Arabic"/>
          <w:sz w:val="28"/>
          <w:szCs w:val="28"/>
          <w:rtl/>
        </w:rPr>
        <w:tab/>
      </w:r>
      <w:r w:rsidR="00691050">
        <w:rPr>
          <w:rFonts w:ascii="Traditional Arabic" w:hAnsi="Traditional Arabic" w:hint="cs"/>
          <w:sz w:val="28"/>
          <w:szCs w:val="28"/>
          <w:rtl/>
        </w:rPr>
        <w:t>ا</w:t>
      </w:r>
      <w:r w:rsidR="00691050" w:rsidRPr="00691050">
        <w:rPr>
          <w:rFonts w:ascii="Traditional Arabic" w:hAnsi="Traditional Arabic"/>
          <w:sz w:val="28"/>
          <w:szCs w:val="28"/>
          <w:rtl/>
        </w:rPr>
        <w:t>نظر نماذج عن الترشيحات من ال</w:t>
      </w:r>
      <w:r w:rsidR="00691050">
        <w:rPr>
          <w:rFonts w:ascii="Traditional Arabic" w:hAnsi="Traditional Arabic"/>
          <w:sz w:val="28"/>
          <w:szCs w:val="28"/>
          <w:rtl/>
        </w:rPr>
        <w:t>يابان وجمهورية كوريا في الوثيقة</w:t>
      </w:r>
      <w:r w:rsidR="00691050" w:rsidRPr="00691050">
        <w:rPr>
          <w:rFonts w:ascii="Traditional Arabic" w:hAnsi="Traditional Arabic"/>
          <w:sz w:val="28"/>
          <w:szCs w:val="28"/>
          <w:rtl/>
        </w:rPr>
        <w:t xml:space="preserve">، ومن بوروندي والبرتغال في الوثيقة. </w:t>
      </w:r>
      <w:r w:rsidR="00691050">
        <w:rPr>
          <w:rFonts w:ascii="Traditional Arabic" w:hAnsi="Traditional Arabic" w:hint="cs"/>
          <w:sz w:val="28"/>
          <w:szCs w:val="28"/>
          <w:rtl/>
        </w:rPr>
        <w:t>ا</w:t>
      </w:r>
      <w:r w:rsidR="00691050" w:rsidRPr="00691050">
        <w:rPr>
          <w:rFonts w:ascii="Traditional Arabic" w:hAnsi="Traditional Arabic"/>
          <w:sz w:val="28"/>
          <w:szCs w:val="28"/>
          <w:rtl/>
        </w:rPr>
        <w:t>نظر أيضاً مذكرة عن استكمال الترشيحات للقائمة التمثيلية ولقائمة الصون العاجل مؤرخة في 23 تموز/يوليو 2014 (</w:t>
      </w:r>
      <w:r w:rsidR="00691050" w:rsidRPr="00691050">
        <w:rPr>
          <w:rFonts w:ascii="Traditional Arabic" w:hAnsi="Traditional Arabic" w:hint="cs"/>
          <w:sz w:val="28"/>
          <w:szCs w:val="28"/>
          <w:rtl/>
        </w:rPr>
        <w:t>إنجليزي</w:t>
      </w:r>
      <w:r w:rsidR="00691050" w:rsidRPr="00691050">
        <w:rPr>
          <w:rFonts w:ascii="Traditional Arabic" w:hAnsi="Traditional Arabic"/>
          <w:sz w:val="28"/>
          <w:szCs w:val="28"/>
          <w:rtl/>
        </w:rPr>
        <w:t xml:space="preserve">/فرنسي). </w:t>
      </w:r>
      <w:r w:rsidR="00691050">
        <w:rPr>
          <w:rFonts w:ascii="Traditional Arabic" w:hAnsi="Traditional Arabic" w:hint="cs"/>
          <w:sz w:val="28"/>
          <w:szCs w:val="28"/>
          <w:rtl/>
        </w:rPr>
        <w:t>ا</w:t>
      </w:r>
      <w:r w:rsidR="00691050" w:rsidRPr="00691050">
        <w:rPr>
          <w:rFonts w:ascii="Traditional Arabic" w:hAnsi="Traditional Arabic"/>
          <w:sz w:val="28"/>
          <w:szCs w:val="28"/>
          <w:rtl/>
        </w:rPr>
        <w:t>نظر أيضاً نماذج مختلفة من التقارير الدورية (من مصر والبرازيل وبوركينا فاسو وفيتنام وغيرها من البلدان) والتقارير المقدمة إلى اللجنة التي تتضمن نهجا يراعي قضايا الجنسين.</w:t>
      </w:r>
    </w:p>
    <w:p w:rsidR="00D057BD" w:rsidRDefault="00D057BD" w:rsidP="00D057BD">
      <w:pPr>
        <w:pStyle w:val="FootnoteText"/>
        <w:bidi/>
        <w:spacing w:line="204" w:lineRule="auto"/>
        <w:ind w:left="284" w:hanging="284"/>
        <w:jc w:val="both"/>
        <w:rPr>
          <w:rFonts w:ascii="Traditional Arabic" w:hAnsi="Traditional Arabic"/>
          <w:sz w:val="28"/>
          <w:szCs w:val="28"/>
          <w:rtl/>
        </w:rPr>
      </w:pPr>
    </w:p>
    <w:p w:rsidR="00D057BD" w:rsidRPr="00691050" w:rsidRDefault="00D057BD" w:rsidP="00D057BD">
      <w:pPr>
        <w:pStyle w:val="FootnoteText"/>
        <w:bidi/>
        <w:spacing w:line="204" w:lineRule="auto"/>
        <w:ind w:left="284" w:hanging="284"/>
        <w:jc w:val="both"/>
        <w:rPr>
          <w:rFonts w:ascii="Traditional Arabic" w:hAnsi="Traditional Arabic"/>
          <w:sz w:val="28"/>
          <w:szCs w:val="28"/>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3285"/>
      <w:gridCol w:w="3283"/>
    </w:tblGrid>
    <w:tr w:rsidR="00F70A90" w:rsidTr="00F70A90">
      <w:trPr>
        <w:jc w:val="center"/>
      </w:trPr>
      <w:tc>
        <w:tcPr>
          <w:tcW w:w="1667" w:type="pct"/>
        </w:tcPr>
        <w:p w:rsidR="00F70A90" w:rsidRDefault="00F70A90" w:rsidP="00F70A90">
          <w:pPr>
            <w:pStyle w:val="Header"/>
            <w:bidi/>
            <w:jc w:val="right"/>
            <w:rPr>
              <w:rFonts w:cs="Traditional Arabic"/>
              <w:sz w:val="18"/>
              <w:szCs w:val="24"/>
            </w:rPr>
          </w:pPr>
        </w:p>
      </w:tc>
      <w:tc>
        <w:tcPr>
          <w:tcW w:w="1667" w:type="pct"/>
          <w:hideMark/>
        </w:tcPr>
        <w:p w:rsidR="00F70A90" w:rsidRDefault="00F70A90" w:rsidP="00F70A90">
          <w:pPr>
            <w:pStyle w:val="Header"/>
            <w:jc w:val="center"/>
          </w:pPr>
          <w:r>
            <w:rPr>
              <w:rFonts w:eastAsia="Times New Roman" w:cs="Traditional Arabic"/>
              <w:kern w:val="36"/>
              <w:sz w:val="26"/>
              <w:szCs w:val="24"/>
              <w:rtl/>
              <w:lang w:eastAsia="en-GB" w:bidi="ar-MA"/>
            </w:rPr>
            <w:t>ورقة معدة للتوزيع</w:t>
          </w:r>
        </w:p>
      </w:tc>
      <w:tc>
        <w:tcPr>
          <w:tcW w:w="1667" w:type="pct"/>
        </w:tcPr>
        <w:p w:rsidR="00F70A90" w:rsidRPr="00F70A90" w:rsidRDefault="00F70A90" w:rsidP="00F70A90">
          <w:pPr>
            <w:pStyle w:val="Header"/>
            <w:jc w:val="right"/>
            <w:rPr>
              <w:rFonts w:asciiTheme="minorBidi" w:hAnsiTheme="minorBidi"/>
            </w:rPr>
          </w:pPr>
          <w:r w:rsidRPr="00F70A90">
            <w:rPr>
              <w:rFonts w:asciiTheme="minorBidi" w:hAnsiTheme="minorBidi"/>
            </w:rPr>
            <w:fldChar w:fldCharType="begin"/>
          </w:r>
          <w:r w:rsidRPr="00F70A90">
            <w:rPr>
              <w:rFonts w:asciiTheme="minorBidi" w:hAnsiTheme="minorBidi"/>
            </w:rPr>
            <w:instrText>PAGE   \* MERGEFORMAT</w:instrText>
          </w:r>
          <w:r w:rsidRPr="00F70A90">
            <w:rPr>
              <w:rFonts w:asciiTheme="minorBidi" w:hAnsiTheme="minorBidi"/>
            </w:rPr>
            <w:fldChar w:fldCharType="separate"/>
          </w:r>
          <w:r w:rsidR="000B77E5">
            <w:rPr>
              <w:rFonts w:asciiTheme="minorBidi" w:hAnsiTheme="minorBidi"/>
              <w:noProof/>
            </w:rPr>
            <w:t>2</w:t>
          </w:r>
          <w:r w:rsidRPr="00F70A90">
            <w:rPr>
              <w:rFonts w:asciiTheme="minorBidi" w:hAnsiTheme="minorBidi"/>
            </w:rPr>
            <w:fldChar w:fldCharType="end"/>
          </w:r>
        </w:p>
      </w:tc>
    </w:tr>
  </w:tbl>
  <w:p w:rsidR="00F70A90" w:rsidRPr="00F70A90" w:rsidRDefault="00F70A90" w:rsidP="00F70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CE" w:rsidRDefault="00BD7FCE" w:rsidP="00BD7FCE">
    <w:pPr>
      <w:pStyle w:val="Header"/>
      <w:jc w:val="center"/>
    </w:pPr>
    <w:r w:rsidRPr="00142CEC">
      <w:rPr>
        <w:rFonts w:eastAsia="Times New Roman" w:cs="Traditional Arabic" w:hint="cs"/>
        <w:kern w:val="36"/>
        <w:sz w:val="26"/>
        <w:szCs w:val="24"/>
        <w:rtl/>
        <w:lang w:eastAsia="en-GB" w:bidi="ar-MA"/>
      </w:rPr>
      <w:t>ورقة</w:t>
    </w:r>
    <w:r w:rsidRPr="00142CEC">
      <w:rPr>
        <w:rFonts w:eastAsia="Times New Roman" w:cs="Traditional Arabic"/>
        <w:kern w:val="36"/>
        <w:sz w:val="26"/>
        <w:szCs w:val="24"/>
        <w:rtl/>
        <w:lang w:eastAsia="en-GB" w:bidi="ar-MA"/>
      </w:rPr>
      <w:t xml:space="preserve"> </w:t>
    </w:r>
    <w:r w:rsidRPr="00142CEC">
      <w:rPr>
        <w:rFonts w:eastAsia="Times New Roman" w:cs="Traditional Arabic" w:hint="cs"/>
        <w:kern w:val="36"/>
        <w:sz w:val="26"/>
        <w:szCs w:val="24"/>
        <w:rtl/>
        <w:lang w:eastAsia="en-GB" w:bidi="ar-MA"/>
      </w:rPr>
      <w:t>معدة</w:t>
    </w:r>
    <w:r w:rsidRPr="00142CEC">
      <w:rPr>
        <w:rFonts w:eastAsia="Times New Roman" w:cs="Traditional Arabic"/>
        <w:kern w:val="36"/>
        <w:sz w:val="26"/>
        <w:szCs w:val="24"/>
        <w:rtl/>
        <w:lang w:eastAsia="en-GB" w:bidi="ar-MA"/>
      </w:rPr>
      <w:t xml:space="preserve"> </w:t>
    </w:r>
    <w:r w:rsidRPr="00142CEC">
      <w:rPr>
        <w:rFonts w:eastAsia="Times New Roman" w:cs="Traditional Arabic" w:hint="cs"/>
        <w:kern w:val="36"/>
        <w:sz w:val="26"/>
        <w:szCs w:val="24"/>
        <w:rtl/>
        <w:lang w:eastAsia="en-GB" w:bidi="ar-MA"/>
      </w:rPr>
      <w:t>للتوزيع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3285"/>
      <w:gridCol w:w="3283"/>
    </w:tblGrid>
    <w:tr w:rsidR="00F70A90" w:rsidTr="00F70A90">
      <w:trPr>
        <w:jc w:val="center"/>
      </w:trPr>
      <w:tc>
        <w:tcPr>
          <w:tcW w:w="1667" w:type="pct"/>
        </w:tcPr>
        <w:p w:rsidR="00F70A90" w:rsidRDefault="00F70A90" w:rsidP="00F70A90">
          <w:pPr>
            <w:pStyle w:val="Header"/>
            <w:tabs>
              <w:tab w:val="clear" w:pos="4536"/>
              <w:tab w:val="clear" w:pos="9072"/>
            </w:tabs>
            <w:bidi/>
            <w:jc w:val="right"/>
            <w:rPr>
              <w:rFonts w:cs="Traditional Arabic"/>
              <w:sz w:val="18"/>
              <w:szCs w:val="24"/>
            </w:rPr>
          </w:pPr>
        </w:p>
      </w:tc>
      <w:tc>
        <w:tcPr>
          <w:tcW w:w="1667" w:type="pct"/>
          <w:hideMark/>
        </w:tcPr>
        <w:p w:rsidR="00F70A90" w:rsidRDefault="00F70A90" w:rsidP="00F70A90">
          <w:pPr>
            <w:pStyle w:val="Header"/>
            <w:tabs>
              <w:tab w:val="clear" w:pos="4536"/>
              <w:tab w:val="clear" w:pos="9072"/>
            </w:tabs>
            <w:jc w:val="center"/>
          </w:pPr>
          <w:r>
            <w:rPr>
              <w:rFonts w:eastAsia="Times New Roman" w:cs="Traditional Arabic"/>
              <w:kern w:val="36"/>
              <w:sz w:val="26"/>
              <w:szCs w:val="24"/>
              <w:rtl/>
              <w:lang w:eastAsia="en-GB" w:bidi="ar-MA"/>
            </w:rPr>
            <w:t>ورقة معدة للتوزيع</w:t>
          </w:r>
        </w:p>
      </w:tc>
      <w:tc>
        <w:tcPr>
          <w:tcW w:w="1667" w:type="pct"/>
        </w:tcPr>
        <w:p w:rsidR="00F70A90" w:rsidRDefault="00F70A90" w:rsidP="00F70A90">
          <w:pPr>
            <w:pStyle w:val="Header"/>
            <w:tabs>
              <w:tab w:val="clear" w:pos="4536"/>
              <w:tab w:val="clear" w:pos="9072"/>
            </w:tabs>
            <w:jc w:val="right"/>
            <w:rPr>
              <w:rFonts w:cs="Traditional Arabic"/>
              <w:sz w:val="18"/>
              <w:szCs w:val="24"/>
            </w:rPr>
          </w:pPr>
        </w:p>
      </w:tc>
    </w:tr>
  </w:tbl>
  <w:p w:rsidR="00F70A90" w:rsidRDefault="00F70A90" w:rsidP="00F70A90">
    <w:pPr>
      <w:pStyle w:val="Header"/>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4D14"/>
    <w:multiLevelType w:val="hybridMultilevel"/>
    <w:tmpl w:val="A384A166"/>
    <w:lvl w:ilvl="0" w:tplc="69CE9D24">
      <w:start w:val="1"/>
      <w:numFmt w:val="arabicAlpha"/>
      <w:lvlText w:val="(%1)"/>
      <w:lvlJc w:val="left"/>
      <w:pPr>
        <w:ind w:left="2844" w:hanging="720"/>
      </w:pPr>
      <w:rPr>
        <w:rFonts w:ascii="Traditional Arabic" w:eastAsiaTheme="minorHAnsi" w:hAnsi="Traditional Arabic" w:cs="Traditional Arabic"/>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15:restartNumberingAfterBreak="0">
    <w:nsid w:val="10682BFF"/>
    <w:multiLevelType w:val="hybridMultilevel"/>
    <w:tmpl w:val="6DBAE596"/>
    <w:lvl w:ilvl="0" w:tplc="2D8E1A6C">
      <w:start w:val="1"/>
      <w:numFmt w:val="arabicAbjad"/>
      <w:lvlText w:val="%1."/>
      <w:lvlJc w:val="left"/>
      <w:pPr>
        <w:ind w:left="2844" w:hanging="720"/>
      </w:pPr>
      <w:rPr>
        <w:rFonts w:ascii="Traditional Arabic" w:eastAsiaTheme="minorHAnsi" w:hAnsi="Traditional Arabic" w:cs="Traditional Arabic"/>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15:restartNumberingAfterBreak="0">
    <w:nsid w:val="28AB546C"/>
    <w:multiLevelType w:val="hybridMultilevel"/>
    <w:tmpl w:val="263890AC"/>
    <w:lvl w:ilvl="0" w:tplc="07E2E386">
      <w:start w:val="1"/>
      <w:numFmt w:val="arabicAlpha"/>
      <w:lvlText w:val="(%1)"/>
      <w:lvlJc w:val="left"/>
      <w:pPr>
        <w:ind w:left="2844" w:hanging="72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15:restartNumberingAfterBreak="0">
    <w:nsid w:val="4E5B33D1"/>
    <w:multiLevelType w:val="hybridMultilevel"/>
    <w:tmpl w:val="EAE4ABF8"/>
    <w:lvl w:ilvl="0" w:tplc="D90AD59C">
      <w:start w:val="1"/>
      <w:numFmt w:val="arabicAlpha"/>
      <w:lvlText w:val="(%1)"/>
      <w:lvlJc w:val="left"/>
      <w:pPr>
        <w:ind w:left="2844" w:hanging="720"/>
      </w:pPr>
      <w:rPr>
        <w:rFonts w:ascii="Traditional Arabic" w:eastAsiaTheme="minorHAnsi" w:hAnsi="Traditional Arabic" w:cs="Traditional Arabic"/>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 w15:restartNumberingAfterBreak="0">
    <w:nsid w:val="61D872D5"/>
    <w:multiLevelType w:val="hybridMultilevel"/>
    <w:tmpl w:val="07C2E960"/>
    <w:lvl w:ilvl="0" w:tplc="BD1099F6">
      <w:start w:val="8"/>
      <w:numFmt w:val="arabicAlpha"/>
      <w:lvlText w:val="(%1)"/>
      <w:lvlJc w:val="left"/>
      <w:pPr>
        <w:ind w:left="3564" w:hanging="720"/>
      </w:pPr>
      <w:rPr>
        <w:rFonts w:hint="default"/>
      </w:rPr>
    </w:lvl>
    <w:lvl w:ilvl="1" w:tplc="040C0019" w:tentative="1">
      <w:start w:val="1"/>
      <w:numFmt w:val="lowerLetter"/>
      <w:lvlText w:val="%2."/>
      <w:lvlJc w:val="left"/>
      <w:pPr>
        <w:ind w:left="3924" w:hanging="360"/>
      </w:pPr>
    </w:lvl>
    <w:lvl w:ilvl="2" w:tplc="040C001B" w:tentative="1">
      <w:start w:val="1"/>
      <w:numFmt w:val="lowerRoman"/>
      <w:lvlText w:val="%3."/>
      <w:lvlJc w:val="right"/>
      <w:pPr>
        <w:ind w:left="4644" w:hanging="180"/>
      </w:pPr>
    </w:lvl>
    <w:lvl w:ilvl="3" w:tplc="040C000F" w:tentative="1">
      <w:start w:val="1"/>
      <w:numFmt w:val="decimal"/>
      <w:lvlText w:val="%4."/>
      <w:lvlJc w:val="left"/>
      <w:pPr>
        <w:ind w:left="5364" w:hanging="360"/>
      </w:pPr>
    </w:lvl>
    <w:lvl w:ilvl="4" w:tplc="040C0019" w:tentative="1">
      <w:start w:val="1"/>
      <w:numFmt w:val="lowerLetter"/>
      <w:lvlText w:val="%5."/>
      <w:lvlJc w:val="left"/>
      <w:pPr>
        <w:ind w:left="6084" w:hanging="360"/>
      </w:pPr>
    </w:lvl>
    <w:lvl w:ilvl="5" w:tplc="040C001B" w:tentative="1">
      <w:start w:val="1"/>
      <w:numFmt w:val="lowerRoman"/>
      <w:lvlText w:val="%6."/>
      <w:lvlJc w:val="right"/>
      <w:pPr>
        <w:ind w:left="6804" w:hanging="180"/>
      </w:pPr>
    </w:lvl>
    <w:lvl w:ilvl="6" w:tplc="040C000F" w:tentative="1">
      <w:start w:val="1"/>
      <w:numFmt w:val="decimal"/>
      <w:lvlText w:val="%7."/>
      <w:lvlJc w:val="left"/>
      <w:pPr>
        <w:ind w:left="7524" w:hanging="360"/>
      </w:pPr>
    </w:lvl>
    <w:lvl w:ilvl="7" w:tplc="040C0019" w:tentative="1">
      <w:start w:val="1"/>
      <w:numFmt w:val="lowerLetter"/>
      <w:lvlText w:val="%8."/>
      <w:lvlJc w:val="left"/>
      <w:pPr>
        <w:ind w:left="8244" w:hanging="360"/>
      </w:pPr>
    </w:lvl>
    <w:lvl w:ilvl="8" w:tplc="040C001B" w:tentative="1">
      <w:start w:val="1"/>
      <w:numFmt w:val="lowerRoman"/>
      <w:lvlText w:val="%9."/>
      <w:lvlJc w:val="right"/>
      <w:pPr>
        <w:ind w:left="8964" w:hanging="180"/>
      </w:pPr>
    </w:lvl>
  </w:abstractNum>
  <w:abstractNum w:abstractNumId="5" w15:restartNumberingAfterBreak="0">
    <w:nsid w:val="67974861"/>
    <w:multiLevelType w:val="hybridMultilevel"/>
    <w:tmpl w:val="C9BA7786"/>
    <w:lvl w:ilvl="0" w:tplc="DCA42814">
      <w:start w:val="8"/>
      <w:numFmt w:val="arabicAlpha"/>
      <w:lvlText w:val="(%1)"/>
      <w:lvlJc w:val="left"/>
      <w:pPr>
        <w:ind w:left="2844" w:hanging="72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 w15:restartNumberingAfterBreak="0">
    <w:nsid w:val="77110E78"/>
    <w:multiLevelType w:val="hybridMultilevel"/>
    <w:tmpl w:val="F29263B8"/>
    <w:lvl w:ilvl="0" w:tplc="0FC2E544">
      <w:start w:val="8"/>
      <w:numFmt w:val="arabicAlpha"/>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7C592DEB"/>
    <w:multiLevelType w:val="hybridMultilevel"/>
    <w:tmpl w:val="8184042E"/>
    <w:lvl w:ilvl="0" w:tplc="DFBCADAA">
      <w:start w:val="1"/>
      <w:numFmt w:val="arabicAbjad"/>
      <w:lvlText w:val="%1."/>
      <w:lvlJc w:val="left"/>
      <w:pPr>
        <w:ind w:left="29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24"/>
    <w:rsid w:val="000167D5"/>
    <w:rsid w:val="00051EEC"/>
    <w:rsid w:val="00096AB0"/>
    <w:rsid w:val="000B77E5"/>
    <w:rsid w:val="0016094C"/>
    <w:rsid w:val="0018413A"/>
    <w:rsid w:val="001B3D90"/>
    <w:rsid w:val="003266E0"/>
    <w:rsid w:val="00362BAB"/>
    <w:rsid w:val="003E36B8"/>
    <w:rsid w:val="004058C2"/>
    <w:rsid w:val="005B7AE2"/>
    <w:rsid w:val="005F3CAC"/>
    <w:rsid w:val="00637FF4"/>
    <w:rsid w:val="006605ED"/>
    <w:rsid w:val="006742B2"/>
    <w:rsid w:val="00684172"/>
    <w:rsid w:val="00691050"/>
    <w:rsid w:val="007A005D"/>
    <w:rsid w:val="007C7E97"/>
    <w:rsid w:val="00805824"/>
    <w:rsid w:val="008479B1"/>
    <w:rsid w:val="00887159"/>
    <w:rsid w:val="008A49E0"/>
    <w:rsid w:val="008E1364"/>
    <w:rsid w:val="008F6D91"/>
    <w:rsid w:val="00A12AE6"/>
    <w:rsid w:val="00A913BC"/>
    <w:rsid w:val="00AA3576"/>
    <w:rsid w:val="00AE154A"/>
    <w:rsid w:val="00B467C0"/>
    <w:rsid w:val="00B6041F"/>
    <w:rsid w:val="00BA5FFE"/>
    <w:rsid w:val="00BD7FCE"/>
    <w:rsid w:val="00C65599"/>
    <w:rsid w:val="00CD6261"/>
    <w:rsid w:val="00D057BD"/>
    <w:rsid w:val="00D33E9A"/>
    <w:rsid w:val="00DE131D"/>
    <w:rsid w:val="00E46001"/>
    <w:rsid w:val="00E66287"/>
    <w:rsid w:val="00E751D1"/>
    <w:rsid w:val="00F012CF"/>
    <w:rsid w:val="00F0439E"/>
    <w:rsid w:val="00F27CA5"/>
    <w:rsid w:val="00F328B2"/>
    <w:rsid w:val="00F70A90"/>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96509-4F82-4576-8E54-99F03075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F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42B2"/>
    <w:pPr>
      <w:spacing w:after="0" w:line="240" w:lineRule="auto"/>
    </w:pPr>
    <w:rPr>
      <w:rFonts w:ascii="Arial" w:hAnsi="Arial" w:cs="Traditional Arabic"/>
      <w:sz w:val="20"/>
      <w:szCs w:val="20"/>
    </w:rPr>
  </w:style>
  <w:style w:type="character" w:customStyle="1" w:styleId="FootnoteTextChar">
    <w:name w:val="Footnote Text Char"/>
    <w:basedOn w:val="DefaultParagraphFont"/>
    <w:link w:val="FootnoteText"/>
    <w:uiPriority w:val="99"/>
    <w:semiHidden/>
    <w:rsid w:val="006742B2"/>
    <w:rPr>
      <w:rFonts w:ascii="Arial" w:hAnsi="Arial" w:cs="Traditional Arabic"/>
      <w:sz w:val="20"/>
      <w:szCs w:val="20"/>
    </w:rPr>
  </w:style>
  <w:style w:type="character" w:styleId="FootnoteReference">
    <w:name w:val="footnote reference"/>
    <w:basedOn w:val="DefaultParagraphFont"/>
    <w:uiPriority w:val="99"/>
    <w:semiHidden/>
    <w:unhideWhenUsed/>
    <w:rsid w:val="006742B2"/>
    <w:rPr>
      <w:vertAlign w:val="superscript"/>
    </w:rPr>
  </w:style>
  <w:style w:type="paragraph" w:styleId="ListParagraph">
    <w:name w:val="List Paragraph"/>
    <w:basedOn w:val="Normal"/>
    <w:uiPriority w:val="34"/>
    <w:qFormat/>
    <w:rsid w:val="006742B2"/>
    <w:pPr>
      <w:ind w:left="720"/>
      <w:contextualSpacing/>
    </w:pPr>
  </w:style>
  <w:style w:type="paragraph" w:styleId="Header">
    <w:name w:val="header"/>
    <w:basedOn w:val="Normal"/>
    <w:link w:val="HeaderChar"/>
    <w:uiPriority w:val="99"/>
    <w:unhideWhenUsed/>
    <w:rsid w:val="00BD7F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FCE"/>
  </w:style>
  <w:style w:type="paragraph" w:styleId="Footer">
    <w:name w:val="footer"/>
    <w:basedOn w:val="Normal"/>
    <w:link w:val="FooterChar"/>
    <w:unhideWhenUsed/>
    <w:rsid w:val="00BD7FCE"/>
    <w:pPr>
      <w:tabs>
        <w:tab w:val="center" w:pos="4536"/>
        <w:tab w:val="right" w:pos="9072"/>
      </w:tabs>
      <w:spacing w:after="0" w:line="240" w:lineRule="auto"/>
    </w:pPr>
  </w:style>
  <w:style w:type="character" w:customStyle="1" w:styleId="FooterChar">
    <w:name w:val="Footer Char"/>
    <w:basedOn w:val="DefaultParagraphFont"/>
    <w:link w:val="Footer"/>
    <w:rsid w:val="00BD7FCE"/>
  </w:style>
  <w:style w:type="paragraph" w:customStyle="1" w:styleId="Chapitre">
    <w:name w:val="Chapitre"/>
    <w:basedOn w:val="Heading1"/>
    <w:link w:val="ChapitreCar"/>
    <w:rsid w:val="00BD7FCE"/>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BD7FCE"/>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BD7FCE"/>
    <w:rPr>
      <w:rFonts w:asciiTheme="majorHAnsi" w:eastAsiaTheme="majorEastAsia" w:hAnsiTheme="majorHAnsi" w:cstheme="majorBidi"/>
      <w:color w:val="2E74B5" w:themeColor="accent1" w:themeShade="BF"/>
      <w:sz w:val="32"/>
      <w:szCs w:val="32"/>
    </w:rPr>
  </w:style>
  <w:style w:type="paragraph" w:customStyle="1" w:styleId="HO2">
    <w:name w:val="HO2"/>
    <w:basedOn w:val="Normal"/>
    <w:link w:val="HO2Car"/>
    <w:rsid w:val="00BD7FCE"/>
    <w:pPr>
      <w:keepNext/>
      <w:keepLines/>
      <w:tabs>
        <w:tab w:val="left" w:pos="567"/>
      </w:tabs>
      <w:snapToGrid w:val="0"/>
      <w:spacing w:after="480" w:line="480" w:lineRule="exact"/>
      <w:outlineLvl w:val="0"/>
    </w:pPr>
    <w:rPr>
      <w:rFonts w:ascii="Arial" w:eastAsia="Times New Roman" w:hAnsi="Arial" w:cs="Arial"/>
      <w:b/>
      <w:bCs/>
      <w:caps/>
      <w:noProof/>
      <w:snapToGrid w:val="0"/>
      <w:color w:val="3366FF"/>
      <w:kern w:val="28"/>
      <w:sz w:val="32"/>
      <w:szCs w:val="32"/>
      <w:lang w:val="en-US" w:eastAsia="zh-CN"/>
    </w:rPr>
  </w:style>
  <w:style w:type="character" w:customStyle="1" w:styleId="HO2Car">
    <w:name w:val="HO2 Car"/>
    <w:basedOn w:val="DefaultParagraphFont"/>
    <w:link w:val="HO2"/>
    <w:rsid w:val="00BD7FCE"/>
    <w:rPr>
      <w:rFonts w:ascii="Arial" w:eastAsia="Times New Roman" w:hAnsi="Arial" w:cs="Arial"/>
      <w:b/>
      <w:bCs/>
      <w:caps/>
      <w:noProof/>
      <w:snapToGrid w:val="0"/>
      <w:color w:val="3366FF"/>
      <w:kern w:val="28"/>
      <w:sz w:val="32"/>
      <w:szCs w:val="32"/>
      <w:lang w:val="en-US" w:eastAsia="zh-CN"/>
    </w:rPr>
  </w:style>
  <w:style w:type="paragraph" w:styleId="BodyTextIndent">
    <w:name w:val="Body Text Indent"/>
    <w:basedOn w:val="Normal"/>
    <w:link w:val="BodyTextIndentChar"/>
    <w:uiPriority w:val="99"/>
    <w:unhideWhenUsed/>
    <w:rsid w:val="00A12AE6"/>
    <w:pPr>
      <w:bidi/>
      <w:ind w:left="850"/>
      <w:jc w:val="both"/>
    </w:pPr>
    <w:rPr>
      <w:rFonts w:ascii="Arial" w:hAnsi="Arial" w:cs="Traditional Arabic"/>
      <w:szCs w:val="32"/>
      <w:lang w:bidi="ar-IQ"/>
    </w:rPr>
  </w:style>
  <w:style w:type="character" w:customStyle="1" w:styleId="BodyTextIndentChar">
    <w:name w:val="Body Text Indent Char"/>
    <w:basedOn w:val="DefaultParagraphFont"/>
    <w:link w:val="BodyTextIndent"/>
    <w:uiPriority w:val="99"/>
    <w:rsid w:val="00A12AE6"/>
    <w:rPr>
      <w:rFonts w:ascii="Arial" w:hAnsi="Arial" w:cs="Traditional Arabic"/>
      <w:szCs w:val="32"/>
      <w:lang w:bidi="ar-IQ"/>
    </w:rPr>
  </w:style>
  <w:style w:type="table" w:styleId="TableGrid">
    <w:name w:val="Table Grid"/>
    <w:basedOn w:val="TableNormal"/>
    <w:rsid w:val="00F70A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599"/>
    <w:rPr>
      <w:rFonts w:ascii="Tahoma" w:hAnsi="Tahoma" w:cs="Tahoma"/>
      <w:sz w:val="16"/>
      <w:szCs w:val="16"/>
    </w:rPr>
  </w:style>
  <w:style w:type="character" w:styleId="Hyperlink">
    <w:name w:val="Hyperlink"/>
    <w:basedOn w:val="DefaultParagraphFont"/>
    <w:uiPriority w:val="99"/>
    <w:unhideWhenUsed/>
    <w:rsid w:val="00C65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3088">
      <w:bodyDiv w:val="1"/>
      <w:marLeft w:val="0"/>
      <w:marRight w:val="0"/>
      <w:marTop w:val="0"/>
      <w:marBottom w:val="0"/>
      <w:divBdr>
        <w:top w:val="none" w:sz="0" w:space="0" w:color="auto"/>
        <w:left w:val="none" w:sz="0" w:space="0" w:color="auto"/>
        <w:bottom w:val="none" w:sz="0" w:space="0" w:color="auto"/>
        <w:right w:val="none" w:sz="0" w:space="0" w:color="auto"/>
      </w:divBdr>
    </w:div>
    <w:div w:id="810706150">
      <w:bodyDiv w:val="1"/>
      <w:marLeft w:val="0"/>
      <w:marRight w:val="0"/>
      <w:marTop w:val="0"/>
      <w:marBottom w:val="0"/>
      <w:divBdr>
        <w:top w:val="none" w:sz="0" w:space="0" w:color="auto"/>
        <w:left w:val="none" w:sz="0" w:space="0" w:color="auto"/>
        <w:bottom w:val="none" w:sz="0" w:space="0" w:color="auto"/>
        <w:right w:val="none" w:sz="0" w:space="0" w:color="auto"/>
      </w:divBdr>
    </w:div>
    <w:div w:id="1853915134">
      <w:bodyDiv w:val="1"/>
      <w:marLeft w:val="0"/>
      <w:marRight w:val="0"/>
      <w:marTop w:val="0"/>
      <w:marBottom w:val="0"/>
      <w:divBdr>
        <w:top w:val="none" w:sz="0" w:space="0" w:color="auto"/>
        <w:left w:val="none" w:sz="0" w:space="0" w:color="auto"/>
        <w:bottom w:val="none" w:sz="0" w:space="0" w:color="auto"/>
        <w:right w:val="none" w:sz="0" w:space="0" w:color="auto"/>
      </w:divBdr>
    </w:div>
    <w:div w:id="21444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D082-1EE6-4FD2-948E-E94B0960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272</Words>
  <Characters>1501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Kaddoura, Maha</dc:creator>
  <cp:lastModifiedBy>Kim, Dain</cp:lastModifiedBy>
  <cp:revision>11</cp:revision>
  <dcterms:created xsi:type="dcterms:W3CDTF">2016-04-29T14:41:00Z</dcterms:created>
  <dcterms:modified xsi:type="dcterms:W3CDTF">2018-04-20T12:30:00Z</dcterms:modified>
</cp:coreProperties>
</file>