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3C4B4" w14:textId="77777777" w:rsidR="0016699B" w:rsidRPr="004168F3" w:rsidRDefault="0016699B" w:rsidP="0016699B">
      <w:pPr>
        <w:pStyle w:val="Chapitre"/>
        <w:spacing w:before="0" w:after="0" w:line="240" w:lineRule="auto"/>
        <w:rPr>
          <w:kern w:val="0"/>
        </w:rPr>
      </w:pPr>
      <w:r w:rsidRPr="004168F3">
        <w:rPr>
          <w:kern w:val="0"/>
        </w:rPr>
        <w:t xml:space="preserve">UNIt </w:t>
      </w:r>
      <w:r w:rsidR="00A80DCA" w:rsidRPr="004168F3">
        <w:rPr>
          <w:kern w:val="0"/>
        </w:rPr>
        <w:t>58</w:t>
      </w:r>
    </w:p>
    <w:p w14:paraId="219E1D69" w14:textId="77777777" w:rsidR="00A80DCA" w:rsidRDefault="004168F3" w:rsidP="00A80DCA">
      <w:pPr>
        <w:pStyle w:val="HO1"/>
      </w:pPr>
      <w:r>
        <w:t>Hand</w:t>
      </w:r>
      <w:r w:rsidR="00A80DCA">
        <w:t>out 4:</w:t>
      </w:r>
    </w:p>
    <w:p w14:paraId="49DB0DE6" w14:textId="77777777" w:rsidR="00755193" w:rsidRPr="00A80DCA" w:rsidRDefault="00A80DCA" w:rsidP="00A80DCA">
      <w:pPr>
        <w:pStyle w:val="HO1"/>
        <w:spacing w:before="0" w:after="240"/>
        <w:rPr>
          <w:caps/>
        </w:rPr>
      </w:pPr>
      <w:r>
        <w:rPr>
          <w:caps/>
        </w:rPr>
        <w:t>weightings</w:t>
      </w:r>
    </w:p>
    <w:p w14:paraId="73B118B4" w14:textId="77777777" w:rsidR="00E004E6" w:rsidRPr="00A80DCA" w:rsidRDefault="00E004E6" w:rsidP="0016699B">
      <w:pPr>
        <w:rPr>
          <w:rFonts w:ascii="Arial" w:hAnsi="Arial" w:cs="Arial"/>
          <w:b/>
          <w:bCs/>
          <w:sz w:val="20"/>
          <w:szCs w:val="20"/>
        </w:rPr>
      </w:pPr>
      <w:r w:rsidRPr="00A80DCA">
        <w:rPr>
          <w:rFonts w:ascii="Arial" w:hAnsi="Arial" w:cs="Arial"/>
          <w:b/>
          <w:bCs/>
          <w:sz w:val="20"/>
          <w:szCs w:val="20"/>
        </w:rPr>
        <w:t>Indicator 1</w:t>
      </w:r>
      <w:r w:rsidR="0058176C" w:rsidRPr="00A80DCA">
        <w:rPr>
          <w:rFonts w:ascii="Arial" w:hAnsi="Arial" w:cs="Arial"/>
          <w:b/>
          <w:bCs/>
          <w:sz w:val="20"/>
          <w:szCs w:val="20"/>
        </w:rPr>
        <w:t xml:space="preserve">:  </w:t>
      </w:r>
      <w:r w:rsidR="0058176C" w:rsidRPr="00A80DCA">
        <w:rPr>
          <w:rFonts w:ascii="Arial" w:eastAsia="Calibri" w:hAnsi="Arial" w:cs="Arial"/>
          <w:b/>
          <w:bCs/>
          <w:sz w:val="20"/>
          <w:szCs w:val="20"/>
        </w:rPr>
        <w:t>Extent to which competent bodies and institutions and consultative mechanisms support the continued practice and transmission of ICH.</w:t>
      </w:r>
    </w:p>
    <w:tbl>
      <w:tblPr>
        <w:tblStyle w:val="TableGrid"/>
        <w:tblW w:w="3822" w:type="pct"/>
        <w:tblLook w:val="04A0" w:firstRow="1" w:lastRow="0" w:firstColumn="1" w:lastColumn="0" w:noHBand="0" w:noVBand="1"/>
      </w:tblPr>
      <w:tblGrid>
        <w:gridCol w:w="5498"/>
        <w:gridCol w:w="1394"/>
      </w:tblGrid>
      <w:tr w:rsidR="00E004E6" w:rsidRPr="00A80DCA" w14:paraId="2BF30E40" w14:textId="77777777" w:rsidTr="00B97A84">
        <w:trPr>
          <w:cantSplit/>
        </w:trPr>
        <w:tc>
          <w:tcPr>
            <w:tcW w:w="3989" w:type="pct"/>
            <w:tcBorders>
              <w:top w:val="single" w:sz="24" w:space="0" w:color="auto"/>
            </w:tcBorders>
          </w:tcPr>
          <w:p w14:paraId="6C0D9DA9" w14:textId="77777777" w:rsidR="00E004E6" w:rsidRPr="00A80DCA" w:rsidRDefault="00E004E6" w:rsidP="00E004E6">
            <w:pPr>
              <w:numPr>
                <w:ilvl w:val="1"/>
                <w:numId w:val="1"/>
              </w:numPr>
              <w:spacing w:before="60" w:after="60"/>
              <w:ind w:left="567" w:hanging="567"/>
              <w:jc w:val="both"/>
              <w:rPr>
                <w:rFonts w:ascii="Arial" w:eastAsia="Calibri" w:hAnsi="Arial" w:cs="Arial"/>
                <w:vanish/>
                <w:lang w:val="en-GB" w:eastAsia="en-US"/>
              </w:rPr>
            </w:pPr>
            <w:r w:rsidRPr="00A80DCA">
              <w:rPr>
                <w:rFonts w:ascii="Arial" w:eastAsia="Calibri" w:hAnsi="Arial" w:cs="Arial"/>
                <w:lang w:val="en-GB" w:eastAsia="en-US"/>
              </w:rPr>
              <w:t>One or more competent bodies for ICH safeguarding have been designated or established.</w:t>
            </w:r>
          </w:p>
        </w:tc>
        <w:tc>
          <w:tcPr>
            <w:tcW w:w="1011" w:type="pct"/>
            <w:tcBorders>
              <w:top w:val="single" w:sz="24" w:space="0" w:color="auto"/>
            </w:tcBorders>
            <w:vAlign w:val="center"/>
          </w:tcPr>
          <w:p w14:paraId="6166485D"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 xml:space="preserve">30                               </w:t>
            </w:r>
          </w:p>
        </w:tc>
      </w:tr>
      <w:tr w:rsidR="00E004E6" w:rsidRPr="00A80DCA" w14:paraId="1170A12F" w14:textId="77777777" w:rsidTr="00B97A84">
        <w:trPr>
          <w:cantSplit/>
        </w:trPr>
        <w:tc>
          <w:tcPr>
            <w:tcW w:w="3989" w:type="pct"/>
          </w:tcPr>
          <w:p w14:paraId="26766765" w14:textId="77777777" w:rsidR="00E004E6" w:rsidRPr="00A80DCA" w:rsidRDefault="00E004E6" w:rsidP="00E004E6">
            <w:pPr>
              <w:numPr>
                <w:ilvl w:val="1"/>
                <w:numId w:val="1"/>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Competent bodies exist for safeguarding specific elements of ICH, whether or not inscribed.</w:t>
            </w:r>
          </w:p>
        </w:tc>
        <w:tc>
          <w:tcPr>
            <w:tcW w:w="1011" w:type="pct"/>
            <w:vAlign w:val="center"/>
          </w:tcPr>
          <w:p w14:paraId="276965BC"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10</w:t>
            </w:r>
          </w:p>
        </w:tc>
      </w:tr>
      <w:tr w:rsidR="00E004E6" w:rsidRPr="00A80DCA" w14:paraId="0BF55BE0" w14:textId="77777777" w:rsidTr="00B97A84">
        <w:trPr>
          <w:cantSplit/>
        </w:trPr>
        <w:tc>
          <w:tcPr>
            <w:tcW w:w="3989" w:type="pct"/>
          </w:tcPr>
          <w:p w14:paraId="28E45148" w14:textId="77777777" w:rsidR="00E004E6" w:rsidRPr="00A80DCA" w:rsidRDefault="00E004E6" w:rsidP="00E004E6">
            <w:pPr>
              <w:numPr>
                <w:ilvl w:val="1"/>
                <w:numId w:val="1"/>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 xml:space="preserve">Broad and inclusive involvement in ICH safeguarding and management, particularly by the communities, groups and individuals concerned, is fostered through consultative bodies or other coordination mechanisms </w:t>
            </w:r>
          </w:p>
        </w:tc>
        <w:tc>
          <w:tcPr>
            <w:tcW w:w="1011" w:type="pct"/>
            <w:vAlign w:val="center"/>
          </w:tcPr>
          <w:p w14:paraId="5A0EFC64"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20</w:t>
            </w:r>
          </w:p>
        </w:tc>
      </w:tr>
      <w:tr w:rsidR="00E004E6" w:rsidRPr="00A80DCA" w14:paraId="1F106D69" w14:textId="77777777" w:rsidTr="00B97A84">
        <w:trPr>
          <w:cantSplit/>
        </w:trPr>
        <w:tc>
          <w:tcPr>
            <w:tcW w:w="3989" w:type="pct"/>
          </w:tcPr>
          <w:p w14:paraId="5ED26828" w14:textId="77777777" w:rsidR="00E004E6" w:rsidRPr="00A80DCA" w:rsidRDefault="00E004E6" w:rsidP="00E004E6">
            <w:pPr>
              <w:numPr>
                <w:ilvl w:val="1"/>
                <w:numId w:val="1"/>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Institutions, organizations and/or initiatives for ICH documentation are fostered, and their materials are utilized to support continued practice and transmission of ICH.</w:t>
            </w:r>
          </w:p>
        </w:tc>
        <w:tc>
          <w:tcPr>
            <w:tcW w:w="1011" w:type="pct"/>
            <w:vAlign w:val="center"/>
          </w:tcPr>
          <w:p w14:paraId="48F2A0D2"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25</w:t>
            </w:r>
          </w:p>
        </w:tc>
      </w:tr>
      <w:tr w:rsidR="00E004E6" w:rsidRPr="00A80DCA" w14:paraId="18148179" w14:textId="77777777" w:rsidTr="00B97A84">
        <w:trPr>
          <w:cantSplit/>
        </w:trPr>
        <w:tc>
          <w:tcPr>
            <w:tcW w:w="3989" w:type="pct"/>
            <w:tcBorders>
              <w:bottom w:val="single" w:sz="24" w:space="0" w:color="auto"/>
            </w:tcBorders>
          </w:tcPr>
          <w:p w14:paraId="544215CF" w14:textId="77777777" w:rsidR="00E004E6" w:rsidRPr="00A80DCA" w:rsidRDefault="00E004E6" w:rsidP="00E004E6">
            <w:pPr>
              <w:numPr>
                <w:ilvl w:val="1"/>
                <w:numId w:val="1"/>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Cultural centres, centres of expertise, research institutions, museums, archives, libraries, etc., contribute to ICH safeguarding and management.</w:t>
            </w:r>
          </w:p>
        </w:tc>
        <w:tc>
          <w:tcPr>
            <w:tcW w:w="1011" w:type="pct"/>
            <w:tcBorders>
              <w:bottom w:val="single" w:sz="24" w:space="0" w:color="auto"/>
            </w:tcBorders>
            <w:vAlign w:val="center"/>
          </w:tcPr>
          <w:p w14:paraId="064B76AD"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15</w:t>
            </w:r>
          </w:p>
        </w:tc>
      </w:tr>
    </w:tbl>
    <w:p w14:paraId="65B7C264" w14:textId="77777777" w:rsidR="00E004E6" w:rsidRPr="00A80DCA" w:rsidRDefault="00E004E6" w:rsidP="0016699B">
      <w:pPr>
        <w:rPr>
          <w:rFonts w:ascii="Arial" w:hAnsi="Arial" w:cs="Arial"/>
          <w:sz w:val="20"/>
          <w:szCs w:val="20"/>
        </w:rPr>
      </w:pPr>
    </w:p>
    <w:p w14:paraId="55A96273" w14:textId="77777777" w:rsidR="00E004E6" w:rsidRPr="00A80DCA" w:rsidRDefault="00E004E6" w:rsidP="0016699B">
      <w:pPr>
        <w:rPr>
          <w:rFonts w:ascii="Arial" w:hAnsi="Arial" w:cs="Arial"/>
          <w:b/>
          <w:bCs/>
          <w:sz w:val="20"/>
          <w:szCs w:val="20"/>
        </w:rPr>
      </w:pPr>
      <w:r w:rsidRPr="00A80DCA">
        <w:rPr>
          <w:rFonts w:ascii="Arial" w:hAnsi="Arial" w:cs="Arial"/>
          <w:b/>
          <w:bCs/>
          <w:sz w:val="20"/>
          <w:szCs w:val="20"/>
        </w:rPr>
        <w:t xml:space="preserve">Indicator 3: </w:t>
      </w:r>
      <w:r w:rsidR="0058176C" w:rsidRPr="00A80DCA">
        <w:rPr>
          <w:rFonts w:ascii="Arial" w:eastAsia="Calibri" w:hAnsi="Arial" w:cs="Arial"/>
          <w:b/>
          <w:bCs/>
          <w:sz w:val="20"/>
          <w:szCs w:val="20"/>
        </w:rPr>
        <w:t>Extent to which training is operated by or addressed to communities, groups and individuals, as well as to those working in the fields of culture and heritage.</w:t>
      </w:r>
    </w:p>
    <w:tbl>
      <w:tblPr>
        <w:tblStyle w:val="TableGrid"/>
        <w:tblW w:w="3822" w:type="pct"/>
        <w:tblLook w:val="04A0" w:firstRow="1" w:lastRow="0" w:firstColumn="1" w:lastColumn="0" w:noHBand="0" w:noVBand="1"/>
      </w:tblPr>
      <w:tblGrid>
        <w:gridCol w:w="5486"/>
        <w:gridCol w:w="1406"/>
      </w:tblGrid>
      <w:tr w:rsidR="00E004E6" w:rsidRPr="00A80DCA" w14:paraId="22FD54D7" w14:textId="77777777" w:rsidTr="00B97A84">
        <w:trPr>
          <w:cantSplit/>
          <w:trHeight w:val="638"/>
        </w:trPr>
        <w:tc>
          <w:tcPr>
            <w:tcW w:w="3989" w:type="pct"/>
            <w:vMerge w:val="restart"/>
            <w:tcBorders>
              <w:top w:val="single" w:sz="24" w:space="0" w:color="auto"/>
            </w:tcBorders>
          </w:tcPr>
          <w:p w14:paraId="5E32B3BC" w14:textId="77777777" w:rsidR="00E004E6" w:rsidRPr="00A80DCA" w:rsidRDefault="00E004E6" w:rsidP="00E004E6">
            <w:pPr>
              <w:numPr>
                <w:ilvl w:val="1"/>
                <w:numId w:val="2"/>
              </w:numPr>
              <w:spacing w:before="60" w:after="60"/>
              <w:ind w:left="567" w:hanging="567"/>
              <w:jc w:val="both"/>
              <w:rPr>
                <w:rFonts w:ascii="Arial" w:eastAsia="Calibri" w:hAnsi="Arial" w:cs="Arial"/>
                <w:vanish/>
                <w:lang w:val="en-GB" w:eastAsia="en-US"/>
              </w:rPr>
            </w:pPr>
            <w:r w:rsidRPr="00A80DCA">
              <w:rPr>
                <w:rFonts w:ascii="Arial" w:eastAsia="Calibri" w:hAnsi="Arial" w:cs="Arial"/>
                <w:lang w:val="en-GB" w:eastAsia="en-US"/>
              </w:rPr>
              <w:t>Training programmes, including those operated by communities themselves, provide capacity building in ICH addressed on an inclusive basis to communities, groups and individuals.</w:t>
            </w:r>
          </w:p>
        </w:tc>
        <w:tc>
          <w:tcPr>
            <w:tcW w:w="1011" w:type="pct"/>
            <w:vMerge w:val="restart"/>
            <w:tcBorders>
              <w:top w:val="single" w:sz="24" w:space="0" w:color="auto"/>
            </w:tcBorders>
            <w:vAlign w:val="center"/>
          </w:tcPr>
          <w:p w14:paraId="5A262AF5"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65</w:t>
            </w:r>
          </w:p>
          <w:p w14:paraId="054AD5EB"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of which 10 on sub-question about inclusiveness</w:t>
            </w:r>
          </w:p>
        </w:tc>
      </w:tr>
      <w:tr w:rsidR="00E004E6" w:rsidRPr="00A80DCA" w:rsidDel="00453B14" w14:paraId="2401D73F" w14:textId="77777777" w:rsidTr="00B97A84">
        <w:trPr>
          <w:cantSplit/>
          <w:trHeight w:val="637"/>
        </w:trPr>
        <w:tc>
          <w:tcPr>
            <w:tcW w:w="3989" w:type="pct"/>
            <w:vMerge/>
          </w:tcPr>
          <w:p w14:paraId="6BAC85FC" w14:textId="77777777" w:rsidR="00E004E6" w:rsidRPr="00A80DCA" w:rsidRDefault="00E004E6" w:rsidP="00E004E6">
            <w:pPr>
              <w:numPr>
                <w:ilvl w:val="1"/>
                <w:numId w:val="2"/>
              </w:numPr>
              <w:spacing w:before="60" w:after="60"/>
              <w:ind w:left="567" w:hanging="567"/>
              <w:jc w:val="both"/>
              <w:rPr>
                <w:rFonts w:ascii="Arial" w:eastAsia="Calibri" w:hAnsi="Arial" w:cs="Arial"/>
                <w:lang w:val="en-GB" w:eastAsia="en-US"/>
              </w:rPr>
            </w:pPr>
          </w:p>
        </w:tc>
        <w:tc>
          <w:tcPr>
            <w:tcW w:w="1011" w:type="pct"/>
            <w:vMerge/>
            <w:vAlign w:val="center"/>
          </w:tcPr>
          <w:p w14:paraId="549CF222" w14:textId="77777777" w:rsidR="00E004E6" w:rsidRPr="00A80DCA" w:rsidDel="00453B14" w:rsidRDefault="00E004E6" w:rsidP="00B97A84">
            <w:pPr>
              <w:spacing w:before="60" w:after="60"/>
              <w:jc w:val="both"/>
              <w:rPr>
                <w:rFonts w:ascii="Arial" w:hAnsi="Arial" w:cs="Arial"/>
                <w:lang w:val="en-GB"/>
              </w:rPr>
            </w:pPr>
          </w:p>
        </w:tc>
      </w:tr>
      <w:tr w:rsidR="00E004E6" w:rsidRPr="00A80DCA" w14:paraId="469C2338" w14:textId="77777777" w:rsidTr="00B97A84">
        <w:trPr>
          <w:cantSplit/>
          <w:trHeight w:val="675"/>
        </w:trPr>
        <w:tc>
          <w:tcPr>
            <w:tcW w:w="3989" w:type="pct"/>
            <w:vMerge w:val="restart"/>
          </w:tcPr>
          <w:p w14:paraId="75AB5E01" w14:textId="77777777" w:rsidR="00E004E6" w:rsidRPr="00A80DCA" w:rsidRDefault="00E004E6" w:rsidP="00E004E6">
            <w:pPr>
              <w:numPr>
                <w:ilvl w:val="1"/>
                <w:numId w:val="2"/>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Training programmes provide capacity building in ICH addressed on an inclusive basis to those working in the fields of culture and heritage.</w:t>
            </w:r>
          </w:p>
        </w:tc>
        <w:tc>
          <w:tcPr>
            <w:tcW w:w="1011" w:type="pct"/>
            <w:vMerge w:val="restart"/>
            <w:vAlign w:val="center"/>
          </w:tcPr>
          <w:p w14:paraId="4A424F90"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35</w:t>
            </w:r>
          </w:p>
          <w:p w14:paraId="6CF3233F"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of which 10 on sub-question about inclusiveness</w:t>
            </w:r>
          </w:p>
        </w:tc>
      </w:tr>
      <w:tr w:rsidR="00E004E6" w:rsidRPr="00A80DCA" w:rsidDel="00453B14" w14:paraId="5BAD72CD" w14:textId="77777777" w:rsidTr="00B97A84">
        <w:trPr>
          <w:cantSplit/>
          <w:trHeight w:val="675"/>
        </w:trPr>
        <w:tc>
          <w:tcPr>
            <w:tcW w:w="3989" w:type="pct"/>
            <w:vMerge/>
            <w:tcBorders>
              <w:bottom w:val="single" w:sz="24" w:space="0" w:color="auto"/>
            </w:tcBorders>
          </w:tcPr>
          <w:p w14:paraId="6EFFF495" w14:textId="77777777" w:rsidR="00E004E6" w:rsidRPr="00A80DCA" w:rsidRDefault="00E004E6" w:rsidP="00E004E6">
            <w:pPr>
              <w:numPr>
                <w:ilvl w:val="1"/>
                <w:numId w:val="2"/>
              </w:numPr>
              <w:spacing w:before="60" w:after="60"/>
              <w:ind w:left="567" w:hanging="567"/>
              <w:jc w:val="both"/>
              <w:rPr>
                <w:rFonts w:ascii="Arial" w:eastAsia="Calibri" w:hAnsi="Arial" w:cs="Arial"/>
                <w:lang w:val="en-GB" w:eastAsia="en-US"/>
              </w:rPr>
            </w:pPr>
          </w:p>
        </w:tc>
        <w:tc>
          <w:tcPr>
            <w:tcW w:w="1011" w:type="pct"/>
            <w:vMerge/>
            <w:tcBorders>
              <w:bottom w:val="single" w:sz="24" w:space="0" w:color="auto"/>
            </w:tcBorders>
            <w:vAlign w:val="center"/>
          </w:tcPr>
          <w:p w14:paraId="6C56DEC7" w14:textId="77777777" w:rsidR="00E004E6" w:rsidRPr="00A80DCA" w:rsidDel="00453B14" w:rsidRDefault="00E004E6" w:rsidP="00B97A84">
            <w:pPr>
              <w:spacing w:before="60" w:after="60"/>
              <w:jc w:val="both"/>
              <w:rPr>
                <w:rFonts w:ascii="Arial" w:hAnsi="Arial" w:cs="Arial"/>
                <w:lang w:val="en-GB"/>
              </w:rPr>
            </w:pPr>
          </w:p>
        </w:tc>
      </w:tr>
    </w:tbl>
    <w:p w14:paraId="2819FBB7" w14:textId="77777777" w:rsidR="00E004E6" w:rsidRPr="00A80DCA" w:rsidRDefault="00E004E6" w:rsidP="0058176C">
      <w:pPr>
        <w:spacing w:line="240" w:lineRule="auto"/>
        <w:rPr>
          <w:rFonts w:ascii="Arial" w:hAnsi="Arial" w:cs="Arial"/>
          <w:b/>
          <w:bCs/>
          <w:sz w:val="20"/>
          <w:szCs w:val="20"/>
        </w:rPr>
      </w:pPr>
      <w:r w:rsidRPr="00A80DCA">
        <w:rPr>
          <w:rFonts w:ascii="Arial" w:hAnsi="Arial" w:cs="Arial"/>
          <w:b/>
          <w:bCs/>
          <w:sz w:val="20"/>
          <w:szCs w:val="20"/>
        </w:rPr>
        <w:t>Indicator 5:</w:t>
      </w:r>
      <w:r w:rsidR="0058176C" w:rsidRPr="00A80DCA">
        <w:rPr>
          <w:rFonts w:ascii="Arial" w:hAnsi="Arial" w:cs="Arial"/>
          <w:b/>
          <w:bCs/>
          <w:sz w:val="20"/>
          <w:szCs w:val="20"/>
        </w:rPr>
        <w:t xml:space="preserve"> </w:t>
      </w:r>
      <w:r w:rsidR="0058176C" w:rsidRPr="00A80DCA">
        <w:rPr>
          <w:rFonts w:ascii="Arial" w:eastAsia="Calibri" w:hAnsi="Arial" w:cs="Arial"/>
          <w:b/>
          <w:bCs/>
          <w:sz w:val="20"/>
          <w:szCs w:val="20"/>
        </w:rPr>
        <w:t>Extent to which ICH and its safeguarding are integrated into primary and secondary education, included in the content of relevant disciplines, and used to strengthen teaching and learning about and with ICH and respect for one’s own and others’ ICH.</w:t>
      </w:r>
    </w:p>
    <w:tbl>
      <w:tblPr>
        <w:tblStyle w:val="TableGrid"/>
        <w:tblW w:w="3822" w:type="pct"/>
        <w:tblLook w:val="04A0" w:firstRow="1" w:lastRow="0" w:firstColumn="1" w:lastColumn="0" w:noHBand="0" w:noVBand="1"/>
      </w:tblPr>
      <w:tblGrid>
        <w:gridCol w:w="5498"/>
        <w:gridCol w:w="1394"/>
      </w:tblGrid>
      <w:tr w:rsidR="00E004E6" w:rsidRPr="00A80DCA" w14:paraId="075B278B" w14:textId="77777777" w:rsidTr="00B97A84">
        <w:trPr>
          <w:cantSplit/>
        </w:trPr>
        <w:tc>
          <w:tcPr>
            <w:tcW w:w="3989" w:type="pct"/>
            <w:tcBorders>
              <w:top w:val="single" w:sz="24" w:space="0" w:color="auto"/>
            </w:tcBorders>
          </w:tcPr>
          <w:p w14:paraId="07DA5BC6" w14:textId="77777777" w:rsidR="00E004E6" w:rsidRPr="00A80DCA" w:rsidRDefault="00E004E6" w:rsidP="00E004E6">
            <w:pPr>
              <w:numPr>
                <w:ilvl w:val="1"/>
                <w:numId w:val="3"/>
              </w:numPr>
              <w:spacing w:before="60" w:after="60"/>
              <w:ind w:left="595" w:hanging="595"/>
              <w:jc w:val="both"/>
              <w:rPr>
                <w:rFonts w:ascii="Arial" w:eastAsia="Calibri" w:hAnsi="Arial" w:cs="Arial"/>
                <w:lang w:val="en-GB" w:eastAsia="en-US"/>
              </w:rPr>
            </w:pPr>
            <w:r w:rsidRPr="00A80DCA">
              <w:rPr>
                <w:rFonts w:ascii="Arial" w:eastAsia="Calibri" w:hAnsi="Arial" w:cs="Arial"/>
                <w:lang w:val="en-GB" w:eastAsia="en-US"/>
              </w:rPr>
              <w:lastRenderedPageBreak/>
              <w:t>ICH, in its diversity, is included in the content of relevant disciplines, as a contribution in its own right and/or as a means of explaining or demonstrating other subjects.</w:t>
            </w:r>
          </w:p>
        </w:tc>
        <w:tc>
          <w:tcPr>
            <w:tcW w:w="1011" w:type="pct"/>
            <w:tcBorders>
              <w:top w:val="single" w:sz="24" w:space="0" w:color="auto"/>
            </w:tcBorders>
            <w:vAlign w:val="center"/>
          </w:tcPr>
          <w:p w14:paraId="5EFF688F"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25</w:t>
            </w:r>
          </w:p>
        </w:tc>
      </w:tr>
      <w:tr w:rsidR="00E004E6" w:rsidRPr="00A80DCA" w14:paraId="3047AAD3" w14:textId="77777777" w:rsidTr="00B97A84">
        <w:trPr>
          <w:cantSplit/>
        </w:trPr>
        <w:tc>
          <w:tcPr>
            <w:tcW w:w="3989" w:type="pct"/>
          </w:tcPr>
          <w:p w14:paraId="4F08C10F" w14:textId="77777777" w:rsidR="00E004E6" w:rsidRPr="00A80DCA" w:rsidRDefault="00E004E6" w:rsidP="00E004E6">
            <w:pPr>
              <w:numPr>
                <w:ilvl w:val="1"/>
                <w:numId w:val="3"/>
              </w:numPr>
              <w:spacing w:before="60" w:after="60"/>
              <w:ind w:left="595" w:hanging="595"/>
              <w:jc w:val="both"/>
              <w:rPr>
                <w:rFonts w:ascii="Arial" w:eastAsia="Calibri" w:hAnsi="Arial" w:cs="Arial"/>
                <w:lang w:val="en-GB" w:eastAsia="en-US"/>
              </w:rPr>
            </w:pPr>
            <w:r w:rsidRPr="00A80DCA">
              <w:rPr>
                <w:rFonts w:ascii="Arial" w:eastAsia="Calibri" w:hAnsi="Arial" w:cs="Arial"/>
                <w:lang w:val="en-GB" w:eastAsia="en-US"/>
              </w:rPr>
              <w:t>School students learn to respect and reflect on the ICH of their own community or group as well as the ICH of others through educational programmes and curricula.</w:t>
            </w:r>
          </w:p>
        </w:tc>
        <w:tc>
          <w:tcPr>
            <w:tcW w:w="1011" w:type="pct"/>
            <w:vAlign w:val="center"/>
          </w:tcPr>
          <w:p w14:paraId="1DE333D1"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25</w:t>
            </w:r>
          </w:p>
        </w:tc>
      </w:tr>
      <w:tr w:rsidR="00E004E6" w:rsidRPr="00A80DCA" w14:paraId="752FA3EF" w14:textId="77777777" w:rsidTr="00B97A84">
        <w:trPr>
          <w:cantSplit/>
        </w:trPr>
        <w:tc>
          <w:tcPr>
            <w:tcW w:w="3989" w:type="pct"/>
          </w:tcPr>
          <w:p w14:paraId="48712895" w14:textId="77777777" w:rsidR="00E004E6" w:rsidRPr="00A80DCA" w:rsidRDefault="00E004E6" w:rsidP="00E004E6">
            <w:pPr>
              <w:numPr>
                <w:ilvl w:val="1"/>
                <w:numId w:val="3"/>
              </w:numPr>
              <w:spacing w:before="60" w:after="60"/>
              <w:ind w:left="595" w:hanging="595"/>
              <w:jc w:val="both"/>
              <w:rPr>
                <w:rFonts w:ascii="Arial" w:eastAsia="Calibri" w:hAnsi="Arial" w:cs="Arial"/>
                <w:lang w:val="en-GB" w:eastAsia="en-US"/>
              </w:rPr>
            </w:pPr>
            <w:r w:rsidRPr="00A80DCA">
              <w:rPr>
                <w:rFonts w:ascii="Arial" w:eastAsia="Calibri" w:hAnsi="Arial" w:cs="Arial"/>
                <w:lang w:val="en-GB" w:eastAsia="en-US"/>
              </w:rPr>
              <w:t>The diversity of learners’ ICH is reflected through mother tongue or multilingual education and/or the inclusion of ‘local content’ within the educational curriculum.</w:t>
            </w:r>
          </w:p>
        </w:tc>
        <w:tc>
          <w:tcPr>
            <w:tcW w:w="1011" w:type="pct"/>
            <w:vAlign w:val="center"/>
          </w:tcPr>
          <w:p w14:paraId="382EC45B"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20</w:t>
            </w:r>
          </w:p>
        </w:tc>
      </w:tr>
      <w:tr w:rsidR="00E004E6" w:rsidRPr="00A80DCA" w14:paraId="3D520CE3" w14:textId="77777777" w:rsidTr="00B97A84">
        <w:trPr>
          <w:cantSplit/>
          <w:trHeight w:val="608"/>
        </w:trPr>
        <w:tc>
          <w:tcPr>
            <w:tcW w:w="3989" w:type="pct"/>
          </w:tcPr>
          <w:p w14:paraId="3FB0EF9A" w14:textId="77777777" w:rsidR="00E004E6" w:rsidRPr="00A80DCA" w:rsidRDefault="00E004E6" w:rsidP="00E004E6">
            <w:pPr>
              <w:numPr>
                <w:ilvl w:val="1"/>
                <w:numId w:val="3"/>
              </w:numPr>
              <w:spacing w:before="60" w:after="60"/>
              <w:ind w:left="595" w:hanging="595"/>
              <w:jc w:val="both"/>
              <w:rPr>
                <w:rFonts w:ascii="Arial" w:eastAsia="Calibri" w:hAnsi="Arial" w:cs="Arial"/>
                <w:lang w:val="en-GB" w:eastAsia="en-US"/>
              </w:rPr>
            </w:pPr>
            <w:r w:rsidRPr="00A80DCA">
              <w:rPr>
                <w:rFonts w:ascii="Arial" w:eastAsia="Calibri" w:hAnsi="Arial" w:cs="Arial"/>
                <w:lang w:val="en-GB" w:eastAsia="en-US"/>
              </w:rPr>
              <w:t>Educational programmes teach about the protection of natural and cultural spaces and places of memory whose existence is necessary for expressing ICH.</w:t>
            </w:r>
          </w:p>
        </w:tc>
        <w:tc>
          <w:tcPr>
            <w:tcW w:w="1011" w:type="pct"/>
            <w:vAlign w:val="center"/>
          </w:tcPr>
          <w:p w14:paraId="01E4B074"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30</w:t>
            </w:r>
          </w:p>
        </w:tc>
      </w:tr>
    </w:tbl>
    <w:p w14:paraId="0FC52388" w14:textId="77777777" w:rsidR="00BC257A" w:rsidRPr="00A80DCA" w:rsidRDefault="00BC257A" w:rsidP="0058176C">
      <w:pPr>
        <w:spacing w:line="240" w:lineRule="auto"/>
        <w:rPr>
          <w:rFonts w:ascii="Arial" w:hAnsi="Arial" w:cs="Arial"/>
          <w:b/>
          <w:bCs/>
          <w:sz w:val="20"/>
          <w:szCs w:val="20"/>
        </w:rPr>
      </w:pPr>
    </w:p>
    <w:p w14:paraId="18F0D254" w14:textId="77777777" w:rsidR="00E004E6" w:rsidRPr="00A80DCA" w:rsidRDefault="0058176C" w:rsidP="0058176C">
      <w:pPr>
        <w:spacing w:line="240" w:lineRule="auto"/>
        <w:rPr>
          <w:rFonts w:ascii="Arial" w:hAnsi="Arial" w:cs="Arial"/>
          <w:b/>
          <w:bCs/>
          <w:sz w:val="20"/>
          <w:szCs w:val="20"/>
        </w:rPr>
      </w:pPr>
      <w:r w:rsidRPr="00A80DCA">
        <w:rPr>
          <w:rFonts w:ascii="Arial" w:hAnsi="Arial" w:cs="Arial"/>
          <w:b/>
          <w:bCs/>
          <w:sz w:val="20"/>
          <w:szCs w:val="20"/>
        </w:rPr>
        <w:t xml:space="preserve">Indicator 8: </w:t>
      </w:r>
      <w:r w:rsidRPr="00A80DCA">
        <w:rPr>
          <w:rFonts w:ascii="Arial" w:eastAsia="Calibri" w:hAnsi="Arial" w:cs="Arial"/>
          <w:b/>
          <w:bCs/>
          <w:sz w:val="20"/>
          <w:szCs w:val="20"/>
        </w:rPr>
        <w:t>Extent to which the inventorying process is inclusive, respects the diversity of ICH and its practitioners, and supports safeguarding by communities, groups and individuals concerned.</w:t>
      </w:r>
    </w:p>
    <w:tbl>
      <w:tblPr>
        <w:tblStyle w:val="TableGrid"/>
        <w:tblW w:w="3822" w:type="pct"/>
        <w:tblLook w:val="04A0" w:firstRow="1" w:lastRow="0" w:firstColumn="1" w:lastColumn="0" w:noHBand="0" w:noVBand="1"/>
      </w:tblPr>
      <w:tblGrid>
        <w:gridCol w:w="5498"/>
        <w:gridCol w:w="1394"/>
      </w:tblGrid>
      <w:tr w:rsidR="00E004E6" w:rsidRPr="00A80DCA" w14:paraId="3112B874" w14:textId="77777777" w:rsidTr="00B97A84">
        <w:trPr>
          <w:cantSplit/>
          <w:trHeight w:val="578"/>
        </w:trPr>
        <w:tc>
          <w:tcPr>
            <w:tcW w:w="3989" w:type="pct"/>
            <w:vMerge w:val="restart"/>
            <w:tcBorders>
              <w:top w:val="single" w:sz="24" w:space="0" w:color="auto"/>
            </w:tcBorders>
          </w:tcPr>
          <w:p w14:paraId="69C1A3A6" w14:textId="77777777" w:rsidR="00E004E6" w:rsidRPr="00A80DCA" w:rsidRDefault="00E004E6" w:rsidP="00E004E6">
            <w:pPr>
              <w:numPr>
                <w:ilvl w:val="1"/>
                <w:numId w:val="4"/>
              </w:numPr>
              <w:spacing w:before="60" w:after="60"/>
              <w:ind w:left="567" w:hanging="567"/>
              <w:jc w:val="both"/>
              <w:rPr>
                <w:rFonts w:ascii="Arial" w:eastAsia="Calibri" w:hAnsi="Arial" w:cs="Arial"/>
                <w:vanish/>
                <w:lang w:val="en-GB" w:eastAsia="en-US"/>
              </w:rPr>
            </w:pPr>
            <w:r w:rsidRPr="00A80DCA">
              <w:rPr>
                <w:rFonts w:ascii="Arial" w:eastAsia="Calibri" w:hAnsi="Arial" w:cs="Arial"/>
                <w:lang w:val="en-GB" w:eastAsia="en-US"/>
              </w:rPr>
              <w:t>Communities, groups and relevant NGOs participate inclusively in inventorying which informs and strengthens their safeguarding efforts.</w:t>
            </w:r>
          </w:p>
        </w:tc>
        <w:tc>
          <w:tcPr>
            <w:tcW w:w="1011" w:type="pct"/>
            <w:vMerge w:val="restart"/>
            <w:tcBorders>
              <w:top w:val="single" w:sz="24" w:space="0" w:color="auto"/>
            </w:tcBorders>
            <w:vAlign w:val="center"/>
          </w:tcPr>
          <w:p w14:paraId="44B00DEB"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65</w:t>
            </w:r>
          </w:p>
        </w:tc>
      </w:tr>
      <w:tr w:rsidR="00E004E6" w:rsidRPr="00A80DCA" w:rsidDel="00453B14" w14:paraId="1E611E9A" w14:textId="77777777" w:rsidTr="00B97A84">
        <w:trPr>
          <w:cantSplit/>
          <w:trHeight w:val="577"/>
        </w:trPr>
        <w:tc>
          <w:tcPr>
            <w:tcW w:w="3989" w:type="pct"/>
            <w:vMerge/>
          </w:tcPr>
          <w:p w14:paraId="363B09F1" w14:textId="77777777" w:rsidR="00E004E6" w:rsidRPr="00A80DCA" w:rsidRDefault="00E004E6" w:rsidP="00E004E6">
            <w:pPr>
              <w:numPr>
                <w:ilvl w:val="1"/>
                <w:numId w:val="4"/>
              </w:numPr>
              <w:spacing w:before="60" w:after="60"/>
              <w:ind w:left="567" w:hanging="567"/>
              <w:jc w:val="both"/>
              <w:rPr>
                <w:rFonts w:ascii="Arial" w:eastAsia="Calibri" w:hAnsi="Arial" w:cs="Arial"/>
                <w:lang w:val="en-GB" w:eastAsia="en-US"/>
              </w:rPr>
            </w:pPr>
          </w:p>
        </w:tc>
        <w:tc>
          <w:tcPr>
            <w:tcW w:w="1011" w:type="pct"/>
            <w:vMerge/>
            <w:vAlign w:val="center"/>
          </w:tcPr>
          <w:p w14:paraId="11F92730" w14:textId="77777777" w:rsidR="00E004E6" w:rsidRPr="00A80DCA" w:rsidDel="00453B14" w:rsidRDefault="00E004E6" w:rsidP="00B97A84">
            <w:pPr>
              <w:spacing w:before="60" w:after="60"/>
              <w:jc w:val="both"/>
              <w:rPr>
                <w:rFonts w:ascii="Arial" w:hAnsi="Arial" w:cs="Arial"/>
                <w:lang w:val="en-GB"/>
              </w:rPr>
            </w:pPr>
          </w:p>
        </w:tc>
      </w:tr>
      <w:tr w:rsidR="00E004E6" w:rsidRPr="00A80DCA" w14:paraId="5ECCC2E9" w14:textId="77777777" w:rsidTr="00B97A84">
        <w:trPr>
          <w:cantSplit/>
          <w:trHeight w:val="1088"/>
        </w:trPr>
        <w:tc>
          <w:tcPr>
            <w:tcW w:w="3989" w:type="pct"/>
            <w:vMerge w:val="restart"/>
          </w:tcPr>
          <w:p w14:paraId="0EDFBC56" w14:textId="77777777" w:rsidR="00E004E6" w:rsidRPr="00A80DCA" w:rsidRDefault="00E004E6" w:rsidP="00E004E6">
            <w:pPr>
              <w:numPr>
                <w:ilvl w:val="1"/>
                <w:numId w:val="4"/>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Inventorying process respects the diversity of ICH and its practitioners, including the practices and expressions of all sectors of society, all genders and all regions.</w:t>
            </w:r>
          </w:p>
        </w:tc>
        <w:tc>
          <w:tcPr>
            <w:tcW w:w="1011" w:type="pct"/>
            <w:vMerge w:val="restart"/>
            <w:vAlign w:val="center"/>
          </w:tcPr>
          <w:p w14:paraId="3848E02C"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35</w:t>
            </w:r>
          </w:p>
        </w:tc>
      </w:tr>
      <w:tr w:rsidR="00E004E6" w:rsidRPr="00A80DCA" w:rsidDel="00453B14" w14:paraId="78B0D484" w14:textId="77777777" w:rsidTr="00B97A84">
        <w:trPr>
          <w:cantSplit/>
          <w:trHeight w:val="1087"/>
        </w:trPr>
        <w:tc>
          <w:tcPr>
            <w:tcW w:w="3989" w:type="pct"/>
            <w:vMerge/>
            <w:tcBorders>
              <w:bottom w:val="single" w:sz="24" w:space="0" w:color="auto"/>
            </w:tcBorders>
          </w:tcPr>
          <w:p w14:paraId="705E570F" w14:textId="77777777" w:rsidR="00E004E6" w:rsidRPr="00A80DCA" w:rsidRDefault="00E004E6" w:rsidP="00E004E6">
            <w:pPr>
              <w:numPr>
                <w:ilvl w:val="1"/>
                <w:numId w:val="4"/>
              </w:numPr>
              <w:spacing w:before="60" w:after="60"/>
              <w:ind w:left="567" w:hanging="567"/>
              <w:jc w:val="both"/>
              <w:rPr>
                <w:rFonts w:ascii="Arial" w:eastAsia="Calibri" w:hAnsi="Arial" w:cs="Arial"/>
                <w:lang w:val="en-GB" w:eastAsia="en-US"/>
              </w:rPr>
            </w:pPr>
          </w:p>
        </w:tc>
        <w:tc>
          <w:tcPr>
            <w:tcW w:w="1011" w:type="pct"/>
            <w:vMerge/>
            <w:tcBorders>
              <w:bottom w:val="single" w:sz="24" w:space="0" w:color="auto"/>
            </w:tcBorders>
            <w:vAlign w:val="center"/>
          </w:tcPr>
          <w:p w14:paraId="6E3EC24C" w14:textId="77777777" w:rsidR="00E004E6" w:rsidRPr="00A80DCA" w:rsidDel="00453B14" w:rsidRDefault="00E004E6" w:rsidP="00B97A84">
            <w:pPr>
              <w:spacing w:before="60" w:after="60"/>
              <w:jc w:val="both"/>
              <w:rPr>
                <w:rFonts w:ascii="Arial" w:hAnsi="Arial" w:cs="Arial"/>
                <w:lang w:val="en-GB"/>
              </w:rPr>
            </w:pPr>
          </w:p>
        </w:tc>
      </w:tr>
    </w:tbl>
    <w:p w14:paraId="32D5D659" w14:textId="77777777" w:rsidR="00E004E6" w:rsidRPr="00A80DCA" w:rsidRDefault="00E004E6" w:rsidP="0016699B">
      <w:pPr>
        <w:rPr>
          <w:rFonts w:ascii="Arial" w:hAnsi="Arial" w:cs="Arial"/>
          <w:sz w:val="20"/>
          <w:szCs w:val="20"/>
        </w:rPr>
      </w:pPr>
    </w:p>
    <w:p w14:paraId="508CDAB0" w14:textId="77777777" w:rsidR="00E004E6" w:rsidRPr="00A80DCA" w:rsidRDefault="00E004E6" w:rsidP="00A80DCA">
      <w:pPr>
        <w:rPr>
          <w:rFonts w:ascii="Arial" w:hAnsi="Arial" w:cs="Arial"/>
          <w:b/>
          <w:bCs/>
          <w:sz w:val="20"/>
          <w:szCs w:val="20"/>
        </w:rPr>
      </w:pPr>
      <w:r w:rsidRPr="00A80DCA">
        <w:rPr>
          <w:rFonts w:ascii="Arial" w:hAnsi="Arial" w:cs="Arial"/>
          <w:b/>
          <w:bCs/>
          <w:sz w:val="20"/>
          <w:szCs w:val="20"/>
        </w:rPr>
        <w:t>Indicator 10</w:t>
      </w:r>
      <w:r w:rsidR="0058176C" w:rsidRPr="00A80DCA">
        <w:rPr>
          <w:rFonts w:ascii="Arial" w:hAnsi="Arial" w:cs="Arial"/>
          <w:b/>
          <w:bCs/>
          <w:sz w:val="20"/>
          <w:szCs w:val="20"/>
        </w:rPr>
        <w:t xml:space="preserve">: </w:t>
      </w:r>
      <w:r w:rsidR="0058176C" w:rsidRPr="00A80DCA">
        <w:rPr>
          <w:rFonts w:ascii="Arial" w:eastAsia="Calibri" w:hAnsi="Arial" w:cs="Arial"/>
          <w:b/>
          <w:bCs/>
          <w:sz w:val="20"/>
          <w:szCs w:val="20"/>
        </w:rPr>
        <w:t>Extent to which research findings and documentation are accessible and are utilized to strengthen policy-making and improve safeguarding.</w:t>
      </w:r>
    </w:p>
    <w:tbl>
      <w:tblPr>
        <w:tblStyle w:val="TableGrid"/>
        <w:tblW w:w="3822" w:type="pct"/>
        <w:tblLook w:val="04A0" w:firstRow="1" w:lastRow="0" w:firstColumn="1" w:lastColumn="0" w:noHBand="0" w:noVBand="1"/>
      </w:tblPr>
      <w:tblGrid>
        <w:gridCol w:w="5498"/>
        <w:gridCol w:w="1394"/>
      </w:tblGrid>
      <w:tr w:rsidR="00E004E6" w:rsidRPr="00A80DCA" w14:paraId="07C2CDBE" w14:textId="77777777" w:rsidTr="00B97A84">
        <w:trPr>
          <w:cantSplit/>
          <w:trHeight w:val="465"/>
        </w:trPr>
        <w:tc>
          <w:tcPr>
            <w:tcW w:w="3989" w:type="pct"/>
            <w:vMerge w:val="restart"/>
            <w:tcBorders>
              <w:top w:val="single" w:sz="24" w:space="0" w:color="auto"/>
            </w:tcBorders>
          </w:tcPr>
          <w:p w14:paraId="46AE8148" w14:textId="77777777" w:rsidR="00E004E6" w:rsidRPr="00A80DCA" w:rsidRDefault="00E004E6" w:rsidP="00E004E6">
            <w:pPr>
              <w:numPr>
                <w:ilvl w:val="1"/>
                <w:numId w:val="5"/>
              </w:numPr>
              <w:spacing w:before="60" w:after="60"/>
              <w:ind w:left="567" w:hanging="567"/>
              <w:jc w:val="both"/>
              <w:rPr>
                <w:rFonts w:ascii="Arial" w:eastAsia="Calibri" w:hAnsi="Arial" w:cs="Arial"/>
                <w:vanish/>
                <w:lang w:val="en-GB" w:eastAsia="en-US"/>
              </w:rPr>
            </w:pPr>
            <w:r w:rsidRPr="00A80DCA">
              <w:rPr>
                <w:rFonts w:ascii="Arial" w:eastAsia="Calibri" w:hAnsi="Arial" w:cs="Arial"/>
                <w:lang w:val="en-GB" w:eastAsia="en-US"/>
              </w:rPr>
              <w:t>Documentation and research findings are accessible to communities, groups and individuals, while respecting customary practices governing access to specific aspects of ICH.</w:t>
            </w:r>
          </w:p>
        </w:tc>
        <w:tc>
          <w:tcPr>
            <w:tcW w:w="1011" w:type="pct"/>
            <w:vMerge w:val="restart"/>
            <w:tcBorders>
              <w:top w:val="single" w:sz="24" w:space="0" w:color="auto"/>
            </w:tcBorders>
            <w:vAlign w:val="center"/>
          </w:tcPr>
          <w:p w14:paraId="2FA27DD9"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50</w:t>
            </w:r>
          </w:p>
        </w:tc>
      </w:tr>
      <w:tr w:rsidR="00E004E6" w:rsidRPr="00A80DCA" w14:paraId="56E2E262" w14:textId="77777777" w:rsidTr="00B97A84">
        <w:trPr>
          <w:cantSplit/>
          <w:trHeight w:val="465"/>
        </w:trPr>
        <w:tc>
          <w:tcPr>
            <w:tcW w:w="3989" w:type="pct"/>
            <w:vMerge/>
          </w:tcPr>
          <w:p w14:paraId="575BB8AE" w14:textId="77777777" w:rsidR="00E004E6" w:rsidRPr="00A80DCA" w:rsidRDefault="00E004E6" w:rsidP="00E004E6">
            <w:pPr>
              <w:numPr>
                <w:ilvl w:val="1"/>
                <w:numId w:val="5"/>
              </w:numPr>
              <w:spacing w:before="60" w:after="60"/>
              <w:ind w:left="567" w:hanging="567"/>
              <w:jc w:val="both"/>
              <w:rPr>
                <w:rFonts w:ascii="Arial" w:eastAsia="Calibri" w:hAnsi="Arial" w:cs="Arial"/>
                <w:lang w:val="en-GB" w:eastAsia="en-US"/>
              </w:rPr>
            </w:pPr>
          </w:p>
        </w:tc>
        <w:tc>
          <w:tcPr>
            <w:tcW w:w="1011" w:type="pct"/>
            <w:vMerge/>
            <w:vAlign w:val="center"/>
          </w:tcPr>
          <w:p w14:paraId="74C8D010" w14:textId="77777777" w:rsidR="00E004E6" w:rsidRPr="00A80DCA" w:rsidRDefault="00E004E6" w:rsidP="00B97A84">
            <w:pPr>
              <w:spacing w:before="60" w:after="60"/>
              <w:jc w:val="both"/>
              <w:rPr>
                <w:rFonts w:ascii="Arial" w:hAnsi="Arial" w:cs="Arial"/>
                <w:lang w:val="en-GB"/>
              </w:rPr>
            </w:pPr>
          </w:p>
        </w:tc>
      </w:tr>
      <w:tr w:rsidR="00E004E6" w:rsidRPr="00A80DCA" w14:paraId="5C477E71" w14:textId="77777777" w:rsidTr="00B97A84">
        <w:trPr>
          <w:cantSplit/>
          <w:trHeight w:val="465"/>
        </w:trPr>
        <w:tc>
          <w:tcPr>
            <w:tcW w:w="3989" w:type="pct"/>
            <w:vMerge/>
          </w:tcPr>
          <w:p w14:paraId="5913AB15" w14:textId="77777777" w:rsidR="00E004E6" w:rsidRPr="00A80DCA" w:rsidRDefault="00E004E6" w:rsidP="00E004E6">
            <w:pPr>
              <w:numPr>
                <w:ilvl w:val="1"/>
                <w:numId w:val="5"/>
              </w:numPr>
              <w:spacing w:before="60" w:after="60"/>
              <w:ind w:left="567" w:hanging="567"/>
              <w:jc w:val="both"/>
              <w:rPr>
                <w:rFonts w:ascii="Arial" w:eastAsia="Calibri" w:hAnsi="Arial" w:cs="Arial"/>
                <w:lang w:val="en-GB" w:eastAsia="en-US"/>
              </w:rPr>
            </w:pPr>
          </w:p>
        </w:tc>
        <w:tc>
          <w:tcPr>
            <w:tcW w:w="1011" w:type="pct"/>
            <w:vMerge/>
            <w:vAlign w:val="center"/>
          </w:tcPr>
          <w:p w14:paraId="62972A88" w14:textId="77777777" w:rsidR="00E004E6" w:rsidRPr="00A80DCA" w:rsidRDefault="00E004E6" w:rsidP="00B97A84">
            <w:pPr>
              <w:spacing w:before="60" w:after="60"/>
              <w:jc w:val="both"/>
              <w:rPr>
                <w:rFonts w:ascii="Arial" w:hAnsi="Arial" w:cs="Arial"/>
                <w:lang w:val="en-GB"/>
              </w:rPr>
            </w:pPr>
          </w:p>
        </w:tc>
      </w:tr>
      <w:tr w:rsidR="00E004E6" w:rsidRPr="00A80DCA" w14:paraId="611DE913" w14:textId="77777777" w:rsidTr="00B97A84">
        <w:trPr>
          <w:cantSplit/>
        </w:trPr>
        <w:tc>
          <w:tcPr>
            <w:tcW w:w="3989" w:type="pct"/>
          </w:tcPr>
          <w:p w14:paraId="3DCAA97D" w14:textId="77777777" w:rsidR="00E004E6" w:rsidRPr="00A80DCA" w:rsidRDefault="00E004E6" w:rsidP="00E004E6">
            <w:pPr>
              <w:numPr>
                <w:ilvl w:val="1"/>
                <w:numId w:val="5"/>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The results of research, documentation, and scientific, technical and artistic studies on ICH are utilized to strengthen policy-making across sectors.</w:t>
            </w:r>
          </w:p>
        </w:tc>
        <w:tc>
          <w:tcPr>
            <w:tcW w:w="1011" w:type="pct"/>
            <w:vAlign w:val="center"/>
          </w:tcPr>
          <w:p w14:paraId="22D50497"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25</w:t>
            </w:r>
          </w:p>
        </w:tc>
      </w:tr>
      <w:tr w:rsidR="00E004E6" w:rsidRPr="00A80DCA" w14:paraId="3B9875DF" w14:textId="77777777" w:rsidTr="00B97A84">
        <w:trPr>
          <w:cantSplit/>
        </w:trPr>
        <w:tc>
          <w:tcPr>
            <w:tcW w:w="3989" w:type="pct"/>
            <w:tcBorders>
              <w:bottom w:val="single" w:sz="24" w:space="0" w:color="auto"/>
            </w:tcBorders>
          </w:tcPr>
          <w:p w14:paraId="53835E09" w14:textId="77777777" w:rsidR="00E004E6" w:rsidRPr="00A80DCA" w:rsidRDefault="00E004E6" w:rsidP="00E004E6">
            <w:pPr>
              <w:numPr>
                <w:ilvl w:val="1"/>
                <w:numId w:val="5"/>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The results of research, documentation, and scientific, technical and artistic studies on ICH are utilized to improve safeguarding.</w:t>
            </w:r>
          </w:p>
        </w:tc>
        <w:tc>
          <w:tcPr>
            <w:tcW w:w="1011" w:type="pct"/>
            <w:tcBorders>
              <w:bottom w:val="single" w:sz="24" w:space="0" w:color="auto"/>
            </w:tcBorders>
            <w:vAlign w:val="center"/>
          </w:tcPr>
          <w:p w14:paraId="71BB5AD4"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25</w:t>
            </w:r>
          </w:p>
        </w:tc>
      </w:tr>
    </w:tbl>
    <w:p w14:paraId="62EEB36B" w14:textId="77777777" w:rsidR="00BC257A" w:rsidRPr="00A80DCA" w:rsidRDefault="00BC257A" w:rsidP="00F40BDD">
      <w:pPr>
        <w:spacing w:line="240" w:lineRule="auto"/>
        <w:rPr>
          <w:rFonts w:ascii="Arial" w:hAnsi="Arial" w:cs="Arial"/>
          <w:b/>
          <w:bCs/>
          <w:sz w:val="20"/>
          <w:szCs w:val="20"/>
        </w:rPr>
      </w:pPr>
    </w:p>
    <w:p w14:paraId="7A65EDAE" w14:textId="77777777" w:rsidR="00E004E6" w:rsidRPr="00A80DCA" w:rsidRDefault="00E004E6" w:rsidP="00BC257A">
      <w:pPr>
        <w:spacing w:line="240" w:lineRule="auto"/>
        <w:rPr>
          <w:rFonts w:ascii="Arial" w:hAnsi="Arial" w:cs="Arial"/>
          <w:b/>
          <w:bCs/>
          <w:sz w:val="20"/>
          <w:szCs w:val="20"/>
        </w:rPr>
      </w:pPr>
      <w:r w:rsidRPr="00A80DCA">
        <w:rPr>
          <w:rFonts w:ascii="Arial" w:hAnsi="Arial" w:cs="Arial"/>
          <w:b/>
          <w:bCs/>
          <w:sz w:val="20"/>
          <w:szCs w:val="20"/>
        </w:rPr>
        <w:lastRenderedPageBreak/>
        <w:t>Indicator 14:</w:t>
      </w:r>
      <w:r w:rsidR="00F40BDD" w:rsidRPr="00A80DCA">
        <w:rPr>
          <w:rFonts w:ascii="Arial" w:hAnsi="Arial" w:cs="Arial"/>
          <w:b/>
          <w:bCs/>
          <w:sz w:val="20"/>
          <w:szCs w:val="20"/>
        </w:rPr>
        <w:t xml:space="preserve"> </w:t>
      </w:r>
      <w:r w:rsidR="00F40BDD" w:rsidRPr="00A80DCA">
        <w:rPr>
          <w:rFonts w:ascii="Arial" w:eastAsia="Calibri" w:hAnsi="Arial" w:cs="Arial"/>
          <w:b/>
          <w:bCs/>
          <w:sz w:val="20"/>
          <w:szCs w:val="20"/>
        </w:rPr>
        <w:t>Extent to which policies as well as legal and administrative measures respect customary rights, practices and expressions, particularly as regards the practice and transmission of ICH.</w:t>
      </w:r>
    </w:p>
    <w:tbl>
      <w:tblPr>
        <w:tblStyle w:val="TableGrid"/>
        <w:tblW w:w="3822" w:type="pct"/>
        <w:tblLook w:val="04A0" w:firstRow="1" w:lastRow="0" w:firstColumn="1" w:lastColumn="0" w:noHBand="0" w:noVBand="1"/>
      </w:tblPr>
      <w:tblGrid>
        <w:gridCol w:w="5498"/>
        <w:gridCol w:w="1394"/>
      </w:tblGrid>
      <w:tr w:rsidR="00E004E6" w:rsidRPr="00A80DCA" w14:paraId="309276C6" w14:textId="77777777" w:rsidTr="00B97A84">
        <w:trPr>
          <w:cantSplit/>
          <w:trHeight w:val="638"/>
        </w:trPr>
        <w:tc>
          <w:tcPr>
            <w:tcW w:w="3989" w:type="pct"/>
            <w:vMerge w:val="restart"/>
            <w:tcBorders>
              <w:top w:val="single" w:sz="24" w:space="0" w:color="auto"/>
            </w:tcBorders>
          </w:tcPr>
          <w:p w14:paraId="335C15F0" w14:textId="77777777" w:rsidR="00E004E6" w:rsidRPr="00A80DCA" w:rsidRDefault="00E004E6" w:rsidP="00E004E6">
            <w:pPr>
              <w:numPr>
                <w:ilvl w:val="1"/>
                <w:numId w:val="7"/>
              </w:numPr>
              <w:spacing w:before="60" w:after="60"/>
              <w:ind w:left="567" w:hanging="567"/>
              <w:jc w:val="both"/>
              <w:rPr>
                <w:rFonts w:ascii="Arial" w:eastAsia="Calibri" w:hAnsi="Arial" w:cs="Arial"/>
                <w:vanish/>
                <w:lang w:val="en-GB" w:eastAsia="en-US"/>
              </w:rPr>
            </w:pPr>
            <w:r w:rsidRPr="00A80DCA">
              <w:rPr>
                <w:rFonts w:ascii="Arial" w:eastAsia="Calibri" w:hAnsi="Arial" w:cs="Arial"/>
                <w:lang w:val="en-GB" w:eastAsia="en-US"/>
              </w:rPr>
              <w:t>Forms of legal protection, such as intellectual property rights and privacy rights, are provided to ICH practitioners, bearers and their communities when their ICH is exploited by others for commercial or other purposes.</w:t>
            </w:r>
          </w:p>
        </w:tc>
        <w:tc>
          <w:tcPr>
            <w:tcW w:w="1011" w:type="pct"/>
            <w:vMerge w:val="restart"/>
            <w:tcBorders>
              <w:top w:val="single" w:sz="24" w:space="0" w:color="auto"/>
            </w:tcBorders>
            <w:vAlign w:val="center"/>
          </w:tcPr>
          <w:p w14:paraId="6EC2570D"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35</w:t>
            </w:r>
          </w:p>
        </w:tc>
      </w:tr>
      <w:tr w:rsidR="00E004E6" w:rsidRPr="00A80DCA" w14:paraId="3FB22E81" w14:textId="77777777" w:rsidTr="00B97A84">
        <w:trPr>
          <w:cantSplit/>
          <w:trHeight w:val="637"/>
        </w:trPr>
        <w:tc>
          <w:tcPr>
            <w:tcW w:w="3989" w:type="pct"/>
            <w:vMerge/>
          </w:tcPr>
          <w:p w14:paraId="7DE356E1" w14:textId="77777777" w:rsidR="00E004E6" w:rsidRPr="00A80DCA" w:rsidRDefault="00E004E6" w:rsidP="00E004E6">
            <w:pPr>
              <w:numPr>
                <w:ilvl w:val="1"/>
                <w:numId w:val="7"/>
              </w:numPr>
              <w:spacing w:before="60" w:after="60"/>
              <w:ind w:left="567" w:hanging="567"/>
              <w:jc w:val="both"/>
              <w:rPr>
                <w:rFonts w:ascii="Arial" w:eastAsia="Calibri" w:hAnsi="Arial" w:cs="Arial"/>
                <w:lang w:val="en-GB" w:eastAsia="en-US"/>
              </w:rPr>
            </w:pPr>
          </w:p>
        </w:tc>
        <w:tc>
          <w:tcPr>
            <w:tcW w:w="1011" w:type="pct"/>
            <w:vMerge/>
            <w:vAlign w:val="center"/>
          </w:tcPr>
          <w:p w14:paraId="1588E47C" w14:textId="77777777" w:rsidR="00E004E6" w:rsidRPr="00A80DCA" w:rsidRDefault="00E004E6" w:rsidP="00B97A84">
            <w:pPr>
              <w:spacing w:before="60" w:after="60"/>
              <w:jc w:val="both"/>
              <w:rPr>
                <w:rFonts w:ascii="Arial" w:hAnsi="Arial" w:cs="Arial"/>
                <w:lang w:val="en-GB"/>
              </w:rPr>
            </w:pPr>
          </w:p>
        </w:tc>
      </w:tr>
      <w:tr w:rsidR="00E004E6" w:rsidRPr="00A80DCA" w14:paraId="1CEDAAE2" w14:textId="77777777" w:rsidTr="00B97A84">
        <w:trPr>
          <w:cantSplit/>
          <w:trHeight w:val="750"/>
        </w:trPr>
        <w:tc>
          <w:tcPr>
            <w:tcW w:w="3989" w:type="pct"/>
            <w:vMerge w:val="restart"/>
          </w:tcPr>
          <w:p w14:paraId="31AEF351" w14:textId="77777777" w:rsidR="00E004E6" w:rsidRPr="00A80DCA" w:rsidRDefault="00E004E6" w:rsidP="00E004E6">
            <w:pPr>
              <w:numPr>
                <w:ilvl w:val="1"/>
                <w:numId w:val="7"/>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The importance of customary rights of communities and groups to land, sea and forest ecosystems necessary for the practice and transmission of ICH is recognized in policies and/or legal and administrative measures.</w:t>
            </w:r>
          </w:p>
        </w:tc>
        <w:tc>
          <w:tcPr>
            <w:tcW w:w="1011" w:type="pct"/>
            <w:vMerge w:val="restart"/>
            <w:vAlign w:val="center"/>
          </w:tcPr>
          <w:p w14:paraId="1FB925D9"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35</w:t>
            </w:r>
          </w:p>
        </w:tc>
      </w:tr>
      <w:tr w:rsidR="00E004E6" w:rsidRPr="00A80DCA" w:rsidDel="00024B96" w14:paraId="1876D667" w14:textId="77777777" w:rsidTr="00B97A84">
        <w:trPr>
          <w:cantSplit/>
          <w:trHeight w:val="750"/>
        </w:trPr>
        <w:tc>
          <w:tcPr>
            <w:tcW w:w="3989" w:type="pct"/>
            <w:vMerge/>
          </w:tcPr>
          <w:p w14:paraId="64C16AA7" w14:textId="77777777" w:rsidR="00E004E6" w:rsidRPr="00A80DCA" w:rsidRDefault="00E004E6" w:rsidP="00E004E6">
            <w:pPr>
              <w:numPr>
                <w:ilvl w:val="1"/>
                <w:numId w:val="7"/>
              </w:numPr>
              <w:spacing w:before="60" w:after="60"/>
              <w:ind w:left="567" w:hanging="567"/>
              <w:jc w:val="both"/>
              <w:rPr>
                <w:rFonts w:ascii="Arial" w:eastAsia="Calibri" w:hAnsi="Arial" w:cs="Arial"/>
                <w:lang w:val="en-GB" w:eastAsia="en-US"/>
              </w:rPr>
            </w:pPr>
          </w:p>
        </w:tc>
        <w:tc>
          <w:tcPr>
            <w:tcW w:w="1011" w:type="pct"/>
            <w:vMerge/>
            <w:vAlign w:val="center"/>
          </w:tcPr>
          <w:p w14:paraId="6B257E9A" w14:textId="77777777" w:rsidR="00E004E6" w:rsidRPr="00A80DCA" w:rsidDel="00024B96" w:rsidRDefault="00E004E6" w:rsidP="00B97A84">
            <w:pPr>
              <w:spacing w:before="60" w:after="60"/>
              <w:jc w:val="both"/>
              <w:rPr>
                <w:rFonts w:ascii="Arial" w:hAnsi="Arial" w:cs="Arial"/>
                <w:lang w:val="en-GB"/>
              </w:rPr>
            </w:pPr>
          </w:p>
        </w:tc>
      </w:tr>
      <w:tr w:rsidR="00E004E6" w:rsidRPr="00A80DCA" w14:paraId="099DEE19" w14:textId="77777777" w:rsidTr="00B97A84">
        <w:trPr>
          <w:cantSplit/>
        </w:trPr>
        <w:tc>
          <w:tcPr>
            <w:tcW w:w="3989" w:type="pct"/>
            <w:tcBorders>
              <w:bottom w:val="single" w:sz="24" w:space="0" w:color="auto"/>
            </w:tcBorders>
          </w:tcPr>
          <w:p w14:paraId="220BFC05" w14:textId="77777777" w:rsidR="00E004E6" w:rsidRPr="00A80DCA" w:rsidRDefault="00E004E6" w:rsidP="00E004E6">
            <w:pPr>
              <w:numPr>
                <w:ilvl w:val="1"/>
                <w:numId w:val="7"/>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Policies and/or legal and administrative measures recognize expressions, practices and representations of intangible cultural heritage that contribute to dispute prevention and peaceful conflict resolution.</w:t>
            </w:r>
          </w:p>
        </w:tc>
        <w:tc>
          <w:tcPr>
            <w:tcW w:w="1011" w:type="pct"/>
            <w:tcBorders>
              <w:bottom w:val="single" w:sz="24" w:space="0" w:color="auto"/>
            </w:tcBorders>
            <w:vAlign w:val="center"/>
          </w:tcPr>
          <w:p w14:paraId="40D0140C"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30</w:t>
            </w:r>
          </w:p>
        </w:tc>
      </w:tr>
    </w:tbl>
    <w:p w14:paraId="0AC3F17A" w14:textId="77777777" w:rsidR="00E004E6" w:rsidRPr="00A80DCA" w:rsidRDefault="00E004E6" w:rsidP="0016699B">
      <w:pPr>
        <w:rPr>
          <w:rFonts w:ascii="Arial" w:hAnsi="Arial" w:cs="Arial"/>
          <w:sz w:val="20"/>
          <w:szCs w:val="20"/>
        </w:rPr>
      </w:pPr>
    </w:p>
    <w:p w14:paraId="1A13983C" w14:textId="77777777" w:rsidR="00E004E6" w:rsidRPr="00A80DCA" w:rsidRDefault="00E004E6" w:rsidP="00A80DCA">
      <w:pPr>
        <w:rPr>
          <w:rFonts w:ascii="Arial" w:hAnsi="Arial" w:cs="Arial"/>
          <w:b/>
          <w:bCs/>
          <w:sz w:val="20"/>
          <w:szCs w:val="20"/>
        </w:rPr>
      </w:pPr>
      <w:r w:rsidRPr="00A80DCA">
        <w:rPr>
          <w:rFonts w:ascii="Arial" w:hAnsi="Arial" w:cs="Arial"/>
          <w:b/>
          <w:bCs/>
          <w:sz w:val="20"/>
          <w:szCs w:val="20"/>
        </w:rPr>
        <w:t>Indicator 15:</w:t>
      </w:r>
      <w:r w:rsidR="00F40BDD" w:rsidRPr="00A80DCA">
        <w:rPr>
          <w:rFonts w:ascii="Arial" w:hAnsi="Arial" w:cs="Arial"/>
          <w:b/>
          <w:bCs/>
          <w:sz w:val="20"/>
          <w:szCs w:val="20"/>
        </w:rPr>
        <w:t xml:space="preserve"> </w:t>
      </w:r>
      <w:r w:rsidR="00F40BDD" w:rsidRPr="00A80DCA">
        <w:rPr>
          <w:rFonts w:ascii="Arial" w:eastAsia="Calibri" w:hAnsi="Arial" w:cs="Arial"/>
          <w:b/>
          <w:bCs/>
          <w:sz w:val="20"/>
          <w:szCs w:val="20"/>
        </w:rPr>
        <w:t>Extent to which the importance of ICH and its safeguarding in society is recognized, both by the communities, groups and individuals concerned and by society at large</w:t>
      </w:r>
      <w:r w:rsidR="00BC257A" w:rsidRPr="00A80DCA">
        <w:rPr>
          <w:rFonts w:ascii="Arial" w:eastAsia="Calibri" w:hAnsi="Arial" w:cs="Arial"/>
          <w:b/>
          <w:bCs/>
          <w:sz w:val="20"/>
          <w:szCs w:val="20"/>
        </w:rPr>
        <w:t>.</w:t>
      </w:r>
    </w:p>
    <w:tbl>
      <w:tblPr>
        <w:tblStyle w:val="TableGrid"/>
        <w:tblW w:w="3822" w:type="pct"/>
        <w:tblLook w:val="04A0" w:firstRow="1" w:lastRow="0" w:firstColumn="1" w:lastColumn="0" w:noHBand="0" w:noVBand="1"/>
      </w:tblPr>
      <w:tblGrid>
        <w:gridCol w:w="5498"/>
        <w:gridCol w:w="1394"/>
      </w:tblGrid>
      <w:tr w:rsidR="00E004E6" w:rsidRPr="00A80DCA" w14:paraId="12FAD16F" w14:textId="77777777" w:rsidTr="00B97A84">
        <w:trPr>
          <w:cantSplit/>
          <w:trHeight w:val="518"/>
        </w:trPr>
        <w:tc>
          <w:tcPr>
            <w:tcW w:w="3989" w:type="pct"/>
            <w:vMerge w:val="restart"/>
            <w:tcBorders>
              <w:top w:val="single" w:sz="24" w:space="0" w:color="auto"/>
            </w:tcBorders>
          </w:tcPr>
          <w:p w14:paraId="7CC3F123" w14:textId="77777777" w:rsidR="00E004E6" w:rsidRPr="00A80DCA" w:rsidRDefault="00E004E6" w:rsidP="00E004E6">
            <w:pPr>
              <w:numPr>
                <w:ilvl w:val="1"/>
                <w:numId w:val="8"/>
              </w:numPr>
              <w:spacing w:before="60" w:after="60"/>
              <w:ind w:left="567" w:hanging="567"/>
              <w:jc w:val="both"/>
              <w:rPr>
                <w:rFonts w:ascii="Arial" w:eastAsia="Calibri" w:hAnsi="Arial" w:cs="Arial"/>
                <w:vanish/>
                <w:lang w:val="en-GB" w:eastAsia="en-US"/>
              </w:rPr>
            </w:pPr>
            <w:r w:rsidRPr="00A80DCA">
              <w:rPr>
                <w:rFonts w:ascii="Arial" w:eastAsia="Calibri" w:hAnsi="Arial" w:cs="Arial"/>
                <w:lang w:val="en-GB" w:eastAsia="en-US"/>
              </w:rPr>
              <w:t>Communities, groups and individuals use their ICH for their well-being, including in the context of sustainable development programmes.</w:t>
            </w:r>
          </w:p>
        </w:tc>
        <w:tc>
          <w:tcPr>
            <w:tcW w:w="1011" w:type="pct"/>
            <w:vMerge w:val="restart"/>
            <w:tcBorders>
              <w:top w:val="single" w:sz="24" w:space="0" w:color="auto"/>
            </w:tcBorders>
            <w:vAlign w:val="center"/>
          </w:tcPr>
          <w:p w14:paraId="0406C687"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35</w:t>
            </w:r>
          </w:p>
        </w:tc>
      </w:tr>
      <w:tr w:rsidR="00E004E6" w:rsidRPr="00A80DCA" w:rsidDel="00024B96" w14:paraId="46DC1430" w14:textId="77777777" w:rsidTr="00B97A84">
        <w:trPr>
          <w:cantSplit/>
          <w:trHeight w:val="517"/>
        </w:trPr>
        <w:tc>
          <w:tcPr>
            <w:tcW w:w="3989" w:type="pct"/>
            <w:vMerge/>
          </w:tcPr>
          <w:p w14:paraId="3B413F21" w14:textId="77777777" w:rsidR="00E004E6" w:rsidRPr="00A80DCA" w:rsidRDefault="00E004E6" w:rsidP="00E004E6">
            <w:pPr>
              <w:numPr>
                <w:ilvl w:val="1"/>
                <w:numId w:val="8"/>
              </w:numPr>
              <w:spacing w:before="60" w:after="60"/>
              <w:ind w:left="567" w:hanging="567"/>
              <w:jc w:val="both"/>
              <w:rPr>
                <w:rFonts w:ascii="Arial" w:eastAsia="Calibri" w:hAnsi="Arial" w:cs="Arial"/>
                <w:lang w:val="en-GB" w:eastAsia="en-US"/>
              </w:rPr>
            </w:pPr>
          </w:p>
        </w:tc>
        <w:tc>
          <w:tcPr>
            <w:tcW w:w="1011" w:type="pct"/>
            <w:vMerge/>
            <w:vAlign w:val="center"/>
          </w:tcPr>
          <w:p w14:paraId="511FAA7B" w14:textId="77777777" w:rsidR="00E004E6" w:rsidRPr="00A80DCA" w:rsidDel="00024B96" w:rsidRDefault="00E004E6" w:rsidP="00B97A84">
            <w:pPr>
              <w:spacing w:before="60" w:after="60"/>
              <w:jc w:val="both"/>
              <w:rPr>
                <w:rFonts w:ascii="Arial" w:hAnsi="Arial" w:cs="Arial"/>
                <w:lang w:val="en-GB"/>
              </w:rPr>
            </w:pPr>
          </w:p>
        </w:tc>
      </w:tr>
      <w:tr w:rsidR="00E004E6" w:rsidRPr="00A80DCA" w14:paraId="3E988A60" w14:textId="77777777" w:rsidTr="00B97A84">
        <w:trPr>
          <w:cantSplit/>
        </w:trPr>
        <w:tc>
          <w:tcPr>
            <w:tcW w:w="3989" w:type="pct"/>
          </w:tcPr>
          <w:p w14:paraId="03FF57AC" w14:textId="77777777" w:rsidR="00E004E6" w:rsidRPr="00A80DCA" w:rsidRDefault="00E004E6" w:rsidP="00E004E6">
            <w:pPr>
              <w:numPr>
                <w:ilvl w:val="1"/>
                <w:numId w:val="8"/>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Communities, groups and individuals use their ICH for dialogue promoting mutual respect, conflict resolution and peace-building.</w:t>
            </w:r>
          </w:p>
        </w:tc>
        <w:tc>
          <w:tcPr>
            <w:tcW w:w="1011" w:type="pct"/>
            <w:vAlign w:val="center"/>
          </w:tcPr>
          <w:p w14:paraId="75D319FA"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25</w:t>
            </w:r>
          </w:p>
        </w:tc>
      </w:tr>
      <w:tr w:rsidR="00E004E6" w:rsidRPr="00A80DCA" w14:paraId="13362D26" w14:textId="77777777" w:rsidTr="00B97A84">
        <w:trPr>
          <w:cantSplit/>
          <w:trHeight w:val="750"/>
        </w:trPr>
        <w:tc>
          <w:tcPr>
            <w:tcW w:w="3989" w:type="pct"/>
            <w:vMerge w:val="restart"/>
          </w:tcPr>
          <w:p w14:paraId="7D0156C5" w14:textId="77777777" w:rsidR="00E004E6" w:rsidRPr="00A80DCA" w:rsidRDefault="00E004E6" w:rsidP="00E004E6">
            <w:pPr>
              <w:numPr>
                <w:ilvl w:val="1"/>
                <w:numId w:val="8"/>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Development interventions recognize the importance of ICH in society as a source of identity and continuity, and as a source of knowledge and skills, and strengthen its role as a resource to enable sustainable development.</w:t>
            </w:r>
          </w:p>
        </w:tc>
        <w:tc>
          <w:tcPr>
            <w:tcW w:w="1011" w:type="pct"/>
            <w:vMerge w:val="restart"/>
            <w:vAlign w:val="center"/>
          </w:tcPr>
          <w:p w14:paraId="376AB1DD"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40</w:t>
            </w:r>
          </w:p>
        </w:tc>
      </w:tr>
      <w:tr w:rsidR="00E004E6" w:rsidRPr="00A80DCA" w:rsidDel="00024B96" w14:paraId="76395456" w14:textId="77777777" w:rsidTr="00B97A84">
        <w:trPr>
          <w:cantSplit/>
          <w:trHeight w:val="750"/>
        </w:trPr>
        <w:tc>
          <w:tcPr>
            <w:tcW w:w="3989" w:type="pct"/>
            <w:vMerge/>
            <w:tcBorders>
              <w:bottom w:val="single" w:sz="24" w:space="0" w:color="auto"/>
            </w:tcBorders>
          </w:tcPr>
          <w:p w14:paraId="206ED7AF" w14:textId="77777777" w:rsidR="00E004E6" w:rsidRPr="00A80DCA" w:rsidRDefault="00E004E6" w:rsidP="00E004E6">
            <w:pPr>
              <w:numPr>
                <w:ilvl w:val="1"/>
                <w:numId w:val="8"/>
              </w:numPr>
              <w:spacing w:before="60" w:after="60"/>
              <w:ind w:left="567" w:hanging="567"/>
              <w:jc w:val="both"/>
              <w:rPr>
                <w:rFonts w:ascii="Arial" w:eastAsia="Calibri" w:hAnsi="Arial" w:cs="Arial"/>
                <w:lang w:val="en-GB" w:eastAsia="en-US"/>
              </w:rPr>
            </w:pPr>
          </w:p>
        </w:tc>
        <w:tc>
          <w:tcPr>
            <w:tcW w:w="1011" w:type="pct"/>
            <w:vMerge/>
            <w:tcBorders>
              <w:bottom w:val="single" w:sz="24" w:space="0" w:color="auto"/>
            </w:tcBorders>
            <w:vAlign w:val="center"/>
          </w:tcPr>
          <w:p w14:paraId="575515FC" w14:textId="77777777" w:rsidR="00E004E6" w:rsidRPr="00A80DCA" w:rsidDel="00024B96" w:rsidRDefault="00E004E6" w:rsidP="00B97A84">
            <w:pPr>
              <w:spacing w:before="60" w:after="60"/>
              <w:jc w:val="both"/>
              <w:rPr>
                <w:rFonts w:ascii="Arial" w:hAnsi="Arial" w:cs="Arial"/>
                <w:lang w:val="en-GB"/>
              </w:rPr>
            </w:pPr>
          </w:p>
        </w:tc>
      </w:tr>
    </w:tbl>
    <w:p w14:paraId="106567BF" w14:textId="77777777" w:rsidR="00E004E6" w:rsidRPr="00A80DCA" w:rsidRDefault="00E004E6" w:rsidP="0016699B">
      <w:pPr>
        <w:rPr>
          <w:rFonts w:ascii="Arial" w:hAnsi="Arial" w:cs="Arial"/>
          <w:sz w:val="20"/>
          <w:szCs w:val="20"/>
        </w:rPr>
      </w:pPr>
    </w:p>
    <w:p w14:paraId="1D49D1A5" w14:textId="77777777" w:rsidR="00E004E6" w:rsidRPr="00A80DCA" w:rsidRDefault="00E004E6" w:rsidP="004D4A93">
      <w:pPr>
        <w:rPr>
          <w:rFonts w:ascii="Arial" w:hAnsi="Arial" w:cs="Arial"/>
          <w:b/>
          <w:bCs/>
          <w:sz w:val="20"/>
          <w:szCs w:val="20"/>
        </w:rPr>
      </w:pPr>
      <w:r w:rsidRPr="00A80DCA">
        <w:rPr>
          <w:rFonts w:ascii="Arial" w:hAnsi="Arial" w:cs="Arial"/>
          <w:b/>
          <w:bCs/>
          <w:sz w:val="20"/>
          <w:szCs w:val="20"/>
        </w:rPr>
        <w:t xml:space="preserve">Indicator 18: </w:t>
      </w:r>
      <w:r w:rsidR="00BC257A" w:rsidRPr="00A80DCA">
        <w:rPr>
          <w:rFonts w:ascii="Arial" w:eastAsia="Calibri" w:hAnsi="Arial" w:cs="Arial"/>
          <w:b/>
          <w:bCs/>
          <w:sz w:val="20"/>
          <w:szCs w:val="20"/>
        </w:rPr>
        <w:t>Extent to which media are involved in raising awareness about the importance of ICH and its safeguarding and in promoting understanding and mutual respect.</w:t>
      </w:r>
    </w:p>
    <w:tbl>
      <w:tblPr>
        <w:tblStyle w:val="TableGrid"/>
        <w:tblW w:w="3822" w:type="pct"/>
        <w:tblLook w:val="04A0" w:firstRow="1" w:lastRow="0" w:firstColumn="1" w:lastColumn="0" w:noHBand="0" w:noVBand="1"/>
      </w:tblPr>
      <w:tblGrid>
        <w:gridCol w:w="5498"/>
        <w:gridCol w:w="1394"/>
      </w:tblGrid>
      <w:tr w:rsidR="00E004E6" w:rsidRPr="00A80DCA" w14:paraId="44CC4E72" w14:textId="77777777" w:rsidTr="00B97A84">
        <w:trPr>
          <w:cantSplit/>
        </w:trPr>
        <w:tc>
          <w:tcPr>
            <w:tcW w:w="3989" w:type="pct"/>
            <w:tcBorders>
              <w:top w:val="single" w:sz="24" w:space="0" w:color="auto"/>
            </w:tcBorders>
          </w:tcPr>
          <w:p w14:paraId="33FC76D1" w14:textId="77777777" w:rsidR="00E004E6" w:rsidRPr="00A80DCA" w:rsidRDefault="00E004E6" w:rsidP="00E004E6">
            <w:pPr>
              <w:numPr>
                <w:ilvl w:val="1"/>
                <w:numId w:val="9"/>
              </w:numPr>
              <w:spacing w:before="60" w:after="60"/>
              <w:ind w:left="567" w:hanging="567"/>
              <w:jc w:val="both"/>
              <w:rPr>
                <w:rFonts w:ascii="Arial" w:eastAsia="Calibri" w:hAnsi="Arial" w:cs="Arial"/>
                <w:vanish/>
                <w:lang w:val="en-GB" w:eastAsia="en-US"/>
              </w:rPr>
            </w:pPr>
            <w:r w:rsidRPr="00A80DCA">
              <w:rPr>
                <w:rFonts w:ascii="Arial" w:eastAsia="Calibri" w:hAnsi="Arial" w:cs="Arial"/>
                <w:lang w:val="en-GB" w:eastAsia="en-US"/>
              </w:rPr>
              <w:t>Media coverage raises awareness of the importance of ICH and its safeguarding and promotes mutual respect among communities, groups and individuals.</w:t>
            </w:r>
          </w:p>
        </w:tc>
        <w:tc>
          <w:tcPr>
            <w:tcW w:w="1011" w:type="pct"/>
            <w:tcBorders>
              <w:top w:val="single" w:sz="24" w:space="0" w:color="auto"/>
            </w:tcBorders>
            <w:vAlign w:val="center"/>
          </w:tcPr>
          <w:p w14:paraId="7766FB86"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30</w:t>
            </w:r>
          </w:p>
        </w:tc>
      </w:tr>
      <w:tr w:rsidR="00E004E6" w:rsidRPr="00A80DCA" w14:paraId="1F814BC2" w14:textId="77777777" w:rsidTr="00B97A84">
        <w:trPr>
          <w:cantSplit/>
          <w:trHeight w:val="638"/>
        </w:trPr>
        <w:tc>
          <w:tcPr>
            <w:tcW w:w="3989" w:type="pct"/>
            <w:vMerge w:val="restart"/>
          </w:tcPr>
          <w:p w14:paraId="6CEA5489" w14:textId="77777777" w:rsidR="00E004E6" w:rsidRPr="00A80DCA" w:rsidRDefault="00E004E6" w:rsidP="00E004E6">
            <w:pPr>
              <w:numPr>
                <w:ilvl w:val="1"/>
                <w:numId w:val="9"/>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Specific cooperation activities or programmes concerning ICH are established and implemented between various ICH stakeholders and media organizations, including capacity-building activities.</w:t>
            </w:r>
          </w:p>
        </w:tc>
        <w:tc>
          <w:tcPr>
            <w:tcW w:w="1011" w:type="pct"/>
            <w:vMerge w:val="restart"/>
            <w:vAlign w:val="center"/>
          </w:tcPr>
          <w:p w14:paraId="74BA05E6"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20</w:t>
            </w:r>
          </w:p>
        </w:tc>
      </w:tr>
      <w:tr w:rsidR="00E004E6" w:rsidRPr="00A80DCA" w:rsidDel="00024B96" w14:paraId="76A42963" w14:textId="77777777" w:rsidTr="00B97A84">
        <w:trPr>
          <w:cantSplit/>
          <w:trHeight w:val="637"/>
        </w:trPr>
        <w:tc>
          <w:tcPr>
            <w:tcW w:w="3989" w:type="pct"/>
            <w:vMerge/>
          </w:tcPr>
          <w:p w14:paraId="3E44070D" w14:textId="77777777" w:rsidR="00E004E6" w:rsidRPr="00A80DCA" w:rsidRDefault="00E004E6" w:rsidP="00E004E6">
            <w:pPr>
              <w:numPr>
                <w:ilvl w:val="1"/>
                <w:numId w:val="9"/>
              </w:numPr>
              <w:spacing w:before="60" w:after="60"/>
              <w:ind w:left="567" w:hanging="567"/>
              <w:jc w:val="both"/>
              <w:rPr>
                <w:rFonts w:ascii="Arial" w:eastAsia="Calibri" w:hAnsi="Arial" w:cs="Arial"/>
                <w:lang w:val="en-GB" w:eastAsia="en-US"/>
              </w:rPr>
            </w:pPr>
          </w:p>
        </w:tc>
        <w:tc>
          <w:tcPr>
            <w:tcW w:w="1011" w:type="pct"/>
            <w:vMerge/>
            <w:vAlign w:val="center"/>
          </w:tcPr>
          <w:p w14:paraId="52CF52B1" w14:textId="77777777" w:rsidR="00E004E6" w:rsidRPr="00A80DCA" w:rsidDel="00024B96" w:rsidRDefault="00E004E6" w:rsidP="00B97A84">
            <w:pPr>
              <w:spacing w:before="60" w:after="60"/>
              <w:jc w:val="both"/>
              <w:rPr>
                <w:rFonts w:ascii="Arial" w:hAnsi="Arial" w:cs="Arial"/>
                <w:lang w:val="en-GB"/>
              </w:rPr>
            </w:pPr>
          </w:p>
        </w:tc>
      </w:tr>
      <w:tr w:rsidR="00E004E6" w:rsidRPr="00A80DCA" w14:paraId="32FF0C47" w14:textId="77777777" w:rsidTr="00B97A84">
        <w:trPr>
          <w:cantSplit/>
        </w:trPr>
        <w:tc>
          <w:tcPr>
            <w:tcW w:w="3989" w:type="pct"/>
          </w:tcPr>
          <w:p w14:paraId="12D4BA0C" w14:textId="77777777" w:rsidR="00E004E6" w:rsidRPr="00A80DCA" w:rsidRDefault="00E004E6" w:rsidP="00E004E6">
            <w:pPr>
              <w:numPr>
                <w:ilvl w:val="1"/>
                <w:numId w:val="9"/>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lastRenderedPageBreak/>
              <w:t>Media programming on ICH is inclusive, utilizes the languages of the communities and groups concerned, and/or addresses different target groups.</w:t>
            </w:r>
          </w:p>
        </w:tc>
        <w:tc>
          <w:tcPr>
            <w:tcW w:w="1011" w:type="pct"/>
            <w:vAlign w:val="center"/>
          </w:tcPr>
          <w:p w14:paraId="05F2143D"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30</w:t>
            </w:r>
          </w:p>
        </w:tc>
      </w:tr>
      <w:tr w:rsidR="00E004E6" w:rsidRPr="00A80DCA" w14:paraId="69FCE437" w14:textId="77777777" w:rsidTr="00B97A84">
        <w:trPr>
          <w:cantSplit/>
        </w:trPr>
        <w:tc>
          <w:tcPr>
            <w:tcW w:w="3989" w:type="pct"/>
            <w:tcBorders>
              <w:bottom w:val="single" w:sz="24" w:space="0" w:color="auto"/>
            </w:tcBorders>
          </w:tcPr>
          <w:p w14:paraId="7D86C865" w14:textId="77777777" w:rsidR="00E004E6" w:rsidRPr="00A80DCA" w:rsidRDefault="00E004E6" w:rsidP="00E004E6">
            <w:pPr>
              <w:numPr>
                <w:ilvl w:val="1"/>
                <w:numId w:val="9"/>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 xml:space="preserve">Media coverage of intangible cultural heritage and its safeguarding is in line with the concepts and terminology of the Convention. </w:t>
            </w:r>
          </w:p>
        </w:tc>
        <w:tc>
          <w:tcPr>
            <w:tcW w:w="1011" w:type="pct"/>
            <w:tcBorders>
              <w:bottom w:val="single" w:sz="24" w:space="0" w:color="auto"/>
            </w:tcBorders>
            <w:vAlign w:val="center"/>
          </w:tcPr>
          <w:p w14:paraId="36C2CB45"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20</w:t>
            </w:r>
          </w:p>
        </w:tc>
      </w:tr>
    </w:tbl>
    <w:p w14:paraId="25CBFD21" w14:textId="77777777" w:rsidR="004D4A93" w:rsidRPr="00A80DCA" w:rsidRDefault="004D4A93">
      <w:pPr>
        <w:rPr>
          <w:rFonts w:ascii="Arial" w:hAnsi="Arial" w:cs="Arial"/>
          <w:b/>
          <w:bCs/>
          <w:sz w:val="20"/>
          <w:szCs w:val="20"/>
        </w:rPr>
      </w:pPr>
    </w:p>
    <w:p w14:paraId="1DBAAB17" w14:textId="77777777" w:rsidR="00E004E6" w:rsidRPr="00A80DCA" w:rsidRDefault="00E004E6" w:rsidP="00BC257A">
      <w:pPr>
        <w:spacing w:line="240" w:lineRule="auto"/>
        <w:rPr>
          <w:rFonts w:ascii="Arial" w:hAnsi="Arial" w:cs="Arial"/>
          <w:b/>
          <w:bCs/>
          <w:sz w:val="20"/>
          <w:szCs w:val="20"/>
        </w:rPr>
      </w:pPr>
      <w:r w:rsidRPr="00A80DCA">
        <w:rPr>
          <w:rFonts w:ascii="Arial" w:hAnsi="Arial" w:cs="Arial"/>
          <w:b/>
          <w:bCs/>
          <w:sz w:val="20"/>
          <w:szCs w:val="20"/>
        </w:rPr>
        <w:t>Indicator 20:</w:t>
      </w:r>
      <w:r w:rsidR="00BC257A" w:rsidRPr="00A80DCA">
        <w:rPr>
          <w:rFonts w:ascii="Arial" w:hAnsi="Arial" w:cs="Arial"/>
          <w:b/>
          <w:bCs/>
          <w:sz w:val="20"/>
          <w:szCs w:val="20"/>
        </w:rPr>
        <w:t xml:space="preserve"> </w:t>
      </w:r>
      <w:r w:rsidR="00BC257A" w:rsidRPr="00A80DCA">
        <w:rPr>
          <w:rFonts w:ascii="Arial" w:eastAsia="Calibri" w:hAnsi="Arial" w:cs="Arial"/>
          <w:b/>
          <w:bCs/>
          <w:sz w:val="20"/>
          <w:szCs w:val="20"/>
        </w:rPr>
        <w:t>Extent to which programmes raising awareness of ICH respect the relevant ethical principles.</w:t>
      </w:r>
    </w:p>
    <w:tbl>
      <w:tblPr>
        <w:tblStyle w:val="TableGrid"/>
        <w:tblW w:w="3822" w:type="pct"/>
        <w:tblLook w:val="04A0" w:firstRow="1" w:lastRow="0" w:firstColumn="1" w:lastColumn="0" w:noHBand="0" w:noVBand="1"/>
      </w:tblPr>
      <w:tblGrid>
        <w:gridCol w:w="5498"/>
        <w:gridCol w:w="1394"/>
      </w:tblGrid>
      <w:tr w:rsidR="00E004E6" w:rsidRPr="00A80DCA" w14:paraId="1613A962" w14:textId="77777777" w:rsidTr="00B97A84">
        <w:trPr>
          <w:cantSplit/>
          <w:trHeight w:val="405"/>
        </w:trPr>
        <w:tc>
          <w:tcPr>
            <w:tcW w:w="3989" w:type="pct"/>
            <w:vMerge w:val="restart"/>
            <w:tcBorders>
              <w:top w:val="single" w:sz="24" w:space="0" w:color="auto"/>
            </w:tcBorders>
          </w:tcPr>
          <w:p w14:paraId="1D424B81" w14:textId="77777777" w:rsidR="00E004E6" w:rsidRPr="00A80DCA" w:rsidRDefault="00E004E6" w:rsidP="00E004E6">
            <w:pPr>
              <w:numPr>
                <w:ilvl w:val="1"/>
                <w:numId w:val="10"/>
              </w:numPr>
              <w:spacing w:before="60" w:after="60"/>
              <w:ind w:left="567" w:hanging="567"/>
              <w:jc w:val="both"/>
              <w:rPr>
                <w:rFonts w:ascii="Arial" w:eastAsia="Calibri" w:hAnsi="Arial" w:cs="Arial"/>
                <w:vanish/>
                <w:lang w:val="en-GB" w:eastAsia="en-US"/>
              </w:rPr>
            </w:pPr>
            <w:r w:rsidRPr="00A80DCA">
              <w:rPr>
                <w:rFonts w:ascii="Arial" w:eastAsia="Calibri" w:hAnsi="Arial" w:cs="Arial"/>
                <w:lang w:val="en-GB" w:eastAsia="en-US"/>
              </w:rPr>
              <w:t>The Ethical Principles for Safeguarding Intangible Cultural Heritage are respected in awareness-raising activities.</w:t>
            </w:r>
          </w:p>
        </w:tc>
        <w:tc>
          <w:tcPr>
            <w:tcW w:w="1011" w:type="pct"/>
            <w:vMerge w:val="restart"/>
            <w:tcBorders>
              <w:top w:val="single" w:sz="24" w:space="0" w:color="auto"/>
            </w:tcBorders>
            <w:vAlign w:val="center"/>
          </w:tcPr>
          <w:p w14:paraId="1357458B"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65</w:t>
            </w:r>
          </w:p>
        </w:tc>
      </w:tr>
      <w:tr w:rsidR="00E004E6" w:rsidRPr="00A80DCA" w:rsidDel="00024B96" w14:paraId="27955CDF" w14:textId="77777777" w:rsidTr="00B97A84">
        <w:trPr>
          <w:cantSplit/>
          <w:trHeight w:val="405"/>
        </w:trPr>
        <w:tc>
          <w:tcPr>
            <w:tcW w:w="3989" w:type="pct"/>
            <w:vMerge/>
          </w:tcPr>
          <w:p w14:paraId="0B55DDCF" w14:textId="77777777" w:rsidR="00E004E6" w:rsidRPr="00A80DCA" w:rsidRDefault="00E004E6" w:rsidP="00E004E6">
            <w:pPr>
              <w:numPr>
                <w:ilvl w:val="1"/>
                <w:numId w:val="10"/>
              </w:numPr>
              <w:spacing w:before="60" w:after="60"/>
              <w:ind w:left="567" w:hanging="567"/>
              <w:jc w:val="both"/>
              <w:rPr>
                <w:rFonts w:ascii="Arial" w:eastAsia="Calibri" w:hAnsi="Arial" w:cs="Arial"/>
                <w:lang w:val="en-GB" w:eastAsia="en-US"/>
              </w:rPr>
            </w:pPr>
          </w:p>
        </w:tc>
        <w:tc>
          <w:tcPr>
            <w:tcW w:w="1011" w:type="pct"/>
            <w:vMerge/>
            <w:vAlign w:val="center"/>
          </w:tcPr>
          <w:p w14:paraId="782B136E" w14:textId="77777777" w:rsidR="00E004E6" w:rsidRPr="00A80DCA" w:rsidDel="00024B96" w:rsidRDefault="00E004E6" w:rsidP="00B97A84">
            <w:pPr>
              <w:spacing w:before="60" w:after="60"/>
              <w:jc w:val="both"/>
              <w:rPr>
                <w:rFonts w:ascii="Arial" w:hAnsi="Arial" w:cs="Arial"/>
                <w:lang w:val="en-GB"/>
              </w:rPr>
            </w:pPr>
          </w:p>
        </w:tc>
      </w:tr>
      <w:tr w:rsidR="00E004E6" w:rsidRPr="00A80DCA" w14:paraId="5E6B1447" w14:textId="77777777" w:rsidTr="00B97A84">
        <w:trPr>
          <w:cantSplit/>
          <w:trHeight w:val="428"/>
        </w:trPr>
        <w:tc>
          <w:tcPr>
            <w:tcW w:w="3989" w:type="pct"/>
            <w:vMerge w:val="restart"/>
          </w:tcPr>
          <w:p w14:paraId="28189EDF" w14:textId="77777777" w:rsidR="00E004E6" w:rsidRPr="00A80DCA" w:rsidRDefault="00E004E6" w:rsidP="00E004E6">
            <w:pPr>
              <w:numPr>
                <w:ilvl w:val="1"/>
                <w:numId w:val="10"/>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Ethical principles, particularly as embodied in relevant professional codes or standards, are respected in awareness-raising activities.</w:t>
            </w:r>
          </w:p>
        </w:tc>
        <w:tc>
          <w:tcPr>
            <w:tcW w:w="1011" w:type="pct"/>
            <w:vMerge w:val="restart"/>
            <w:vAlign w:val="center"/>
          </w:tcPr>
          <w:p w14:paraId="53938BE8"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35</w:t>
            </w:r>
          </w:p>
        </w:tc>
      </w:tr>
      <w:tr w:rsidR="00E004E6" w:rsidRPr="00A80DCA" w:rsidDel="00024B96" w14:paraId="4C650D47" w14:textId="77777777" w:rsidTr="00B97A84">
        <w:trPr>
          <w:cantSplit/>
          <w:trHeight w:val="427"/>
        </w:trPr>
        <w:tc>
          <w:tcPr>
            <w:tcW w:w="3989" w:type="pct"/>
            <w:vMerge/>
            <w:tcBorders>
              <w:bottom w:val="single" w:sz="24" w:space="0" w:color="auto"/>
            </w:tcBorders>
          </w:tcPr>
          <w:p w14:paraId="4CF5CF32" w14:textId="77777777" w:rsidR="00E004E6" w:rsidRPr="00A80DCA" w:rsidRDefault="00E004E6" w:rsidP="00E004E6">
            <w:pPr>
              <w:numPr>
                <w:ilvl w:val="1"/>
                <w:numId w:val="10"/>
              </w:numPr>
              <w:spacing w:before="60" w:after="60"/>
              <w:ind w:left="567" w:hanging="567"/>
              <w:jc w:val="both"/>
              <w:rPr>
                <w:rFonts w:ascii="Arial" w:eastAsia="Calibri" w:hAnsi="Arial" w:cs="Arial"/>
                <w:lang w:val="en-GB" w:eastAsia="en-US"/>
              </w:rPr>
            </w:pPr>
          </w:p>
        </w:tc>
        <w:tc>
          <w:tcPr>
            <w:tcW w:w="1011" w:type="pct"/>
            <w:vMerge/>
            <w:tcBorders>
              <w:bottom w:val="single" w:sz="24" w:space="0" w:color="auto"/>
            </w:tcBorders>
            <w:vAlign w:val="center"/>
          </w:tcPr>
          <w:p w14:paraId="0D1A7E1E" w14:textId="77777777" w:rsidR="00E004E6" w:rsidRPr="00A80DCA" w:rsidDel="00024B96" w:rsidRDefault="00E004E6" w:rsidP="00B97A84">
            <w:pPr>
              <w:spacing w:before="60" w:after="60"/>
              <w:jc w:val="both"/>
              <w:rPr>
                <w:rFonts w:ascii="Arial" w:hAnsi="Arial" w:cs="Arial"/>
                <w:lang w:val="en-GB"/>
              </w:rPr>
            </w:pPr>
          </w:p>
        </w:tc>
      </w:tr>
    </w:tbl>
    <w:p w14:paraId="5BBB4877" w14:textId="77777777" w:rsidR="00E004E6" w:rsidRPr="00A80DCA" w:rsidRDefault="00E004E6" w:rsidP="0016699B">
      <w:pPr>
        <w:rPr>
          <w:rFonts w:ascii="Arial" w:hAnsi="Arial" w:cs="Arial"/>
          <w:sz w:val="20"/>
          <w:szCs w:val="20"/>
        </w:rPr>
      </w:pPr>
    </w:p>
    <w:p w14:paraId="3AD7D7BF" w14:textId="77777777" w:rsidR="00E004E6" w:rsidRPr="00A80DCA" w:rsidRDefault="00E004E6" w:rsidP="00BC257A">
      <w:pPr>
        <w:spacing w:line="240" w:lineRule="auto"/>
        <w:rPr>
          <w:rFonts w:ascii="Arial" w:hAnsi="Arial" w:cs="Arial"/>
          <w:b/>
          <w:bCs/>
          <w:sz w:val="20"/>
          <w:szCs w:val="20"/>
        </w:rPr>
      </w:pPr>
      <w:r w:rsidRPr="00A80DCA">
        <w:rPr>
          <w:rFonts w:ascii="Arial" w:hAnsi="Arial" w:cs="Arial"/>
          <w:b/>
          <w:bCs/>
          <w:sz w:val="20"/>
          <w:szCs w:val="20"/>
        </w:rPr>
        <w:t>Indicator 24:</w:t>
      </w:r>
      <w:r w:rsidR="00BC257A" w:rsidRPr="00A80DCA">
        <w:rPr>
          <w:rFonts w:ascii="Arial" w:hAnsi="Arial" w:cs="Arial"/>
          <w:b/>
          <w:bCs/>
          <w:sz w:val="20"/>
          <w:szCs w:val="20"/>
        </w:rPr>
        <w:t xml:space="preserve"> </w:t>
      </w:r>
      <w:r w:rsidR="00BC257A" w:rsidRPr="00A80DCA">
        <w:rPr>
          <w:rFonts w:ascii="Arial" w:eastAsia="Calibri" w:hAnsi="Arial" w:cs="Arial"/>
          <w:b/>
          <w:bCs/>
          <w:sz w:val="20"/>
          <w:szCs w:val="20"/>
        </w:rPr>
        <w:t>Percentage of States Parties actively engaged with other States Parties in cooperation for safeguarding.</w:t>
      </w:r>
    </w:p>
    <w:tbl>
      <w:tblPr>
        <w:tblStyle w:val="TableGrid"/>
        <w:tblW w:w="3822" w:type="pct"/>
        <w:tblLook w:val="04A0" w:firstRow="1" w:lastRow="0" w:firstColumn="1" w:lastColumn="0" w:noHBand="0" w:noVBand="1"/>
      </w:tblPr>
      <w:tblGrid>
        <w:gridCol w:w="5498"/>
        <w:gridCol w:w="1394"/>
      </w:tblGrid>
      <w:tr w:rsidR="00E004E6" w:rsidRPr="00A80DCA" w14:paraId="55EF50C7" w14:textId="77777777" w:rsidTr="00B97A84">
        <w:trPr>
          <w:cantSplit/>
        </w:trPr>
        <w:tc>
          <w:tcPr>
            <w:tcW w:w="3989" w:type="pct"/>
            <w:tcBorders>
              <w:top w:val="single" w:sz="24" w:space="0" w:color="auto"/>
            </w:tcBorders>
          </w:tcPr>
          <w:p w14:paraId="057C7E0D" w14:textId="77777777" w:rsidR="00E004E6" w:rsidRPr="00A80DCA" w:rsidRDefault="00E004E6" w:rsidP="00E004E6">
            <w:pPr>
              <w:numPr>
                <w:ilvl w:val="1"/>
                <w:numId w:val="11"/>
              </w:numPr>
              <w:spacing w:before="60" w:after="60"/>
              <w:ind w:left="567" w:hanging="567"/>
              <w:jc w:val="both"/>
              <w:rPr>
                <w:rFonts w:ascii="Arial" w:eastAsia="Calibri" w:hAnsi="Arial" w:cs="Arial"/>
                <w:vanish/>
                <w:lang w:val="en-GB" w:eastAsia="en-US"/>
              </w:rPr>
            </w:pPr>
            <w:r w:rsidRPr="00A80DCA">
              <w:rPr>
                <w:rFonts w:ascii="Arial" w:eastAsia="Calibri" w:hAnsi="Arial" w:cs="Arial"/>
                <w:lang w:val="en-GB" w:eastAsia="en-US"/>
              </w:rPr>
              <w:t xml:space="preserve">Bilateral, multilateral, regional or international cooperation is undertaken to implement safeguarding measures for ICH in general </w:t>
            </w:r>
          </w:p>
        </w:tc>
        <w:tc>
          <w:tcPr>
            <w:tcW w:w="1011" w:type="pct"/>
            <w:tcBorders>
              <w:top w:val="single" w:sz="24" w:space="0" w:color="auto"/>
            </w:tcBorders>
            <w:vAlign w:val="center"/>
          </w:tcPr>
          <w:p w14:paraId="13FC6D07"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35</w:t>
            </w:r>
          </w:p>
        </w:tc>
      </w:tr>
      <w:tr w:rsidR="00E004E6" w:rsidRPr="00A80DCA" w14:paraId="31BA6A65" w14:textId="77777777" w:rsidTr="00B97A84">
        <w:trPr>
          <w:cantSplit/>
          <w:trHeight w:val="750"/>
        </w:trPr>
        <w:tc>
          <w:tcPr>
            <w:tcW w:w="3989" w:type="pct"/>
            <w:vMerge w:val="restart"/>
          </w:tcPr>
          <w:p w14:paraId="58FAB4B7" w14:textId="77777777" w:rsidR="00E004E6" w:rsidRPr="00A80DCA" w:rsidRDefault="00E004E6" w:rsidP="00E004E6">
            <w:pPr>
              <w:numPr>
                <w:ilvl w:val="1"/>
                <w:numId w:val="11"/>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Bilateral, multilateral, regional or international cooperation is undertaken to implement safeguarding measures for specific elements of ICH, in particular those in danger, those present in the territories of more than one State, and cross-border elements.</w:t>
            </w:r>
          </w:p>
        </w:tc>
        <w:tc>
          <w:tcPr>
            <w:tcW w:w="1011" w:type="pct"/>
            <w:vMerge w:val="restart"/>
            <w:vAlign w:val="center"/>
          </w:tcPr>
          <w:p w14:paraId="24F3A2D4"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35</w:t>
            </w:r>
          </w:p>
        </w:tc>
      </w:tr>
      <w:tr w:rsidR="00E004E6" w:rsidRPr="00A80DCA" w:rsidDel="00024B96" w14:paraId="613538BE" w14:textId="77777777" w:rsidTr="00B97A84">
        <w:trPr>
          <w:cantSplit/>
          <w:trHeight w:val="750"/>
        </w:trPr>
        <w:tc>
          <w:tcPr>
            <w:tcW w:w="3989" w:type="pct"/>
            <w:vMerge/>
          </w:tcPr>
          <w:p w14:paraId="57907430" w14:textId="77777777" w:rsidR="00E004E6" w:rsidRPr="00A80DCA" w:rsidRDefault="00E004E6" w:rsidP="00E004E6">
            <w:pPr>
              <w:numPr>
                <w:ilvl w:val="1"/>
                <w:numId w:val="11"/>
              </w:numPr>
              <w:spacing w:before="60" w:after="60"/>
              <w:ind w:left="567" w:hanging="567"/>
              <w:jc w:val="both"/>
              <w:rPr>
                <w:rFonts w:ascii="Arial" w:eastAsia="Calibri" w:hAnsi="Arial" w:cs="Arial"/>
                <w:lang w:val="en-GB" w:eastAsia="en-US"/>
              </w:rPr>
            </w:pPr>
          </w:p>
        </w:tc>
        <w:tc>
          <w:tcPr>
            <w:tcW w:w="1011" w:type="pct"/>
            <w:vMerge/>
            <w:vAlign w:val="center"/>
          </w:tcPr>
          <w:p w14:paraId="5BC64AEC" w14:textId="77777777" w:rsidR="00E004E6" w:rsidRPr="00A80DCA" w:rsidDel="00024B96" w:rsidRDefault="00E004E6" w:rsidP="00B97A84">
            <w:pPr>
              <w:spacing w:before="60" w:after="60"/>
              <w:jc w:val="both"/>
              <w:rPr>
                <w:rFonts w:ascii="Arial" w:hAnsi="Arial" w:cs="Arial"/>
                <w:lang w:val="en-GB"/>
              </w:rPr>
            </w:pPr>
          </w:p>
        </w:tc>
      </w:tr>
      <w:tr w:rsidR="00E004E6" w:rsidRPr="00A80DCA" w14:paraId="0C5CE7D3" w14:textId="77777777" w:rsidTr="00B97A84">
        <w:trPr>
          <w:cantSplit/>
        </w:trPr>
        <w:tc>
          <w:tcPr>
            <w:tcW w:w="3989" w:type="pct"/>
          </w:tcPr>
          <w:p w14:paraId="51CEB846" w14:textId="77777777" w:rsidR="00E004E6" w:rsidRPr="00A80DCA" w:rsidRDefault="00E004E6" w:rsidP="00E004E6">
            <w:pPr>
              <w:numPr>
                <w:ilvl w:val="1"/>
                <w:numId w:val="11"/>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Information and experience about ICH and its safeguarding, including good safeguarding practices, is exchanged with other States Parties.</w:t>
            </w:r>
          </w:p>
        </w:tc>
        <w:tc>
          <w:tcPr>
            <w:tcW w:w="1011" w:type="pct"/>
            <w:vAlign w:val="center"/>
          </w:tcPr>
          <w:p w14:paraId="02803AD0"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15</w:t>
            </w:r>
          </w:p>
        </w:tc>
      </w:tr>
      <w:tr w:rsidR="00E004E6" w:rsidRPr="00A80DCA" w14:paraId="41535424" w14:textId="77777777" w:rsidTr="00B97A84">
        <w:trPr>
          <w:cantSplit/>
        </w:trPr>
        <w:tc>
          <w:tcPr>
            <w:tcW w:w="3989" w:type="pct"/>
            <w:tcBorders>
              <w:bottom w:val="single" w:sz="24" w:space="0" w:color="auto"/>
            </w:tcBorders>
          </w:tcPr>
          <w:p w14:paraId="63364E36" w14:textId="77777777" w:rsidR="00E004E6" w:rsidRPr="00A80DCA" w:rsidRDefault="00E004E6" w:rsidP="00E004E6">
            <w:pPr>
              <w:numPr>
                <w:ilvl w:val="1"/>
                <w:numId w:val="11"/>
              </w:numPr>
              <w:spacing w:before="60" w:after="60"/>
              <w:ind w:left="567" w:hanging="567"/>
              <w:jc w:val="both"/>
              <w:rPr>
                <w:rFonts w:ascii="Arial" w:eastAsia="Calibri" w:hAnsi="Arial" w:cs="Arial"/>
                <w:lang w:val="en-GB" w:eastAsia="en-US"/>
              </w:rPr>
            </w:pPr>
            <w:r w:rsidRPr="00A80DCA">
              <w:rPr>
                <w:rFonts w:ascii="Arial" w:eastAsia="Calibri" w:hAnsi="Arial" w:cs="Arial"/>
                <w:lang w:val="en-GB" w:eastAsia="en-US"/>
              </w:rPr>
              <w:t>Documentation concerning an element of ICH present on the territory of another State Party is shared with it.</w:t>
            </w:r>
          </w:p>
        </w:tc>
        <w:tc>
          <w:tcPr>
            <w:tcW w:w="1011" w:type="pct"/>
            <w:tcBorders>
              <w:bottom w:val="single" w:sz="24" w:space="0" w:color="auto"/>
            </w:tcBorders>
            <w:vAlign w:val="center"/>
          </w:tcPr>
          <w:p w14:paraId="3563662B" w14:textId="77777777" w:rsidR="00E004E6" w:rsidRPr="00A80DCA" w:rsidRDefault="00E004E6" w:rsidP="00B97A84">
            <w:pPr>
              <w:spacing w:before="60" w:after="60"/>
              <w:jc w:val="both"/>
              <w:rPr>
                <w:rFonts w:ascii="Arial" w:hAnsi="Arial" w:cs="Arial"/>
                <w:lang w:val="en-GB"/>
              </w:rPr>
            </w:pPr>
            <w:r w:rsidRPr="00A80DCA">
              <w:rPr>
                <w:rFonts w:ascii="Arial" w:hAnsi="Arial" w:cs="Arial"/>
                <w:lang w:val="en-GB"/>
              </w:rPr>
              <w:t>15</w:t>
            </w:r>
          </w:p>
        </w:tc>
      </w:tr>
    </w:tbl>
    <w:p w14:paraId="34CFBEB9" w14:textId="77777777" w:rsidR="00E004E6" w:rsidRPr="00A80DCA" w:rsidRDefault="00E004E6" w:rsidP="00BC257A">
      <w:pPr>
        <w:rPr>
          <w:rFonts w:ascii="Arial" w:hAnsi="Arial" w:cs="Arial"/>
          <w:sz w:val="20"/>
          <w:szCs w:val="20"/>
        </w:rPr>
      </w:pPr>
    </w:p>
    <w:sectPr w:rsidR="00E004E6" w:rsidRPr="00A80DCA" w:rsidSect="00242B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359CE" w14:textId="77777777" w:rsidR="00A80DCA" w:rsidRDefault="00A80DCA" w:rsidP="00A80DCA">
      <w:pPr>
        <w:spacing w:after="0" w:line="240" w:lineRule="auto"/>
      </w:pPr>
      <w:r>
        <w:separator/>
      </w:r>
    </w:p>
  </w:endnote>
  <w:endnote w:type="continuationSeparator" w:id="0">
    <w:p w14:paraId="7933DBFC" w14:textId="77777777" w:rsidR="00A80DCA" w:rsidRDefault="00A80DCA" w:rsidP="00A8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1E1C" w14:textId="77777777" w:rsidR="00B243A6" w:rsidRDefault="00B24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92C8" w14:textId="1AE70B60" w:rsidR="00A80DCA" w:rsidRDefault="00A80DCA" w:rsidP="00A80DCA">
    <w:pPr>
      <w:pStyle w:val="Footer"/>
      <w:tabs>
        <w:tab w:val="left" w:pos="2093"/>
      </w:tabs>
    </w:pPr>
    <w:r w:rsidRPr="008E320D">
      <w:rPr>
        <w:rFonts w:ascii="Arial" w:hAnsi="Arial" w:cs="Arial"/>
        <w:noProof/>
        <w:sz w:val="16"/>
        <w:szCs w:val="16"/>
        <w:lang w:val="fr-FR" w:eastAsia="fr-FR"/>
      </w:rPr>
      <w:drawing>
        <wp:anchor distT="0" distB="0" distL="114300" distR="114300" simplePos="0" relativeHeight="251660288" behindDoc="0" locked="0" layoutInCell="1" allowOverlap="1" wp14:anchorId="3AD328E0" wp14:editId="51D3F6E2">
          <wp:simplePos x="0" y="0"/>
          <wp:positionH relativeFrom="column">
            <wp:posOffset>2378015</wp:posOffset>
          </wp:positionH>
          <wp:positionV relativeFrom="paragraph">
            <wp:posOffset>22585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U0</w:t>
    </w:r>
    <w:r w:rsidR="00B243A6">
      <w:rPr>
        <w:rFonts w:ascii="Arial" w:hAnsi="Arial" w:cs="Arial"/>
        <w:sz w:val="16"/>
        <w:szCs w:val="16"/>
      </w:rPr>
      <w:t>5</w:t>
    </w:r>
    <w:bookmarkStart w:id="0" w:name="_GoBack"/>
    <w:bookmarkEnd w:id="0"/>
    <w:r>
      <w:rPr>
        <w:rFonts w:ascii="Arial" w:hAnsi="Arial" w:cs="Arial"/>
        <w:sz w:val="16"/>
        <w:szCs w:val="16"/>
      </w:rPr>
      <w:t>8-v1.0-HO1-EN</w:t>
    </w:r>
    <w:r w:rsidRPr="008E320D">
      <w:rPr>
        <w:rFonts w:ascii="Arial" w:hAnsi="Arial" w:cs="Arial"/>
        <w:noProof/>
        <w:sz w:val="16"/>
        <w:szCs w:val="16"/>
        <w:lang w:val="fr-FR" w:eastAsia="fr-FR"/>
      </w:rPr>
      <w:drawing>
        <wp:anchor distT="0" distB="0" distL="114300" distR="114300" simplePos="0" relativeHeight="251659264" behindDoc="0" locked="1" layoutInCell="1" allowOverlap="0" wp14:anchorId="4BB33051" wp14:editId="345162B3">
          <wp:simplePos x="0" y="0"/>
          <wp:positionH relativeFrom="margin">
            <wp:posOffset>4793615</wp:posOffset>
          </wp:positionH>
          <wp:positionV relativeFrom="margin">
            <wp:posOffset>8954770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1EC30AA7" w14:textId="77777777" w:rsidR="00A80DCA" w:rsidRDefault="00A80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619B" w14:textId="77777777" w:rsidR="00B243A6" w:rsidRDefault="00B2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8A4A" w14:textId="77777777" w:rsidR="00A80DCA" w:rsidRDefault="00A80DCA" w:rsidP="00A80DCA">
      <w:pPr>
        <w:spacing w:after="0" w:line="240" w:lineRule="auto"/>
      </w:pPr>
      <w:r>
        <w:separator/>
      </w:r>
    </w:p>
  </w:footnote>
  <w:footnote w:type="continuationSeparator" w:id="0">
    <w:p w14:paraId="218316D6" w14:textId="77777777" w:rsidR="00A80DCA" w:rsidRDefault="00A80DCA" w:rsidP="00A8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4030" w14:textId="77777777" w:rsidR="00B243A6" w:rsidRDefault="00B2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4EDF" w14:textId="77777777" w:rsidR="00A80DCA" w:rsidRPr="003B76F5" w:rsidRDefault="004168F3" w:rsidP="00A80DCA">
    <w:pPr>
      <w:pStyle w:val="Header"/>
      <w:rPr>
        <w:rFonts w:ascii="Arial" w:hAnsi="Arial" w:cs="Arial"/>
        <w:sz w:val="16"/>
        <w:szCs w:val="16"/>
      </w:rPr>
    </w:pPr>
    <w:r>
      <w:rPr>
        <w:rFonts w:ascii="Arial" w:hAnsi="Arial" w:cs="Arial"/>
        <w:sz w:val="16"/>
        <w:szCs w:val="16"/>
      </w:rPr>
      <w:tab/>
      <w:t>Hand</w:t>
    </w:r>
    <w:r w:rsidR="00A80DCA" w:rsidRPr="003B76F5">
      <w:rPr>
        <w:rFonts w:ascii="Arial" w:hAnsi="Arial" w:cs="Arial"/>
        <w:sz w:val="16"/>
        <w:szCs w:val="16"/>
      </w:rPr>
      <w:t>out</w:t>
    </w:r>
  </w:p>
  <w:p w14:paraId="612EB5C0" w14:textId="77777777" w:rsidR="00A80DCA" w:rsidRDefault="00A80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4AB2" w14:textId="77777777" w:rsidR="00B243A6" w:rsidRDefault="00B2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0"/>
  </w:num>
  <w:num w:numId="3">
    <w:abstractNumId w:val="8"/>
  </w:num>
  <w:num w:numId="4">
    <w:abstractNumId w:val="3"/>
  </w:num>
  <w:num w:numId="5">
    <w:abstractNumId w:val="6"/>
  </w:num>
  <w:num w:numId="6">
    <w:abstractNumId w:val="0"/>
  </w:num>
  <w:num w:numId="7">
    <w:abstractNumId w:val="5"/>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9B"/>
    <w:rsid w:val="0016699B"/>
    <w:rsid w:val="00242B97"/>
    <w:rsid w:val="004168F3"/>
    <w:rsid w:val="004D4A93"/>
    <w:rsid w:val="0058176C"/>
    <w:rsid w:val="008348D9"/>
    <w:rsid w:val="00A80DCA"/>
    <w:rsid w:val="00B12D69"/>
    <w:rsid w:val="00B243A6"/>
    <w:rsid w:val="00BC257A"/>
    <w:rsid w:val="00C543B4"/>
    <w:rsid w:val="00E004E6"/>
    <w:rsid w:val="00E40FDE"/>
    <w:rsid w:val="00E7773C"/>
    <w:rsid w:val="00F40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38AF"/>
  <w15:docId w15:val="{E4785C3F-A097-4AEE-86AA-12B72037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699B"/>
  </w:style>
  <w:style w:type="paragraph" w:styleId="Heading1">
    <w:name w:val="heading 1"/>
    <w:basedOn w:val="Normal"/>
    <w:next w:val="Normal"/>
    <w:link w:val="Heading1Char"/>
    <w:uiPriority w:val="9"/>
    <w:qFormat/>
    <w:rsid w:val="00166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Heading1"/>
    <w:rsid w:val="0016699B"/>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Heading1Char">
    <w:name w:val="Heading 1 Char"/>
    <w:basedOn w:val="DefaultParagraphFont"/>
    <w:link w:val="Heading1"/>
    <w:uiPriority w:val="9"/>
    <w:rsid w:val="0016699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004E6"/>
    <w:pPr>
      <w:spacing w:after="0" w:line="240" w:lineRule="auto"/>
    </w:pPr>
    <w:rPr>
      <w:rFonts w:ascii="Calibri" w:eastAsia="SimSun" w:hAnsi="Calibri" w:cs="Times New Roman"/>
      <w:sz w:val="20"/>
      <w:szCs w:val="20"/>
      <w:lang w:val="fr-FR"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80D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0DCA"/>
  </w:style>
  <w:style w:type="paragraph" w:styleId="Footer">
    <w:name w:val="footer"/>
    <w:basedOn w:val="Normal"/>
    <w:link w:val="FooterChar"/>
    <w:uiPriority w:val="99"/>
    <w:unhideWhenUsed/>
    <w:rsid w:val="00A80D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DCA"/>
  </w:style>
  <w:style w:type="paragraph" w:customStyle="1" w:styleId="HO1">
    <w:name w:val="HO1"/>
    <w:basedOn w:val="Normal"/>
    <w:link w:val="HO1Car"/>
    <w:rsid w:val="00A80DCA"/>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A80DCA"/>
    <w:rPr>
      <w:rFonts w:ascii="Arial" w:eastAsia="Times New Roman" w:hAnsi="Arial" w:cs="Arial"/>
      <w:b/>
      <w:bC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Hopkins, Juliette</cp:lastModifiedBy>
  <cp:revision>6</cp:revision>
  <dcterms:created xsi:type="dcterms:W3CDTF">2020-01-03T10:30:00Z</dcterms:created>
  <dcterms:modified xsi:type="dcterms:W3CDTF">2020-02-17T16:35:00Z</dcterms:modified>
</cp:coreProperties>
</file>