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2CA3" w14:textId="601542F8"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20B82F5A"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54FD43C5"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131DBFA0"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774D158B" w14:textId="77777777" w:rsidR="00655736" w:rsidRPr="00414643" w:rsidRDefault="00D25762" w:rsidP="00D95C4C">
      <w:pPr>
        <w:jc w:val="center"/>
        <w:rPr>
          <w:rFonts w:ascii="Arial" w:hAnsi="Arial" w:cs="Arial"/>
          <w:b/>
          <w:sz w:val="22"/>
          <w:szCs w:val="22"/>
          <w:lang w:val="en-GB"/>
        </w:rPr>
      </w:pPr>
      <w:r>
        <w:rPr>
          <w:rFonts w:ascii="Arial" w:hAnsi="Arial" w:cs="Arial"/>
          <w:b/>
          <w:sz w:val="22"/>
          <w:szCs w:val="22"/>
          <w:lang w:val="en-GB"/>
        </w:rPr>
        <w:t>8</w:t>
      </w:r>
      <w:r w:rsidR="00763A0D">
        <w:rPr>
          <w:rFonts w:ascii="Arial" w:hAnsi="Arial" w:cs="Arial"/>
          <w:b/>
          <w:sz w:val="22"/>
          <w:szCs w:val="22"/>
          <w:lang w:val="en-GB"/>
        </w:rPr>
        <w:t xml:space="preserve"> to </w:t>
      </w:r>
      <w:r w:rsidR="006F41B4">
        <w:rPr>
          <w:rFonts w:ascii="Arial" w:hAnsi="Arial" w:cs="Arial"/>
          <w:b/>
          <w:sz w:val="22"/>
          <w:szCs w:val="22"/>
          <w:lang w:val="en-GB"/>
        </w:rPr>
        <w:t>1</w:t>
      </w:r>
      <w:r>
        <w:rPr>
          <w:rFonts w:ascii="Arial" w:hAnsi="Arial" w:cs="Arial"/>
          <w:b/>
          <w:sz w:val="22"/>
          <w:szCs w:val="22"/>
          <w:lang w:val="en-GB"/>
        </w:rPr>
        <w:t>0</w:t>
      </w:r>
      <w:r w:rsidR="00D95C4C">
        <w:rPr>
          <w:rFonts w:ascii="Arial" w:hAnsi="Arial" w:cs="Arial"/>
          <w:b/>
          <w:sz w:val="22"/>
          <w:szCs w:val="22"/>
          <w:lang w:val="en-GB"/>
        </w:rPr>
        <w:t xml:space="preserve"> </w:t>
      </w:r>
      <w:r>
        <w:rPr>
          <w:rFonts w:ascii="Arial" w:hAnsi="Arial" w:cs="Arial"/>
          <w:b/>
          <w:sz w:val="22"/>
          <w:szCs w:val="22"/>
          <w:lang w:val="en-GB"/>
        </w:rPr>
        <w:t>September</w:t>
      </w:r>
      <w:r w:rsidR="00FD158F">
        <w:rPr>
          <w:rFonts w:ascii="Arial" w:hAnsi="Arial" w:cs="Arial"/>
          <w:b/>
          <w:sz w:val="22"/>
          <w:szCs w:val="22"/>
          <w:lang w:val="en-GB"/>
        </w:rPr>
        <w:t xml:space="preserve"> 2020</w:t>
      </w:r>
    </w:p>
    <w:p w14:paraId="63406D14" w14:textId="506EF269" w:rsidR="00655736" w:rsidRPr="00414643" w:rsidRDefault="00655736" w:rsidP="00316F60">
      <w:pPr>
        <w:pStyle w:val="Sansinterligne2"/>
        <w:spacing w:before="96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571FB4">
        <w:rPr>
          <w:rFonts w:ascii="Arial" w:hAnsi="Arial" w:cs="Arial"/>
          <w:b/>
          <w:sz w:val="22"/>
          <w:szCs w:val="22"/>
          <w:u w:val="single"/>
          <w:lang w:val="en-GB"/>
        </w:rPr>
        <w:t>15</w:t>
      </w:r>
      <w:r w:rsidR="00571FB4" w:rsidRPr="00414643">
        <w:rPr>
          <w:rFonts w:ascii="Arial" w:hAnsi="Arial" w:cs="Arial"/>
          <w:b/>
          <w:sz w:val="22"/>
          <w:szCs w:val="22"/>
          <w:u w:val="single"/>
          <w:lang w:val="en-GB"/>
        </w:rPr>
        <w:t xml:space="preserve"> </w:t>
      </w:r>
      <w:r w:rsidRPr="00414643">
        <w:rPr>
          <w:rFonts w:ascii="Arial" w:hAnsi="Arial" w:cs="Arial"/>
          <w:b/>
          <w:sz w:val="22"/>
          <w:szCs w:val="22"/>
          <w:u w:val="single"/>
          <w:lang w:val="en-GB"/>
        </w:rPr>
        <w:t>of the Provisional Agenda</w:t>
      </w:r>
      <w:r w:rsidRPr="00783782">
        <w:rPr>
          <w:rFonts w:ascii="Arial" w:hAnsi="Arial" w:cs="Arial"/>
          <w:b/>
          <w:sz w:val="22"/>
          <w:szCs w:val="22"/>
          <w:u w:val="single"/>
          <w:lang w:val="en-GB"/>
        </w:rPr>
        <w:t>:</w:t>
      </w:r>
    </w:p>
    <w:p w14:paraId="39A59493" w14:textId="162547C2" w:rsidR="002F312A" w:rsidRPr="00414643" w:rsidRDefault="00817F87" w:rsidP="00316F60">
      <w:pPr>
        <w:pStyle w:val="Sansinterligne2"/>
        <w:spacing w:after="960"/>
        <w:jc w:val="center"/>
        <w:rPr>
          <w:rFonts w:ascii="Arial" w:hAnsi="Arial" w:cs="Arial"/>
          <w:b/>
          <w:sz w:val="22"/>
          <w:szCs w:val="22"/>
          <w:lang w:val="en-GB"/>
        </w:rPr>
      </w:pPr>
      <w:r w:rsidRPr="00817F87">
        <w:rPr>
          <w:rFonts w:ascii="Arial" w:hAnsi="Arial" w:cs="Arial"/>
          <w:b/>
          <w:sz w:val="22"/>
          <w:szCs w:val="22"/>
          <w:lang w:val="en-GB"/>
        </w:rPr>
        <w:t xml:space="preserve">Follow-up </w:t>
      </w:r>
      <w:r w:rsidR="00A52011">
        <w:rPr>
          <w:rFonts w:ascii="Arial" w:hAnsi="Arial" w:cs="Arial"/>
          <w:b/>
          <w:sz w:val="22"/>
          <w:szCs w:val="22"/>
          <w:lang w:val="en-GB"/>
        </w:rPr>
        <w:t>to</w:t>
      </w:r>
      <w:r w:rsidR="00A52011" w:rsidRPr="00817F87">
        <w:rPr>
          <w:rFonts w:ascii="Arial" w:hAnsi="Arial" w:cs="Arial"/>
          <w:b/>
          <w:sz w:val="22"/>
          <w:szCs w:val="22"/>
          <w:lang w:val="en-GB"/>
        </w:rPr>
        <w:t xml:space="preserve"> </w:t>
      </w:r>
      <w:r w:rsidRPr="00817F87">
        <w:rPr>
          <w:rFonts w:ascii="Arial" w:hAnsi="Arial" w:cs="Arial"/>
          <w:b/>
          <w:sz w:val="22"/>
          <w:szCs w:val="22"/>
          <w:lang w:val="en-GB"/>
        </w:rPr>
        <w:t xml:space="preserve">the recommendations of the </w:t>
      </w:r>
      <w:r w:rsidR="00BD0557">
        <w:rPr>
          <w:rFonts w:ascii="Arial" w:hAnsi="Arial" w:cs="Arial"/>
          <w:b/>
          <w:sz w:val="22"/>
          <w:szCs w:val="22"/>
          <w:lang w:val="en-GB"/>
        </w:rPr>
        <w:t>O</w:t>
      </w:r>
      <w:r w:rsidRPr="00817F87">
        <w:rPr>
          <w:rFonts w:ascii="Arial" w:hAnsi="Arial" w:cs="Arial"/>
          <w:b/>
          <w:sz w:val="22"/>
          <w:szCs w:val="22"/>
          <w:lang w:val="en-GB"/>
        </w:rPr>
        <w:t>pen-</w:t>
      </w:r>
      <w:r w:rsidR="00BD0557">
        <w:rPr>
          <w:rFonts w:ascii="Arial" w:hAnsi="Arial" w:cs="Arial"/>
          <w:b/>
          <w:sz w:val="22"/>
          <w:szCs w:val="22"/>
          <w:lang w:val="en-GB"/>
        </w:rPr>
        <w:t>E</w:t>
      </w:r>
      <w:r w:rsidRPr="00817F87">
        <w:rPr>
          <w:rFonts w:ascii="Arial" w:hAnsi="Arial" w:cs="Arial"/>
          <w:b/>
          <w:sz w:val="22"/>
          <w:szCs w:val="22"/>
          <w:lang w:val="en-GB"/>
        </w:rPr>
        <w:t xml:space="preserve">nded </w:t>
      </w:r>
      <w:r w:rsidR="00BD0557">
        <w:rPr>
          <w:rFonts w:ascii="Arial" w:hAnsi="Arial" w:cs="Arial"/>
          <w:b/>
          <w:sz w:val="22"/>
          <w:szCs w:val="22"/>
          <w:lang w:val="en-GB"/>
        </w:rPr>
        <w:t>W</w:t>
      </w:r>
      <w:r w:rsidRPr="00817F87">
        <w:rPr>
          <w:rFonts w:ascii="Arial" w:hAnsi="Arial" w:cs="Arial"/>
          <w:b/>
          <w:sz w:val="22"/>
          <w:szCs w:val="22"/>
          <w:lang w:val="en-GB"/>
        </w:rPr>
        <w:t xml:space="preserve">orking </w:t>
      </w:r>
      <w:r w:rsidR="00BD0557">
        <w:rPr>
          <w:rFonts w:ascii="Arial" w:hAnsi="Arial" w:cs="Arial"/>
          <w:b/>
          <w:sz w:val="22"/>
          <w:szCs w:val="22"/>
          <w:lang w:val="en-GB"/>
        </w:rPr>
        <w:t>G</w:t>
      </w:r>
      <w:r w:rsidRPr="00817F87">
        <w:rPr>
          <w:rFonts w:ascii="Arial" w:hAnsi="Arial" w:cs="Arial"/>
          <w:b/>
          <w:sz w:val="22"/>
          <w:szCs w:val="22"/>
          <w:lang w:val="en-GB"/>
        </w:rPr>
        <w:t>roup</w:t>
      </w:r>
      <w:r w:rsidR="00960DD0">
        <w:rPr>
          <w:rFonts w:ascii="Arial" w:hAnsi="Arial" w:cs="Arial"/>
          <w:b/>
          <w:sz w:val="22"/>
          <w:szCs w:val="22"/>
          <w:lang w:val="en-GB"/>
        </w:rPr>
        <w:br/>
      </w:r>
      <w:r w:rsidRPr="00817F87">
        <w:rPr>
          <w:rFonts w:ascii="Arial" w:hAnsi="Arial" w:cs="Arial"/>
          <w:b/>
          <w:sz w:val="22"/>
          <w:szCs w:val="22"/>
          <w:lang w:val="en-GB"/>
        </w:rPr>
        <w:t xml:space="preserve">on </w:t>
      </w:r>
      <w:r w:rsidR="00BD0557">
        <w:rPr>
          <w:rFonts w:ascii="Arial" w:hAnsi="Arial" w:cs="Arial"/>
          <w:b/>
          <w:sz w:val="22"/>
          <w:szCs w:val="22"/>
          <w:lang w:val="en-GB"/>
        </w:rPr>
        <w:t>G</w:t>
      </w:r>
      <w:r w:rsidRPr="00817F87">
        <w:rPr>
          <w:rFonts w:ascii="Arial" w:hAnsi="Arial" w:cs="Arial"/>
          <w:b/>
          <w:sz w:val="22"/>
          <w:szCs w:val="22"/>
          <w:lang w:val="en-GB"/>
        </w:rPr>
        <w:t xml:space="preserve">overnance, </w:t>
      </w:r>
      <w:r w:rsidR="00BD0557">
        <w:rPr>
          <w:rFonts w:ascii="Arial" w:hAnsi="Arial" w:cs="Arial"/>
          <w:b/>
          <w:sz w:val="22"/>
          <w:szCs w:val="22"/>
          <w:lang w:val="en-GB"/>
        </w:rPr>
        <w:t>P</w:t>
      </w:r>
      <w:r w:rsidRPr="00817F87">
        <w:rPr>
          <w:rFonts w:ascii="Arial" w:hAnsi="Arial" w:cs="Arial"/>
          <w:b/>
          <w:sz w:val="22"/>
          <w:szCs w:val="22"/>
          <w:lang w:val="en-GB"/>
        </w:rPr>
        <w:t xml:space="preserve">rocedures and </w:t>
      </w:r>
      <w:r w:rsidR="00BD0557">
        <w:rPr>
          <w:rFonts w:ascii="Arial" w:hAnsi="Arial" w:cs="Arial"/>
          <w:b/>
          <w:sz w:val="22"/>
          <w:szCs w:val="22"/>
          <w:lang w:val="en-GB"/>
        </w:rPr>
        <w:t>W</w:t>
      </w:r>
      <w:r w:rsidRPr="00817F87">
        <w:rPr>
          <w:rFonts w:ascii="Arial" w:hAnsi="Arial" w:cs="Arial"/>
          <w:b/>
          <w:sz w:val="22"/>
          <w:szCs w:val="22"/>
          <w:lang w:val="en-GB"/>
        </w:rPr>
        <w:t xml:space="preserve">orking </w:t>
      </w:r>
      <w:r w:rsidR="00BD0557">
        <w:rPr>
          <w:rFonts w:ascii="Arial" w:hAnsi="Arial" w:cs="Arial"/>
          <w:b/>
          <w:sz w:val="22"/>
          <w:szCs w:val="22"/>
          <w:lang w:val="en-GB"/>
        </w:rPr>
        <w:t>M</w:t>
      </w:r>
      <w:r w:rsidRPr="00817F87">
        <w:rPr>
          <w:rFonts w:ascii="Arial" w:hAnsi="Arial" w:cs="Arial"/>
          <w:b/>
          <w:sz w:val="22"/>
          <w:szCs w:val="22"/>
          <w:lang w:val="en-GB"/>
        </w:rPr>
        <w:t>ethods of UNESCO</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F60FD" w14:paraId="74EEAB66" w14:textId="77777777" w:rsidTr="002F312A">
        <w:trPr>
          <w:jc w:val="center"/>
        </w:trPr>
        <w:tc>
          <w:tcPr>
            <w:tcW w:w="5670" w:type="dxa"/>
            <w:vAlign w:val="center"/>
          </w:tcPr>
          <w:p w14:paraId="20418BFE" w14:textId="39D6A3CB"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w:t>
            </w:r>
            <w:bookmarkStart w:id="0" w:name="_GoBack"/>
            <w:bookmarkEnd w:id="0"/>
            <w:r w:rsidRPr="00414643">
              <w:rPr>
                <w:rFonts w:ascii="Arial" w:hAnsi="Arial" w:cs="Arial"/>
                <w:b/>
                <w:sz w:val="22"/>
                <w:szCs w:val="22"/>
                <w:lang w:val="en-GB"/>
              </w:rPr>
              <w:t>mary</w:t>
            </w:r>
          </w:p>
          <w:p w14:paraId="7A5676D0" w14:textId="7B678EC3" w:rsidR="00D743BB" w:rsidRPr="001A3916" w:rsidRDefault="00D743BB" w:rsidP="00D743BB">
            <w:pPr>
              <w:pStyle w:val="Sansinterligne1"/>
              <w:spacing w:before="200" w:after="200"/>
              <w:jc w:val="both"/>
              <w:rPr>
                <w:rFonts w:ascii="Arial" w:hAnsi="Arial" w:cs="Arial"/>
                <w:b/>
                <w:sz w:val="22"/>
                <w:szCs w:val="22"/>
                <w:lang w:val="en-GB"/>
              </w:rPr>
            </w:pPr>
            <w:r w:rsidRPr="001A3916">
              <w:rPr>
                <w:rFonts w:ascii="Arial" w:hAnsi="Arial" w:cs="Arial"/>
                <w:sz w:val="22"/>
                <w:szCs w:val="22"/>
                <w:lang w:val="en-US"/>
              </w:rPr>
              <w:t xml:space="preserve">The seventh session of the General Assembly of the States Parties to the 2003 Convention requested that an item be inscribed on the agenda of the present session of the General Assembly to deal with two interlinked issues concerning the governance, procedures and working methods of the 2003 Convention. This document provides information </w:t>
            </w:r>
            <w:r w:rsidR="008E01BB" w:rsidRPr="001A3916">
              <w:rPr>
                <w:rFonts w:ascii="Arial" w:hAnsi="Arial" w:cs="Arial"/>
                <w:sz w:val="22"/>
                <w:szCs w:val="22"/>
                <w:lang w:val="en-US"/>
              </w:rPr>
              <w:t>on</w:t>
            </w:r>
            <w:r w:rsidRPr="001A3916">
              <w:rPr>
                <w:rFonts w:ascii="Arial" w:hAnsi="Arial" w:cs="Arial"/>
                <w:sz w:val="22"/>
                <w:szCs w:val="22"/>
                <w:lang w:val="en-US"/>
              </w:rPr>
              <w:t xml:space="preserve"> the progress made in this regard with a proposed way forward.</w:t>
            </w:r>
          </w:p>
          <w:p w14:paraId="0DA458C8" w14:textId="0432B4D7" w:rsidR="00655736" w:rsidRPr="00414643" w:rsidRDefault="00FB6630" w:rsidP="00C007F9">
            <w:pPr>
              <w:pStyle w:val="Sansinterligne2"/>
              <w:spacing w:after="120"/>
              <w:jc w:val="both"/>
              <w:rPr>
                <w:rFonts w:ascii="Arial" w:hAnsi="Arial" w:cs="Arial"/>
                <w:b/>
                <w:sz w:val="22"/>
                <w:szCs w:val="22"/>
                <w:lang w:val="en-GB"/>
              </w:rPr>
            </w:pPr>
            <w:r w:rsidRPr="001A3916">
              <w:rPr>
                <w:rFonts w:ascii="Arial" w:hAnsi="Arial" w:cs="Arial"/>
                <w:b/>
                <w:sz w:val="22"/>
                <w:szCs w:val="22"/>
                <w:lang w:val="en-GB"/>
              </w:rPr>
              <w:t>Decision</w:t>
            </w:r>
            <w:r w:rsidR="0057439C" w:rsidRPr="001A3916">
              <w:rPr>
                <w:rFonts w:ascii="Arial" w:hAnsi="Arial" w:cs="Arial"/>
                <w:b/>
                <w:sz w:val="22"/>
                <w:szCs w:val="22"/>
                <w:lang w:val="en-GB"/>
              </w:rPr>
              <w:t xml:space="preserve"> required: </w:t>
            </w:r>
            <w:r w:rsidR="0057439C" w:rsidRPr="001A3916">
              <w:rPr>
                <w:rFonts w:ascii="Arial" w:hAnsi="Arial" w:cs="Arial"/>
                <w:bCs/>
                <w:sz w:val="22"/>
                <w:szCs w:val="22"/>
                <w:lang w:val="en-GB"/>
              </w:rPr>
              <w:t xml:space="preserve">paragraph </w:t>
            </w:r>
            <w:r w:rsidR="00C007F9" w:rsidRPr="001A3916">
              <w:rPr>
                <w:rFonts w:ascii="Arial" w:hAnsi="Arial" w:cs="Arial"/>
                <w:bCs/>
                <w:sz w:val="22"/>
                <w:szCs w:val="22"/>
                <w:lang w:val="en-GB"/>
              </w:rPr>
              <w:t>12</w:t>
            </w:r>
          </w:p>
        </w:tc>
      </w:tr>
    </w:tbl>
    <w:p w14:paraId="0332517C" w14:textId="77777777" w:rsidR="00176720" w:rsidRDefault="00655736" w:rsidP="00176720">
      <w:pPr>
        <w:pStyle w:val="GAPara"/>
        <w:numPr>
          <w:ilvl w:val="0"/>
          <w:numId w:val="0"/>
        </w:numPr>
        <w:jc w:val="both"/>
      </w:pPr>
      <w:r w:rsidRPr="00414643">
        <w:br w:type="page"/>
      </w:r>
    </w:p>
    <w:p w14:paraId="3C6CA50A" w14:textId="4EEBC8E3" w:rsidR="00FC78E8" w:rsidRDefault="00FC78E8" w:rsidP="006749EF">
      <w:pPr>
        <w:pStyle w:val="GAPara"/>
        <w:numPr>
          <w:ilvl w:val="0"/>
          <w:numId w:val="19"/>
        </w:numPr>
        <w:ind w:left="567" w:hanging="567"/>
        <w:jc w:val="both"/>
        <w:rPr>
          <w:lang w:val="en-US"/>
        </w:rPr>
      </w:pPr>
      <w:r>
        <w:rPr>
          <w:lang w:val="en-US"/>
        </w:rPr>
        <w:lastRenderedPageBreak/>
        <w:t xml:space="preserve">The seventh session of the General Assembly of the States Parties to the 2003 Convention </w:t>
      </w:r>
      <w:r w:rsidR="00F8791F">
        <w:rPr>
          <w:lang w:val="en-US"/>
        </w:rPr>
        <w:t xml:space="preserve">requested </w:t>
      </w:r>
      <w:r w:rsidR="00C15914">
        <w:t xml:space="preserve">that an item be inscribed on the agenda </w:t>
      </w:r>
      <w:r w:rsidR="00C15914">
        <w:rPr>
          <w:lang w:val="en-US"/>
        </w:rPr>
        <w:t xml:space="preserve">of the present session of the General Assembly </w:t>
      </w:r>
      <w:r w:rsidR="00C15914">
        <w:t>to deal with</w:t>
      </w:r>
      <w:r>
        <w:rPr>
          <w:lang w:val="en-US"/>
        </w:rPr>
        <w:t xml:space="preserve"> two </w:t>
      </w:r>
      <w:r w:rsidR="00DA05B5">
        <w:rPr>
          <w:lang w:val="en-US"/>
        </w:rPr>
        <w:t xml:space="preserve">interlinked </w:t>
      </w:r>
      <w:r w:rsidR="00C15914">
        <w:rPr>
          <w:lang w:val="en-US"/>
        </w:rPr>
        <w:t xml:space="preserve">issues concerning </w:t>
      </w:r>
      <w:r w:rsidR="00DA05B5">
        <w:rPr>
          <w:lang w:val="en-US"/>
        </w:rPr>
        <w:t xml:space="preserve">the </w:t>
      </w:r>
      <w:r w:rsidR="00D33B90">
        <w:rPr>
          <w:lang w:val="en-US"/>
        </w:rPr>
        <w:t>governance, procedures and working methods of the 2003 Convention</w:t>
      </w:r>
      <w:r w:rsidR="00FD158F">
        <w:rPr>
          <w:lang w:val="en-US"/>
        </w:rPr>
        <w:t>:</w:t>
      </w:r>
    </w:p>
    <w:p w14:paraId="13C7B456" w14:textId="0F0969C8" w:rsidR="00F8791F" w:rsidRPr="00E94D04" w:rsidRDefault="00F8791F" w:rsidP="00F8791F">
      <w:pPr>
        <w:pStyle w:val="Marge"/>
        <w:numPr>
          <w:ilvl w:val="1"/>
          <w:numId w:val="19"/>
        </w:numPr>
        <w:rPr>
          <w:lang w:val="en-US"/>
        </w:rPr>
      </w:pPr>
      <w:r w:rsidRPr="00180B22">
        <w:rPr>
          <w:rFonts w:cs="Arial"/>
          <w:lang w:val="en-US"/>
        </w:rPr>
        <w:t xml:space="preserve">Follow-up </w:t>
      </w:r>
      <w:r w:rsidR="00A52011">
        <w:rPr>
          <w:rFonts w:cs="Arial"/>
          <w:lang w:val="en-US"/>
        </w:rPr>
        <w:t xml:space="preserve">to </w:t>
      </w:r>
      <w:r>
        <w:rPr>
          <w:rFonts w:cs="Arial"/>
          <w:lang w:val="en-US"/>
        </w:rPr>
        <w:t>the</w:t>
      </w:r>
      <w:r w:rsidRPr="00180B22">
        <w:rPr>
          <w:rFonts w:cs="Arial"/>
          <w:lang w:val="en-US"/>
        </w:rPr>
        <w:t xml:space="preserve"> implementation of relevant recommendations of the </w:t>
      </w:r>
      <w:r w:rsidR="00C74742">
        <w:rPr>
          <w:rFonts w:cs="Arial"/>
          <w:lang w:val="en-US"/>
        </w:rPr>
        <w:t>O</w:t>
      </w:r>
      <w:r w:rsidRPr="00180B22">
        <w:rPr>
          <w:rFonts w:cs="Arial"/>
          <w:lang w:val="en-US"/>
        </w:rPr>
        <w:t>pen-</w:t>
      </w:r>
      <w:r w:rsidR="00C74742">
        <w:rPr>
          <w:rFonts w:cs="Arial"/>
          <w:lang w:val="en-US"/>
        </w:rPr>
        <w:t>E</w:t>
      </w:r>
      <w:r w:rsidRPr="00180B22">
        <w:rPr>
          <w:rFonts w:cs="Arial"/>
          <w:lang w:val="en-US"/>
        </w:rPr>
        <w:t xml:space="preserve">nded </w:t>
      </w:r>
      <w:r w:rsidR="00C74742">
        <w:rPr>
          <w:rFonts w:cs="Arial"/>
          <w:lang w:val="en-US"/>
        </w:rPr>
        <w:t>W</w:t>
      </w:r>
      <w:r w:rsidRPr="00180B22">
        <w:rPr>
          <w:rFonts w:cs="Arial"/>
          <w:lang w:val="en-US"/>
        </w:rPr>
        <w:t xml:space="preserve">orking </w:t>
      </w:r>
      <w:r w:rsidR="00C74742">
        <w:rPr>
          <w:rFonts w:cs="Arial"/>
          <w:lang w:val="en-US"/>
        </w:rPr>
        <w:t>G</w:t>
      </w:r>
      <w:r w:rsidRPr="00180B22">
        <w:rPr>
          <w:rFonts w:cs="Arial"/>
          <w:lang w:val="en-US"/>
        </w:rPr>
        <w:t>roup</w:t>
      </w:r>
      <w:r w:rsidRPr="00FC6C29">
        <w:rPr>
          <w:rFonts w:cs="Arial"/>
          <w:lang w:val="en-US"/>
        </w:rPr>
        <w:t xml:space="preserve"> </w:t>
      </w:r>
      <w:r>
        <w:rPr>
          <w:rFonts w:cs="Arial"/>
          <w:lang w:val="en-US"/>
        </w:rPr>
        <w:t xml:space="preserve">on the </w:t>
      </w:r>
      <w:r w:rsidR="00C74742">
        <w:rPr>
          <w:rFonts w:cs="Arial"/>
          <w:lang w:val="en-US"/>
        </w:rPr>
        <w:t>G</w:t>
      </w:r>
      <w:r>
        <w:rPr>
          <w:rFonts w:cs="Arial"/>
          <w:lang w:val="en-US"/>
        </w:rPr>
        <w:t xml:space="preserve">overnance, </w:t>
      </w:r>
      <w:r w:rsidR="00C74742">
        <w:rPr>
          <w:rFonts w:cs="Arial"/>
          <w:lang w:val="en-US"/>
        </w:rPr>
        <w:t>P</w:t>
      </w:r>
      <w:r>
        <w:rPr>
          <w:rFonts w:cs="Arial"/>
          <w:lang w:val="en-US"/>
        </w:rPr>
        <w:t xml:space="preserve">rocedures and </w:t>
      </w:r>
      <w:r w:rsidR="00C74742">
        <w:rPr>
          <w:rFonts w:cs="Arial"/>
          <w:lang w:val="en-US"/>
        </w:rPr>
        <w:t>W</w:t>
      </w:r>
      <w:r>
        <w:rPr>
          <w:rFonts w:cs="Arial"/>
          <w:lang w:val="en-US"/>
        </w:rPr>
        <w:t xml:space="preserve">orking </w:t>
      </w:r>
      <w:r w:rsidR="00C74742">
        <w:rPr>
          <w:rFonts w:cs="Arial"/>
          <w:lang w:val="en-US"/>
        </w:rPr>
        <w:t>M</w:t>
      </w:r>
      <w:r>
        <w:rPr>
          <w:rFonts w:cs="Arial"/>
          <w:lang w:val="en-US"/>
        </w:rPr>
        <w:t xml:space="preserve">ethods of the </w:t>
      </w:r>
      <w:r w:rsidR="00C74742">
        <w:rPr>
          <w:rFonts w:cs="Arial"/>
          <w:lang w:val="en-US"/>
        </w:rPr>
        <w:t>G</w:t>
      </w:r>
      <w:r>
        <w:rPr>
          <w:rFonts w:cs="Arial"/>
          <w:lang w:val="en-US"/>
        </w:rPr>
        <w:t xml:space="preserve">overning </w:t>
      </w:r>
      <w:r w:rsidR="00C74742">
        <w:rPr>
          <w:rFonts w:cs="Arial"/>
          <w:lang w:val="en-US"/>
        </w:rPr>
        <w:t>B</w:t>
      </w:r>
      <w:r>
        <w:rPr>
          <w:rFonts w:cs="Arial"/>
          <w:lang w:val="en-US"/>
        </w:rPr>
        <w:t xml:space="preserve">odies of UNESCO </w:t>
      </w:r>
      <w:r w:rsidRPr="00C15914">
        <w:rPr>
          <w:rFonts w:cs="Arial"/>
          <w:lang w:val="en-US"/>
        </w:rPr>
        <w:t xml:space="preserve">including by proposing draft amendments to the Rules of Procedure of the General Assembly </w:t>
      </w:r>
      <w:r>
        <w:rPr>
          <w:rFonts w:cs="Arial"/>
          <w:lang w:val="en-US"/>
        </w:rPr>
        <w:t>(</w:t>
      </w:r>
      <w:r w:rsidR="001A3916">
        <w:fldChar w:fldCharType="begin"/>
      </w:r>
      <w:r w:rsidR="001A3916" w:rsidRPr="001A3916">
        <w:rPr>
          <w:lang w:val="en-GB"/>
        </w:rPr>
        <w:instrText xml:space="preserve"> HYPERLINK "https://ich.unesco.org/en/Decisions/7.GA/12" </w:instrText>
      </w:r>
      <w:r w:rsidR="001A3916">
        <w:fldChar w:fldCharType="separate"/>
      </w:r>
      <w:r w:rsidRPr="00D94EA9">
        <w:rPr>
          <w:rStyle w:val="Hyperlink"/>
          <w:rFonts w:cs="Arial"/>
          <w:lang w:val="en-US"/>
        </w:rPr>
        <w:t>Resolution 7.GA 12</w:t>
      </w:r>
      <w:r w:rsidR="001A3916">
        <w:rPr>
          <w:rStyle w:val="Hyperlink"/>
          <w:rFonts w:cs="Arial"/>
          <w:lang w:val="en-US"/>
        </w:rPr>
        <w:fldChar w:fldCharType="end"/>
      </w:r>
      <w:r>
        <w:rPr>
          <w:rFonts w:cs="Arial"/>
          <w:lang w:val="en-US"/>
        </w:rPr>
        <w:t>)</w:t>
      </w:r>
      <w:r w:rsidR="008E01BB">
        <w:rPr>
          <w:rFonts w:cs="Arial"/>
          <w:lang w:val="en-US"/>
        </w:rPr>
        <w:t>.</w:t>
      </w:r>
    </w:p>
    <w:p w14:paraId="2F0443CF" w14:textId="7FF0F0C8" w:rsidR="00E94D04" w:rsidRPr="00E94D04" w:rsidRDefault="00E94D04" w:rsidP="00FC78E8">
      <w:pPr>
        <w:pStyle w:val="Marge"/>
        <w:numPr>
          <w:ilvl w:val="1"/>
          <w:numId w:val="19"/>
        </w:numPr>
        <w:rPr>
          <w:lang w:val="en-US"/>
        </w:rPr>
      </w:pPr>
      <w:r w:rsidRPr="00E94D04">
        <w:rPr>
          <w:rFonts w:cs="Arial"/>
          <w:lang w:val="en-US"/>
        </w:rPr>
        <w:t>Harmonizat</w:t>
      </w:r>
      <w:r>
        <w:rPr>
          <w:rFonts w:cs="Arial"/>
          <w:lang w:val="en-US"/>
        </w:rPr>
        <w:t>ion of the Rules of Procedure of the six culture conventions (</w:t>
      </w:r>
      <w:r w:rsidR="001A3916">
        <w:fldChar w:fldCharType="begin"/>
      </w:r>
      <w:r w:rsidR="001A3916" w:rsidRPr="001A3916">
        <w:rPr>
          <w:lang w:val="en-GB"/>
        </w:rPr>
        <w:instrText xml:space="preserve"> HYPERLINK "https://ich.unesco.org/en/Resolutions/7.GA/13" </w:instrText>
      </w:r>
      <w:r w:rsidR="001A3916">
        <w:fldChar w:fldCharType="separate"/>
      </w:r>
      <w:r w:rsidRPr="00473B78">
        <w:rPr>
          <w:rStyle w:val="Hyperlink"/>
          <w:lang w:val="en-US"/>
        </w:rPr>
        <w:t>Resolution</w:t>
      </w:r>
      <w:r w:rsidR="00BB4FB7">
        <w:rPr>
          <w:rStyle w:val="Hyperlink"/>
          <w:lang w:val="en-US"/>
        </w:rPr>
        <w:t> </w:t>
      </w:r>
      <w:r w:rsidRPr="00473B78">
        <w:rPr>
          <w:rStyle w:val="Hyperlink"/>
          <w:lang w:val="en-US"/>
        </w:rPr>
        <w:t>7.GA 13</w:t>
      </w:r>
      <w:r w:rsidR="001A3916">
        <w:rPr>
          <w:rStyle w:val="Hyperlink"/>
          <w:lang w:val="en-US"/>
        </w:rPr>
        <w:fldChar w:fldCharType="end"/>
      </w:r>
      <w:r>
        <w:rPr>
          <w:rStyle w:val="Hyperlink"/>
          <w:lang w:val="en-US"/>
        </w:rPr>
        <w:t>)</w:t>
      </w:r>
      <w:r w:rsidR="00F8791F" w:rsidRPr="00386074">
        <w:rPr>
          <w:rFonts w:cs="Arial"/>
          <w:lang w:val="en-US"/>
        </w:rPr>
        <w:t>.</w:t>
      </w:r>
    </w:p>
    <w:p w14:paraId="7E8B00FC" w14:textId="57CB2E1E" w:rsidR="0021539E" w:rsidRPr="00C81CF1" w:rsidRDefault="0021539E" w:rsidP="0021539E">
      <w:pPr>
        <w:pStyle w:val="GAPara"/>
        <w:numPr>
          <w:ilvl w:val="0"/>
          <w:numId w:val="19"/>
        </w:numPr>
        <w:ind w:left="567" w:hanging="567"/>
        <w:jc w:val="both"/>
        <w:rPr>
          <w:rStyle w:val="Hyperlink"/>
          <w:snapToGrid/>
          <w:color w:val="auto"/>
          <w:u w:val="none"/>
        </w:rPr>
      </w:pPr>
      <w:r w:rsidRPr="006749EF">
        <w:t xml:space="preserve">At its </w:t>
      </w:r>
      <w:r>
        <w:t>thirty-eighth</w:t>
      </w:r>
      <w:r w:rsidRPr="006749EF">
        <w:t xml:space="preserve"> session in 2015</w:t>
      </w:r>
      <w:r>
        <w:t xml:space="preserve"> </w:t>
      </w:r>
      <w:r>
        <w:rPr>
          <w:snapToGrid/>
        </w:rPr>
        <w:t>(</w:t>
      </w:r>
      <w:hyperlink r:id="rId8" w:history="1">
        <w:r w:rsidRPr="00DA481F">
          <w:rPr>
            <w:rStyle w:val="Hyperlink"/>
            <w:lang w:val="en-US"/>
          </w:rPr>
          <w:t>38</w:t>
        </w:r>
        <w:r w:rsidR="00912BB4">
          <w:rPr>
            <w:rStyle w:val="Hyperlink"/>
            <w:lang w:val="en-US"/>
          </w:rPr>
          <w:t xml:space="preserve"> </w:t>
        </w:r>
        <w:r w:rsidRPr="00DA481F">
          <w:rPr>
            <w:rStyle w:val="Hyperlink"/>
            <w:lang w:val="en-US"/>
          </w:rPr>
          <w:t>C/Resolution 101</w:t>
        </w:r>
      </w:hyperlink>
      <w:r>
        <w:rPr>
          <w:rStyle w:val="Hyperlink"/>
          <w:lang w:val="en-US"/>
        </w:rPr>
        <w:t>;</w:t>
      </w:r>
      <w:r w:rsidRPr="00216187">
        <w:rPr>
          <w:rStyle w:val="Hyperlink"/>
          <w:color w:val="auto"/>
          <w:u w:val="none"/>
          <w:lang w:val="en-US"/>
        </w:rPr>
        <w:t xml:space="preserve"> document 38 C/23</w:t>
      </w:r>
      <w:r>
        <w:rPr>
          <w:rStyle w:val="Hyperlink"/>
          <w:color w:val="auto"/>
          <w:u w:val="none"/>
          <w:lang w:val="en-US"/>
        </w:rPr>
        <w:t>)</w:t>
      </w:r>
      <w:r w:rsidRPr="006749EF">
        <w:t xml:space="preserve">, the General Conference of UNESCO invited all intergovernmental programmes, committees and organs of the </w:t>
      </w:r>
      <w:r w:rsidR="00C74742">
        <w:t>c</w:t>
      </w:r>
      <w:r w:rsidRPr="006749EF">
        <w:t xml:space="preserve">onventions to discuss the follow-up to the recommendations of the External Auditor’s report to improve their governance through concrete measures. </w:t>
      </w:r>
      <w:r w:rsidRPr="00F37D31">
        <w:rPr>
          <w:snapToGrid/>
        </w:rPr>
        <w:t xml:space="preserve">At the same time, the </w:t>
      </w:r>
      <w:r w:rsidR="0035000E">
        <w:rPr>
          <w:snapToGrid/>
        </w:rPr>
        <w:t>same</w:t>
      </w:r>
      <w:r w:rsidRPr="00F37D31">
        <w:rPr>
          <w:snapToGrid/>
        </w:rPr>
        <w:t xml:space="preserve"> session of the General Conference </w:t>
      </w:r>
      <w:r>
        <w:rPr>
          <w:snapToGrid/>
        </w:rPr>
        <w:t xml:space="preserve">also </w:t>
      </w:r>
      <w:r w:rsidRPr="00F37D31">
        <w:rPr>
          <w:snapToGrid/>
        </w:rPr>
        <w:t xml:space="preserve">established an Open–Ended Working Group on Governance, </w:t>
      </w:r>
      <w:r w:rsidRPr="00F37D31">
        <w:rPr>
          <w:lang w:val="en-US"/>
        </w:rPr>
        <w:t>Procedures</w:t>
      </w:r>
      <w:r w:rsidRPr="00F37D31">
        <w:rPr>
          <w:snapToGrid/>
        </w:rPr>
        <w:t xml:space="preserve"> and Working Methods of the Governing Bodies of UNESCO with the objective to pursue greater synergy, harmonization, efficiency and impact</w:t>
      </w:r>
      <w:r>
        <w:rPr>
          <w:rStyle w:val="Hyperlink"/>
          <w:color w:val="auto"/>
          <w:u w:val="none"/>
          <w:lang w:val="en-US"/>
        </w:rPr>
        <w:t>.</w:t>
      </w:r>
    </w:p>
    <w:p w14:paraId="309C2E1A" w14:textId="772BCD3C" w:rsidR="00582029" w:rsidRPr="00582029" w:rsidRDefault="00960DD0" w:rsidP="00582029">
      <w:pPr>
        <w:pStyle w:val="GAPara"/>
        <w:numPr>
          <w:ilvl w:val="0"/>
          <w:numId w:val="19"/>
        </w:numPr>
        <w:ind w:left="567" w:hanging="567"/>
        <w:jc w:val="both"/>
        <w:rPr>
          <w:snapToGrid/>
        </w:rPr>
      </w:pPr>
      <w:r>
        <w:t xml:space="preserve">Noting the disparity of the rules of procedure of the different </w:t>
      </w:r>
      <w:r w:rsidR="00A52011">
        <w:t xml:space="preserve">governing bodies </w:t>
      </w:r>
      <w:r>
        <w:t xml:space="preserve">of UNESCO’s culture </w:t>
      </w:r>
      <w:r w:rsidRPr="001B5301">
        <w:t>conventions</w:t>
      </w:r>
      <w:r w:rsidR="004C70D6">
        <w:t xml:space="preserve"> and in line with the recommendations of the External Auditor</w:t>
      </w:r>
      <w:r>
        <w:t xml:space="preserve">, </w:t>
      </w:r>
      <w:r w:rsidR="00D64233" w:rsidRPr="008D0CFE">
        <w:rPr>
          <w:color w:val="000000" w:themeColor="text1"/>
          <w:lang w:val="en-US"/>
        </w:rPr>
        <w:t xml:space="preserve">the </w:t>
      </w:r>
      <w:r w:rsidR="00D64233" w:rsidRPr="00555191">
        <w:rPr>
          <w:color w:val="000000" w:themeColor="text1"/>
          <w:lang w:val="en-US"/>
        </w:rPr>
        <w:t xml:space="preserve">General Assembly at its </w:t>
      </w:r>
      <w:r w:rsidR="0061133E" w:rsidRPr="00555191">
        <w:rPr>
          <w:color w:val="000000" w:themeColor="text1"/>
          <w:lang w:val="en-US"/>
        </w:rPr>
        <w:t xml:space="preserve">sixth </w:t>
      </w:r>
      <w:r w:rsidR="00D64233" w:rsidRPr="00555191">
        <w:rPr>
          <w:color w:val="000000" w:themeColor="text1"/>
          <w:lang w:val="en-US"/>
        </w:rPr>
        <w:t>session in 2016</w:t>
      </w:r>
      <w:r w:rsidR="00D64233" w:rsidRPr="008D0CFE">
        <w:rPr>
          <w:color w:val="000000" w:themeColor="text1"/>
          <w:lang w:val="en-US"/>
        </w:rPr>
        <w:t xml:space="preserve"> invited States Parties to submit ‘proposals f</w:t>
      </w:r>
      <w:r w:rsidR="00D64233" w:rsidRPr="001B5301">
        <w:rPr>
          <w:color w:val="000000" w:themeColor="text1"/>
          <w:lang w:val="en-US"/>
        </w:rPr>
        <w:t xml:space="preserve">or </w:t>
      </w:r>
      <w:r w:rsidR="00D64233" w:rsidRPr="007C1514">
        <w:rPr>
          <w:lang w:val="en-US"/>
        </w:rPr>
        <w:t>the modification of its Rules of Procedure’ (</w:t>
      </w:r>
      <w:hyperlink r:id="rId9" w:history="1">
        <w:r w:rsidR="00D64233" w:rsidRPr="007C1514">
          <w:rPr>
            <w:rStyle w:val="Hyperlink"/>
            <w:lang w:val="en-US"/>
          </w:rPr>
          <w:t>Resolution</w:t>
        </w:r>
        <w:r>
          <w:rPr>
            <w:rStyle w:val="Hyperlink"/>
            <w:lang w:val="en-US"/>
          </w:rPr>
          <w:t> </w:t>
        </w:r>
        <w:r w:rsidR="00D64233" w:rsidRPr="007C1514">
          <w:rPr>
            <w:rStyle w:val="Hyperlink"/>
            <w:lang w:val="en-US"/>
          </w:rPr>
          <w:t>6.GA</w:t>
        </w:r>
        <w:r w:rsidR="00BC0FD0">
          <w:rPr>
            <w:rStyle w:val="Hyperlink"/>
            <w:lang w:val="en-US"/>
          </w:rPr>
          <w:t> </w:t>
        </w:r>
        <w:r w:rsidR="00D64233" w:rsidRPr="007C1514">
          <w:rPr>
            <w:rStyle w:val="Hyperlink"/>
            <w:lang w:val="en-US"/>
          </w:rPr>
          <w:t>11</w:t>
        </w:r>
      </w:hyperlink>
      <w:r w:rsidR="00D64233" w:rsidRPr="007C1514">
        <w:rPr>
          <w:lang w:val="en-US"/>
        </w:rPr>
        <w:t>) to improve coherence among UNESCO’s six culture conventions.</w:t>
      </w:r>
    </w:p>
    <w:p w14:paraId="7F9D2D56" w14:textId="54276B36" w:rsidR="00582029" w:rsidRDefault="00582029" w:rsidP="00582029">
      <w:pPr>
        <w:pStyle w:val="GAPara"/>
        <w:numPr>
          <w:ilvl w:val="0"/>
          <w:numId w:val="19"/>
        </w:numPr>
        <w:ind w:left="567" w:hanging="567"/>
        <w:jc w:val="both"/>
        <w:rPr>
          <w:snapToGrid/>
        </w:rPr>
      </w:pPr>
      <w:r>
        <w:t>A</w:t>
      </w:r>
      <w:r w:rsidRPr="003B52E4">
        <w:t>t its thirty-ninth session in 2017</w:t>
      </w:r>
      <w:r>
        <w:t>, t</w:t>
      </w:r>
      <w:r w:rsidRPr="003B52E4">
        <w:t xml:space="preserve">he General Conference examined the report of the </w:t>
      </w:r>
      <w:r>
        <w:t>O</w:t>
      </w:r>
      <w:r w:rsidRPr="003B52E4">
        <w:t>pen-</w:t>
      </w:r>
      <w:r>
        <w:t>E</w:t>
      </w:r>
      <w:r w:rsidRPr="003B52E4">
        <w:t xml:space="preserve">nded </w:t>
      </w:r>
      <w:r>
        <w:t>W</w:t>
      </w:r>
      <w:r w:rsidRPr="003B52E4">
        <w:t xml:space="preserve">orking </w:t>
      </w:r>
      <w:r>
        <w:t>G</w:t>
      </w:r>
      <w:r w:rsidRPr="003B52E4">
        <w:t>roup (</w:t>
      </w:r>
      <w:hyperlink r:id="rId10" w:history="1">
        <w:r w:rsidRPr="003B52E4">
          <w:rPr>
            <w:rStyle w:val="Hyperlink"/>
          </w:rPr>
          <w:t>document 39 C/20</w:t>
        </w:r>
      </w:hyperlink>
      <w:r w:rsidRPr="003B52E4">
        <w:t xml:space="preserve">) and </w:t>
      </w:r>
      <w:r w:rsidRPr="00E863FC">
        <w:t>by its 39 C/Resolution 87</w:t>
      </w:r>
      <w:r w:rsidRPr="003B52E4">
        <w:t xml:space="preserve"> </w:t>
      </w:r>
      <w:r>
        <w:t xml:space="preserve">it </w:t>
      </w:r>
      <w:r w:rsidRPr="003B52E4">
        <w:t xml:space="preserve">endorsed </w:t>
      </w:r>
      <w:r w:rsidRPr="00E863FC">
        <w:t>the group’s</w:t>
      </w:r>
      <w:r w:rsidRPr="003B52E4">
        <w:t xml:space="preserve"> recommendations as amended</w:t>
      </w:r>
      <w:r w:rsidRPr="00E863FC">
        <w:t xml:space="preserve"> by the APX Commission</w:t>
      </w:r>
      <w:r>
        <w:rPr>
          <w:rStyle w:val="FootnoteReference"/>
        </w:rPr>
        <w:footnoteReference w:id="1"/>
      </w:r>
      <w:r w:rsidRPr="00E863FC">
        <w:t xml:space="preserve"> </w:t>
      </w:r>
      <w:r w:rsidRPr="003B52E4">
        <w:t xml:space="preserve">in </w:t>
      </w:r>
      <w:hyperlink r:id="rId11" w:history="1">
        <w:r w:rsidRPr="003B52E4">
          <w:rPr>
            <w:rStyle w:val="Hyperlink"/>
          </w:rPr>
          <w:t>document</w:t>
        </w:r>
        <w:r w:rsidRPr="00E863FC">
          <w:rPr>
            <w:rStyle w:val="Hyperlink"/>
          </w:rPr>
          <w:t> </w:t>
        </w:r>
        <w:r w:rsidRPr="003B52E4">
          <w:rPr>
            <w:rStyle w:val="Hyperlink"/>
          </w:rPr>
          <w:t>39 C/70</w:t>
        </w:r>
      </w:hyperlink>
      <w:r w:rsidRPr="003B52E4">
        <w:t>. Furthermore, by the same Resolution, the General Conference invited the Executive Board, the Director</w:t>
      </w:r>
      <w:r>
        <w:t>-</w:t>
      </w:r>
      <w:r w:rsidRPr="003B52E4">
        <w:t xml:space="preserve">General and the governing bodies of the different organs examined by the </w:t>
      </w:r>
      <w:r>
        <w:t>O</w:t>
      </w:r>
      <w:r w:rsidRPr="003B52E4">
        <w:t>pen-</w:t>
      </w:r>
      <w:r>
        <w:t>E</w:t>
      </w:r>
      <w:r w:rsidRPr="003B52E4">
        <w:t xml:space="preserve">nded </w:t>
      </w:r>
      <w:r>
        <w:t>W</w:t>
      </w:r>
      <w:r w:rsidRPr="003B52E4">
        <w:t xml:space="preserve">orking </w:t>
      </w:r>
      <w:r>
        <w:t>G</w:t>
      </w:r>
      <w:r w:rsidRPr="003B52E4">
        <w:t xml:space="preserve">roup on </w:t>
      </w:r>
      <w:r>
        <w:t>G</w:t>
      </w:r>
      <w:r w:rsidRPr="003B52E4">
        <w:t>overnance to implement, as appropriate, the recommendations</w:t>
      </w:r>
      <w:r w:rsidRPr="00F121E9">
        <w:t xml:space="preserve"> </w:t>
      </w:r>
      <w:r w:rsidRPr="003B52E4">
        <w:t>endorsed</w:t>
      </w:r>
      <w:r>
        <w:t xml:space="preserve">. </w:t>
      </w:r>
      <w:r w:rsidRPr="00A161CA">
        <w:t xml:space="preserve">The examination by the twelfth session of the Committee </w:t>
      </w:r>
      <w:r>
        <w:t xml:space="preserve">was </w:t>
      </w:r>
      <w:r w:rsidRPr="00A161CA">
        <w:t xml:space="preserve">limited </w:t>
      </w:r>
      <w:r w:rsidRPr="00F6555E">
        <w:t>to</w:t>
      </w:r>
      <w:r w:rsidRPr="00E10161">
        <w:t xml:space="preserve"> </w:t>
      </w:r>
      <w:r w:rsidRPr="00A161CA">
        <w:t>tho</w:t>
      </w:r>
      <w:r>
        <w:t>s</w:t>
      </w:r>
      <w:r w:rsidRPr="00A161CA">
        <w:t xml:space="preserve">e recommendations </w:t>
      </w:r>
      <w:r>
        <w:t xml:space="preserve">of the Open-Ended Working Group that </w:t>
      </w:r>
      <w:r w:rsidRPr="00A161CA">
        <w:t>spec</w:t>
      </w:r>
      <w:r>
        <w:t>ifically mention</w:t>
      </w:r>
      <w:r w:rsidRPr="00A161CA">
        <w:t xml:space="preserve"> the 2003 Convention</w:t>
      </w:r>
      <w:r w:rsidR="0020027A">
        <w:t xml:space="preserve"> (</w:t>
      </w:r>
      <w:hyperlink r:id="rId12" w:history="1">
        <w:r w:rsidR="00B40BA0" w:rsidRPr="00B40BA0">
          <w:rPr>
            <w:rStyle w:val="Hyperlink"/>
          </w:rPr>
          <w:t>document ITH/17/12.COM/16</w:t>
        </w:r>
      </w:hyperlink>
      <w:r w:rsidR="00B40BA0">
        <w:t xml:space="preserve">; </w:t>
      </w:r>
      <w:hyperlink r:id="rId13" w:history="1">
        <w:r w:rsidR="00BC0FD0">
          <w:rPr>
            <w:rStyle w:val="Hyperlink"/>
          </w:rPr>
          <w:t>D</w:t>
        </w:r>
        <w:r w:rsidR="00B40BA0" w:rsidRPr="00B40BA0">
          <w:rPr>
            <w:rStyle w:val="Hyperlink"/>
          </w:rPr>
          <w:t>ecision</w:t>
        </w:r>
        <w:r w:rsidR="00BC0FD0">
          <w:rPr>
            <w:rStyle w:val="Hyperlink"/>
          </w:rPr>
          <w:t> </w:t>
        </w:r>
        <w:r w:rsidR="00B40BA0" w:rsidRPr="00B40BA0">
          <w:rPr>
            <w:rStyle w:val="Hyperlink"/>
          </w:rPr>
          <w:t>12.COM</w:t>
        </w:r>
        <w:r w:rsidR="00BC0FD0">
          <w:rPr>
            <w:rStyle w:val="Hyperlink"/>
          </w:rPr>
          <w:t> </w:t>
        </w:r>
        <w:r w:rsidR="00B40BA0" w:rsidRPr="00B40BA0">
          <w:rPr>
            <w:rStyle w:val="Hyperlink"/>
          </w:rPr>
          <w:t>16</w:t>
        </w:r>
      </w:hyperlink>
      <w:r w:rsidR="0020027A">
        <w:t>)</w:t>
      </w:r>
      <w:r w:rsidRPr="00A161CA">
        <w:t>.</w:t>
      </w:r>
    </w:p>
    <w:p w14:paraId="482E9F35" w14:textId="5B33E356" w:rsidR="003F7B9D" w:rsidRPr="00CF60FD" w:rsidRDefault="00D64233" w:rsidP="00D64233">
      <w:pPr>
        <w:pStyle w:val="GAPara"/>
        <w:numPr>
          <w:ilvl w:val="0"/>
          <w:numId w:val="19"/>
        </w:numPr>
        <w:ind w:left="567" w:hanging="567"/>
        <w:jc w:val="both"/>
        <w:rPr>
          <w:snapToGrid/>
        </w:rPr>
      </w:pPr>
      <w:r w:rsidRPr="007C1514">
        <w:rPr>
          <w:lang w:val="en-US"/>
        </w:rPr>
        <w:t xml:space="preserve">The seventh session of the General Assembly </w:t>
      </w:r>
      <w:r w:rsidR="003F7B9D">
        <w:rPr>
          <w:lang w:val="en-US"/>
        </w:rPr>
        <w:t xml:space="preserve">in 2018 </w:t>
      </w:r>
      <w:r w:rsidR="006749EF">
        <w:rPr>
          <w:lang w:val="en-US"/>
        </w:rPr>
        <w:t xml:space="preserve">subsequently </w:t>
      </w:r>
      <w:r w:rsidR="003F7B9D">
        <w:rPr>
          <w:lang w:val="en-US"/>
        </w:rPr>
        <w:t>examined</w:t>
      </w:r>
      <w:r w:rsidR="006749EF">
        <w:rPr>
          <w:lang w:val="en-US"/>
        </w:rPr>
        <w:t xml:space="preserve"> at the same time</w:t>
      </w:r>
      <w:r w:rsidR="003F7B9D">
        <w:rPr>
          <w:lang w:val="en-US"/>
        </w:rPr>
        <w:t xml:space="preserve"> </w:t>
      </w:r>
      <w:r w:rsidR="00703749">
        <w:rPr>
          <w:lang w:val="en-US"/>
        </w:rPr>
        <w:t>two</w:t>
      </w:r>
      <w:r w:rsidR="004C70D6">
        <w:rPr>
          <w:lang w:val="en-US"/>
        </w:rPr>
        <w:t xml:space="preserve"> separate</w:t>
      </w:r>
      <w:r w:rsidR="00703749">
        <w:rPr>
          <w:lang w:val="en-US"/>
        </w:rPr>
        <w:t xml:space="preserve"> items </w:t>
      </w:r>
      <w:r w:rsidR="000C1A83">
        <w:rPr>
          <w:lang w:val="en-US"/>
        </w:rPr>
        <w:t>concerning</w:t>
      </w:r>
      <w:r w:rsidR="003F7B9D">
        <w:rPr>
          <w:lang w:val="en-US"/>
        </w:rPr>
        <w:t xml:space="preserve"> the follow</w:t>
      </w:r>
      <w:r w:rsidR="004811BB">
        <w:rPr>
          <w:lang w:val="en-US"/>
        </w:rPr>
        <w:t>-</w:t>
      </w:r>
      <w:r w:rsidR="003F7B9D">
        <w:rPr>
          <w:lang w:val="en-US"/>
        </w:rPr>
        <w:t>up to the recommendation</w:t>
      </w:r>
      <w:r w:rsidR="004811BB">
        <w:rPr>
          <w:lang w:val="en-US"/>
        </w:rPr>
        <w:t>s</w:t>
      </w:r>
      <w:r w:rsidR="003F7B9D">
        <w:rPr>
          <w:lang w:val="en-US"/>
        </w:rPr>
        <w:t xml:space="preserve"> of the Open-Ended Working Group and the Revision of the Rules of Procedure of the General Assembly</w:t>
      </w:r>
      <w:r w:rsidR="000C1A83">
        <w:rPr>
          <w:lang w:val="en-US"/>
        </w:rPr>
        <w:t xml:space="preserve">, in line with </w:t>
      </w:r>
      <w:r w:rsidR="006749EF">
        <w:rPr>
          <w:lang w:val="en-US"/>
        </w:rPr>
        <w:t>some of the recommendations of the Open-Ended Working Group call</w:t>
      </w:r>
      <w:r w:rsidR="000C1A83">
        <w:rPr>
          <w:lang w:val="en-US"/>
        </w:rPr>
        <w:t>ing</w:t>
      </w:r>
      <w:r w:rsidR="006749EF">
        <w:rPr>
          <w:lang w:val="en-US"/>
        </w:rPr>
        <w:t xml:space="preserve"> for </w:t>
      </w:r>
      <w:r w:rsidR="004811BB">
        <w:rPr>
          <w:lang w:val="en-US"/>
        </w:rPr>
        <w:t xml:space="preserve">the </w:t>
      </w:r>
      <w:r w:rsidR="006749EF">
        <w:rPr>
          <w:lang w:val="en-US"/>
        </w:rPr>
        <w:t>harmonization of the rules and procedure of the international and intergovernmental bodies of UNESCO</w:t>
      </w:r>
      <w:r w:rsidR="001B5301">
        <w:rPr>
          <w:lang w:val="en-US"/>
        </w:rPr>
        <w:t xml:space="preserve"> </w:t>
      </w:r>
      <w:r w:rsidR="005D4D93">
        <w:rPr>
          <w:lang w:val="en-US"/>
        </w:rPr>
        <w:t xml:space="preserve">and of </w:t>
      </w:r>
      <w:r w:rsidR="001B5301">
        <w:rPr>
          <w:lang w:val="en-US"/>
        </w:rPr>
        <w:t>the External Auditor’s report</w:t>
      </w:r>
      <w:r w:rsidR="003F7B9D">
        <w:rPr>
          <w:lang w:val="en-US"/>
        </w:rPr>
        <w:t>:</w:t>
      </w:r>
    </w:p>
    <w:p w14:paraId="6A12466B" w14:textId="70A52F6F" w:rsidR="00D64233" w:rsidRPr="007C1514" w:rsidRDefault="004B048B" w:rsidP="00CF60FD">
      <w:pPr>
        <w:pStyle w:val="GAPara"/>
        <w:numPr>
          <w:ilvl w:val="0"/>
          <w:numId w:val="40"/>
        </w:numPr>
        <w:jc w:val="both"/>
        <w:rPr>
          <w:snapToGrid/>
        </w:rPr>
      </w:pPr>
      <w:r>
        <w:rPr>
          <w:lang w:val="en-US"/>
        </w:rPr>
        <w:t>T</w:t>
      </w:r>
      <w:r w:rsidR="001B5301">
        <w:rPr>
          <w:lang w:val="en-US"/>
        </w:rPr>
        <w:t>he Assembly</w:t>
      </w:r>
      <w:r>
        <w:rPr>
          <w:lang w:val="en-US"/>
        </w:rPr>
        <w:t xml:space="preserve"> </w:t>
      </w:r>
      <w:r w:rsidR="00D64233" w:rsidRPr="007C1514">
        <w:rPr>
          <w:lang w:val="en-US"/>
        </w:rPr>
        <w:t>took note of the proposals submitted by six States Parties (</w:t>
      </w:r>
      <w:hyperlink r:id="rId14" w:history="1">
        <w:r w:rsidR="00D64233" w:rsidRPr="007C1514">
          <w:rPr>
            <w:rStyle w:val="Hyperlink"/>
            <w:lang w:val="en-US"/>
          </w:rPr>
          <w:t>document  ITH/18/7.GA/13</w:t>
        </w:r>
      </w:hyperlink>
      <w:r w:rsidR="00D64233" w:rsidRPr="007C1514">
        <w:rPr>
          <w:lang w:val="en-US"/>
        </w:rPr>
        <w:t>) and requested the Secretariat</w:t>
      </w:r>
      <w:r w:rsidR="00D64233">
        <w:rPr>
          <w:lang w:val="en-US"/>
        </w:rPr>
        <w:t>, amongst other</w:t>
      </w:r>
      <w:r w:rsidR="006B4F1C">
        <w:rPr>
          <w:lang w:val="en-US"/>
        </w:rPr>
        <w:t xml:space="preserve"> issues</w:t>
      </w:r>
      <w:r w:rsidR="00D64233">
        <w:rPr>
          <w:lang w:val="en-US"/>
        </w:rPr>
        <w:t xml:space="preserve">, </w:t>
      </w:r>
      <w:r w:rsidR="00D64233" w:rsidRPr="007C1514">
        <w:rPr>
          <w:lang w:val="en-US"/>
        </w:rPr>
        <w:t>to prepare a consolidated set of draft amendments for examination by the present session of the General Assembly (</w:t>
      </w:r>
      <w:hyperlink r:id="rId15" w:history="1">
        <w:r w:rsidR="00D64233" w:rsidRPr="007C1514">
          <w:rPr>
            <w:rStyle w:val="Hyperlink"/>
            <w:lang w:val="en-US"/>
          </w:rPr>
          <w:t>Resolution 7.GA 13</w:t>
        </w:r>
      </w:hyperlink>
      <w:r w:rsidR="00D64233" w:rsidRPr="007C1514">
        <w:rPr>
          <w:lang w:val="en-US"/>
        </w:rPr>
        <w:t xml:space="preserve">). The General Assembly </w:t>
      </w:r>
      <w:r w:rsidR="003F7B9D">
        <w:rPr>
          <w:lang w:val="en-US"/>
        </w:rPr>
        <w:t xml:space="preserve">at </w:t>
      </w:r>
      <w:r w:rsidR="00D64233" w:rsidRPr="007C1514">
        <w:rPr>
          <w:lang w:val="en-US"/>
        </w:rPr>
        <w:t xml:space="preserve">the same time stressed ‘the crucial role of the Culture Sector’ in the </w:t>
      </w:r>
      <w:r w:rsidR="00A52011">
        <w:rPr>
          <w:lang w:val="en-US"/>
        </w:rPr>
        <w:t>preparation</w:t>
      </w:r>
      <w:r w:rsidR="00A52011" w:rsidRPr="007C1514">
        <w:rPr>
          <w:lang w:val="en-US"/>
        </w:rPr>
        <w:t xml:space="preserve"> </w:t>
      </w:r>
      <w:r w:rsidR="00D64233" w:rsidRPr="007C1514">
        <w:rPr>
          <w:lang w:val="en-US"/>
        </w:rPr>
        <w:t>of a matrix ‘containing the consolidated amendments to the rules of procedure of the above-mentioned bodies’.</w:t>
      </w:r>
    </w:p>
    <w:p w14:paraId="6CCB036B" w14:textId="0BE80209" w:rsidR="0021539E" w:rsidRPr="006749EF" w:rsidRDefault="001B5301" w:rsidP="00CF60FD">
      <w:pPr>
        <w:pStyle w:val="GAPara"/>
        <w:numPr>
          <w:ilvl w:val="0"/>
          <w:numId w:val="40"/>
        </w:numPr>
        <w:jc w:val="both"/>
      </w:pPr>
      <w:r>
        <w:t>At the same time</w:t>
      </w:r>
      <w:r w:rsidR="00AD5F03">
        <w:t>, t</w:t>
      </w:r>
      <w:r w:rsidR="003F7B9D">
        <w:t xml:space="preserve">he seventh session of the Assembly </w:t>
      </w:r>
      <w:r w:rsidR="00AD5F03">
        <w:t xml:space="preserve">also </w:t>
      </w:r>
      <w:r w:rsidR="00AD5F03" w:rsidRPr="000039D6">
        <w:t xml:space="preserve">reviewed the status of each </w:t>
      </w:r>
      <w:r w:rsidR="00AD5F03" w:rsidRPr="00CF60FD">
        <w:rPr>
          <w:lang w:val="en-US"/>
        </w:rPr>
        <w:t>recommendation</w:t>
      </w:r>
      <w:r w:rsidR="00AD5F03" w:rsidRPr="000039D6">
        <w:t xml:space="preserve"> of the </w:t>
      </w:r>
      <w:r w:rsidR="009D4E4A">
        <w:t>O</w:t>
      </w:r>
      <w:r w:rsidR="00AD5F03" w:rsidRPr="000039D6">
        <w:t>pen-</w:t>
      </w:r>
      <w:r w:rsidR="009D4E4A">
        <w:t>E</w:t>
      </w:r>
      <w:r w:rsidR="00AD5F03" w:rsidRPr="000039D6">
        <w:t xml:space="preserve">nded </w:t>
      </w:r>
      <w:r w:rsidR="009D4E4A">
        <w:t>W</w:t>
      </w:r>
      <w:r w:rsidR="00AD5F03" w:rsidRPr="000039D6">
        <w:t xml:space="preserve">orking </w:t>
      </w:r>
      <w:r w:rsidR="009D4E4A">
        <w:t>G</w:t>
      </w:r>
      <w:r w:rsidR="00AD5F03" w:rsidRPr="000039D6">
        <w:t xml:space="preserve">roup on </w:t>
      </w:r>
      <w:r w:rsidR="009D4E4A">
        <w:t>G</w:t>
      </w:r>
      <w:r w:rsidR="00AD5F03" w:rsidRPr="000039D6">
        <w:t xml:space="preserve">overnance, </w:t>
      </w:r>
      <w:r w:rsidR="009D4E4A">
        <w:t>P</w:t>
      </w:r>
      <w:r w:rsidR="00AD5F03" w:rsidRPr="000039D6">
        <w:t xml:space="preserve">rocedures and </w:t>
      </w:r>
      <w:r w:rsidR="009D4E4A">
        <w:t>W</w:t>
      </w:r>
      <w:r w:rsidR="00AD5F03" w:rsidRPr="000039D6">
        <w:t xml:space="preserve">orking </w:t>
      </w:r>
      <w:r w:rsidR="009D4E4A">
        <w:t>M</w:t>
      </w:r>
      <w:r w:rsidR="00AD5F03" w:rsidRPr="000039D6">
        <w:t>ethods of UNESCO (</w:t>
      </w:r>
      <w:hyperlink r:id="rId16" w:history="1">
        <w:r w:rsidR="00AD5F03" w:rsidRPr="000039D6">
          <w:rPr>
            <w:rStyle w:val="Hyperlink"/>
          </w:rPr>
          <w:t>document ITH/18/7.GA/12</w:t>
        </w:r>
      </w:hyperlink>
      <w:r w:rsidR="00AD5F03" w:rsidRPr="000039D6">
        <w:t>)</w:t>
      </w:r>
      <w:r w:rsidR="006B4F1C">
        <w:t xml:space="preserve"> and requested that the </w:t>
      </w:r>
      <w:r w:rsidR="006B4F1C">
        <w:lastRenderedPageBreak/>
        <w:t xml:space="preserve">Secretariat, amongst other issues, </w:t>
      </w:r>
      <w:r w:rsidR="00ED652D">
        <w:t xml:space="preserve">propose draft amendments to the Rules of Procedure of the General Assembly </w:t>
      </w:r>
      <w:r w:rsidR="00AD5F03" w:rsidRPr="00BB6A1B">
        <w:t>(</w:t>
      </w:r>
      <w:hyperlink r:id="rId17" w:history="1">
        <w:r w:rsidR="00AD5F03" w:rsidRPr="00BB6A1B">
          <w:rPr>
            <w:rStyle w:val="Hyperlink"/>
          </w:rPr>
          <w:t>Resolution 7.GA 12</w:t>
        </w:r>
      </w:hyperlink>
      <w:r w:rsidR="00AD5F03" w:rsidRPr="00BB6A1B">
        <w:t>).</w:t>
      </w:r>
    </w:p>
    <w:p w14:paraId="6617334B" w14:textId="6228A4B8" w:rsidR="000B1862" w:rsidRDefault="00ED652D" w:rsidP="000B1862">
      <w:pPr>
        <w:pStyle w:val="GAPara"/>
        <w:numPr>
          <w:ilvl w:val="0"/>
          <w:numId w:val="19"/>
        </w:numPr>
        <w:ind w:left="567" w:hanging="567"/>
        <w:jc w:val="both"/>
        <w:rPr>
          <w:lang w:val="en-US"/>
        </w:rPr>
      </w:pPr>
      <w:r>
        <w:t>Subsequently, t</w:t>
      </w:r>
      <w:r w:rsidR="000B1862" w:rsidRPr="00D94EA9">
        <w:rPr>
          <w:lang w:val="en-US"/>
        </w:rPr>
        <w:t xml:space="preserve">he </w:t>
      </w:r>
      <w:r w:rsidR="00997354">
        <w:rPr>
          <w:lang w:val="en-US"/>
        </w:rPr>
        <w:t xml:space="preserve">Secretariats of </w:t>
      </w:r>
      <w:r w:rsidR="00912BB4">
        <w:rPr>
          <w:lang w:val="en-US"/>
        </w:rPr>
        <w:t>all the culture</w:t>
      </w:r>
      <w:r w:rsidR="000B1862" w:rsidRPr="00D94EA9">
        <w:rPr>
          <w:lang w:val="en-US"/>
        </w:rPr>
        <w:t xml:space="preserve"> </w:t>
      </w:r>
      <w:r w:rsidR="00912BB4">
        <w:rPr>
          <w:lang w:val="en-US"/>
        </w:rPr>
        <w:t>c</w:t>
      </w:r>
      <w:r w:rsidR="000B1862" w:rsidRPr="00D94EA9">
        <w:rPr>
          <w:lang w:val="en-US"/>
        </w:rPr>
        <w:t>onventions established a working group</w:t>
      </w:r>
      <w:r w:rsidR="000B1862" w:rsidRPr="00E40DDD">
        <w:rPr>
          <w:lang w:val="en-US"/>
        </w:rPr>
        <w:t xml:space="preserve"> to </w:t>
      </w:r>
      <w:r w:rsidR="000B1862">
        <w:rPr>
          <w:lang w:val="en-US"/>
        </w:rPr>
        <w:t>carry out an informal comparative analysis of the Rules of Procedures of these instruments</w:t>
      </w:r>
      <w:r w:rsidR="000B1862" w:rsidRPr="00E40DDD">
        <w:rPr>
          <w:lang w:val="en-US"/>
        </w:rPr>
        <w:t xml:space="preserve">. </w:t>
      </w:r>
      <w:r w:rsidR="00912BB4">
        <w:t>T</w:t>
      </w:r>
      <w:r w:rsidR="000B1862" w:rsidRPr="00E40DDD">
        <w:rPr>
          <w:lang w:val="en-US"/>
        </w:rPr>
        <w:t xml:space="preserve">he </w:t>
      </w:r>
      <w:r w:rsidR="000B1862">
        <w:rPr>
          <w:lang w:val="en-US"/>
        </w:rPr>
        <w:t xml:space="preserve">work </w:t>
      </w:r>
      <w:r w:rsidR="001B5301">
        <w:rPr>
          <w:lang w:val="en-US"/>
        </w:rPr>
        <w:t>undertaken</w:t>
      </w:r>
      <w:r w:rsidR="000B1862">
        <w:rPr>
          <w:lang w:val="en-US"/>
        </w:rPr>
        <w:t xml:space="preserve"> by the group </w:t>
      </w:r>
      <w:r w:rsidR="000B1862" w:rsidRPr="00E40DDD">
        <w:rPr>
          <w:lang w:val="en-US"/>
        </w:rPr>
        <w:t>raised several questions</w:t>
      </w:r>
      <w:r w:rsidR="000B1862">
        <w:rPr>
          <w:lang w:val="en-US"/>
        </w:rPr>
        <w:t xml:space="preserve">, </w:t>
      </w:r>
      <w:r w:rsidR="00282A8D">
        <w:rPr>
          <w:lang w:val="en-US"/>
        </w:rPr>
        <w:t>including</w:t>
      </w:r>
      <w:r w:rsidR="000B1862" w:rsidRPr="00E40DDD">
        <w:rPr>
          <w:lang w:val="en-US"/>
        </w:rPr>
        <w:t xml:space="preserve"> about which Rules of Procedure should be used as the bas</w:t>
      </w:r>
      <w:r w:rsidR="000B1862">
        <w:rPr>
          <w:lang w:val="en-US"/>
        </w:rPr>
        <w:t>eline</w:t>
      </w:r>
      <w:r w:rsidR="000B1862" w:rsidRPr="00E40DDD">
        <w:rPr>
          <w:lang w:val="en-US"/>
        </w:rPr>
        <w:t xml:space="preserve"> for </w:t>
      </w:r>
      <w:r w:rsidR="000B1862">
        <w:rPr>
          <w:lang w:val="en-US"/>
        </w:rPr>
        <w:t xml:space="preserve">any </w:t>
      </w:r>
      <w:r w:rsidR="000B1862" w:rsidRPr="00E40DDD">
        <w:rPr>
          <w:lang w:val="en-US"/>
        </w:rPr>
        <w:t>harmonization</w:t>
      </w:r>
      <w:r w:rsidR="000B1862">
        <w:rPr>
          <w:lang w:val="en-US"/>
        </w:rPr>
        <w:t>.</w:t>
      </w:r>
    </w:p>
    <w:p w14:paraId="40F6731E" w14:textId="53F1B3BF" w:rsidR="00273128" w:rsidRDefault="000B1862" w:rsidP="000B1862">
      <w:pPr>
        <w:pStyle w:val="GAPara"/>
        <w:numPr>
          <w:ilvl w:val="0"/>
          <w:numId w:val="19"/>
        </w:numPr>
        <w:ind w:left="567" w:hanging="567"/>
        <w:jc w:val="both"/>
      </w:pPr>
      <w:r w:rsidRPr="00A6279B">
        <w:t xml:space="preserve">The </w:t>
      </w:r>
      <w:r w:rsidR="004B0E30">
        <w:t xml:space="preserve">status of each recommendation of the Open-Ended Working Group </w:t>
      </w:r>
      <w:r w:rsidRPr="00A6279B">
        <w:t xml:space="preserve">was further discussed by the </w:t>
      </w:r>
      <w:r w:rsidR="004677DF">
        <w:t xml:space="preserve">thirteenth </w:t>
      </w:r>
      <w:r w:rsidR="004B0E30">
        <w:t xml:space="preserve">session of the Committee in 2018 </w:t>
      </w:r>
      <w:r w:rsidR="004677DF">
        <w:t>(</w:t>
      </w:r>
      <w:hyperlink r:id="rId18" w:history="1">
        <w:r w:rsidR="004677DF" w:rsidRPr="004677DF">
          <w:rPr>
            <w:rStyle w:val="Hyperlink"/>
          </w:rPr>
          <w:t>document</w:t>
        </w:r>
        <w:r w:rsidR="004B0E30">
          <w:rPr>
            <w:rStyle w:val="Hyperlink"/>
          </w:rPr>
          <w:t xml:space="preserve"> </w:t>
        </w:r>
        <w:r w:rsidR="004677DF" w:rsidRPr="004677DF">
          <w:rPr>
            <w:rStyle w:val="Hyperlink"/>
          </w:rPr>
          <w:t>ITH/18/13.COM/17</w:t>
        </w:r>
      </w:hyperlink>
      <w:r w:rsidR="004B0E30">
        <w:t xml:space="preserve">; </w:t>
      </w:r>
      <w:hyperlink r:id="rId19" w:history="1">
        <w:r w:rsidR="004B0E30" w:rsidRPr="006D5012">
          <w:rPr>
            <w:rStyle w:val="Hyperlink"/>
          </w:rPr>
          <w:t>Decision</w:t>
        </w:r>
        <w:r w:rsidR="004C70D6">
          <w:rPr>
            <w:rStyle w:val="Hyperlink"/>
          </w:rPr>
          <w:t> </w:t>
        </w:r>
        <w:r w:rsidR="004B0E30" w:rsidRPr="006D5012">
          <w:rPr>
            <w:rStyle w:val="Hyperlink"/>
          </w:rPr>
          <w:t>13.COM 17</w:t>
        </w:r>
      </w:hyperlink>
      <w:r w:rsidR="004677DF">
        <w:t>)</w:t>
      </w:r>
      <w:r w:rsidR="004B0E30">
        <w:t>.</w:t>
      </w:r>
      <w:r w:rsidR="004677DF">
        <w:t xml:space="preserve"> </w:t>
      </w:r>
      <w:r w:rsidR="004B0E30">
        <w:t>The following year, t</w:t>
      </w:r>
      <w:r w:rsidR="004677DF">
        <w:t xml:space="preserve">he </w:t>
      </w:r>
      <w:r w:rsidRPr="00A6279B">
        <w:t xml:space="preserve">fourteenth session </w:t>
      </w:r>
      <w:r w:rsidR="004677DF" w:rsidRPr="00A6279B">
        <w:t>(</w:t>
      </w:r>
      <w:hyperlink r:id="rId20" w:history="1">
        <w:r w:rsidR="004677DF" w:rsidRPr="00ED652D">
          <w:rPr>
            <w:rStyle w:val="Hyperlink"/>
          </w:rPr>
          <w:t>document</w:t>
        </w:r>
        <w:r w:rsidR="004C70D6">
          <w:rPr>
            <w:rStyle w:val="Hyperlink"/>
          </w:rPr>
          <w:t> </w:t>
        </w:r>
        <w:r w:rsidR="004677DF" w:rsidRPr="00E9401D">
          <w:rPr>
            <w:rStyle w:val="Hyperlink"/>
          </w:rPr>
          <w:t>LHE/19/14.COM/19</w:t>
        </w:r>
      </w:hyperlink>
      <w:r w:rsidR="004677DF" w:rsidRPr="00A6279B">
        <w:t xml:space="preserve">) </w:t>
      </w:r>
      <w:r w:rsidRPr="00A6279B">
        <w:t xml:space="preserve">of the Committee took note </w:t>
      </w:r>
      <w:r w:rsidR="00912BB4">
        <w:t xml:space="preserve">of the fact </w:t>
      </w:r>
      <w:r w:rsidRPr="00A6279B">
        <w:t xml:space="preserve">that many of the recommendations are now closed, and several of them are considered as good practices, after having received appropriate follow-up actions. Furthermore, a set of mitigating measures have already been taken for most of the outstanding recommendations, while at the same time, some other issues require action by States Parties on a long term-basis. </w:t>
      </w:r>
    </w:p>
    <w:p w14:paraId="02B56EF3" w14:textId="2D2F58AE" w:rsidR="00273128" w:rsidRPr="00C21BD0" w:rsidRDefault="00273128" w:rsidP="00555191">
      <w:pPr>
        <w:pStyle w:val="GAPara"/>
        <w:numPr>
          <w:ilvl w:val="0"/>
          <w:numId w:val="19"/>
        </w:numPr>
        <w:ind w:left="567" w:hanging="567"/>
        <w:jc w:val="both"/>
        <w:rPr>
          <w:lang w:val="en-US"/>
        </w:rPr>
      </w:pPr>
      <w:r>
        <w:rPr>
          <w:lang w:val="en-US"/>
        </w:rPr>
        <w:t xml:space="preserve">A </w:t>
      </w:r>
      <w:r w:rsidRPr="00555191">
        <w:t>clear</w:t>
      </w:r>
      <w:r>
        <w:rPr>
          <w:lang w:val="en-US"/>
        </w:rPr>
        <w:t xml:space="preserve"> </w:t>
      </w:r>
      <w:r w:rsidRPr="00555191">
        <w:t>example</w:t>
      </w:r>
      <w:r>
        <w:rPr>
          <w:lang w:val="en-US"/>
        </w:rPr>
        <w:t xml:space="preserve"> of the efforts of the Secretariat to continue responding to the recommendations of the </w:t>
      </w:r>
      <w:r>
        <w:t>Open-Ended Working Group</w:t>
      </w:r>
      <w:r>
        <w:rPr>
          <w:lang w:val="en-US"/>
        </w:rPr>
        <w:t xml:space="preserve"> is the inclusion of item 8 in the provisional agenda of the current session of the General Assembly to discuss the c</w:t>
      </w:r>
      <w:r w:rsidRPr="00C21BD0">
        <w:rPr>
          <w:lang w:val="en-US"/>
        </w:rPr>
        <w:t>ontribution</w:t>
      </w:r>
      <w:r>
        <w:rPr>
          <w:lang w:val="en-US"/>
        </w:rPr>
        <w:t xml:space="preserve"> made by States Parties to the 2003 Convention</w:t>
      </w:r>
      <w:r w:rsidRPr="00C21BD0">
        <w:rPr>
          <w:lang w:val="en-US"/>
        </w:rPr>
        <w:t xml:space="preserve"> to the preparation of the new Medium</w:t>
      </w:r>
      <w:r>
        <w:rPr>
          <w:lang w:val="en-US"/>
        </w:rPr>
        <w:t>-Term Strategy 2022-2029 (41</w:t>
      </w:r>
      <w:r w:rsidR="00912BB4">
        <w:rPr>
          <w:lang w:val="en-US"/>
        </w:rPr>
        <w:t xml:space="preserve"> </w:t>
      </w:r>
      <w:r>
        <w:rPr>
          <w:lang w:val="en-US"/>
        </w:rPr>
        <w:t xml:space="preserve">C/4) </w:t>
      </w:r>
      <w:r w:rsidRPr="00C21BD0">
        <w:rPr>
          <w:lang w:val="en-US"/>
        </w:rPr>
        <w:t xml:space="preserve">and draft </w:t>
      </w:r>
      <w:proofErr w:type="spellStart"/>
      <w:r w:rsidRPr="00C21BD0">
        <w:rPr>
          <w:lang w:val="en-US"/>
        </w:rPr>
        <w:t>Programme</w:t>
      </w:r>
      <w:proofErr w:type="spellEnd"/>
      <w:r w:rsidRPr="00C21BD0">
        <w:rPr>
          <w:lang w:val="en-US"/>
        </w:rPr>
        <w:t xml:space="preserve"> and Budget 2022-2025 (41</w:t>
      </w:r>
      <w:r w:rsidR="00912BB4">
        <w:rPr>
          <w:lang w:val="en-US"/>
        </w:rPr>
        <w:t xml:space="preserve"> </w:t>
      </w:r>
      <w:r w:rsidRPr="00C21BD0">
        <w:rPr>
          <w:lang w:val="en-US"/>
        </w:rPr>
        <w:t>C/5)</w:t>
      </w:r>
      <w:r>
        <w:rPr>
          <w:lang w:val="en-US"/>
        </w:rPr>
        <w:t xml:space="preserve"> through the electronic consultation carried out in May 2020</w:t>
      </w:r>
      <w:r w:rsidR="00571FB4">
        <w:rPr>
          <w:lang w:val="en-US"/>
        </w:rPr>
        <w:t xml:space="preserve"> (</w:t>
      </w:r>
      <w:hyperlink r:id="rId21" w:history="1">
        <w:r w:rsidR="00571FB4" w:rsidRPr="00B947FB">
          <w:rPr>
            <w:rStyle w:val="Hyperlink"/>
            <w:lang w:val="en-US"/>
          </w:rPr>
          <w:t>document LHE/20/8.GA/8</w:t>
        </w:r>
      </w:hyperlink>
      <w:r w:rsidR="00571FB4">
        <w:rPr>
          <w:lang w:val="en-US"/>
        </w:rPr>
        <w:t>)</w:t>
      </w:r>
      <w:r>
        <w:rPr>
          <w:lang w:val="en-US"/>
        </w:rPr>
        <w:t xml:space="preserve">. The electronic consultation and item 8 of the provisional agenda are a direct response to recommendation 74 of the </w:t>
      </w:r>
      <w:r>
        <w:t>Open-Ended Working Group</w:t>
      </w:r>
      <w:r>
        <w:rPr>
          <w:lang w:val="en-US"/>
        </w:rPr>
        <w:t xml:space="preserve"> by which a</w:t>
      </w:r>
      <w:r w:rsidRPr="00273128">
        <w:rPr>
          <w:lang w:val="en-US"/>
        </w:rPr>
        <w:t xml:space="preserve">ll IIBs should have the opportunity to submit formal inputs to the mid-term strategy C/4 and the draft </w:t>
      </w:r>
      <w:proofErr w:type="spellStart"/>
      <w:r w:rsidRPr="00273128">
        <w:rPr>
          <w:lang w:val="en-US"/>
        </w:rPr>
        <w:t>Programme</w:t>
      </w:r>
      <w:proofErr w:type="spellEnd"/>
      <w:r w:rsidRPr="00273128">
        <w:rPr>
          <w:lang w:val="en-US"/>
        </w:rPr>
        <w:t xml:space="preserve"> and Budget C/5 documents of UNESCO</w:t>
      </w:r>
      <w:r>
        <w:rPr>
          <w:lang w:val="en-US"/>
        </w:rPr>
        <w:t>.</w:t>
      </w:r>
    </w:p>
    <w:p w14:paraId="43E927DC" w14:textId="003C3422" w:rsidR="000B1862" w:rsidRPr="00A6279B" w:rsidRDefault="000B1862" w:rsidP="000B1862">
      <w:pPr>
        <w:pStyle w:val="GAPara"/>
        <w:numPr>
          <w:ilvl w:val="0"/>
          <w:numId w:val="19"/>
        </w:numPr>
        <w:ind w:left="567" w:hanging="567"/>
        <w:jc w:val="both"/>
      </w:pPr>
      <w:r w:rsidRPr="00A6279B">
        <w:t xml:space="preserve">Whilst the </w:t>
      </w:r>
      <w:r w:rsidRPr="00A6279B">
        <w:rPr>
          <w:lang w:val="en-US"/>
        </w:rPr>
        <w:t>issue</w:t>
      </w:r>
      <w:r w:rsidRPr="00A6279B">
        <w:t xml:space="preserve"> of ‘harmonization’ figures in a number of recommendations of the working group (e.g.</w:t>
      </w:r>
      <w:r w:rsidR="001D20C3">
        <w:t>,</w:t>
      </w:r>
      <w:r w:rsidRPr="00A6279B">
        <w:t xml:space="preserve"> 58, 65, 66, 67, </w:t>
      </w:r>
      <w:r w:rsidRPr="00C007F9">
        <w:t>71 and 96</w:t>
      </w:r>
      <w:r w:rsidRPr="00A6279B">
        <w:t>)</w:t>
      </w:r>
      <w:r w:rsidR="00B11269">
        <w:t>,</w:t>
      </w:r>
      <w:r w:rsidRPr="00A6279B">
        <w:t xml:space="preserve"> </w:t>
      </w:r>
      <w:r w:rsidR="00273128">
        <w:t>most of which</w:t>
      </w:r>
      <w:r w:rsidRPr="00A6279B">
        <w:t xml:space="preserve"> are considered ongoing, the fourteenth session of the Committee concluded that the governing bodies and the Secretariat have made steady progress in contribution to the sound governance of the 2003 Convention and requested the Secretariat to continue reporting ‘as and when necessary’ on further progress regarding the status of recommendations (</w:t>
      </w:r>
      <w:hyperlink r:id="rId22" w:history="1">
        <w:r w:rsidRPr="00A6279B">
          <w:rPr>
            <w:rStyle w:val="Hyperlink"/>
          </w:rPr>
          <w:t>Decision 14.COM 19</w:t>
        </w:r>
      </w:hyperlink>
      <w:r w:rsidRPr="00A6279B">
        <w:t>).</w:t>
      </w:r>
    </w:p>
    <w:p w14:paraId="2317A129" w14:textId="69AF962A" w:rsidR="000B1862" w:rsidRDefault="000B1862" w:rsidP="000B1862">
      <w:pPr>
        <w:pStyle w:val="GAPara"/>
        <w:numPr>
          <w:ilvl w:val="0"/>
          <w:numId w:val="19"/>
        </w:numPr>
        <w:ind w:left="567" w:hanging="567"/>
        <w:jc w:val="both"/>
        <w:rPr>
          <w:lang w:val="en-US"/>
        </w:rPr>
      </w:pPr>
      <w:r>
        <w:rPr>
          <w:lang w:val="en-US"/>
        </w:rPr>
        <w:t xml:space="preserve">In the meantime, the present session of the General Assembly is asked under Item 7 of its provisional agenda to </w:t>
      </w:r>
      <w:r w:rsidR="00F85924">
        <w:rPr>
          <w:lang w:val="en-US"/>
        </w:rPr>
        <w:t xml:space="preserve">examine </w:t>
      </w:r>
      <w:r>
        <w:rPr>
          <w:lang w:val="en-US"/>
        </w:rPr>
        <w:t xml:space="preserve">the proposed revision to the Financial Regulations of the Special Account for the Fund for the Safeguarding of the Intangible Cultural Heritage of the 2003 Convention </w:t>
      </w:r>
      <w:r w:rsidR="00F85924">
        <w:rPr>
          <w:lang w:val="en-US"/>
        </w:rPr>
        <w:t xml:space="preserve">with a view </w:t>
      </w:r>
      <w:r>
        <w:rPr>
          <w:lang w:val="en-US"/>
        </w:rPr>
        <w:t>to align</w:t>
      </w:r>
      <w:r w:rsidR="00F85924">
        <w:rPr>
          <w:lang w:val="en-US"/>
        </w:rPr>
        <w:t>ing them</w:t>
      </w:r>
      <w:r>
        <w:rPr>
          <w:lang w:val="en-US"/>
        </w:rPr>
        <w:t xml:space="preserve"> with the Model </w:t>
      </w:r>
      <w:r w:rsidR="00AC205D">
        <w:rPr>
          <w:lang w:val="en-US"/>
        </w:rPr>
        <w:t>F</w:t>
      </w:r>
      <w:r>
        <w:rPr>
          <w:lang w:val="en-US"/>
        </w:rPr>
        <w:t xml:space="preserve">inancial </w:t>
      </w:r>
      <w:r w:rsidR="00AC205D">
        <w:rPr>
          <w:lang w:val="en-US"/>
        </w:rPr>
        <w:t>R</w:t>
      </w:r>
      <w:r>
        <w:rPr>
          <w:lang w:val="en-US"/>
        </w:rPr>
        <w:t xml:space="preserve">egulations for Special Account </w:t>
      </w:r>
      <w:r w:rsidR="00AC205D">
        <w:rPr>
          <w:lang w:val="en-US"/>
        </w:rPr>
        <w:t xml:space="preserve">related </w:t>
      </w:r>
      <w:r>
        <w:rPr>
          <w:lang w:val="en-US"/>
        </w:rPr>
        <w:t>to Conventions endorsed by the UNESCO Executive Board (</w:t>
      </w:r>
      <w:hyperlink r:id="rId23" w:history="1">
        <w:r w:rsidRPr="00DA7AD2">
          <w:rPr>
            <w:rStyle w:val="Hyperlink"/>
            <w:lang w:val="en-US"/>
          </w:rPr>
          <w:t>document</w:t>
        </w:r>
        <w:r>
          <w:rPr>
            <w:rStyle w:val="Hyperlink"/>
            <w:lang w:val="en-US"/>
          </w:rPr>
          <w:t> </w:t>
        </w:r>
        <w:r w:rsidRPr="00DA7AD2">
          <w:rPr>
            <w:rStyle w:val="Hyperlink"/>
            <w:lang w:val="en-US"/>
          </w:rPr>
          <w:t>LHE/20/8.GA/7</w:t>
        </w:r>
        <w:r>
          <w:rPr>
            <w:rStyle w:val="Hyperlink"/>
            <w:lang w:val="en-US"/>
          </w:rPr>
          <w:t> </w:t>
        </w:r>
        <w:r w:rsidRPr="00DA7AD2">
          <w:rPr>
            <w:rStyle w:val="Hyperlink"/>
            <w:lang w:val="en-US"/>
          </w:rPr>
          <w:t>Rev.</w:t>
        </w:r>
      </w:hyperlink>
      <w:r>
        <w:rPr>
          <w:lang w:val="en-US"/>
        </w:rPr>
        <w:t xml:space="preserve">). This can be considered a pertinent example of the effort to harmonize </w:t>
      </w:r>
      <w:r w:rsidR="00F85924">
        <w:rPr>
          <w:lang w:val="en-US"/>
        </w:rPr>
        <w:t xml:space="preserve">the </w:t>
      </w:r>
      <w:r>
        <w:rPr>
          <w:lang w:val="en-US"/>
        </w:rPr>
        <w:t>rules governing the 2003 Convention so that they are coherent to the extent possible with similar rules governing other instruments under the responsibility of the Organization.</w:t>
      </w:r>
    </w:p>
    <w:p w14:paraId="6E5F0761" w14:textId="1020B575" w:rsidR="00C42C66" w:rsidRDefault="001F18B9" w:rsidP="006749EF">
      <w:pPr>
        <w:pStyle w:val="GAPara"/>
        <w:numPr>
          <w:ilvl w:val="0"/>
          <w:numId w:val="19"/>
        </w:numPr>
        <w:ind w:left="567" w:hanging="567"/>
        <w:jc w:val="both"/>
      </w:pPr>
      <w:r>
        <w:rPr>
          <w:lang w:val="en-US"/>
        </w:rPr>
        <w:t>Considering that the main objective of harmonizing the Rules of Procedure was to respond to the recommendations of t</w:t>
      </w:r>
      <w:r w:rsidRPr="00D6676F">
        <w:rPr>
          <w:lang w:val="en-US"/>
        </w:rPr>
        <w:t xml:space="preserve">he </w:t>
      </w:r>
      <w:r w:rsidR="00C87439">
        <w:rPr>
          <w:lang w:val="en-US"/>
        </w:rPr>
        <w:t>O</w:t>
      </w:r>
      <w:r>
        <w:rPr>
          <w:lang w:val="en-US"/>
        </w:rPr>
        <w:t>pen-</w:t>
      </w:r>
      <w:r w:rsidR="00C87439">
        <w:rPr>
          <w:lang w:val="en-US"/>
        </w:rPr>
        <w:t>E</w:t>
      </w:r>
      <w:r>
        <w:rPr>
          <w:lang w:val="en-US"/>
        </w:rPr>
        <w:t xml:space="preserve">nded </w:t>
      </w:r>
      <w:r w:rsidR="00C87439">
        <w:rPr>
          <w:lang w:val="en-US"/>
        </w:rPr>
        <w:t>W</w:t>
      </w:r>
      <w:r>
        <w:rPr>
          <w:lang w:val="en-US"/>
        </w:rPr>
        <w:t xml:space="preserve">orking </w:t>
      </w:r>
      <w:r w:rsidR="00C87439">
        <w:rPr>
          <w:lang w:val="en-US"/>
        </w:rPr>
        <w:t>G</w:t>
      </w:r>
      <w:r>
        <w:rPr>
          <w:lang w:val="en-US"/>
        </w:rPr>
        <w:t>roup and further considering that sufficient progress on these recommendations</w:t>
      </w:r>
      <w:r w:rsidR="00464C0C" w:rsidRPr="00464C0C">
        <w:rPr>
          <w:lang w:val="en-US"/>
        </w:rPr>
        <w:t xml:space="preserve"> </w:t>
      </w:r>
      <w:r w:rsidR="001520D6">
        <w:rPr>
          <w:lang w:val="en-US"/>
        </w:rPr>
        <w:t>w</w:t>
      </w:r>
      <w:r w:rsidR="00464C0C">
        <w:rPr>
          <w:lang w:val="en-US"/>
        </w:rPr>
        <w:t>as confirmed by the fourteenth session of the Committee</w:t>
      </w:r>
      <w:r>
        <w:rPr>
          <w:lang w:val="en-US"/>
        </w:rPr>
        <w:t xml:space="preserve">, the </w:t>
      </w:r>
      <w:r w:rsidRPr="00D6676F">
        <w:rPr>
          <w:lang w:val="en-US"/>
        </w:rPr>
        <w:t>Secretariat</w:t>
      </w:r>
      <w:r>
        <w:rPr>
          <w:lang w:val="en-US"/>
        </w:rPr>
        <w:t xml:space="preserve"> proposes that this issue can now be considered closed without further need for reporting to the subsequent session of the General Assembly.</w:t>
      </w:r>
      <w:r w:rsidR="002D7033">
        <w:rPr>
          <w:lang w:val="en-US"/>
        </w:rPr>
        <w:t xml:space="preserve"> Needless to say, the Secretariat will continue its effort</w:t>
      </w:r>
      <w:r w:rsidR="00C87439">
        <w:rPr>
          <w:lang w:val="en-US"/>
        </w:rPr>
        <w:t>s</w:t>
      </w:r>
      <w:r w:rsidR="002D7033">
        <w:rPr>
          <w:lang w:val="en-US"/>
        </w:rPr>
        <w:t xml:space="preserve"> to</w:t>
      </w:r>
      <w:r w:rsidR="00CB605C">
        <w:rPr>
          <w:lang w:val="en-US"/>
        </w:rPr>
        <w:t xml:space="preserve"> identify further possibilities to</w:t>
      </w:r>
      <w:r w:rsidR="002D7033">
        <w:rPr>
          <w:lang w:val="en-US"/>
        </w:rPr>
        <w:t xml:space="preserve"> harmonize the rules of procedure of the</w:t>
      </w:r>
      <w:r w:rsidR="00F85924">
        <w:rPr>
          <w:lang w:val="en-US"/>
        </w:rPr>
        <w:t xml:space="preserve"> governing bodies of the</w:t>
      </w:r>
      <w:r w:rsidR="002D7033">
        <w:rPr>
          <w:lang w:val="en-US"/>
        </w:rPr>
        <w:t xml:space="preserve"> 2003 Convention with that of other culture conventions as and when </w:t>
      </w:r>
      <w:r w:rsidR="00316F60">
        <w:rPr>
          <w:lang w:val="en-US"/>
        </w:rPr>
        <w:t xml:space="preserve">relevant and </w:t>
      </w:r>
      <w:r w:rsidR="002D7033">
        <w:rPr>
          <w:lang w:val="en-US"/>
        </w:rPr>
        <w:t>possible</w:t>
      </w:r>
      <w:r w:rsidR="00316F60">
        <w:rPr>
          <w:lang w:val="en-US"/>
        </w:rPr>
        <w:t>,</w:t>
      </w:r>
      <w:r w:rsidR="002D7033">
        <w:rPr>
          <w:lang w:val="en-US"/>
        </w:rPr>
        <w:t xml:space="preserve"> and will report to the governing bodies of the Convention</w:t>
      </w:r>
      <w:r w:rsidR="00CB605C">
        <w:rPr>
          <w:lang w:val="en-US"/>
        </w:rPr>
        <w:t xml:space="preserve"> accordingly</w:t>
      </w:r>
      <w:r w:rsidR="002D7033">
        <w:rPr>
          <w:lang w:val="en-US"/>
        </w:rPr>
        <w:t>.</w:t>
      </w:r>
    </w:p>
    <w:p w14:paraId="4EAAF5DF" w14:textId="77777777" w:rsidR="008A1ED4" w:rsidRPr="005A4A42" w:rsidRDefault="008A1ED4" w:rsidP="008A1ED4">
      <w:pPr>
        <w:keepNext/>
        <w:numPr>
          <w:ilvl w:val="0"/>
          <w:numId w:val="19"/>
        </w:numPr>
        <w:ind w:left="567" w:hanging="567"/>
        <w:jc w:val="both"/>
        <w:rPr>
          <w:rFonts w:ascii="Arial" w:eastAsia="SimSun" w:hAnsi="Arial" w:cs="Arial"/>
          <w:sz w:val="22"/>
          <w:szCs w:val="22"/>
          <w:lang w:val="en-GB"/>
        </w:rPr>
      </w:pPr>
      <w:r w:rsidRPr="005A4A42">
        <w:rPr>
          <w:rFonts w:ascii="Arial" w:hAnsi="Arial"/>
          <w:sz w:val="22"/>
          <w:lang w:val="en-GB"/>
        </w:rPr>
        <w:lastRenderedPageBreak/>
        <w:t>The General Assembly may wish to adopt the following resolution:</w:t>
      </w:r>
    </w:p>
    <w:p w14:paraId="0FA73991" w14:textId="07A11013" w:rsidR="008A1ED4" w:rsidRDefault="00F010E0" w:rsidP="008A1ED4">
      <w:pPr>
        <w:pStyle w:val="GATitleResolution"/>
      </w:pPr>
      <w:r>
        <w:t>DRAFT RESOLUTION 8</w:t>
      </w:r>
      <w:r w:rsidR="008A1ED4">
        <w:t xml:space="preserve">.GA </w:t>
      </w:r>
      <w:r w:rsidR="00571FB4">
        <w:t>15</w:t>
      </w:r>
    </w:p>
    <w:p w14:paraId="1D582314" w14:textId="77777777" w:rsidR="008A1ED4" w:rsidRPr="005A4A42" w:rsidRDefault="008A1ED4" w:rsidP="008A1ED4">
      <w:pPr>
        <w:pStyle w:val="GAPreambulaResolution"/>
        <w:rPr>
          <w:rFonts w:eastAsia="SimSun"/>
        </w:rPr>
      </w:pPr>
      <w:r w:rsidRPr="005A4A42">
        <w:t>The General Assembly,</w:t>
      </w:r>
    </w:p>
    <w:p w14:paraId="594680F8" w14:textId="12D1FDCE" w:rsidR="008A1ED4" w:rsidRPr="00555191" w:rsidRDefault="008A1ED4" w:rsidP="00555191">
      <w:pPr>
        <w:pStyle w:val="COMParaDecision"/>
        <w:numPr>
          <w:ilvl w:val="0"/>
          <w:numId w:val="10"/>
        </w:numPr>
        <w:ind w:left="1134" w:hanging="567"/>
        <w:rPr>
          <w:u w:val="none"/>
        </w:rPr>
      </w:pPr>
      <w:r w:rsidRPr="00345CB4">
        <w:t>Having examined</w:t>
      </w:r>
      <w:r w:rsidRPr="00F32C23">
        <w:rPr>
          <w:u w:val="none"/>
        </w:rPr>
        <w:t xml:space="preserve"> </w:t>
      </w:r>
      <w:r w:rsidRPr="000A3E40">
        <w:rPr>
          <w:u w:val="none"/>
        </w:rPr>
        <w:t>doc</w:t>
      </w:r>
      <w:r w:rsidR="00F010E0" w:rsidRPr="000A3E40">
        <w:rPr>
          <w:u w:val="none"/>
        </w:rPr>
        <w:t>ument LHE/20</w:t>
      </w:r>
      <w:r w:rsidRPr="000A3E40">
        <w:rPr>
          <w:u w:val="none"/>
        </w:rPr>
        <w:t>/</w:t>
      </w:r>
      <w:r w:rsidR="00F010E0" w:rsidRPr="008277DF">
        <w:rPr>
          <w:u w:val="none"/>
        </w:rPr>
        <w:t>8</w:t>
      </w:r>
      <w:r w:rsidRPr="008277DF">
        <w:rPr>
          <w:u w:val="none"/>
        </w:rPr>
        <w:t>.GA/</w:t>
      </w:r>
      <w:r w:rsidR="00571FB4" w:rsidRPr="008277DF">
        <w:rPr>
          <w:u w:val="none"/>
        </w:rPr>
        <w:t>15</w:t>
      </w:r>
      <w:r w:rsidR="00571FB4">
        <w:rPr>
          <w:u w:val="none"/>
          <w:lang w:val="en-US"/>
        </w:rPr>
        <w:t>,</w:t>
      </w:r>
    </w:p>
    <w:p w14:paraId="00CE879C" w14:textId="190A154F" w:rsidR="008A1ED4" w:rsidRPr="00345CB4" w:rsidRDefault="008A1ED4" w:rsidP="002B2472">
      <w:pPr>
        <w:pStyle w:val="COMParaDecision"/>
        <w:numPr>
          <w:ilvl w:val="0"/>
          <w:numId w:val="10"/>
        </w:numPr>
        <w:ind w:left="1134" w:hanging="567"/>
      </w:pPr>
      <w:r w:rsidRPr="00345CB4">
        <w:t>Recalling</w:t>
      </w:r>
      <w:r w:rsidRPr="00F32C23">
        <w:rPr>
          <w:u w:val="none"/>
        </w:rPr>
        <w:t xml:space="preserve"> </w:t>
      </w:r>
      <w:r w:rsidR="002B2472">
        <w:rPr>
          <w:u w:val="none"/>
        </w:rPr>
        <w:t>documen</w:t>
      </w:r>
      <w:r w:rsidR="002B2472" w:rsidRPr="00B44D76">
        <w:rPr>
          <w:u w:val="none"/>
        </w:rPr>
        <w:t>ts</w:t>
      </w:r>
      <w:r w:rsidR="002B2472" w:rsidRPr="00244BBA">
        <w:rPr>
          <w:u w:val="none"/>
        </w:rPr>
        <w:t xml:space="preserve"> </w:t>
      </w:r>
      <w:hyperlink r:id="rId24" w:history="1">
        <w:r w:rsidR="001D1AE3" w:rsidRPr="000B4EE6">
          <w:rPr>
            <w:rStyle w:val="Hyperlink"/>
          </w:rPr>
          <w:t>LHE/20/8.GA/7 Rev</w:t>
        </w:r>
      </w:hyperlink>
      <w:r w:rsidR="001D1AE3">
        <w:rPr>
          <w:u w:val="none"/>
        </w:rPr>
        <w:t xml:space="preserve">., </w:t>
      </w:r>
      <w:hyperlink r:id="rId25" w:history="1">
        <w:r w:rsidR="008277DF" w:rsidRPr="000B4EE6">
          <w:rPr>
            <w:rStyle w:val="Hyperlink"/>
            <w:lang w:val="en-US"/>
          </w:rPr>
          <w:t>LHE/20/8.GA/8</w:t>
        </w:r>
      </w:hyperlink>
      <w:r w:rsidR="008277DF">
        <w:rPr>
          <w:u w:val="none"/>
          <w:lang w:val="en-US"/>
        </w:rPr>
        <w:t>,</w:t>
      </w:r>
      <w:r w:rsidR="008277DF" w:rsidRPr="008277DF">
        <w:rPr>
          <w:u w:val="none"/>
          <w:lang w:val="en-US"/>
        </w:rPr>
        <w:t xml:space="preserve"> </w:t>
      </w:r>
      <w:hyperlink r:id="rId26" w:history="1">
        <w:r w:rsidR="004027E4" w:rsidRPr="00141A3D">
          <w:rPr>
            <w:rStyle w:val="Hyperlink"/>
          </w:rPr>
          <w:t>LHE/19/14.COM/19</w:t>
        </w:r>
      </w:hyperlink>
      <w:r w:rsidR="004027E4">
        <w:rPr>
          <w:rStyle w:val="Hyperlink"/>
        </w:rPr>
        <w:t xml:space="preserve">, </w:t>
      </w:r>
      <w:hyperlink r:id="rId27" w:history="1">
        <w:r w:rsidR="002B2472" w:rsidRPr="00E2070F">
          <w:rPr>
            <w:rStyle w:val="Hyperlink"/>
          </w:rPr>
          <w:t>ITH/18/13.COM/17</w:t>
        </w:r>
      </w:hyperlink>
      <w:r w:rsidR="002B2472">
        <w:rPr>
          <w:u w:val="none"/>
        </w:rPr>
        <w:t>,</w:t>
      </w:r>
      <w:r w:rsidR="0020027A">
        <w:rPr>
          <w:u w:val="none"/>
        </w:rPr>
        <w:t xml:space="preserve"> </w:t>
      </w:r>
      <w:hyperlink r:id="rId28" w:history="1">
        <w:r w:rsidR="0020027A" w:rsidRPr="0020027A">
          <w:rPr>
            <w:rStyle w:val="Hyperlink"/>
          </w:rPr>
          <w:t>ITH/17/12.COM/16</w:t>
        </w:r>
      </w:hyperlink>
      <w:r w:rsidR="0020027A">
        <w:rPr>
          <w:u w:val="none"/>
        </w:rPr>
        <w:t>,</w:t>
      </w:r>
      <w:r w:rsidR="002B2472" w:rsidRPr="00B44D76">
        <w:rPr>
          <w:u w:val="none"/>
        </w:rPr>
        <w:t xml:space="preserve"> </w:t>
      </w:r>
      <w:hyperlink r:id="rId29" w:history="1">
        <w:r w:rsidR="001D1AE3" w:rsidRPr="00B44D76">
          <w:rPr>
            <w:rStyle w:val="Hyperlink"/>
          </w:rPr>
          <w:t>ITH/18/7.GA/13</w:t>
        </w:r>
      </w:hyperlink>
      <w:r w:rsidR="004677DF">
        <w:rPr>
          <w:u w:val="none"/>
        </w:rPr>
        <w:t xml:space="preserve"> and</w:t>
      </w:r>
      <w:r w:rsidR="001D1AE3">
        <w:rPr>
          <w:u w:val="none"/>
        </w:rPr>
        <w:t xml:space="preserve"> </w:t>
      </w:r>
      <w:hyperlink r:id="rId30" w:history="1">
        <w:r w:rsidR="002B2472" w:rsidRPr="00B44D76">
          <w:rPr>
            <w:rStyle w:val="Hyperlink"/>
          </w:rPr>
          <w:t>ITH/18/7.GA/12</w:t>
        </w:r>
      </w:hyperlink>
      <w:r w:rsidR="00141A3D">
        <w:rPr>
          <w:u w:val="none"/>
        </w:rPr>
        <w:t xml:space="preserve">, </w:t>
      </w:r>
      <w:r w:rsidR="002B2472" w:rsidRPr="00895E59">
        <w:rPr>
          <w:u w:val="none"/>
        </w:rPr>
        <w:t xml:space="preserve">Decisions </w:t>
      </w:r>
      <w:hyperlink r:id="rId31" w:history="1">
        <w:r w:rsidR="001D1AE3" w:rsidRPr="004F7FE4">
          <w:rPr>
            <w:rStyle w:val="Hyperlink"/>
          </w:rPr>
          <w:t>14.COM 19</w:t>
        </w:r>
      </w:hyperlink>
      <w:r w:rsidR="00FC7581">
        <w:rPr>
          <w:rStyle w:val="Hyperlink"/>
        </w:rPr>
        <w:t>,</w:t>
      </w:r>
      <w:r w:rsidR="00FC7581" w:rsidRPr="00FC7581">
        <w:rPr>
          <w:rStyle w:val="Hyperlink"/>
          <w:u w:val="none"/>
        </w:rPr>
        <w:t xml:space="preserve"> </w:t>
      </w:r>
      <w:hyperlink r:id="rId32" w:history="1">
        <w:r w:rsidR="00FC7581" w:rsidRPr="006D5012">
          <w:rPr>
            <w:rStyle w:val="Hyperlink"/>
          </w:rPr>
          <w:t>13.COM 17</w:t>
        </w:r>
      </w:hyperlink>
      <w:r w:rsidR="00FC7581">
        <w:rPr>
          <w:u w:val="none"/>
        </w:rPr>
        <w:t xml:space="preserve">, </w:t>
      </w:r>
      <w:hyperlink r:id="rId33" w:history="1">
        <w:r w:rsidR="00FC7581" w:rsidRPr="00B40BA0">
          <w:rPr>
            <w:rStyle w:val="Hyperlink"/>
          </w:rPr>
          <w:t>12.COM</w:t>
        </w:r>
        <w:r w:rsidR="00FC7581">
          <w:rPr>
            <w:rStyle w:val="Hyperlink"/>
          </w:rPr>
          <w:t> </w:t>
        </w:r>
        <w:r w:rsidR="00FC7581" w:rsidRPr="00B40BA0">
          <w:rPr>
            <w:rStyle w:val="Hyperlink"/>
          </w:rPr>
          <w:t>16</w:t>
        </w:r>
      </w:hyperlink>
      <w:r w:rsidR="001D1AE3" w:rsidRPr="00CF60FD">
        <w:rPr>
          <w:rStyle w:val="Hyperlink"/>
          <w:color w:val="auto"/>
          <w:u w:val="none"/>
        </w:rPr>
        <w:t xml:space="preserve"> </w:t>
      </w:r>
      <w:r w:rsidR="002B2472">
        <w:rPr>
          <w:u w:val="none"/>
        </w:rPr>
        <w:t xml:space="preserve">and Resolutions </w:t>
      </w:r>
      <w:hyperlink r:id="rId34" w:history="1">
        <w:r w:rsidR="002B2472" w:rsidRPr="00B0094D">
          <w:rPr>
            <w:rStyle w:val="Hyperlink"/>
            <w:lang w:val="en-US"/>
          </w:rPr>
          <w:t>7.GA</w:t>
        </w:r>
        <w:r w:rsidR="004C70D6">
          <w:rPr>
            <w:rStyle w:val="Hyperlink"/>
            <w:lang w:val="en-US"/>
          </w:rPr>
          <w:t> </w:t>
        </w:r>
        <w:r w:rsidR="002B2472" w:rsidRPr="00B0094D">
          <w:rPr>
            <w:rStyle w:val="Hyperlink"/>
            <w:lang w:val="en-US"/>
          </w:rPr>
          <w:t>12</w:t>
        </w:r>
      </w:hyperlink>
      <w:r w:rsidR="002B2472">
        <w:rPr>
          <w:u w:val="none"/>
        </w:rPr>
        <w:t xml:space="preserve">, </w:t>
      </w:r>
      <w:hyperlink r:id="rId35" w:history="1">
        <w:r w:rsidR="002B2472" w:rsidRPr="00B0094D">
          <w:rPr>
            <w:rStyle w:val="Hyperlink"/>
            <w:lang w:val="en-US"/>
          </w:rPr>
          <w:t>7.GA 13</w:t>
        </w:r>
      </w:hyperlink>
      <w:r w:rsidR="002B2472">
        <w:rPr>
          <w:u w:val="none"/>
        </w:rPr>
        <w:t xml:space="preserve"> and </w:t>
      </w:r>
      <w:hyperlink r:id="rId36" w:history="1">
        <w:r w:rsidR="002B2472" w:rsidRPr="0055728A">
          <w:rPr>
            <w:rStyle w:val="Hyperlink"/>
            <w:lang w:val="en-US"/>
          </w:rPr>
          <w:t>6.GA 11</w:t>
        </w:r>
      </w:hyperlink>
      <w:r w:rsidRPr="00F32C23">
        <w:rPr>
          <w:u w:val="none"/>
        </w:rPr>
        <w:t>,</w:t>
      </w:r>
    </w:p>
    <w:p w14:paraId="0E35132A" w14:textId="15A467AD" w:rsidR="00744371" w:rsidRDefault="008A1ED4" w:rsidP="00744371">
      <w:pPr>
        <w:pStyle w:val="COMParaDecision"/>
        <w:numPr>
          <w:ilvl w:val="0"/>
          <w:numId w:val="10"/>
        </w:numPr>
        <w:ind w:left="1134" w:hanging="567"/>
      </w:pPr>
      <w:r w:rsidRPr="00345CB4">
        <w:t>Further recalling</w:t>
      </w:r>
      <w:r w:rsidRPr="00F32C23">
        <w:rPr>
          <w:u w:val="none"/>
        </w:rPr>
        <w:t xml:space="preserve"> </w:t>
      </w:r>
      <w:hyperlink r:id="rId37" w:history="1">
        <w:r w:rsidR="00AD3E62" w:rsidRPr="00D94EA9">
          <w:rPr>
            <w:rStyle w:val="Hyperlink"/>
            <w:lang w:val="en-US"/>
          </w:rPr>
          <w:t>38</w:t>
        </w:r>
        <w:r w:rsidR="00F85924">
          <w:rPr>
            <w:rStyle w:val="Hyperlink"/>
            <w:lang w:val="en-US"/>
          </w:rPr>
          <w:t xml:space="preserve"> </w:t>
        </w:r>
        <w:r w:rsidR="00AD3E62" w:rsidRPr="00D94EA9">
          <w:rPr>
            <w:rStyle w:val="Hyperlink"/>
            <w:lang w:val="en-US"/>
          </w:rPr>
          <w:t>C/Resolution 101</w:t>
        </w:r>
      </w:hyperlink>
      <w:r w:rsidR="00AD3E62" w:rsidRPr="00EF2896">
        <w:rPr>
          <w:rStyle w:val="Hyperlink"/>
          <w:color w:val="auto"/>
          <w:u w:val="none"/>
          <w:lang w:val="en-US"/>
        </w:rPr>
        <w:t xml:space="preserve"> </w:t>
      </w:r>
      <w:r w:rsidR="00EF2896" w:rsidRPr="00EF2896">
        <w:rPr>
          <w:rStyle w:val="Hyperlink"/>
          <w:color w:val="auto"/>
          <w:u w:val="none"/>
          <w:lang w:val="en-US"/>
        </w:rPr>
        <w:t>and</w:t>
      </w:r>
      <w:r w:rsidR="00EF2896" w:rsidRPr="00EF2896">
        <w:rPr>
          <w:rStyle w:val="Hyperlink"/>
          <w:color w:val="auto"/>
          <w:lang w:val="en-US"/>
        </w:rPr>
        <w:t xml:space="preserve"> </w:t>
      </w:r>
      <w:hyperlink r:id="rId38" w:history="1">
        <w:r w:rsidR="002B2472" w:rsidRPr="00E2070F">
          <w:rPr>
            <w:rStyle w:val="Hyperlink"/>
          </w:rPr>
          <w:t>39 C/Resolution</w:t>
        </w:r>
        <w:r w:rsidR="002B2472" w:rsidRPr="00E2070F">
          <w:rPr>
            <w:rStyle w:val="Hyperlink"/>
            <w:lang w:val="en-US"/>
          </w:rPr>
          <w:t> 87</w:t>
        </w:r>
      </w:hyperlink>
      <w:r w:rsidR="002B2472" w:rsidRPr="00F32C23">
        <w:rPr>
          <w:u w:val="none"/>
        </w:rPr>
        <w:t>,</w:t>
      </w:r>
    </w:p>
    <w:p w14:paraId="252CDB2C" w14:textId="36602B88" w:rsidR="002B2472" w:rsidRPr="00362E48" w:rsidRDefault="002B2472" w:rsidP="002B2472">
      <w:pPr>
        <w:pStyle w:val="COMParaDecision"/>
        <w:numPr>
          <w:ilvl w:val="0"/>
          <w:numId w:val="10"/>
        </w:numPr>
        <w:ind w:left="1134" w:hanging="567"/>
      </w:pPr>
      <w:r>
        <w:t>Encourages</w:t>
      </w:r>
      <w:r w:rsidRPr="00373083">
        <w:rPr>
          <w:u w:val="none"/>
        </w:rPr>
        <w:t xml:space="preserve"> </w:t>
      </w:r>
      <w:r>
        <w:rPr>
          <w:u w:val="none"/>
        </w:rPr>
        <w:t>the Culture Sector to continue its efforts, wherever appropriate, to</w:t>
      </w:r>
      <w:r w:rsidRPr="006501D3">
        <w:rPr>
          <w:u w:val="none"/>
        </w:rPr>
        <w:t xml:space="preserve"> harmoniz</w:t>
      </w:r>
      <w:r>
        <w:rPr>
          <w:u w:val="none"/>
        </w:rPr>
        <w:t>e</w:t>
      </w:r>
      <w:r w:rsidRPr="006501D3">
        <w:rPr>
          <w:u w:val="none"/>
        </w:rPr>
        <w:t xml:space="preserve"> the rules of procedure of the governing bodies </w:t>
      </w:r>
      <w:r w:rsidR="00282A8D">
        <w:rPr>
          <w:u w:val="none"/>
        </w:rPr>
        <w:t>of the</w:t>
      </w:r>
      <w:r w:rsidRPr="006501D3">
        <w:rPr>
          <w:u w:val="none"/>
        </w:rPr>
        <w:t xml:space="preserve"> culture conventions </w:t>
      </w:r>
      <w:r>
        <w:rPr>
          <w:u w:val="none"/>
        </w:rPr>
        <w:t>in conformity with</w:t>
      </w:r>
      <w:r w:rsidRPr="006501D3">
        <w:rPr>
          <w:u w:val="none"/>
        </w:rPr>
        <w:t xml:space="preserve"> </w:t>
      </w:r>
      <w:hyperlink r:id="rId39" w:history="1">
        <w:r w:rsidRPr="00B44D76">
          <w:rPr>
            <w:rStyle w:val="Hyperlink"/>
          </w:rPr>
          <w:t>Resolution 7.GA 13</w:t>
        </w:r>
      </w:hyperlink>
      <w:r>
        <w:rPr>
          <w:u w:val="none"/>
        </w:rPr>
        <w:t>;</w:t>
      </w:r>
    </w:p>
    <w:p w14:paraId="03E5A30D" w14:textId="27EC8BF7" w:rsidR="008A1ED4" w:rsidRPr="000B4EE6" w:rsidRDefault="002B2472" w:rsidP="008A1ED4">
      <w:pPr>
        <w:pStyle w:val="COMParaDecision"/>
        <w:numPr>
          <w:ilvl w:val="0"/>
          <w:numId w:val="10"/>
        </w:numPr>
        <w:ind w:left="1134" w:hanging="567"/>
      </w:pPr>
      <w:r>
        <w:t>Considers</w:t>
      </w:r>
      <w:r w:rsidR="00EF2896">
        <w:rPr>
          <w:u w:val="none"/>
        </w:rPr>
        <w:t xml:space="preserve"> </w:t>
      </w:r>
      <w:r>
        <w:rPr>
          <w:u w:val="none"/>
        </w:rPr>
        <w:t xml:space="preserve">that sufficient progress has been made with the follow-up </w:t>
      </w:r>
      <w:r w:rsidR="005F77AA">
        <w:rPr>
          <w:u w:val="none"/>
        </w:rPr>
        <w:t xml:space="preserve">to </w:t>
      </w:r>
      <w:r>
        <w:rPr>
          <w:u w:val="none"/>
        </w:rPr>
        <w:t>the implementati</w:t>
      </w:r>
      <w:r w:rsidRPr="00920D85">
        <w:rPr>
          <w:u w:val="none"/>
        </w:rPr>
        <w:t xml:space="preserve">on </w:t>
      </w:r>
      <w:r w:rsidRPr="004D19D9">
        <w:rPr>
          <w:u w:val="none"/>
        </w:rPr>
        <w:t xml:space="preserve">of the relevant recommendations of the Open-Ended Working Group </w:t>
      </w:r>
      <w:r w:rsidR="00744371">
        <w:rPr>
          <w:u w:val="none"/>
        </w:rPr>
        <w:t>on the Governance, Procedures and Working Meth</w:t>
      </w:r>
      <w:r w:rsidR="002D7033">
        <w:rPr>
          <w:u w:val="none"/>
        </w:rPr>
        <w:t>ods of the Governing Bodies of U</w:t>
      </w:r>
      <w:r w:rsidR="00744371">
        <w:rPr>
          <w:u w:val="none"/>
        </w:rPr>
        <w:t xml:space="preserve">NESCO </w:t>
      </w:r>
      <w:r w:rsidRPr="004D19D9">
        <w:rPr>
          <w:u w:val="none"/>
        </w:rPr>
        <w:t>that</w:t>
      </w:r>
      <w:r w:rsidRPr="00444E42">
        <w:rPr>
          <w:u w:val="none"/>
        </w:rPr>
        <w:t xml:space="preserve"> </w:t>
      </w:r>
      <w:r w:rsidRPr="00123801">
        <w:rPr>
          <w:u w:val="none"/>
        </w:rPr>
        <w:t>require</w:t>
      </w:r>
      <w:r w:rsidRPr="000E48F7">
        <w:rPr>
          <w:u w:val="none"/>
        </w:rPr>
        <w:t xml:space="preserve"> </w:t>
      </w:r>
      <w:r w:rsidRPr="00920D85">
        <w:rPr>
          <w:u w:val="none"/>
        </w:rPr>
        <w:t xml:space="preserve">the attention of the </w:t>
      </w:r>
      <w:r>
        <w:rPr>
          <w:u w:val="none"/>
        </w:rPr>
        <w:t xml:space="preserve">General Assembly and </w:t>
      </w:r>
      <w:r w:rsidRPr="00362E48">
        <w:t>requests</w:t>
      </w:r>
      <w:r>
        <w:rPr>
          <w:u w:val="none"/>
        </w:rPr>
        <w:t xml:space="preserve"> that the Secretariat continue reporting as and when necessary on further progress regarding the status of recommendations.</w:t>
      </w:r>
    </w:p>
    <w:sectPr w:rsidR="008A1ED4" w:rsidRPr="000B4EE6" w:rsidSect="00176720">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8512" w14:textId="77777777" w:rsidR="00535192" w:rsidRDefault="00535192" w:rsidP="00655736">
      <w:r>
        <w:separator/>
      </w:r>
    </w:p>
  </w:endnote>
  <w:endnote w:type="continuationSeparator" w:id="0">
    <w:p w14:paraId="27F88E12" w14:textId="77777777" w:rsidR="00535192" w:rsidRDefault="0053519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F267" w14:textId="77777777" w:rsidR="00535192" w:rsidRDefault="00535192" w:rsidP="00655736">
      <w:r>
        <w:separator/>
      </w:r>
    </w:p>
  </w:footnote>
  <w:footnote w:type="continuationSeparator" w:id="0">
    <w:p w14:paraId="2679E9A8" w14:textId="77777777" w:rsidR="00535192" w:rsidRDefault="00535192" w:rsidP="00655736">
      <w:r>
        <w:continuationSeparator/>
      </w:r>
    </w:p>
  </w:footnote>
  <w:footnote w:id="1">
    <w:p w14:paraId="4BE12B5C" w14:textId="08F46F2D" w:rsidR="00582029" w:rsidRPr="00386074" w:rsidRDefault="00582029" w:rsidP="00582029">
      <w:pPr>
        <w:pStyle w:val="FootnoteText"/>
        <w:ind w:left="567" w:hanging="567"/>
        <w:rPr>
          <w:rFonts w:ascii="Arial" w:hAnsi="Arial" w:cs="Arial"/>
          <w:sz w:val="18"/>
          <w:szCs w:val="18"/>
          <w:lang w:val="en-GB"/>
        </w:rPr>
      </w:pPr>
      <w:r w:rsidRPr="00386074">
        <w:rPr>
          <w:rStyle w:val="FootnoteReference"/>
          <w:rFonts w:ascii="Arial" w:hAnsi="Arial" w:cs="Arial"/>
          <w:sz w:val="18"/>
          <w:szCs w:val="18"/>
          <w:vertAlign w:val="baseline"/>
        </w:rPr>
        <w:footnoteRef/>
      </w:r>
      <w:r w:rsidRPr="00386074">
        <w:rPr>
          <w:rFonts w:ascii="Arial" w:hAnsi="Arial" w:cs="Arial"/>
          <w:sz w:val="18"/>
          <w:szCs w:val="18"/>
          <w:lang w:val="en-US"/>
        </w:rPr>
        <w:t>.</w:t>
      </w:r>
      <w:r w:rsidRPr="00386074">
        <w:rPr>
          <w:rFonts w:ascii="Arial" w:hAnsi="Arial" w:cs="Arial"/>
          <w:sz w:val="18"/>
          <w:szCs w:val="18"/>
          <w:lang w:val="en-US"/>
        </w:rPr>
        <w:tab/>
      </w:r>
      <w:r w:rsidRPr="00386074">
        <w:rPr>
          <w:rFonts w:ascii="Arial" w:hAnsi="Arial" w:cs="Arial"/>
          <w:sz w:val="18"/>
          <w:szCs w:val="18"/>
          <w:lang w:val="en-GB"/>
        </w:rPr>
        <w:t>Administration and general questions, programme support and external relations Commission of the General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0D4C" w14:textId="7D92CB09" w:rsidR="00D95C4C" w:rsidRPr="00C23A97" w:rsidRDefault="006F41B4">
    <w:pPr>
      <w:pStyle w:val="Header"/>
      <w:rPr>
        <w:rFonts w:ascii="Arial" w:hAnsi="Arial" w:cs="Arial"/>
        <w:lang w:val="en-GB"/>
      </w:rPr>
    </w:pPr>
    <w:r w:rsidRPr="00571FB4">
      <w:rPr>
        <w:rFonts w:ascii="Arial" w:hAnsi="Arial" w:cs="Arial"/>
        <w:sz w:val="20"/>
        <w:szCs w:val="20"/>
        <w:lang w:val="en-GB"/>
      </w:rPr>
      <w:t>LHE</w:t>
    </w:r>
    <w:r w:rsidR="00763A0D" w:rsidRPr="00571FB4">
      <w:rPr>
        <w:rFonts w:ascii="Arial" w:hAnsi="Arial" w:cs="Arial"/>
        <w:sz w:val="20"/>
        <w:szCs w:val="20"/>
        <w:lang w:val="en-GB"/>
      </w:rPr>
      <w:t>/</w:t>
    </w:r>
    <w:r w:rsidRPr="00571FB4">
      <w:rPr>
        <w:rFonts w:ascii="Arial" w:hAnsi="Arial" w:cs="Arial"/>
        <w:sz w:val="20"/>
        <w:szCs w:val="20"/>
        <w:lang w:val="en-GB"/>
      </w:rPr>
      <w:t>20</w:t>
    </w:r>
    <w:r w:rsidR="00763A0D" w:rsidRPr="00571FB4">
      <w:rPr>
        <w:rFonts w:ascii="Arial" w:hAnsi="Arial" w:cs="Arial"/>
        <w:sz w:val="20"/>
        <w:szCs w:val="20"/>
        <w:lang w:val="en-GB"/>
      </w:rPr>
      <w:t>/</w:t>
    </w:r>
    <w:r w:rsidRPr="00571FB4">
      <w:rPr>
        <w:rFonts w:ascii="Arial" w:hAnsi="Arial" w:cs="Arial"/>
        <w:sz w:val="20"/>
        <w:szCs w:val="20"/>
        <w:lang w:val="en-GB"/>
      </w:rPr>
      <w:t>8</w:t>
    </w:r>
    <w:r w:rsidR="00BB04AF" w:rsidRPr="00571FB4">
      <w:rPr>
        <w:rFonts w:ascii="Arial" w:hAnsi="Arial" w:cs="Arial"/>
        <w:sz w:val="20"/>
        <w:szCs w:val="20"/>
        <w:lang w:val="en-GB"/>
      </w:rPr>
      <w:t>.GA</w:t>
    </w:r>
    <w:r w:rsidR="00D95C4C" w:rsidRPr="00571FB4">
      <w:rPr>
        <w:rFonts w:ascii="Arial" w:hAnsi="Arial" w:cs="Arial"/>
        <w:sz w:val="20"/>
        <w:szCs w:val="20"/>
        <w:lang w:val="en-GB"/>
      </w:rPr>
      <w:t>/</w:t>
    </w:r>
    <w:r w:rsidR="00571FB4" w:rsidRPr="00555191">
      <w:rPr>
        <w:rFonts w:ascii="Arial" w:hAnsi="Arial" w:cs="Arial"/>
        <w:sz w:val="20"/>
        <w:szCs w:val="20"/>
        <w:lang w:val="en-GB"/>
      </w:rPr>
      <w:t>15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1A3916">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8218" w14:textId="0BADBCC1" w:rsidR="00D95C4C" w:rsidRPr="0063300C" w:rsidRDefault="00F978E4" w:rsidP="0063300C">
    <w:pPr>
      <w:pStyle w:val="Header"/>
      <w:jc w:val="right"/>
      <w:rPr>
        <w:rFonts w:ascii="Arial" w:hAnsi="Arial" w:cs="Arial"/>
        <w:lang w:val="en-GB"/>
      </w:rPr>
    </w:pPr>
    <w:r>
      <w:rPr>
        <w:rFonts w:ascii="Arial" w:hAnsi="Arial" w:cs="Arial"/>
        <w:sz w:val="20"/>
        <w:szCs w:val="20"/>
        <w:lang w:val="en-GB"/>
      </w:rPr>
      <w:t>LHE</w:t>
    </w:r>
    <w:r w:rsidR="00B96B09" w:rsidRPr="000A3E40">
      <w:rPr>
        <w:rFonts w:ascii="Arial" w:hAnsi="Arial" w:cs="Arial"/>
        <w:sz w:val="20"/>
        <w:szCs w:val="20"/>
        <w:lang w:val="en-GB"/>
      </w:rPr>
      <w:t>/</w:t>
    </w:r>
    <w:r>
      <w:rPr>
        <w:rFonts w:ascii="Arial" w:hAnsi="Arial" w:cs="Arial"/>
        <w:sz w:val="20"/>
        <w:szCs w:val="20"/>
        <w:lang w:val="en-GB"/>
      </w:rPr>
      <w:t>20</w:t>
    </w:r>
    <w:r w:rsidR="00B96B09" w:rsidRPr="000A3E40">
      <w:rPr>
        <w:rFonts w:ascii="Arial" w:hAnsi="Arial" w:cs="Arial"/>
        <w:sz w:val="20"/>
        <w:szCs w:val="20"/>
        <w:lang w:val="en-GB"/>
      </w:rPr>
      <w:t>/</w:t>
    </w:r>
    <w:r w:rsidR="008B2844" w:rsidRPr="000A3E40">
      <w:rPr>
        <w:rFonts w:ascii="Arial" w:hAnsi="Arial" w:cs="Arial"/>
        <w:sz w:val="20"/>
        <w:szCs w:val="20"/>
        <w:lang w:val="en-GB"/>
      </w:rPr>
      <w:t>8</w:t>
    </w:r>
    <w:r w:rsidR="004A34A0" w:rsidRPr="00571FB4">
      <w:rPr>
        <w:rFonts w:ascii="Arial" w:hAnsi="Arial" w:cs="Arial"/>
        <w:sz w:val="20"/>
        <w:szCs w:val="20"/>
        <w:lang w:val="en-GB"/>
      </w:rPr>
      <w:t>.GA/</w:t>
    </w:r>
    <w:r w:rsidR="00571FB4" w:rsidRPr="00555191">
      <w:rPr>
        <w:rFonts w:ascii="Arial" w:hAnsi="Arial" w:cs="Arial"/>
        <w:sz w:val="20"/>
        <w:szCs w:val="20"/>
        <w:lang w:val="en-GB"/>
      </w:rPr>
      <w:t>15</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A3916">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FC11" w14:textId="77777777" w:rsidR="00D95C4C" w:rsidRPr="008724E5" w:rsidRDefault="00AA6660">
    <w:pPr>
      <w:pStyle w:val="Header"/>
    </w:pPr>
    <w:r>
      <w:rPr>
        <w:noProof/>
      </w:rPr>
      <w:drawing>
        <wp:anchor distT="0" distB="0" distL="114300" distR="114300" simplePos="0" relativeHeight="251657728" behindDoc="0" locked="0" layoutInCell="1" allowOverlap="1" wp14:anchorId="0AEE8D40" wp14:editId="7CAD89A4">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1FE3A" w14:textId="77777777" w:rsidR="00D95C4C" w:rsidRPr="00F978E4" w:rsidRDefault="006F41B4" w:rsidP="00655736">
    <w:pPr>
      <w:pStyle w:val="Header"/>
      <w:spacing w:after="520"/>
      <w:jc w:val="right"/>
      <w:rPr>
        <w:rFonts w:ascii="Arial" w:hAnsi="Arial" w:cs="Arial"/>
        <w:b/>
        <w:sz w:val="44"/>
        <w:szCs w:val="44"/>
        <w:lang w:val="en-US"/>
      </w:rPr>
    </w:pPr>
    <w:r w:rsidRPr="00F978E4">
      <w:rPr>
        <w:rFonts w:ascii="Arial" w:hAnsi="Arial" w:cs="Arial"/>
        <w:b/>
        <w:sz w:val="44"/>
        <w:szCs w:val="44"/>
        <w:lang w:val="en-US"/>
      </w:rPr>
      <w:t>8</w:t>
    </w:r>
    <w:r w:rsidR="00D95C4C" w:rsidRPr="00F978E4">
      <w:rPr>
        <w:rFonts w:ascii="Arial" w:hAnsi="Arial" w:cs="Arial"/>
        <w:b/>
        <w:sz w:val="44"/>
        <w:szCs w:val="44"/>
        <w:lang w:val="en-US"/>
      </w:rPr>
      <w:t xml:space="preserve"> GA</w:t>
    </w:r>
  </w:p>
  <w:p w14:paraId="7842E031" w14:textId="3DCC745E" w:rsidR="00D95C4C" w:rsidRPr="00C007F9" w:rsidRDefault="006F41B4" w:rsidP="00655736">
    <w:pPr>
      <w:jc w:val="right"/>
      <w:rPr>
        <w:rFonts w:ascii="Arial" w:hAnsi="Arial" w:cs="Arial"/>
        <w:b/>
        <w:sz w:val="22"/>
        <w:szCs w:val="22"/>
        <w:lang w:val="en-GB"/>
      </w:rPr>
    </w:pPr>
    <w:r w:rsidRPr="00C007F9">
      <w:rPr>
        <w:rFonts w:ascii="Arial" w:hAnsi="Arial" w:cs="Arial"/>
        <w:b/>
        <w:sz w:val="22"/>
        <w:szCs w:val="22"/>
        <w:lang w:val="en-GB"/>
      </w:rPr>
      <w:t>LHE</w:t>
    </w:r>
    <w:r w:rsidR="00C42C66" w:rsidRPr="00C007F9">
      <w:rPr>
        <w:rFonts w:ascii="Arial" w:hAnsi="Arial" w:cs="Arial"/>
        <w:b/>
        <w:sz w:val="22"/>
        <w:szCs w:val="22"/>
        <w:lang w:val="en-GB"/>
      </w:rPr>
      <w:t>/</w:t>
    </w:r>
    <w:r w:rsidRPr="00C007F9">
      <w:rPr>
        <w:rFonts w:ascii="Arial" w:hAnsi="Arial" w:cs="Arial"/>
        <w:b/>
        <w:sz w:val="22"/>
        <w:szCs w:val="22"/>
        <w:lang w:val="en-GB"/>
      </w:rPr>
      <w:t>20</w:t>
    </w:r>
    <w:r w:rsidR="00D95C4C" w:rsidRPr="00C007F9">
      <w:rPr>
        <w:rFonts w:ascii="Arial" w:hAnsi="Arial" w:cs="Arial"/>
        <w:b/>
        <w:sz w:val="22"/>
        <w:szCs w:val="22"/>
        <w:lang w:val="en-GB"/>
      </w:rPr>
      <w:t>/</w:t>
    </w:r>
    <w:r w:rsidRPr="00C007F9">
      <w:rPr>
        <w:rFonts w:ascii="Arial" w:hAnsi="Arial" w:cs="Arial"/>
        <w:b/>
        <w:sz w:val="22"/>
        <w:szCs w:val="22"/>
        <w:lang w:val="en-GB"/>
      </w:rPr>
      <w:t>8</w:t>
    </w:r>
    <w:r w:rsidR="00D95C4C" w:rsidRPr="00C007F9">
      <w:rPr>
        <w:rFonts w:ascii="Arial" w:hAnsi="Arial" w:cs="Arial"/>
        <w:b/>
        <w:sz w:val="22"/>
        <w:szCs w:val="22"/>
        <w:lang w:val="en-GB"/>
      </w:rPr>
      <w:t>.</w:t>
    </w:r>
    <w:r w:rsidR="00BB04AF" w:rsidRPr="00C007F9">
      <w:rPr>
        <w:rFonts w:ascii="Arial" w:hAnsi="Arial" w:cs="Arial"/>
        <w:b/>
        <w:sz w:val="22"/>
        <w:szCs w:val="22"/>
        <w:lang w:val="en-GB"/>
      </w:rPr>
      <w:t>GA</w:t>
    </w:r>
    <w:r w:rsidR="00D95C4C" w:rsidRPr="00C007F9">
      <w:rPr>
        <w:rFonts w:ascii="Arial" w:hAnsi="Arial" w:cs="Arial"/>
        <w:b/>
        <w:sz w:val="22"/>
        <w:szCs w:val="22"/>
        <w:lang w:val="en-GB"/>
      </w:rPr>
      <w:t>/</w:t>
    </w:r>
    <w:r w:rsidR="00571FB4" w:rsidRPr="00C007F9">
      <w:rPr>
        <w:rFonts w:ascii="Arial" w:hAnsi="Arial" w:cs="Arial"/>
        <w:b/>
        <w:sz w:val="22"/>
        <w:szCs w:val="22"/>
        <w:lang w:val="en-GB"/>
      </w:rPr>
      <w:t>15</w:t>
    </w:r>
  </w:p>
  <w:p w14:paraId="389FB1EF" w14:textId="2ED31999" w:rsidR="00D95C4C" w:rsidRPr="00C007F9" w:rsidRDefault="00D95C4C" w:rsidP="00655736">
    <w:pPr>
      <w:jc w:val="right"/>
      <w:rPr>
        <w:rFonts w:ascii="Arial" w:hAnsi="Arial" w:cs="Arial"/>
        <w:b/>
        <w:sz w:val="22"/>
        <w:szCs w:val="22"/>
        <w:lang w:val="en-GB"/>
      </w:rPr>
    </w:pPr>
    <w:r w:rsidRPr="00C007F9">
      <w:rPr>
        <w:rFonts w:ascii="Arial" w:hAnsi="Arial" w:cs="Arial"/>
        <w:b/>
        <w:sz w:val="22"/>
        <w:szCs w:val="22"/>
        <w:lang w:val="en-GB"/>
      </w:rPr>
      <w:t xml:space="preserve">Paris, </w:t>
    </w:r>
    <w:r w:rsidR="00170196" w:rsidRPr="00C007F9">
      <w:rPr>
        <w:rFonts w:ascii="Arial" w:hAnsi="Arial" w:cs="Arial"/>
        <w:b/>
        <w:sz w:val="22"/>
        <w:szCs w:val="22"/>
        <w:lang w:val="en-GB"/>
      </w:rPr>
      <w:t>2 September</w:t>
    </w:r>
    <w:r w:rsidRPr="00C007F9">
      <w:rPr>
        <w:rFonts w:ascii="Arial" w:hAnsi="Arial" w:cs="Arial"/>
        <w:b/>
        <w:sz w:val="22"/>
        <w:szCs w:val="22"/>
        <w:lang w:val="en-GB"/>
      </w:rPr>
      <w:t xml:space="preserve"> </w:t>
    </w:r>
    <w:r w:rsidR="006F41B4" w:rsidRPr="00C007F9">
      <w:rPr>
        <w:rFonts w:ascii="Arial" w:hAnsi="Arial" w:cs="Arial"/>
        <w:b/>
        <w:sz w:val="22"/>
        <w:szCs w:val="22"/>
        <w:lang w:val="en-GB"/>
      </w:rPr>
      <w:t>2020</w:t>
    </w:r>
  </w:p>
  <w:p w14:paraId="6179FAA9" w14:textId="67991961" w:rsidR="00D95C4C" w:rsidRPr="00C007F9" w:rsidRDefault="00D95C4C" w:rsidP="00703FBF">
    <w:pPr>
      <w:jc w:val="right"/>
      <w:rPr>
        <w:rFonts w:ascii="Arial" w:hAnsi="Arial" w:cs="Arial"/>
        <w:b/>
        <w:sz w:val="22"/>
        <w:szCs w:val="22"/>
        <w:lang w:val="en-GB"/>
      </w:rPr>
    </w:pPr>
    <w:r w:rsidRPr="00C007F9">
      <w:rPr>
        <w:rFonts w:ascii="Arial" w:hAnsi="Arial" w:cs="Arial"/>
        <w:b/>
        <w:sz w:val="22"/>
        <w:szCs w:val="22"/>
        <w:lang w:val="en-GB"/>
      </w:rPr>
      <w:t xml:space="preserve">Original: </w:t>
    </w:r>
    <w:r w:rsidR="00571FB4" w:rsidRPr="00C007F9">
      <w:rPr>
        <w:rFonts w:ascii="Arial" w:hAnsi="Arial" w:cs="Arial"/>
        <w:b/>
        <w:sz w:val="22"/>
        <w:szCs w:val="22"/>
        <w:lang w:val="en-GB"/>
      </w:rPr>
      <w:t>English</w:t>
    </w:r>
  </w:p>
  <w:p w14:paraId="1F920142" w14:textId="77777777" w:rsidR="00540FE0" w:rsidRPr="00C007F9"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FD3"/>
    <w:multiLevelType w:val="hybridMultilevel"/>
    <w:tmpl w:val="A76459EE"/>
    <w:lvl w:ilvl="0" w:tplc="5E36DC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44427B"/>
    <w:multiLevelType w:val="hybridMultilevel"/>
    <w:tmpl w:val="4D6A3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8050B"/>
    <w:multiLevelType w:val="hybridMultilevel"/>
    <w:tmpl w:val="B0E4A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5F7E20C1"/>
    <w:multiLevelType w:val="hybridMultilevel"/>
    <w:tmpl w:val="8960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0"/>
  </w:num>
  <w:num w:numId="5">
    <w:abstractNumId w:val="18"/>
  </w:num>
  <w:num w:numId="6">
    <w:abstractNumId w:val="2"/>
  </w:num>
  <w:num w:numId="7">
    <w:abstractNumId w:val="5"/>
  </w:num>
  <w:num w:numId="8">
    <w:abstractNumId w:val="12"/>
  </w:num>
  <w:num w:numId="9">
    <w:abstractNumId w:val="6"/>
  </w:num>
  <w:num w:numId="10">
    <w:abstractNumId w:val="8"/>
  </w:num>
  <w:num w:numId="11">
    <w:abstractNumId w:val="11"/>
  </w:num>
  <w:num w:numId="12">
    <w:abstractNumId w:val="9"/>
  </w:num>
  <w:num w:numId="13">
    <w:abstractNumId w:val="19"/>
  </w:num>
  <w:num w:numId="14">
    <w:abstractNumId w:val="14"/>
  </w:num>
  <w:num w:numId="15">
    <w:abstractNumId w:val="15"/>
  </w:num>
  <w:num w:numId="16">
    <w:abstractNumId w:val="8"/>
  </w:num>
  <w:num w:numId="17">
    <w:abstractNumId w:val="8"/>
  </w:num>
  <w:num w:numId="18">
    <w:abstractNumId w:val="8"/>
  </w:num>
  <w:num w:numId="19">
    <w:abstractNumId w:val="0"/>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3"/>
  </w:num>
  <w:num w:numId="28">
    <w:abstractNumId w:val="6"/>
  </w:num>
  <w:num w:numId="29">
    <w:abstractNumId w:val="6"/>
  </w:num>
  <w:num w:numId="30">
    <w:abstractNumId w:val="6"/>
  </w:num>
  <w:num w:numId="31">
    <w:abstractNumId w:val="17"/>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6"/>
  </w:num>
  <w:num w:numId="39">
    <w:abstractNumId w:val="6"/>
  </w:num>
  <w:num w:numId="40">
    <w:abstractNumId w:val="3"/>
  </w:num>
  <w:num w:numId="41">
    <w:abstractNumId w:val="6"/>
  </w:num>
  <w:num w:numId="42">
    <w:abstractNumId w:val="6"/>
  </w:num>
  <w:num w:numId="43">
    <w:abstractNumId w:val="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A66"/>
    <w:rsid w:val="0005176E"/>
    <w:rsid w:val="000765F7"/>
    <w:rsid w:val="00077AB7"/>
    <w:rsid w:val="00081CD8"/>
    <w:rsid w:val="000A3E40"/>
    <w:rsid w:val="000A7F0E"/>
    <w:rsid w:val="000B1862"/>
    <w:rsid w:val="000B4EE6"/>
    <w:rsid w:val="000C0D61"/>
    <w:rsid w:val="000C1A83"/>
    <w:rsid w:val="000F3A3F"/>
    <w:rsid w:val="00102557"/>
    <w:rsid w:val="00141A3D"/>
    <w:rsid w:val="001520D6"/>
    <w:rsid w:val="00164D56"/>
    <w:rsid w:val="00167B10"/>
    <w:rsid w:val="00170196"/>
    <w:rsid w:val="00170D77"/>
    <w:rsid w:val="0017402F"/>
    <w:rsid w:val="00176720"/>
    <w:rsid w:val="00196C1B"/>
    <w:rsid w:val="001A3916"/>
    <w:rsid w:val="001A6D6E"/>
    <w:rsid w:val="001A7DA9"/>
    <w:rsid w:val="001B0F73"/>
    <w:rsid w:val="001B5301"/>
    <w:rsid w:val="001B6812"/>
    <w:rsid w:val="001C4825"/>
    <w:rsid w:val="001D1AE3"/>
    <w:rsid w:val="001D20C3"/>
    <w:rsid w:val="001D5C04"/>
    <w:rsid w:val="001F18B9"/>
    <w:rsid w:val="001F2712"/>
    <w:rsid w:val="0020027A"/>
    <w:rsid w:val="0021539E"/>
    <w:rsid w:val="00222A2D"/>
    <w:rsid w:val="00223029"/>
    <w:rsid w:val="00234745"/>
    <w:rsid w:val="002407AF"/>
    <w:rsid w:val="002415CA"/>
    <w:rsid w:val="00257145"/>
    <w:rsid w:val="00273128"/>
    <w:rsid w:val="00282A8D"/>
    <w:rsid w:val="002B2472"/>
    <w:rsid w:val="002C09E3"/>
    <w:rsid w:val="002C475F"/>
    <w:rsid w:val="002D7033"/>
    <w:rsid w:val="002F312A"/>
    <w:rsid w:val="00316F60"/>
    <w:rsid w:val="00335C6B"/>
    <w:rsid w:val="00344716"/>
    <w:rsid w:val="00344B1F"/>
    <w:rsid w:val="00345CB4"/>
    <w:rsid w:val="0035000E"/>
    <w:rsid w:val="003549B8"/>
    <w:rsid w:val="00386074"/>
    <w:rsid w:val="0039795F"/>
    <w:rsid w:val="003A493E"/>
    <w:rsid w:val="003B1AAD"/>
    <w:rsid w:val="003D069C"/>
    <w:rsid w:val="003D7646"/>
    <w:rsid w:val="003F113A"/>
    <w:rsid w:val="003F7B9D"/>
    <w:rsid w:val="004027E4"/>
    <w:rsid w:val="00414643"/>
    <w:rsid w:val="00414C9A"/>
    <w:rsid w:val="0042539E"/>
    <w:rsid w:val="00427451"/>
    <w:rsid w:val="004421E5"/>
    <w:rsid w:val="00452284"/>
    <w:rsid w:val="00464C0C"/>
    <w:rsid w:val="004677DF"/>
    <w:rsid w:val="004811BB"/>
    <w:rsid w:val="004856CA"/>
    <w:rsid w:val="0048632D"/>
    <w:rsid w:val="0049705E"/>
    <w:rsid w:val="004A34A0"/>
    <w:rsid w:val="004A43DE"/>
    <w:rsid w:val="004B048B"/>
    <w:rsid w:val="004B0E30"/>
    <w:rsid w:val="004C594C"/>
    <w:rsid w:val="004C70D6"/>
    <w:rsid w:val="004D5FE6"/>
    <w:rsid w:val="004E4574"/>
    <w:rsid w:val="004F6BB0"/>
    <w:rsid w:val="00526B7B"/>
    <w:rsid w:val="005308CE"/>
    <w:rsid w:val="00535192"/>
    <w:rsid w:val="00540FE0"/>
    <w:rsid w:val="005438FC"/>
    <w:rsid w:val="00555191"/>
    <w:rsid w:val="00571FB4"/>
    <w:rsid w:val="00573A3B"/>
    <w:rsid w:val="0057439C"/>
    <w:rsid w:val="00582029"/>
    <w:rsid w:val="00595F83"/>
    <w:rsid w:val="005A386D"/>
    <w:rsid w:val="005B0127"/>
    <w:rsid w:val="005B7A35"/>
    <w:rsid w:val="005C4B73"/>
    <w:rsid w:val="005D4D93"/>
    <w:rsid w:val="005E1D2B"/>
    <w:rsid w:val="005F77AA"/>
    <w:rsid w:val="00600D93"/>
    <w:rsid w:val="0061133E"/>
    <w:rsid w:val="0063300C"/>
    <w:rsid w:val="00655736"/>
    <w:rsid w:val="00663B8D"/>
    <w:rsid w:val="00666C30"/>
    <w:rsid w:val="006749EF"/>
    <w:rsid w:val="00696C8D"/>
    <w:rsid w:val="006A2AC2"/>
    <w:rsid w:val="006A3617"/>
    <w:rsid w:val="006A62CD"/>
    <w:rsid w:val="006B4F1C"/>
    <w:rsid w:val="006B6783"/>
    <w:rsid w:val="006D5012"/>
    <w:rsid w:val="006E300A"/>
    <w:rsid w:val="006E46E4"/>
    <w:rsid w:val="006F41B4"/>
    <w:rsid w:val="00703749"/>
    <w:rsid w:val="00703FBF"/>
    <w:rsid w:val="00717DA5"/>
    <w:rsid w:val="00727AFE"/>
    <w:rsid w:val="00744371"/>
    <w:rsid w:val="00744484"/>
    <w:rsid w:val="00763A0D"/>
    <w:rsid w:val="00763EE6"/>
    <w:rsid w:val="00773188"/>
    <w:rsid w:val="0077481E"/>
    <w:rsid w:val="00783782"/>
    <w:rsid w:val="00784B8C"/>
    <w:rsid w:val="00793872"/>
    <w:rsid w:val="007A3CF5"/>
    <w:rsid w:val="007D77B6"/>
    <w:rsid w:val="00817F87"/>
    <w:rsid w:val="00823A11"/>
    <w:rsid w:val="008277DF"/>
    <w:rsid w:val="00834663"/>
    <w:rsid w:val="00837CAF"/>
    <w:rsid w:val="00852866"/>
    <w:rsid w:val="0085414A"/>
    <w:rsid w:val="0086269D"/>
    <w:rsid w:val="0086543A"/>
    <w:rsid w:val="008724E5"/>
    <w:rsid w:val="0087381D"/>
    <w:rsid w:val="00884A9D"/>
    <w:rsid w:val="0088512B"/>
    <w:rsid w:val="00892185"/>
    <w:rsid w:val="008948AA"/>
    <w:rsid w:val="008A1ED4"/>
    <w:rsid w:val="008A2B2D"/>
    <w:rsid w:val="008A4E1E"/>
    <w:rsid w:val="008B2844"/>
    <w:rsid w:val="008C296C"/>
    <w:rsid w:val="008D0CFE"/>
    <w:rsid w:val="008D4305"/>
    <w:rsid w:val="008E01BB"/>
    <w:rsid w:val="00912BB4"/>
    <w:rsid w:val="009163A7"/>
    <w:rsid w:val="00946D0B"/>
    <w:rsid w:val="00960DD0"/>
    <w:rsid w:val="00991367"/>
    <w:rsid w:val="00997354"/>
    <w:rsid w:val="009A18CD"/>
    <w:rsid w:val="009D4E4A"/>
    <w:rsid w:val="00A12558"/>
    <w:rsid w:val="00A13903"/>
    <w:rsid w:val="00A34ED5"/>
    <w:rsid w:val="00A45DBF"/>
    <w:rsid w:val="00A52011"/>
    <w:rsid w:val="00A645DF"/>
    <w:rsid w:val="00A65C29"/>
    <w:rsid w:val="00A755A2"/>
    <w:rsid w:val="00AA6660"/>
    <w:rsid w:val="00AB2C36"/>
    <w:rsid w:val="00AB70B6"/>
    <w:rsid w:val="00AC205D"/>
    <w:rsid w:val="00AD1A86"/>
    <w:rsid w:val="00AD3E62"/>
    <w:rsid w:val="00AD5F03"/>
    <w:rsid w:val="00AE103E"/>
    <w:rsid w:val="00AE6927"/>
    <w:rsid w:val="00AF0A07"/>
    <w:rsid w:val="00AF4AEC"/>
    <w:rsid w:val="00AF625E"/>
    <w:rsid w:val="00B11269"/>
    <w:rsid w:val="00B275D9"/>
    <w:rsid w:val="00B40BA0"/>
    <w:rsid w:val="00B570C0"/>
    <w:rsid w:val="00B831C7"/>
    <w:rsid w:val="00B947FB"/>
    <w:rsid w:val="00B96B09"/>
    <w:rsid w:val="00BB04AF"/>
    <w:rsid w:val="00BB4FB7"/>
    <w:rsid w:val="00BC0FD0"/>
    <w:rsid w:val="00BD0557"/>
    <w:rsid w:val="00BD52C9"/>
    <w:rsid w:val="00BE3442"/>
    <w:rsid w:val="00BE6354"/>
    <w:rsid w:val="00C007F9"/>
    <w:rsid w:val="00C13BF3"/>
    <w:rsid w:val="00C15914"/>
    <w:rsid w:val="00C21BD0"/>
    <w:rsid w:val="00C23A97"/>
    <w:rsid w:val="00C424CF"/>
    <w:rsid w:val="00C42C66"/>
    <w:rsid w:val="00C55760"/>
    <w:rsid w:val="00C70EA7"/>
    <w:rsid w:val="00C74742"/>
    <w:rsid w:val="00C7516E"/>
    <w:rsid w:val="00C75770"/>
    <w:rsid w:val="00C81CF1"/>
    <w:rsid w:val="00C87439"/>
    <w:rsid w:val="00CA4F23"/>
    <w:rsid w:val="00CB605C"/>
    <w:rsid w:val="00CF60FD"/>
    <w:rsid w:val="00D00B2B"/>
    <w:rsid w:val="00D139B4"/>
    <w:rsid w:val="00D24877"/>
    <w:rsid w:val="00D25762"/>
    <w:rsid w:val="00D33B90"/>
    <w:rsid w:val="00D417A5"/>
    <w:rsid w:val="00D64233"/>
    <w:rsid w:val="00D743BB"/>
    <w:rsid w:val="00D87792"/>
    <w:rsid w:val="00D91E28"/>
    <w:rsid w:val="00D95C4C"/>
    <w:rsid w:val="00DA05B5"/>
    <w:rsid w:val="00DA36ED"/>
    <w:rsid w:val="00DA6EF7"/>
    <w:rsid w:val="00DA7AD2"/>
    <w:rsid w:val="00DC7A5D"/>
    <w:rsid w:val="00DE34F1"/>
    <w:rsid w:val="00DF4942"/>
    <w:rsid w:val="00E04251"/>
    <w:rsid w:val="00E11D5E"/>
    <w:rsid w:val="00E36AAA"/>
    <w:rsid w:val="00E627B1"/>
    <w:rsid w:val="00E9376C"/>
    <w:rsid w:val="00E94D04"/>
    <w:rsid w:val="00EA335E"/>
    <w:rsid w:val="00EA528C"/>
    <w:rsid w:val="00ED440A"/>
    <w:rsid w:val="00ED652D"/>
    <w:rsid w:val="00EF19A6"/>
    <w:rsid w:val="00EF1FD0"/>
    <w:rsid w:val="00EF2896"/>
    <w:rsid w:val="00EF34E2"/>
    <w:rsid w:val="00EF4F1F"/>
    <w:rsid w:val="00EF69E3"/>
    <w:rsid w:val="00F010E0"/>
    <w:rsid w:val="00F53DE9"/>
    <w:rsid w:val="00F576CB"/>
    <w:rsid w:val="00F660FF"/>
    <w:rsid w:val="00F71A02"/>
    <w:rsid w:val="00F85924"/>
    <w:rsid w:val="00F8791F"/>
    <w:rsid w:val="00F978E4"/>
    <w:rsid w:val="00FB4D29"/>
    <w:rsid w:val="00FB6630"/>
    <w:rsid w:val="00FC7581"/>
    <w:rsid w:val="00FC78E8"/>
    <w:rsid w:val="00FD1226"/>
    <w:rsid w:val="00FD158F"/>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1F95A"/>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FC78E8"/>
    <w:rPr>
      <w:color w:val="0563C1" w:themeColor="hyperlink"/>
      <w:u w:val="single"/>
    </w:rPr>
  </w:style>
  <w:style w:type="character" w:styleId="FollowedHyperlink">
    <w:name w:val="FollowedHyperlink"/>
    <w:basedOn w:val="DefaultParagraphFont"/>
    <w:uiPriority w:val="99"/>
    <w:semiHidden/>
    <w:unhideWhenUsed/>
    <w:rsid w:val="005438FC"/>
    <w:rPr>
      <w:color w:val="954F72" w:themeColor="followedHyperlink"/>
      <w:u w:val="single"/>
    </w:rPr>
  </w:style>
  <w:style w:type="character" w:styleId="CommentReference">
    <w:name w:val="annotation reference"/>
    <w:basedOn w:val="DefaultParagraphFont"/>
    <w:uiPriority w:val="99"/>
    <w:semiHidden/>
    <w:unhideWhenUsed/>
    <w:rsid w:val="001B6812"/>
    <w:rPr>
      <w:sz w:val="16"/>
      <w:szCs w:val="16"/>
    </w:rPr>
  </w:style>
  <w:style w:type="paragraph" w:styleId="CommentText">
    <w:name w:val="annotation text"/>
    <w:basedOn w:val="Normal"/>
    <w:link w:val="CommentTextChar"/>
    <w:uiPriority w:val="99"/>
    <w:semiHidden/>
    <w:unhideWhenUsed/>
    <w:rsid w:val="001B6812"/>
    <w:rPr>
      <w:sz w:val="20"/>
      <w:szCs w:val="20"/>
    </w:rPr>
  </w:style>
  <w:style w:type="character" w:customStyle="1" w:styleId="CommentTextChar">
    <w:name w:val="Comment Text Char"/>
    <w:basedOn w:val="DefaultParagraphFont"/>
    <w:link w:val="CommentText"/>
    <w:uiPriority w:val="99"/>
    <w:semiHidden/>
    <w:rsid w:val="001B681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1B6812"/>
    <w:rPr>
      <w:b/>
      <w:bCs/>
    </w:rPr>
  </w:style>
  <w:style w:type="character" w:customStyle="1" w:styleId="CommentSubjectChar">
    <w:name w:val="Comment Subject Char"/>
    <w:basedOn w:val="CommentTextChar"/>
    <w:link w:val="CommentSubject"/>
    <w:uiPriority w:val="99"/>
    <w:semiHidden/>
    <w:rsid w:val="001B6812"/>
    <w:rPr>
      <w:rFonts w:ascii="Times New Roman" w:eastAsia="Times New Roman" w:hAnsi="Times New Roman"/>
      <w:b/>
      <w:bCs/>
      <w:lang w:val="fr-FR" w:eastAsia="fr-FR"/>
    </w:rPr>
  </w:style>
  <w:style w:type="paragraph" w:customStyle="1" w:styleId="Texteduscnario">
    <w:name w:val="Texte du scénario"/>
    <w:basedOn w:val="Normal"/>
    <w:qFormat/>
    <w:rsid w:val="00AE6927"/>
    <w:pPr>
      <w:spacing w:after="240" w:line="360" w:lineRule="auto"/>
      <w:jc w:val="both"/>
    </w:pPr>
    <w:rPr>
      <w:rFonts w:ascii="Arial" w:eastAsia="SimSun" w:hAnsi="Arial" w:cs="Arial"/>
      <w:sz w:val="28"/>
      <w:lang w:val="en-GB"/>
    </w:rPr>
  </w:style>
  <w:style w:type="paragraph" w:styleId="FootnoteText">
    <w:name w:val="footnote text"/>
    <w:basedOn w:val="Normal"/>
    <w:link w:val="FootnoteTextChar"/>
    <w:uiPriority w:val="99"/>
    <w:semiHidden/>
    <w:unhideWhenUsed/>
    <w:rsid w:val="00C81CF1"/>
    <w:rPr>
      <w:sz w:val="20"/>
      <w:szCs w:val="20"/>
    </w:rPr>
  </w:style>
  <w:style w:type="character" w:customStyle="1" w:styleId="FootnoteTextChar">
    <w:name w:val="Footnote Text Char"/>
    <w:basedOn w:val="DefaultParagraphFont"/>
    <w:link w:val="FootnoteText"/>
    <w:uiPriority w:val="99"/>
    <w:semiHidden/>
    <w:rsid w:val="00C81CF1"/>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C81CF1"/>
    <w:rPr>
      <w:vertAlign w:val="superscript"/>
    </w:rPr>
  </w:style>
  <w:style w:type="character" w:customStyle="1" w:styleId="UnresolvedMention">
    <w:name w:val="Unresolved Mention"/>
    <w:basedOn w:val="DefaultParagraphFont"/>
    <w:uiPriority w:val="99"/>
    <w:semiHidden/>
    <w:unhideWhenUsed/>
    <w:rsid w:val="00B9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GBS/38GC/pdf/101_Resolution.pdf" TargetMode="External"/><Relationship Id="rId13" Type="http://schemas.openxmlformats.org/officeDocument/2006/relationships/hyperlink" Target="https://ich.unesco.org/en/Decisions/12.COM/16" TargetMode="External"/><Relationship Id="rId18" Type="http://schemas.openxmlformats.org/officeDocument/2006/relationships/hyperlink" Target="https://ich.unesco.org/doc/src/ITH-18-13.COM-17-EN.docx" TargetMode="External"/><Relationship Id="rId26" Type="http://schemas.openxmlformats.org/officeDocument/2006/relationships/hyperlink" Target="https://ich.unesco.org/doc/src/LHE-19-14.COM-19-EN.docx" TargetMode="External"/><Relationship Id="rId39" Type="http://schemas.openxmlformats.org/officeDocument/2006/relationships/hyperlink" Target="https://ich.unesco.org/en/Resolutions/7.GA/13" TargetMode="External"/><Relationship Id="rId3" Type="http://schemas.openxmlformats.org/officeDocument/2006/relationships/styles" Target="styles.xml"/><Relationship Id="rId21" Type="http://schemas.openxmlformats.org/officeDocument/2006/relationships/hyperlink" Target="https://ich.unesco.org/doc/src/LHE-20-8.GA-8-EN.docx" TargetMode="External"/><Relationship Id="rId34" Type="http://schemas.openxmlformats.org/officeDocument/2006/relationships/hyperlink" Target="https://ich.unesco.org/en/Resolutions/7.GA/12"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ITH-17-12.COM-16-EN.docx" TargetMode="External"/><Relationship Id="rId17" Type="http://schemas.openxmlformats.org/officeDocument/2006/relationships/hyperlink" Target="https://ich.unesco.org/en/Decisions/7.GA/12" TargetMode="External"/><Relationship Id="rId25" Type="http://schemas.openxmlformats.org/officeDocument/2006/relationships/hyperlink" Target="https://ich.unesco.org/doc/src/LHE-20-8.GA-8-EN.docx" TargetMode="External"/><Relationship Id="rId33" Type="http://schemas.openxmlformats.org/officeDocument/2006/relationships/hyperlink" Target="https://ich.unesco.org/en/Decisions/12.COM/16" TargetMode="External"/><Relationship Id="rId38" Type="http://schemas.openxmlformats.org/officeDocument/2006/relationships/hyperlink" Target="https://en.unesco.org/sites/default/files/39c-res87-governance-eng.pdf" TargetMode="External"/><Relationship Id="rId2" Type="http://schemas.openxmlformats.org/officeDocument/2006/relationships/numbering" Target="numbering.xml"/><Relationship Id="rId16" Type="http://schemas.openxmlformats.org/officeDocument/2006/relationships/hyperlink" Target="https://ich.unesco.org/doc/src/ITH-18-7.GA-12-EN.docx" TargetMode="External"/><Relationship Id="rId20" Type="http://schemas.openxmlformats.org/officeDocument/2006/relationships/hyperlink" Target="https://ich.unesco.org/doc/src/LHE-19-14.COM-19-EN.docx" TargetMode="External"/><Relationship Id="rId29" Type="http://schemas.openxmlformats.org/officeDocument/2006/relationships/hyperlink" Target="https://ich.unesco.org/doc/src/ITH-18-7.GA-13-EN.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6/002600/260089e.pdf" TargetMode="External"/><Relationship Id="rId24" Type="http://schemas.openxmlformats.org/officeDocument/2006/relationships/hyperlink" Target="https://ich.unesco.org/doc/src/LHE-20-8.GA-7_Rev.-EN.docx" TargetMode="External"/><Relationship Id="rId32" Type="http://schemas.openxmlformats.org/officeDocument/2006/relationships/hyperlink" Target="https://ich.unesco.org/en/Decisions/13.COM/17" TargetMode="External"/><Relationship Id="rId37" Type="http://schemas.openxmlformats.org/officeDocument/2006/relationships/hyperlink" Target="http://www.unesco.org/new/fileadmin/MULTIMEDIA/HQ/GBS/38GC/pdf/101_Resolution.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Resolutions/7.GA/13" TargetMode="External"/><Relationship Id="rId23" Type="http://schemas.openxmlformats.org/officeDocument/2006/relationships/hyperlink" Target="https://ich.unesco.org/doc/src/LHE-20-8.GA-7_Rev.-EN.docx" TargetMode="External"/><Relationship Id="rId28" Type="http://schemas.openxmlformats.org/officeDocument/2006/relationships/hyperlink" Target="https://ich.unesco.org/doc/src/ITH-17-12.COM-16-EN.docx" TargetMode="External"/><Relationship Id="rId36" Type="http://schemas.openxmlformats.org/officeDocument/2006/relationships/hyperlink" Target="https://ich.unesco.org/en/Resolutions/6.GA/11" TargetMode="External"/><Relationship Id="rId10" Type="http://schemas.openxmlformats.org/officeDocument/2006/relationships/hyperlink" Target="http://unesdoc.unesco.org/images/0025/002590/259081e.pdf" TargetMode="External"/><Relationship Id="rId19" Type="http://schemas.openxmlformats.org/officeDocument/2006/relationships/hyperlink" Target="https://ich.unesco.org/en/Decisions/13.COM/17" TargetMode="External"/><Relationship Id="rId31" Type="http://schemas.openxmlformats.org/officeDocument/2006/relationships/hyperlink" Target="https://ich.unesco.org/en/Decisions/14.COM/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6.GA/11" TargetMode="External"/><Relationship Id="rId14" Type="http://schemas.openxmlformats.org/officeDocument/2006/relationships/hyperlink" Target="https://ich.unesco.org/doc/src/ITH-18-7.GA-13-EN.docx" TargetMode="External"/><Relationship Id="rId22" Type="http://schemas.openxmlformats.org/officeDocument/2006/relationships/hyperlink" Target="https://ich.unesco.org/en/Decisions/14.COM/19" TargetMode="External"/><Relationship Id="rId27" Type="http://schemas.openxmlformats.org/officeDocument/2006/relationships/hyperlink" Target="https://ich.unesco.org/doc/src/ITH-18-13.COM-17-EN.docx" TargetMode="External"/><Relationship Id="rId30" Type="http://schemas.openxmlformats.org/officeDocument/2006/relationships/hyperlink" Target="https://ich.unesco.org/doc/src/ITH-18-7.GA-12-EN.docx" TargetMode="External"/><Relationship Id="rId35" Type="http://schemas.openxmlformats.org/officeDocument/2006/relationships/hyperlink" Target="https://ich.unesco.org/en/Resolutions/7.GA/13"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EC8E-94D3-44C0-B073-DD797032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1816</Words>
  <Characters>9991</Characters>
  <Application>Microsoft Office Word</Application>
  <DocSecurity>0</DocSecurity>
  <Lines>83</Lines>
  <Paragraphs>23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Constantinou, Elena</cp:lastModifiedBy>
  <cp:revision>11</cp:revision>
  <cp:lastPrinted>2020-08-27T13:18:00Z</cp:lastPrinted>
  <dcterms:created xsi:type="dcterms:W3CDTF">2020-09-02T12:02:00Z</dcterms:created>
  <dcterms:modified xsi:type="dcterms:W3CDTF">2020-09-04T16:02:00Z</dcterms:modified>
</cp:coreProperties>
</file>