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109E" w14:textId="7B526815" w:rsidR="00371E8F" w:rsidRPr="00293C60" w:rsidRDefault="00371E8F"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1A4F0B">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61A256B6" w14:textId="77777777" w:rsidR="00371E8F" w:rsidRPr="00293C60" w:rsidRDefault="00371E8F"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BE571BD" w14:textId="77777777" w:rsidR="00371E8F" w:rsidRPr="00293C60" w:rsidRDefault="00371E8F" w:rsidP="00EC6F8D">
      <w:pPr>
        <w:spacing w:before="840"/>
        <w:jc w:val="center"/>
        <w:rPr>
          <w:rFonts w:ascii="Arial" w:hAnsi="Arial" w:cs="Arial"/>
          <w:b/>
          <w:sz w:val="22"/>
          <w:szCs w:val="22"/>
          <w:lang w:val="en-GB"/>
        </w:rPr>
      </w:pPr>
      <w:r>
        <w:rPr>
          <w:rFonts w:ascii="Arial" w:hAnsi="Arial" w:cs="Arial"/>
          <w:b/>
          <w:sz w:val="22"/>
          <w:szCs w:val="22"/>
          <w:lang w:val="en-GB"/>
        </w:rPr>
        <w:t xml:space="preserve">Eleventh </w:t>
      </w:r>
      <w:r w:rsidRPr="00293C60">
        <w:rPr>
          <w:rFonts w:ascii="Arial" w:hAnsi="Arial" w:cs="Arial"/>
          <w:b/>
          <w:sz w:val="22"/>
          <w:szCs w:val="22"/>
          <w:lang w:val="en-GB"/>
        </w:rPr>
        <w:t>session</w:t>
      </w:r>
    </w:p>
    <w:p w14:paraId="1C492F89" w14:textId="16E18344" w:rsidR="00371E8F" w:rsidRPr="001A4F0B" w:rsidRDefault="001A4F0B" w:rsidP="005E7074">
      <w:pPr>
        <w:jc w:val="center"/>
        <w:rPr>
          <w:rFonts w:ascii="Arial" w:eastAsia="Malgun Gothic" w:hAnsi="Arial" w:cs="Arial"/>
          <w:b/>
          <w:sz w:val="22"/>
          <w:szCs w:val="22"/>
          <w:lang w:val="en-GB" w:eastAsia="ko-KR"/>
        </w:rPr>
      </w:pPr>
      <w:r>
        <w:rPr>
          <w:rFonts w:ascii="Arial" w:hAnsi="Arial" w:cs="Arial"/>
          <w:b/>
          <w:sz w:val="22"/>
          <w:szCs w:val="22"/>
          <w:lang w:val="en-GB"/>
        </w:rPr>
        <w:t>Addis Ababa, Ethiopia</w:t>
      </w:r>
    </w:p>
    <w:p w14:paraId="3EB1665F" w14:textId="77777777" w:rsidR="00371E8F" w:rsidRPr="00293C60" w:rsidRDefault="00371E8F" w:rsidP="00EC6F8D">
      <w:pPr>
        <w:jc w:val="center"/>
        <w:rPr>
          <w:rFonts w:ascii="Arial" w:hAnsi="Arial" w:cs="Arial"/>
          <w:b/>
          <w:sz w:val="22"/>
          <w:szCs w:val="22"/>
          <w:lang w:val="en-GB"/>
        </w:rPr>
      </w:pPr>
      <w:r>
        <w:rPr>
          <w:rFonts w:ascii="Arial" w:hAnsi="Arial" w:cs="Arial"/>
          <w:b/>
          <w:sz w:val="22"/>
          <w:szCs w:val="22"/>
          <w:lang w:val="en-GB"/>
        </w:rPr>
        <w:t>28 November</w:t>
      </w:r>
      <w:r w:rsidRPr="00EC6F8D">
        <w:rPr>
          <w:rFonts w:ascii="Arial" w:hAnsi="Arial" w:cs="Arial"/>
          <w:b/>
          <w:sz w:val="22"/>
          <w:szCs w:val="22"/>
          <w:lang w:val="en-GB"/>
        </w:rPr>
        <w:t xml:space="preserve"> to </w:t>
      </w:r>
      <w:r>
        <w:rPr>
          <w:rFonts w:ascii="Arial" w:hAnsi="Arial" w:cs="Arial"/>
          <w:b/>
          <w:sz w:val="22"/>
          <w:szCs w:val="22"/>
          <w:lang w:val="en-GB"/>
        </w:rPr>
        <w:t>2 December 2016</w:t>
      </w:r>
    </w:p>
    <w:p w14:paraId="36B12EEB" w14:textId="77777777" w:rsidR="00371E8F" w:rsidRPr="00293C60" w:rsidRDefault="00371E8F" w:rsidP="00EC6F8D">
      <w:pPr>
        <w:pStyle w:val="Sansinterligne2"/>
        <w:spacing w:before="1200"/>
        <w:jc w:val="center"/>
        <w:rPr>
          <w:rFonts w:ascii="Arial" w:hAnsi="Arial" w:cs="Arial"/>
          <w:b/>
          <w:sz w:val="22"/>
          <w:szCs w:val="22"/>
          <w:lang w:val="en-GB"/>
        </w:rPr>
      </w:pPr>
      <w:r w:rsidRPr="003A2FFA">
        <w:rPr>
          <w:rFonts w:ascii="Arial" w:hAnsi="Arial" w:cs="Arial"/>
          <w:b/>
          <w:sz w:val="22"/>
          <w:szCs w:val="22"/>
          <w:u w:val="single"/>
          <w:lang w:val="en-GB"/>
        </w:rPr>
        <w:t>Item 5 of the Provisional Agenda</w:t>
      </w:r>
      <w:r w:rsidRPr="003A2FFA">
        <w:rPr>
          <w:rFonts w:ascii="Arial" w:hAnsi="Arial" w:cs="Arial"/>
          <w:b/>
          <w:sz w:val="22"/>
          <w:szCs w:val="22"/>
          <w:lang w:val="en-GB"/>
        </w:rPr>
        <w:t>:</w:t>
      </w:r>
    </w:p>
    <w:p w14:paraId="4661B022" w14:textId="77777777" w:rsidR="00371E8F" w:rsidRPr="00293C60" w:rsidRDefault="00371E8F" w:rsidP="00EC6F8D">
      <w:pPr>
        <w:pStyle w:val="Sansinterligne2"/>
        <w:spacing w:after="1200"/>
        <w:jc w:val="center"/>
        <w:rPr>
          <w:rFonts w:ascii="Arial" w:hAnsi="Arial" w:cs="Arial"/>
          <w:b/>
          <w:sz w:val="22"/>
          <w:szCs w:val="22"/>
          <w:lang w:val="en-GB"/>
        </w:rPr>
      </w:pPr>
      <w:r w:rsidRPr="003A2FFA">
        <w:rPr>
          <w:rFonts w:ascii="Arial" w:hAnsi="Arial" w:cs="Arial"/>
          <w:b/>
          <w:sz w:val="22"/>
          <w:szCs w:val="22"/>
          <w:lang w:val="en-GB"/>
        </w:rPr>
        <w:t>Report by the Secretariat on its activities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371E8F" w:rsidRPr="003A2FFA" w14:paraId="058B8E23" w14:textId="77777777" w:rsidTr="00543205">
        <w:trPr>
          <w:jc w:val="center"/>
        </w:trPr>
        <w:tc>
          <w:tcPr>
            <w:tcW w:w="5670" w:type="dxa"/>
            <w:vAlign w:val="center"/>
          </w:tcPr>
          <w:p w14:paraId="2CAEDC1F" w14:textId="77777777" w:rsidR="00371E8F" w:rsidRPr="00293C60" w:rsidRDefault="00371E8F"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B3F6DF3" w14:textId="66D42824" w:rsidR="00371E8F" w:rsidRPr="00F41D50" w:rsidRDefault="00371E8F" w:rsidP="0003224C">
            <w:pPr>
              <w:pStyle w:val="Sansinterligne2"/>
              <w:spacing w:before="200" w:after="200"/>
              <w:jc w:val="both"/>
              <w:rPr>
                <w:rFonts w:ascii="Arial" w:hAnsi="Arial" w:cs="Arial"/>
                <w:sz w:val="22"/>
                <w:szCs w:val="22"/>
                <w:lang w:val="en-GB"/>
              </w:rPr>
            </w:pPr>
            <w:r>
              <w:rPr>
                <w:rFonts w:ascii="Arial" w:hAnsi="Arial" w:cs="Arial"/>
                <w:sz w:val="22"/>
                <w:szCs w:val="22"/>
                <w:lang w:val="en-GB"/>
              </w:rPr>
              <w:t>The present</w:t>
            </w:r>
            <w:r w:rsidRPr="00FA0F3A">
              <w:rPr>
                <w:rFonts w:ascii="Arial" w:hAnsi="Arial" w:cs="Arial"/>
                <w:sz w:val="22"/>
                <w:szCs w:val="22"/>
                <w:lang w:val="en-GB"/>
              </w:rPr>
              <w:t xml:space="preserve"> document </w:t>
            </w:r>
            <w:r>
              <w:rPr>
                <w:rFonts w:ascii="Arial" w:hAnsi="Arial" w:cs="Arial"/>
                <w:sz w:val="22"/>
                <w:szCs w:val="22"/>
                <w:lang w:val="en-GB"/>
              </w:rPr>
              <w:t>provides</w:t>
            </w:r>
            <w:r w:rsidRPr="00FA0F3A">
              <w:rPr>
                <w:rFonts w:ascii="Arial" w:hAnsi="Arial" w:cs="Arial"/>
                <w:sz w:val="22"/>
                <w:szCs w:val="22"/>
                <w:lang w:val="en-GB"/>
              </w:rPr>
              <w:t xml:space="preserve"> a</w:t>
            </w:r>
            <w:r>
              <w:rPr>
                <w:rFonts w:ascii="Arial" w:hAnsi="Arial" w:cs="Arial"/>
                <w:sz w:val="22"/>
                <w:szCs w:val="22"/>
                <w:lang w:val="en-GB"/>
              </w:rPr>
              <w:t>n</w:t>
            </w:r>
            <w:r w:rsidRPr="00FA0F3A">
              <w:rPr>
                <w:rFonts w:ascii="Arial" w:hAnsi="Arial" w:cs="Arial"/>
                <w:sz w:val="22"/>
                <w:szCs w:val="22"/>
                <w:lang w:val="en-GB"/>
              </w:rPr>
              <w:t xml:space="preserve"> overview of the activities undertaken by the </w:t>
            </w:r>
            <w:r>
              <w:rPr>
                <w:rFonts w:ascii="Arial" w:hAnsi="Arial" w:cs="Arial"/>
                <w:sz w:val="22"/>
                <w:szCs w:val="22"/>
                <w:lang w:val="en-GB"/>
              </w:rPr>
              <w:t>Secretariat of the Convention for the Safeguarding of the Intangible Cultural Heritage during the first six months of the 2016-2017 biennium</w:t>
            </w:r>
            <w:r w:rsidRPr="00F41D50">
              <w:rPr>
                <w:rFonts w:ascii="Arial" w:hAnsi="Arial" w:cs="Arial"/>
                <w:sz w:val="22"/>
                <w:szCs w:val="22"/>
                <w:lang w:val="en-GB"/>
              </w:rPr>
              <w:t>.</w:t>
            </w:r>
          </w:p>
          <w:p w14:paraId="5B69D134" w14:textId="056F87C8" w:rsidR="00371E8F" w:rsidRPr="00293C60" w:rsidRDefault="00371E8F" w:rsidP="00CD0ED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CB4E79">
              <w:rPr>
                <w:rFonts w:ascii="Arial" w:hAnsi="Arial" w:cs="Arial"/>
                <w:bCs/>
                <w:sz w:val="22"/>
                <w:szCs w:val="22"/>
                <w:lang w:val="en-GB"/>
              </w:rPr>
              <w:t xml:space="preserve">paragraph </w:t>
            </w:r>
            <w:r w:rsidR="00CD0EDD" w:rsidRPr="00CB4E79">
              <w:rPr>
                <w:rFonts w:ascii="Arial" w:hAnsi="Arial" w:cs="Arial"/>
                <w:bCs/>
                <w:sz w:val="22"/>
                <w:szCs w:val="22"/>
                <w:lang w:val="en-GB"/>
              </w:rPr>
              <w:t>2</w:t>
            </w:r>
            <w:r w:rsidR="0018225F" w:rsidRPr="00CB4E79">
              <w:rPr>
                <w:rFonts w:ascii="Arial" w:hAnsi="Arial" w:cs="Arial"/>
                <w:bCs/>
                <w:sz w:val="22"/>
                <w:szCs w:val="22"/>
                <w:lang w:val="en-GB"/>
              </w:rPr>
              <w:t>9</w:t>
            </w:r>
          </w:p>
        </w:tc>
      </w:tr>
    </w:tbl>
    <w:p w14:paraId="6F522CF2" w14:textId="1CB4A6A5" w:rsidR="00E12852" w:rsidRPr="00FB17B8" w:rsidRDefault="00371E8F" w:rsidP="00343868">
      <w:pPr>
        <w:pStyle w:val="COMPara"/>
        <w:ind w:left="567" w:hanging="567"/>
        <w:jc w:val="both"/>
      </w:pPr>
      <w:r w:rsidRPr="00414643">
        <w:br w:type="page"/>
      </w:r>
      <w:r w:rsidR="00E12852">
        <w:lastRenderedPageBreak/>
        <w:t>T</w:t>
      </w:r>
      <w:r w:rsidR="00E12852" w:rsidRPr="00F41D50">
        <w:t xml:space="preserve">he present report </w:t>
      </w:r>
      <w:r w:rsidR="00E12852">
        <w:t>concerns the</w:t>
      </w:r>
      <w:r w:rsidR="00E12852" w:rsidRPr="00F41D50">
        <w:t xml:space="preserve"> a</w:t>
      </w:r>
      <w:r w:rsidR="00E12852">
        <w:t>ctivities of the Secretariat</w:t>
      </w:r>
      <w:r w:rsidR="00E12852" w:rsidRPr="00F41D50">
        <w:t xml:space="preserve"> </w:t>
      </w:r>
      <w:r w:rsidR="00E12852">
        <w:t>for the first six months of the biennium</w:t>
      </w:r>
      <w:r w:rsidR="000071B1">
        <w:t xml:space="preserve">, </w:t>
      </w:r>
      <w:r w:rsidR="00163BC7">
        <w:t xml:space="preserve">namely </w:t>
      </w:r>
      <w:r w:rsidR="000071B1">
        <w:t>from January to June 2016</w:t>
      </w:r>
      <w:r w:rsidR="00E12852" w:rsidRPr="00F41D50">
        <w:t>.</w:t>
      </w:r>
      <w:r w:rsidR="00E12852">
        <w:t xml:space="preserve"> It</w:t>
      </w:r>
      <w:r w:rsidR="00E12852" w:rsidRPr="00033546">
        <w:t xml:space="preserve"> should be read in tandem with the </w:t>
      </w:r>
      <w:r w:rsidR="00E12852" w:rsidRPr="00FB17B8">
        <w:t xml:space="preserve">following documents: the financial statement of the Convention’s Fund for the Safeguarding of the Intangible Cultural Heritage included in </w:t>
      </w:r>
      <w:r w:rsidR="00E12852" w:rsidRPr="002232C8">
        <w:t xml:space="preserve">Document </w:t>
      </w:r>
      <w:hyperlink r:id="rId8" w:history="1">
        <w:r w:rsidR="00E12852" w:rsidRPr="002232C8">
          <w:rPr>
            <w:rStyle w:val="Hyperlink"/>
            <w:rFonts w:cs="Arial"/>
          </w:rPr>
          <w:t>ITH/16/11.COM/INF.5</w:t>
        </w:r>
      </w:hyperlink>
      <w:r w:rsidR="00E12852" w:rsidRPr="00FB17B8">
        <w:t xml:space="preserve">, the report of the Secretariat to the General Assembly on its </w:t>
      </w:r>
      <w:r w:rsidR="00E12852" w:rsidRPr="004E10BA">
        <w:t>activities (</w:t>
      </w:r>
      <w:r w:rsidR="00336D24" w:rsidRPr="002232C8">
        <w:t xml:space="preserve">Document </w:t>
      </w:r>
      <w:hyperlink r:id="rId9" w:history="1">
        <w:r w:rsidR="00336D24" w:rsidRPr="002232C8">
          <w:rPr>
            <w:rStyle w:val="Hyperlink"/>
            <w:rFonts w:cs="Arial"/>
          </w:rPr>
          <w:t>ITH/16/6.GA/6</w:t>
        </w:r>
      </w:hyperlink>
      <w:r w:rsidR="00E12852" w:rsidRPr="004E10BA">
        <w:t>), and</w:t>
      </w:r>
      <w:r w:rsidR="00E12852" w:rsidRPr="00FB17B8">
        <w:t xml:space="preserve"> the f</w:t>
      </w:r>
      <w:r w:rsidR="00E12852" w:rsidRPr="00FB17B8">
        <w:rPr>
          <w:noProof/>
        </w:rPr>
        <w:t>ollow-up to the recommendations of the External Auditor’s ‘Report on the governance of UNESCO and dependant funds, programmes and entities’</w:t>
      </w:r>
      <w:r w:rsidR="00E12852" w:rsidRPr="00FB17B8">
        <w:t xml:space="preserve"> (</w:t>
      </w:r>
      <w:r w:rsidR="00E33277">
        <w:t xml:space="preserve">see </w:t>
      </w:r>
      <w:r w:rsidR="00E12852" w:rsidRPr="002232C8">
        <w:t>Document</w:t>
      </w:r>
      <w:r w:rsidR="00284E2B">
        <w:t> </w:t>
      </w:r>
      <w:bookmarkStart w:id="0" w:name="_GoBack"/>
      <w:bookmarkEnd w:id="0"/>
      <w:r w:rsidR="00284E2B">
        <w:fldChar w:fldCharType="begin"/>
      </w:r>
      <w:r w:rsidR="00284E2B">
        <w:instrText xml:space="preserve"> HYPERLINK "http://www.unesco.org/culture/ich/doc/src/ITH-16-11.COM-7-EN.docx" </w:instrText>
      </w:r>
      <w:r w:rsidR="00284E2B">
        <w:fldChar w:fldCharType="separate"/>
      </w:r>
      <w:r w:rsidR="00E12852" w:rsidRPr="002232C8">
        <w:rPr>
          <w:rStyle w:val="Hyperlink"/>
          <w:rFonts w:cs="Arial"/>
        </w:rPr>
        <w:t>ITH/16/11.COM/7</w:t>
      </w:r>
      <w:r w:rsidR="00284E2B">
        <w:rPr>
          <w:rStyle w:val="Hyperlink"/>
          <w:rFonts w:cs="Arial"/>
        </w:rPr>
        <w:fldChar w:fldCharType="end"/>
      </w:r>
      <w:r w:rsidR="00E12852" w:rsidRPr="00FB17B8">
        <w:t>), as well as the Director-General’s reports to the Executive Board on the execution of the programme adopted by the General Conference (EX/4).</w:t>
      </w:r>
    </w:p>
    <w:p w14:paraId="1114CCE5" w14:textId="54D4409C" w:rsidR="00617D8F" w:rsidRDefault="007F4607" w:rsidP="00617D8F">
      <w:pPr>
        <w:pStyle w:val="COMPara"/>
        <w:ind w:left="567" w:hanging="567"/>
        <w:jc w:val="both"/>
      </w:pPr>
      <w:r>
        <w:t>The present document</w:t>
      </w:r>
      <w:r w:rsidRPr="001C6031">
        <w:t xml:space="preserve"> provides an </w:t>
      </w:r>
      <w:r w:rsidR="00224E80">
        <w:t xml:space="preserve">overall strategic </w:t>
      </w:r>
      <w:r w:rsidRPr="001C6031">
        <w:t xml:space="preserve">assessment of programme implementation </w:t>
      </w:r>
      <w:r w:rsidR="00224E80">
        <w:t>focusing on key achievement</w:t>
      </w:r>
      <w:r w:rsidR="004E10BA">
        <w:t>s</w:t>
      </w:r>
      <w:r w:rsidR="00224E80">
        <w:t xml:space="preserve"> and o</w:t>
      </w:r>
      <w:r w:rsidR="00224E80" w:rsidRPr="00224E80">
        <w:t>verall challenges encountered in implementation and remedial actions</w:t>
      </w:r>
      <w:r w:rsidR="00224E80">
        <w:t xml:space="preserve">. The second part presents an assessment of progress by performance indicator against targets as </w:t>
      </w:r>
      <w:r w:rsidR="00224E80" w:rsidRPr="00F41D50">
        <w:t>adopted within the Organiza</w:t>
      </w:r>
      <w:r w:rsidR="00224E80">
        <w:t xml:space="preserve">tion’s </w:t>
      </w:r>
      <w:r w:rsidR="00224E80" w:rsidRPr="00700B9E">
        <w:t>Programme and Budget 2016–2017 (</w:t>
      </w:r>
      <w:hyperlink r:id="rId10" w:history="1">
        <w:r w:rsidR="00224E80" w:rsidRPr="00543205">
          <w:rPr>
            <w:rStyle w:val="Hyperlink"/>
            <w:rFonts w:cs="Arial"/>
          </w:rPr>
          <w:t>Document 38 C/5 Approved programme and budget, 2016-2017: second biennium of the 2014-2017 quadrennium</w:t>
        </w:r>
      </w:hyperlink>
      <w:r w:rsidR="00224E80" w:rsidRPr="00700B9E">
        <w:t>)</w:t>
      </w:r>
      <w:r w:rsidR="00224E80">
        <w:t>.</w:t>
      </w:r>
      <w:r w:rsidR="00FE63A0" w:rsidRPr="00FE63A0">
        <w:t xml:space="preserve"> </w:t>
      </w:r>
      <w:r w:rsidR="00FE63A0">
        <w:t xml:space="preserve">Furthermore, the present report contains </w:t>
      </w:r>
      <w:r w:rsidR="004B7F94">
        <w:t>two</w:t>
      </w:r>
      <w:r w:rsidR="00FE63A0">
        <w:t xml:space="preserve"> annex</w:t>
      </w:r>
      <w:r w:rsidR="004B7F94">
        <w:t>es</w:t>
      </w:r>
      <w:r w:rsidR="00FE63A0">
        <w:t xml:space="preserve"> dedicated to the follow-up on the Internal Oversight Service’s (IOS) audits and evaluations.</w:t>
      </w:r>
    </w:p>
    <w:p w14:paraId="718EA614" w14:textId="710DB82B" w:rsidR="00980D41" w:rsidRDefault="00226FA9" w:rsidP="00CB1FCF">
      <w:pPr>
        <w:pStyle w:val="COMPara"/>
        <w:ind w:left="567" w:hanging="567"/>
        <w:jc w:val="both"/>
      </w:pPr>
      <w:r>
        <w:t>T</w:t>
      </w:r>
      <w:r w:rsidR="00432335">
        <w:t>he report</w:t>
      </w:r>
      <w:r w:rsidR="008474DB">
        <w:t xml:space="preserve">ing period </w:t>
      </w:r>
      <w:r w:rsidR="00432335">
        <w:t xml:space="preserve">covers </w:t>
      </w:r>
      <w:r w:rsidR="008474DB">
        <w:t xml:space="preserve">six months </w:t>
      </w:r>
      <w:r w:rsidR="00392E62">
        <w:t>only (</w:t>
      </w:r>
      <w:r w:rsidR="00432335">
        <w:t>from January to June</w:t>
      </w:r>
      <w:r w:rsidR="00902B3F">
        <w:t> </w:t>
      </w:r>
      <w:r w:rsidR="00432335">
        <w:t>2016</w:t>
      </w:r>
      <w:r w:rsidR="00392E62">
        <w:t>)</w:t>
      </w:r>
      <w:r w:rsidR="00E12111">
        <w:t xml:space="preserve"> </w:t>
      </w:r>
      <w:r>
        <w:t xml:space="preserve">in order </w:t>
      </w:r>
      <w:r w:rsidR="00531076">
        <w:t>to align</w:t>
      </w:r>
      <w:r w:rsidR="008D5F1A">
        <w:t xml:space="preserve"> </w:t>
      </w:r>
      <w:r w:rsidR="00531076">
        <w:t xml:space="preserve">the periodicity of the Secretariat’s report to the Committee </w:t>
      </w:r>
      <w:r w:rsidR="00A24A9A">
        <w:t xml:space="preserve">with </w:t>
      </w:r>
      <w:r w:rsidR="003A594F">
        <w:t xml:space="preserve">other reporting mechanisms </w:t>
      </w:r>
      <w:r w:rsidR="00392E62">
        <w:t xml:space="preserve">within </w:t>
      </w:r>
      <w:r w:rsidR="003A594F">
        <w:t>UNESCO</w:t>
      </w:r>
      <w:r w:rsidR="00531076">
        <w:t xml:space="preserve">. </w:t>
      </w:r>
      <w:r w:rsidR="008D5F1A">
        <w:t xml:space="preserve">The </w:t>
      </w:r>
      <w:r w:rsidR="003C35C3">
        <w:t>intention</w:t>
      </w:r>
      <w:r w:rsidR="008D5F1A">
        <w:t xml:space="preserve"> </w:t>
      </w:r>
      <w:r w:rsidR="008474DB">
        <w:t xml:space="preserve">also </w:t>
      </w:r>
      <w:r w:rsidR="008D5F1A">
        <w:t xml:space="preserve">is to </w:t>
      </w:r>
      <w:r w:rsidR="00303A48">
        <w:t>rationalize</w:t>
      </w:r>
      <w:r w:rsidR="008D5F1A">
        <w:t xml:space="preserve"> </w:t>
      </w:r>
      <w:r w:rsidR="00515C6A">
        <w:t xml:space="preserve">the reporting period of </w:t>
      </w:r>
      <w:r w:rsidR="003A594F">
        <w:t>all other reports to the Committee</w:t>
      </w:r>
      <w:r>
        <w:t>.</w:t>
      </w:r>
    </w:p>
    <w:p w14:paraId="4223330C" w14:textId="77777777" w:rsidR="001B516E" w:rsidRPr="001B516E" w:rsidRDefault="007F4607" w:rsidP="001B516E">
      <w:pPr>
        <w:pStyle w:val="COMPara"/>
        <w:numPr>
          <w:ilvl w:val="0"/>
          <w:numId w:val="5"/>
        </w:numPr>
        <w:spacing w:before="360"/>
        <w:ind w:left="567" w:hanging="567"/>
        <w:jc w:val="both"/>
        <w:rPr>
          <w:b/>
        </w:rPr>
      </w:pPr>
      <w:r w:rsidRPr="001B516E">
        <w:rPr>
          <w:b/>
        </w:rPr>
        <w:t>Overall strategic assessment</w:t>
      </w:r>
    </w:p>
    <w:p w14:paraId="5B6A2FF8" w14:textId="77777777" w:rsidR="001B516E" w:rsidRDefault="00E653FF" w:rsidP="00E653FF">
      <w:pPr>
        <w:pStyle w:val="COMPara"/>
        <w:numPr>
          <w:ilvl w:val="0"/>
          <w:numId w:val="0"/>
        </w:numPr>
        <w:spacing w:before="240"/>
        <w:ind w:left="357" w:hanging="357"/>
        <w:jc w:val="both"/>
        <w:rPr>
          <w:b/>
        </w:rPr>
      </w:pPr>
      <w:r w:rsidRPr="00E653FF">
        <w:rPr>
          <w:b/>
        </w:rPr>
        <w:t>Key achievements</w:t>
      </w:r>
    </w:p>
    <w:p w14:paraId="27CAFEE0" w14:textId="353476B8" w:rsidR="00462563" w:rsidRDefault="0014074F" w:rsidP="00ED6936">
      <w:pPr>
        <w:pStyle w:val="COMPara"/>
        <w:ind w:left="567" w:hanging="567"/>
        <w:jc w:val="both"/>
      </w:pPr>
      <w:r>
        <w:t>Under the reporting period</w:t>
      </w:r>
      <w:r w:rsidR="0059757F">
        <w:t>,</w:t>
      </w:r>
      <w:r>
        <w:t xml:space="preserve"> </w:t>
      </w:r>
      <w:r w:rsidR="00392E62">
        <w:t xml:space="preserve">the Secretariat facilitated the work of the governing bodies to take </w:t>
      </w:r>
      <w:r>
        <w:t xml:space="preserve">a set of </w:t>
      </w:r>
      <w:r w:rsidR="00FC4C48">
        <w:t>key</w:t>
      </w:r>
      <w:r>
        <w:t xml:space="preserve"> </w:t>
      </w:r>
      <w:r w:rsidR="003C0109">
        <w:t xml:space="preserve">decisions. </w:t>
      </w:r>
      <w:r w:rsidR="00E653FF">
        <w:t xml:space="preserve">Among </w:t>
      </w:r>
      <w:r w:rsidR="00462563">
        <w:t xml:space="preserve">the </w:t>
      </w:r>
      <w:r w:rsidR="00E875BF">
        <w:t>five</w:t>
      </w:r>
      <w:r w:rsidR="00462563">
        <w:t xml:space="preserve"> statutory meetings organized by the Secretariat between January and June 2016</w:t>
      </w:r>
      <w:r w:rsidR="00E653FF">
        <w:t>, t</w:t>
      </w:r>
      <w:r w:rsidR="00E653FF" w:rsidRPr="00F41D50">
        <w:t xml:space="preserve">he </w:t>
      </w:r>
      <w:r w:rsidR="00462563">
        <w:t xml:space="preserve">sixth session of the </w:t>
      </w:r>
      <w:r w:rsidR="00E653FF" w:rsidRPr="00F41D50">
        <w:t>General Assembly</w:t>
      </w:r>
      <w:r w:rsidR="00462563">
        <w:t xml:space="preserve"> </w:t>
      </w:r>
      <w:r>
        <w:t xml:space="preserve">constituted </w:t>
      </w:r>
      <w:r w:rsidR="00462563">
        <w:t xml:space="preserve">a </w:t>
      </w:r>
      <w:r w:rsidR="00FC4C48">
        <w:t xml:space="preserve">major </w:t>
      </w:r>
      <w:r w:rsidR="00462563">
        <w:t>landmark with the election of</w:t>
      </w:r>
      <w:r w:rsidR="00462563" w:rsidRPr="00D12CCE">
        <w:t xml:space="preserve"> 12 new members of the Committee</w:t>
      </w:r>
      <w:r w:rsidR="00E875BF">
        <w:t xml:space="preserve"> and</w:t>
      </w:r>
      <w:r w:rsidR="00224E80">
        <w:t xml:space="preserve"> the approval of the </w:t>
      </w:r>
      <w:r w:rsidR="00224E80" w:rsidRPr="00696A00">
        <w:t xml:space="preserve">Plan for the use of the resources of the Intangible Cultural Heritage Fund </w:t>
      </w:r>
      <w:r w:rsidR="00224E80" w:rsidRPr="004E10BA">
        <w:t>(</w:t>
      </w:r>
      <w:hyperlink r:id="rId11" w:history="1">
        <w:r w:rsidR="001A4F0B" w:rsidRPr="001A4F0B">
          <w:rPr>
            <w:rStyle w:val="Hyperlink"/>
            <w:rFonts w:cs="Arial"/>
          </w:rPr>
          <w:t>Resolution 6.GA 9</w:t>
        </w:r>
      </w:hyperlink>
      <w:r w:rsidR="00224E80" w:rsidRPr="004E10BA">
        <w:t>)</w:t>
      </w:r>
      <w:r w:rsidR="00FC4C48" w:rsidRPr="004E10BA">
        <w:t>. At the</w:t>
      </w:r>
      <w:r w:rsidR="00FC4C48">
        <w:t xml:space="preserve"> same session</w:t>
      </w:r>
      <w:r w:rsidR="0059757F">
        <w:t>,</w:t>
      </w:r>
      <w:r w:rsidR="00FC4C48">
        <w:t xml:space="preserve"> the Assembly also adopted </w:t>
      </w:r>
      <w:r w:rsidR="00392E62">
        <w:t xml:space="preserve">substantial </w:t>
      </w:r>
      <w:r w:rsidR="00462563" w:rsidRPr="00D12CCE">
        <w:t>revisions to the Operational Directives for the implementation of the Convention</w:t>
      </w:r>
      <w:r w:rsidR="0059757F">
        <w:t>. These include</w:t>
      </w:r>
      <w:r w:rsidR="00FC4C48">
        <w:t xml:space="preserve"> </w:t>
      </w:r>
      <w:r w:rsidR="00462563" w:rsidRPr="00D12CCE">
        <w:t xml:space="preserve">the </w:t>
      </w:r>
      <w:r w:rsidR="00E12111">
        <w:t>increase of the ceiling for International A</w:t>
      </w:r>
      <w:r w:rsidR="00462563">
        <w:t xml:space="preserve">ssistance </w:t>
      </w:r>
      <w:r w:rsidR="00392E62">
        <w:t xml:space="preserve">requests to be </w:t>
      </w:r>
      <w:r w:rsidR="00462563">
        <w:t xml:space="preserve">submitted to the Bureau of the Committee from US$25,000 to US$100,000, the </w:t>
      </w:r>
      <w:r w:rsidR="00462563" w:rsidRPr="00D12CCE">
        <w:t>adoption of a new chapter on safeguarding intangible cultural heritage and sustainable development</w:t>
      </w:r>
      <w:r w:rsidR="00FC4C48">
        <w:t xml:space="preserve"> and the extension of the referral option </w:t>
      </w:r>
      <w:r w:rsidR="00392E62">
        <w:t xml:space="preserve">(which had been used for the Representative List only) </w:t>
      </w:r>
      <w:r w:rsidR="00FC4C48">
        <w:t xml:space="preserve">to all nominations to the Lists, selections of Best Safeguarding </w:t>
      </w:r>
      <w:r w:rsidR="00317408">
        <w:t>Practices</w:t>
      </w:r>
      <w:r w:rsidR="00255873">
        <w:t xml:space="preserve"> (BSP)</w:t>
      </w:r>
      <w:r w:rsidR="0059757F">
        <w:t>,</w:t>
      </w:r>
      <w:r w:rsidR="00317408">
        <w:t xml:space="preserve"> </w:t>
      </w:r>
      <w:r w:rsidR="00E12111">
        <w:t>and approvals of International A</w:t>
      </w:r>
      <w:r w:rsidR="00FC4C48">
        <w:t>ssistance</w:t>
      </w:r>
      <w:r w:rsidR="00E875BF">
        <w:t xml:space="preserve"> requests</w:t>
      </w:r>
      <w:r w:rsidR="00462563">
        <w:t>.</w:t>
      </w:r>
    </w:p>
    <w:p w14:paraId="31A08D1A" w14:textId="0213656F" w:rsidR="00E653FF" w:rsidRDefault="00902F43" w:rsidP="00E653FF">
      <w:pPr>
        <w:pStyle w:val="COMPara"/>
        <w:ind w:left="567" w:hanging="567"/>
        <w:jc w:val="both"/>
      </w:pPr>
      <w:r>
        <w:t xml:space="preserve">The increase of the ceiling </w:t>
      </w:r>
      <w:r w:rsidR="00CD1B9F">
        <w:t xml:space="preserve">up to US$100,000 </w:t>
      </w:r>
      <w:r w:rsidR="00432943">
        <w:t>for International A</w:t>
      </w:r>
      <w:r>
        <w:t>ssistance requests</w:t>
      </w:r>
      <w:r w:rsidR="00392E62">
        <w:t xml:space="preserve"> </w:t>
      </w:r>
      <w:r w:rsidR="00462563">
        <w:t>represents</w:t>
      </w:r>
      <w:r>
        <w:t xml:space="preserve"> an important step </w:t>
      </w:r>
      <w:r w:rsidR="00CD1B9F">
        <w:t xml:space="preserve">forward </w:t>
      </w:r>
      <w:r w:rsidR="00672CA1">
        <w:t xml:space="preserve">as it will give </w:t>
      </w:r>
      <w:r w:rsidR="00940998">
        <w:t xml:space="preserve">States Parties </w:t>
      </w:r>
      <w:r w:rsidR="00AB41C1">
        <w:t>easier</w:t>
      </w:r>
      <w:r>
        <w:t xml:space="preserve"> access to </w:t>
      </w:r>
      <w:r w:rsidR="005B23F8">
        <w:t>I</w:t>
      </w:r>
      <w:r>
        <w:t xml:space="preserve">nternational </w:t>
      </w:r>
      <w:r w:rsidR="005B23F8">
        <w:t>A</w:t>
      </w:r>
      <w:r>
        <w:t>ssistance</w:t>
      </w:r>
      <w:r w:rsidR="006106BB">
        <w:t xml:space="preserve">. </w:t>
      </w:r>
      <w:r w:rsidR="00672CA1">
        <w:t xml:space="preserve">In other words, from now on a State Party can submit substantial requests for financial assistance without impairing its right to submit in the same year </w:t>
      </w:r>
      <w:r w:rsidR="00FF6C82">
        <w:t xml:space="preserve">either </w:t>
      </w:r>
      <w:r w:rsidR="00672CA1">
        <w:t xml:space="preserve">a nomination, </w:t>
      </w:r>
      <w:r w:rsidR="00FF6C82">
        <w:t>an</w:t>
      </w:r>
      <w:r w:rsidR="00672CA1">
        <w:t xml:space="preserve">other request greater than US$100,000 or </w:t>
      </w:r>
      <w:r w:rsidR="00FF6C82">
        <w:t xml:space="preserve">a </w:t>
      </w:r>
      <w:r w:rsidR="00672CA1">
        <w:t>proposal to the Committee</w:t>
      </w:r>
      <w:r w:rsidR="004E10BA">
        <w:t>.</w:t>
      </w:r>
      <w:r w:rsidR="00AE05CB">
        <w:t xml:space="preserve"> </w:t>
      </w:r>
      <w:r w:rsidR="00226FA9">
        <w:t>I</w:t>
      </w:r>
      <w:r w:rsidR="001065C6">
        <w:t>t is</w:t>
      </w:r>
      <w:r w:rsidR="006106BB">
        <w:t xml:space="preserve"> expected </w:t>
      </w:r>
      <w:r w:rsidR="001065C6">
        <w:t>that the raised ceiling will</w:t>
      </w:r>
      <w:r w:rsidR="006106BB">
        <w:t xml:space="preserve"> contribute to</w:t>
      </w:r>
      <w:r>
        <w:t xml:space="preserve"> </w:t>
      </w:r>
      <w:r w:rsidR="006106BB">
        <w:t>reversing</w:t>
      </w:r>
      <w:r>
        <w:t xml:space="preserve"> the trend of under-utilization of the Intangible Cultural Heritage Fund</w:t>
      </w:r>
      <w:r w:rsidR="00672CA1">
        <w:t>.</w:t>
      </w:r>
      <w:r w:rsidR="001065C6">
        <w:t xml:space="preserve"> For now </w:t>
      </w:r>
      <w:r w:rsidR="00544CC4">
        <w:t>a</w:t>
      </w:r>
      <w:r w:rsidR="001065C6">
        <w:t xml:space="preserve"> </w:t>
      </w:r>
      <w:r w:rsidR="00CD1B9F">
        <w:t xml:space="preserve">worrying </w:t>
      </w:r>
      <w:r w:rsidR="001065C6">
        <w:t xml:space="preserve">trend continues </w:t>
      </w:r>
      <w:r w:rsidR="005D24B6">
        <w:t>since</w:t>
      </w:r>
      <w:r w:rsidR="001065C6">
        <w:t xml:space="preserve">, under the reporting period, only </w:t>
      </w:r>
      <w:r w:rsidR="006106BB">
        <w:t xml:space="preserve">five projects </w:t>
      </w:r>
      <w:r w:rsidR="008474DB">
        <w:t>were granted</w:t>
      </w:r>
      <w:r w:rsidR="006106BB">
        <w:t xml:space="preserve"> </w:t>
      </w:r>
      <w:r w:rsidR="00E653FF">
        <w:t>International Assistance up to US$25,000 by the Bureau of the Committee.</w:t>
      </w:r>
      <w:r w:rsidR="006E0F08">
        <w:t xml:space="preserve"> At the same time, the Secretariat has </w:t>
      </w:r>
      <w:r w:rsidR="00544CC4">
        <w:t>changed</w:t>
      </w:r>
      <w:r w:rsidR="006E0F08">
        <w:t xml:space="preserve"> the wo</w:t>
      </w:r>
      <w:r w:rsidR="00432943">
        <w:t>rking methodology for treating I</w:t>
      </w:r>
      <w:r w:rsidR="006E0F08">
        <w:t xml:space="preserve">nternational </w:t>
      </w:r>
      <w:r w:rsidR="00432943">
        <w:t>A</w:t>
      </w:r>
      <w:r w:rsidR="006E0F08">
        <w:t xml:space="preserve">ssistance requests </w:t>
      </w:r>
      <w:r w:rsidR="00AE05CB">
        <w:t>up to US$100,000</w:t>
      </w:r>
      <w:r w:rsidR="006E0F08">
        <w:t xml:space="preserve"> by </w:t>
      </w:r>
      <w:r w:rsidR="00536A74">
        <w:t>organizing</w:t>
      </w:r>
      <w:r w:rsidR="006E0F08">
        <w:t xml:space="preserve"> at least three meetings of </w:t>
      </w:r>
      <w:r w:rsidR="00544CC4">
        <w:t xml:space="preserve">the </w:t>
      </w:r>
      <w:r w:rsidR="006E0F08">
        <w:t xml:space="preserve">Bureau </w:t>
      </w:r>
      <w:r w:rsidR="00397EC9">
        <w:t xml:space="preserve">per year </w:t>
      </w:r>
      <w:r w:rsidR="006E0F08">
        <w:t>(in March, June and October) and by advising the submitting States to take into account the deadlines</w:t>
      </w:r>
      <w:r w:rsidR="00AE05CB">
        <w:t xml:space="preserve"> related to these meetings. </w:t>
      </w:r>
      <w:r w:rsidR="00397EC9">
        <w:t xml:space="preserve">In this context, the number of </w:t>
      </w:r>
      <w:r w:rsidR="00432943">
        <w:t>I</w:t>
      </w:r>
      <w:r w:rsidR="00397EC9">
        <w:t xml:space="preserve">nternational </w:t>
      </w:r>
      <w:r w:rsidR="00432943">
        <w:t>A</w:t>
      </w:r>
      <w:r w:rsidR="00397EC9">
        <w:t xml:space="preserve">ssistance requests </w:t>
      </w:r>
      <w:r w:rsidR="00544CC4">
        <w:t xml:space="preserve">examined </w:t>
      </w:r>
      <w:r w:rsidR="00397EC9">
        <w:t>by the Bureau under the reporting period has shown a promising increase (6 requests) c</w:t>
      </w:r>
      <w:r w:rsidR="00AE05CB">
        <w:t>ompared to the equivalent period in 2014 (</w:t>
      </w:r>
      <w:r w:rsidR="0059757F">
        <w:t xml:space="preserve">no </w:t>
      </w:r>
      <w:r w:rsidR="00AE05CB">
        <w:t>request</w:t>
      </w:r>
      <w:r w:rsidR="0059757F">
        <w:t>s</w:t>
      </w:r>
      <w:r w:rsidR="00AE05CB">
        <w:t>) and 2015 (four requests).</w:t>
      </w:r>
    </w:p>
    <w:p w14:paraId="7751DAFC" w14:textId="0A2B7593" w:rsidR="00E653FF" w:rsidRPr="005541A9" w:rsidRDefault="00940998" w:rsidP="00E653FF">
      <w:pPr>
        <w:pStyle w:val="COMPara"/>
        <w:ind w:left="567" w:hanging="567"/>
        <w:jc w:val="both"/>
      </w:pPr>
      <w:r>
        <w:lastRenderedPageBreak/>
        <w:t>T</w:t>
      </w:r>
      <w:r w:rsidR="00902F43" w:rsidRPr="005541A9">
        <w:t xml:space="preserve">he adoption of the new chapter </w:t>
      </w:r>
      <w:r w:rsidR="005541A9" w:rsidRPr="005541A9">
        <w:t xml:space="preserve">of the </w:t>
      </w:r>
      <w:r w:rsidR="000F67AC">
        <w:t>Operational Directives</w:t>
      </w:r>
      <w:r w:rsidR="000F67AC" w:rsidRPr="005541A9">
        <w:t xml:space="preserve"> </w:t>
      </w:r>
      <w:r w:rsidR="00902F43" w:rsidRPr="005541A9">
        <w:t xml:space="preserve">on safeguarding intangible cultural heritage and sustainable development </w:t>
      </w:r>
      <w:r w:rsidR="005541A9" w:rsidRPr="005541A9">
        <w:t>is a milestone in the development of the Convention</w:t>
      </w:r>
      <w:r>
        <w:t xml:space="preserve">, </w:t>
      </w:r>
      <w:r w:rsidR="00E40D9F">
        <w:t>which is in concert with</w:t>
      </w:r>
      <w:r w:rsidR="00E40D9F" w:rsidRPr="005541A9">
        <w:rPr>
          <w:rFonts w:eastAsia="Arial"/>
        </w:rPr>
        <w:t xml:space="preserve"> </w:t>
      </w:r>
      <w:r w:rsidRPr="005541A9">
        <w:rPr>
          <w:rFonts w:eastAsia="Arial"/>
        </w:rPr>
        <w:t xml:space="preserve">the </w:t>
      </w:r>
      <w:r w:rsidR="00E40D9F">
        <w:rPr>
          <w:rFonts w:eastAsia="Arial"/>
        </w:rPr>
        <w:t xml:space="preserve">adoption </w:t>
      </w:r>
      <w:r w:rsidR="00BD1E05">
        <w:rPr>
          <w:rFonts w:eastAsia="Arial"/>
        </w:rPr>
        <w:t xml:space="preserve">of </w:t>
      </w:r>
      <w:r w:rsidR="00BD1E05" w:rsidRPr="005541A9">
        <w:rPr>
          <w:rFonts w:eastAsia="Arial"/>
        </w:rPr>
        <w:t xml:space="preserve">the 2030 Agenda for Sustainable Development </w:t>
      </w:r>
      <w:r w:rsidR="00E40D9F" w:rsidRPr="005541A9">
        <w:rPr>
          <w:rFonts w:eastAsia="Arial"/>
        </w:rPr>
        <w:t xml:space="preserve">in September 2015 </w:t>
      </w:r>
      <w:r w:rsidR="00E40D9F">
        <w:rPr>
          <w:rFonts w:eastAsia="Arial"/>
        </w:rPr>
        <w:t xml:space="preserve">by the </w:t>
      </w:r>
      <w:r w:rsidR="00A501C2">
        <w:rPr>
          <w:rFonts w:eastAsia="Arial"/>
        </w:rPr>
        <w:t>UN system</w:t>
      </w:r>
      <w:r w:rsidR="00902F43" w:rsidRPr="005541A9">
        <w:t>.</w:t>
      </w:r>
      <w:r w:rsidR="005541A9" w:rsidRPr="005541A9">
        <w:rPr>
          <w:rFonts w:eastAsia="Arial"/>
        </w:rPr>
        <w:t xml:space="preserve"> The </w:t>
      </w:r>
      <w:r w:rsidR="000F67AC">
        <w:rPr>
          <w:rFonts w:eastAsia="Arial"/>
        </w:rPr>
        <w:t>chapter</w:t>
      </w:r>
      <w:r w:rsidR="000F67AC" w:rsidRPr="005541A9">
        <w:rPr>
          <w:rFonts w:eastAsia="Arial"/>
        </w:rPr>
        <w:t xml:space="preserve"> </w:t>
      </w:r>
      <w:r w:rsidR="005541A9" w:rsidRPr="005541A9">
        <w:rPr>
          <w:rFonts w:eastAsia="Arial"/>
        </w:rPr>
        <w:t>now provide</w:t>
      </w:r>
      <w:r w:rsidR="001B6B7B">
        <w:rPr>
          <w:rFonts w:eastAsia="Arial"/>
        </w:rPr>
        <w:t xml:space="preserve">s </w:t>
      </w:r>
      <w:r w:rsidR="005541A9" w:rsidRPr="005541A9">
        <w:rPr>
          <w:rFonts w:eastAsia="Arial"/>
        </w:rPr>
        <w:t>guidance for States Parties on measures they could implement to give effect and substance to the Convention’s potential as a tool</w:t>
      </w:r>
      <w:r w:rsidR="00A501C2">
        <w:rPr>
          <w:rFonts w:eastAsia="Arial"/>
        </w:rPr>
        <w:t>, not only for safeguarding intangible cultural heritage, but also</w:t>
      </w:r>
      <w:r w:rsidR="005541A9" w:rsidRPr="005541A9">
        <w:rPr>
          <w:rFonts w:eastAsia="Arial"/>
        </w:rPr>
        <w:t xml:space="preserve"> for pursuing sustainable development in </w:t>
      </w:r>
      <w:r w:rsidR="005541A9" w:rsidRPr="009427FC">
        <w:t xml:space="preserve">line with the 2030 Sustainable Development Goals. </w:t>
      </w:r>
      <w:r w:rsidR="00BC5FAB">
        <w:t xml:space="preserve">With reference to this, </w:t>
      </w:r>
      <w:r w:rsidR="00BC5FAB" w:rsidRPr="00CD21DB">
        <w:t xml:space="preserve">the Secretariat has </w:t>
      </w:r>
      <w:r w:rsidR="00E40D9F" w:rsidRPr="00CD21DB">
        <w:t xml:space="preserve">made </w:t>
      </w:r>
      <w:r w:rsidR="008F4FC2">
        <w:t>considerable</w:t>
      </w:r>
      <w:r w:rsidR="00BD0B13" w:rsidRPr="00CD21DB">
        <w:t xml:space="preserve"> </w:t>
      </w:r>
      <w:r w:rsidR="00E40D9F" w:rsidRPr="00CD21DB">
        <w:t>effort</w:t>
      </w:r>
      <w:r w:rsidR="00902B3F">
        <w:t>s</w:t>
      </w:r>
      <w:r w:rsidR="00BC5FAB" w:rsidRPr="00CD21DB">
        <w:t xml:space="preserve"> to </w:t>
      </w:r>
      <w:r w:rsidR="0099547D">
        <w:t>reflect this orientation in</w:t>
      </w:r>
      <w:r w:rsidR="00BC5FAB" w:rsidRPr="00CD21DB">
        <w:t xml:space="preserve"> </w:t>
      </w:r>
      <w:r w:rsidR="00BC5FAB" w:rsidRPr="0006670E">
        <w:t>a number of thematic areas</w:t>
      </w:r>
      <w:r w:rsidR="00BC5FAB">
        <w:t xml:space="preserve"> related to sustainable development</w:t>
      </w:r>
      <w:r w:rsidR="00A501C2">
        <w:t xml:space="preserve"> and intangible cultural heritage</w:t>
      </w:r>
      <w:r w:rsidR="003A6322">
        <w:t>, for example by</w:t>
      </w:r>
      <w:r w:rsidR="00B47EE9">
        <w:t xml:space="preserve"> </w:t>
      </w:r>
      <w:r w:rsidR="003A6322">
        <w:t xml:space="preserve">contributing </w:t>
      </w:r>
      <w:r w:rsidR="00B47EE9">
        <w:t xml:space="preserve">to UNESCO’s strategic </w:t>
      </w:r>
      <w:r w:rsidR="0099547D">
        <w:t xml:space="preserve">planning </w:t>
      </w:r>
      <w:r w:rsidR="00B47EE9">
        <w:t>on issues related to climate change and urban development</w:t>
      </w:r>
      <w:r w:rsidR="00C97923">
        <w:t xml:space="preserve">. </w:t>
      </w:r>
      <w:r w:rsidR="00397EC9">
        <w:t>C</w:t>
      </w:r>
      <w:r w:rsidR="00C97923">
        <w:t xml:space="preserve">ontact </w:t>
      </w:r>
      <w:r w:rsidR="0099547D">
        <w:t xml:space="preserve">has </w:t>
      </w:r>
      <w:r w:rsidR="00397EC9">
        <w:t xml:space="preserve">also </w:t>
      </w:r>
      <w:r w:rsidR="0099547D">
        <w:t xml:space="preserve">been made </w:t>
      </w:r>
      <w:r w:rsidR="00B47EE9">
        <w:t xml:space="preserve">with the World Health Organization </w:t>
      </w:r>
      <w:r w:rsidR="003A6322">
        <w:t xml:space="preserve">in order to explore ways in which </w:t>
      </w:r>
      <w:r w:rsidR="0099547D">
        <w:t xml:space="preserve">synergies between </w:t>
      </w:r>
      <w:r w:rsidR="003A6322">
        <w:t xml:space="preserve">the safeguarding of intangible cultural heritage </w:t>
      </w:r>
      <w:r w:rsidR="0099547D">
        <w:t>and a cultural approach to health might be elaborated.</w:t>
      </w:r>
    </w:p>
    <w:p w14:paraId="1A4AECC3" w14:textId="79566462" w:rsidR="00902F43" w:rsidRDefault="00902F43" w:rsidP="00902F43">
      <w:pPr>
        <w:pStyle w:val="COMPara"/>
        <w:ind w:left="567" w:hanging="567"/>
        <w:jc w:val="both"/>
      </w:pPr>
      <w:r w:rsidRPr="005541A9">
        <w:t xml:space="preserve">An important part of work </w:t>
      </w:r>
      <w:r w:rsidR="00F81AEE">
        <w:t xml:space="preserve">of the Secretariat of </w:t>
      </w:r>
      <w:r w:rsidR="00E40D9F">
        <w:t xml:space="preserve">the governing organs of the Convention </w:t>
      </w:r>
      <w:r w:rsidR="00881BC7">
        <w:t>includes</w:t>
      </w:r>
      <w:r w:rsidRPr="00D12CCE">
        <w:t xml:space="preserve"> </w:t>
      </w:r>
      <w:r w:rsidR="0059757F">
        <w:t xml:space="preserve">the </w:t>
      </w:r>
      <w:r w:rsidR="00F81AEE">
        <w:t xml:space="preserve">processing </w:t>
      </w:r>
      <w:r w:rsidRPr="00D12CCE">
        <w:t xml:space="preserve">of nominations to the </w:t>
      </w:r>
      <w:r w:rsidR="006E62A0">
        <w:t xml:space="preserve">two </w:t>
      </w:r>
      <w:r w:rsidRPr="00D12CCE">
        <w:t>List</w:t>
      </w:r>
      <w:r w:rsidR="006E62A0">
        <w:t>s of the Convention</w:t>
      </w:r>
      <w:r w:rsidRPr="00D12CCE">
        <w:t xml:space="preserve"> </w:t>
      </w:r>
      <w:r w:rsidR="0059757F">
        <w:t xml:space="preserve">(the </w:t>
      </w:r>
      <w:r w:rsidR="00317408">
        <w:t xml:space="preserve">List </w:t>
      </w:r>
      <w:r w:rsidRPr="00D12CCE">
        <w:t xml:space="preserve">of Intangible Cultural Heritage in Need of Urgent Safeguarding and </w:t>
      </w:r>
      <w:r w:rsidR="0059757F">
        <w:t xml:space="preserve">the </w:t>
      </w:r>
      <w:r w:rsidRPr="00D12CCE">
        <w:t>Representative List of the Intangible Cultural Heritage of Humanity</w:t>
      </w:r>
      <w:r w:rsidR="0059757F">
        <w:t>),</w:t>
      </w:r>
      <w:r w:rsidR="00317408">
        <w:t xml:space="preserve"> </w:t>
      </w:r>
      <w:r w:rsidRPr="00D12CCE">
        <w:t xml:space="preserve">proposals to the Register of Best Safeguarding Practices, </w:t>
      </w:r>
      <w:r w:rsidR="00FF6BC2">
        <w:t>I</w:t>
      </w:r>
      <w:r w:rsidRPr="00D12CCE">
        <w:t xml:space="preserve">nternational </w:t>
      </w:r>
      <w:r w:rsidR="00FF6BC2">
        <w:t>A</w:t>
      </w:r>
      <w:r w:rsidRPr="00D12CCE">
        <w:t xml:space="preserve">ssistance requests and </w:t>
      </w:r>
      <w:r w:rsidR="00757C34">
        <w:t>P</w:t>
      </w:r>
      <w:r w:rsidRPr="00D12CCE">
        <w:t xml:space="preserve">eriodic </w:t>
      </w:r>
      <w:r w:rsidR="00757C34">
        <w:t>R</w:t>
      </w:r>
      <w:r w:rsidRPr="00D12CCE">
        <w:t xml:space="preserve">eports of States Parties. The treatment of the nominations for the 2017 cycle is currently </w:t>
      </w:r>
      <w:r w:rsidR="006E62A0">
        <w:t>on schedule</w:t>
      </w:r>
      <w:r w:rsidRPr="00D12CCE">
        <w:t xml:space="preserve"> with the Secretariat having managed </w:t>
      </w:r>
      <w:r w:rsidR="005541A9">
        <w:t xml:space="preserve">for the second consecutive year </w:t>
      </w:r>
      <w:r w:rsidRPr="00D12CCE">
        <w:t>to send letters by the deadline of 30 June to submitting States concerning information needed to complete their files</w:t>
      </w:r>
      <w:r>
        <w:t>.</w:t>
      </w:r>
    </w:p>
    <w:p w14:paraId="4769A804" w14:textId="1E98A2E0" w:rsidR="00902F43" w:rsidRDefault="00401070" w:rsidP="00902F43">
      <w:pPr>
        <w:pStyle w:val="COMPara"/>
        <w:ind w:left="567" w:hanging="567"/>
        <w:jc w:val="both"/>
      </w:pPr>
      <w:r>
        <w:rPr>
          <w:lang w:bidi="en-US"/>
        </w:rPr>
        <w:t xml:space="preserve">The sound governance of the Convention is also facilitated by enhanced knowledge management services </w:t>
      </w:r>
      <w:r w:rsidRPr="001C6031">
        <w:rPr>
          <w:lang w:bidi="en-US"/>
        </w:rPr>
        <w:t xml:space="preserve">as the </w:t>
      </w:r>
      <w:r w:rsidR="006E62A0">
        <w:rPr>
          <w:lang w:bidi="en-US"/>
        </w:rPr>
        <w:t xml:space="preserve">number of States Parties continues to grow and experiences in safeguarding intangible cultural heritage further accumulate. </w:t>
      </w:r>
      <w:r>
        <w:rPr>
          <w:lang w:bidi="en-US"/>
        </w:rPr>
        <w:t>T</w:t>
      </w:r>
      <w:r w:rsidRPr="001C6031">
        <w:rPr>
          <w:lang w:bidi="en-US"/>
        </w:rPr>
        <w:t>he work undertaken during the reporting period focused on improving both the functioning of the Convention’s knowledge management system and its usefu</w:t>
      </w:r>
      <w:r>
        <w:rPr>
          <w:lang w:bidi="en-US"/>
        </w:rPr>
        <w:t xml:space="preserve">lness </w:t>
      </w:r>
      <w:r w:rsidR="006E62A0">
        <w:rPr>
          <w:lang w:bidi="en-US"/>
        </w:rPr>
        <w:t xml:space="preserve">for </w:t>
      </w:r>
      <w:r>
        <w:rPr>
          <w:lang w:bidi="en-US"/>
        </w:rPr>
        <w:t xml:space="preserve">diverse </w:t>
      </w:r>
      <w:r w:rsidR="006E62A0">
        <w:rPr>
          <w:lang w:bidi="en-US"/>
        </w:rPr>
        <w:t>groups of stakeholders</w:t>
      </w:r>
      <w:r w:rsidR="000C4C85">
        <w:rPr>
          <w:lang w:bidi="en-US"/>
        </w:rPr>
        <w:t>.</w:t>
      </w:r>
      <w:r>
        <w:rPr>
          <w:lang w:bidi="en-US"/>
        </w:rPr>
        <w:t xml:space="preserve"> </w:t>
      </w:r>
      <w:r w:rsidR="000C4C85">
        <w:rPr>
          <w:lang w:bidi="en-US"/>
        </w:rPr>
        <w:t xml:space="preserve">For example, </w:t>
      </w:r>
      <w:r w:rsidR="0059757F">
        <w:rPr>
          <w:color w:val="000000"/>
        </w:rPr>
        <w:t>in May 2016</w:t>
      </w:r>
      <w:r w:rsidR="0059757F" w:rsidRPr="00CE1C2E">
        <w:rPr>
          <w:color w:val="000000"/>
        </w:rPr>
        <w:t xml:space="preserve"> </w:t>
      </w:r>
      <w:r>
        <w:rPr>
          <w:lang w:bidi="en-US"/>
        </w:rPr>
        <w:t>t</w:t>
      </w:r>
      <w:r w:rsidRPr="00CE1C2E">
        <w:rPr>
          <w:color w:val="000000"/>
        </w:rPr>
        <w:t xml:space="preserve">he Secretariat </w:t>
      </w:r>
      <w:r w:rsidR="00881BC7">
        <w:rPr>
          <w:color w:val="000000"/>
        </w:rPr>
        <w:t xml:space="preserve">launched </w:t>
      </w:r>
      <w:r w:rsidR="00881BC7">
        <w:t xml:space="preserve">a </w:t>
      </w:r>
      <w:hyperlink r:id="rId12" w:tgtFrame="_blank" w:history="1">
        <w:r w:rsidR="00881BC7">
          <w:rPr>
            <w:rStyle w:val="Hyperlink"/>
          </w:rPr>
          <w:t>new monitoring interface</w:t>
        </w:r>
      </w:hyperlink>
      <w:r w:rsidRPr="00CE1C2E">
        <w:rPr>
          <w:color w:val="000000"/>
        </w:rPr>
        <w:t xml:space="preserve">, </w:t>
      </w:r>
      <w:r>
        <w:t>allowing</w:t>
      </w:r>
      <w:r w:rsidR="00FF6C82">
        <w:t xml:space="preserve"> users</w:t>
      </w:r>
      <w:r>
        <w:t xml:space="preserve"> to</w:t>
      </w:r>
      <w:r w:rsidR="006E62A0">
        <w:t xml:space="preserve"> </w:t>
      </w:r>
      <w:r>
        <w:t>access submitted reports</w:t>
      </w:r>
      <w:r w:rsidR="006E62A0">
        <w:t>, review the schedule of submissions</w:t>
      </w:r>
      <w:r>
        <w:t xml:space="preserve"> and </w:t>
      </w:r>
      <w:r w:rsidR="006E62A0">
        <w:t xml:space="preserve">search them </w:t>
      </w:r>
      <w:r>
        <w:t>by mechanism, status and country.</w:t>
      </w:r>
      <w:r w:rsidRPr="00401070">
        <w:rPr>
          <w:color w:val="000000"/>
        </w:rPr>
        <w:t xml:space="preserve"> </w:t>
      </w:r>
      <w:r w:rsidR="000C4C85" w:rsidRPr="00F41D50">
        <w:t xml:space="preserve">The Secretariat </w:t>
      </w:r>
      <w:r w:rsidR="000C4C85">
        <w:t xml:space="preserve">continues to enhance the </w:t>
      </w:r>
      <w:r w:rsidR="000C4C85" w:rsidRPr="00F41D50">
        <w:t>web</w:t>
      </w:r>
      <w:r w:rsidR="000C4C85">
        <w:t xml:space="preserve"> </w:t>
      </w:r>
      <w:r w:rsidR="000C4C85" w:rsidRPr="00F41D50">
        <w:t xml:space="preserve">page </w:t>
      </w:r>
      <w:r w:rsidR="000C4C85">
        <w:t xml:space="preserve">dedicated </w:t>
      </w:r>
      <w:r w:rsidR="00FF6C82">
        <w:t xml:space="preserve">to </w:t>
      </w:r>
      <w:r w:rsidR="000C4C85">
        <w:t xml:space="preserve">category 2 centres in the field of intangible cultural heritage </w:t>
      </w:r>
      <w:r w:rsidR="000C4C85" w:rsidRPr="00F41D50">
        <w:t>(</w:t>
      </w:r>
      <w:hyperlink r:id="rId13" w:history="1">
        <w:r w:rsidR="000C4C85" w:rsidRPr="001C414B">
          <w:rPr>
            <w:rStyle w:val="Hyperlink"/>
          </w:rPr>
          <w:t>http://www.unesco.org/culture/ich/en/Category2/</w:t>
        </w:r>
      </w:hyperlink>
      <w:r w:rsidR="000C4C85" w:rsidRPr="00F41D50">
        <w:t xml:space="preserve">) with key documents for each </w:t>
      </w:r>
      <w:r w:rsidR="000C4C85">
        <w:t xml:space="preserve">of the eight </w:t>
      </w:r>
      <w:r w:rsidR="000C4C85" w:rsidRPr="00F41D50">
        <w:t>centre</w:t>
      </w:r>
      <w:r w:rsidR="000C4C85">
        <w:t xml:space="preserve">s, </w:t>
      </w:r>
      <w:r w:rsidR="000C4C85" w:rsidRPr="00F41D50">
        <w:t xml:space="preserve">including </w:t>
      </w:r>
      <w:r w:rsidR="006E62A0">
        <w:t>their</w:t>
      </w:r>
      <w:r w:rsidR="000C4C85" w:rsidRPr="00F41D50">
        <w:t xml:space="preserve"> recent work</w:t>
      </w:r>
      <w:r w:rsidR="000C4C85">
        <w:t xml:space="preserve"> </w:t>
      </w:r>
      <w:r w:rsidR="000C4C85" w:rsidRPr="00F41D50">
        <w:t>plans and</w:t>
      </w:r>
      <w:r w:rsidR="000C4C85">
        <w:t xml:space="preserve"> annual reports. </w:t>
      </w:r>
      <w:r w:rsidRPr="009E55CC">
        <w:rPr>
          <w:color w:val="000000"/>
        </w:rPr>
        <w:t xml:space="preserve">Efforts have also been </w:t>
      </w:r>
      <w:r w:rsidR="00ED6936">
        <w:rPr>
          <w:color w:val="000000"/>
        </w:rPr>
        <w:t>made</w:t>
      </w:r>
      <w:r w:rsidR="00ED6936" w:rsidRPr="009E55CC">
        <w:rPr>
          <w:color w:val="000000"/>
        </w:rPr>
        <w:t xml:space="preserve"> </w:t>
      </w:r>
      <w:r w:rsidRPr="009E55CC">
        <w:rPr>
          <w:color w:val="000000"/>
        </w:rPr>
        <w:t>to enhance the Convention</w:t>
      </w:r>
      <w:r w:rsidR="00F97547">
        <w:rPr>
          <w:color w:val="000000"/>
        </w:rPr>
        <w:t>’s</w:t>
      </w:r>
      <w:r w:rsidRPr="009E55CC">
        <w:rPr>
          <w:color w:val="000000"/>
        </w:rPr>
        <w:t xml:space="preserve"> website with improved navigation and ergonomics, search engine optimization and additional multilingual content</w:t>
      </w:r>
      <w:r>
        <w:rPr>
          <w:color w:val="000000"/>
        </w:rPr>
        <w:t>.</w:t>
      </w:r>
    </w:p>
    <w:p w14:paraId="3B5F7D9E" w14:textId="11B1A5BA" w:rsidR="008B3386" w:rsidRDefault="008B3386" w:rsidP="008B3386">
      <w:pPr>
        <w:pStyle w:val="COMPara"/>
        <w:ind w:left="567" w:hanging="567"/>
        <w:jc w:val="both"/>
      </w:pPr>
      <w:r>
        <w:t xml:space="preserve">As regards </w:t>
      </w:r>
      <w:r w:rsidR="00763BD4">
        <w:t>p</w:t>
      </w:r>
      <w:r>
        <w:t xml:space="preserve">eriodic </w:t>
      </w:r>
      <w:r w:rsidR="00763BD4">
        <w:t>r</w:t>
      </w:r>
      <w:r>
        <w:t xml:space="preserve">eporting, </w:t>
      </w:r>
      <w:r w:rsidR="00FF6C82">
        <w:t xml:space="preserve">a </w:t>
      </w:r>
      <w:r w:rsidR="006E62A0">
        <w:t xml:space="preserve">high number of </w:t>
      </w:r>
      <w:r w:rsidR="00AF45C9">
        <w:t>overdue</w:t>
      </w:r>
      <w:r w:rsidR="006E62A0">
        <w:t xml:space="preserve"> reports has been a source of concern</w:t>
      </w:r>
      <w:r w:rsidR="003C0109">
        <w:t xml:space="preserve">. </w:t>
      </w:r>
      <w:r w:rsidR="00397EC9">
        <w:t xml:space="preserve">In view of improving the participation of States Parties </w:t>
      </w:r>
      <w:r w:rsidR="00F15F32">
        <w:t>in</w:t>
      </w:r>
      <w:r w:rsidR="00397EC9">
        <w:t xml:space="preserve"> this reporting mechanism,</w:t>
      </w:r>
      <w:r w:rsidR="00F15F32">
        <w:t xml:space="preserve"> </w:t>
      </w:r>
      <w:r w:rsidR="00141C70">
        <w:t>the Secretariat provided detailed information</w:t>
      </w:r>
      <w:r w:rsidR="006E62A0">
        <w:t>,</w:t>
      </w:r>
      <w:r w:rsidR="00141C70">
        <w:t xml:space="preserve"> </w:t>
      </w:r>
      <w:r w:rsidR="006E62A0">
        <w:t xml:space="preserve">during the sixth session of the General Assembly in June 2016, </w:t>
      </w:r>
      <w:r w:rsidR="00141C70">
        <w:t xml:space="preserve">to the States Parties on the </w:t>
      </w:r>
      <w:r w:rsidR="00FB53D5">
        <w:t>p</w:t>
      </w:r>
      <w:r w:rsidR="00141C70">
        <w:t xml:space="preserve">eriodic </w:t>
      </w:r>
      <w:r w:rsidR="00FB53D5">
        <w:t>r</w:t>
      </w:r>
      <w:r w:rsidR="00141C70">
        <w:t xml:space="preserve">eporting mechanism and the situation as regards the submission of expected reports. </w:t>
      </w:r>
      <w:r w:rsidR="00F15F32">
        <w:t>T</w:t>
      </w:r>
      <w:r w:rsidR="00141C70">
        <w:t xml:space="preserve">o </w:t>
      </w:r>
      <w:r>
        <w:t xml:space="preserve">support </w:t>
      </w:r>
      <w:r w:rsidR="00F15F32">
        <w:t xml:space="preserve">them </w:t>
      </w:r>
      <w:r>
        <w:t>in this endeavour, t</w:t>
      </w:r>
      <w:r w:rsidRPr="00F41D50">
        <w:t xml:space="preserve">he Secretariat </w:t>
      </w:r>
      <w:r w:rsidR="00B04AAC">
        <w:t xml:space="preserve">has </w:t>
      </w:r>
      <w:r w:rsidR="00141C70">
        <w:t xml:space="preserve">also </w:t>
      </w:r>
      <w:r w:rsidR="00B04AAC">
        <w:t xml:space="preserve">started </w:t>
      </w:r>
      <w:r>
        <w:t xml:space="preserve">updating the </w:t>
      </w:r>
      <w:r w:rsidRPr="003C0109">
        <w:rPr>
          <w:i/>
        </w:rPr>
        <w:t>aide-mémoire</w:t>
      </w:r>
      <w:r w:rsidRPr="00F41D50">
        <w:t xml:space="preserve"> for completing the reporting form that provides submitting States with </w:t>
      </w:r>
      <w:r w:rsidR="00F15F32">
        <w:t xml:space="preserve">guidance </w:t>
      </w:r>
      <w:r w:rsidRPr="00F41D50">
        <w:t>when preparing their reports.</w:t>
      </w:r>
    </w:p>
    <w:p w14:paraId="24701DAB" w14:textId="5385BC7C" w:rsidR="00316D7D" w:rsidRPr="004654DC" w:rsidRDefault="00D95013" w:rsidP="00713040">
      <w:pPr>
        <w:pStyle w:val="COMPara"/>
        <w:ind w:left="567" w:hanging="567"/>
        <w:jc w:val="both"/>
      </w:pPr>
      <w:r w:rsidRPr="00713040">
        <w:t xml:space="preserve">The implementation of the Convention remains greatly facilitated by the </w:t>
      </w:r>
      <w:r w:rsidR="00316D7D">
        <w:rPr>
          <w:rFonts w:eastAsia="Malgun Gothic" w:hint="eastAsia"/>
          <w:lang w:eastAsia="ko-KR"/>
        </w:rPr>
        <w:t>c</w:t>
      </w:r>
      <w:r w:rsidRPr="00713040">
        <w:t xml:space="preserve">apacity-building </w:t>
      </w:r>
      <w:r w:rsidR="00316D7D">
        <w:rPr>
          <w:rFonts w:eastAsia="Malgun Gothic" w:hint="eastAsia"/>
          <w:lang w:eastAsia="ko-KR"/>
        </w:rPr>
        <w:t>p</w:t>
      </w:r>
      <w:r w:rsidRPr="00713040">
        <w:t>rogramme</w:t>
      </w:r>
      <w:r w:rsidR="00316D7D">
        <w:rPr>
          <w:rFonts w:eastAsia="Malgun Gothic" w:hint="eastAsia"/>
          <w:lang w:eastAsia="ko-KR"/>
        </w:rPr>
        <w:t>,</w:t>
      </w:r>
      <w:r w:rsidRPr="00713040">
        <w:t xml:space="preserve"> which is a key support to Member States for strengthening human and institutional resources for safeguarding </w:t>
      </w:r>
      <w:r w:rsidRPr="00FE63A0">
        <w:t>intangible cultural heritage, including policy and strategy development across multiple sectors. Over the reporting period</w:t>
      </w:r>
      <w:r w:rsidR="00483C0A" w:rsidRPr="00FE63A0">
        <w:t>,</w:t>
      </w:r>
      <w:r w:rsidRPr="00FE63A0">
        <w:t xml:space="preserve"> UNESCO collaborated with </w:t>
      </w:r>
      <w:r w:rsidR="004F7612" w:rsidRPr="00FE63A0">
        <w:t xml:space="preserve">more than </w:t>
      </w:r>
      <w:r w:rsidRPr="00FE63A0">
        <w:t xml:space="preserve">50 countries </w:t>
      </w:r>
      <w:r w:rsidR="00316D7D" w:rsidRPr="00FE63A0">
        <w:rPr>
          <w:rFonts w:eastAsia="Malgun Gothic" w:hint="eastAsia"/>
          <w:lang w:eastAsia="ko-KR"/>
        </w:rPr>
        <w:t>i</w:t>
      </w:r>
      <w:r w:rsidRPr="00FE63A0">
        <w:t xml:space="preserve">n planning </w:t>
      </w:r>
      <w:r w:rsidR="00316D7D" w:rsidRPr="00FE63A0">
        <w:rPr>
          <w:rFonts w:eastAsia="Malgun Gothic" w:hint="eastAsia"/>
          <w:lang w:eastAsia="ko-KR"/>
        </w:rPr>
        <w:t>and</w:t>
      </w:r>
      <w:r w:rsidRPr="00FE63A0">
        <w:t xml:space="preserve"> implementing </w:t>
      </w:r>
      <w:r w:rsidR="00316D7D" w:rsidRPr="00FE63A0">
        <w:rPr>
          <w:rFonts w:eastAsia="Malgun Gothic" w:hint="eastAsia"/>
          <w:lang w:eastAsia="ko-KR"/>
        </w:rPr>
        <w:t xml:space="preserve">projects. In </w:t>
      </w:r>
      <w:r w:rsidR="00316D7D" w:rsidRPr="00FE63A0">
        <w:rPr>
          <w:rFonts w:eastAsia="Malgun Gothic"/>
          <w:lang w:eastAsia="ko-KR"/>
        </w:rPr>
        <w:t>38</w:t>
      </w:r>
      <w:r w:rsidR="00316D7D" w:rsidRPr="00FE63A0">
        <w:rPr>
          <w:rFonts w:eastAsia="Malgun Gothic" w:hint="eastAsia"/>
          <w:lang w:eastAsia="ko-KR"/>
        </w:rPr>
        <w:t xml:space="preserve"> of the countries, UNESCO implemented multi-year projects with the support of extrabudgetary resources channelled either through Funds-in-Trust Agreements or earmarked contributions to the Intangible Cultural Heritage Fund (</w:t>
      </w:r>
      <w:r w:rsidR="00316D7D" w:rsidRPr="00987B4C">
        <w:rPr>
          <w:rFonts w:eastAsia="Malgun Gothic" w:hint="eastAsia"/>
          <w:lang w:eastAsia="ko-KR"/>
        </w:rPr>
        <w:t xml:space="preserve">more information is available on the </w:t>
      </w:r>
      <w:r w:rsidR="00316D7D" w:rsidRPr="007A639C">
        <w:rPr>
          <w:rFonts w:eastAsia="Malgun Gothic" w:hint="eastAsia"/>
          <w:lang w:eastAsia="ko-KR"/>
        </w:rPr>
        <w:t>Convention</w:t>
      </w:r>
      <w:r w:rsidR="00316D7D" w:rsidRPr="007A639C">
        <w:rPr>
          <w:rFonts w:eastAsia="Malgun Gothic"/>
          <w:lang w:eastAsia="ko-KR"/>
        </w:rPr>
        <w:t>’</w:t>
      </w:r>
      <w:r w:rsidR="00316D7D" w:rsidRPr="007A639C">
        <w:rPr>
          <w:rFonts w:eastAsia="Malgun Gothic" w:hint="eastAsia"/>
          <w:lang w:eastAsia="ko-KR"/>
        </w:rPr>
        <w:t xml:space="preserve">s </w:t>
      </w:r>
      <w:hyperlink r:id="rId14" w:history="1">
        <w:r w:rsidR="00316D7D" w:rsidRPr="007A639C">
          <w:rPr>
            <w:rStyle w:val="Hyperlink"/>
            <w:rFonts w:eastAsia="Malgun Gothic" w:cs="Arial" w:hint="eastAsia"/>
            <w:lang w:eastAsia="ko-KR"/>
          </w:rPr>
          <w:t>project webpage</w:t>
        </w:r>
      </w:hyperlink>
      <w:r w:rsidR="00316D7D" w:rsidRPr="00FE63A0">
        <w:rPr>
          <w:rFonts w:eastAsia="Malgun Gothic" w:hint="eastAsia"/>
          <w:lang w:eastAsia="ko-KR"/>
        </w:rPr>
        <w:t xml:space="preserve">). In the </w:t>
      </w:r>
      <w:r w:rsidR="00316D7D" w:rsidRPr="00FE63A0">
        <w:rPr>
          <w:rFonts w:eastAsia="Malgun Gothic"/>
          <w:lang w:eastAsia="ko-KR"/>
        </w:rPr>
        <w:t>19</w:t>
      </w:r>
      <w:r w:rsidR="00316D7D" w:rsidRPr="00FE63A0">
        <w:rPr>
          <w:rFonts w:eastAsia="Malgun Gothic" w:hint="eastAsia"/>
          <w:lang w:eastAsia="ko-KR"/>
        </w:rPr>
        <w:t xml:space="preserve"> </w:t>
      </w:r>
      <w:r w:rsidR="00CA0388" w:rsidRPr="00FE63A0">
        <w:rPr>
          <w:rFonts w:eastAsia="Malgun Gothic" w:hint="eastAsia"/>
          <w:lang w:eastAsia="ko-KR"/>
        </w:rPr>
        <w:t xml:space="preserve">other </w:t>
      </w:r>
      <w:r w:rsidR="00316D7D" w:rsidRPr="00FE63A0">
        <w:rPr>
          <w:rFonts w:eastAsia="Malgun Gothic" w:hint="eastAsia"/>
          <w:lang w:eastAsia="ko-KR"/>
        </w:rPr>
        <w:t>countries</w:t>
      </w:r>
      <w:r w:rsidR="00366F10" w:rsidRPr="00FE63A0">
        <w:rPr>
          <w:rFonts w:eastAsia="Malgun Gothic"/>
          <w:lang w:eastAsia="ko-KR"/>
        </w:rPr>
        <w:t>,</w:t>
      </w:r>
      <w:r w:rsidR="00316D7D" w:rsidRPr="00FE63A0">
        <w:rPr>
          <w:rFonts w:eastAsia="Malgun Gothic" w:hint="eastAsia"/>
          <w:lang w:eastAsia="ko-KR"/>
        </w:rPr>
        <w:t xml:space="preserve"> UNESCO </w:t>
      </w:r>
      <w:r w:rsidR="0015751A" w:rsidRPr="00FE63A0">
        <w:rPr>
          <w:rFonts w:eastAsia="Malgun Gothic"/>
          <w:lang w:eastAsia="ko-KR"/>
        </w:rPr>
        <w:t>implemented</w:t>
      </w:r>
      <w:r w:rsidR="00316D7D" w:rsidRPr="00FE63A0">
        <w:rPr>
          <w:rFonts w:eastAsia="Malgun Gothic" w:hint="eastAsia"/>
          <w:lang w:eastAsia="ko-KR"/>
        </w:rPr>
        <w:t xml:space="preserve"> single activities financed with the modest funds of UNESCO</w:t>
      </w:r>
      <w:r w:rsidR="00316D7D" w:rsidRPr="00FE63A0">
        <w:rPr>
          <w:rFonts w:eastAsia="Malgun Gothic"/>
          <w:lang w:eastAsia="ko-KR"/>
        </w:rPr>
        <w:t>’</w:t>
      </w:r>
      <w:r w:rsidR="00316D7D" w:rsidRPr="00FE63A0">
        <w:rPr>
          <w:rFonts w:eastAsia="Malgun Gothic" w:hint="eastAsia"/>
          <w:lang w:eastAsia="ko-KR"/>
        </w:rPr>
        <w:t xml:space="preserve">s Regular Programme (either needs assessments, specific policy support or a </w:t>
      </w:r>
      <w:r w:rsidR="001A4F0B">
        <w:rPr>
          <w:rFonts w:eastAsia="Malgun Gothic" w:hint="eastAsia"/>
          <w:lang w:eastAsia="ko-KR"/>
        </w:rPr>
        <w:t>training workshop).</w:t>
      </w:r>
    </w:p>
    <w:p w14:paraId="602A42C7" w14:textId="61B811E3" w:rsidR="00D95013" w:rsidRPr="00713040" w:rsidRDefault="00F554E9" w:rsidP="00713040">
      <w:pPr>
        <w:pStyle w:val="COMPara"/>
        <w:ind w:left="567" w:hanging="567"/>
        <w:jc w:val="both"/>
      </w:pPr>
      <w:r w:rsidRPr="00FE63A0">
        <w:lastRenderedPageBreak/>
        <w:t>One of the recent achievements is the completion of in-depth needs assessments in ten countries</w:t>
      </w:r>
      <w:r>
        <w:t>,</w:t>
      </w:r>
      <w:r w:rsidRPr="00713040">
        <w:t xml:space="preserve"> which constitute a sound basis for decision-making about future strategy and policy choices in the field of intangible cultural heritage. </w:t>
      </w:r>
      <w:r w:rsidR="00D95013" w:rsidRPr="00713040">
        <w:t xml:space="preserve">In particular, a dedicated multi-year needs assessment project was completed in seven countries in Africa and the Arab Region (Comoros, Djibouti, Egypt, Madagascar, Palestine, South Sudan and Sudan) with funding from the UNESCO/Abu Dhabi Tourism and </w:t>
      </w:r>
      <w:r w:rsidR="00366F10">
        <w:t xml:space="preserve">the </w:t>
      </w:r>
      <w:r w:rsidR="00D95013" w:rsidRPr="00713040">
        <w:t xml:space="preserve">Culture Authority Funds-in-Trust, and </w:t>
      </w:r>
      <w:r w:rsidR="00483C0A">
        <w:t>involving</w:t>
      </w:r>
      <w:r w:rsidR="00D95013" w:rsidRPr="00713040">
        <w:t xml:space="preserve"> close cooperation between the Intangible Cultural Heritage Section, </w:t>
      </w:r>
      <w:r w:rsidR="00316D7D">
        <w:rPr>
          <w:rFonts w:eastAsia="Malgun Gothic" w:hint="eastAsia"/>
          <w:lang w:eastAsia="ko-KR"/>
        </w:rPr>
        <w:t xml:space="preserve">national counterparts and </w:t>
      </w:r>
      <w:r w:rsidR="00D95013" w:rsidRPr="00713040">
        <w:t xml:space="preserve">colleagues from UNESCO </w:t>
      </w:r>
      <w:r w:rsidR="00C504D5">
        <w:t>Field O</w:t>
      </w:r>
      <w:r w:rsidR="00D95013" w:rsidRPr="00713040">
        <w:t xml:space="preserve">ffices. </w:t>
      </w:r>
      <w:r w:rsidR="00316D7D" w:rsidRPr="00512888">
        <w:t xml:space="preserve">Proposals for multi-year projects were elaborated, duly tailored to countries’ specific needs and contexts. Another achievement is the completion of a project in five Portuguese-speaking African countries (Angola, Cabo Verde, Guinea-Bissau, Mozambique, Sao Tome and Principe) financed with an earmarked contribution from the Kingdom of Norway to the Intangible Cultural Heritage Fund. An evaluation showed that significant progress has been made in the areas of mobilizing all stakeholders, developing the institutional infrastructure required for safeguarding, conducting community-based inventorying and facilitating collaboration among the project countries. However, the project also brought to the fore that more support is required to strengthen capacities in the areas of elaborating safeguarding plans and </w:t>
      </w:r>
      <w:r w:rsidR="00366F10">
        <w:t>to develop</w:t>
      </w:r>
      <w:r w:rsidR="00316D7D" w:rsidRPr="00512888">
        <w:t xml:space="preserve"> policies and legislation across multiple sectors as well as in the context of national development strategies.</w:t>
      </w:r>
    </w:p>
    <w:p w14:paraId="5050AC0D" w14:textId="7ED5EAB0" w:rsidR="00D95013" w:rsidRDefault="00D95013" w:rsidP="00D95013">
      <w:pPr>
        <w:pStyle w:val="COMPara"/>
        <w:ind w:left="567" w:hanging="567"/>
        <w:jc w:val="both"/>
      </w:pPr>
      <w:r>
        <w:t xml:space="preserve">An innovation for strengthening the network of facilitators in charge of delivering training and advisory services under the capacity-building programme was </w:t>
      </w:r>
      <w:r w:rsidR="00483C0A">
        <w:t xml:space="preserve">achieved through </w:t>
      </w:r>
      <w:r>
        <w:t xml:space="preserve">the development and dissemination of an on-line tutorial on the use of the materials for a training workshop on elaborating safeguarding plans. The Secretariat furthermore produced a cross-regional analysis of 73 facilitators’ reports to consolidate their perspectives on programme implementation and their recommendations for further programme development. </w:t>
      </w:r>
      <w:r w:rsidR="00483C0A">
        <w:t xml:space="preserve">Lastly, network </w:t>
      </w:r>
      <w:r>
        <w:t xml:space="preserve">members contributed to the development and testing of the tools required for </w:t>
      </w:r>
      <w:r w:rsidRPr="00ED111F">
        <w:rPr>
          <w:rStyle w:val="hps"/>
        </w:rPr>
        <w:t>pilot</w:t>
      </w:r>
      <w:r>
        <w:rPr>
          <w:rStyle w:val="hps"/>
        </w:rPr>
        <w:t>ing</w:t>
      </w:r>
      <w:r w:rsidRPr="00ED111F">
        <w:rPr>
          <w:rStyle w:val="hps"/>
        </w:rPr>
        <w:t xml:space="preserve"> a tracer study to find out what difference individuals’ participation in the capacity-building programme has made to their engagement in intangible cultural heritage and what they recommend to further improve the programme.</w:t>
      </w:r>
    </w:p>
    <w:p w14:paraId="404E8C5F" w14:textId="5216A4F7" w:rsidR="00950085" w:rsidRDefault="00D95013" w:rsidP="00950085">
      <w:pPr>
        <w:pStyle w:val="COMPara"/>
        <w:ind w:left="567" w:hanging="567"/>
        <w:jc w:val="both"/>
      </w:pPr>
      <w:r>
        <w:t>The capacity-building curriculum is continually reviewed and adapted in order ‘to ensure that it responds to the major implementation challenges at the national level’ (</w:t>
      </w:r>
      <w:hyperlink r:id="rId15" w:history="1">
        <w:r w:rsidRPr="00E52226">
          <w:rPr>
            <w:rStyle w:val="Hyperlink"/>
            <w:rFonts w:cs="Arial"/>
          </w:rPr>
          <w:t>Decision</w:t>
        </w:r>
        <w:r w:rsidR="00B35A9A">
          <w:rPr>
            <w:rStyle w:val="Hyperlink"/>
            <w:rFonts w:cs="Arial"/>
          </w:rPr>
          <w:t> </w:t>
        </w:r>
        <w:r w:rsidRPr="00E52226">
          <w:rPr>
            <w:rStyle w:val="Hyperlink"/>
            <w:rFonts w:cs="Arial"/>
          </w:rPr>
          <w:t>8.COM</w:t>
        </w:r>
        <w:r w:rsidR="00B35A9A">
          <w:rPr>
            <w:rStyle w:val="Hyperlink"/>
            <w:rFonts w:cs="Arial"/>
          </w:rPr>
          <w:t> </w:t>
        </w:r>
        <w:r w:rsidRPr="00E52226">
          <w:rPr>
            <w:rStyle w:val="Hyperlink"/>
            <w:rFonts w:cs="Arial"/>
          </w:rPr>
          <w:t>5.c.1</w:t>
        </w:r>
      </w:hyperlink>
      <w:r>
        <w:t xml:space="preserve">). This entailed, for instance, updating all curriculum materials to reflect </w:t>
      </w:r>
      <w:r w:rsidR="00483C0A">
        <w:t xml:space="preserve">the </w:t>
      </w:r>
      <w:r>
        <w:t>decisions of the Committee and General Assembly. Over the reporting period, new training materials were developed on policy development for intangible cultural heritage, while materials on elaborating nominations were revised and enlarged with thematic units on the effects of inscription and on periodic reporting concerning inscribed elements.</w:t>
      </w:r>
    </w:p>
    <w:p w14:paraId="683D385D" w14:textId="6D931A5D" w:rsidR="003C0109" w:rsidRDefault="004F5F19" w:rsidP="0090435C">
      <w:pPr>
        <w:pStyle w:val="COMPara"/>
        <w:ind w:left="567" w:hanging="567"/>
        <w:jc w:val="both"/>
      </w:pPr>
      <w:r>
        <w:t xml:space="preserve">Moreover, </w:t>
      </w:r>
      <w:r w:rsidR="00950085">
        <w:t>i</w:t>
      </w:r>
      <w:r w:rsidR="00DA209F" w:rsidRPr="00DA209F">
        <w:t>n view of supporting category 2 centres</w:t>
      </w:r>
      <w:r>
        <w:t>, the Secretariat organized for the fourth time an</w:t>
      </w:r>
      <w:r w:rsidR="00DA209F">
        <w:t xml:space="preserve"> annual coordination meeting in June 2016 at UNESCO Headquarters</w:t>
      </w:r>
      <w:r w:rsidR="00483C0A">
        <w:t>.</w:t>
      </w:r>
      <w:r>
        <w:t xml:space="preserve"> </w:t>
      </w:r>
      <w:r w:rsidR="00483C0A">
        <w:t xml:space="preserve">This </w:t>
      </w:r>
      <w:r w:rsidR="00DA209F">
        <w:t xml:space="preserve">provided a good opportunity to </w:t>
      </w:r>
      <w:r>
        <w:t xml:space="preserve">exchange information on </w:t>
      </w:r>
      <w:r w:rsidR="00DA209F">
        <w:t xml:space="preserve">recent developments in the life of the Convention </w:t>
      </w:r>
      <w:r>
        <w:t xml:space="preserve">and </w:t>
      </w:r>
      <w:r w:rsidR="00DA209F">
        <w:t xml:space="preserve">to discuss new perspectives </w:t>
      </w:r>
      <w:r>
        <w:t xml:space="preserve">for </w:t>
      </w:r>
      <w:r w:rsidR="00DA209F">
        <w:t xml:space="preserve">fields of cooperation and future synergies amongst the centres as well as between UNESCO and the centres. </w:t>
      </w:r>
      <w:r>
        <w:t xml:space="preserve">During the reporting period, the </w:t>
      </w:r>
      <w:r w:rsidR="00DA209F">
        <w:t xml:space="preserve">Secretariat </w:t>
      </w:r>
      <w:r>
        <w:t xml:space="preserve">continued working </w:t>
      </w:r>
      <w:r w:rsidR="00DA209F">
        <w:t xml:space="preserve">on the evaluation and renewal process of a number of </w:t>
      </w:r>
      <w:r w:rsidR="005A71D1">
        <w:t>c</w:t>
      </w:r>
      <w:r w:rsidR="00DA209F">
        <w:t xml:space="preserve">entres, in particular </w:t>
      </w:r>
      <w:r w:rsidR="00584854">
        <w:t>for t</w:t>
      </w:r>
      <w:r w:rsidR="00DA209F">
        <w:t xml:space="preserve">he </w:t>
      </w:r>
      <w:r w:rsidR="00DA209F" w:rsidRPr="00F41D50">
        <w:t>International Information and Networking Centre for Intangible Cultural Heritage in the Asia</w:t>
      </w:r>
      <w:r w:rsidR="00DA209F">
        <w:noBreakHyphen/>
      </w:r>
      <w:r w:rsidR="00DA209F" w:rsidRPr="00F41D50">
        <w:t>Pacific Region (ICHCAP)</w:t>
      </w:r>
      <w:r w:rsidR="00E52226">
        <w:t xml:space="preserve"> </w:t>
      </w:r>
      <w:r w:rsidR="00584854">
        <w:t>in the</w:t>
      </w:r>
      <w:r w:rsidR="00DA209F" w:rsidRPr="00F41D50">
        <w:t xml:space="preserve"> </w:t>
      </w:r>
      <w:r w:rsidR="00DA209F" w:rsidRPr="00AE39A8">
        <w:t xml:space="preserve">Republic of Korea </w:t>
      </w:r>
      <w:r w:rsidR="00584854">
        <w:t>(</w:t>
      </w:r>
      <w:r w:rsidR="00DA209F" w:rsidRPr="00AE39A8">
        <w:t>completed</w:t>
      </w:r>
      <w:r w:rsidR="00584854">
        <w:t>)</w:t>
      </w:r>
      <w:r w:rsidR="00DA209F">
        <w:t xml:space="preserve">; the </w:t>
      </w:r>
      <w:r w:rsidR="00DA209F" w:rsidRPr="007C173B">
        <w:t>International Research Centre for Intangible Cultural Heritage in the Asia-Pacific Region (IRCI), Japan</w:t>
      </w:r>
      <w:r w:rsidR="00584854">
        <w:t xml:space="preserve"> (ongoing)</w:t>
      </w:r>
      <w:r w:rsidR="00DA209F">
        <w:t xml:space="preserve"> </w:t>
      </w:r>
      <w:r w:rsidR="00584854">
        <w:t xml:space="preserve">and </w:t>
      </w:r>
      <w:r w:rsidR="00DA209F">
        <w:t xml:space="preserve">for the </w:t>
      </w:r>
      <w:r w:rsidR="00DA209F" w:rsidRPr="002A2A19">
        <w:t>International Training Centre for Intangible Cultural Heritage in the Asia and the Pacific Region, China</w:t>
      </w:r>
      <w:r w:rsidR="00584854">
        <w:t xml:space="preserve"> (ongoing)</w:t>
      </w:r>
      <w:r w:rsidR="00DA209F" w:rsidRPr="00AE39A8">
        <w:t>.</w:t>
      </w:r>
    </w:p>
    <w:p w14:paraId="0FA8478B" w14:textId="3FC60D07" w:rsidR="00950085" w:rsidRDefault="00FD4531" w:rsidP="00950085">
      <w:pPr>
        <w:pStyle w:val="COMPara"/>
        <w:ind w:left="567" w:hanging="567"/>
        <w:jc w:val="both"/>
      </w:pPr>
      <w:r>
        <w:rPr>
          <w:iCs/>
        </w:rPr>
        <w:t>In the field of monitoring and evaluation, t</w:t>
      </w:r>
      <w:r w:rsidR="006A0781">
        <w:rPr>
          <w:iCs/>
        </w:rPr>
        <w:t xml:space="preserve">he Secretariat started </w:t>
      </w:r>
      <w:r w:rsidR="00483C0A">
        <w:rPr>
          <w:iCs/>
        </w:rPr>
        <w:t>to develop</w:t>
      </w:r>
      <w:r w:rsidR="00950085">
        <w:rPr>
          <w:iCs/>
        </w:rPr>
        <w:t xml:space="preserve"> a</w:t>
      </w:r>
      <w:r w:rsidR="00950085" w:rsidRPr="00696A00">
        <w:rPr>
          <w:iCs/>
        </w:rPr>
        <w:t>n overall results framework for the Convention</w:t>
      </w:r>
      <w:r w:rsidR="00483C0A">
        <w:rPr>
          <w:iCs/>
        </w:rPr>
        <w:t>,</w:t>
      </w:r>
      <w:r w:rsidR="004304DD">
        <w:rPr>
          <w:iCs/>
        </w:rPr>
        <w:t xml:space="preserve"> </w:t>
      </w:r>
      <w:r w:rsidR="004304DD">
        <w:t>against which accomplishments and challenges</w:t>
      </w:r>
      <w:r w:rsidR="00AF45C9">
        <w:t xml:space="preserve"> </w:t>
      </w:r>
      <w:r w:rsidR="00DF517F">
        <w:t>with regard to the Convention’s implementa</w:t>
      </w:r>
      <w:r w:rsidR="00AF45C9">
        <w:t>t</w:t>
      </w:r>
      <w:r w:rsidR="00DF517F">
        <w:t>ion</w:t>
      </w:r>
      <w:r w:rsidR="004304DD">
        <w:t xml:space="preserve"> could be compared</w:t>
      </w:r>
      <w:r w:rsidR="004304DD">
        <w:rPr>
          <w:iCs/>
        </w:rPr>
        <w:t xml:space="preserve">. This initiative </w:t>
      </w:r>
      <w:r w:rsidR="00DF517F">
        <w:rPr>
          <w:iCs/>
        </w:rPr>
        <w:t xml:space="preserve">is a response to one of </w:t>
      </w:r>
      <w:r w:rsidR="006A0781">
        <w:rPr>
          <w:iCs/>
        </w:rPr>
        <w:t>the request</w:t>
      </w:r>
      <w:r w:rsidR="00DF517F">
        <w:rPr>
          <w:iCs/>
        </w:rPr>
        <w:t>s</w:t>
      </w:r>
      <w:r w:rsidR="006A0781">
        <w:rPr>
          <w:iCs/>
        </w:rPr>
        <w:t xml:space="preserve"> from the 2013 IOS evaluation </w:t>
      </w:r>
      <w:r w:rsidR="004304DD">
        <w:rPr>
          <w:iCs/>
        </w:rPr>
        <w:t>which was endorsed</w:t>
      </w:r>
      <w:r w:rsidR="006A0781">
        <w:rPr>
          <w:iCs/>
        </w:rPr>
        <w:t xml:space="preserve"> by the Committee. Th</w:t>
      </w:r>
      <w:r w:rsidR="004304DD">
        <w:rPr>
          <w:iCs/>
        </w:rPr>
        <w:t>e</w:t>
      </w:r>
      <w:r w:rsidR="006A0781">
        <w:rPr>
          <w:iCs/>
        </w:rPr>
        <w:t xml:space="preserve"> </w:t>
      </w:r>
      <w:r w:rsidR="004304DD">
        <w:rPr>
          <w:iCs/>
        </w:rPr>
        <w:t xml:space="preserve">activities during the reporting period </w:t>
      </w:r>
      <w:r w:rsidR="006A0781">
        <w:rPr>
          <w:iCs/>
        </w:rPr>
        <w:t xml:space="preserve">included the </w:t>
      </w:r>
      <w:r w:rsidR="004304DD">
        <w:rPr>
          <w:iCs/>
        </w:rPr>
        <w:t xml:space="preserve">preparation and </w:t>
      </w:r>
      <w:r w:rsidR="006A0781" w:rsidRPr="0090435C">
        <w:t>organization of a category VI meeting of experts which</w:t>
      </w:r>
      <w:r w:rsidR="005A5B74" w:rsidRPr="0090435C">
        <w:t xml:space="preserve"> took place from 7 to 9 September 2016,</w:t>
      </w:r>
      <w:r w:rsidR="006A0781" w:rsidRPr="0090435C">
        <w:t xml:space="preserve"> </w:t>
      </w:r>
      <w:r w:rsidR="006A0781" w:rsidRPr="009427FC">
        <w:t>generously funded and hosted by the National Commission of the People’s Republic of China for UNESCO</w:t>
      </w:r>
      <w:r w:rsidR="00950085">
        <w:t>.</w:t>
      </w:r>
      <w:r w:rsidR="00B350D5">
        <w:t xml:space="preserve"> </w:t>
      </w:r>
      <w:r w:rsidR="00A46FE5">
        <w:t xml:space="preserve">The </w:t>
      </w:r>
      <w:r w:rsidR="00A46FE5">
        <w:lastRenderedPageBreak/>
        <w:t xml:space="preserve">meeting laid an important ground for </w:t>
      </w:r>
      <w:r w:rsidR="00DF517F">
        <w:t xml:space="preserve">reflections </w:t>
      </w:r>
      <w:r w:rsidR="00A46FE5">
        <w:t xml:space="preserve">on the overall goals of the Convention and </w:t>
      </w:r>
      <w:r w:rsidR="00DF517F">
        <w:t xml:space="preserve">ways </w:t>
      </w:r>
      <w:r w:rsidR="00483C0A">
        <w:t xml:space="preserve">to demonstrate </w:t>
      </w:r>
      <w:r w:rsidR="00A46FE5">
        <w:t xml:space="preserve">how the desired results are achieved. </w:t>
      </w:r>
      <w:r w:rsidR="00950085">
        <w:t>The results of the expert meeting</w:t>
      </w:r>
      <w:r w:rsidR="00A46FE5">
        <w:t xml:space="preserve"> </w:t>
      </w:r>
      <w:r w:rsidR="00950085">
        <w:t xml:space="preserve">are presented under Item 14 of the agenda of the present session of the Committee (see </w:t>
      </w:r>
      <w:r w:rsidR="00950085" w:rsidRPr="002232C8">
        <w:rPr>
          <w:iCs/>
        </w:rPr>
        <w:t xml:space="preserve">Document </w:t>
      </w:r>
      <w:hyperlink r:id="rId16" w:history="1">
        <w:r w:rsidR="00950085" w:rsidRPr="002232C8">
          <w:rPr>
            <w:rStyle w:val="Hyperlink"/>
            <w:rFonts w:cs="Arial"/>
            <w:iCs/>
          </w:rPr>
          <w:t>ITH/16/11.COM/14</w:t>
        </w:r>
      </w:hyperlink>
      <w:r w:rsidR="00950085" w:rsidRPr="00020182">
        <w:rPr>
          <w:iCs/>
        </w:rPr>
        <w:t>)</w:t>
      </w:r>
      <w:r w:rsidR="00950085">
        <w:t>.</w:t>
      </w:r>
    </w:p>
    <w:p w14:paraId="45CD475C" w14:textId="5ADD6F3F" w:rsidR="00ED6936" w:rsidRDefault="00F15F32" w:rsidP="00950085">
      <w:pPr>
        <w:pStyle w:val="COMPara"/>
        <w:ind w:left="567" w:hanging="567"/>
        <w:jc w:val="both"/>
      </w:pPr>
      <w:r>
        <w:t>Finally, t</w:t>
      </w:r>
      <w:r w:rsidR="00ED6936">
        <w:t xml:space="preserve">he first semester of 2016 </w:t>
      </w:r>
      <w:r w:rsidR="00CD393A">
        <w:t>showed</w:t>
      </w:r>
      <w:r w:rsidR="00ED6936">
        <w:t xml:space="preserve"> a steady increase in the number of States Parties to the Convention, in particular from Africa, with the following Member States ratifying the Convention: </w:t>
      </w:r>
      <w:r w:rsidR="00ED6936" w:rsidRPr="00077DA4">
        <w:t>Cabo Verde, Cook Islands, Ghana, Guinea-Bissau, Ireland, Saint Kitts and Nevis, and Thailand</w:t>
      </w:r>
      <w:r w:rsidR="00ED6936">
        <w:t xml:space="preserve">. Moreover, </w:t>
      </w:r>
      <w:r w:rsidR="00ED6936" w:rsidRPr="0050473C">
        <w:t xml:space="preserve">an extension of </w:t>
      </w:r>
      <w:r w:rsidR="00DF517F">
        <w:t xml:space="preserve">the </w:t>
      </w:r>
      <w:r w:rsidR="00ED6936" w:rsidRPr="0050473C">
        <w:t xml:space="preserve">territorial application of the Convention </w:t>
      </w:r>
      <w:r w:rsidR="00DF517F">
        <w:t>was</w:t>
      </w:r>
      <w:r w:rsidR="00ED6936" w:rsidRPr="0050473C">
        <w:t xml:space="preserve"> made by the Netherlands </w:t>
      </w:r>
      <w:r w:rsidR="00625B9F">
        <w:t>for Curaç</w:t>
      </w:r>
      <w:r w:rsidR="00ED6936" w:rsidRPr="0050473C">
        <w:t>ao</w:t>
      </w:r>
      <w:r w:rsidR="00ED6936">
        <w:t xml:space="preserve">. </w:t>
      </w:r>
      <w:r w:rsidR="00ED6936" w:rsidRPr="00F41D50">
        <w:t xml:space="preserve">At the time of writing, the total number of </w:t>
      </w:r>
      <w:r w:rsidR="00ED6936">
        <w:t>States Parties</w:t>
      </w:r>
      <w:r w:rsidR="00ED6936" w:rsidRPr="00F41D50">
        <w:t xml:space="preserve"> has </w:t>
      </w:r>
      <w:r w:rsidR="00ED6936" w:rsidRPr="00961F80">
        <w:t xml:space="preserve">reached </w:t>
      </w:r>
      <w:r w:rsidR="00ED6936" w:rsidRPr="003C0109">
        <w:t xml:space="preserve">170. </w:t>
      </w:r>
      <w:r w:rsidR="00ED6936">
        <w:t xml:space="preserve">Three of </w:t>
      </w:r>
      <w:r w:rsidR="00DF517F">
        <w:t xml:space="preserve">the new States Parties benefitted </w:t>
      </w:r>
      <w:r w:rsidR="00ED6936">
        <w:t>from capacity-building activities before ratifying the Convention</w:t>
      </w:r>
      <w:r w:rsidR="00ED6936" w:rsidRPr="00961F80">
        <w:t>.</w:t>
      </w:r>
    </w:p>
    <w:p w14:paraId="3A716A53" w14:textId="77777777" w:rsidR="007F4607" w:rsidRPr="00E653FF" w:rsidRDefault="007F4607" w:rsidP="009427FC">
      <w:pPr>
        <w:pStyle w:val="COMPara"/>
        <w:numPr>
          <w:ilvl w:val="0"/>
          <w:numId w:val="0"/>
        </w:numPr>
        <w:spacing w:before="240"/>
        <w:jc w:val="both"/>
        <w:rPr>
          <w:b/>
        </w:rPr>
      </w:pPr>
      <w:r w:rsidRPr="00E653FF">
        <w:rPr>
          <w:b/>
        </w:rPr>
        <w:t>Overall challenges encountered in implementation and remedial actions</w:t>
      </w:r>
    </w:p>
    <w:p w14:paraId="51DFE9C3" w14:textId="22FE3B11" w:rsidR="009B303D" w:rsidRDefault="00DA209F">
      <w:pPr>
        <w:pStyle w:val="COMPara"/>
        <w:ind w:left="567" w:hanging="567"/>
        <w:jc w:val="both"/>
      </w:pPr>
      <w:r>
        <w:t xml:space="preserve">Overall, the Secretariat continued to concentrate its efforts around two pillars: </w:t>
      </w:r>
      <w:r w:rsidR="008A1948">
        <w:t xml:space="preserve">(i) </w:t>
      </w:r>
      <w:r>
        <w:t xml:space="preserve">support for the governance of the Convention (in particular the organization of </w:t>
      </w:r>
      <w:r w:rsidR="00CD393A">
        <w:t xml:space="preserve">the </w:t>
      </w:r>
      <w:r>
        <w:t>General Assembly,</w:t>
      </w:r>
      <w:r w:rsidR="00811294">
        <w:t xml:space="preserve"> the Intergovernmental Committee </w:t>
      </w:r>
      <w:r w:rsidR="008A1948">
        <w:t xml:space="preserve">and its Bureau as well as </w:t>
      </w:r>
      <w:r w:rsidR="00811294">
        <w:t xml:space="preserve">the </w:t>
      </w:r>
      <w:r>
        <w:t xml:space="preserve">Evaluation Body) and the treatment of nominations, requests and reports submitted through statutory mechanisms, </w:t>
      </w:r>
      <w:r w:rsidR="008A1948">
        <w:t xml:space="preserve">and (ii) </w:t>
      </w:r>
      <w:r>
        <w:t xml:space="preserve">the </w:t>
      </w:r>
      <w:r w:rsidR="008A1948">
        <w:t xml:space="preserve">expansion of </w:t>
      </w:r>
      <w:r w:rsidR="00E556B0">
        <w:t xml:space="preserve">the </w:t>
      </w:r>
      <w:r>
        <w:t>geographical and programmatic scope of its capacity-building strategy.</w:t>
      </w:r>
      <w:r w:rsidR="00633A04">
        <w:t xml:space="preserve"> </w:t>
      </w:r>
      <w:r w:rsidR="009B303D">
        <w:t>In addition, the development of an overall results framework for the Convention has started to encourage the Secretariat to reflect in a more coordinated way on the purposes of various mechanisms of the Convention, their impact on the ground and how better to serve the various stakeholders.</w:t>
      </w:r>
    </w:p>
    <w:p w14:paraId="70A185CE" w14:textId="29C386A8" w:rsidR="009B303D" w:rsidRDefault="00E556B0" w:rsidP="009B303D">
      <w:pPr>
        <w:pStyle w:val="COMPara"/>
        <w:ind w:left="567" w:hanging="567"/>
        <w:jc w:val="both"/>
      </w:pPr>
      <w:r w:rsidRPr="009427FC">
        <w:t xml:space="preserve">It is also important to stress that </w:t>
      </w:r>
      <w:r>
        <w:t xml:space="preserve">the work of the Secretariat nowadays takes place in a setting that asks </w:t>
      </w:r>
      <w:r w:rsidRPr="009427FC">
        <w:t xml:space="preserve">for a clear and operational demonstration </w:t>
      </w:r>
      <w:r w:rsidR="00CD393A" w:rsidRPr="009427FC">
        <w:t>o</w:t>
      </w:r>
      <w:r w:rsidR="00CD393A">
        <w:t>f</w:t>
      </w:r>
      <w:r w:rsidR="00CD393A" w:rsidRPr="009427FC">
        <w:t xml:space="preserve"> </w:t>
      </w:r>
      <w:r w:rsidRPr="009427FC">
        <w:t xml:space="preserve">the role that intangible cultural heritage can play in achieving sustainable and human development as well as in contributing to long-lasting peace. </w:t>
      </w:r>
      <w:r>
        <w:t xml:space="preserve">Considering the complexity of the issues and </w:t>
      </w:r>
      <w:r w:rsidRPr="009427FC">
        <w:t xml:space="preserve">the recent adoption of the new </w:t>
      </w:r>
      <w:r w:rsidR="00850186">
        <w:t>c</w:t>
      </w:r>
      <w:r w:rsidRPr="009427FC">
        <w:t>hapter in the Operational Directives</w:t>
      </w:r>
      <w:r>
        <w:t xml:space="preserve"> on the subject</w:t>
      </w:r>
      <w:r w:rsidRPr="009427FC">
        <w:t xml:space="preserve">, the Secretariat </w:t>
      </w:r>
      <w:r>
        <w:t xml:space="preserve">is aware that States Parties may welcome </w:t>
      </w:r>
      <w:r w:rsidRPr="009427FC">
        <w:t xml:space="preserve">further </w:t>
      </w:r>
      <w:r>
        <w:t xml:space="preserve">information, for instance in the form of case studies, </w:t>
      </w:r>
      <w:r w:rsidRPr="009427FC">
        <w:t xml:space="preserve">on how to operationally link </w:t>
      </w:r>
      <w:r w:rsidR="00CD393A">
        <w:t xml:space="preserve">the </w:t>
      </w:r>
      <w:r w:rsidRPr="009427FC">
        <w:t>safeguarding of living heritage and sustainable development.</w:t>
      </w:r>
      <w:r w:rsidR="003D46CA">
        <w:t xml:space="preserve"> Efforts are also being made to identify programmatic </w:t>
      </w:r>
      <w:r w:rsidR="007241E0">
        <w:t>entry points</w:t>
      </w:r>
      <w:r w:rsidR="003D46CA">
        <w:t xml:space="preserve"> with specific indicators of the 2030</w:t>
      </w:r>
      <w:r w:rsidR="00BB6E41">
        <w:t xml:space="preserve"> Sustainable Development Goals.</w:t>
      </w:r>
    </w:p>
    <w:p w14:paraId="58AFBB07" w14:textId="6F31EC1D" w:rsidR="00E33B04" w:rsidRPr="009427FC" w:rsidRDefault="00ED1DCE" w:rsidP="009B303D">
      <w:pPr>
        <w:pStyle w:val="COMPara"/>
        <w:ind w:left="567" w:hanging="567"/>
        <w:jc w:val="both"/>
      </w:pPr>
      <w:r>
        <w:t>Despite all efforts</w:t>
      </w:r>
      <w:r w:rsidR="009B303D">
        <w:t xml:space="preserve">, the fixed statutory landmarks on the calendar </w:t>
      </w:r>
      <w:r>
        <w:t xml:space="preserve">and heavy workload associated with it means that the Secretariat is not able to </w:t>
      </w:r>
      <w:r w:rsidR="00CD393A">
        <w:t xml:space="preserve">give </w:t>
      </w:r>
      <w:r w:rsidR="009B303D">
        <w:t xml:space="preserve">sufficient attention </w:t>
      </w:r>
      <w:r>
        <w:t xml:space="preserve">to a number of issues. A case in point is </w:t>
      </w:r>
      <w:r w:rsidR="009B303D">
        <w:t xml:space="preserve">the creation of tools alternative to the Register of Best Safeguarding Practices for sharing safeguarding experiences, further consolidation of </w:t>
      </w:r>
      <w:r w:rsidR="00CD393A">
        <w:t xml:space="preserve">the </w:t>
      </w:r>
      <w:r w:rsidR="009B303D">
        <w:t xml:space="preserve">network of facilitators involved in the capacity-building programme, and </w:t>
      </w:r>
      <w:r w:rsidR="00CD393A">
        <w:t xml:space="preserve">the enhancement of </w:t>
      </w:r>
      <w:r w:rsidR="009B303D">
        <w:t>cooperation with organizations within and outside the United Nations system.</w:t>
      </w:r>
    </w:p>
    <w:p w14:paraId="68A6CE7D" w14:textId="6A2C952C" w:rsidR="00937AD9" w:rsidRPr="009427FC" w:rsidRDefault="004D4E48">
      <w:pPr>
        <w:pStyle w:val="COMPara"/>
        <w:ind w:left="567" w:hanging="567"/>
        <w:jc w:val="both"/>
      </w:pPr>
      <w:r w:rsidRPr="009427FC">
        <w:t xml:space="preserve">In the same vein, </w:t>
      </w:r>
      <w:r>
        <w:t xml:space="preserve">at a time </w:t>
      </w:r>
      <w:r w:rsidR="00CD393A">
        <w:t xml:space="preserve">when </w:t>
      </w:r>
      <w:r>
        <w:t xml:space="preserve">emergency situations </w:t>
      </w:r>
      <w:r w:rsidR="00086CCD">
        <w:t>continue to be</w:t>
      </w:r>
      <w:r>
        <w:t xml:space="preserve"> prominent, UNESCO is called upon to protect cultural heritage which in some cases is </w:t>
      </w:r>
      <w:r w:rsidR="00FF6C82">
        <w:t>an object</w:t>
      </w:r>
      <w:r w:rsidR="00086CCD">
        <w:t xml:space="preserve"> of deliberate target</w:t>
      </w:r>
      <w:r w:rsidR="00FF6C82">
        <w:t>ing</w:t>
      </w:r>
      <w:r>
        <w:t xml:space="preserve">. </w:t>
      </w:r>
      <w:r w:rsidR="0087386D">
        <w:t>Over the past months</w:t>
      </w:r>
      <w:r w:rsidR="00086CCD">
        <w:t>,</w:t>
      </w:r>
      <w:r w:rsidR="0087386D">
        <w:t xml:space="preserve"> the Secretariat has been </w:t>
      </w:r>
      <w:r w:rsidR="00D14A95">
        <w:t>increasingly</w:t>
      </w:r>
      <w:r w:rsidR="0087386D">
        <w:t xml:space="preserve"> </w:t>
      </w:r>
      <w:r w:rsidR="00086CCD">
        <w:t xml:space="preserve">solicited </w:t>
      </w:r>
      <w:r w:rsidR="0087386D">
        <w:t xml:space="preserve">to </w:t>
      </w:r>
      <w:r w:rsidR="006E6956">
        <w:rPr>
          <w:rFonts w:eastAsia="Malgun Gothic" w:hint="eastAsia"/>
          <w:lang w:eastAsia="ko-KR"/>
        </w:rPr>
        <w:t xml:space="preserve">contribute </w:t>
      </w:r>
      <w:r w:rsidR="0087386D">
        <w:t>to UNESCO’s global response to such situations. In this context and f</w:t>
      </w:r>
      <w:r>
        <w:t xml:space="preserve">ollowing the adoption of the </w:t>
      </w:r>
      <w:r w:rsidR="00D57519">
        <w:t>s</w:t>
      </w:r>
      <w:r w:rsidRPr="009427FC">
        <w:rPr>
          <w:lang w:val="en-US"/>
        </w:rPr>
        <w:t>trategy for reinforcing UNESCO’s action for the protection of culture and the promotion of cultural pluralism in the event of armed conflict</w:t>
      </w:r>
      <w:r w:rsidRPr="004D4E48">
        <w:t xml:space="preserve"> by the</w:t>
      </w:r>
      <w:r w:rsidR="00912894">
        <w:rPr>
          <w:rFonts w:eastAsia="Malgun Gothic" w:hint="eastAsia"/>
          <w:lang w:eastAsia="ko-KR"/>
        </w:rPr>
        <w:t xml:space="preserve"> 38th session of UNESCO</w:t>
      </w:r>
      <w:r w:rsidR="00912894">
        <w:rPr>
          <w:rFonts w:eastAsia="Malgun Gothic"/>
          <w:lang w:eastAsia="ko-KR"/>
        </w:rPr>
        <w:t>’</w:t>
      </w:r>
      <w:r w:rsidR="00912894">
        <w:rPr>
          <w:rFonts w:eastAsia="Malgun Gothic" w:hint="eastAsia"/>
          <w:lang w:eastAsia="ko-KR"/>
        </w:rPr>
        <w:t>s</w:t>
      </w:r>
      <w:r w:rsidRPr="004D4E48">
        <w:t xml:space="preserve"> General Conference</w:t>
      </w:r>
      <w:r w:rsidR="00523303">
        <w:t xml:space="preserve"> in November 2015</w:t>
      </w:r>
      <w:r w:rsidRPr="004D4E48">
        <w:t xml:space="preserve">, </w:t>
      </w:r>
      <w:r w:rsidR="005261AD">
        <w:t xml:space="preserve">an in-depth reflection is clearly needed </w:t>
      </w:r>
      <w:r w:rsidR="0087386D">
        <w:t xml:space="preserve">on the role of the 2003 Convention and </w:t>
      </w:r>
      <w:r w:rsidR="005261AD">
        <w:t xml:space="preserve">UNESCO’s possible actions in emergency situations. The debate of the Committee under Item 15 </w:t>
      </w:r>
      <w:r w:rsidR="00D66F5D">
        <w:t>of the agenda of the present session</w:t>
      </w:r>
      <w:r w:rsidR="00CD393A">
        <w:t xml:space="preserve"> </w:t>
      </w:r>
      <w:r w:rsidR="005261AD">
        <w:t xml:space="preserve">will provide the opportunity to open up the discussion </w:t>
      </w:r>
      <w:r w:rsidR="005261AD" w:rsidRPr="005261AD">
        <w:t>on this matter</w:t>
      </w:r>
      <w:r w:rsidR="00B24E6A">
        <w:t xml:space="preserve"> (see </w:t>
      </w:r>
      <w:r w:rsidR="00B24E6A" w:rsidRPr="002232C8">
        <w:t>Document </w:t>
      </w:r>
      <w:hyperlink r:id="rId17" w:history="1">
        <w:r w:rsidR="00B24E6A" w:rsidRPr="002232C8">
          <w:rPr>
            <w:rStyle w:val="Hyperlink"/>
            <w:rFonts w:cs="Arial"/>
          </w:rPr>
          <w:t>ITH/16/11.COM/15</w:t>
        </w:r>
      </w:hyperlink>
      <w:r w:rsidR="00B24E6A" w:rsidRPr="005261AD">
        <w:t>)</w:t>
      </w:r>
      <w:r w:rsidR="005261AD" w:rsidRPr="005261AD">
        <w:t>.</w:t>
      </w:r>
    </w:p>
    <w:p w14:paraId="5BD58BC2" w14:textId="243E5865" w:rsidR="00632C1B" w:rsidRDefault="00632C1B" w:rsidP="0032331B">
      <w:pPr>
        <w:pStyle w:val="COMPara"/>
        <w:ind w:left="567" w:hanging="567"/>
        <w:jc w:val="both"/>
      </w:pPr>
      <w:r>
        <w:t xml:space="preserve">Regarding financial resources, it should be recalled that </w:t>
      </w:r>
      <w:r w:rsidR="001716F4">
        <w:t xml:space="preserve">a large part (65%) of </w:t>
      </w:r>
      <w:r>
        <w:t>t</w:t>
      </w:r>
      <w:r w:rsidRPr="00E653FF">
        <w:t xml:space="preserve">he Regular Programme </w:t>
      </w:r>
      <w:r>
        <w:t xml:space="preserve">budget </w:t>
      </w:r>
      <w:r w:rsidRPr="00E653FF">
        <w:t xml:space="preserve">of the biennium </w:t>
      </w:r>
      <w:r w:rsidR="00E556B0">
        <w:t xml:space="preserve">for the Intangible Cultural Heritage Section </w:t>
      </w:r>
      <w:r>
        <w:t xml:space="preserve">is </w:t>
      </w:r>
      <w:r w:rsidRPr="00E653FF">
        <w:t>dedicated to cover</w:t>
      </w:r>
      <w:r w:rsidR="00CD393A">
        <w:t>ing</w:t>
      </w:r>
      <w:r w:rsidRPr="00E653FF">
        <w:t xml:space="preserve"> the costs of the statutory requirements of the Convention, </w:t>
      </w:r>
      <w:r>
        <w:t xml:space="preserve">which </w:t>
      </w:r>
      <w:r w:rsidR="00FF6C82">
        <w:t>are</w:t>
      </w:r>
      <w:r>
        <w:t xml:space="preserve"> considered ‘incompressible’ expenses. In this context and i</w:t>
      </w:r>
      <w:r w:rsidR="00041D15" w:rsidRPr="00F41D50">
        <w:t xml:space="preserve">n line with the Organization’s policy of strictly aligning the Regular Programme and the Complementary Additional Programme, the Secretariat’s resource mobilization efforts concentrate essentially on extending the reach and </w:t>
      </w:r>
      <w:r w:rsidR="00041D15" w:rsidRPr="00F41D50">
        <w:lastRenderedPageBreak/>
        <w:t xml:space="preserve">effectiveness of the global </w:t>
      </w:r>
      <w:r w:rsidR="008123A6">
        <w:t xml:space="preserve">capacity-building </w:t>
      </w:r>
      <w:r w:rsidR="00041D15" w:rsidRPr="00F41D50">
        <w:t>strategy.</w:t>
      </w:r>
      <w:r w:rsidR="008409E5" w:rsidRPr="00F41D50">
        <w:t xml:space="preserve"> </w:t>
      </w:r>
      <w:r w:rsidR="008409E5">
        <w:t xml:space="preserve">To this end, </w:t>
      </w:r>
      <w:r w:rsidR="008409E5" w:rsidRPr="00F41D50">
        <w:t xml:space="preserve">the Secretariat developed a </w:t>
      </w:r>
      <w:hyperlink r:id="rId18" w:history="1">
        <w:r w:rsidR="008409E5" w:rsidRPr="001B305C">
          <w:rPr>
            <w:rStyle w:val="Hyperlink"/>
          </w:rPr>
          <w:t>Concept Note</w:t>
        </w:r>
      </w:hyperlink>
      <w:r w:rsidR="008409E5" w:rsidRPr="00F41D50">
        <w:t xml:space="preserve"> for the 2014</w:t>
      </w:r>
      <w:r w:rsidR="008409E5">
        <w:t>–</w:t>
      </w:r>
      <w:r w:rsidR="008409E5" w:rsidRPr="00F41D50">
        <w:t>2017 Complementary Additional Programme</w:t>
      </w:r>
      <w:r w:rsidR="00CD393A">
        <w:t>,</w:t>
      </w:r>
      <w:r w:rsidR="008409E5" w:rsidRPr="00F41D50">
        <w:t xml:space="preserve"> </w:t>
      </w:r>
      <w:r w:rsidR="008409E5">
        <w:t>‘</w:t>
      </w:r>
      <w:r w:rsidR="008409E5" w:rsidRPr="00F41D50">
        <w:t>Strengthening capacities to safeguard intangible cultural heritage for sustainable development</w:t>
      </w:r>
      <w:r w:rsidR="008409E5">
        <w:t>’,</w:t>
      </w:r>
      <w:r w:rsidR="008409E5" w:rsidRPr="00F41D50">
        <w:t xml:space="preserve"> </w:t>
      </w:r>
      <w:r w:rsidR="008409E5">
        <w:t>which was approved by the Committee at its ninth session in November 2014 (</w:t>
      </w:r>
      <w:hyperlink r:id="rId19" w:history="1">
        <w:r w:rsidR="008409E5" w:rsidRPr="00637F3F">
          <w:rPr>
            <w:rStyle w:val="Hyperlink"/>
            <w:rFonts w:cs="Arial"/>
          </w:rPr>
          <w:t>Decision 9.COM 7</w:t>
        </w:r>
      </w:hyperlink>
      <w:r w:rsidR="008409E5">
        <w:t>)</w:t>
      </w:r>
      <w:r w:rsidR="00CD393A">
        <w:t>. The purpose was</w:t>
      </w:r>
      <w:r w:rsidR="008409E5">
        <w:t xml:space="preserve"> t</w:t>
      </w:r>
      <w:r w:rsidR="008409E5" w:rsidRPr="00F41D50">
        <w:t>o inform donors of the funding requirements of the global capacity-building programme</w:t>
      </w:r>
      <w:r w:rsidR="008409E5">
        <w:t xml:space="preserve">. </w:t>
      </w:r>
      <w:r>
        <w:t>Unfortunately, d</w:t>
      </w:r>
      <w:r w:rsidRPr="00F41D50">
        <w:t xml:space="preserve">uring the reporting period, </w:t>
      </w:r>
      <w:r>
        <w:t xml:space="preserve">no further resources could be mobilized and some of the long-standing contributors </w:t>
      </w:r>
      <w:r w:rsidR="00CD393A">
        <w:t xml:space="preserve">did </w:t>
      </w:r>
      <w:r>
        <w:t>not renew their engagement</w:t>
      </w:r>
      <w:r w:rsidRPr="00F41D50">
        <w:t>.</w:t>
      </w:r>
      <w:r>
        <w:t xml:space="preserve"> </w:t>
      </w:r>
      <w:r w:rsidR="008409E5">
        <w:t>This situation is most critical since s</w:t>
      </w:r>
      <w:r w:rsidR="008409E5" w:rsidRPr="00F41D50">
        <w:t>upplementary voluntary contributions to the Intangible Cultural Heritage Fund and Funds-in-Trust contributions are essential to the success of capacity-building effort</w:t>
      </w:r>
      <w:r w:rsidR="008409E5">
        <w:t>s</w:t>
      </w:r>
      <w:r w:rsidR="00A5241E">
        <w:t>; the Secretariat hereby renews its earnest call to urge potential donors to contribute in favour of the 2003 Convention.</w:t>
      </w:r>
    </w:p>
    <w:p w14:paraId="2A5F6D57" w14:textId="6946CB54" w:rsidR="00632C1B" w:rsidRDefault="00C01E78" w:rsidP="008409E5">
      <w:pPr>
        <w:pStyle w:val="COMPara"/>
        <w:ind w:left="567" w:hanging="567"/>
        <w:jc w:val="both"/>
      </w:pPr>
      <w:r>
        <w:t>T</w:t>
      </w:r>
      <w:r w:rsidR="00632C1B">
        <w:t>he situation concerning the human resources of the Secretariat</w:t>
      </w:r>
      <w:r>
        <w:t xml:space="preserve"> continues to be a source of concern</w:t>
      </w:r>
      <w:r w:rsidR="00632C1B">
        <w:t xml:space="preserve">. Since the Regular Programme resources are not sufficient, </w:t>
      </w:r>
      <w:r w:rsidR="00632C1B" w:rsidRPr="00E653FF">
        <w:t>the Intangible Cultural Heritage Fund</w:t>
      </w:r>
      <w:r w:rsidR="00632C1B">
        <w:t xml:space="preserve"> </w:t>
      </w:r>
      <w:r>
        <w:t>has to be</w:t>
      </w:r>
      <w:r w:rsidR="00632C1B" w:rsidRPr="00E653FF">
        <w:t xml:space="preserve"> </w:t>
      </w:r>
      <w:r w:rsidR="00632C1B">
        <w:t xml:space="preserve">used </w:t>
      </w:r>
      <w:r w:rsidR="00632C1B" w:rsidRPr="00E653FF">
        <w:t xml:space="preserve">to provide support for the implementation of the Convention and to give the work of the Committee greater outreach in terms of impact and visibility. </w:t>
      </w:r>
      <w:r w:rsidR="00632C1B">
        <w:t>However, th</w:t>
      </w:r>
      <w:r w:rsidR="00632C1B" w:rsidRPr="00E653FF">
        <w:t xml:space="preserve">e mismatch between available human resources and the steady increase in workload and expectations on the part of States Parties remains </w:t>
      </w:r>
      <w:r>
        <w:t>a major</w:t>
      </w:r>
      <w:r w:rsidR="00632C1B" w:rsidRPr="00E653FF">
        <w:t xml:space="preserve"> challenge</w:t>
      </w:r>
      <w:r w:rsidR="00632C1B">
        <w:t xml:space="preserve">. </w:t>
      </w:r>
      <w:r w:rsidR="003B42AE">
        <w:t>It must be noted, with regret, that</w:t>
      </w:r>
      <w:r w:rsidR="00632C1B">
        <w:t xml:space="preserve"> the implementation rate of the </w:t>
      </w:r>
      <w:r w:rsidR="00E71F61">
        <w:t xml:space="preserve">Intangible Cultural Heritage </w:t>
      </w:r>
      <w:r w:rsidR="00632C1B">
        <w:t xml:space="preserve">Funds continues to be very </w:t>
      </w:r>
      <w:r w:rsidR="00E71F61">
        <w:t xml:space="preserve">low. </w:t>
      </w:r>
      <w:r w:rsidR="00414680">
        <w:t xml:space="preserve">The increase of the ceiling of requests that can be examined by the </w:t>
      </w:r>
      <w:r w:rsidR="00B35A9A">
        <w:t>B</w:t>
      </w:r>
      <w:r w:rsidR="00414680">
        <w:t xml:space="preserve">ureau from US$25,000 to US$100,000 may lead in </w:t>
      </w:r>
      <w:r w:rsidR="00DA149F">
        <w:t xml:space="preserve">the </w:t>
      </w:r>
      <w:r w:rsidR="00414680">
        <w:t>near future to a higher number of requests</w:t>
      </w:r>
      <w:r w:rsidR="002B32CE">
        <w:t xml:space="preserve"> for the attention of the Bureau</w:t>
      </w:r>
      <w:r w:rsidR="00414680">
        <w:t>, and by consequence to a better implementation of the Funds.</w:t>
      </w:r>
      <w:r w:rsidR="00E71F61">
        <w:t xml:space="preserve"> At the same time, a </w:t>
      </w:r>
      <w:r w:rsidR="00D575BF">
        <w:t>definite</w:t>
      </w:r>
      <w:r w:rsidR="00D575BF" w:rsidRPr="009427FC">
        <w:t xml:space="preserve"> </w:t>
      </w:r>
      <w:r w:rsidR="00EB1798" w:rsidRPr="009427FC">
        <w:t xml:space="preserve">increase in the workload of the Secretariat </w:t>
      </w:r>
      <w:r w:rsidR="00D575BF">
        <w:t>will</w:t>
      </w:r>
      <w:r w:rsidR="00D575BF" w:rsidRPr="009427FC">
        <w:t xml:space="preserve"> </w:t>
      </w:r>
      <w:r w:rsidR="00EB1798" w:rsidRPr="009427FC">
        <w:t>be expected</w:t>
      </w:r>
      <w:r w:rsidR="00EB1798">
        <w:t xml:space="preserve"> due to </w:t>
      </w:r>
      <w:r w:rsidR="00414680">
        <w:t>this new possibility</w:t>
      </w:r>
      <w:r w:rsidR="00E71F61">
        <w:t xml:space="preserve"> (see </w:t>
      </w:r>
      <w:r w:rsidR="00E52226" w:rsidRPr="002232C8">
        <w:t>D</w:t>
      </w:r>
      <w:r w:rsidR="00E71F61" w:rsidRPr="002232C8">
        <w:t xml:space="preserve">ocument </w:t>
      </w:r>
      <w:hyperlink r:id="rId20" w:history="1">
        <w:r w:rsidR="00E52226" w:rsidRPr="002232C8">
          <w:rPr>
            <w:rStyle w:val="Hyperlink"/>
            <w:rFonts w:cs="Arial"/>
          </w:rPr>
          <w:t>ITH/16/</w:t>
        </w:r>
        <w:r w:rsidR="00E71F61" w:rsidRPr="002232C8">
          <w:rPr>
            <w:rStyle w:val="Hyperlink"/>
            <w:rFonts w:cs="Arial"/>
          </w:rPr>
          <w:t>11.COM/9.c</w:t>
        </w:r>
      </w:hyperlink>
      <w:r w:rsidR="00E71F61">
        <w:t>)</w:t>
      </w:r>
      <w:r w:rsidR="00414680">
        <w:t xml:space="preserve">, which may not be absorbed </w:t>
      </w:r>
      <w:r w:rsidR="002B32CE">
        <w:t xml:space="preserve">easily </w:t>
      </w:r>
      <w:r w:rsidR="00414680">
        <w:t xml:space="preserve">with the current </w:t>
      </w:r>
      <w:r w:rsidR="00D575BF">
        <w:t xml:space="preserve">structure </w:t>
      </w:r>
      <w:r w:rsidR="00414680">
        <w:t>of the Section</w:t>
      </w:r>
      <w:r w:rsidR="00632C1B" w:rsidRPr="00D14A95">
        <w:t xml:space="preserve">. </w:t>
      </w:r>
      <w:r w:rsidR="00E71F61">
        <w:t>A</w:t>
      </w:r>
      <w:r w:rsidR="00632C1B" w:rsidRPr="00D14A95">
        <w:t xml:space="preserve"> creative</w:t>
      </w:r>
      <w:r w:rsidR="00632C1B">
        <w:t xml:space="preserve"> solution must be sought to address the issue </w:t>
      </w:r>
      <w:r w:rsidR="00D14A95">
        <w:t xml:space="preserve">of </w:t>
      </w:r>
      <w:r w:rsidR="00632C1B">
        <w:t xml:space="preserve">personnel </w:t>
      </w:r>
      <w:r w:rsidR="002F47A3">
        <w:t>so that the Secretariat will be able to give an enhanced attentio</w:t>
      </w:r>
      <w:r w:rsidR="00FF6BC2">
        <w:t>n to the administration of the International A</w:t>
      </w:r>
      <w:r w:rsidR="002F47A3">
        <w:t xml:space="preserve">ssistance </w:t>
      </w:r>
      <w:r w:rsidR="00B06A32">
        <w:t>mechanism</w:t>
      </w:r>
      <w:r w:rsidR="002F47A3">
        <w:t xml:space="preserve"> and the monitoring of </w:t>
      </w:r>
      <w:r w:rsidR="00B06A32">
        <w:t>the projects that benefit from the Intangible Cultural Heritage Fund.</w:t>
      </w:r>
    </w:p>
    <w:p w14:paraId="568E93BB" w14:textId="0B446E2B" w:rsidR="00E653FF" w:rsidRPr="00EF79B4" w:rsidRDefault="007F4607" w:rsidP="00543205">
      <w:pPr>
        <w:pStyle w:val="COMPara"/>
        <w:keepNext/>
        <w:numPr>
          <w:ilvl w:val="0"/>
          <w:numId w:val="5"/>
        </w:numPr>
        <w:spacing w:before="360"/>
        <w:ind w:left="567" w:hanging="567"/>
        <w:jc w:val="both"/>
        <w:rPr>
          <w:b/>
        </w:rPr>
      </w:pPr>
      <w:r w:rsidRPr="00E653FF">
        <w:rPr>
          <w:b/>
        </w:rPr>
        <w:t>Assessment</w:t>
      </w:r>
      <w:r w:rsidRPr="00E653FF">
        <w:rPr>
          <w:b/>
          <w:lang w:val="en-US"/>
        </w:rPr>
        <w:t xml:space="preserve"> by </w:t>
      </w:r>
      <w:r w:rsidR="008C3958">
        <w:rPr>
          <w:b/>
          <w:lang w:val="en-US"/>
        </w:rPr>
        <w:t>P</w:t>
      </w:r>
      <w:r w:rsidR="00DA6240" w:rsidRPr="00E653FF">
        <w:rPr>
          <w:b/>
          <w:lang w:val="en-US"/>
        </w:rPr>
        <w:t>erformance Indicator</w:t>
      </w:r>
    </w:p>
    <w:p w14:paraId="56E1EAD8" w14:textId="5B4320A4" w:rsidR="00FE63A0" w:rsidRDefault="00FE63A0" w:rsidP="00FE63A0">
      <w:pPr>
        <w:pStyle w:val="COMPara"/>
        <w:ind w:left="567" w:hanging="567"/>
        <w:jc w:val="both"/>
      </w:pPr>
      <w:r w:rsidRPr="00F41D50">
        <w:t xml:space="preserve">The </w:t>
      </w:r>
      <w:r>
        <w:t xml:space="preserve">report </w:t>
      </w:r>
      <w:r w:rsidRPr="00F41D50">
        <w:t xml:space="preserve">seeks to reflect the extent of the Secretariat’s work based on </w:t>
      </w:r>
      <w:r>
        <w:t xml:space="preserve">the </w:t>
      </w:r>
      <w:r w:rsidRPr="00224E80">
        <w:t>38 C/5</w:t>
      </w:r>
      <w:r>
        <w:t xml:space="preserve"> results framework</w:t>
      </w:r>
      <w:r w:rsidRPr="00224E80">
        <w:t xml:space="preserve"> </w:t>
      </w:r>
      <w:r w:rsidRPr="00700B9E">
        <w:t>and</w:t>
      </w:r>
      <w:r>
        <w:t>,</w:t>
      </w:r>
      <w:r w:rsidRPr="00700B9E">
        <w:t xml:space="preserve"> more specifically, the performance indicators of Expected Result 5 within Major</w:t>
      </w:r>
      <w:r w:rsidRPr="00F41D50">
        <w:t xml:space="preserve"> Programme IV: National capacities strengthened and utilised to safeguard </w:t>
      </w:r>
      <w:r>
        <w:t xml:space="preserve">the </w:t>
      </w:r>
      <w:r w:rsidRPr="00F41D50">
        <w:t>intangible cultural heritage, including indigenous and endangered languages, through the effective implementation of the 2003 Convention</w:t>
      </w:r>
      <w:r w:rsidRPr="00033546">
        <w:t xml:space="preserve">. </w:t>
      </w:r>
      <w:r>
        <w:t>The five performance indicators are cited below as approved by the General Conference at its 38th session</w:t>
      </w:r>
      <w:r w:rsidR="00295CA8">
        <w:t>:</w:t>
      </w:r>
    </w:p>
    <w:p w14:paraId="33FB4DCA" w14:textId="3948162F" w:rsidR="00FE63A0" w:rsidRDefault="00FE63A0" w:rsidP="00FE63A0">
      <w:pPr>
        <w:pStyle w:val="COMPara"/>
        <w:numPr>
          <w:ilvl w:val="0"/>
          <w:numId w:val="0"/>
        </w:numPr>
        <w:ind w:left="1418" w:hanging="851"/>
      </w:pPr>
      <w:r>
        <w:t>PI 1</w:t>
      </w:r>
      <w:r>
        <w:tab/>
      </w:r>
      <w:r w:rsidR="00EC02A1">
        <w:t>G</w:t>
      </w:r>
      <w:r w:rsidRPr="0003224C">
        <w:t xml:space="preserve">overning bodies of the 2003 Convention exercise sound governance thanks to </w:t>
      </w:r>
      <w:r>
        <w:t xml:space="preserve">the </w:t>
      </w:r>
      <w:r w:rsidRPr="0003224C">
        <w:t>effective organization of their statutory meetings</w:t>
      </w:r>
    </w:p>
    <w:p w14:paraId="4AE418BF" w14:textId="1D87E46A" w:rsidR="00FE63A0" w:rsidRDefault="00FE63A0" w:rsidP="00FE63A0">
      <w:pPr>
        <w:pStyle w:val="COMPara"/>
        <w:numPr>
          <w:ilvl w:val="0"/>
          <w:numId w:val="0"/>
        </w:numPr>
        <w:ind w:left="1418" w:hanging="851"/>
      </w:pPr>
      <w:r>
        <w:t>PI 2</w:t>
      </w:r>
      <w:r>
        <w:tab/>
      </w:r>
      <w:r w:rsidR="00EC02A1">
        <w:t>N</w:t>
      </w:r>
      <w:r w:rsidRPr="0003224C">
        <w:t xml:space="preserve">umber of supported Member States utilizing strengthened human and institutional resources for intangible cultural heritage and integrating </w:t>
      </w:r>
      <w:r>
        <w:t>intangible cultural heritage</w:t>
      </w:r>
      <w:r w:rsidRPr="0003224C">
        <w:t xml:space="preserve"> into national policies</w:t>
      </w:r>
    </w:p>
    <w:p w14:paraId="2B96337A" w14:textId="01527A19" w:rsidR="00FE63A0" w:rsidRDefault="00FE63A0" w:rsidP="00FE63A0">
      <w:pPr>
        <w:pStyle w:val="COMPara"/>
        <w:numPr>
          <w:ilvl w:val="0"/>
          <w:numId w:val="0"/>
        </w:numPr>
        <w:ind w:left="1418" w:hanging="851"/>
      </w:pPr>
      <w:r>
        <w:t>PI 3</w:t>
      </w:r>
      <w:r>
        <w:tab/>
      </w:r>
      <w:r w:rsidR="00EC02A1">
        <w:t>N</w:t>
      </w:r>
      <w:r w:rsidRPr="00700B9E">
        <w:t xml:space="preserve">umber of periodic reports on the implementation of the Convention at the national levels submitted by States Parties and examined by </w:t>
      </w:r>
      <w:r>
        <w:t xml:space="preserve">the </w:t>
      </w:r>
      <w:r w:rsidRPr="00700B9E">
        <w:t xml:space="preserve">Committee, and </w:t>
      </w:r>
      <w:r>
        <w:t xml:space="preserve">the </w:t>
      </w:r>
      <w:r w:rsidRPr="00700B9E">
        <w:t>number addressing gender issues and describing policies promoting equal access to and participation in cultural life</w:t>
      </w:r>
    </w:p>
    <w:p w14:paraId="3C418BDD" w14:textId="5422BE6A" w:rsidR="00FE63A0" w:rsidRPr="00700B9E" w:rsidRDefault="00FE63A0" w:rsidP="00FE63A0">
      <w:pPr>
        <w:pStyle w:val="COMPara"/>
        <w:numPr>
          <w:ilvl w:val="0"/>
          <w:numId w:val="0"/>
        </w:numPr>
        <w:ind w:left="567"/>
      </w:pPr>
      <w:r w:rsidRPr="00700B9E">
        <w:t>PI 4</w:t>
      </w:r>
      <w:r w:rsidRPr="00700B9E">
        <w:tab/>
      </w:r>
      <w:r w:rsidR="00EC02A1">
        <w:t>N</w:t>
      </w:r>
      <w:r w:rsidRPr="00700B9E">
        <w:t>umber of States Parties to the Convention increased</w:t>
      </w:r>
    </w:p>
    <w:p w14:paraId="399F6E22" w14:textId="53EFBE3A" w:rsidR="00FE63A0" w:rsidRDefault="00FE63A0" w:rsidP="00FE63A0">
      <w:pPr>
        <w:pStyle w:val="COMPara"/>
        <w:numPr>
          <w:ilvl w:val="0"/>
          <w:numId w:val="0"/>
        </w:numPr>
        <w:ind w:left="1418" w:hanging="851"/>
      </w:pPr>
      <w:r w:rsidRPr="00700B9E">
        <w:t>PI 5</w:t>
      </w:r>
      <w:r w:rsidRPr="00700B9E">
        <w:tab/>
      </w:r>
      <w:r w:rsidR="00EC02A1">
        <w:t>N</w:t>
      </w:r>
      <w:r w:rsidRPr="00700B9E">
        <w:t>umber of organizations</w:t>
      </w:r>
      <w:r>
        <w:t xml:space="preserve"> </w:t>
      </w:r>
      <w:r w:rsidRPr="00700B9E">
        <w:t>within and outside the</w:t>
      </w:r>
      <w:r>
        <w:t xml:space="preserve"> </w:t>
      </w:r>
      <w:r w:rsidRPr="00700B9E">
        <w:t>United Nations system, civil</w:t>
      </w:r>
      <w:r>
        <w:t xml:space="preserve"> </w:t>
      </w:r>
      <w:r w:rsidRPr="00700B9E">
        <w:t>society, and the private sector</w:t>
      </w:r>
      <w:r>
        <w:t xml:space="preserve"> </w:t>
      </w:r>
      <w:r w:rsidRPr="00700B9E">
        <w:t>contributing to programme</w:t>
      </w:r>
      <w:r>
        <w:t xml:space="preserve"> </w:t>
      </w:r>
      <w:r w:rsidRPr="00700B9E">
        <w:t>delivery</w:t>
      </w:r>
    </w:p>
    <w:p w14:paraId="3450E7D1" w14:textId="0DFBDA22" w:rsidR="00FE63A0" w:rsidRDefault="00FE63A0" w:rsidP="00FE63A0">
      <w:pPr>
        <w:pStyle w:val="COMPara"/>
        <w:ind w:left="567" w:hanging="567"/>
        <w:jc w:val="both"/>
      </w:pPr>
      <w:r>
        <w:t xml:space="preserve">At the same time, the report takes into account </w:t>
      </w:r>
      <w:r w:rsidRPr="00D90D46">
        <w:t xml:space="preserve">the results framework that was approved by the Bureau </w:t>
      </w:r>
      <w:r>
        <w:t>of the Committee of the 2003 Convention concerning</w:t>
      </w:r>
      <w:r w:rsidRPr="00D90D46">
        <w:t xml:space="preserve"> the Secretariat’s utilization of the funds made available from the Intangible Cultural Heritage Fund for ‘other functions of the Committee’ </w:t>
      </w:r>
      <w:r w:rsidRPr="00696A00">
        <w:t>for the period 1 January 2016 to 31 December </w:t>
      </w:r>
      <w:r w:rsidRPr="004E10BA">
        <w:t>2017 (</w:t>
      </w:r>
      <w:hyperlink r:id="rId21" w:history="1">
        <w:r w:rsidRPr="00543205">
          <w:rPr>
            <w:rStyle w:val="Hyperlink"/>
            <w:rFonts w:cs="Arial"/>
          </w:rPr>
          <w:t>Decision 11.COM</w:t>
        </w:r>
        <w:r>
          <w:rPr>
            <w:rStyle w:val="Hyperlink"/>
            <w:rFonts w:cs="Arial"/>
          </w:rPr>
          <w:t> </w:t>
        </w:r>
        <w:r w:rsidRPr="00543205">
          <w:rPr>
            <w:rStyle w:val="Hyperlink"/>
            <w:rFonts w:cs="Arial"/>
          </w:rPr>
          <w:t>2.BUR 1</w:t>
        </w:r>
      </w:hyperlink>
      <w:r w:rsidRPr="004E10BA">
        <w:t>). This plan supersedes the plan previously approved by</w:t>
      </w:r>
      <w:r w:rsidRPr="00696A00">
        <w:t xml:space="preserve"> the </w:t>
      </w:r>
      <w:r w:rsidRPr="00696A00">
        <w:lastRenderedPageBreak/>
        <w:t>Bureau in its Decision 9.COM 2.BUR 1</w:t>
      </w:r>
      <w:r>
        <w:t xml:space="preserve"> </w:t>
      </w:r>
      <w:r w:rsidRPr="00D90D46">
        <w:t>for the periods of 1 January 2014 to 31 December 2015 and 1 January to 30 June 2016</w:t>
      </w:r>
      <w:r>
        <w:t xml:space="preserve">, on the basis of the </w:t>
      </w:r>
      <w:r w:rsidRPr="00696A00">
        <w:t xml:space="preserve">Plan for the use of the resources of the Intangible Cultural Heritage Fund and </w:t>
      </w:r>
      <w:r>
        <w:t xml:space="preserve">the </w:t>
      </w:r>
      <w:r w:rsidRPr="00696A00">
        <w:t xml:space="preserve">budget plan adopted by the General Assembly at its sixth </w:t>
      </w:r>
      <w:r w:rsidRPr="004E10BA">
        <w:t>session (</w:t>
      </w:r>
      <w:hyperlink r:id="rId22" w:history="1">
        <w:r w:rsidRPr="007E6BB1">
          <w:rPr>
            <w:rStyle w:val="Hyperlink"/>
            <w:rFonts w:cs="Arial"/>
          </w:rPr>
          <w:t>Resolution 6.GA 9</w:t>
        </w:r>
      </w:hyperlink>
      <w:r w:rsidRPr="004E10BA">
        <w:t>). This structure</w:t>
      </w:r>
      <w:r>
        <w:t xml:space="preserve"> </w:t>
      </w:r>
      <w:r w:rsidRPr="00D90D46">
        <w:t xml:space="preserve">presents a more specific framework for </w:t>
      </w:r>
      <w:r>
        <w:t xml:space="preserve">an </w:t>
      </w:r>
      <w:r w:rsidRPr="00D90D46">
        <w:t>important category of extrabudgetary funds</w:t>
      </w:r>
      <w:r>
        <w:t>:</w:t>
      </w:r>
      <w:r w:rsidRPr="00D90D46">
        <w:t xml:space="preserve"> those devoted to assisting the Committee </w:t>
      </w:r>
      <w:r>
        <w:t>in</w:t>
      </w:r>
      <w:r w:rsidRPr="00D90D46">
        <w:t xml:space="preserve"> fulfil</w:t>
      </w:r>
      <w:r>
        <w:t>ling</w:t>
      </w:r>
      <w:r w:rsidRPr="00D90D46">
        <w:t xml:space="preserve"> its mission.</w:t>
      </w:r>
    </w:p>
    <w:p w14:paraId="0ABD41A1" w14:textId="77777777" w:rsidR="00FE63A0" w:rsidRPr="00BF0E21" w:rsidRDefault="00FE63A0" w:rsidP="00BF0E21">
      <w:pPr>
        <w:pStyle w:val="COMPara"/>
        <w:keepNext/>
        <w:numPr>
          <w:ilvl w:val="0"/>
          <w:numId w:val="0"/>
        </w:numPr>
        <w:spacing w:before="360"/>
        <w:jc w:val="both"/>
        <w:rPr>
          <w:rFonts w:eastAsia="Malgun Gothic"/>
          <w:b/>
          <w:lang w:eastAsia="ko-KR"/>
        </w:rPr>
      </w:pPr>
    </w:p>
    <w:tbl>
      <w:tblPr>
        <w:tblStyle w:val="TableGrid"/>
        <w:tblW w:w="5000" w:type="pct"/>
        <w:tblLook w:val="04A0" w:firstRow="1" w:lastRow="0" w:firstColumn="1" w:lastColumn="0" w:noHBand="0" w:noVBand="1"/>
      </w:tblPr>
      <w:tblGrid>
        <w:gridCol w:w="2341"/>
        <w:gridCol w:w="7513"/>
      </w:tblGrid>
      <w:tr w:rsidR="006F5450" w:rsidRPr="00284E2B" w14:paraId="4A002897" w14:textId="77777777" w:rsidTr="00934608">
        <w:trPr>
          <w:cantSplit/>
        </w:trPr>
        <w:tc>
          <w:tcPr>
            <w:tcW w:w="1188" w:type="pct"/>
            <w:shd w:val="clear" w:color="auto" w:fill="808080" w:themeFill="background1" w:themeFillShade="80"/>
            <w:vAlign w:val="center"/>
          </w:tcPr>
          <w:p w14:paraId="6494A51C" w14:textId="77777777" w:rsidR="006F5450" w:rsidRPr="00696A00" w:rsidRDefault="006F5450" w:rsidP="00934608">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38C/5 Performance Indicator 1</w:t>
            </w:r>
          </w:p>
        </w:tc>
        <w:tc>
          <w:tcPr>
            <w:tcW w:w="3812" w:type="pct"/>
            <w:shd w:val="clear" w:color="auto" w:fill="808080" w:themeFill="background1" w:themeFillShade="80"/>
            <w:vAlign w:val="center"/>
          </w:tcPr>
          <w:p w14:paraId="358F0002" w14:textId="77777777" w:rsidR="006F5450" w:rsidRPr="00696A00" w:rsidRDefault="006F5450" w:rsidP="00934608">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Governing bodies of the 2003 Convention exercise sound governance thanks to effective organization of their statutory meetings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025"/>
        <w:gridCol w:w="1694"/>
      </w:tblGrid>
      <w:tr w:rsidR="001E6E65" w:rsidRPr="00284E2B" w14:paraId="3D0EC44C" w14:textId="77777777" w:rsidTr="00934608">
        <w:trPr>
          <w:tblHeader/>
        </w:trPr>
        <w:tc>
          <w:tcPr>
            <w:tcW w:w="0" w:type="auto"/>
            <w:shd w:val="clear" w:color="auto" w:fill="D9D9D9" w:themeFill="background1" w:themeFillShade="D9"/>
            <w:vAlign w:val="center"/>
          </w:tcPr>
          <w:p w14:paraId="37A8EDF8" w14:textId="77777777" w:rsidR="001E6E65" w:rsidRPr="001C6031" w:rsidRDefault="001E6E65" w:rsidP="00934608">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66BE25FF" w14:textId="77777777" w:rsidR="001E6E65" w:rsidRPr="001C6031" w:rsidRDefault="001E6E65" w:rsidP="00934608">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6</w:t>
            </w:r>
          </w:p>
        </w:tc>
        <w:tc>
          <w:tcPr>
            <w:tcW w:w="1694" w:type="dxa"/>
            <w:shd w:val="clear" w:color="auto" w:fill="D9D9D9" w:themeFill="background1" w:themeFillShade="D9"/>
            <w:vAlign w:val="center"/>
          </w:tcPr>
          <w:p w14:paraId="27C49ED9" w14:textId="77777777" w:rsidR="001E6E65" w:rsidRPr="001C6031" w:rsidRDefault="001E6E65" w:rsidP="00934608">
            <w:pPr>
              <w:pStyle w:val="Default"/>
              <w:jc w:val="center"/>
              <w:rPr>
                <w:rFonts w:eastAsia="Calibri"/>
                <w:b/>
                <w:sz w:val="20"/>
                <w:szCs w:val="20"/>
                <w:lang w:val="en-GB"/>
              </w:rPr>
            </w:pPr>
            <w:r w:rsidRPr="002455C4">
              <w:rPr>
                <w:b/>
                <w:bCs/>
                <w:sz w:val="20"/>
                <w:szCs w:val="20"/>
                <w:lang w:val="en-GB"/>
              </w:rPr>
              <w:t>Likeliho</w:t>
            </w:r>
            <w:r>
              <w:rPr>
                <w:b/>
                <w:bCs/>
                <w:sz w:val="20"/>
                <w:szCs w:val="20"/>
                <w:lang w:val="en-GB"/>
              </w:rPr>
              <w:t>od that target will be attained</w:t>
            </w:r>
          </w:p>
        </w:tc>
      </w:tr>
      <w:tr w:rsidR="001E6E65" w:rsidRPr="001C6031" w14:paraId="50C6E63E" w14:textId="77777777" w:rsidTr="00934608">
        <w:tc>
          <w:tcPr>
            <w:tcW w:w="0" w:type="auto"/>
            <w:shd w:val="clear" w:color="auto" w:fill="auto"/>
          </w:tcPr>
          <w:p w14:paraId="7A8D6CCD" w14:textId="77777777" w:rsidR="001E6E65" w:rsidRDefault="001E6E65" w:rsidP="00934608">
            <w:pPr>
              <w:pStyle w:val="ListParagraph"/>
              <w:numPr>
                <w:ilvl w:val="0"/>
                <w:numId w:val="7"/>
              </w:numPr>
              <w:spacing w:before="60" w:beforeAutospacing="0" w:after="60" w:afterAutospacing="0"/>
              <w:ind w:left="357" w:hanging="357"/>
              <w:rPr>
                <w:rFonts w:ascii="Arial" w:eastAsia="Calibri" w:hAnsi="Arial" w:cs="Arial"/>
                <w:sz w:val="20"/>
                <w:szCs w:val="20"/>
                <w:lang w:val="en-GB"/>
              </w:rPr>
            </w:pPr>
            <w:r w:rsidRPr="00DA6240">
              <w:rPr>
                <w:rFonts w:ascii="Arial" w:hAnsi="Arial" w:cs="Arial"/>
                <w:color w:val="000000"/>
                <w:sz w:val="20"/>
                <w:szCs w:val="20"/>
                <w:lang w:val="en-GB"/>
              </w:rPr>
              <w:t xml:space="preserve">Decisions providing strategic guidance and/or financial support for the </w:t>
            </w:r>
            <w:r w:rsidRPr="00DA6240">
              <w:rPr>
                <w:rFonts w:ascii="Arial" w:eastAsia="Calibri" w:hAnsi="Arial" w:cs="Arial"/>
                <w:sz w:val="20"/>
                <w:szCs w:val="20"/>
                <w:lang w:val="en-GB"/>
              </w:rPr>
              <w:t>implementation of the Convention taken in a dozen statutory meetings</w:t>
            </w:r>
            <w:r>
              <w:rPr>
                <w:rFonts w:ascii="Arial" w:eastAsia="Calibri" w:hAnsi="Arial" w:cs="Arial"/>
                <w:sz w:val="20"/>
                <w:szCs w:val="20"/>
                <w:lang w:val="en-GB"/>
              </w:rPr>
              <w:t>.</w:t>
            </w:r>
          </w:p>
          <w:p w14:paraId="1E93E278" w14:textId="77777777" w:rsidR="001E6E65" w:rsidRDefault="001E6E65" w:rsidP="00934608">
            <w:pPr>
              <w:pStyle w:val="ListParagraph"/>
              <w:numPr>
                <w:ilvl w:val="0"/>
                <w:numId w:val="7"/>
              </w:numPr>
              <w:spacing w:before="60" w:beforeAutospacing="0" w:after="60" w:afterAutospacing="0"/>
              <w:ind w:left="357" w:hanging="357"/>
              <w:rPr>
                <w:rFonts w:ascii="Arial" w:eastAsia="Calibri" w:hAnsi="Arial" w:cs="Arial"/>
                <w:sz w:val="20"/>
                <w:szCs w:val="20"/>
                <w:lang w:val="en-GB"/>
              </w:rPr>
            </w:pPr>
            <w:r w:rsidRPr="00DA6240">
              <w:rPr>
                <w:rFonts w:ascii="Arial" w:eastAsia="Calibri" w:hAnsi="Arial" w:cs="Arial"/>
                <w:sz w:val="20"/>
                <w:szCs w:val="20"/>
                <w:lang w:val="en-GB"/>
              </w:rPr>
              <w:t>100 safeguarding plans for intangible cultural heritage, including indigenous and endangered languages, developed and/or implemented by Member States</w:t>
            </w:r>
            <w:r>
              <w:rPr>
                <w:rFonts w:ascii="Arial" w:eastAsia="Calibri" w:hAnsi="Arial" w:cs="Arial"/>
                <w:sz w:val="20"/>
                <w:szCs w:val="20"/>
                <w:lang w:val="en-GB"/>
              </w:rPr>
              <w:t>.</w:t>
            </w:r>
          </w:p>
          <w:p w14:paraId="2A63E1F3" w14:textId="77777777" w:rsidR="001E6E65" w:rsidRPr="00DA6240" w:rsidRDefault="001E6E65" w:rsidP="00934608">
            <w:pPr>
              <w:pStyle w:val="ListParagraph"/>
              <w:numPr>
                <w:ilvl w:val="0"/>
                <w:numId w:val="7"/>
              </w:numPr>
              <w:spacing w:before="60" w:beforeAutospacing="0" w:after="60" w:afterAutospacing="0"/>
              <w:ind w:left="357" w:hanging="357"/>
              <w:rPr>
                <w:rFonts w:ascii="Arial" w:eastAsia="Calibri" w:hAnsi="Arial" w:cs="Arial"/>
                <w:sz w:val="20"/>
                <w:szCs w:val="20"/>
                <w:lang w:val="en-GB"/>
              </w:rPr>
            </w:pPr>
            <w:r>
              <w:rPr>
                <w:rFonts w:ascii="Arial" w:eastAsia="Calibri" w:hAnsi="Arial" w:cs="Arial"/>
                <w:sz w:val="20"/>
                <w:szCs w:val="20"/>
                <w:lang w:val="en-GB"/>
              </w:rPr>
              <w:t>30 International A</w:t>
            </w:r>
            <w:r w:rsidRPr="00DA6240">
              <w:rPr>
                <w:rFonts w:ascii="Arial" w:eastAsia="Calibri" w:hAnsi="Arial" w:cs="Arial"/>
                <w:sz w:val="20"/>
                <w:szCs w:val="20"/>
                <w:lang w:val="en-GB"/>
              </w:rPr>
              <w:t>ssistance requests submitted and 5 effectively implemented by Member States</w:t>
            </w:r>
            <w:r>
              <w:rPr>
                <w:rFonts w:ascii="Arial" w:eastAsia="Calibri" w:hAnsi="Arial" w:cs="Arial"/>
                <w:sz w:val="20"/>
                <w:szCs w:val="20"/>
                <w:lang w:val="en-GB"/>
              </w:rPr>
              <w:t>;</w:t>
            </w:r>
            <w:r w:rsidRPr="00DA6240">
              <w:rPr>
                <w:rFonts w:ascii="Arial" w:eastAsia="Calibri" w:hAnsi="Arial" w:cs="Arial"/>
                <w:sz w:val="20"/>
                <w:szCs w:val="20"/>
                <w:lang w:val="en-GB"/>
              </w:rPr>
              <w:t xml:space="preserve"> 65 nominations submitted by Member States and processed, out of which one</w:t>
            </w:r>
            <w:r w:rsidRPr="00DA6240">
              <w:rPr>
                <w:rFonts w:ascii="Arial" w:hAnsi="Arial" w:cs="Arial"/>
                <w:color w:val="000000"/>
                <w:sz w:val="20"/>
                <w:szCs w:val="20"/>
                <w:lang w:val="en-GB"/>
              </w:rPr>
              <w:t xml:space="preserve"> best safeguarding practice promoted and disseminated</w:t>
            </w:r>
            <w:r>
              <w:rPr>
                <w:rFonts w:ascii="Arial" w:hAnsi="Arial" w:cs="Arial"/>
                <w:color w:val="000000"/>
                <w:sz w:val="20"/>
                <w:szCs w:val="20"/>
                <w:lang w:val="en-GB"/>
              </w:rPr>
              <w:t>.</w:t>
            </w:r>
          </w:p>
        </w:tc>
        <w:tc>
          <w:tcPr>
            <w:tcW w:w="4025" w:type="dxa"/>
            <w:shd w:val="clear" w:color="auto" w:fill="auto"/>
          </w:tcPr>
          <w:p w14:paraId="54DFDE46" w14:textId="08605908" w:rsidR="001E6E65"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Pr>
                <w:rFonts w:ascii="Arial" w:hAnsi="Arial" w:cs="Arial"/>
                <w:color w:val="000000"/>
                <w:sz w:val="20"/>
                <w:szCs w:val="20"/>
                <w:lang w:val="en-GB"/>
              </w:rPr>
              <w:t>5 statutory meetings held with d</w:t>
            </w:r>
            <w:r w:rsidRPr="00DA6240">
              <w:rPr>
                <w:rFonts w:ascii="Arial" w:hAnsi="Arial" w:cs="Arial"/>
                <w:color w:val="000000"/>
                <w:sz w:val="20"/>
                <w:szCs w:val="20"/>
                <w:lang w:val="en-GB"/>
              </w:rPr>
              <w:t xml:space="preserve">ecisions providing strategic guidance and/or financial support for the </w:t>
            </w:r>
            <w:r w:rsidRPr="006E5D8A">
              <w:rPr>
                <w:rFonts w:ascii="Arial" w:hAnsi="Arial" w:cs="Arial"/>
                <w:color w:val="000000"/>
                <w:sz w:val="20"/>
                <w:szCs w:val="20"/>
                <w:lang w:val="en-GB"/>
              </w:rPr>
              <w:t xml:space="preserve">implementation of the Convention: </w:t>
            </w:r>
            <w:r w:rsidRPr="008F74DE">
              <w:rPr>
                <w:rFonts w:ascii="Arial" w:hAnsi="Arial" w:cs="Arial"/>
                <w:color w:val="000000"/>
                <w:sz w:val="20"/>
                <w:szCs w:val="20"/>
                <w:lang w:val="en-GB"/>
              </w:rPr>
              <w:t>1 General Assembly (30 May to 1 June 201</w:t>
            </w:r>
            <w:r>
              <w:rPr>
                <w:rFonts w:ascii="Arial" w:hAnsi="Arial" w:cs="Arial"/>
                <w:color w:val="000000"/>
                <w:sz w:val="20"/>
                <w:szCs w:val="20"/>
                <w:lang w:val="en-GB"/>
              </w:rPr>
              <w:t>6</w:t>
            </w:r>
            <w:r w:rsidRPr="008F74DE">
              <w:rPr>
                <w:rFonts w:ascii="Arial" w:hAnsi="Arial" w:cs="Arial"/>
                <w:color w:val="000000"/>
                <w:sz w:val="20"/>
                <w:szCs w:val="20"/>
                <w:lang w:val="en-GB"/>
              </w:rPr>
              <w:t>)</w:t>
            </w:r>
            <w:r>
              <w:rPr>
                <w:rFonts w:ascii="Arial" w:hAnsi="Arial" w:cs="Arial"/>
                <w:color w:val="000000"/>
                <w:sz w:val="20"/>
                <w:szCs w:val="20"/>
                <w:lang w:val="en-GB"/>
              </w:rPr>
              <w:t>;</w:t>
            </w:r>
            <w:r w:rsidRPr="008F74DE">
              <w:rPr>
                <w:rFonts w:ascii="Arial" w:hAnsi="Arial" w:cs="Arial"/>
                <w:color w:val="000000"/>
                <w:sz w:val="20"/>
                <w:szCs w:val="20"/>
                <w:lang w:val="en-GB"/>
              </w:rPr>
              <w:t xml:space="preserve"> 2 meetings of the Evaluation Body (</w:t>
            </w:r>
            <w:r w:rsidR="00CE4270">
              <w:rPr>
                <w:rFonts w:ascii="Arial" w:hAnsi="Arial" w:cs="Arial"/>
                <w:color w:val="000000"/>
                <w:sz w:val="20"/>
                <w:szCs w:val="20"/>
                <w:lang w:val="en-GB"/>
              </w:rPr>
              <w:t>10</w:t>
            </w:r>
            <w:r w:rsidRPr="008F74DE">
              <w:rPr>
                <w:rFonts w:ascii="Arial" w:hAnsi="Arial" w:cs="Arial"/>
                <w:color w:val="000000"/>
                <w:sz w:val="20"/>
                <w:szCs w:val="20"/>
                <w:lang w:val="en-GB"/>
              </w:rPr>
              <w:t xml:space="preserve"> to </w:t>
            </w:r>
            <w:r w:rsidR="00CE4270">
              <w:rPr>
                <w:rFonts w:ascii="Arial" w:hAnsi="Arial" w:cs="Arial"/>
                <w:color w:val="000000"/>
                <w:sz w:val="20"/>
                <w:szCs w:val="20"/>
                <w:lang w:val="en-GB"/>
              </w:rPr>
              <w:t>11</w:t>
            </w:r>
            <w:r w:rsidRPr="008F74DE">
              <w:rPr>
                <w:rFonts w:ascii="Arial" w:hAnsi="Arial" w:cs="Arial"/>
                <w:color w:val="000000"/>
                <w:sz w:val="20"/>
                <w:szCs w:val="20"/>
                <w:lang w:val="en-GB"/>
              </w:rPr>
              <w:t xml:space="preserve"> March 201</w:t>
            </w:r>
            <w:r>
              <w:rPr>
                <w:rFonts w:ascii="Arial" w:hAnsi="Arial" w:cs="Arial"/>
                <w:color w:val="000000"/>
                <w:sz w:val="20"/>
                <w:szCs w:val="20"/>
                <w:lang w:val="en-GB"/>
              </w:rPr>
              <w:t>6</w:t>
            </w:r>
            <w:r w:rsidRPr="008F74DE">
              <w:rPr>
                <w:rFonts w:ascii="Arial" w:hAnsi="Arial" w:cs="Arial"/>
                <w:color w:val="000000"/>
                <w:sz w:val="20"/>
                <w:szCs w:val="20"/>
                <w:lang w:val="en-GB"/>
              </w:rPr>
              <w:t xml:space="preserve">; </w:t>
            </w:r>
            <w:r w:rsidR="00CE4270">
              <w:rPr>
                <w:rFonts w:ascii="Arial" w:hAnsi="Arial" w:cs="Arial"/>
                <w:color w:val="000000"/>
                <w:sz w:val="20"/>
                <w:szCs w:val="20"/>
                <w:lang w:val="en-GB"/>
              </w:rPr>
              <w:t>20</w:t>
            </w:r>
            <w:r w:rsidRPr="008F74DE">
              <w:rPr>
                <w:rFonts w:ascii="Arial" w:hAnsi="Arial" w:cs="Arial"/>
                <w:color w:val="000000"/>
                <w:sz w:val="20"/>
                <w:szCs w:val="20"/>
                <w:lang w:val="en-GB"/>
              </w:rPr>
              <w:t xml:space="preserve"> to </w:t>
            </w:r>
            <w:r w:rsidR="00CE4270">
              <w:rPr>
                <w:rFonts w:ascii="Arial" w:hAnsi="Arial" w:cs="Arial"/>
                <w:color w:val="000000"/>
                <w:sz w:val="20"/>
                <w:szCs w:val="20"/>
                <w:lang w:val="en-GB"/>
              </w:rPr>
              <w:t>24</w:t>
            </w:r>
            <w:r w:rsidRPr="008F74DE">
              <w:rPr>
                <w:rFonts w:ascii="Arial" w:hAnsi="Arial" w:cs="Arial"/>
                <w:color w:val="000000"/>
                <w:sz w:val="20"/>
                <w:szCs w:val="20"/>
                <w:lang w:val="en-GB"/>
              </w:rPr>
              <w:t xml:space="preserve"> June 201</w:t>
            </w:r>
            <w:r>
              <w:rPr>
                <w:rFonts w:ascii="Arial" w:hAnsi="Arial" w:cs="Arial"/>
                <w:color w:val="000000"/>
                <w:sz w:val="20"/>
                <w:szCs w:val="20"/>
                <w:lang w:val="en-GB"/>
              </w:rPr>
              <w:t>6</w:t>
            </w:r>
            <w:r w:rsidRPr="008F74DE">
              <w:rPr>
                <w:rFonts w:ascii="Arial" w:hAnsi="Arial" w:cs="Arial"/>
                <w:color w:val="000000"/>
                <w:sz w:val="20"/>
                <w:szCs w:val="20"/>
                <w:lang w:val="en-GB"/>
              </w:rPr>
              <w:t>); 2 electronic consultations of the Bureau of the Committee (21 March to 15 April 2016; 2 to 17 June 2016)</w:t>
            </w:r>
            <w:r>
              <w:rPr>
                <w:rFonts w:ascii="Arial" w:hAnsi="Arial" w:cs="Arial"/>
                <w:color w:val="000000"/>
                <w:sz w:val="20"/>
                <w:szCs w:val="20"/>
                <w:lang w:val="en-GB"/>
              </w:rPr>
              <w:t>.</w:t>
            </w:r>
          </w:p>
          <w:p w14:paraId="2B5F09B5" w14:textId="77777777" w:rsidR="001E6E65" w:rsidRPr="002455C4"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sidRPr="002455C4">
              <w:rPr>
                <w:rFonts w:ascii="Arial" w:hAnsi="Arial" w:cs="Arial"/>
                <w:color w:val="000000"/>
                <w:sz w:val="20"/>
                <w:szCs w:val="20"/>
                <w:lang w:val="en-GB"/>
              </w:rPr>
              <w:t>Plans for the use of the resources of the Fund</w:t>
            </w:r>
            <w:r>
              <w:rPr>
                <w:rFonts w:ascii="Arial" w:hAnsi="Arial" w:cs="Arial"/>
                <w:color w:val="000000"/>
                <w:sz w:val="20"/>
                <w:szCs w:val="20"/>
                <w:lang w:val="en-GB"/>
              </w:rPr>
              <w:t xml:space="preserve"> adopted;</w:t>
            </w:r>
            <w:r w:rsidRPr="002455C4">
              <w:rPr>
                <w:rFonts w:ascii="Arial" w:hAnsi="Arial" w:cs="Arial"/>
                <w:color w:val="000000"/>
                <w:sz w:val="20"/>
                <w:szCs w:val="20"/>
                <w:lang w:val="en-GB"/>
              </w:rPr>
              <w:t xml:space="preserve"> Operational Directives</w:t>
            </w:r>
            <w:r>
              <w:rPr>
                <w:rFonts w:ascii="Arial" w:hAnsi="Arial" w:cs="Arial"/>
                <w:color w:val="000000"/>
                <w:sz w:val="20"/>
                <w:szCs w:val="20"/>
                <w:lang w:val="en-GB"/>
              </w:rPr>
              <w:t xml:space="preserve"> (OD) revised concerning the increase of the ceiling for International Assistance (IA) to be examined by the Bureau; a </w:t>
            </w:r>
            <w:r w:rsidRPr="002455C4">
              <w:rPr>
                <w:rFonts w:ascii="Arial" w:hAnsi="Arial" w:cs="Arial"/>
                <w:color w:val="000000"/>
                <w:sz w:val="20"/>
                <w:szCs w:val="20"/>
                <w:lang w:val="en-GB"/>
              </w:rPr>
              <w:t xml:space="preserve">new </w:t>
            </w:r>
            <w:r>
              <w:rPr>
                <w:rFonts w:ascii="Arial" w:hAnsi="Arial" w:cs="Arial"/>
                <w:color w:val="000000"/>
                <w:sz w:val="20"/>
                <w:szCs w:val="20"/>
                <w:lang w:val="en-GB"/>
              </w:rPr>
              <w:t xml:space="preserve">OD </w:t>
            </w:r>
            <w:r w:rsidRPr="002455C4">
              <w:rPr>
                <w:rFonts w:ascii="Arial" w:hAnsi="Arial" w:cs="Arial"/>
                <w:color w:val="000000"/>
                <w:sz w:val="20"/>
                <w:szCs w:val="20"/>
                <w:lang w:val="en-GB"/>
              </w:rPr>
              <w:t xml:space="preserve">chapter </w:t>
            </w:r>
            <w:r>
              <w:rPr>
                <w:rFonts w:ascii="Arial" w:hAnsi="Arial" w:cs="Arial"/>
                <w:color w:val="000000"/>
                <w:sz w:val="20"/>
                <w:szCs w:val="20"/>
                <w:lang w:val="en-GB"/>
              </w:rPr>
              <w:t xml:space="preserve">adopted </w:t>
            </w:r>
            <w:r w:rsidRPr="002455C4">
              <w:rPr>
                <w:rFonts w:ascii="Arial" w:hAnsi="Arial" w:cs="Arial"/>
                <w:color w:val="000000"/>
                <w:sz w:val="20"/>
                <w:szCs w:val="20"/>
                <w:lang w:val="en-GB"/>
              </w:rPr>
              <w:t>on the safeguarding of intangible cultural heritage and sustainable dev</w:t>
            </w:r>
            <w:r>
              <w:rPr>
                <w:rFonts w:ascii="Arial" w:hAnsi="Arial" w:cs="Arial"/>
                <w:color w:val="000000"/>
                <w:sz w:val="20"/>
                <w:szCs w:val="20"/>
                <w:lang w:val="en-GB"/>
              </w:rPr>
              <w:t>elopment at the national level.</w:t>
            </w:r>
          </w:p>
          <w:p w14:paraId="78043C44" w14:textId="77777777" w:rsidR="001E6E65" w:rsidRPr="00417A2D"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sidRPr="00417A2D">
              <w:rPr>
                <w:rFonts w:ascii="Arial" w:hAnsi="Arial" w:cs="Arial"/>
                <w:color w:val="000000"/>
                <w:sz w:val="20"/>
                <w:szCs w:val="20"/>
                <w:lang w:val="en-GB"/>
              </w:rPr>
              <w:t>44 nominations</w:t>
            </w:r>
            <w:r>
              <w:rPr>
                <w:rFonts w:ascii="Arial" w:hAnsi="Arial" w:cs="Arial"/>
                <w:color w:val="000000"/>
                <w:sz w:val="20"/>
                <w:szCs w:val="20"/>
                <w:lang w:val="en-GB"/>
              </w:rPr>
              <w:t>,</w:t>
            </w:r>
            <w:r w:rsidRPr="00417A2D">
              <w:rPr>
                <w:rFonts w:ascii="Arial" w:hAnsi="Arial" w:cs="Arial"/>
                <w:color w:val="000000"/>
                <w:sz w:val="20"/>
                <w:szCs w:val="20"/>
                <w:lang w:val="en-GB"/>
              </w:rPr>
              <w:t xml:space="preserve"> </w:t>
            </w:r>
            <w:r w:rsidRPr="00417A2D">
              <w:rPr>
                <w:rFonts w:ascii="Arial" w:hAnsi="Arial" w:cs="Arial"/>
                <w:sz w:val="20"/>
                <w:szCs w:val="20"/>
                <w:lang w:val="en-GB"/>
              </w:rPr>
              <w:t xml:space="preserve">4 </w:t>
            </w:r>
            <w:r>
              <w:rPr>
                <w:rFonts w:ascii="Arial" w:hAnsi="Arial" w:cs="Arial"/>
                <w:sz w:val="20"/>
                <w:szCs w:val="20"/>
                <w:lang w:val="en-GB"/>
              </w:rPr>
              <w:t>BSP</w:t>
            </w:r>
            <w:r>
              <w:rPr>
                <w:rFonts w:ascii="Arial" w:hAnsi="Arial" w:cs="Arial"/>
                <w:color w:val="000000"/>
                <w:sz w:val="20"/>
                <w:szCs w:val="20"/>
                <w:lang w:val="en-GB"/>
              </w:rPr>
              <w:t>, and 4 International A</w:t>
            </w:r>
            <w:r w:rsidRPr="00DE3235">
              <w:rPr>
                <w:rFonts w:ascii="Arial" w:hAnsi="Arial" w:cs="Arial"/>
                <w:color w:val="000000"/>
                <w:sz w:val="20"/>
                <w:szCs w:val="20"/>
                <w:lang w:val="en-GB"/>
              </w:rPr>
              <w:t>ssistance requests</w:t>
            </w:r>
            <w:r w:rsidRPr="00417A2D">
              <w:rPr>
                <w:rFonts w:ascii="Arial" w:hAnsi="Arial" w:cs="Arial"/>
                <w:color w:val="000000"/>
                <w:sz w:val="20"/>
                <w:szCs w:val="20"/>
                <w:lang w:val="en-GB"/>
              </w:rPr>
              <w:t xml:space="preserve"> processed</w:t>
            </w:r>
            <w:r>
              <w:rPr>
                <w:rFonts w:ascii="Arial" w:hAnsi="Arial" w:cs="Arial"/>
                <w:color w:val="000000"/>
                <w:sz w:val="20"/>
                <w:szCs w:val="20"/>
                <w:lang w:val="en-GB"/>
              </w:rPr>
              <w:t>,</w:t>
            </w:r>
            <w:r w:rsidRPr="00417A2D">
              <w:rPr>
                <w:rFonts w:ascii="Arial" w:hAnsi="Arial" w:cs="Arial"/>
                <w:color w:val="000000"/>
                <w:sz w:val="20"/>
                <w:szCs w:val="20"/>
                <w:lang w:val="en-GB"/>
              </w:rPr>
              <w:t xml:space="preserve"> each including a safeguarding plan (2017 cycle)</w:t>
            </w:r>
            <w:r>
              <w:rPr>
                <w:rFonts w:ascii="Arial" w:hAnsi="Arial" w:cs="Arial"/>
                <w:color w:val="000000"/>
                <w:sz w:val="20"/>
                <w:szCs w:val="20"/>
                <w:lang w:val="en-GB"/>
              </w:rPr>
              <w:t>.</w:t>
            </w:r>
          </w:p>
          <w:p w14:paraId="558902E6" w14:textId="77777777" w:rsidR="001E6E65" w:rsidRPr="00417A2D"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sidRPr="00417A2D">
              <w:rPr>
                <w:rFonts w:ascii="Arial" w:hAnsi="Arial" w:cs="Arial"/>
                <w:color w:val="000000"/>
                <w:sz w:val="20"/>
                <w:szCs w:val="20"/>
                <w:lang w:val="en-GB"/>
              </w:rPr>
              <w:t>10</w:t>
            </w:r>
            <w:r>
              <w:rPr>
                <w:rFonts w:ascii="Arial" w:hAnsi="Arial" w:cs="Arial"/>
                <w:color w:val="000000"/>
                <w:sz w:val="20"/>
                <w:szCs w:val="20"/>
                <w:lang w:val="en-GB"/>
              </w:rPr>
              <w:t xml:space="preserve"> International A</w:t>
            </w:r>
            <w:r w:rsidRPr="00417A2D">
              <w:rPr>
                <w:rFonts w:ascii="Arial" w:hAnsi="Arial" w:cs="Arial"/>
                <w:color w:val="000000"/>
                <w:sz w:val="20"/>
                <w:szCs w:val="20"/>
                <w:lang w:val="en-GB"/>
              </w:rPr>
              <w:t xml:space="preserve">ssistance requests processed and analysed and 5 recommendations presented to the Bureau </w:t>
            </w:r>
            <w:r w:rsidRPr="00417A2D">
              <w:rPr>
                <w:rFonts w:ascii="Arial" w:hAnsi="Arial" w:cs="Arial"/>
                <w:sz w:val="20"/>
                <w:szCs w:val="20"/>
                <w:lang w:val="en-GB"/>
              </w:rPr>
              <w:t>and approved (11.COM BUR 1 &amp; 2)</w:t>
            </w:r>
            <w:r>
              <w:rPr>
                <w:rFonts w:ascii="Arial" w:hAnsi="Arial" w:cs="Arial"/>
                <w:sz w:val="20"/>
                <w:szCs w:val="20"/>
                <w:lang w:val="en-GB"/>
              </w:rPr>
              <w:t>.</w:t>
            </w:r>
          </w:p>
          <w:p w14:paraId="044117B0" w14:textId="77777777" w:rsidR="001E6E65" w:rsidRPr="008F74DE" w:rsidRDefault="00284E2B"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hyperlink r:id="rId23" w:history="1">
              <w:r w:rsidR="001E6E65">
                <w:rPr>
                  <w:rFonts w:ascii="Arial" w:hAnsi="Arial" w:cs="Arial"/>
                  <w:color w:val="000000"/>
                  <w:sz w:val="20"/>
                  <w:szCs w:val="20"/>
                  <w:lang w:val="en-GB"/>
                </w:rPr>
                <w:t>N</w:t>
              </w:r>
              <w:r w:rsidR="001E6E65" w:rsidRPr="00DA6240">
                <w:rPr>
                  <w:rFonts w:ascii="Arial" w:hAnsi="Arial" w:cs="Arial"/>
                  <w:color w:val="000000"/>
                  <w:sz w:val="20"/>
                  <w:szCs w:val="20"/>
                  <w:lang w:val="en-GB"/>
                </w:rPr>
                <w:t>ew monitoring interface</w:t>
              </w:r>
            </w:hyperlink>
            <w:r w:rsidR="001E6E65" w:rsidRPr="00E42E32">
              <w:rPr>
                <w:rFonts w:ascii="Arial" w:hAnsi="Arial" w:cs="Arial"/>
                <w:color w:val="000000"/>
                <w:sz w:val="20"/>
                <w:szCs w:val="20"/>
                <w:lang w:val="en-GB"/>
              </w:rPr>
              <w:t xml:space="preserve"> </w:t>
            </w:r>
            <w:r w:rsidR="001E6E65">
              <w:rPr>
                <w:rFonts w:ascii="Arial" w:hAnsi="Arial" w:cs="Arial"/>
                <w:color w:val="000000"/>
                <w:sz w:val="20"/>
                <w:szCs w:val="20"/>
                <w:lang w:val="en-GB"/>
              </w:rPr>
              <w:t xml:space="preserve">launched concerning periodic reporting, </w:t>
            </w:r>
            <w:r w:rsidR="001E6E65" w:rsidRPr="00E42E32">
              <w:rPr>
                <w:rFonts w:ascii="Arial" w:hAnsi="Arial" w:cs="Arial"/>
                <w:color w:val="000000"/>
                <w:sz w:val="20"/>
                <w:szCs w:val="20"/>
                <w:lang w:val="en-GB"/>
              </w:rPr>
              <w:t xml:space="preserve">allowing all stakeholders </w:t>
            </w:r>
            <w:r w:rsidR="001E6E65">
              <w:rPr>
                <w:rFonts w:ascii="Arial" w:hAnsi="Arial" w:cs="Arial"/>
                <w:color w:val="000000"/>
                <w:sz w:val="20"/>
                <w:szCs w:val="20"/>
                <w:lang w:val="en-GB"/>
              </w:rPr>
              <w:t xml:space="preserve">to review submitted </w:t>
            </w:r>
            <w:r w:rsidR="001E6E65" w:rsidRPr="008F74DE">
              <w:rPr>
                <w:rFonts w:ascii="Arial" w:hAnsi="Arial" w:cs="Arial"/>
                <w:color w:val="000000"/>
                <w:sz w:val="20"/>
                <w:szCs w:val="20"/>
                <w:lang w:val="en-GB"/>
              </w:rPr>
              <w:t>reports</w:t>
            </w:r>
            <w:r w:rsidR="001E6E65">
              <w:rPr>
                <w:rFonts w:ascii="Arial" w:hAnsi="Arial" w:cs="Arial"/>
                <w:color w:val="000000"/>
                <w:sz w:val="20"/>
                <w:szCs w:val="20"/>
                <w:lang w:val="en-GB"/>
              </w:rPr>
              <w:t>,</w:t>
            </w:r>
            <w:r w:rsidR="001E6E65" w:rsidRPr="008F74DE">
              <w:rPr>
                <w:rFonts w:ascii="Arial" w:hAnsi="Arial" w:cs="Arial"/>
                <w:color w:val="000000"/>
                <w:sz w:val="20"/>
                <w:szCs w:val="20"/>
                <w:lang w:val="en-GB"/>
              </w:rPr>
              <w:t xml:space="preserve"> </w:t>
            </w:r>
            <w:r w:rsidR="001E6E65">
              <w:rPr>
                <w:rFonts w:ascii="Arial" w:hAnsi="Arial" w:cs="Arial"/>
                <w:color w:val="000000"/>
                <w:sz w:val="20"/>
                <w:szCs w:val="20"/>
                <w:lang w:val="en-GB"/>
              </w:rPr>
              <w:t xml:space="preserve">consult </w:t>
            </w:r>
            <w:r w:rsidR="001E6E65" w:rsidRPr="008F74DE">
              <w:rPr>
                <w:rFonts w:ascii="Arial" w:hAnsi="Arial" w:cs="Arial"/>
                <w:color w:val="000000"/>
                <w:sz w:val="20"/>
                <w:szCs w:val="20"/>
                <w:lang w:val="en-GB"/>
              </w:rPr>
              <w:t xml:space="preserve">the </w:t>
            </w:r>
            <w:r w:rsidR="001E6E65">
              <w:rPr>
                <w:rFonts w:ascii="Arial" w:hAnsi="Arial" w:cs="Arial"/>
                <w:color w:val="000000"/>
                <w:sz w:val="20"/>
                <w:szCs w:val="20"/>
                <w:lang w:val="en-GB"/>
              </w:rPr>
              <w:t xml:space="preserve">future submission </w:t>
            </w:r>
            <w:r w:rsidR="001E6E65" w:rsidRPr="008F74DE">
              <w:rPr>
                <w:rFonts w:ascii="Arial" w:hAnsi="Arial" w:cs="Arial"/>
                <w:color w:val="000000"/>
                <w:sz w:val="20"/>
                <w:szCs w:val="20"/>
                <w:lang w:val="en-GB"/>
              </w:rPr>
              <w:t>schedule</w:t>
            </w:r>
            <w:r w:rsidR="001E6E65">
              <w:rPr>
                <w:rFonts w:ascii="Arial" w:hAnsi="Arial" w:cs="Arial"/>
                <w:color w:val="000000"/>
                <w:sz w:val="20"/>
                <w:szCs w:val="20"/>
                <w:lang w:val="en-GB"/>
              </w:rPr>
              <w:t>s and</w:t>
            </w:r>
            <w:r w:rsidR="001E6E65" w:rsidRPr="008F74DE">
              <w:rPr>
                <w:rFonts w:ascii="Arial" w:hAnsi="Arial" w:cs="Arial"/>
                <w:color w:val="000000"/>
                <w:sz w:val="20"/>
                <w:szCs w:val="20"/>
                <w:lang w:val="en-GB"/>
              </w:rPr>
              <w:t xml:space="preserve"> </w:t>
            </w:r>
            <w:r w:rsidR="001E6E65">
              <w:rPr>
                <w:rFonts w:ascii="Arial" w:hAnsi="Arial" w:cs="Arial"/>
                <w:color w:val="000000"/>
                <w:sz w:val="20"/>
                <w:szCs w:val="20"/>
                <w:lang w:val="en-GB"/>
              </w:rPr>
              <w:t xml:space="preserve">search </w:t>
            </w:r>
            <w:r w:rsidR="001E6E65" w:rsidRPr="008F74DE">
              <w:rPr>
                <w:rFonts w:ascii="Arial" w:hAnsi="Arial" w:cs="Arial"/>
                <w:color w:val="000000"/>
                <w:sz w:val="20"/>
                <w:szCs w:val="20"/>
                <w:lang w:val="en-GB"/>
              </w:rPr>
              <w:t>by mechanism, status and country.</w:t>
            </w:r>
          </w:p>
        </w:tc>
        <w:tc>
          <w:tcPr>
            <w:tcW w:w="1694" w:type="dxa"/>
          </w:tcPr>
          <w:p w14:paraId="50365E27" w14:textId="77777777" w:rsidR="001E6E65" w:rsidRPr="001C6031" w:rsidRDefault="001E6E65" w:rsidP="00934608">
            <w:pPr>
              <w:pStyle w:val="ListParagraph"/>
              <w:spacing w:before="60" w:beforeAutospacing="0" w:after="60" w:afterAutospacing="0"/>
              <w:jc w:val="center"/>
              <w:rPr>
                <w:rFonts w:ascii="Arial" w:eastAsia="Calibri" w:hAnsi="Arial" w:cs="Arial"/>
                <w:sz w:val="20"/>
                <w:szCs w:val="20"/>
                <w:lang w:val="en-GB"/>
              </w:rPr>
            </w:pPr>
            <w:r w:rsidRPr="002455C4">
              <w:rPr>
                <w:rFonts w:ascii="Arial" w:hAnsi="Arial" w:cs="Arial"/>
                <w:color w:val="000000"/>
                <w:sz w:val="20"/>
                <w:szCs w:val="20"/>
                <w:lang w:val="en-GB"/>
              </w:rPr>
              <w:t>High</w:t>
            </w:r>
          </w:p>
        </w:tc>
      </w:tr>
    </w:tbl>
    <w:p w14:paraId="153EEC7C" w14:textId="521E70F3" w:rsidR="007F4607" w:rsidRPr="00BB6E41" w:rsidRDefault="007F4607" w:rsidP="00BB6E41">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341"/>
        <w:gridCol w:w="7513"/>
      </w:tblGrid>
      <w:tr w:rsidR="006E5D8A" w:rsidRPr="00284E2B" w14:paraId="76C470CD" w14:textId="77777777" w:rsidTr="00543205">
        <w:trPr>
          <w:cantSplit/>
        </w:trPr>
        <w:tc>
          <w:tcPr>
            <w:tcW w:w="1188" w:type="pct"/>
            <w:shd w:val="clear" w:color="auto" w:fill="808080" w:themeFill="background1" w:themeFillShade="80"/>
            <w:vAlign w:val="center"/>
          </w:tcPr>
          <w:p w14:paraId="2A0306C6" w14:textId="77777777" w:rsidR="006E5D8A" w:rsidRPr="00696A00" w:rsidRDefault="006E5D8A" w:rsidP="002166EB">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38C/5 Performance Indicator 2</w:t>
            </w:r>
          </w:p>
        </w:tc>
        <w:tc>
          <w:tcPr>
            <w:tcW w:w="3812" w:type="pct"/>
            <w:shd w:val="clear" w:color="auto" w:fill="808080" w:themeFill="background1" w:themeFillShade="80"/>
            <w:vAlign w:val="center"/>
          </w:tcPr>
          <w:p w14:paraId="51279679" w14:textId="77777777" w:rsidR="006E5D8A" w:rsidRPr="00696A00" w:rsidRDefault="002455C4" w:rsidP="002455C4">
            <w:pPr>
              <w:pStyle w:val="Default"/>
              <w:rPr>
                <w:b/>
                <w:bCs/>
                <w:color w:val="FFFFFF" w:themeColor="background1"/>
                <w:sz w:val="22"/>
                <w:szCs w:val="22"/>
                <w:lang w:val="en-GB"/>
              </w:rPr>
            </w:pPr>
            <w:r w:rsidRPr="00696A00">
              <w:rPr>
                <w:b/>
                <w:bCs/>
                <w:color w:val="FFFFFF" w:themeColor="background1"/>
                <w:sz w:val="22"/>
                <w:szCs w:val="22"/>
                <w:lang w:val="en-GB"/>
              </w:rPr>
              <w:t>Number of supported Member States utilizing strengthened human and institutional resources for intangible cultural heritage and integrating ICH into national policies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025"/>
        <w:gridCol w:w="1694"/>
      </w:tblGrid>
      <w:tr w:rsidR="001E6E65" w:rsidRPr="00284E2B" w14:paraId="5FCC9632" w14:textId="77777777" w:rsidTr="00934608">
        <w:trPr>
          <w:tblHeader/>
        </w:trPr>
        <w:tc>
          <w:tcPr>
            <w:tcW w:w="0" w:type="auto"/>
            <w:shd w:val="clear" w:color="auto" w:fill="D9D9D9" w:themeFill="background1" w:themeFillShade="D9"/>
            <w:vAlign w:val="center"/>
          </w:tcPr>
          <w:p w14:paraId="61FF0AE7" w14:textId="77777777" w:rsidR="001E6E65" w:rsidRPr="001C6031" w:rsidRDefault="001E6E65" w:rsidP="00934608">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10523AA7" w14:textId="77777777" w:rsidR="001E6E65" w:rsidRPr="001C6031" w:rsidRDefault="001E6E65" w:rsidP="00934608">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Pr>
                <w:rFonts w:ascii="Arial" w:eastAsia="Calibri" w:hAnsi="Arial" w:cs="Arial"/>
                <w:b/>
                <w:sz w:val="20"/>
                <w:szCs w:val="20"/>
                <w:lang w:val="en-GB"/>
              </w:rPr>
              <w:t>6</w:t>
            </w:r>
          </w:p>
        </w:tc>
        <w:tc>
          <w:tcPr>
            <w:tcW w:w="1694" w:type="dxa"/>
            <w:shd w:val="clear" w:color="auto" w:fill="D9D9D9" w:themeFill="background1" w:themeFillShade="D9"/>
            <w:vAlign w:val="center"/>
          </w:tcPr>
          <w:p w14:paraId="3DA0E060" w14:textId="77777777" w:rsidR="001E6E65" w:rsidRPr="001C6031" w:rsidRDefault="001E6E65" w:rsidP="00934608">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1E6E65" w:rsidRPr="00F8691A" w14:paraId="32731B67" w14:textId="77777777" w:rsidTr="00934608">
        <w:tc>
          <w:tcPr>
            <w:tcW w:w="0" w:type="auto"/>
            <w:shd w:val="clear" w:color="auto" w:fill="auto"/>
          </w:tcPr>
          <w:p w14:paraId="46AAD567" w14:textId="77777777" w:rsidR="001E6E65" w:rsidRPr="00F8691A" w:rsidRDefault="001E6E65" w:rsidP="00934608">
            <w:pPr>
              <w:pStyle w:val="ListParagraph"/>
              <w:numPr>
                <w:ilvl w:val="0"/>
                <w:numId w:val="7"/>
              </w:numPr>
              <w:spacing w:before="60" w:beforeAutospacing="0" w:after="60" w:afterAutospacing="0"/>
              <w:ind w:left="357"/>
              <w:rPr>
                <w:rFonts w:ascii="Arial" w:hAnsi="Arial" w:cs="Arial"/>
                <w:color w:val="000000"/>
                <w:sz w:val="20"/>
                <w:szCs w:val="20"/>
                <w:lang w:val="en-GB"/>
              </w:rPr>
            </w:pPr>
            <w:r w:rsidRPr="00F8691A">
              <w:rPr>
                <w:rFonts w:ascii="Arial" w:eastAsia="Calibri" w:hAnsi="Arial" w:cs="Arial"/>
                <w:sz w:val="20"/>
                <w:szCs w:val="20"/>
                <w:lang w:val="en-GB"/>
              </w:rPr>
              <w:t xml:space="preserve">Policies developed or revised in 15 </w:t>
            </w:r>
            <w:r w:rsidRPr="00F8691A">
              <w:rPr>
                <w:rFonts w:ascii="Arial" w:hAnsi="Arial" w:cs="Arial"/>
                <w:color w:val="000000"/>
                <w:sz w:val="20"/>
                <w:szCs w:val="20"/>
                <w:lang w:val="en-GB"/>
              </w:rPr>
              <w:t>States and human and institutional resources strengthened in 25 States</w:t>
            </w:r>
            <w:r>
              <w:rPr>
                <w:rFonts w:ascii="Arial" w:hAnsi="Arial" w:cs="Arial"/>
                <w:color w:val="000000"/>
                <w:sz w:val="20"/>
                <w:szCs w:val="20"/>
                <w:lang w:val="en-GB"/>
              </w:rPr>
              <w:t>.</w:t>
            </w:r>
          </w:p>
          <w:p w14:paraId="22C9B712" w14:textId="77777777" w:rsidR="001E6E65" w:rsidRPr="00DA6240" w:rsidRDefault="001E6E65" w:rsidP="00934608">
            <w:pPr>
              <w:pStyle w:val="ListParagraph"/>
              <w:numPr>
                <w:ilvl w:val="0"/>
                <w:numId w:val="7"/>
              </w:numPr>
              <w:spacing w:before="60" w:beforeAutospacing="0" w:after="60" w:afterAutospacing="0"/>
              <w:ind w:left="357"/>
              <w:rPr>
                <w:rFonts w:ascii="Arial" w:eastAsia="Calibri" w:hAnsi="Arial" w:cs="Arial"/>
                <w:sz w:val="20"/>
                <w:szCs w:val="20"/>
                <w:lang w:val="en-GB"/>
              </w:rPr>
            </w:pPr>
            <w:r w:rsidRPr="00F8691A">
              <w:rPr>
                <w:rFonts w:ascii="Arial" w:hAnsi="Arial" w:cs="Arial"/>
                <w:color w:val="000000"/>
                <w:sz w:val="20"/>
                <w:szCs w:val="20"/>
                <w:lang w:val="en-GB"/>
              </w:rPr>
              <w:t>20% of UNESCO-trained female cultural professionals contributing to national</w:t>
            </w:r>
            <w:r w:rsidRPr="00F8691A">
              <w:rPr>
                <w:rFonts w:ascii="Arial" w:eastAsia="Calibri" w:hAnsi="Arial" w:cs="Arial"/>
                <w:sz w:val="20"/>
                <w:szCs w:val="20"/>
                <w:lang w:val="en-GB"/>
              </w:rPr>
              <w:t>-level decision-making processes in the field of culture</w:t>
            </w:r>
            <w:r>
              <w:rPr>
                <w:rFonts w:ascii="Arial" w:eastAsia="Calibri" w:hAnsi="Arial" w:cs="Arial"/>
                <w:sz w:val="20"/>
                <w:szCs w:val="20"/>
                <w:lang w:val="en-GB"/>
              </w:rPr>
              <w:t>.</w:t>
            </w:r>
          </w:p>
        </w:tc>
        <w:tc>
          <w:tcPr>
            <w:tcW w:w="4025" w:type="dxa"/>
            <w:shd w:val="clear" w:color="auto" w:fill="auto"/>
          </w:tcPr>
          <w:p w14:paraId="2F810189" w14:textId="77777777" w:rsidR="001E6E65" w:rsidRPr="00FE63A0"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sidRPr="00FE63A0">
              <w:rPr>
                <w:rFonts w:ascii="Arial" w:eastAsia="Malgun Gothic" w:hAnsi="Arial" w:cs="Arial" w:hint="eastAsia"/>
                <w:color w:val="000000"/>
                <w:sz w:val="20"/>
                <w:szCs w:val="20"/>
                <w:lang w:val="en-GB" w:eastAsia="ko-KR"/>
              </w:rPr>
              <w:t xml:space="preserve">Policies developed or revised in </w:t>
            </w:r>
            <w:r w:rsidRPr="00EF79B4">
              <w:rPr>
                <w:rFonts w:ascii="Arial" w:eastAsia="Malgun Gothic" w:hAnsi="Arial" w:cs="Arial"/>
                <w:color w:val="000000"/>
                <w:sz w:val="20"/>
                <w:szCs w:val="20"/>
                <w:lang w:val="en-GB" w:eastAsia="ko-KR"/>
              </w:rPr>
              <w:t>nine</w:t>
            </w:r>
            <w:r w:rsidRPr="00FE63A0">
              <w:rPr>
                <w:rFonts w:ascii="Arial" w:eastAsia="Malgun Gothic" w:hAnsi="Arial" w:cs="Arial" w:hint="eastAsia"/>
                <w:color w:val="000000"/>
                <w:sz w:val="20"/>
                <w:szCs w:val="20"/>
                <w:lang w:val="en-GB" w:eastAsia="ko-KR"/>
              </w:rPr>
              <w:t xml:space="preserve"> of the </w:t>
            </w:r>
            <w:r w:rsidRPr="00EF79B4">
              <w:rPr>
                <w:rFonts w:ascii="Arial" w:eastAsia="Malgun Gothic" w:hAnsi="Arial" w:cs="Arial"/>
                <w:color w:val="000000"/>
                <w:sz w:val="20"/>
                <w:szCs w:val="20"/>
                <w:lang w:val="en-GB" w:eastAsia="ko-KR"/>
              </w:rPr>
              <w:t>37 States</w:t>
            </w:r>
            <w:r w:rsidRPr="00FE63A0">
              <w:rPr>
                <w:rFonts w:ascii="Arial" w:eastAsia="Malgun Gothic" w:hAnsi="Arial" w:cs="Arial" w:hint="eastAsia"/>
                <w:color w:val="000000"/>
                <w:sz w:val="20"/>
                <w:szCs w:val="20"/>
                <w:lang w:val="en-GB" w:eastAsia="ko-KR"/>
              </w:rPr>
              <w:t xml:space="preserve"> that received policy support under the capacity-building programme. Human and institutional resources strengthened in </w:t>
            </w:r>
            <w:r w:rsidRPr="00EF79B4">
              <w:rPr>
                <w:rFonts w:ascii="Arial" w:eastAsia="Malgun Gothic" w:hAnsi="Arial" w:cs="Arial"/>
                <w:color w:val="000000"/>
                <w:sz w:val="20"/>
                <w:szCs w:val="20"/>
                <w:lang w:val="en-GB" w:eastAsia="ko-KR"/>
              </w:rPr>
              <w:t>22 States</w:t>
            </w:r>
            <w:r w:rsidRPr="00FE63A0">
              <w:rPr>
                <w:rFonts w:ascii="Arial" w:eastAsia="Malgun Gothic" w:hAnsi="Arial" w:cs="Arial" w:hint="eastAsia"/>
                <w:color w:val="000000"/>
                <w:sz w:val="20"/>
                <w:szCs w:val="20"/>
                <w:lang w:val="en-GB" w:eastAsia="ko-KR"/>
              </w:rPr>
              <w:t xml:space="preserve"> that benefitted from comprehensive multi-year projects. In </w:t>
            </w:r>
            <w:r w:rsidRPr="00EF79B4">
              <w:rPr>
                <w:rFonts w:ascii="Arial" w:eastAsia="Malgun Gothic" w:hAnsi="Arial" w:cs="Arial"/>
                <w:color w:val="000000"/>
                <w:sz w:val="20"/>
                <w:szCs w:val="20"/>
                <w:lang w:val="en-GB" w:eastAsia="ko-KR"/>
              </w:rPr>
              <w:t>five</w:t>
            </w:r>
            <w:r w:rsidRPr="00FE63A0">
              <w:rPr>
                <w:rFonts w:ascii="Arial" w:eastAsia="Malgun Gothic" w:hAnsi="Arial" w:cs="Arial" w:hint="eastAsia"/>
                <w:color w:val="000000"/>
                <w:sz w:val="20"/>
                <w:szCs w:val="20"/>
                <w:lang w:val="en-GB" w:eastAsia="ko-KR"/>
              </w:rPr>
              <w:t xml:space="preserve"> of the States</w:t>
            </w:r>
            <w:r w:rsidRPr="00FE63A0">
              <w:rPr>
                <w:rFonts w:ascii="Arial" w:eastAsia="Malgun Gothic" w:hAnsi="Arial" w:cs="Arial"/>
                <w:color w:val="000000"/>
                <w:sz w:val="20"/>
                <w:szCs w:val="20"/>
                <w:lang w:val="en-GB" w:eastAsia="ko-KR"/>
              </w:rPr>
              <w:t>,</w:t>
            </w:r>
            <w:r w:rsidRPr="00FE63A0">
              <w:rPr>
                <w:rFonts w:ascii="Arial" w:eastAsia="Malgun Gothic" w:hAnsi="Arial" w:cs="Arial" w:hint="eastAsia"/>
                <w:color w:val="000000"/>
                <w:sz w:val="20"/>
                <w:szCs w:val="20"/>
                <w:lang w:val="en-GB" w:eastAsia="ko-KR"/>
              </w:rPr>
              <w:t xml:space="preserve"> projects were completed and in </w:t>
            </w:r>
            <w:r w:rsidRPr="00EF79B4">
              <w:rPr>
                <w:rFonts w:ascii="Arial" w:eastAsia="Malgun Gothic" w:hAnsi="Arial" w:cs="Arial"/>
                <w:color w:val="000000"/>
                <w:sz w:val="20"/>
                <w:szCs w:val="20"/>
                <w:lang w:val="en-GB" w:eastAsia="ko-KR"/>
              </w:rPr>
              <w:t>17</w:t>
            </w:r>
            <w:r>
              <w:rPr>
                <w:rFonts w:ascii="Arial" w:eastAsia="Malgun Gothic" w:hAnsi="Arial" w:cs="Arial" w:hint="eastAsia"/>
                <w:color w:val="000000"/>
                <w:sz w:val="20"/>
                <w:szCs w:val="20"/>
                <w:lang w:val="en-GB" w:eastAsia="ko-KR"/>
              </w:rPr>
              <w:t xml:space="preserve"> they are ongoing.</w:t>
            </w:r>
          </w:p>
          <w:p w14:paraId="0324B000" w14:textId="77777777" w:rsidR="001E6E65" w:rsidRPr="003B2791"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sidRPr="00FE63A0">
              <w:rPr>
                <w:rFonts w:ascii="Arial" w:hAnsi="Arial" w:cs="Arial"/>
                <w:color w:val="000000"/>
                <w:sz w:val="20"/>
                <w:szCs w:val="20"/>
                <w:lang w:val="en-GB"/>
              </w:rPr>
              <w:t>45% of UNESCO-trained cultural professionals are female: no data available on their contribution to</w:t>
            </w:r>
            <w:r w:rsidRPr="00543205">
              <w:rPr>
                <w:rFonts w:ascii="Arial" w:hAnsi="Arial" w:cs="Arial"/>
                <w:color w:val="000000"/>
                <w:sz w:val="20"/>
                <w:szCs w:val="20"/>
                <w:lang w:val="en-GB"/>
              </w:rPr>
              <w:t xml:space="preserve"> decision-making; mechanism under development.</w:t>
            </w:r>
          </w:p>
          <w:p w14:paraId="3180B190" w14:textId="77777777" w:rsidR="001E6E65" w:rsidRPr="00CB4E79"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sidRPr="00CB4E79">
              <w:rPr>
                <w:rFonts w:ascii="Arial" w:hAnsi="Arial" w:cs="Arial"/>
                <w:color w:val="000000"/>
                <w:sz w:val="20"/>
                <w:szCs w:val="20"/>
                <w:lang w:val="en-GB"/>
              </w:rPr>
              <w:t>Facilitators’ network strengthened through the development and dissemination of an audio-visual tutorial on safeguarding plans</w:t>
            </w:r>
            <w:r>
              <w:rPr>
                <w:rFonts w:ascii="Arial" w:hAnsi="Arial" w:cs="Arial"/>
                <w:color w:val="000000"/>
                <w:sz w:val="20"/>
                <w:szCs w:val="20"/>
                <w:lang w:val="en-GB"/>
              </w:rPr>
              <w:t>.</w:t>
            </w:r>
          </w:p>
          <w:p w14:paraId="3128B8AF" w14:textId="77777777" w:rsidR="001E6E65" w:rsidRPr="00BB6E41" w:rsidRDefault="001E6E65" w:rsidP="00934608">
            <w:pPr>
              <w:pStyle w:val="ListParagraph"/>
              <w:numPr>
                <w:ilvl w:val="0"/>
                <w:numId w:val="7"/>
              </w:numPr>
              <w:spacing w:before="60" w:beforeAutospacing="0" w:after="60" w:afterAutospacing="0"/>
              <w:ind w:left="357" w:hanging="357"/>
              <w:rPr>
                <w:rFonts w:ascii="Arial" w:hAnsi="Arial" w:cs="Arial"/>
                <w:color w:val="000000"/>
                <w:sz w:val="20"/>
                <w:szCs w:val="20"/>
                <w:lang w:val="en-GB"/>
              </w:rPr>
            </w:pPr>
            <w:r w:rsidRPr="00CB4E79">
              <w:rPr>
                <w:rFonts w:ascii="Arial" w:hAnsi="Arial" w:cs="Arial"/>
                <w:color w:val="000000"/>
                <w:sz w:val="20"/>
                <w:szCs w:val="20"/>
                <w:lang w:val="en-GB"/>
              </w:rPr>
              <w:t xml:space="preserve">Core curriculum materials updated to reflect </w:t>
            </w:r>
            <w:r>
              <w:rPr>
                <w:rFonts w:ascii="Arial" w:hAnsi="Arial" w:cs="Arial"/>
                <w:color w:val="000000"/>
                <w:sz w:val="20"/>
                <w:szCs w:val="20"/>
                <w:lang w:val="en-GB"/>
              </w:rPr>
              <w:t xml:space="preserve">the </w:t>
            </w:r>
            <w:r w:rsidRPr="00CB4E79">
              <w:rPr>
                <w:rFonts w:ascii="Arial" w:hAnsi="Arial" w:cs="Arial"/>
                <w:color w:val="000000"/>
                <w:sz w:val="20"/>
                <w:szCs w:val="20"/>
                <w:lang w:val="en-GB"/>
              </w:rPr>
              <w:t>decisions of statutory meetings (20 units; 3 languages)</w:t>
            </w:r>
            <w:r>
              <w:rPr>
                <w:rFonts w:ascii="Arial" w:hAnsi="Arial" w:cs="Arial"/>
                <w:color w:val="000000"/>
                <w:sz w:val="20"/>
                <w:szCs w:val="20"/>
                <w:lang w:val="en-GB"/>
              </w:rPr>
              <w:t>.</w:t>
            </w:r>
          </w:p>
        </w:tc>
        <w:tc>
          <w:tcPr>
            <w:tcW w:w="1694" w:type="dxa"/>
          </w:tcPr>
          <w:p w14:paraId="0241D41D" w14:textId="77777777" w:rsidR="001E6E65" w:rsidRPr="001C6031" w:rsidRDefault="001E6E65" w:rsidP="00934608">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Medium</w:t>
            </w:r>
          </w:p>
        </w:tc>
      </w:tr>
    </w:tbl>
    <w:p w14:paraId="45AAD8F1" w14:textId="77777777" w:rsidR="006E5D8A" w:rsidRPr="00BB6E41" w:rsidRDefault="006E5D8A" w:rsidP="00BB6E41">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341"/>
        <w:gridCol w:w="7513"/>
      </w:tblGrid>
      <w:tr w:rsidR="00B43AE4" w:rsidRPr="00284E2B" w14:paraId="3691D40C" w14:textId="77777777" w:rsidTr="00543205">
        <w:trPr>
          <w:cantSplit/>
        </w:trPr>
        <w:tc>
          <w:tcPr>
            <w:tcW w:w="1188" w:type="pct"/>
            <w:shd w:val="clear" w:color="auto" w:fill="808080" w:themeFill="background1" w:themeFillShade="80"/>
            <w:vAlign w:val="center"/>
          </w:tcPr>
          <w:p w14:paraId="465173BC" w14:textId="77777777" w:rsidR="00B43AE4" w:rsidRPr="00696A00" w:rsidRDefault="00B43AE4" w:rsidP="00B43AE4">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3</w:t>
            </w:r>
          </w:p>
        </w:tc>
        <w:tc>
          <w:tcPr>
            <w:tcW w:w="3812" w:type="pct"/>
            <w:shd w:val="clear" w:color="auto" w:fill="808080" w:themeFill="background1" w:themeFillShade="80"/>
            <w:vAlign w:val="center"/>
          </w:tcPr>
          <w:p w14:paraId="3DD1D980" w14:textId="77777777" w:rsidR="00B43AE4" w:rsidRPr="00696A00" w:rsidRDefault="00B43AE4" w:rsidP="002166EB">
            <w:pPr>
              <w:pStyle w:val="Default"/>
              <w:rPr>
                <w:b/>
                <w:bCs/>
                <w:color w:val="FFFFFF" w:themeColor="background1"/>
                <w:sz w:val="22"/>
                <w:szCs w:val="22"/>
                <w:lang w:val="en-GB"/>
              </w:rPr>
            </w:pPr>
            <w:r w:rsidRPr="00696A00">
              <w:rPr>
                <w:b/>
                <w:bCs/>
                <w:color w:val="FFFFFF" w:themeColor="background1"/>
                <w:sz w:val="22"/>
                <w:szCs w:val="22"/>
                <w:lang w:val="en-GB"/>
              </w:rPr>
              <w:t xml:space="preserve">Number of periodic reports on implementation of the Convention at national levels submitted by States Parties and examined by </w:t>
            </w:r>
            <w:r>
              <w:rPr>
                <w:b/>
                <w:bCs/>
                <w:color w:val="FFFFFF" w:themeColor="background1"/>
                <w:sz w:val="22"/>
                <w:szCs w:val="22"/>
                <w:lang w:val="en-GB"/>
              </w:rPr>
              <w:t xml:space="preserve">the </w:t>
            </w:r>
            <w:r w:rsidRPr="00696A00">
              <w:rPr>
                <w:b/>
                <w:bCs/>
                <w:color w:val="FFFFFF" w:themeColor="background1"/>
                <w:sz w:val="22"/>
                <w:szCs w:val="22"/>
                <w:lang w:val="en-GB"/>
              </w:rPr>
              <w:t>Committee, and number addressing gender issues and describing policies promoting equal access to and participation in cultural life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025"/>
        <w:gridCol w:w="1694"/>
      </w:tblGrid>
      <w:tr w:rsidR="00A60DC2" w:rsidRPr="00284E2B" w14:paraId="25EFB1F9" w14:textId="77777777" w:rsidTr="002166EB">
        <w:trPr>
          <w:tblHeader/>
        </w:trPr>
        <w:tc>
          <w:tcPr>
            <w:tcW w:w="0" w:type="auto"/>
            <w:shd w:val="clear" w:color="auto" w:fill="D9D9D9" w:themeFill="background1" w:themeFillShade="D9"/>
            <w:vAlign w:val="center"/>
          </w:tcPr>
          <w:p w14:paraId="1380B451" w14:textId="77777777" w:rsidR="00B43AE4" w:rsidRPr="001C6031" w:rsidRDefault="00B43AE4" w:rsidP="002166EB">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4B9246BD" w14:textId="097486AE" w:rsidR="00B43AE4" w:rsidRPr="001C6031" w:rsidRDefault="00B43AE4" w:rsidP="002166EB">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sidR="00DF4FA2">
              <w:rPr>
                <w:rFonts w:ascii="Arial" w:eastAsia="Calibri" w:hAnsi="Arial" w:cs="Arial"/>
                <w:b/>
                <w:sz w:val="20"/>
                <w:szCs w:val="20"/>
                <w:lang w:val="en-GB"/>
              </w:rPr>
              <w:t>6</w:t>
            </w:r>
          </w:p>
        </w:tc>
        <w:tc>
          <w:tcPr>
            <w:tcW w:w="1694" w:type="dxa"/>
            <w:shd w:val="clear" w:color="auto" w:fill="D9D9D9" w:themeFill="background1" w:themeFillShade="D9"/>
            <w:vAlign w:val="center"/>
          </w:tcPr>
          <w:p w14:paraId="45B0AD28" w14:textId="77777777" w:rsidR="00B43AE4" w:rsidRPr="001C6031" w:rsidRDefault="00B43AE4" w:rsidP="002166EB">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B43AE4" w:rsidRPr="00F8691A" w14:paraId="01CAF115" w14:textId="77777777" w:rsidTr="00543205">
        <w:tc>
          <w:tcPr>
            <w:tcW w:w="0" w:type="auto"/>
            <w:shd w:val="clear" w:color="auto" w:fill="auto"/>
          </w:tcPr>
          <w:p w14:paraId="778B5A25" w14:textId="6125A4DE" w:rsidR="00B43AE4" w:rsidRPr="00DA6240" w:rsidRDefault="00B43AE4" w:rsidP="00BA3A07">
            <w:pPr>
              <w:pStyle w:val="ListParagraph"/>
              <w:numPr>
                <w:ilvl w:val="0"/>
                <w:numId w:val="7"/>
              </w:numPr>
              <w:spacing w:before="60" w:beforeAutospacing="0" w:after="60" w:afterAutospacing="0"/>
              <w:ind w:left="360"/>
              <w:rPr>
                <w:rFonts w:ascii="Arial" w:eastAsia="Calibri" w:hAnsi="Arial" w:cs="Arial"/>
                <w:sz w:val="20"/>
                <w:szCs w:val="20"/>
                <w:lang w:val="en-GB"/>
              </w:rPr>
            </w:pPr>
            <w:r>
              <w:rPr>
                <w:rFonts w:ascii="Arial" w:hAnsi="Arial" w:cs="Arial"/>
                <w:sz w:val="20"/>
                <w:szCs w:val="20"/>
                <w:lang w:val="en-GB"/>
              </w:rPr>
              <w:t>30</w:t>
            </w:r>
            <w:r w:rsidRPr="00B43AE4">
              <w:rPr>
                <w:rFonts w:ascii="Arial" w:hAnsi="Arial" w:cs="Arial"/>
                <w:sz w:val="20"/>
                <w:szCs w:val="20"/>
                <w:lang w:val="en-GB"/>
              </w:rPr>
              <w:t xml:space="preserve"> reports, of which </w:t>
            </w:r>
            <w:r>
              <w:rPr>
                <w:rFonts w:ascii="Arial" w:hAnsi="Arial" w:cs="Arial"/>
                <w:sz w:val="20"/>
                <w:szCs w:val="20"/>
                <w:lang w:val="en-GB"/>
              </w:rPr>
              <w:t>20</w:t>
            </w:r>
            <w:r w:rsidRPr="00B43AE4">
              <w:rPr>
                <w:rFonts w:ascii="Arial" w:hAnsi="Arial" w:cs="Arial"/>
                <w:sz w:val="20"/>
                <w:szCs w:val="20"/>
                <w:lang w:val="en-GB"/>
              </w:rPr>
              <w:t xml:space="preserve"> address gender issues</w:t>
            </w:r>
            <w:r w:rsidR="00DA149F">
              <w:rPr>
                <w:rFonts w:ascii="Arial" w:hAnsi="Arial" w:cs="Arial"/>
                <w:sz w:val="20"/>
                <w:szCs w:val="20"/>
                <w:lang w:val="en-GB"/>
              </w:rPr>
              <w:t>.</w:t>
            </w:r>
          </w:p>
        </w:tc>
        <w:tc>
          <w:tcPr>
            <w:tcW w:w="4025" w:type="dxa"/>
            <w:shd w:val="clear" w:color="auto" w:fill="auto"/>
          </w:tcPr>
          <w:p w14:paraId="31631B88" w14:textId="7C2910BF" w:rsidR="00A07171" w:rsidRPr="00CB4E79" w:rsidRDefault="00A07171" w:rsidP="00BA3A07">
            <w:pPr>
              <w:pStyle w:val="ListParagraph"/>
              <w:numPr>
                <w:ilvl w:val="0"/>
                <w:numId w:val="7"/>
              </w:numPr>
              <w:spacing w:before="60" w:beforeAutospacing="0" w:after="60" w:afterAutospacing="0"/>
              <w:ind w:left="360"/>
              <w:rPr>
                <w:rFonts w:ascii="Arial" w:hAnsi="Arial" w:cs="Arial"/>
                <w:color w:val="000000"/>
                <w:sz w:val="20"/>
                <w:szCs w:val="20"/>
                <w:lang w:val="en-GB"/>
              </w:rPr>
            </w:pPr>
            <w:r w:rsidRPr="00417A2D">
              <w:rPr>
                <w:rFonts w:ascii="Arial" w:hAnsi="Arial" w:cs="Arial"/>
                <w:color w:val="000000"/>
                <w:sz w:val="20"/>
                <w:szCs w:val="20"/>
                <w:lang w:val="en-GB"/>
              </w:rPr>
              <w:t xml:space="preserve">6 </w:t>
            </w:r>
            <w:r w:rsidRPr="00417A2D">
              <w:rPr>
                <w:rFonts w:ascii="Arial" w:hAnsi="Arial" w:cs="Arial"/>
                <w:sz w:val="20"/>
                <w:szCs w:val="20"/>
                <w:lang w:val="en-GB"/>
              </w:rPr>
              <w:t>periodic</w:t>
            </w:r>
            <w:r w:rsidRPr="00417A2D">
              <w:rPr>
                <w:rFonts w:ascii="Arial" w:hAnsi="Arial" w:cs="Arial"/>
                <w:color w:val="000000"/>
                <w:sz w:val="20"/>
                <w:szCs w:val="20"/>
                <w:lang w:val="en-GB"/>
              </w:rPr>
              <w:t xml:space="preserve"> reports </w:t>
            </w:r>
            <w:r w:rsidR="006667EC" w:rsidRPr="00417A2D">
              <w:rPr>
                <w:rFonts w:ascii="Arial" w:hAnsi="Arial" w:cs="Arial"/>
                <w:color w:val="000000"/>
                <w:sz w:val="20"/>
                <w:szCs w:val="20"/>
                <w:lang w:val="en-GB"/>
              </w:rPr>
              <w:t xml:space="preserve">submitted </w:t>
            </w:r>
            <w:r w:rsidRPr="00417A2D">
              <w:rPr>
                <w:rFonts w:ascii="Arial" w:hAnsi="Arial" w:cs="Arial"/>
                <w:color w:val="000000"/>
                <w:sz w:val="20"/>
                <w:szCs w:val="20"/>
                <w:lang w:val="en-GB"/>
              </w:rPr>
              <w:t xml:space="preserve">on the </w:t>
            </w:r>
            <w:r w:rsidRPr="00DE3235">
              <w:rPr>
                <w:rFonts w:ascii="Arial" w:hAnsi="Arial" w:cs="Arial"/>
                <w:sz w:val="20"/>
                <w:szCs w:val="20"/>
                <w:lang w:val="en-GB"/>
              </w:rPr>
              <w:t>implementation</w:t>
            </w:r>
            <w:r w:rsidRPr="00DE3235">
              <w:rPr>
                <w:rFonts w:ascii="Arial" w:hAnsi="Arial" w:cs="Arial"/>
                <w:color w:val="000000"/>
                <w:sz w:val="20"/>
                <w:szCs w:val="20"/>
                <w:lang w:val="en-GB"/>
              </w:rPr>
              <w:t xml:space="preserve"> of the Convention </w:t>
            </w:r>
            <w:r w:rsidR="00317408" w:rsidRPr="00DE3235">
              <w:rPr>
                <w:rFonts w:ascii="Arial" w:hAnsi="Arial" w:cs="Arial"/>
                <w:color w:val="000000"/>
                <w:sz w:val="20"/>
                <w:szCs w:val="20"/>
                <w:lang w:val="en-GB"/>
              </w:rPr>
              <w:t>at</w:t>
            </w:r>
            <w:r w:rsidR="00DA149F">
              <w:rPr>
                <w:rFonts w:ascii="Arial" w:hAnsi="Arial" w:cs="Arial"/>
                <w:color w:val="000000"/>
                <w:sz w:val="20"/>
                <w:szCs w:val="20"/>
                <w:lang w:val="en-GB"/>
              </w:rPr>
              <w:t xml:space="preserve"> the</w:t>
            </w:r>
            <w:r w:rsidR="00317408" w:rsidRPr="00DE3235">
              <w:rPr>
                <w:rFonts w:ascii="Arial" w:hAnsi="Arial" w:cs="Arial"/>
                <w:color w:val="000000"/>
                <w:sz w:val="20"/>
                <w:szCs w:val="20"/>
                <w:lang w:val="en-GB"/>
              </w:rPr>
              <w:t xml:space="preserve"> national level </w:t>
            </w:r>
            <w:r w:rsidR="00E875BF" w:rsidRPr="00417A2D">
              <w:rPr>
                <w:rFonts w:ascii="Arial" w:hAnsi="Arial" w:cs="Arial"/>
                <w:color w:val="000000"/>
                <w:sz w:val="20"/>
                <w:szCs w:val="20"/>
                <w:lang w:val="en-GB"/>
              </w:rPr>
              <w:t>and processed by the Secretariat in preparation for their</w:t>
            </w:r>
            <w:r w:rsidRPr="00417A2D">
              <w:rPr>
                <w:rFonts w:ascii="Arial" w:hAnsi="Arial" w:cs="Arial"/>
                <w:color w:val="000000"/>
                <w:sz w:val="20"/>
                <w:szCs w:val="20"/>
                <w:lang w:val="en-GB"/>
              </w:rPr>
              <w:t xml:space="preserve"> examin</w:t>
            </w:r>
            <w:r w:rsidR="00E875BF" w:rsidRPr="00417A2D">
              <w:rPr>
                <w:rFonts w:ascii="Arial" w:hAnsi="Arial" w:cs="Arial"/>
                <w:color w:val="000000"/>
                <w:sz w:val="20"/>
                <w:szCs w:val="20"/>
                <w:lang w:val="en-GB"/>
              </w:rPr>
              <w:t>ation</w:t>
            </w:r>
            <w:r w:rsidRPr="00417A2D">
              <w:rPr>
                <w:rFonts w:ascii="Arial" w:hAnsi="Arial" w:cs="Arial"/>
                <w:color w:val="000000"/>
                <w:sz w:val="20"/>
                <w:szCs w:val="20"/>
                <w:lang w:val="en-GB"/>
              </w:rPr>
              <w:t xml:space="preserve"> by the Committee at its present session; </w:t>
            </w:r>
            <w:r w:rsidR="00605640" w:rsidRPr="00CB4E79">
              <w:rPr>
                <w:rFonts w:ascii="Arial" w:hAnsi="Arial" w:cs="Arial"/>
                <w:color w:val="000000"/>
                <w:sz w:val="20"/>
                <w:szCs w:val="20"/>
                <w:lang w:val="en-GB"/>
              </w:rPr>
              <w:t>1</w:t>
            </w:r>
            <w:r w:rsidRPr="00CB4E79">
              <w:rPr>
                <w:rFonts w:ascii="Arial" w:hAnsi="Arial" w:cs="Arial"/>
                <w:color w:val="000000"/>
                <w:sz w:val="20"/>
                <w:szCs w:val="20"/>
                <w:lang w:val="en-GB"/>
              </w:rPr>
              <w:t xml:space="preserve"> of them addressing gender issues</w:t>
            </w:r>
            <w:r w:rsidR="00DA149F">
              <w:rPr>
                <w:rFonts w:ascii="Arial" w:hAnsi="Arial" w:cs="Arial"/>
                <w:color w:val="000000"/>
                <w:sz w:val="20"/>
                <w:szCs w:val="20"/>
                <w:lang w:val="en-GB"/>
              </w:rPr>
              <w:t>.</w:t>
            </w:r>
          </w:p>
          <w:p w14:paraId="380E4297" w14:textId="65A191BD" w:rsidR="00B43AE4" w:rsidRPr="00417A2D" w:rsidRDefault="00A07171" w:rsidP="006667EC">
            <w:pPr>
              <w:pStyle w:val="ListParagraph"/>
              <w:numPr>
                <w:ilvl w:val="0"/>
                <w:numId w:val="7"/>
              </w:numPr>
              <w:spacing w:before="60" w:beforeAutospacing="0" w:after="60" w:afterAutospacing="0"/>
              <w:ind w:left="360"/>
              <w:rPr>
                <w:rFonts w:ascii="Arial" w:hAnsi="Arial" w:cs="Arial"/>
                <w:color w:val="000000"/>
                <w:sz w:val="20"/>
                <w:szCs w:val="20"/>
                <w:lang w:val="en-GB"/>
              </w:rPr>
            </w:pPr>
            <w:r w:rsidRPr="00417A2D">
              <w:rPr>
                <w:rFonts w:ascii="Arial" w:hAnsi="Arial" w:cs="Arial"/>
                <w:sz w:val="20"/>
                <w:szCs w:val="20"/>
                <w:lang w:val="en-GB"/>
              </w:rPr>
              <w:t xml:space="preserve">6 </w:t>
            </w:r>
            <w:r w:rsidR="00082E35" w:rsidRPr="00417A2D">
              <w:rPr>
                <w:rFonts w:ascii="Arial" w:hAnsi="Arial" w:cs="Arial"/>
                <w:sz w:val="20"/>
                <w:szCs w:val="20"/>
                <w:lang w:val="en-GB"/>
              </w:rPr>
              <w:t xml:space="preserve">periodic reports </w:t>
            </w:r>
            <w:r w:rsidR="006667EC" w:rsidRPr="00DE3235">
              <w:rPr>
                <w:rFonts w:ascii="Arial" w:hAnsi="Arial" w:cs="Arial"/>
                <w:sz w:val="20"/>
                <w:szCs w:val="20"/>
                <w:lang w:val="en-GB"/>
              </w:rPr>
              <w:t>submitted</w:t>
            </w:r>
            <w:r w:rsidR="006667EC" w:rsidRPr="00417A2D">
              <w:rPr>
                <w:rFonts w:ascii="Arial" w:hAnsi="Arial" w:cs="Arial"/>
                <w:sz w:val="20"/>
                <w:szCs w:val="20"/>
                <w:lang w:val="en-GB"/>
              </w:rPr>
              <w:t xml:space="preserve"> </w:t>
            </w:r>
            <w:r w:rsidR="00B43AE4" w:rsidRPr="00417A2D">
              <w:rPr>
                <w:rFonts w:ascii="Arial" w:hAnsi="Arial" w:cs="Arial"/>
                <w:sz w:val="20"/>
                <w:szCs w:val="20"/>
                <w:lang w:val="en-GB"/>
              </w:rPr>
              <w:t>on elements inscribed on the List of Intangible Cultural Heritage in Need of Urgent Safeguarding</w:t>
            </w:r>
            <w:r w:rsidRPr="00DE3235">
              <w:rPr>
                <w:rFonts w:ascii="Arial" w:hAnsi="Arial" w:cs="Arial"/>
                <w:sz w:val="20"/>
                <w:szCs w:val="20"/>
                <w:lang w:val="en-GB"/>
              </w:rPr>
              <w:t xml:space="preserve"> </w:t>
            </w:r>
            <w:r w:rsidR="008E144A" w:rsidRPr="00DE3235">
              <w:rPr>
                <w:rFonts w:ascii="Arial" w:hAnsi="Arial" w:cs="Arial"/>
                <w:sz w:val="20"/>
                <w:szCs w:val="20"/>
                <w:lang w:val="en-GB"/>
              </w:rPr>
              <w:t xml:space="preserve">and processed by the Secretariat in preparation for their </w:t>
            </w:r>
            <w:r w:rsidRPr="00417A2D">
              <w:rPr>
                <w:rFonts w:ascii="Arial" w:hAnsi="Arial" w:cs="Arial"/>
                <w:sz w:val="20"/>
                <w:szCs w:val="20"/>
                <w:lang w:val="en-GB"/>
              </w:rPr>
              <w:t>examin</w:t>
            </w:r>
            <w:r w:rsidR="008E144A" w:rsidRPr="00417A2D">
              <w:rPr>
                <w:rFonts w:ascii="Arial" w:hAnsi="Arial" w:cs="Arial"/>
                <w:sz w:val="20"/>
                <w:szCs w:val="20"/>
                <w:lang w:val="en-GB"/>
              </w:rPr>
              <w:t>ation</w:t>
            </w:r>
            <w:r w:rsidRPr="00417A2D">
              <w:rPr>
                <w:rFonts w:ascii="Arial" w:hAnsi="Arial" w:cs="Arial"/>
                <w:sz w:val="20"/>
                <w:szCs w:val="20"/>
                <w:lang w:val="en-GB"/>
              </w:rPr>
              <w:t xml:space="preserve"> by the Committee at its present session</w:t>
            </w:r>
            <w:r w:rsidR="00B9565E" w:rsidRPr="00417A2D">
              <w:rPr>
                <w:rFonts w:ascii="Arial" w:hAnsi="Arial" w:cs="Arial"/>
                <w:sz w:val="20"/>
                <w:szCs w:val="20"/>
                <w:lang w:val="en-GB"/>
              </w:rPr>
              <w:t xml:space="preserve">; </w:t>
            </w:r>
            <w:r w:rsidR="00605640" w:rsidRPr="00CB4E79">
              <w:rPr>
                <w:rFonts w:ascii="Arial" w:hAnsi="Arial" w:cs="Arial"/>
                <w:sz w:val="20"/>
                <w:szCs w:val="20"/>
                <w:lang w:val="en-GB"/>
              </w:rPr>
              <w:t xml:space="preserve">3 </w:t>
            </w:r>
            <w:r w:rsidR="00B9565E" w:rsidRPr="00417A2D">
              <w:rPr>
                <w:rFonts w:ascii="Arial" w:hAnsi="Arial" w:cs="Arial"/>
                <w:sz w:val="20"/>
                <w:szCs w:val="20"/>
                <w:lang w:val="en-GB"/>
              </w:rPr>
              <w:t>of them addressing gender issues.</w:t>
            </w:r>
          </w:p>
        </w:tc>
        <w:tc>
          <w:tcPr>
            <w:tcW w:w="1694" w:type="dxa"/>
          </w:tcPr>
          <w:p w14:paraId="161D6C28" w14:textId="77777777" w:rsidR="00B43AE4" w:rsidRPr="001C6031" w:rsidRDefault="00B43AE4" w:rsidP="002166EB">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Medium</w:t>
            </w:r>
          </w:p>
        </w:tc>
      </w:tr>
    </w:tbl>
    <w:p w14:paraId="02E6D954" w14:textId="77777777" w:rsidR="00B43AE4" w:rsidRPr="00BB6E41" w:rsidRDefault="00B43AE4" w:rsidP="00BB6E41">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341"/>
        <w:gridCol w:w="7513"/>
      </w:tblGrid>
      <w:tr w:rsidR="00B43AE4" w:rsidRPr="00284E2B" w14:paraId="5BB30417" w14:textId="77777777" w:rsidTr="00543205">
        <w:trPr>
          <w:cantSplit/>
        </w:trPr>
        <w:tc>
          <w:tcPr>
            <w:tcW w:w="1188" w:type="pct"/>
            <w:shd w:val="clear" w:color="auto" w:fill="808080" w:themeFill="background1" w:themeFillShade="80"/>
            <w:vAlign w:val="center"/>
          </w:tcPr>
          <w:p w14:paraId="6D2C0E0E" w14:textId="77777777" w:rsidR="00B43AE4" w:rsidRPr="00696A00" w:rsidRDefault="00B43AE4" w:rsidP="00B43AE4">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38C/5 Performance Indicator 4</w:t>
            </w:r>
          </w:p>
        </w:tc>
        <w:tc>
          <w:tcPr>
            <w:tcW w:w="3812" w:type="pct"/>
            <w:shd w:val="clear" w:color="auto" w:fill="808080" w:themeFill="background1" w:themeFillShade="80"/>
            <w:vAlign w:val="center"/>
          </w:tcPr>
          <w:p w14:paraId="4E24252D" w14:textId="77777777" w:rsidR="00B43AE4" w:rsidRPr="00696A00" w:rsidRDefault="00B43AE4" w:rsidP="00B43AE4">
            <w:pPr>
              <w:pStyle w:val="Default"/>
              <w:rPr>
                <w:b/>
                <w:bCs/>
                <w:color w:val="FFFFFF" w:themeColor="background1"/>
                <w:sz w:val="22"/>
                <w:szCs w:val="22"/>
                <w:lang w:val="en-GB"/>
              </w:rPr>
            </w:pPr>
            <w:r w:rsidRPr="00B43AE4">
              <w:rPr>
                <w:b/>
                <w:bCs/>
                <w:color w:val="FFFFFF" w:themeColor="background1"/>
                <w:sz w:val="22"/>
                <w:szCs w:val="22"/>
                <w:lang w:val="en-GB"/>
              </w:rPr>
              <w:t>Number of States Parties to</w:t>
            </w:r>
            <w:r>
              <w:rPr>
                <w:b/>
                <w:bCs/>
                <w:color w:val="FFFFFF" w:themeColor="background1"/>
                <w:sz w:val="22"/>
                <w:szCs w:val="22"/>
                <w:lang w:val="en-GB"/>
              </w:rPr>
              <w:t xml:space="preserve"> </w:t>
            </w:r>
            <w:r w:rsidRPr="00B43AE4">
              <w:rPr>
                <w:b/>
                <w:bCs/>
                <w:color w:val="FFFFFF" w:themeColor="background1"/>
                <w:sz w:val="22"/>
                <w:szCs w:val="22"/>
                <w:lang w:val="en-GB"/>
              </w:rPr>
              <w:t>the Convention increased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025"/>
        <w:gridCol w:w="1694"/>
      </w:tblGrid>
      <w:tr w:rsidR="00A60DC2" w:rsidRPr="00284E2B" w14:paraId="017AC9AC" w14:textId="77777777" w:rsidTr="002166EB">
        <w:trPr>
          <w:tblHeader/>
        </w:trPr>
        <w:tc>
          <w:tcPr>
            <w:tcW w:w="0" w:type="auto"/>
            <w:shd w:val="clear" w:color="auto" w:fill="D9D9D9" w:themeFill="background1" w:themeFillShade="D9"/>
            <w:vAlign w:val="center"/>
          </w:tcPr>
          <w:p w14:paraId="7DB0D0E6" w14:textId="77777777" w:rsidR="00B43AE4" w:rsidRPr="001C6031" w:rsidRDefault="00B43AE4" w:rsidP="002166EB">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034B1300" w14:textId="4E4F8B1F" w:rsidR="00B43AE4" w:rsidRPr="001C6031" w:rsidRDefault="00B43AE4" w:rsidP="002166EB">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sidR="00DF4FA2">
              <w:rPr>
                <w:rFonts w:ascii="Arial" w:eastAsia="Calibri" w:hAnsi="Arial" w:cs="Arial"/>
                <w:b/>
                <w:sz w:val="20"/>
                <w:szCs w:val="20"/>
                <w:lang w:val="en-GB"/>
              </w:rPr>
              <w:t>6</w:t>
            </w:r>
          </w:p>
        </w:tc>
        <w:tc>
          <w:tcPr>
            <w:tcW w:w="1694" w:type="dxa"/>
            <w:shd w:val="clear" w:color="auto" w:fill="D9D9D9" w:themeFill="background1" w:themeFillShade="D9"/>
            <w:vAlign w:val="center"/>
          </w:tcPr>
          <w:p w14:paraId="72249BD2" w14:textId="77777777" w:rsidR="00B43AE4" w:rsidRPr="001C6031" w:rsidRDefault="00B43AE4" w:rsidP="002166EB">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B43AE4" w:rsidRPr="00F8691A" w14:paraId="74558F14" w14:textId="77777777" w:rsidTr="00543205">
        <w:tc>
          <w:tcPr>
            <w:tcW w:w="0" w:type="auto"/>
            <w:shd w:val="clear" w:color="auto" w:fill="auto"/>
          </w:tcPr>
          <w:p w14:paraId="5E9771C5" w14:textId="3218D45E" w:rsidR="00B43AE4" w:rsidRPr="00DA6240" w:rsidRDefault="00B43AE4" w:rsidP="00BA3A07">
            <w:pPr>
              <w:pStyle w:val="ListParagraph"/>
              <w:numPr>
                <w:ilvl w:val="0"/>
                <w:numId w:val="7"/>
              </w:numPr>
              <w:spacing w:before="60" w:beforeAutospacing="0" w:after="60" w:afterAutospacing="0"/>
              <w:ind w:left="360"/>
              <w:rPr>
                <w:rFonts w:ascii="Arial" w:eastAsia="Calibri" w:hAnsi="Arial" w:cs="Arial"/>
                <w:sz w:val="20"/>
                <w:szCs w:val="20"/>
                <w:lang w:val="en-GB"/>
              </w:rPr>
            </w:pPr>
            <w:r w:rsidRPr="00B43AE4">
              <w:rPr>
                <w:rFonts w:ascii="Arial" w:eastAsia="Calibri" w:hAnsi="Arial" w:cs="Arial"/>
                <w:sz w:val="20"/>
                <w:szCs w:val="20"/>
                <w:lang w:val="en-GB"/>
              </w:rPr>
              <w:t>5 new ratifications, of which 2 from Africa</w:t>
            </w:r>
            <w:r w:rsidR="00DA149F">
              <w:rPr>
                <w:rFonts w:ascii="Arial" w:eastAsia="Calibri" w:hAnsi="Arial" w:cs="Arial"/>
                <w:sz w:val="20"/>
                <w:szCs w:val="20"/>
                <w:lang w:val="en-GB"/>
              </w:rPr>
              <w:t>.</w:t>
            </w:r>
          </w:p>
        </w:tc>
        <w:tc>
          <w:tcPr>
            <w:tcW w:w="4025" w:type="dxa"/>
            <w:shd w:val="clear" w:color="auto" w:fill="auto"/>
          </w:tcPr>
          <w:p w14:paraId="72F48BCC" w14:textId="6E7E3E7F" w:rsidR="00B43AE4" w:rsidRPr="00B43AE4" w:rsidRDefault="00B43AE4" w:rsidP="00BA3A07">
            <w:pPr>
              <w:pStyle w:val="ListParagraph"/>
              <w:numPr>
                <w:ilvl w:val="0"/>
                <w:numId w:val="7"/>
              </w:numPr>
              <w:spacing w:before="60" w:beforeAutospacing="0" w:after="60" w:afterAutospacing="0"/>
              <w:ind w:left="360"/>
              <w:rPr>
                <w:rFonts w:ascii="Arial" w:eastAsia="Calibri" w:hAnsi="Arial" w:cs="Arial"/>
                <w:sz w:val="20"/>
                <w:szCs w:val="20"/>
                <w:lang w:val="en-GB"/>
              </w:rPr>
            </w:pPr>
            <w:r w:rsidRPr="00B43AE4">
              <w:rPr>
                <w:rFonts w:ascii="Arial" w:eastAsia="Calibri" w:hAnsi="Arial" w:cs="Arial"/>
                <w:sz w:val="20"/>
                <w:szCs w:val="20"/>
                <w:lang w:val="en-GB"/>
              </w:rPr>
              <w:t xml:space="preserve">7 new ratifications (Cabo Verde, Cook Islands, Ghana, Guinea-Bissau, Ireland, Saint Kitts and Nevis, and Thailand), of which 3 from Africa. An extension of </w:t>
            </w:r>
            <w:r w:rsidR="00B9565E">
              <w:rPr>
                <w:rFonts w:ascii="Arial" w:eastAsia="Calibri" w:hAnsi="Arial" w:cs="Arial"/>
                <w:sz w:val="20"/>
                <w:szCs w:val="20"/>
                <w:lang w:val="en-GB"/>
              </w:rPr>
              <w:t xml:space="preserve">the </w:t>
            </w:r>
            <w:r w:rsidRPr="00B43AE4">
              <w:rPr>
                <w:rFonts w:ascii="Arial" w:eastAsia="Calibri" w:hAnsi="Arial" w:cs="Arial"/>
                <w:sz w:val="20"/>
                <w:szCs w:val="20"/>
                <w:lang w:val="en-GB"/>
              </w:rPr>
              <w:t xml:space="preserve">territorial application of the Convention made by the Netherlands for </w:t>
            </w:r>
            <w:r w:rsidR="00625B9F">
              <w:rPr>
                <w:rFonts w:ascii="Arial" w:eastAsia="Calibri" w:hAnsi="Arial" w:cs="Arial"/>
                <w:sz w:val="20"/>
                <w:szCs w:val="20"/>
                <w:lang w:val="en-GB"/>
              </w:rPr>
              <w:t>Curaç</w:t>
            </w:r>
            <w:r w:rsidR="00F349C2" w:rsidRPr="00B43AE4">
              <w:rPr>
                <w:rFonts w:ascii="Arial" w:eastAsia="Calibri" w:hAnsi="Arial" w:cs="Arial"/>
                <w:sz w:val="20"/>
                <w:szCs w:val="20"/>
                <w:lang w:val="en-GB"/>
              </w:rPr>
              <w:t>ao</w:t>
            </w:r>
            <w:r w:rsidR="00082E35">
              <w:rPr>
                <w:rFonts w:ascii="Arial" w:eastAsia="Calibri" w:hAnsi="Arial" w:cs="Arial"/>
                <w:sz w:val="20"/>
                <w:szCs w:val="20"/>
                <w:lang w:val="en-GB"/>
              </w:rPr>
              <w:t>.</w:t>
            </w:r>
          </w:p>
        </w:tc>
        <w:tc>
          <w:tcPr>
            <w:tcW w:w="1694" w:type="dxa"/>
          </w:tcPr>
          <w:p w14:paraId="2AA418BB" w14:textId="77777777" w:rsidR="00B43AE4" w:rsidRPr="001C6031" w:rsidRDefault="00B43AE4" w:rsidP="002166EB">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High</w:t>
            </w:r>
          </w:p>
        </w:tc>
      </w:tr>
    </w:tbl>
    <w:p w14:paraId="0257BCB2" w14:textId="77777777" w:rsidR="00B43AE4" w:rsidRPr="00BB6E41" w:rsidRDefault="00B43AE4" w:rsidP="00BB6E41">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341"/>
        <w:gridCol w:w="7513"/>
      </w:tblGrid>
      <w:tr w:rsidR="00B43AE4" w:rsidRPr="00284E2B" w14:paraId="6653215F" w14:textId="77777777" w:rsidTr="00543205">
        <w:trPr>
          <w:cantSplit/>
        </w:trPr>
        <w:tc>
          <w:tcPr>
            <w:tcW w:w="1188" w:type="pct"/>
            <w:shd w:val="clear" w:color="auto" w:fill="808080" w:themeFill="background1" w:themeFillShade="80"/>
            <w:vAlign w:val="center"/>
          </w:tcPr>
          <w:p w14:paraId="7AEEAE16" w14:textId="77777777" w:rsidR="00B43AE4" w:rsidRPr="00696A00" w:rsidRDefault="00B43AE4" w:rsidP="00201B3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38C/5 Performance Indicator </w:t>
            </w:r>
            <w:r w:rsidR="00201B3F">
              <w:rPr>
                <w:rFonts w:ascii="Arial" w:hAnsi="Arial" w:cs="Arial"/>
                <w:b/>
                <w:bCs/>
                <w:color w:val="FFFFFF" w:themeColor="background1"/>
                <w:sz w:val="22"/>
                <w:szCs w:val="22"/>
                <w:lang w:val="en-GB"/>
              </w:rPr>
              <w:t>5</w:t>
            </w:r>
          </w:p>
        </w:tc>
        <w:tc>
          <w:tcPr>
            <w:tcW w:w="3812" w:type="pct"/>
            <w:shd w:val="clear" w:color="auto" w:fill="808080" w:themeFill="background1" w:themeFillShade="80"/>
            <w:vAlign w:val="center"/>
          </w:tcPr>
          <w:p w14:paraId="31996F64" w14:textId="77777777" w:rsidR="00B43AE4" w:rsidRPr="00696A00" w:rsidRDefault="00201B3F" w:rsidP="002166EB">
            <w:pPr>
              <w:pStyle w:val="Default"/>
              <w:rPr>
                <w:b/>
                <w:bCs/>
                <w:color w:val="FFFFFF" w:themeColor="background1"/>
                <w:sz w:val="22"/>
                <w:szCs w:val="22"/>
                <w:lang w:val="en-GB"/>
              </w:rPr>
            </w:pPr>
            <w:r w:rsidRPr="00696A00">
              <w:rPr>
                <w:b/>
                <w:bCs/>
                <w:color w:val="FFFFFF" w:themeColor="background1"/>
                <w:sz w:val="22"/>
                <w:szCs w:val="22"/>
                <w:lang w:val="en-GB"/>
              </w:rPr>
              <w:t>Number of organizations within and outside the United Nations system, civil society, and the private sector contributing to programme delivery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025"/>
        <w:gridCol w:w="1694"/>
      </w:tblGrid>
      <w:tr w:rsidR="00A60DC2" w:rsidRPr="00284E2B" w14:paraId="3151B96E" w14:textId="77777777" w:rsidTr="002166EB">
        <w:trPr>
          <w:tblHeader/>
        </w:trPr>
        <w:tc>
          <w:tcPr>
            <w:tcW w:w="0" w:type="auto"/>
            <w:shd w:val="clear" w:color="auto" w:fill="D9D9D9" w:themeFill="background1" w:themeFillShade="D9"/>
            <w:vAlign w:val="center"/>
          </w:tcPr>
          <w:p w14:paraId="1E3435BF" w14:textId="77777777" w:rsidR="00B43AE4" w:rsidRPr="001C6031" w:rsidRDefault="00B43AE4" w:rsidP="002166EB">
            <w:pPr>
              <w:spacing w:before="60" w:after="60"/>
              <w:jc w:val="center"/>
              <w:rPr>
                <w:rFonts w:ascii="Arial" w:eastAsia="Calibri" w:hAnsi="Arial" w:cs="Arial"/>
                <w:b/>
                <w:sz w:val="20"/>
                <w:szCs w:val="20"/>
                <w:lang w:val="en-GB"/>
              </w:rPr>
            </w:pPr>
            <w:r>
              <w:rPr>
                <w:rFonts w:ascii="Arial" w:eastAsia="Calibri" w:hAnsi="Arial" w:cs="Arial"/>
                <w:b/>
                <w:sz w:val="20"/>
                <w:szCs w:val="20"/>
                <w:lang w:val="en-GB"/>
              </w:rPr>
              <w:t>Target</w:t>
            </w:r>
          </w:p>
        </w:tc>
        <w:tc>
          <w:tcPr>
            <w:tcW w:w="4025" w:type="dxa"/>
            <w:shd w:val="clear" w:color="auto" w:fill="D9D9D9" w:themeFill="background1" w:themeFillShade="D9"/>
            <w:vAlign w:val="center"/>
          </w:tcPr>
          <w:p w14:paraId="53FE9A01" w14:textId="5C990631" w:rsidR="00B43AE4" w:rsidRPr="001C6031" w:rsidRDefault="00B43AE4" w:rsidP="002166EB">
            <w:pPr>
              <w:spacing w:before="60" w:after="60"/>
              <w:jc w:val="center"/>
              <w:rPr>
                <w:rFonts w:ascii="Arial" w:eastAsia="Calibri" w:hAnsi="Arial" w:cs="Arial"/>
                <w:b/>
                <w:sz w:val="20"/>
                <w:szCs w:val="20"/>
                <w:lang w:val="en-GB"/>
              </w:rPr>
            </w:pPr>
            <w:r w:rsidRPr="001C6031">
              <w:rPr>
                <w:rFonts w:ascii="Arial" w:eastAsia="Calibri" w:hAnsi="Arial" w:cs="Arial"/>
                <w:b/>
                <w:sz w:val="20"/>
                <w:szCs w:val="20"/>
                <w:lang w:val="en-GB"/>
              </w:rPr>
              <w:t>Assessment of progress:</w:t>
            </w:r>
            <w:r w:rsidRPr="001C6031">
              <w:rPr>
                <w:rFonts w:ascii="Arial" w:eastAsia="Calibri" w:hAnsi="Arial" w:cs="Arial"/>
                <w:b/>
                <w:sz w:val="20"/>
                <w:szCs w:val="20"/>
                <w:lang w:val="en-GB"/>
              </w:rPr>
              <w:br/>
              <w:t>01/01/201</w:t>
            </w:r>
            <w:r>
              <w:rPr>
                <w:rFonts w:ascii="Arial" w:eastAsia="Calibri" w:hAnsi="Arial" w:cs="Arial"/>
                <w:b/>
                <w:sz w:val="20"/>
                <w:szCs w:val="20"/>
                <w:lang w:val="en-GB"/>
              </w:rPr>
              <w:t>6 to 30</w:t>
            </w:r>
            <w:r w:rsidRPr="001C6031">
              <w:rPr>
                <w:rFonts w:ascii="Arial" w:eastAsia="Calibri" w:hAnsi="Arial" w:cs="Arial"/>
                <w:b/>
                <w:sz w:val="20"/>
                <w:szCs w:val="20"/>
                <w:lang w:val="en-GB"/>
              </w:rPr>
              <w:t>/</w:t>
            </w:r>
            <w:r>
              <w:rPr>
                <w:rFonts w:ascii="Arial" w:eastAsia="Calibri" w:hAnsi="Arial" w:cs="Arial"/>
                <w:b/>
                <w:sz w:val="20"/>
                <w:szCs w:val="20"/>
                <w:lang w:val="en-GB"/>
              </w:rPr>
              <w:t>06</w:t>
            </w:r>
            <w:r w:rsidRPr="001C6031">
              <w:rPr>
                <w:rFonts w:ascii="Arial" w:eastAsia="Calibri" w:hAnsi="Arial" w:cs="Arial"/>
                <w:b/>
                <w:sz w:val="20"/>
                <w:szCs w:val="20"/>
                <w:lang w:val="en-GB"/>
              </w:rPr>
              <w:t>/201</w:t>
            </w:r>
            <w:r w:rsidR="00DF4FA2">
              <w:rPr>
                <w:rFonts w:ascii="Arial" w:eastAsia="Calibri" w:hAnsi="Arial" w:cs="Arial"/>
                <w:b/>
                <w:sz w:val="20"/>
                <w:szCs w:val="20"/>
                <w:lang w:val="en-GB"/>
              </w:rPr>
              <w:t>6</w:t>
            </w:r>
          </w:p>
        </w:tc>
        <w:tc>
          <w:tcPr>
            <w:tcW w:w="1694" w:type="dxa"/>
            <w:shd w:val="clear" w:color="auto" w:fill="D9D9D9" w:themeFill="background1" w:themeFillShade="D9"/>
            <w:vAlign w:val="center"/>
          </w:tcPr>
          <w:p w14:paraId="69670C5A" w14:textId="77777777" w:rsidR="00B43AE4" w:rsidRPr="001C6031" w:rsidRDefault="00B43AE4" w:rsidP="002166EB">
            <w:pPr>
              <w:spacing w:before="60" w:after="60"/>
              <w:jc w:val="center"/>
              <w:rPr>
                <w:rFonts w:ascii="Arial" w:eastAsia="Calibri" w:hAnsi="Arial" w:cs="Arial"/>
                <w:b/>
                <w:sz w:val="20"/>
                <w:szCs w:val="20"/>
                <w:lang w:val="en-GB"/>
              </w:rPr>
            </w:pPr>
            <w:r w:rsidRPr="00B43AE4">
              <w:rPr>
                <w:rFonts w:ascii="Arial" w:eastAsia="Calibri" w:hAnsi="Arial" w:cs="Arial"/>
                <w:b/>
                <w:sz w:val="20"/>
                <w:szCs w:val="20"/>
                <w:lang w:val="en-GB"/>
              </w:rPr>
              <w:t>Likelihood that target will be attained</w:t>
            </w:r>
          </w:p>
        </w:tc>
      </w:tr>
      <w:tr w:rsidR="00B43AE4" w:rsidRPr="00F8691A" w14:paraId="067ED5D7" w14:textId="77777777" w:rsidTr="00543205">
        <w:tc>
          <w:tcPr>
            <w:tcW w:w="0" w:type="auto"/>
            <w:shd w:val="clear" w:color="auto" w:fill="auto"/>
          </w:tcPr>
          <w:p w14:paraId="2743778C" w14:textId="3A895CC7" w:rsidR="00B43AE4" w:rsidRPr="00DA6240" w:rsidRDefault="00201B3F" w:rsidP="001E6E65">
            <w:pPr>
              <w:pStyle w:val="ListParagraph"/>
              <w:numPr>
                <w:ilvl w:val="0"/>
                <w:numId w:val="7"/>
              </w:numPr>
              <w:spacing w:before="60" w:beforeAutospacing="0" w:after="60" w:afterAutospacing="0"/>
              <w:ind w:left="360"/>
              <w:rPr>
                <w:rFonts w:ascii="Arial" w:eastAsia="Calibri" w:hAnsi="Arial" w:cs="Arial"/>
                <w:sz w:val="20"/>
                <w:szCs w:val="20"/>
                <w:lang w:val="en-GB"/>
              </w:rPr>
            </w:pPr>
            <w:r w:rsidRPr="00201B3F">
              <w:rPr>
                <w:rFonts w:ascii="Arial" w:eastAsia="Calibri" w:hAnsi="Arial" w:cs="Arial"/>
                <w:sz w:val="20"/>
                <w:szCs w:val="20"/>
                <w:lang w:val="en-GB"/>
              </w:rPr>
              <w:t>8 NGOs accredited</w:t>
            </w:r>
            <w:r w:rsidR="00DA149F">
              <w:rPr>
                <w:rFonts w:ascii="Arial" w:eastAsia="Calibri" w:hAnsi="Arial" w:cs="Arial"/>
                <w:sz w:val="20"/>
                <w:szCs w:val="20"/>
                <w:lang w:val="en-GB"/>
              </w:rPr>
              <w:t>;</w:t>
            </w:r>
            <w:r w:rsidRPr="00201B3F">
              <w:rPr>
                <w:rFonts w:ascii="Arial" w:eastAsia="Calibri" w:hAnsi="Arial" w:cs="Arial"/>
                <w:sz w:val="20"/>
                <w:szCs w:val="20"/>
                <w:lang w:val="en-GB"/>
              </w:rPr>
              <w:br/>
              <w:t>20 NGOs renewed</w:t>
            </w:r>
            <w:r w:rsidR="00DA149F">
              <w:rPr>
                <w:rFonts w:ascii="Arial" w:eastAsia="Calibri" w:hAnsi="Arial" w:cs="Arial"/>
                <w:sz w:val="20"/>
                <w:szCs w:val="20"/>
                <w:lang w:val="en-GB"/>
              </w:rPr>
              <w:t>;</w:t>
            </w:r>
            <w:r w:rsidRPr="00201B3F">
              <w:rPr>
                <w:rFonts w:ascii="Arial" w:eastAsia="Calibri" w:hAnsi="Arial" w:cs="Arial"/>
                <w:sz w:val="20"/>
                <w:szCs w:val="20"/>
                <w:lang w:val="en-GB"/>
              </w:rPr>
              <w:br/>
              <w:t>4 category 2 centres fully contributing to supporting UNESCO</w:t>
            </w:r>
            <w:r w:rsidR="001E6E65">
              <w:rPr>
                <w:rFonts w:ascii="Arial" w:eastAsia="Calibri" w:hAnsi="Arial" w:cs="Arial"/>
                <w:sz w:val="20"/>
                <w:szCs w:val="20"/>
                <w:lang w:val="en-GB"/>
              </w:rPr>
              <w:t>’</w:t>
            </w:r>
            <w:r w:rsidRPr="00201B3F">
              <w:rPr>
                <w:rFonts w:ascii="Arial" w:eastAsia="Calibri" w:hAnsi="Arial" w:cs="Arial"/>
                <w:sz w:val="20"/>
                <w:szCs w:val="20"/>
                <w:lang w:val="en-GB"/>
              </w:rPr>
              <w:t xml:space="preserve">s programme for </w:t>
            </w:r>
            <w:r w:rsidR="00DA149F">
              <w:rPr>
                <w:rFonts w:ascii="Arial" w:eastAsia="Calibri" w:hAnsi="Arial" w:cs="Arial"/>
                <w:sz w:val="20"/>
                <w:szCs w:val="20"/>
                <w:lang w:val="en-GB"/>
              </w:rPr>
              <w:t xml:space="preserve">the </w:t>
            </w:r>
            <w:r w:rsidRPr="00201B3F">
              <w:rPr>
                <w:rFonts w:ascii="Arial" w:eastAsia="Calibri" w:hAnsi="Arial" w:cs="Arial"/>
                <w:sz w:val="20"/>
                <w:szCs w:val="20"/>
                <w:lang w:val="en-GB"/>
              </w:rPr>
              <w:t>effective implementation of the 2003 Convention</w:t>
            </w:r>
            <w:r w:rsidR="00DA149F">
              <w:rPr>
                <w:rFonts w:ascii="Arial" w:eastAsia="Calibri" w:hAnsi="Arial" w:cs="Arial"/>
                <w:sz w:val="20"/>
                <w:szCs w:val="20"/>
                <w:lang w:val="en-GB"/>
              </w:rPr>
              <w:t>.</w:t>
            </w:r>
          </w:p>
        </w:tc>
        <w:tc>
          <w:tcPr>
            <w:tcW w:w="4025" w:type="dxa"/>
            <w:shd w:val="clear" w:color="auto" w:fill="auto"/>
          </w:tcPr>
          <w:p w14:paraId="15288B10" w14:textId="3FA46941" w:rsidR="00C97496" w:rsidRDefault="00C97496" w:rsidP="00BA3A07">
            <w:pPr>
              <w:pStyle w:val="ListParagraph"/>
              <w:numPr>
                <w:ilvl w:val="0"/>
                <w:numId w:val="7"/>
              </w:numPr>
              <w:spacing w:before="60" w:beforeAutospacing="0" w:after="60" w:afterAutospacing="0"/>
              <w:ind w:left="360"/>
              <w:rPr>
                <w:rFonts w:ascii="Arial" w:eastAsia="Calibri" w:hAnsi="Arial" w:cs="Arial"/>
                <w:sz w:val="20"/>
                <w:szCs w:val="20"/>
                <w:lang w:val="en-GB"/>
              </w:rPr>
            </w:pPr>
            <w:r w:rsidRPr="00543205">
              <w:rPr>
                <w:rFonts w:ascii="Arial" w:eastAsia="Calibri" w:hAnsi="Arial"/>
                <w:sz w:val="20"/>
                <w:lang w:val="en-GB"/>
              </w:rPr>
              <w:t xml:space="preserve">Facilitated the accreditation of </w:t>
            </w:r>
            <w:r w:rsidR="00082E35" w:rsidRPr="00543205">
              <w:rPr>
                <w:rFonts w:ascii="Arial" w:eastAsia="Calibri" w:hAnsi="Arial"/>
                <w:sz w:val="20"/>
                <w:lang w:val="en-GB"/>
              </w:rPr>
              <w:t>24</w:t>
            </w:r>
            <w:r w:rsidR="00201B3F" w:rsidRPr="00201B3F">
              <w:rPr>
                <w:rFonts w:ascii="Arial" w:eastAsia="Calibri" w:hAnsi="Arial" w:cs="Arial"/>
                <w:sz w:val="20"/>
                <w:szCs w:val="20"/>
                <w:lang w:val="en-GB"/>
              </w:rPr>
              <w:t xml:space="preserve"> NGOs </w:t>
            </w:r>
            <w:r w:rsidR="00B9565E">
              <w:rPr>
                <w:rFonts w:ascii="Arial" w:eastAsia="Calibri" w:hAnsi="Arial" w:cs="Arial"/>
                <w:sz w:val="20"/>
                <w:szCs w:val="20"/>
                <w:lang w:val="en-GB"/>
              </w:rPr>
              <w:t>by the sixth session of the General Assembly</w:t>
            </w:r>
            <w:r>
              <w:rPr>
                <w:rFonts w:ascii="Arial" w:eastAsia="Calibri" w:hAnsi="Arial" w:cs="Arial"/>
                <w:sz w:val="20"/>
                <w:szCs w:val="20"/>
                <w:lang w:val="en-GB"/>
              </w:rPr>
              <w:t xml:space="preserve"> and the renewal </w:t>
            </w:r>
            <w:r w:rsidR="00332B83">
              <w:rPr>
                <w:rFonts w:ascii="Arial" w:eastAsia="Calibri" w:hAnsi="Arial" w:cs="Arial"/>
                <w:sz w:val="20"/>
                <w:szCs w:val="20"/>
                <w:lang w:val="en-GB"/>
              </w:rPr>
              <w:t>of 59</w:t>
            </w:r>
            <w:r w:rsidR="00201B3F" w:rsidRPr="00201B3F">
              <w:rPr>
                <w:rFonts w:ascii="Arial" w:eastAsia="Calibri" w:hAnsi="Arial" w:cs="Arial"/>
                <w:sz w:val="20"/>
                <w:szCs w:val="20"/>
                <w:lang w:val="en-GB"/>
              </w:rPr>
              <w:t xml:space="preserve"> accredited NGOs</w:t>
            </w:r>
            <w:r w:rsidR="00DA149F">
              <w:rPr>
                <w:rFonts w:ascii="Arial" w:eastAsia="Calibri" w:hAnsi="Arial" w:cs="Arial"/>
                <w:sz w:val="20"/>
                <w:szCs w:val="20"/>
                <w:lang w:val="en-GB"/>
              </w:rPr>
              <w:t>.</w:t>
            </w:r>
          </w:p>
          <w:p w14:paraId="1249957F" w14:textId="69FF75DA" w:rsidR="003B2791" w:rsidRPr="00BB6E41" w:rsidRDefault="006104F3" w:rsidP="00BB6E41">
            <w:pPr>
              <w:pStyle w:val="ListParagraph"/>
              <w:numPr>
                <w:ilvl w:val="0"/>
                <w:numId w:val="7"/>
              </w:numPr>
              <w:spacing w:before="60" w:beforeAutospacing="0" w:after="60" w:afterAutospacing="0"/>
              <w:ind w:left="360"/>
              <w:rPr>
                <w:rFonts w:ascii="Arial" w:eastAsia="Calibri" w:hAnsi="Arial" w:cs="Arial"/>
                <w:sz w:val="20"/>
                <w:szCs w:val="20"/>
                <w:lang w:val="en-GB"/>
              </w:rPr>
            </w:pPr>
            <w:r>
              <w:rPr>
                <w:rFonts w:ascii="Arial" w:eastAsia="Calibri" w:hAnsi="Arial" w:cs="Arial"/>
                <w:sz w:val="20"/>
                <w:szCs w:val="20"/>
                <w:lang w:val="en-GB"/>
              </w:rPr>
              <w:t>A number of</w:t>
            </w:r>
            <w:r w:rsidR="00B9565E">
              <w:rPr>
                <w:rFonts w:ascii="Arial" w:eastAsia="Calibri" w:hAnsi="Arial" w:cs="Arial"/>
                <w:sz w:val="20"/>
                <w:szCs w:val="20"/>
                <w:lang w:val="en-GB"/>
              </w:rPr>
              <w:t xml:space="preserve"> </w:t>
            </w:r>
            <w:r w:rsidR="00201B3F" w:rsidRPr="00201B3F">
              <w:rPr>
                <w:rFonts w:ascii="Arial" w:eastAsia="Calibri" w:hAnsi="Arial" w:cs="Arial"/>
                <w:sz w:val="20"/>
                <w:szCs w:val="20"/>
                <w:lang w:val="en-GB"/>
              </w:rPr>
              <w:t xml:space="preserve">category 2 centres contributing to </w:t>
            </w:r>
            <w:r>
              <w:rPr>
                <w:rFonts w:ascii="Arial" w:eastAsia="Calibri" w:hAnsi="Arial" w:cs="Arial"/>
                <w:sz w:val="20"/>
                <w:szCs w:val="20"/>
                <w:lang w:val="en-GB"/>
              </w:rPr>
              <w:t xml:space="preserve">certain aspects </w:t>
            </w:r>
            <w:r w:rsidR="00DA149F">
              <w:rPr>
                <w:rFonts w:ascii="Arial" w:eastAsia="Calibri" w:hAnsi="Arial" w:cs="Arial"/>
                <w:sz w:val="20"/>
                <w:szCs w:val="20"/>
                <w:lang w:val="en-GB"/>
              </w:rPr>
              <w:t>of</w:t>
            </w:r>
            <w:r>
              <w:rPr>
                <w:rFonts w:ascii="Arial" w:eastAsia="Calibri" w:hAnsi="Arial" w:cs="Arial"/>
                <w:sz w:val="20"/>
                <w:szCs w:val="20"/>
                <w:lang w:val="en-GB"/>
              </w:rPr>
              <w:t xml:space="preserve"> </w:t>
            </w:r>
            <w:r w:rsidR="001E6E65">
              <w:rPr>
                <w:rFonts w:ascii="Arial" w:eastAsia="Calibri" w:hAnsi="Arial" w:cs="Arial"/>
                <w:sz w:val="20"/>
                <w:szCs w:val="20"/>
                <w:lang w:val="en-GB"/>
              </w:rPr>
              <w:t>UNESCO’</w:t>
            </w:r>
            <w:r w:rsidR="00201B3F" w:rsidRPr="00201B3F">
              <w:rPr>
                <w:rFonts w:ascii="Arial" w:eastAsia="Calibri" w:hAnsi="Arial" w:cs="Arial"/>
                <w:sz w:val="20"/>
                <w:szCs w:val="20"/>
                <w:lang w:val="en-GB"/>
              </w:rPr>
              <w:t>s programme for</w:t>
            </w:r>
            <w:r w:rsidR="00DA149F">
              <w:rPr>
                <w:rFonts w:ascii="Arial" w:eastAsia="Calibri" w:hAnsi="Arial" w:cs="Arial"/>
                <w:sz w:val="20"/>
                <w:szCs w:val="20"/>
                <w:lang w:val="en-GB"/>
              </w:rPr>
              <w:t xml:space="preserve"> the</w:t>
            </w:r>
            <w:r w:rsidR="00201B3F" w:rsidRPr="00201B3F">
              <w:rPr>
                <w:rFonts w:ascii="Arial" w:eastAsia="Calibri" w:hAnsi="Arial" w:cs="Arial"/>
                <w:sz w:val="20"/>
                <w:szCs w:val="20"/>
                <w:lang w:val="en-GB"/>
              </w:rPr>
              <w:t xml:space="preserve"> effective implementation of the 2003 Convention</w:t>
            </w:r>
            <w:r w:rsidR="00DA149F">
              <w:rPr>
                <w:rFonts w:ascii="Arial" w:eastAsia="Calibri" w:hAnsi="Arial" w:cs="Arial"/>
                <w:sz w:val="20"/>
                <w:szCs w:val="20"/>
                <w:lang w:val="en-GB"/>
              </w:rPr>
              <w:t>.</w:t>
            </w:r>
          </w:p>
        </w:tc>
        <w:tc>
          <w:tcPr>
            <w:tcW w:w="1694" w:type="dxa"/>
          </w:tcPr>
          <w:p w14:paraId="2BF8E53B" w14:textId="0C97DD2F" w:rsidR="00B43AE4" w:rsidRPr="001C6031" w:rsidRDefault="003F1ACC" w:rsidP="003F1ACC">
            <w:pPr>
              <w:pStyle w:val="ListParagraph"/>
              <w:spacing w:before="60" w:after="60"/>
              <w:ind w:left="19"/>
              <w:jc w:val="center"/>
              <w:rPr>
                <w:rFonts w:ascii="Arial" w:eastAsia="Calibri" w:hAnsi="Arial" w:cs="Arial"/>
                <w:sz w:val="20"/>
                <w:szCs w:val="20"/>
                <w:lang w:val="en-GB"/>
              </w:rPr>
            </w:pPr>
            <w:r>
              <w:rPr>
                <w:rFonts w:ascii="Arial" w:eastAsia="Calibri" w:hAnsi="Arial" w:cs="Arial"/>
                <w:sz w:val="20"/>
                <w:szCs w:val="20"/>
                <w:lang w:val="en-GB"/>
              </w:rPr>
              <w:t>Medium</w:t>
            </w:r>
          </w:p>
        </w:tc>
      </w:tr>
    </w:tbl>
    <w:p w14:paraId="4B016CC2" w14:textId="77777777" w:rsidR="00FE63A0" w:rsidRPr="00F41D50" w:rsidRDefault="00FE63A0" w:rsidP="00FE63A0">
      <w:pPr>
        <w:pStyle w:val="COMPara"/>
        <w:numPr>
          <w:ilvl w:val="0"/>
          <w:numId w:val="5"/>
        </w:numPr>
        <w:spacing w:before="360"/>
        <w:ind w:left="567" w:hanging="567"/>
        <w:jc w:val="both"/>
        <w:rPr>
          <w:b/>
        </w:rPr>
      </w:pPr>
      <w:r w:rsidRPr="00F41D50">
        <w:rPr>
          <w:b/>
        </w:rPr>
        <w:t>Duties, structure and composition of the Secretariat</w:t>
      </w:r>
    </w:p>
    <w:p w14:paraId="10B61ECE" w14:textId="0260EEB5" w:rsidR="00FE63A0" w:rsidRPr="00F41D50" w:rsidRDefault="00FE63A0" w:rsidP="00FE63A0">
      <w:pPr>
        <w:pStyle w:val="COMPara"/>
        <w:ind w:left="567" w:hanging="567"/>
        <w:jc w:val="both"/>
      </w:pPr>
      <w:r w:rsidRPr="00F41D50">
        <w:t xml:space="preserve">The primary responsibilities of the Secretariat, as set out in </w:t>
      </w:r>
      <w:r>
        <w:t xml:space="preserve">Article 10 of </w:t>
      </w:r>
      <w:r w:rsidRPr="00F41D50">
        <w:t xml:space="preserve">the Convention, are to assist the </w:t>
      </w:r>
      <w:r w:rsidRPr="00D12CCE">
        <w:t xml:space="preserve">Intergovernmental Committee </w:t>
      </w:r>
      <w:r w:rsidRPr="006E5EC5">
        <w:t>for the Safeguarding of the Intangible Cultural Heritage</w:t>
      </w:r>
      <w:r>
        <w:t xml:space="preserve"> </w:t>
      </w:r>
      <w:r w:rsidRPr="00F41D50">
        <w:t xml:space="preserve">and to ‘prepare the documentation of the General Assembly and of the Committee, as well as the draft agenda of their meetings, and </w:t>
      </w:r>
      <w:r w:rsidR="0088218A">
        <w:t xml:space="preserve">shall </w:t>
      </w:r>
      <w:r w:rsidRPr="00F41D50">
        <w:t>ensure the implementation of their decisions’.</w:t>
      </w:r>
    </w:p>
    <w:p w14:paraId="35C86D86" w14:textId="6E8541C5" w:rsidR="00FE63A0" w:rsidRDefault="00FE63A0" w:rsidP="00FE63A0">
      <w:pPr>
        <w:pStyle w:val="COMPara"/>
        <w:ind w:left="567" w:hanging="567"/>
        <w:jc w:val="both"/>
      </w:pPr>
      <w:r>
        <w:t xml:space="preserve">Since 2014, the Section has been </w:t>
      </w:r>
      <w:r w:rsidRPr="00F41D50">
        <w:t>composed of two units</w:t>
      </w:r>
      <w:r>
        <w:t xml:space="preserve"> –</w:t>
      </w:r>
      <w:r w:rsidRPr="00F41D50">
        <w:t xml:space="preserve"> a Programme Implementation Unit and a Capacity</w:t>
      </w:r>
      <w:r>
        <w:t>-b</w:t>
      </w:r>
      <w:r w:rsidRPr="00F41D50">
        <w:t xml:space="preserve">uilding and Heritage Policy Unit. </w:t>
      </w:r>
      <w:r>
        <w:t>R</w:t>
      </w:r>
      <w:r w:rsidRPr="00F41D50">
        <w:t xml:space="preserve">egional responsibilities are distributed </w:t>
      </w:r>
      <w:r>
        <w:t xml:space="preserve">transversally across </w:t>
      </w:r>
      <w:r w:rsidRPr="00F41D50">
        <w:t>the two units,</w:t>
      </w:r>
      <w:r>
        <w:t xml:space="preserve"> with ‘regional officers’ for </w:t>
      </w:r>
      <w:r w:rsidRPr="00F41D50">
        <w:t xml:space="preserve">each of the six </w:t>
      </w:r>
      <w:r>
        <w:t>electoral groups of UNESCO</w:t>
      </w:r>
      <w:r w:rsidRPr="00F41D50">
        <w:t>.</w:t>
      </w:r>
      <w:r>
        <w:t xml:space="preserve"> The tasks assigned to these Units are described in the Secretar</w:t>
      </w:r>
      <w:r w:rsidR="00004141">
        <w:t>iat</w:t>
      </w:r>
      <w:r>
        <w:t>’s report to the tenth session of the Committee (</w:t>
      </w:r>
      <w:r w:rsidRPr="002232C8">
        <w:t xml:space="preserve">Document </w:t>
      </w:r>
      <w:hyperlink r:id="rId24" w:history="1">
        <w:r w:rsidRPr="002232C8">
          <w:rPr>
            <w:rStyle w:val="Hyperlink"/>
            <w:rFonts w:cs="Arial"/>
          </w:rPr>
          <w:t>ITH/15/10.COM 7.b</w:t>
        </w:r>
      </w:hyperlink>
      <w:r>
        <w:t>) and to the sixth session of the General Assembly (</w:t>
      </w:r>
      <w:r w:rsidRPr="002232C8">
        <w:t xml:space="preserve">Document </w:t>
      </w:r>
      <w:hyperlink r:id="rId25" w:history="1">
        <w:r w:rsidRPr="002232C8">
          <w:rPr>
            <w:rStyle w:val="Hyperlink"/>
            <w:rFonts w:cs="Arial"/>
          </w:rPr>
          <w:t>ITH/16/6.GA 6</w:t>
        </w:r>
      </w:hyperlink>
      <w:r>
        <w:t>) and have remained unchanged under the reporting period. T</w:t>
      </w:r>
      <w:r w:rsidRPr="007C6F2C">
        <w:t xml:space="preserve">he Section </w:t>
      </w:r>
      <w:r>
        <w:t>currently</w:t>
      </w:r>
      <w:r w:rsidRPr="007C6F2C">
        <w:t xml:space="preserve"> includes </w:t>
      </w:r>
      <w:r>
        <w:t>12</w:t>
      </w:r>
      <w:r w:rsidRPr="007C6F2C">
        <w:t xml:space="preserve"> established posts under the Regular Programme:</w:t>
      </w:r>
      <w:r w:rsidRPr="007C6F2C" w:rsidDel="00D4457B">
        <w:t xml:space="preserve"> </w:t>
      </w:r>
      <w:r>
        <w:t>4</w:t>
      </w:r>
      <w:r w:rsidRPr="007C6F2C">
        <w:t xml:space="preserve"> from </w:t>
      </w:r>
      <w:r>
        <w:t xml:space="preserve">the </w:t>
      </w:r>
      <w:r w:rsidRPr="007C6F2C">
        <w:t xml:space="preserve">‘general services’ </w:t>
      </w:r>
      <w:r>
        <w:t xml:space="preserve">category </w:t>
      </w:r>
      <w:r w:rsidRPr="007C6F2C">
        <w:t xml:space="preserve">and 8 </w:t>
      </w:r>
      <w:r>
        <w:t xml:space="preserve">from the </w:t>
      </w:r>
      <w:r w:rsidRPr="007C6F2C">
        <w:t>‘professional’</w:t>
      </w:r>
      <w:r>
        <w:t xml:space="preserve"> category</w:t>
      </w:r>
      <w:r w:rsidRPr="007C6F2C">
        <w:t>. The Chief of the Section</w:t>
      </w:r>
      <w:r>
        <w:t xml:space="preserve"> also functions as the Secretary of the Convention. The beginning of the year 2016 was marked by the arrival of the new </w:t>
      </w:r>
      <w:r>
        <w:rPr>
          <w:rFonts w:eastAsia="Malgun Gothic" w:hint="eastAsia"/>
          <w:lang w:eastAsia="ko-KR"/>
        </w:rPr>
        <w:t>Chief</w:t>
      </w:r>
      <w:r>
        <w:t xml:space="preserve"> of </w:t>
      </w:r>
      <w:r>
        <w:rPr>
          <w:rFonts w:eastAsia="Malgun Gothic" w:hint="eastAsia"/>
          <w:lang w:eastAsia="ko-KR"/>
        </w:rPr>
        <w:t>S</w:t>
      </w:r>
      <w:r>
        <w:t>ection, Mr Tim Curtis.</w:t>
      </w:r>
    </w:p>
    <w:p w14:paraId="651E795B" w14:textId="77777777" w:rsidR="00FE63A0" w:rsidRDefault="00FE63A0" w:rsidP="00FE63A0">
      <w:pPr>
        <w:pStyle w:val="COMPara"/>
        <w:ind w:left="567" w:hanging="567"/>
        <w:jc w:val="both"/>
      </w:pPr>
      <w:r>
        <w:t>In addition to the Regular Programme staff, the Section also relies on a number of persons working under various temporary assignments:</w:t>
      </w:r>
    </w:p>
    <w:p w14:paraId="5D22836E" w14:textId="77777777" w:rsidR="00FE63A0" w:rsidRDefault="00FE63A0" w:rsidP="002232C8">
      <w:pPr>
        <w:pStyle w:val="COMPara"/>
        <w:numPr>
          <w:ilvl w:val="0"/>
          <w:numId w:val="8"/>
        </w:numPr>
        <w:ind w:left="1134" w:hanging="567"/>
        <w:jc w:val="both"/>
      </w:pPr>
      <w:r>
        <w:t xml:space="preserve">Four Project Appointments continue to be supported by contributions from States Parties to the sub-fund of the Intangible Cultural Heritage Fund and two additional </w:t>
      </w:r>
      <w:r>
        <w:lastRenderedPageBreak/>
        <w:t>Project Appointments are financed with the Fund’s support to the knowledge management system and the capacity-building programme.</w:t>
      </w:r>
    </w:p>
    <w:p w14:paraId="1018F7F8" w14:textId="77777777" w:rsidR="00FE63A0" w:rsidRDefault="00FE63A0" w:rsidP="002232C8">
      <w:pPr>
        <w:pStyle w:val="COMPara"/>
        <w:numPr>
          <w:ilvl w:val="0"/>
          <w:numId w:val="8"/>
        </w:numPr>
        <w:ind w:left="1134" w:hanging="567"/>
        <w:jc w:val="both"/>
      </w:pPr>
      <w:r>
        <w:t>There are two additional temporary posts: the first one (Project Appointment) was established in December 2014 with funding from the UNESCO/Abu Dhabi Tourism and Culture Authority Funds-in-Trust, and the second (Secondment), which started in March 2015, is financed by the UNESCO/Japan Funds-in-Trust for Safeguarding Intangible Cultural Heritage. In addition, an expert from the Government of the People’s Republic of China who joined the team in January 2014 continues to provide his service to the Section, while a project coordinator who managed a capacity-building project</w:t>
      </w:r>
      <w:r w:rsidRPr="009650FC">
        <w:t xml:space="preserve"> </w:t>
      </w:r>
      <w:r>
        <w:t>in Portuguese-speaking Africa, funded by the Intangible Cultural Heritage Fund thanks to an earmarked contribution from Norway, completed her term in May 2016.</w:t>
      </w:r>
    </w:p>
    <w:p w14:paraId="28ED92E0" w14:textId="77777777" w:rsidR="00FE63A0" w:rsidRDefault="00FE63A0" w:rsidP="002232C8">
      <w:pPr>
        <w:pStyle w:val="COMPara"/>
        <w:numPr>
          <w:ilvl w:val="0"/>
          <w:numId w:val="8"/>
        </w:numPr>
        <w:ind w:left="1134" w:hanging="567"/>
        <w:jc w:val="both"/>
      </w:pPr>
      <w:r>
        <w:t>Under the reporting period, six additional temporary personnel contributed to the work of the Secretariat of the Convention for various periods, financed by the Regular Programme.</w:t>
      </w:r>
    </w:p>
    <w:p w14:paraId="74167F05" w14:textId="5C142FB6" w:rsidR="002D3437" w:rsidRPr="00BB6E41" w:rsidRDefault="00FE63A0" w:rsidP="00BB6E41">
      <w:pPr>
        <w:pStyle w:val="COMPara"/>
        <w:ind w:left="567" w:hanging="567"/>
        <w:jc w:val="both"/>
      </w:pPr>
      <w:r>
        <w:t xml:space="preserve">Moreover, the </w:t>
      </w:r>
      <w:r w:rsidRPr="00F41D50">
        <w:t xml:space="preserve">Conventions Common Services </w:t>
      </w:r>
      <w:r>
        <w:t>Unit,</w:t>
      </w:r>
      <w:r w:rsidRPr="00F41D50">
        <w:t xml:space="preserve"> </w:t>
      </w:r>
      <w:r>
        <w:t>established in mid-2014</w:t>
      </w:r>
      <w:r w:rsidRPr="0018484B">
        <w:t xml:space="preserve"> </w:t>
      </w:r>
      <w:r>
        <w:t xml:space="preserve">(see </w:t>
      </w:r>
      <w:r w:rsidRPr="002232C8">
        <w:rPr>
          <w:rFonts w:cs="Times New Roman"/>
          <w:lang w:val="en-US"/>
        </w:rPr>
        <w:t>Document </w:t>
      </w:r>
      <w:hyperlink r:id="rId26" w:history="1">
        <w:r w:rsidRPr="002232C8">
          <w:rPr>
            <w:rStyle w:val="Hyperlink"/>
            <w:lang w:val="en-US"/>
          </w:rPr>
          <w:t>ITH/13/9.COM/6</w:t>
        </w:r>
      </w:hyperlink>
      <w:r w:rsidRPr="002232C8">
        <w:rPr>
          <w:rStyle w:val="Hyperlink"/>
          <w:color w:val="auto"/>
          <w:u w:val="none"/>
          <w:lang w:val="en-US"/>
        </w:rPr>
        <w:t>)</w:t>
      </w:r>
      <w:r w:rsidRPr="003524FD">
        <w:rPr>
          <w:rStyle w:val="Hyperlink"/>
          <w:color w:val="auto"/>
          <w:u w:val="none"/>
          <w:lang w:val="en-US"/>
        </w:rPr>
        <w:t xml:space="preserve">, </w:t>
      </w:r>
      <w:r>
        <w:t xml:space="preserve">assisted the Section in the organization of statutory meetings. In particular, this concerned logistical aspects and the travel arrangements of meeting participants, as well as administrative and procedural issues linked to cooperation with category 2 centres and the treatment of requests for patronage and the </w:t>
      </w:r>
      <w:r w:rsidR="00BB6E41">
        <w:t>use of the Convention’s emblem.</w:t>
      </w:r>
    </w:p>
    <w:p w14:paraId="1E13DFF3" w14:textId="77777777" w:rsidR="003E5919" w:rsidRPr="00EA528C" w:rsidRDefault="003E5919" w:rsidP="005E42B1">
      <w:pPr>
        <w:pStyle w:val="COMPara"/>
        <w:keepNext/>
        <w:ind w:left="567" w:hanging="567"/>
      </w:pPr>
      <w:r w:rsidRPr="000B1C8F">
        <w:t xml:space="preserve">The Committee may wish </w:t>
      </w:r>
      <w:r>
        <w:t>to adopt the following decision</w:t>
      </w:r>
      <w:r w:rsidRPr="00EA528C">
        <w:t>:</w:t>
      </w:r>
    </w:p>
    <w:p w14:paraId="7B832DF0" w14:textId="77777777" w:rsidR="003E5919" w:rsidRPr="00FD624F" w:rsidRDefault="003E5919" w:rsidP="005B17FD">
      <w:pPr>
        <w:pStyle w:val="COMTitleDecision"/>
      </w:pPr>
      <w:r w:rsidRPr="003A2FFA">
        <w:t>DRAFT DECISION 11.COM 5</w:t>
      </w:r>
    </w:p>
    <w:p w14:paraId="72864705" w14:textId="77777777" w:rsidR="003E5919" w:rsidRPr="00285BB4" w:rsidRDefault="003E5919" w:rsidP="003E5919">
      <w:pPr>
        <w:pStyle w:val="COMPreambulaDecisions"/>
      </w:pPr>
      <w:r w:rsidRPr="00285BB4">
        <w:t>The Committee,</w:t>
      </w:r>
    </w:p>
    <w:p w14:paraId="245F8E51" w14:textId="77777777" w:rsidR="003E5919" w:rsidRPr="002D3437" w:rsidRDefault="003E5919" w:rsidP="009427FC">
      <w:pPr>
        <w:pStyle w:val="COMParaDecision"/>
        <w:ind w:left="1134" w:hanging="567"/>
      </w:pPr>
      <w:r w:rsidRPr="003A2FFA">
        <w:t>Having examined</w:t>
      </w:r>
      <w:r w:rsidRPr="003A2FFA">
        <w:rPr>
          <w:u w:val="none"/>
        </w:rPr>
        <w:t xml:space="preserve"> document ITH/16/11.COM/5,</w:t>
      </w:r>
    </w:p>
    <w:p w14:paraId="00E38AE1" w14:textId="7047AC84" w:rsidR="003D2320" w:rsidRDefault="003D2320" w:rsidP="009427FC">
      <w:pPr>
        <w:pStyle w:val="COMParaDecision"/>
        <w:ind w:left="1134" w:hanging="567"/>
        <w:rPr>
          <w:u w:val="none"/>
        </w:rPr>
      </w:pPr>
      <w:r>
        <w:t>W</w:t>
      </w:r>
      <w:r w:rsidRPr="000663CF">
        <w:t>elcomes</w:t>
      </w:r>
      <w:r>
        <w:rPr>
          <w:rStyle w:val="apple-converted-space"/>
          <w:color w:val="414042"/>
          <w:sz w:val="21"/>
          <w:szCs w:val="21"/>
          <w:u w:val="none"/>
        </w:rPr>
        <w:t xml:space="preserve"> </w:t>
      </w:r>
      <w:r w:rsidRPr="000663CF">
        <w:rPr>
          <w:u w:val="none"/>
        </w:rPr>
        <w:t xml:space="preserve">the </w:t>
      </w:r>
      <w:r>
        <w:rPr>
          <w:u w:val="none"/>
        </w:rPr>
        <w:t>revised format</w:t>
      </w:r>
      <w:r w:rsidRPr="000663CF">
        <w:rPr>
          <w:u w:val="none"/>
        </w:rPr>
        <w:t xml:space="preserve"> of the report of the Secretariat </w:t>
      </w:r>
      <w:r>
        <w:rPr>
          <w:u w:val="none"/>
        </w:rPr>
        <w:t>and its periodicity aligned with UNESCO’s reporting process</w:t>
      </w:r>
      <w:r w:rsidR="00150310">
        <w:rPr>
          <w:u w:val="none"/>
        </w:rPr>
        <w:t>es</w:t>
      </w:r>
      <w:r w:rsidRPr="000663CF">
        <w:rPr>
          <w:u w:val="none"/>
        </w:rPr>
        <w:t>;</w:t>
      </w:r>
    </w:p>
    <w:p w14:paraId="345377DC" w14:textId="7F890697" w:rsidR="003E5919" w:rsidRDefault="003D2320" w:rsidP="009427FC">
      <w:pPr>
        <w:pStyle w:val="COMParaDecision"/>
        <w:ind w:left="1134" w:hanging="567"/>
        <w:rPr>
          <w:u w:val="none"/>
        </w:rPr>
      </w:pPr>
      <w:r>
        <w:t>Further w</w:t>
      </w:r>
      <w:r w:rsidR="003E5919" w:rsidRPr="003E6EA4">
        <w:t>elcomes</w:t>
      </w:r>
      <w:r w:rsidR="003E5919" w:rsidRPr="00596805">
        <w:rPr>
          <w:u w:val="none"/>
        </w:rPr>
        <w:t xml:space="preserve"> </w:t>
      </w:r>
      <w:r w:rsidR="003E5919" w:rsidRPr="002D3437">
        <w:rPr>
          <w:u w:val="none"/>
        </w:rPr>
        <w:t>the seven States – </w:t>
      </w:r>
      <w:r w:rsidR="003E5919" w:rsidRPr="00594962">
        <w:rPr>
          <w:u w:val="none"/>
        </w:rPr>
        <w:t>Cabo Verde, Cook Islands, Ghana, Guinea-Bissau, Ireland, Saint Kitts and Nevis, and Thailand</w:t>
      </w:r>
      <w:r w:rsidR="003E5919" w:rsidRPr="002D3437">
        <w:rPr>
          <w:u w:val="none"/>
        </w:rPr>
        <w:t xml:space="preserve"> –</w:t>
      </w:r>
      <w:r w:rsidR="003E5919" w:rsidRPr="002D3437">
        <w:rPr>
          <w:rFonts w:eastAsia="Arial"/>
          <w:u w:val="none"/>
        </w:rPr>
        <w:t xml:space="preserve"> </w:t>
      </w:r>
      <w:r w:rsidR="003E5919" w:rsidRPr="002D3437">
        <w:rPr>
          <w:u w:val="none"/>
        </w:rPr>
        <w:t xml:space="preserve">that have ratified the Convention since the </w:t>
      </w:r>
      <w:r w:rsidR="003E5919">
        <w:rPr>
          <w:u w:val="none"/>
        </w:rPr>
        <w:t>tenth</w:t>
      </w:r>
      <w:r w:rsidR="003E5919" w:rsidRPr="002D3437">
        <w:rPr>
          <w:u w:val="none"/>
        </w:rPr>
        <w:t xml:space="preserve"> session of the </w:t>
      </w:r>
      <w:r w:rsidR="003E5919">
        <w:rPr>
          <w:u w:val="none"/>
        </w:rPr>
        <w:t>Committee</w:t>
      </w:r>
      <w:r w:rsidR="003E5919" w:rsidRPr="002D3437">
        <w:rPr>
          <w:u w:val="none"/>
        </w:rPr>
        <w:t xml:space="preserve"> and expresses satisfaction with the </w:t>
      </w:r>
      <w:r w:rsidR="00332B83">
        <w:rPr>
          <w:u w:val="none"/>
        </w:rPr>
        <w:t>relentless</w:t>
      </w:r>
      <w:r w:rsidR="003E5919" w:rsidRPr="002D3437">
        <w:rPr>
          <w:u w:val="none"/>
        </w:rPr>
        <w:t xml:space="preserve"> pace of ratification</w:t>
      </w:r>
      <w:r w:rsidR="00825F6F">
        <w:rPr>
          <w:u w:val="none"/>
        </w:rPr>
        <w:t>;</w:t>
      </w:r>
    </w:p>
    <w:p w14:paraId="455530B8" w14:textId="683AFBC9" w:rsidR="003E5919" w:rsidRDefault="003E5919" w:rsidP="003E5919">
      <w:pPr>
        <w:pStyle w:val="COMParaDecision"/>
        <w:ind w:left="1134" w:hanging="567"/>
        <w:rPr>
          <w:u w:val="none"/>
        </w:rPr>
      </w:pPr>
      <w:r w:rsidRPr="000663CF">
        <w:t>Commends</w:t>
      </w:r>
      <w:r>
        <w:rPr>
          <w:rStyle w:val="apple-converted-space"/>
          <w:color w:val="414042"/>
          <w:sz w:val="21"/>
          <w:szCs w:val="21"/>
          <w:u w:val="none"/>
        </w:rPr>
        <w:t xml:space="preserve"> </w:t>
      </w:r>
      <w:r w:rsidRPr="000663CF">
        <w:rPr>
          <w:u w:val="none"/>
        </w:rPr>
        <w:t>the Secretariat for ensur</w:t>
      </w:r>
      <w:r>
        <w:rPr>
          <w:u w:val="none"/>
        </w:rPr>
        <w:t>ing</w:t>
      </w:r>
      <w:r w:rsidRPr="000663CF">
        <w:rPr>
          <w:u w:val="none"/>
        </w:rPr>
        <w:t xml:space="preserve"> the effective implementation of the decisions of the Committee</w:t>
      </w:r>
      <w:r>
        <w:rPr>
          <w:u w:val="none"/>
        </w:rPr>
        <w:t xml:space="preserve"> and </w:t>
      </w:r>
      <w:r w:rsidR="00B9565E">
        <w:rPr>
          <w:u w:val="none"/>
        </w:rPr>
        <w:t xml:space="preserve">the resolutions </w:t>
      </w:r>
      <w:r>
        <w:rPr>
          <w:u w:val="none"/>
        </w:rPr>
        <w:t>of the General Assembly as well as</w:t>
      </w:r>
      <w:r w:rsidRPr="000663CF">
        <w:rPr>
          <w:u w:val="none"/>
        </w:rPr>
        <w:t xml:space="preserve"> the </w:t>
      </w:r>
      <w:r>
        <w:rPr>
          <w:u w:val="none"/>
        </w:rPr>
        <w:t>efficient</w:t>
      </w:r>
      <w:r w:rsidRPr="000663CF">
        <w:rPr>
          <w:u w:val="none"/>
        </w:rPr>
        <w:t xml:space="preserve"> organization of </w:t>
      </w:r>
      <w:r w:rsidR="00B9565E">
        <w:rPr>
          <w:u w:val="none"/>
        </w:rPr>
        <w:t xml:space="preserve">the </w:t>
      </w:r>
      <w:r w:rsidRPr="000663CF">
        <w:rPr>
          <w:u w:val="none"/>
        </w:rPr>
        <w:t>statutory meetings</w:t>
      </w:r>
      <w:r>
        <w:rPr>
          <w:u w:val="none"/>
        </w:rPr>
        <w:t>;</w:t>
      </w:r>
    </w:p>
    <w:p w14:paraId="703AE808" w14:textId="3A3E00A8" w:rsidR="003E5919" w:rsidRPr="00437ED0" w:rsidRDefault="003E5919" w:rsidP="003E5919">
      <w:pPr>
        <w:pStyle w:val="COMParaDecision"/>
        <w:ind w:left="1134" w:hanging="567"/>
        <w:rPr>
          <w:u w:val="none"/>
        </w:rPr>
      </w:pPr>
      <w:r w:rsidRPr="00437ED0">
        <w:t>Expresses satisfaction</w:t>
      </w:r>
      <w:r w:rsidRPr="00437ED0">
        <w:rPr>
          <w:rStyle w:val="apple-converted-space"/>
          <w:color w:val="414042"/>
          <w:sz w:val="21"/>
          <w:szCs w:val="21"/>
          <w:u w:val="none"/>
        </w:rPr>
        <w:t xml:space="preserve"> </w:t>
      </w:r>
      <w:r w:rsidRPr="00437ED0">
        <w:rPr>
          <w:u w:val="none"/>
        </w:rPr>
        <w:t>on the expanded reach and continued effectiveness of the global capacity-building programme and</w:t>
      </w:r>
      <w:r w:rsidRPr="00437ED0">
        <w:rPr>
          <w:rStyle w:val="apple-converted-space"/>
          <w:color w:val="414042"/>
          <w:sz w:val="21"/>
          <w:szCs w:val="21"/>
          <w:u w:val="none"/>
        </w:rPr>
        <w:t xml:space="preserve"> </w:t>
      </w:r>
      <w:r w:rsidRPr="00437ED0">
        <w:t>also appreciates</w:t>
      </w:r>
      <w:r w:rsidRPr="00437ED0">
        <w:rPr>
          <w:rStyle w:val="apple-converted-space"/>
          <w:color w:val="414042"/>
          <w:sz w:val="21"/>
          <w:szCs w:val="21"/>
          <w:u w:val="none"/>
        </w:rPr>
        <w:t xml:space="preserve"> </w:t>
      </w:r>
      <w:r w:rsidRPr="00437ED0">
        <w:rPr>
          <w:u w:val="none"/>
        </w:rPr>
        <w:t>the regular review, adaptation and enrichment of its content and format to respond effectively to major implementation challenges at the national</w:t>
      </w:r>
      <w:r w:rsidR="00B9565E" w:rsidRPr="00437ED0">
        <w:rPr>
          <w:u w:val="none"/>
        </w:rPr>
        <w:t>,</w:t>
      </w:r>
      <w:r w:rsidRPr="00437ED0">
        <w:rPr>
          <w:u w:val="none"/>
        </w:rPr>
        <w:t xml:space="preserve"> </w:t>
      </w:r>
      <w:r w:rsidR="00B9565E" w:rsidRPr="00437ED0">
        <w:rPr>
          <w:u w:val="none"/>
        </w:rPr>
        <w:t xml:space="preserve">or in some cases regional </w:t>
      </w:r>
      <w:r w:rsidR="00BB6E41">
        <w:rPr>
          <w:u w:val="none"/>
        </w:rPr>
        <w:t>level;</w:t>
      </w:r>
    </w:p>
    <w:p w14:paraId="1EE47F28" w14:textId="77777777" w:rsidR="003E5919" w:rsidRPr="001437C4" w:rsidRDefault="003E5919" w:rsidP="003E5919">
      <w:pPr>
        <w:pStyle w:val="COMParaDecision"/>
        <w:ind w:left="1134" w:hanging="567"/>
        <w:rPr>
          <w:u w:val="none"/>
        </w:rPr>
      </w:pPr>
      <w:r>
        <w:t>Expresses its concern</w:t>
      </w:r>
      <w:r w:rsidRPr="001437C4">
        <w:rPr>
          <w:u w:val="none"/>
        </w:rPr>
        <w:t xml:space="preserve"> </w:t>
      </w:r>
      <w:r>
        <w:rPr>
          <w:u w:val="none"/>
        </w:rPr>
        <w:t xml:space="preserve">as regards the decreasing mobilization of resources and </w:t>
      </w:r>
      <w:r w:rsidRPr="001437C4">
        <w:t>calls</w:t>
      </w:r>
      <w:r>
        <w:rPr>
          <w:u w:val="none"/>
        </w:rPr>
        <w:t xml:space="preserve"> </w:t>
      </w:r>
      <w:r w:rsidRPr="001437C4">
        <w:rPr>
          <w:u w:val="none"/>
        </w:rPr>
        <w:t>States Parties to offer further support, particularly in the form of contributions to the sub-fund for enhancing the human resources of the Secretariat in order to allow it to address ongoing demands for the continued effective implementation of the Convention;</w:t>
      </w:r>
    </w:p>
    <w:p w14:paraId="32DB4077" w14:textId="1FCBCFB5" w:rsidR="006104F3" w:rsidRDefault="00DF0779" w:rsidP="003E5919">
      <w:pPr>
        <w:pStyle w:val="COMParaDecision"/>
        <w:ind w:left="1134" w:hanging="567"/>
        <w:rPr>
          <w:u w:val="none"/>
        </w:rPr>
      </w:pPr>
      <w:r w:rsidRPr="00CC6082">
        <w:t>Regrets</w:t>
      </w:r>
      <w:r w:rsidRPr="00CC6082">
        <w:rPr>
          <w:u w:val="none"/>
        </w:rPr>
        <w:t xml:space="preserve"> the low implementation </w:t>
      </w:r>
      <w:r w:rsidR="00CC6082">
        <w:rPr>
          <w:u w:val="none"/>
        </w:rPr>
        <w:t xml:space="preserve">rate </w:t>
      </w:r>
      <w:r w:rsidRPr="00CC6082">
        <w:rPr>
          <w:u w:val="none"/>
        </w:rPr>
        <w:t xml:space="preserve">of the </w:t>
      </w:r>
      <w:r w:rsidR="00106A61">
        <w:rPr>
          <w:u w:val="none"/>
        </w:rPr>
        <w:t>International A</w:t>
      </w:r>
      <w:r w:rsidR="006104F3">
        <w:rPr>
          <w:u w:val="none"/>
        </w:rPr>
        <w:t xml:space="preserve">ssistance mechanism of the </w:t>
      </w:r>
      <w:r w:rsidRPr="00CC6082">
        <w:rPr>
          <w:u w:val="none"/>
        </w:rPr>
        <w:t>Intangible Cultural Heritage Fund</w:t>
      </w:r>
      <w:r w:rsidR="00955F29">
        <w:rPr>
          <w:u w:val="none"/>
        </w:rPr>
        <w:t xml:space="preserve"> and</w:t>
      </w:r>
      <w:r w:rsidR="00CC6082">
        <w:rPr>
          <w:u w:val="none"/>
        </w:rPr>
        <w:t xml:space="preserve"> </w:t>
      </w:r>
      <w:r w:rsidR="00955F29" w:rsidRPr="00CB4E79">
        <w:t>encourages</w:t>
      </w:r>
      <w:r w:rsidR="00955F29">
        <w:rPr>
          <w:u w:val="none"/>
        </w:rPr>
        <w:t xml:space="preserve"> States Parties to</w:t>
      </w:r>
      <w:r w:rsidR="006104F3">
        <w:rPr>
          <w:u w:val="none"/>
        </w:rPr>
        <w:t xml:space="preserve"> make better use of it;</w:t>
      </w:r>
    </w:p>
    <w:p w14:paraId="6D0650FB" w14:textId="44AD48E5" w:rsidR="00DF0779" w:rsidRPr="00DE3235" w:rsidRDefault="006104F3" w:rsidP="00BB6E41">
      <w:pPr>
        <w:pStyle w:val="COMParaDecision"/>
        <w:keepLines/>
        <w:ind w:left="1134" w:hanging="567"/>
        <w:rPr>
          <w:u w:val="none"/>
        </w:rPr>
      </w:pPr>
      <w:r w:rsidRPr="00CB4E79">
        <w:t>Invites</w:t>
      </w:r>
      <w:r>
        <w:rPr>
          <w:u w:val="none"/>
        </w:rPr>
        <w:t xml:space="preserve"> the</w:t>
      </w:r>
      <w:r w:rsidR="00CC6082">
        <w:rPr>
          <w:u w:val="none"/>
        </w:rPr>
        <w:t xml:space="preserve"> Secretariat </w:t>
      </w:r>
      <w:r w:rsidR="00955F29">
        <w:rPr>
          <w:u w:val="none"/>
        </w:rPr>
        <w:t xml:space="preserve">to </w:t>
      </w:r>
      <w:r>
        <w:rPr>
          <w:u w:val="none"/>
        </w:rPr>
        <w:t xml:space="preserve">explore creative solutions </w:t>
      </w:r>
      <w:r w:rsidR="00B43F4D">
        <w:rPr>
          <w:u w:val="none"/>
        </w:rPr>
        <w:t>to</w:t>
      </w:r>
      <w:r w:rsidR="003F1ACC">
        <w:rPr>
          <w:u w:val="none"/>
        </w:rPr>
        <w:t xml:space="preserve"> resolve administrative and human resource bottlenecks in the implementation of </w:t>
      </w:r>
      <w:r w:rsidR="00106A61">
        <w:rPr>
          <w:u w:val="none"/>
        </w:rPr>
        <w:t>the I</w:t>
      </w:r>
      <w:r w:rsidR="00B43F4D">
        <w:rPr>
          <w:u w:val="none"/>
        </w:rPr>
        <w:t>nternational</w:t>
      </w:r>
      <w:r w:rsidR="00106A61">
        <w:rPr>
          <w:u w:val="none"/>
        </w:rPr>
        <w:t xml:space="preserve"> A</w:t>
      </w:r>
      <w:r>
        <w:rPr>
          <w:u w:val="none"/>
        </w:rPr>
        <w:t>ssistance mechanism</w:t>
      </w:r>
      <w:r w:rsidR="00B43F4D">
        <w:rPr>
          <w:u w:val="none"/>
        </w:rPr>
        <w:t xml:space="preserve"> which would enhance support to beneficiary countries </w:t>
      </w:r>
      <w:r w:rsidR="00B43F4D" w:rsidRPr="00DE3235">
        <w:rPr>
          <w:u w:val="none"/>
        </w:rPr>
        <w:t>and</w:t>
      </w:r>
      <w:r w:rsidRPr="00CB4E79">
        <w:rPr>
          <w:u w:val="none"/>
        </w:rPr>
        <w:t xml:space="preserve"> </w:t>
      </w:r>
      <w:r w:rsidR="00083FF3">
        <w:rPr>
          <w:u w:val="none"/>
        </w:rPr>
        <w:t xml:space="preserve">to </w:t>
      </w:r>
      <w:r w:rsidR="00B43F4D">
        <w:rPr>
          <w:u w:val="none"/>
        </w:rPr>
        <w:t>improve the</w:t>
      </w:r>
      <w:r w:rsidRPr="00CB4E79">
        <w:rPr>
          <w:u w:val="none"/>
        </w:rPr>
        <w:t xml:space="preserve"> monitoring</w:t>
      </w:r>
      <w:r w:rsidR="00B43F4D">
        <w:rPr>
          <w:u w:val="none"/>
        </w:rPr>
        <w:t xml:space="preserve"> </w:t>
      </w:r>
      <w:r w:rsidRPr="00CB4E79">
        <w:rPr>
          <w:u w:val="none"/>
        </w:rPr>
        <w:t>of the projects that benefit from the Intangible Cultural Heritage Fund</w:t>
      </w:r>
      <w:r w:rsidR="00B43F4D">
        <w:rPr>
          <w:u w:val="none"/>
        </w:rPr>
        <w:t>;</w:t>
      </w:r>
    </w:p>
    <w:p w14:paraId="121199C3" w14:textId="46D261B7" w:rsidR="0088645B" w:rsidRPr="00C4744B" w:rsidRDefault="0088645B" w:rsidP="0088645B">
      <w:pPr>
        <w:pStyle w:val="COMParaDecision"/>
        <w:ind w:left="1134" w:hanging="567"/>
        <w:rPr>
          <w:u w:val="none"/>
        </w:rPr>
      </w:pPr>
      <w:r w:rsidRPr="00695DFA">
        <w:lastRenderedPageBreak/>
        <w:t>Further encourages</w:t>
      </w:r>
      <w:r w:rsidRPr="00695DFA">
        <w:rPr>
          <w:u w:val="none"/>
        </w:rPr>
        <w:t xml:space="preserve"> the Secretariat to strive to help States Parties in addressing a number of thematic areas to </w:t>
      </w:r>
      <w:r w:rsidR="00210CB9">
        <w:rPr>
          <w:u w:val="none"/>
        </w:rPr>
        <w:t xml:space="preserve">operationally link the safeguarding of </w:t>
      </w:r>
      <w:r w:rsidRPr="00695DFA">
        <w:rPr>
          <w:u w:val="none"/>
        </w:rPr>
        <w:t xml:space="preserve">intangible cultural heritage and sustainable </w:t>
      </w:r>
      <w:r w:rsidRPr="00C4744B">
        <w:rPr>
          <w:u w:val="none"/>
        </w:rPr>
        <w:t>development</w:t>
      </w:r>
      <w:r w:rsidR="00A40DB9" w:rsidRPr="00C4744B">
        <w:rPr>
          <w:u w:val="none"/>
        </w:rPr>
        <w:t xml:space="preserve">, particularly within the framework of the </w:t>
      </w:r>
      <w:r w:rsidR="00C4744B" w:rsidRPr="00C4744B">
        <w:rPr>
          <w:rFonts w:eastAsia="Arial"/>
          <w:u w:val="none"/>
        </w:rPr>
        <w:t>2030 Agenda for Sustainable Development</w:t>
      </w:r>
      <w:r w:rsidR="00A40DB9" w:rsidRPr="00C4744B">
        <w:rPr>
          <w:u w:val="none"/>
        </w:rPr>
        <w:t>,</w:t>
      </w:r>
      <w:r w:rsidRPr="00C4744B">
        <w:rPr>
          <w:u w:val="none"/>
        </w:rPr>
        <w:t xml:space="preserve"> and </w:t>
      </w:r>
      <w:r w:rsidR="00825F6F">
        <w:rPr>
          <w:u w:val="none"/>
        </w:rPr>
        <w:t xml:space="preserve">to </w:t>
      </w:r>
      <w:r w:rsidRPr="00C4744B">
        <w:rPr>
          <w:u w:val="none"/>
        </w:rPr>
        <w:t>seek extrabudg</w:t>
      </w:r>
      <w:r w:rsidR="00DF4FA2" w:rsidRPr="00C4744B">
        <w:rPr>
          <w:u w:val="none"/>
        </w:rPr>
        <w:t>e</w:t>
      </w:r>
      <w:r w:rsidRPr="00C4744B">
        <w:rPr>
          <w:u w:val="none"/>
        </w:rPr>
        <w:t>tary resource</w:t>
      </w:r>
      <w:r w:rsidR="00CE1D35" w:rsidRPr="00C4744B">
        <w:rPr>
          <w:u w:val="none"/>
        </w:rPr>
        <w:t>s for this purpose as necessary;</w:t>
      </w:r>
    </w:p>
    <w:p w14:paraId="3EEEEBEF" w14:textId="1B689E61" w:rsidR="003E5919" w:rsidRPr="00437ED0" w:rsidRDefault="003E5919" w:rsidP="003E5919">
      <w:pPr>
        <w:pStyle w:val="COMParaDecision"/>
        <w:ind w:left="1134" w:hanging="567"/>
        <w:rPr>
          <w:u w:val="none"/>
        </w:rPr>
      </w:pPr>
      <w:r w:rsidRPr="00437ED0">
        <w:t>Acknowledges</w:t>
      </w:r>
      <w:r w:rsidRPr="00437ED0">
        <w:rPr>
          <w:u w:val="none"/>
        </w:rPr>
        <w:t xml:space="preserve"> that the Secretariat has made </w:t>
      </w:r>
      <w:r w:rsidR="00B9565E" w:rsidRPr="00437ED0">
        <w:rPr>
          <w:u w:val="none"/>
        </w:rPr>
        <w:t xml:space="preserve">substantial </w:t>
      </w:r>
      <w:r w:rsidRPr="00437ED0">
        <w:rPr>
          <w:u w:val="none"/>
        </w:rPr>
        <w:t>progress in response to the recommendations of the IOS evaluation and audit</w:t>
      </w:r>
      <w:r w:rsidR="00B9565E" w:rsidRPr="00437ED0">
        <w:rPr>
          <w:u w:val="none"/>
        </w:rPr>
        <w:t>,</w:t>
      </w:r>
      <w:r w:rsidRPr="00437ED0">
        <w:rPr>
          <w:u w:val="none"/>
        </w:rPr>
        <w:t xml:space="preserve"> </w:t>
      </w:r>
      <w:r w:rsidR="00B9565E" w:rsidRPr="00437ED0">
        <w:rPr>
          <w:u w:val="none"/>
        </w:rPr>
        <w:t xml:space="preserve">and </w:t>
      </w:r>
      <w:r w:rsidRPr="00437ED0">
        <w:rPr>
          <w:u w:val="none"/>
        </w:rPr>
        <w:t xml:space="preserve">to </w:t>
      </w:r>
      <w:r w:rsidR="00B9565E" w:rsidRPr="00437ED0">
        <w:rPr>
          <w:u w:val="none"/>
        </w:rPr>
        <w:t>ensu</w:t>
      </w:r>
      <w:r w:rsidR="002B7714">
        <w:rPr>
          <w:u w:val="none"/>
        </w:rPr>
        <w:t>r</w:t>
      </w:r>
      <w:r w:rsidR="00B9565E" w:rsidRPr="00437ED0">
        <w:rPr>
          <w:u w:val="none"/>
        </w:rPr>
        <w:t>ing Committee’s decision</w:t>
      </w:r>
      <w:r w:rsidR="00A25FBC">
        <w:rPr>
          <w:u w:val="none"/>
        </w:rPr>
        <w:t>s</w:t>
      </w:r>
      <w:r w:rsidRPr="00437ED0">
        <w:rPr>
          <w:u w:val="none"/>
        </w:rPr>
        <w:t xml:space="preserve">, and </w:t>
      </w:r>
      <w:r w:rsidR="00A25FBC">
        <w:t>request</w:t>
      </w:r>
      <w:r w:rsidR="00825F6F">
        <w:t>s</w:t>
      </w:r>
      <w:r w:rsidR="00825F6F">
        <w:rPr>
          <w:u w:val="none"/>
        </w:rPr>
        <w:t xml:space="preserve"> </w:t>
      </w:r>
      <w:r w:rsidR="00825F6F" w:rsidRPr="00680307">
        <w:rPr>
          <w:u w:val="none"/>
        </w:rPr>
        <w:t>that</w:t>
      </w:r>
      <w:r w:rsidR="00A25FBC" w:rsidRPr="004654DC">
        <w:rPr>
          <w:u w:val="none"/>
        </w:rPr>
        <w:t xml:space="preserve"> </w:t>
      </w:r>
      <w:r w:rsidR="00B9565E" w:rsidRPr="00680307">
        <w:rPr>
          <w:u w:val="none"/>
        </w:rPr>
        <w:t>t</w:t>
      </w:r>
      <w:r w:rsidR="00B9565E" w:rsidRPr="00437ED0">
        <w:rPr>
          <w:u w:val="none"/>
        </w:rPr>
        <w:t xml:space="preserve">he Secretariat continue its </w:t>
      </w:r>
      <w:r w:rsidRPr="00437ED0">
        <w:rPr>
          <w:u w:val="none"/>
        </w:rPr>
        <w:t>efforts as planned;</w:t>
      </w:r>
    </w:p>
    <w:p w14:paraId="64375CA2" w14:textId="43B016E4" w:rsidR="00DE3235" w:rsidRDefault="003E5919" w:rsidP="003E5919">
      <w:pPr>
        <w:pStyle w:val="COMParaDecision"/>
        <w:ind w:left="1134" w:hanging="567"/>
        <w:rPr>
          <w:u w:val="none"/>
        </w:rPr>
      </w:pPr>
      <w:r w:rsidRPr="004D1524">
        <w:t>Further appreciates</w:t>
      </w:r>
      <w:r w:rsidRPr="004D1524">
        <w:rPr>
          <w:u w:val="none"/>
        </w:rPr>
        <w:t xml:space="preserve"> the efforts of the Secretariat to </w:t>
      </w:r>
      <w:r w:rsidR="00B9565E">
        <w:rPr>
          <w:u w:val="none"/>
        </w:rPr>
        <w:t xml:space="preserve">contribute to the coordination of </w:t>
      </w:r>
      <w:r w:rsidRPr="004D1524">
        <w:rPr>
          <w:u w:val="none"/>
        </w:rPr>
        <w:t xml:space="preserve">the growing network of category 2 centres and </w:t>
      </w:r>
      <w:r w:rsidR="00B9565E">
        <w:rPr>
          <w:u w:val="none"/>
        </w:rPr>
        <w:t xml:space="preserve">to </w:t>
      </w:r>
      <w:r w:rsidR="00825F6F" w:rsidRPr="004D1524">
        <w:rPr>
          <w:u w:val="none"/>
        </w:rPr>
        <w:t>stimulat</w:t>
      </w:r>
      <w:r w:rsidR="00825F6F">
        <w:rPr>
          <w:u w:val="none"/>
        </w:rPr>
        <w:t>ing</w:t>
      </w:r>
      <w:r w:rsidR="00825F6F" w:rsidRPr="004D1524">
        <w:rPr>
          <w:u w:val="none"/>
        </w:rPr>
        <w:t xml:space="preserve"> </w:t>
      </w:r>
      <w:r w:rsidR="00B9565E">
        <w:rPr>
          <w:u w:val="none"/>
        </w:rPr>
        <w:t xml:space="preserve">these centres’ potential </w:t>
      </w:r>
      <w:r w:rsidRPr="004D1524">
        <w:rPr>
          <w:u w:val="none"/>
        </w:rPr>
        <w:t xml:space="preserve">to contribute effectively to </w:t>
      </w:r>
      <w:r w:rsidR="00B9565E">
        <w:rPr>
          <w:u w:val="none"/>
        </w:rPr>
        <w:t xml:space="preserve">the implementation of </w:t>
      </w:r>
      <w:r w:rsidRPr="004D1524">
        <w:rPr>
          <w:u w:val="none"/>
        </w:rPr>
        <w:t>UNESCO’s strategic objectives in the field of intangible cultural heritage</w:t>
      </w:r>
      <w:r w:rsidR="00BB6E41">
        <w:rPr>
          <w:u w:val="none"/>
        </w:rPr>
        <w:t>;</w:t>
      </w:r>
    </w:p>
    <w:p w14:paraId="6EDE17D2" w14:textId="0726A169" w:rsidR="003E5919" w:rsidRDefault="00DE3235" w:rsidP="003E5919">
      <w:pPr>
        <w:pStyle w:val="COMParaDecision"/>
        <w:ind w:left="1134" w:hanging="567"/>
        <w:rPr>
          <w:u w:val="none"/>
        </w:rPr>
      </w:pPr>
      <w:r>
        <w:t>Further invites</w:t>
      </w:r>
      <w:r w:rsidRPr="007D08BD">
        <w:rPr>
          <w:u w:val="none"/>
        </w:rPr>
        <w:t xml:space="preserve"> </w:t>
      </w:r>
      <w:r>
        <w:rPr>
          <w:u w:val="none"/>
        </w:rPr>
        <w:t xml:space="preserve">the Secretariat to expand </w:t>
      </w:r>
      <w:r w:rsidR="00825F6F">
        <w:rPr>
          <w:u w:val="none"/>
        </w:rPr>
        <w:t xml:space="preserve">the </w:t>
      </w:r>
      <w:r>
        <w:rPr>
          <w:u w:val="none"/>
        </w:rPr>
        <w:t xml:space="preserve">outreach and visibility of its activities </w:t>
      </w:r>
      <w:r w:rsidR="00825F6F">
        <w:rPr>
          <w:u w:val="none"/>
        </w:rPr>
        <w:t xml:space="preserve">by </w:t>
      </w:r>
      <w:r>
        <w:rPr>
          <w:u w:val="none"/>
        </w:rPr>
        <w:t>consolidating networks and partnerships such as cooperation with UNESCO Chairs</w:t>
      </w:r>
      <w:r w:rsidR="007D08BD">
        <w:rPr>
          <w:u w:val="none"/>
        </w:rPr>
        <w:t>,</w:t>
      </w:r>
      <w:r>
        <w:rPr>
          <w:u w:val="none"/>
        </w:rPr>
        <w:t xml:space="preserve"> </w:t>
      </w:r>
      <w:r w:rsidR="007D08BD">
        <w:rPr>
          <w:u w:val="none"/>
        </w:rPr>
        <w:t>educational institutions</w:t>
      </w:r>
      <w:r w:rsidR="00026688">
        <w:rPr>
          <w:u w:val="none"/>
        </w:rPr>
        <w:t xml:space="preserve">, </w:t>
      </w:r>
      <w:r w:rsidR="007D08BD">
        <w:rPr>
          <w:u w:val="none"/>
        </w:rPr>
        <w:t>civil society</w:t>
      </w:r>
      <w:r w:rsidR="00026688">
        <w:rPr>
          <w:u w:val="none"/>
        </w:rPr>
        <w:t xml:space="preserve"> and other</w:t>
      </w:r>
      <w:r w:rsidR="00A40DB9">
        <w:rPr>
          <w:u w:val="none"/>
        </w:rPr>
        <w:t>s</w:t>
      </w:r>
      <w:r>
        <w:rPr>
          <w:u w:val="none"/>
        </w:rPr>
        <w:t>.</w:t>
      </w:r>
    </w:p>
    <w:p w14:paraId="5CD7755B" w14:textId="77777777" w:rsidR="00844173" w:rsidRPr="00DB42F4" w:rsidRDefault="00844173" w:rsidP="00C4744B">
      <w:pPr>
        <w:pStyle w:val="COMParaDecision"/>
        <w:numPr>
          <w:ilvl w:val="0"/>
          <w:numId w:val="0"/>
        </w:numPr>
        <w:ind w:left="1134"/>
        <w:rPr>
          <w:u w:val="none"/>
        </w:rPr>
      </w:pPr>
    </w:p>
    <w:p w14:paraId="73583A01" w14:textId="77777777" w:rsidR="004C4707" w:rsidRDefault="004C4707" w:rsidP="003E5919">
      <w:pPr>
        <w:pStyle w:val="COMParaDecision"/>
        <w:numPr>
          <w:ilvl w:val="0"/>
          <w:numId w:val="0"/>
        </w:numPr>
        <w:rPr>
          <w:highlight w:val="yellow"/>
          <w:u w:val="none"/>
        </w:rPr>
        <w:sectPr w:rsidR="004C4707" w:rsidSect="00655736">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p>
    <w:tbl>
      <w:tblPr>
        <w:tblpPr w:leftFromText="141" w:rightFromText="141" w:vertAnchor="page" w:horzAnchor="margin" w:tblpY="1141"/>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1986"/>
        <w:gridCol w:w="7682"/>
      </w:tblGrid>
      <w:tr w:rsidR="00FA5645" w:rsidRPr="00284E2B" w14:paraId="1E6986A6" w14:textId="77777777" w:rsidTr="00FA5645">
        <w:trPr>
          <w:cantSplit/>
        </w:trPr>
        <w:tc>
          <w:tcPr>
            <w:tcW w:w="14358" w:type="dxa"/>
            <w:gridSpan w:val="3"/>
            <w:tcBorders>
              <w:top w:val="nil"/>
              <w:left w:val="nil"/>
              <w:bottom w:val="single" w:sz="4" w:space="0" w:color="auto"/>
              <w:right w:val="nil"/>
            </w:tcBorders>
            <w:shd w:val="clear" w:color="auto" w:fill="auto"/>
            <w:noWrap/>
            <w:tcMar>
              <w:top w:w="40" w:type="dxa"/>
              <w:left w:w="40" w:type="dxa"/>
              <w:bottom w:w="40" w:type="dxa"/>
              <w:right w:w="40" w:type="dxa"/>
            </w:tcMar>
          </w:tcPr>
          <w:p w14:paraId="20C9A851" w14:textId="77777777" w:rsidR="00FA5645" w:rsidRPr="0033405D" w:rsidRDefault="00FA5645" w:rsidP="00FA5645">
            <w:pPr>
              <w:tabs>
                <w:tab w:val="left" w:pos="2640"/>
                <w:tab w:val="left" w:pos="14034"/>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lastRenderedPageBreak/>
              <w:t>ANNEX I</w:t>
            </w:r>
          </w:p>
          <w:p w14:paraId="734AFA19" w14:textId="77777777" w:rsidR="00FA5645" w:rsidRPr="0033405D" w:rsidRDefault="00FA5645" w:rsidP="00FA5645">
            <w:pPr>
              <w:tabs>
                <w:tab w:val="left" w:pos="2640"/>
                <w:tab w:val="left" w:pos="14034"/>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Progress report on the twenty-four recommendations of the evaluation of UNESCO’s standard-setting work of the Culture Sector, concerning the Convention for the Safeguarding of the Intangible Cultural Heritage</w:t>
            </w:r>
            <w:r>
              <w:rPr>
                <w:rFonts w:ascii="Arial" w:hAnsi="Arial" w:cs="Arial"/>
                <w:b/>
                <w:sz w:val="22"/>
                <w:szCs w:val="22"/>
                <w:lang w:val="en-GB"/>
              </w:rPr>
              <w:t xml:space="preserve"> (up to June 2016)</w:t>
            </w:r>
          </w:p>
        </w:tc>
      </w:tr>
      <w:tr w:rsidR="00FA5645" w:rsidRPr="00284E2B" w14:paraId="4E65A796" w14:textId="77777777" w:rsidTr="00FA5645">
        <w:trPr>
          <w:cantSplit/>
        </w:trPr>
        <w:tc>
          <w:tcPr>
            <w:tcW w:w="14358" w:type="dxa"/>
            <w:gridSpan w:val="3"/>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14:paraId="515F41A1" w14:textId="77777777" w:rsidR="00FA5645" w:rsidRPr="0033405D" w:rsidRDefault="00FA5645" w:rsidP="00FA5645">
            <w:pPr>
              <w:tabs>
                <w:tab w:val="left" w:pos="2640"/>
                <w:tab w:val="left" w:pos="14034"/>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1: Revise all relevant documents and forms (including the Operational Guidelines, the Periodic Reporting Formats, and nomination files) to include gender-specific guidance and questions.</w:t>
            </w:r>
          </w:p>
        </w:tc>
      </w:tr>
      <w:tr w:rsidR="00FA5645" w:rsidRPr="00284E2B" w14:paraId="69AD2419" w14:textId="77777777" w:rsidTr="00FA5645">
        <w:trPr>
          <w:cantSplit/>
        </w:trPr>
        <w:tc>
          <w:tcPr>
            <w:tcW w:w="1435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40" w:type="dxa"/>
              <w:left w:w="40" w:type="dxa"/>
              <w:bottom w:w="40" w:type="dxa"/>
              <w:right w:w="40" w:type="dxa"/>
            </w:tcMar>
          </w:tcPr>
          <w:p w14:paraId="2CDB0720" w14:textId="6C9A9326" w:rsidR="00FA5645" w:rsidRPr="00427622" w:rsidRDefault="00FA5645" w:rsidP="00FA5645">
            <w:pPr>
              <w:tabs>
                <w:tab w:val="left" w:pos="2640"/>
                <w:tab w:val="left" w:pos="14034"/>
              </w:tabs>
              <w:spacing w:before="120" w:after="120"/>
              <w:ind w:left="113" w:right="113"/>
              <w:jc w:val="both"/>
              <w:rPr>
                <w:rFonts w:ascii="Arial" w:hAnsi="Arial" w:cs="Arial"/>
                <w:b/>
                <w:sz w:val="22"/>
                <w:szCs w:val="22"/>
                <w:lang w:val="en-GB"/>
              </w:rPr>
            </w:pPr>
            <w:r w:rsidRPr="00427622">
              <w:rPr>
                <w:rFonts w:ascii="Arial" w:hAnsi="Arial" w:cs="Arial"/>
                <w:b/>
                <w:sz w:val="22"/>
                <w:szCs w:val="22"/>
                <w:lang w:val="en-GB"/>
              </w:rPr>
              <w:t xml:space="preserve">Management Response: </w:t>
            </w:r>
            <w:r w:rsidRPr="0033405D">
              <w:rPr>
                <w:rFonts w:ascii="Arial" w:hAnsi="Arial" w:cs="Arial"/>
                <w:sz w:val="22"/>
                <w:szCs w:val="22"/>
                <w:lang w:val="en-GB"/>
              </w:rPr>
              <w:t xml:space="preserve">Nomination and </w:t>
            </w:r>
            <w:r w:rsidRPr="00497383">
              <w:rPr>
                <w:rFonts w:ascii="Arial" w:hAnsi="Arial" w:cs="Arial"/>
                <w:sz w:val="22"/>
                <w:szCs w:val="22"/>
                <w:lang w:val="en-GB"/>
              </w:rPr>
              <w:t>r</w:t>
            </w:r>
            <w:r w:rsidRPr="00DB5451">
              <w:rPr>
                <w:rFonts w:ascii="Arial" w:hAnsi="Arial" w:cs="Arial"/>
                <w:sz w:val="22"/>
                <w:szCs w:val="22"/>
                <w:lang w:val="en-GB"/>
              </w:rPr>
              <w:t>eporting</w:t>
            </w:r>
            <w:r w:rsidRPr="00427622">
              <w:rPr>
                <w:rFonts w:ascii="Arial" w:hAnsi="Arial" w:cs="Arial"/>
                <w:sz w:val="22"/>
                <w:szCs w:val="22"/>
                <w:lang w:val="en-GB"/>
              </w:rPr>
              <w:t xml:space="preserve"> forms have been amended accordingly. A new paragraph in the Operational Directives </w:t>
            </w:r>
            <w:r w:rsidR="009634FF">
              <w:rPr>
                <w:rFonts w:ascii="Arial" w:hAnsi="Arial" w:cs="Arial"/>
                <w:sz w:val="22"/>
                <w:szCs w:val="22"/>
                <w:lang w:val="en-GB"/>
              </w:rPr>
              <w:t>was</w:t>
            </w:r>
            <w:r w:rsidRPr="00427622">
              <w:rPr>
                <w:rFonts w:ascii="Arial" w:hAnsi="Arial" w:cs="Arial"/>
                <w:sz w:val="22"/>
                <w:szCs w:val="22"/>
                <w:lang w:val="en-GB"/>
              </w:rPr>
              <w:t xml:space="preserve"> endorsed by the Committee at its tenth session in December 2015 and adopted by the General Assembly at its sixth session in June 2016.</w:t>
            </w:r>
          </w:p>
        </w:tc>
      </w:tr>
      <w:tr w:rsidR="00FA5645" w:rsidRPr="00427622" w14:paraId="41EDF0F7" w14:textId="77777777" w:rsidTr="00FA5645">
        <w:trPr>
          <w:cantSplit/>
        </w:trPr>
        <w:tc>
          <w:tcPr>
            <w:tcW w:w="4690" w:type="dxa"/>
            <w:tcBorders>
              <w:bottom w:val="single" w:sz="4" w:space="0" w:color="auto"/>
            </w:tcBorders>
            <w:shd w:val="clear" w:color="auto" w:fill="auto"/>
            <w:noWrap/>
            <w:tcMar>
              <w:top w:w="40" w:type="dxa"/>
              <w:left w:w="40" w:type="dxa"/>
              <w:bottom w:w="40" w:type="dxa"/>
              <w:right w:w="40" w:type="dxa"/>
            </w:tcMar>
          </w:tcPr>
          <w:p w14:paraId="324ECC3E" w14:textId="77777777" w:rsidR="00FA5645" w:rsidRPr="00427622" w:rsidRDefault="00FA5645" w:rsidP="00FA5645">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tcBorders>
              <w:bottom w:val="single" w:sz="4" w:space="0" w:color="auto"/>
            </w:tcBorders>
            <w:shd w:val="clear" w:color="auto" w:fill="auto"/>
            <w:noWrap/>
            <w:tcMar>
              <w:top w:w="40" w:type="dxa"/>
              <w:left w:w="40" w:type="dxa"/>
              <w:bottom w:w="40" w:type="dxa"/>
              <w:right w:w="40" w:type="dxa"/>
            </w:tcMar>
          </w:tcPr>
          <w:p w14:paraId="13FE355A" w14:textId="77777777" w:rsidR="00FA5645" w:rsidRPr="00427622" w:rsidRDefault="00FA5645" w:rsidP="00FA5645">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82" w:type="dxa"/>
            <w:tcBorders>
              <w:bottom w:val="single" w:sz="4" w:space="0" w:color="auto"/>
            </w:tcBorders>
            <w:shd w:val="clear" w:color="auto" w:fill="auto"/>
            <w:noWrap/>
            <w:tcMar>
              <w:top w:w="40" w:type="dxa"/>
              <w:left w:w="40" w:type="dxa"/>
              <w:bottom w:w="40" w:type="dxa"/>
              <w:right w:w="40" w:type="dxa"/>
            </w:tcMar>
          </w:tcPr>
          <w:p w14:paraId="1A517478" w14:textId="77777777" w:rsidR="00FA5645" w:rsidRPr="00427622" w:rsidRDefault="00FA5645" w:rsidP="00FA5645">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FA5645" w:rsidRPr="00284E2B" w14:paraId="13598AA0" w14:textId="77777777" w:rsidTr="00FA5645">
        <w:trPr>
          <w:cantSplit/>
        </w:trPr>
        <w:tc>
          <w:tcPr>
            <w:tcW w:w="4690" w:type="dxa"/>
            <w:tcBorders>
              <w:bottom w:val="single" w:sz="4" w:space="0" w:color="auto"/>
            </w:tcBorders>
            <w:shd w:val="clear" w:color="auto" w:fill="auto"/>
            <w:noWrap/>
            <w:tcMar>
              <w:top w:w="40" w:type="dxa"/>
              <w:left w:w="40" w:type="dxa"/>
              <w:bottom w:w="40" w:type="dxa"/>
              <w:right w:w="40" w:type="dxa"/>
            </w:tcMar>
          </w:tcPr>
          <w:p w14:paraId="6042179C" w14:textId="57673EDE" w:rsidR="00FA5645" w:rsidRPr="00427622" w:rsidRDefault="00FA5645" w:rsidP="00FA5645">
            <w:pPr>
              <w:spacing w:before="120" w:after="120"/>
              <w:ind w:left="113" w:right="57"/>
              <w:rPr>
                <w:rFonts w:ascii="Arial" w:hAnsi="Arial" w:cs="Arial"/>
                <w:sz w:val="22"/>
                <w:szCs w:val="22"/>
                <w:lang w:val="en-GB"/>
              </w:rPr>
            </w:pPr>
            <w:r w:rsidRPr="00427622">
              <w:rPr>
                <w:rFonts w:ascii="Arial" w:hAnsi="Arial" w:cs="Arial"/>
                <w:sz w:val="22"/>
                <w:szCs w:val="22"/>
                <w:lang w:val="en-GB"/>
              </w:rPr>
              <w:t>Revise nomination forms ICH-01 (Urgent Safeguarding List</w:t>
            </w:r>
            <w:r w:rsidR="00604B4E">
              <w:rPr>
                <w:rFonts w:ascii="Arial" w:hAnsi="Arial" w:cs="Arial"/>
                <w:sz w:val="22"/>
                <w:szCs w:val="22"/>
                <w:lang w:val="en-GB"/>
              </w:rPr>
              <w:t xml:space="preserve"> (USL)</w:t>
            </w:r>
            <w:r w:rsidRPr="00427622">
              <w:rPr>
                <w:rFonts w:ascii="Arial" w:hAnsi="Arial" w:cs="Arial"/>
                <w:sz w:val="22"/>
                <w:szCs w:val="22"/>
                <w:lang w:val="en-GB"/>
              </w:rPr>
              <w:t>) and ICH-02 (Representative List).</w:t>
            </w:r>
          </w:p>
        </w:tc>
        <w:tc>
          <w:tcPr>
            <w:tcW w:w="1986" w:type="dxa"/>
            <w:tcBorders>
              <w:bottom w:val="single" w:sz="4" w:space="0" w:color="auto"/>
            </w:tcBorders>
            <w:shd w:val="clear" w:color="auto" w:fill="auto"/>
            <w:noWrap/>
            <w:tcMar>
              <w:top w:w="40" w:type="dxa"/>
              <w:left w:w="40" w:type="dxa"/>
              <w:bottom w:w="40" w:type="dxa"/>
              <w:right w:w="40" w:type="dxa"/>
            </w:tcMar>
          </w:tcPr>
          <w:p w14:paraId="62909A61" w14:textId="77777777" w:rsidR="00FA5645" w:rsidRPr="00427622" w:rsidRDefault="00FA5645" w:rsidP="00FA5645">
            <w:pPr>
              <w:spacing w:before="120" w:after="120"/>
              <w:ind w:left="57" w:right="57"/>
              <w:rPr>
                <w:rFonts w:ascii="Arial" w:hAnsi="Arial" w:cs="Arial"/>
                <w:sz w:val="22"/>
                <w:szCs w:val="22"/>
                <w:lang w:val="en-GB"/>
              </w:rPr>
            </w:pPr>
            <w:r w:rsidRPr="00427622">
              <w:rPr>
                <w:rFonts w:ascii="Arial" w:hAnsi="Arial" w:cs="Arial"/>
                <w:sz w:val="22"/>
                <w:szCs w:val="22"/>
                <w:lang w:val="en-GB"/>
              </w:rPr>
              <w:t>October 2015</w:t>
            </w:r>
          </w:p>
        </w:tc>
        <w:tc>
          <w:tcPr>
            <w:tcW w:w="7682" w:type="dxa"/>
            <w:tcBorders>
              <w:bottom w:val="single" w:sz="4" w:space="0" w:color="auto"/>
            </w:tcBorders>
            <w:shd w:val="clear" w:color="auto" w:fill="auto"/>
            <w:noWrap/>
            <w:tcMar>
              <w:top w:w="40" w:type="dxa"/>
              <w:left w:w="40" w:type="dxa"/>
              <w:bottom w:w="40" w:type="dxa"/>
              <w:right w:w="40" w:type="dxa"/>
            </w:tcMar>
          </w:tcPr>
          <w:p w14:paraId="607F6BDB" w14:textId="77EE5DB1" w:rsidR="00FA5645" w:rsidRPr="00427622" w:rsidRDefault="00FA5645" w:rsidP="00680307">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rPr>
            </w:pPr>
            <w:r w:rsidRPr="00427622">
              <w:rPr>
                <w:rFonts w:ascii="Arial" w:hAnsi="Arial" w:cs="Arial"/>
                <w:sz w:val="22"/>
                <w:szCs w:val="22"/>
                <w:lang w:val="en-GB"/>
              </w:rPr>
              <w:t xml:space="preserve">The </w:t>
            </w:r>
            <w:r w:rsidR="009634FF" w:rsidRPr="00427622">
              <w:rPr>
                <w:rFonts w:ascii="Arial" w:hAnsi="Arial" w:cs="Arial"/>
                <w:sz w:val="22"/>
                <w:szCs w:val="22"/>
                <w:lang w:val="en-GB"/>
              </w:rPr>
              <w:t>gender</w:t>
            </w:r>
            <w:r w:rsidR="009634FF">
              <w:rPr>
                <w:rFonts w:ascii="Arial" w:hAnsi="Arial" w:cs="Arial"/>
                <w:sz w:val="22"/>
                <w:szCs w:val="22"/>
                <w:lang w:val="en-GB"/>
              </w:rPr>
              <w:t>-</w:t>
            </w:r>
            <w:r w:rsidRPr="00427622">
              <w:rPr>
                <w:rFonts w:ascii="Arial" w:hAnsi="Arial" w:cs="Arial"/>
                <w:sz w:val="22"/>
                <w:szCs w:val="22"/>
                <w:lang w:val="en-GB"/>
              </w:rPr>
              <w:t>specific guidance was integrated in October 2015 in</w:t>
            </w:r>
            <w:r w:rsidR="009634FF">
              <w:rPr>
                <w:rFonts w:ascii="Arial" w:hAnsi="Arial" w:cs="Arial"/>
                <w:sz w:val="22"/>
                <w:szCs w:val="22"/>
                <w:lang w:val="en-GB"/>
              </w:rPr>
              <w:t>to</w:t>
            </w:r>
            <w:r w:rsidR="00810DA6">
              <w:rPr>
                <w:rFonts w:ascii="Arial" w:hAnsi="Arial" w:cs="Arial"/>
                <w:sz w:val="22"/>
                <w:szCs w:val="22"/>
                <w:lang w:val="en-GB"/>
              </w:rPr>
              <w:t xml:space="preserve"> the</w:t>
            </w:r>
            <w:r w:rsidR="009634FF" w:rsidRPr="00427622">
              <w:rPr>
                <w:rFonts w:ascii="Arial" w:hAnsi="Arial" w:cs="Arial"/>
                <w:sz w:val="22"/>
                <w:szCs w:val="22"/>
                <w:lang w:val="en-GB"/>
              </w:rPr>
              <w:t xml:space="preserve"> nomination forms</w:t>
            </w:r>
            <w:r w:rsidR="009634FF">
              <w:rPr>
                <w:rFonts w:ascii="Arial" w:hAnsi="Arial" w:cs="Arial"/>
                <w:sz w:val="22"/>
                <w:szCs w:val="22"/>
                <w:lang w:val="en-GB"/>
              </w:rPr>
              <w:t xml:space="preserve"> </w:t>
            </w:r>
            <w:r w:rsidRPr="00427622">
              <w:rPr>
                <w:rFonts w:ascii="Arial" w:hAnsi="Arial" w:cs="Arial"/>
                <w:sz w:val="22"/>
                <w:szCs w:val="22"/>
                <w:lang w:val="en-GB"/>
              </w:rPr>
              <w:t>ICH</w:t>
            </w:r>
            <w:r w:rsidRPr="00427622">
              <w:rPr>
                <w:rFonts w:ascii="Arial" w:hAnsi="Arial" w:cs="Arial"/>
                <w:sz w:val="22"/>
                <w:szCs w:val="22"/>
                <w:lang w:val="en-GB"/>
              </w:rPr>
              <w:noBreakHyphen/>
              <w:t>01</w:t>
            </w:r>
            <w:r w:rsidR="009634FF">
              <w:rPr>
                <w:rFonts w:ascii="Arial" w:hAnsi="Arial" w:cs="Arial"/>
                <w:sz w:val="22"/>
                <w:szCs w:val="22"/>
                <w:lang w:val="en-GB"/>
              </w:rPr>
              <w:t xml:space="preserve"> </w:t>
            </w:r>
            <w:r>
              <w:rPr>
                <w:rFonts w:ascii="Arial" w:hAnsi="Arial" w:cs="Arial"/>
                <w:sz w:val="22"/>
                <w:szCs w:val="22"/>
                <w:lang w:val="en-GB"/>
              </w:rPr>
              <w:t>and</w:t>
            </w:r>
            <w:r w:rsidRPr="00427622">
              <w:rPr>
                <w:rFonts w:ascii="Arial" w:hAnsi="Arial" w:cs="Arial"/>
                <w:sz w:val="22"/>
                <w:szCs w:val="22"/>
                <w:lang w:val="en-GB"/>
              </w:rPr>
              <w:t xml:space="preserve"> ICH-02</w:t>
            </w:r>
            <w:r w:rsidR="009634FF">
              <w:rPr>
                <w:rFonts w:ascii="Arial" w:hAnsi="Arial" w:cs="Arial"/>
                <w:sz w:val="22"/>
                <w:szCs w:val="22"/>
                <w:lang w:val="en-GB"/>
              </w:rPr>
              <w:t>,</w:t>
            </w:r>
            <w:r w:rsidRPr="00427622">
              <w:rPr>
                <w:rFonts w:ascii="Arial" w:hAnsi="Arial" w:cs="Arial"/>
                <w:sz w:val="22"/>
                <w:szCs w:val="22"/>
                <w:lang w:val="en-GB"/>
              </w:rPr>
              <w:t xml:space="preserve"> </w:t>
            </w:r>
            <w:r>
              <w:rPr>
                <w:rFonts w:ascii="Arial" w:hAnsi="Arial" w:cs="Arial"/>
                <w:sz w:val="22"/>
                <w:szCs w:val="22"/>
                <w:lang w:val="en-GB"/>
              </w:rPr>
              <w:t xml:space="preserve">as well as in ICH-03 (Register of Best Safeguarding Practices) and ICH-04 (International Assistance) </w:t>
            </w:r>
            <w:r w:rsidRPr="00427622">
              <w:rPr>
                <w:rFonts w:ascii="Arial" w:hAnsi="Arial" w:cs="Arial"/>
                <w:sz w:val="22"/>
                <w:szCs w:val="22"/>
                <w:lang w:val="en-GB"/>
              </w:rPr>
              <w:t>for the 2017 cycle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FA5645" w:rsidRPr="00284E2B" w14:paraId="16BFDC15" w14:textId="77777777" w:rsidTr="00FA5645">
        <w:trPr>
          <w:cantSplit/>
        </w:trPr>
        <w:tc>
          <w:tcPr>
            <w:tcW w:w="4690" w:type="dxa"/>
            <w:shd w:val="clear" w:color="auto" w:fill="auto"/>
            <w:noWrap/>
            <w:tcMar>
              <w:top w:w="40" w:type="dxa"/>
              <w:left w:w="40" w:type="dxa"/>
              <w:bottom w:w="40" w:type="dxa"/>
              <w:right w:w="40" w:type="dxa"/>
            </w:tcMar>
          </w:tcPr>
          <w:p w14:paraId="6D27DC56" w14:textId="77777777" w:rsidR="00FA5645" w:rsidRPr="00427622" w:rsidRDefault="00FA5645" w:rsidP="00FA5645">
            <w:pPr>
              <w:spacing w:before="120" w:after="120"/>
              <w:ind w:left="113" w:right="57"/>
              <w:rPr>
                <w:rFonts w:ascii="Arial" w:hAnsi="Arial" w:cs="Arial"/>
                <w:sz w:val="22"/>
                <w:szCs w:val="22"/>
                <w:lang w:val="en-GB"/>
              </w:rPr>
            </w:pPr>
            <w:r w:rsidRPr="0033405D">
              <w:rPr>
                <w:rFonts w:ascii="Arial" w:hAnsi="Arial" w:cs="Arial"/>
                <w:sz w:val="22"/>
                <w:szCs w:val="22"/>
                <w:lang w:val="en-GB"/>
              </w:rPr>
              <w:t xml:space="preserve">Revise Form ICH-10 on periodic reporting (Reports by States Parties on the implementation of the Convention). </w:t>
            </w:r>
          </w:p>
        </w:tc>
        <w:tc>
          <w:tcPr>
            <w:tcW w:w="1986" w:type="dxa"/>
            <w:shd w:val="clear" w:color="auto" w:fill="auto"/>
            <w:noWrap/>
            <w:tcMar>
              <w:top w:w="40" w:type="dxa"/>
              <w:left w:w="40" w:type="dxa"/>
              <w:bottom w:w="40" w:type="dxa"/>
              <w:right w:w="40" w:type="dxa"/>
            </w:tcMar>
          </w:tcPr>
          <w:p w14:paraId="2D3CC2A2" w14:textId="77777777" w:rsidR="00FA5645" w:rsidRPr="00427622" w:rsidRDefault="00FA5645" w:rsidP="00FA5645">
            <w:pPr>
              <w:spacing w:before="120" w:after="120"/>
              <w:ind w:left="57" w:right="57"/>
              <w:rPr>
                <w:rFonts w:ascii="Arial" w:hAnsi="Arial" w:cs="Arial"/>
                <w:sz w:val="22"/>
                <w:szCs w:val="22"/>
                <w:lang w:val="en-GB"/>
              </w:rPr>
            </w:pPr>
            <w:r w:rsidRPr="00427622">
              <w:rPr>
                <w:rFonts w:ascii="Arial" w:hAnsi="Arial" w:cs="Arial"/>
                <w:sz w:val="22"/>
                <w:szCs w:val="22"/>
                <w:lang w:val="en-GB"/>
              </w:rPr>
              <w:t>December 2014</w:t>
            </w:r>
          </w:p>
        </w:tc>
        <w:tc>
          <w:tcPr>
            <w:tcW w:w="7682" w:type="dxa"/>
            <w:shd w:val="clear" w:color="auto" w:fill="auto"/>
            <w:noWrap/>
            <w:tcMar>
              <w:top w:w="40" w:type="dxa"/>
              <w:left w:w="40" w:type="dxa"/>
              <w:bottom w:w="40" w:type="dxa"/>
              <w:right w:w="40" w:type="dxa"/>
            </w:tcMar>
          </w:tcPr>
          <w:p w14:paraId="0F039034" w14:textId="3C138089" w:rsidR="00FA5645" w:rsidRPr="00427622" w:rsidRDefault="009634FF" w:rsidP="00604B4E">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Pr>
                <w:rFonts w:ascii="Arial" w:hAnsi="Arial" w:cs="Arial"/>
                <w:sz w:val="22"/>
                <w:szCs w:val="22"/>
                <w:lang w:val="en-GB"/>
              </w:rPr>
              <w:t xml:space="preserve">Forms </w:t>
            </w:r>
            <w:r w:rsidR="00FA5645" w:rsidRPr="00427622">
              <w:rPr>
                <w:rFonts w:ascii="Arial" w:hAnsi="Arial" w:cs="Arial"/>
                <w:sz w:val="22"/>
                <w:szCs w:val="22"/>
                <w:lang w:val="en-GB"/>
              </w:rPr>
              <w:t xml:space="preserve">ICH-10 </w:t>
            </w:r>
            <w:r w:rsidR="00FA5645">
              <w:rPr>
                <w:rFonts w:ascii="Arial" w:hAnsi="Arial" w:cs="Arial"/>
                <w:sz w:val="22"/>
                <w:szCs w:val="22"/>
                <w:lang w:val="en-GB"/>
              </w:rPr>
              <w:t xml:space="preserve">and ICH-11 (Reports on the status of elements inscribed on the </w:t>
            </w:r>
            <w:r w:rsidR="00604B4E">
              <w:rPr>
                <w:rFonts w:ascii="Arial" w:hAnsi="Arial" w:cs="Arial"/>
                <w:sz w:val="22"/>
                <w:szCs w:val="22"/>
                <w:lang w:val="en-GB"/>
              </w:rPr>
              <w:t>USL</w:t>
            </w:r>
            <w:r w:rsidR="00FA5645">
              <w:rPr>
                <w:rFonts w:ascii="Arial" w:hAnsi="Arial" w:cs="Arial"/>
                <w:sz w:val="22"/>
                <w:szCs w:val="22"/>
                <w:lang w:val="en-GB"/>
              </w:rPr>
              <w:t xml:space="preserve">) </w:t>
            </w:r>
            <w:r>
              <w:rPr>
                <w:rFonts w:ascii="Arial" w:hAnsi="Arial" w:cs="Arial"/>
                <w:sz w:val="22"/>
                <w:szCs w:val="22"/>
                <w:lang w:val="en-GB"/>
              </w:rPr>
              <w:t>were</w:t>
            </w:r>
            <w:r w:rsidR="00FA5645" w:rsidRPr="00427622">
              <w:rPr>
                <w:rFonts w:ascii="Arial" w:hAnsi="Arial" w:cs="Arial"/>
                <w:sz w:val="22"/>
                <w:szCs w:val="22"/>
                <w:lang w:val="en-GB"/>
              </w:rPr>
              <w:t xml:space="preserve"> revised in December 2014 (</w:t>
            </w:r>
            <w:r w:rsidR="00FA5645" w:rsidRPr="00427622">
              <w:rPr>
                <w:rFonts w:ascii="Arial" w:hAnsi="Arial" w:cs="Arial"/>
                <w:b/>
                <w:sz w:val="22"/>
                <w:szCs w:val="22"/>
                <w:lang w:val="en-GB"/>
              </w:rPr>
              <w:t>action completed</w:t>
            </w:r>
            <w:r w:rsidR="00FA5645" w:rsidRPr="00427622">
              <w:rPr>
                <w:rFonts w:ascii="Arial" w:hAnsi="Arial" w:cs="Arial"/>
                <w:sz w:val="22"/>
                <w:szCs w:val="22"/>
                <w:lang w:val="en-GB"/>
              </w:rPr>
              <w:t>).</w:t>
            </w:r>
          </w:p>
        </w:tc>
      </w:tr>
      <w:tr w:rsidR="00FA5645" w:rsidRPr="00284E2B" w14:paraId="2B7BBDDB" w14:textId="77777777" w:rsidTr="00FA5645">
        <w:trPr>
          <w:cantSplit/>
        </w:trPr>
        <w:tc>
          <w:tcPr>
            <w:tcW w:w="4690" w:type="dxa"/>
            <w:shd w:val="clear" w:color="auto" w:fill="auto"/>
            <w:noWrap/>
            <w:tcMar>
              <w:top w:w="40" w:type="dxa"/>
              <w:left w:w="40" w:type="dxa"/>
              <w:bottom w:w="40" w:type="dxa"/>
              <w:right w:w="40" w:type="dxa"/>
            </w:tcMar>
          </w:tcPr>
          <w:p w14:paraId="596AC627" w14:textId="77777777" w:rsidR="00FA5645" w:rsidRPr="00427622" w:rsidRDefault="00FA5645" w:rsidP="00FA5645">
            <w:pPr>
              <w:spacing w:before="120" w:after="120"/>
              <w:ind w:left="113" w:right="57"/>
              <w:rPr>
                <w:rFonts w:ascii="Arial" w:hAnsi="Arial" w:cs="Arial"/>
                <w:sz w:val="22"/>
                <w:szCs w:val="22"/>
                <w:lang w:val="en-GB"/>
              </w:rPr>
            </w:pPr>
            <w:r w:rsidRPr="00427622">
              <w:rPr>
                <w:rFonts w:ascii="Arial" w:hAnsi="Arial" w:cs="Arial"/>
                <w:sz w:val="22"/>
                <w:szCs w:val="22"/>
                <w:lang w:val="en-GB"/>
              </w:rPr>
              <w:t>Include gender paragraph in the draft Operational Directives on sustainable development.</w:t>
            </w:r>
          </w:p>
        </w:tc>
        <w:tc>
          <w:tcPr>
            <w:tcW w:w="1986" w:type="dxa"/>
            <w:shd w:val="clear" w:color="auto" w:fill="auto"/>
            <w:noWrap/>
            <w:tcMar>
              <w:top w:w="40" w:type="dxa"/>
              <w:left w:w="40" w:type="dxa"/>
              <w:bottom w:w="40" w:type="dxa"/>
              <w:right w:w="40" w:type="dxa"/>
            </w:tcMar>
          </w:tcPr>
          <w:p w14:paraId="7040ACAB" w14:textId="77777777" w:rsidR="00FA5645" w:rsidRPr="00427622" w:rsidRDefault="00FA5645" w:rsidP="00FA5645">
            <w:pPr>
              <w:spacing w:before="120" w:after="120"/>
              <w:ind w:left="57" w:right="57"/>
              <w:rPr>
                <w:rFonts w:ascii="Arial" w:hAnsi="Arial" w:cs="Arial"/>
                <w:sz w:val="22"/>
                <w:szCs w:val="22"/>
                <w:lang w:val="en-GB"/>
              </w:rPr>
            </w:pPr>
            <w:r w:rsidRPr="00427622">
              <w:rPr>
                <w:rFonts w:ascii="Arial" w:hAnsi="Arial" w:cs="Arial"/>
                <w:sz w:val="22"/>
                <w:szCs w:val="22"/>
                <w:lang w:val="en-GB"/>
              </w:rPr>
              <w:t>June 2016</w:t>
            </w:r>
          </w:p>
        </w:tc>
        <w:tc>
          <w:tcPr>
            <w:tcW w:w="7682" w:type="dxa"/>
            <w:shd w:val="clear" w:color="auto" w:fill="auto"/>
            <w:noWrap/>
            <w:tcMar>
              <w:top w:w="40" w:type="dxa"/>
              <w:left w:w="40" w:type="dxa"/>
              <w:bottom w:w="40" w:type="dxa"/>
              <w:right w:w="40" w:type="dxa"/>
            </w:tcMar>
          </w:tcPr>
          <w:p w14:paraId="7C2D088A" w14:textId="0A7D5E52" w:rsidR="00FA5645" w:rsidRPr="00427622" w:rsidRDefault="00FA5645" w:rsidP="00BA3A07">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 xml:space="preserve">In 2015, the tenth session of the Committee endorsed the amendment </w:t>
            </w:r>
            <w:r>
              <w:rPr>
                <w:rFonts w:ascii="Arial" w:hAnsi="Arial" w:cs="Arial"/>
                <w:sz w:val="22"/>
                <w:szCs w:val="22"/>
                <w:lang w:val="en-GB"/>
              </w:rPr>
              <w:t>to</w:t>
            </w:r>
            <w:r w:rsidRPr="00427622">
              <w:rPr>
                <w:rFonts w:ascii="Arial" w:hAnsi="Arial" w:cs="Arial"/>
                <w:sz w:val="22"/>
                <w:szCs w:val="22"/>
                <w:lang w:val="en-GB"/>
              </w:rPr>
              <w:t xml:space="preserve"> the Operational Directives to include ‘gender equality’ in </w:t>
            </w:r>
            <w:r w:rsidR="009634FF">
              <w:rPr>
                <w:rFonts w:ascii="Arial" w:hAnsi="Arial" w:cs="Arial"/>
                <w:sz w:val="22"/>
                <w:szCs w:val="22"/>
                <w:lang w:val="en-GB"/>
              </w:rPr>
              <w:t>a</w:t>
            </w:r>
            <w:r w:rsidRPr="0033405D">
              <w:rPr>
                <w:rFonts w:ascii="Arial" w:hAnsi="Arial" w:cs="Arial"/>
                <w:sz w:val="22"/>
                <w:szCs w:val="22"/>
                <w:lang w:val="en-GB"/>
              </w:rPr>
              <w:t xml:space="preserve"> new</w:t>
            </w:r>
            <w:r w:rsidRPr="00427622">
              <w:rPr>
                <w:rFonts w:ascii="Arial" w:hAnsi="Arial" w:cs="Arial"/>
                <w:sz w:val="22"/>
                <w:szCs w:val="22"/>
                <w:lang w:val="en-GB"/>
              </w:rPr>
              <w:t xml:space="preserve"> chapter</w:t>
            </w:r>
            <w:r w:rsidR="009634FF">
              <w:rPr>
                <w:rFonts w:ascii="Arial" w:hAnsi="Arial" w:cs="Arial"/>
                <w:sz w:val="22"/>
                <w:szCs w:val="22"/>
                <w:lang w:val="en-GB"/>
              </w:rPr>
              <w:t>, chapter</w:t>
            </w:r>
            <w:r w:rsidRPr="00427622">
              <w:rPr>
                <w:rFonts w:ascii="Arial" w:hAnsi="Arial" w:cs="Arial"/>
                <w:sz w:val="22"/>
                <w:szCs w:val="22"/>
                <w:lang w:val="en-GB"/>
              </w:rPr>
              <w:t xml:space="preserve"> VI</w:t>
            </w:r>
            <w:r w:rsidR="009634FF">
              <w:rPr>
                <w:rFonts w:ascii="Arial" w:hAnsi="Arial" w:cs="Arial"/>
                <w:sz w:val="22"/>
                <w:szCs w:val="22"/>
                <w:lang w:val="en-GB"/>
              </w:rPr>
              <w:t>,</w:t>
            </w:r>
            <w:r w:rsidRPr="00427622">
              <w:rPr>
                <w:rFonts w:ascii="Arial" w:hAnsi="Arial" w:cs="Arial"/>
                <w:sz w:val="22"/>
                <w:szCs w:val="22"/>
                <w:lang w:val="en-GB"/>
              </w:rPr>
              <w:t xml:space="preserve"> concerning ‘Safeguarding </w:t>
            </w:r>
            <w:r w:rsidR="00CD73B3">
              <w:rPr>
                <w:rFonts w:ascii="Arial" w:hAnsi="Arial" w:cs="Arial"/>
                <w:sz w:val="22"/>
                <w:szCs w:val="22"/>
                <w:lang w:val="en-GB"/>
              </w:rPr>
              <w:t>i</w:t>
            </w:r>
            <w:r w:rsidRPr="00427622">
              <w:rPr>
                <w:rFonts w:ascii="Arial" w:hAnsi="Arial" w:cs="Arial"/>
                <w:sz w:val="22"/>
                <w:szCs w:val="22"/>
                <w:lang w:val="en-GB"/>
              </w:rPr>
              <w:t xml:space="preserve">ntangible </w:t>
            </w:r>
            <w:r w:rsidR="00CD73B3">
              <w:rPr>
                <w:rFonts w:ascii="Arial" w:hAnsi="Arial" w:cs="Arial"/>
                <w:sz w:val="22"/>
                <w:szCs w:val="22"/>
                <w:lang w:val="en-GB"/>
              </w:rPr>
              <w:t>c</w:t>
            </w:r>
            <w:r w:rsidRPr="00427622">
              <w:rPr>
                <w:rFonts w:ascii="Arial" w:hAnsi="Arial" w:cs="Arial"/>
                <w:sz w:val="22"/>
                <w:szCs w:val="22"/>
                <w:lang w:val="en-GB"/>
              </w:rPr>
              <w:t xml:space="preserve">ultural </w:t>
            </w:r>
            <w:r w:rsidR="00CD73B3">
              <w:rPr>
                <w:rFonts w:ascii="Arial" w:hAnsi="Arial" w:cs="Arial"/>
                <w:sz w:val="22"/>
                <w:szCs w:val="22"/>
                <w:lang w:val="en-GB"/>
              </w:rPr>
              <w:t>h</w:t>
            </w:r>
            <w:r w:rsidRPr="00427622">
              <w:rPr>
                <w:rFonts w:ascii="Arial" w:hAnsi="Arial" w:cs="Arial"/>
                <w:sz w:val="22"/>
                <w:szCs w:val="22"/>
                <w:lang w:val="en-GB"/>
              </w:rPr>
              <w:t xml:space="preserve">eritage and </w:t>
            </w:r>
            <w:r w:rsidR="00CD73B3">
              <w:rPr>
                <w:rFonts w:ascii="Arial" w:hAnsi="Arial" w:cs="Arial"/>
                <w:sz w:val="22"/>
                <w:szCs w:val="22"/>
                <w:lang w:val="en-GB"/>
              </w:rPr>
              <w:t>s</w:t>
            </w:r>
            <w:r w:rsidRPr="00427622">
              <w:rPr>
                <w:rFonts w:ascii="Arial" w:hAnsi="Arial" w:cs="Arial"/>
                <w:sz w:val="22"/>
                <w:szCs w:val="22"/>
                <w:lang w:val="en-GB"/>
              </w:rPr>
              <w:t xml:space="preserve">ustainable </w:t>
            </w:r>
            <w:r w:rsidR="00CD73B3">
              <w:rPr>
                <w:rFonts w:ascii="Arial" w:hAnsi="Arial" w:cs="Arial"/>
                <w:sz w:val="22"/>
                <w:szCs w:val="22"/>
                <w:lang w:val="en-GB"/>
              </w:rPr>
              <w:t>d</w:t>
            </w:r>
            <w:r w:rsidRPr="00427622">
              <w:rPr>
                <w:rFonts w:ascii="Arial" w:hAnsi="Arial" w:cs="Arial"/>
                <w:sz w:val="22"/>
                <w:szCs w:val="22"/>
                <w:lang w:val="en-GB"/>
              </w:rPr>
              <w:t xml:space="preserve">evelopment at </w:t>
            </w:r>
            <w:r w:rsidR="009634FF">
              <w:rPr>
                <w:rFonts w:ascii="Arial" w:hAnsi="Arial" w:cs="Arial"/>
                <w:sz w:val="22"/>
                <w:szCs w:val="22"/>
                <w:lang w:val="en-GB"/>
              </w:rPr>
              <w:t xml:space="preserve">the </w:t>
            </w:r>
            <w:r w:rsidRPr="00427622">
              <w:rPr>
                <w:rFonts w:ascii="Arial" w:hAnsi="Arial" w:cs="Arial"/>
                <w:sz w:val="22"/>
                <w:szCs w:val="22"/>
                <w:lang w:val="en-GB"/>
              </w:rPr>
              <w:t>national level’ (</w:t>
            </w:r>
            <w:hyperlink r:id="rId30" w:history="1">
              <w:r w:rsidRPr="00427622">
                <w:rPr>
                  <w:rStyle w:val="Hyperlink"/>
                  <w:rFonts w:ascii="Arial" w:hAnsi="Arial" w:cs="Arial"/>
                  <w:sz w:val="22"/>
                  <w:szCs w:val="22"/>
                  <w:lang w:val="en-GB"/>
                </w:rPr>
                <w:t>Decision 10.COM 14.a</w:t>
              </w:r>
            </w:hyperlink>
            <w:r w:rsidRPr="00427622">
              <w:rPr>
                <w:rFonts w:ascii="Arial" w:hAnsi="Arial" w:cs="Arial"/>
                <w:sz w:val="22"/>
                <w:szCs w:val="22"/>
                <w:lang w:val="en-GB"/>
              </w:rPr>
              <w:t>).</w:t>
            </w:r>
          </w:p>
          <w:p w14:paraId="66AD900A" w14:textId="781E7602" w:rsidR="00FA5645" w:rsidRPr="00427622" w:rsidRDefault="00FA5645" w:rsidP="00680307">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rPr>
            </w:pPr>
            <w:r w:rsidRPr="00427622">
              <w:rPr>
                <w:rFonts w:ascii="Arial" w:hAnsi="Arial" w:cs="Arial"/>
                <w:sz w:val="22"/>
                <w:szCs w:val="22"/>
                <w:lang w:val="en-GB"/>
              </w:rPr>
              <w:t xml:space="preserve">In 2016, the sixth session of the General Assembly adopted paragraph 181 dedicated to </w:t>
            </w:r>
            <w:r w:rsidRPr="0033405D">
              <w:rPr>
                <w:rFonts w:ascii="Arial" w:hAnsi="Arial" w:cs="Arial"/>
                <w:sz w:val="22"/>
                <w:szCs w:val="22"/>
                <w:lang w:val="en-GB"/>
              </w:rPr>
              <w:t xml:space="preserve">gender equality in </w:t>
            </w:r>
            <w:r w:rsidRPr="00427622">
              <w:rPr>
                <w:rFonts w:ascii="Arial" w:hAnsi="Arial" w:cs="Arial"/>
                <w:sz w:val="22"/>
                <w:szCs w:val="22"/>
                <w:lang w:val="en-GB"/>
              </w:rPr>
              <w:t xml:space="preserve">chapter VI of the </w:t>
            </w:r>
            <w:r w:rsidRPr="0033405D">
              <w:rPr>
                <w:rFonts w:ascii="Arial" w:hAnsi="Arial" w:cs="Arial"/>
                <w:sz w:val="22"/>
                <w:szCs w:val="22"/>
                <w:lang w:val="en-GB"/>
              </w:rPr>
              <w:t>Operational Directives (</w:t>
            </w:r>
            <w:hyperlink r:id="rId31" w:history="1">
              <w:r w:rsidRPr="0033405D">
                <w:rPr>
                  <w:rStyle w:val="Hyperlink"/>
                  <w:rFonts w:ascii="Arial" w:hAnsi="Arial" w:cs="Arial"/>
                  <w:sz w:val="22"/>
                  <w:szCs w:val="22"/>
                  <w:lang w:val="en-GB"/>
                </w:rPr>
                <w:t>Resolution 6.GA 7</w:t>
              </w:r>
            </w:hyperlink>
            <w:r w:rsidRPr="0033405D">
              <w:rPr>
                <w:rFonts w:ascii="Arial" w:hAnsi="Arial" w:cs="Arial"/>
                <w:sz w:val="22"/>
                <w:szCs w:val="22"/>
                <w:lang w:val="en-GB"/>
              </w:rPr>
              <w:t>) (</w:t>
            </w:r>
            <w:r w:rsidRPr="00427622">
              <w:rPr>
                <w:rFonts w:ascii="Arial" w:hAnsi="Arial" w:cs="Arial"/>
                <w:b/>
                <w:sz w:val="22"/>
                <w:szCs w:val="22"/>
                <w:lang w:val="en-GB"/>
              </w:rPr>
              <w:t>action completed</w:t>
            </w:r>
            <w:r w:rsidRPr="00427622">
              <w:rPr>
                <w:rFonts w:ascii="Arial" w:hAnsi="Arial" w:cs="Arial"/>
                <w:sz w:val="22"/>
                <w:szCs w:val="22"/>
                <w:lang w:val="en-GB"/>
              </w:rPr>
              <w:t>).</w:t>
            </w:r>
          </w:p>
        </w:tc>
      </w:tr>
    </w:tbl>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381916" w:rsidRPr="00284E2B" w14:paraId="0EF2CF4F" w14:textId="77777777" w:rsidTr="002232C8">
        <w:tc>
          <w:tcPr>
            <w:tcW w:w="14358" w:type="dxa"/>
            <w:gridSpan w:val="5"/>
            <w:shd w:val="clear" w:color="auto" w:fill="E6E6E6"/>
            <w:noWrap/>
            <w:tcMar>
              <w:top w:w="40" w:type="dxa"/>
              <w:left w:w="40" w:type="dxa"/>
              <w:bottom w:w="40" w:type="dxa"/>
              <w:right w:w="40" w:type="dxa"/>
            </w:tcMar>
          </w:tcPr>
          <w:p w14:paraId="16BA9500" w14:textId="77777777" w:rsidR="00381916" w:rsidRPr="00427622" w:rsidRDefault="00381916" w:rsidP="00381916">
            <w:pPr>
              <w:keepNext/>
              <w:pageBreakBefore/>
              <w:tabs>
                <w:tab w:val="left" w:pos="2640"/>
                <w:tab w:val="left" w:pos="14034"/>
              </w:tabs>
              <w:spacing w:before="120" w:after="120"/>
              <w:ind w:left="113" w:right="113"/>
              <w:jc w:val="both"/>
              <w:rPr>
                <w:rFonts w:ascii="Arial" w:hAnsi="Arial" w:cs="Arial"/>
                <w:b/>
                <w:sz w:val="22"/>
                <w:szCs w:val="22"/>
                <w:lang w:val="en-GB"/>
              </w:rPr>
            </w:pPr>
            <w:r w:rsidRPr="00427622">
              <w:rPr>
                <w:rFonts w:ascii="Arial" w:hAnsi="Arial" w:cs="Arial"/>
                <w:b/>
                <w:sz w:val="22"/>
                <w:szCs w:val="22"/>
                <w:lang w:val="en-GB"/>
              </w:rPr>
              <w:lastRenderedPageBreak/>
              <w:t>Recommendation 2: Promote increased NGO and community involvement in the development of policy, legislation, safeguarding plans and sustainable development plans.</w:t>
            </w:r>
          </w:p>
        </w:tc>
      </w:tr>
      <w:tr w:rsidR="00381916" w:rsidRPr="00284E2B" w14:paraId="0966E836" w14:textId="77777777" w:rsidTr="002232C8">
        <w:tc>
          <w:tcPr>
            <w:tcW w:w="14358" w:type="dxa"/>
            <w:gridSpan w:val="5"/>
            <w:noWrap/>
            <w:tcMar>
              <w:top w:w="40" w:type="dxa"/>
              <w:left w:w="40" w:type="dxa"/>
              <w:bottom w:w="40" w:type="dxa"/>
              <w:right w:w="40" w:type="dxa"/>
            </w:tcMar>
          </w:tcPr>
          <w:p w14:paraId="1407C6EB" w14:textId="77777777" w:rsidR="00381916" w:rsidRPr="00BB6E41" w:rsidRDefault="00381916" w:rsidP="002232C8">
            <w:pPr>
              <w:keepNext/>
              <w:spacing w:before="120" w:after="120"/>
              <w:ind w:left="113" w:right="113"/>
              <w:jc w:val="both"/>
              <w:rPr>
                <w:rFonts w:ascii="Arial" w:eastAsia="Malgun Gothic" w:hAnsi="Arial" w:cs="Arial"/>
                <w:sz w:val="22"/>
                <w:szCs w:val="22"/>
                <w:lang w:val="en-GB" w:eastAsia="ko-KR"/>
              </w:rPr>
            </w:pPr>
            <w:r w:rsidRPr="00427622">
              <w:rPr>
                <w:rFonts w:ascii="Arial" w:hAnsi="Arial" w:cs="Arial"/>
                <w:b/>
                <w:sz w:val="22"/>
                <w:szCs w:val="22"/>
                <w:lang w:val="en-GB"/>
              </w:rPr>
              <w:t>Management Response</w:t>
            </w:r>
            <w:r w:rsidRPr="00427622">
              <w:rPr>
                <w:rFonts w:ascii="Arial" w:hAnsi="Arial" w:cs="Arial"/>
                <w:sz w:val="22"/>
                <w:szCs w:val="22"/>
                <w:lang w:val="en-GB"/>
              </w:rPr>
              <w:t xml:space="preserve">: This recommendation is fully in line with the Convention and the Operational Directives. Although the implementation of this recommendation is the direct responsibility of the States Parties, the Secretariat uses every opportunity, in particular in the capacity-building programme and supporting material, to remind States of the importance of such involvement. Additionally, the General Assembly during its sixth session adopted amendments to the Operational Directives encouraging States Parties when preparing their Periodic Reports to complement the data gathered on the implementation of the Convention with information provided by relevant </w:t>
            </w:r>
            <w:r>
              <w:rPr>
                <w:rFonts w:ascii="Arial" w:hAnsi="Arial" w:cs="Arial"/>
                <w:sz w:val="22"/>
                <w:szCs w:val="22"/>
                <w:lang w:val="en-GB"/>
              </w:rPr>
              <w:t>non-governmental organizations.</w:t>
            </w:r>
          </w:p>
        </w:tc>
      </w:tr>
      <w:tr w:rsidR="00381916" w:rsidRPr="00427622" w14:paraId="5CF71D93" w14:textId="77777777" w:rsidTr="002232C8">
        <w:tc>
          <w:tcPr>
            <w:tcW w:w="4690" w:type="dxa"/>
            <w:noWrap/>
            <w:tcMar>
              <w:top w:w="40" w:type="dxa"/>
              <w:left w:w="40" w:type="dxa"/>
              <w:bottom w:w="40" w:type="dxa"/>
              <w:right w:w="40" w:type="dxa"/>
            </w:tcMar>
          </w:tcPr>
          <w:p w14:paraId="4BE713FE" w14:textId="77777777" w:rsidR="00381916" w:rsidRPr="00427622" w:rsidRDefault="00381916" w:rsidP="002232C8">
            <w:pPr>
              <w:keepNext/>
              <w:spacing w:before="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7AF6CFD6" w14:textId="77777777" w:rsidR="00381916" w:rsidRPr="00427622" w:rsidRDefault="00381916" w:rsidP="002232C8">
            <w:pPr>
              <w:keepNext/>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82" w:type="dxa"/>
            <w:gridSpan w:val="2"/>
            <w:noWrap/>
            <w:tcMar>
              <w:top w:w="40" w:type="dxa"/>
              <w:left w:w="40" w:type="dxa"/>
              <w:bottom w:w="40" w:type="dxa"/>
              <w:right w:w="40" w:type="dxa"/>
            </w:tcMar>
          </w:tcPr>
          <w:p w14:paraId="69903967" w14:textId="77777777" w:rsidR="00381916" w:rsidRPr="00427622" w:rsidRDefault="00381916" w:rsidP="002232C8">
            <w:pPr>
              <w:keepNext/>
              <w:spacing w:before="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16B33D42" w14:textId="77777777" w:rsidTr="002232C8">
        <w:tc>
          <w:tcPr>
            <w:tcW w:w="4690" w:type="dxa"/>
            <w:noWrap/>
            <w:tcMar>
              <w:top w:w="40" w:type="dxa"/>
              <w:left w:w="40" w:type="dxa"/>
              <w:bottom w:w="40" w:type="dxa"/>
              <w:right w:w="40" w:type="dxa"/>
            </w:tcMar>
          </w:tcPr>
          <w:p w14:paraId="0F368598" w14:textId="77777777" w:rsidR="00381916" w:rsidRPr="00427622" w:rsidRDefault="00381916" w:rsidP="002232C8">
            <w:pPr>
              <w:pStyle w:val="Default"/>
              <w:keepNext/>
              <w:spacing w:before="120"/>
              <w:ind w:left="113" w:right="57"/>
              <w:rPr>
                <w:sz w:val="22"/>
                <w:szCs w:val="22"/>
                <w:lang w:val="en-GB"/>
              </w:rPr>
            </w:pPr>
            <w:r w:rsidRPr="00427622">
              <w:rPr>
                <w:sz w:val="22"/>
                <w:szCs w:val="22"/>
                <w:lang w:val="en-GB"/>
              </w:rPr>
              <w:t>Integrate and/or strengthen these aspects in the capacity-building material and training of trainers workshops.</w:t>
            </w:r>
          </w:p>
        </w:tc>
        <w:tc>
          <w:tcPr>
            <w:tcW w:w="1986" w:type="dxa"/>
            <w:gridSpan w:val="2"/>
            <w:noWrap/>
            <w:tcMar>
              <w:top w:w="40" w:type="dxa"/>
              <w:left w:w="40" w:type="dxa"/>
              <w:bottom w:w="40" w:type="dxa"/>
              <w:right w:w="40" w:type="dxa"/>
            </w:tcMar>
          </w:tcPr>
          <w:p w14:paraId="39AFCEFE" w14:textId="77777777" w:rsidR="00381916" w:rsidRPr="00427622" w:rsidRDefault="00381916" w:rsidP="002232C8">
            <w:pPr>
              <w:keepNext/>
              <w:spacing w:before="120" w:after="120"/>
              <w:ind w:left="57"/>
              <w:rPr>
                <w:rFonts w:ascii="Arial" w:hAnsi="Arial" w:cs="Arial"/>
                <w:sz w:val="22"/>
                <w:szCs w:val="22"/>
                <w:lang w:val="en-GB"/>
              </w:rPr>
            </w:pPr>
            <w:r w:rsidRPr="00427622">
              <w:rPr>
                <w:rFonts w:ascii="Arial" w:hAnsi="Arial" w:cs="Arial"/>
                <w:sz w:val="22"/>
                <w:szCs w:val="22"/>
                <w:lang w:val="en-GB"/>
              </w:rPr>
              <w:t>February 2016</w:t>
            </w:r>
          </w:p>
        </w:tc>
        <w:tc>
          <w:tcPr>
            <w:tcW w:w="7682" w:type="dxa"/>
            <w:gridSpan w:val="2"/>
            <w:noWrap/>
            <w:tcMar>
              <w:top w:w="40" w:type="dxa"/>
              <w:left w:w="40" w:type="dxa"/>
              <w:bottom w:w="40" w:type="dxa"/>
              <w:right w:w="40" w:type="dxa"/>
            </w:tcMar>
          </w:tcPr>
          <w:p w14:paraId="28A4B7A6" w14:textId="77777777" w:rsidR="00381916" w:rsidRPr="00427622" w:rsidRDefault="00381916" w:rsidP="002232C8">
            <w:pPr>
              <w:pStyle w:val="ListParagraph"/>
              <w:keepNext/>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The role of non-governmental organizations and community involvement was part of the training for expert facilitators for Asia-Pacific (January 2015) and Africa (September 2015).</w:t>
            </w:r>
          </w:p>
          <w:p w14:paraId="522618D2" w14:textId="77777777" w:rsidR="00381916" w:rsidRPr="00427622" w:rsidRDefault="00381916" w:rsidP="002232C8">
            <w:pPr>
              <w:pStyle w:val="ListParagraph"/>
              <w:keepNext/>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A UNESCO guidance note on providing advisory services for policy development in the field of intangible cultural heritage, made available in June 2015, underlines the role of non-governmental organizations and community involvement.</w:t>
            </w:r>
          </w:p>
          <w:p w14:paraId="1A930F00" w14:textId="77777777" w:rsidR="00381916" w:rsidRPr="00427622" w:rsidRDefault="00381916" w:rsidP="002232C8">
            <w:pPr>
              <w:pStyle w:val="ListParagraph"/>
              <w:keepNext/>
              <w:numPr>
                <w:ilvl w:val="0"/>
                <w:numId w:val="9"/>
              </w:numPr>
              <w:spacing w:before="120" w:beforeAutospacing="0" w:after="120" w:afterAutospacing="0"/>
              <w:ind w:left="470" w:hanging="357"/>
              <w:contextualSpacing/>
              <w:rPr>
                <w:rFonts w:ascii="Arial" w:hAnsi="Arial" w:cs="Arial"/>
                <w:b/>
                <w:sz w:val="22"/>
                <w:szCs w:val="22"/>
                <w:u w:val="single"/>
                <w:lang w:val="en-GB"/>
              </w:rPr>
            </w:pPr>
            <w:r w:rsidRPr="00427622">
              <w:rPr>
                <w:rFonts w:ascii="Arial" w:hAnsi="Arial" w:cs="Arial"/>
                <w:sz w:val="22"/>
                <w:szCs w:val="22"/>
                <w:lang w:val="en-GB"/>
              </w:rPr>
              <w:t>An independent training material unit on policy and legal development was made available in English, French and Spanish in the first half of 2016, integrating the importance of non-governmental organizations and community involvement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18546E6C" w14:textId="77777777" w:rsidTr="002232C8">
        <w:tc>
          <w:tcPr>
            <w:tcW w:w="4690" w:type="dxa"/>
            <w:noWrap/>
            <w:tcMar>
              <w:top w:w="40" w:type="dxa"/>
              <w:left w:w="40" w:type="dxa"/>
              <w:bottom w:w="40" w:type="dxa"/>
              <w:right w:w="40" w:type="dxa"/>
            </w:tcMar>
          </w:tcPr>
          <w:p w14:paraId="7541C0AD"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Revise Operational Directives to encourage States Parties when preparing their Periodic Reports</w:t>
            </w:r>
            <w:r w:rsidRPr="0033405D">
              <w:rPr>
                <w:lang w:val="en-GB"/>
              </w:rPr>
              <w:t xml:space="preserve"> </w:t>
            </w:r>
            <w:r w:rsidRPr="00427622">
              <w:rPr>
                <w:sz w:val="22"/>
                <w:szCs w:val="22"/>
                <w:lang w:val="en-GB"/>
              </w:rPr>
              <w:t>to complement the data gathered on the implementation of the Convention with information provided by relevant non-governmental organizations</w:t>
            </w:r>
          </w:p>
        </w:tc>
        <w:tc>
          <w:tcPr>
            <w:tcW w:w="1986" w:type="dxa"/>
            <w:gridSpan w:val="2"/>
            <w:noWrap/>
            <w:tcMar>
              <w:top w:w="40" w:type="dxa"/>
              <w:left w:w="40" w:type="dxa"/>
              <w:bottom w:w="40" w:type="dxa"/>
              <w:right w:w="40" w:type="dxa"/>
            </w:tcMar>
          </w:tcPr>
          <w:p w14:paraId="7689936C" w14:textId="77777777" w:rsidR="00381916" w:rsidRPr="00427622" w:rsidDel="001E0618" w:rsidRDefault="00381916" w:rsidP="002232C8">
            <w:pPr>
              <w:pStyle w:val="Default"/>
              <w:spacing w:before="120"/>
              <w:ind w:left="57"/>
              <w:rPr>
                <w:sz w:val="22"/>
                <w:szCs w:val="22"/>
                <w:lang w:val="en-GB"/>
              </w:rPr>
            </w:pPr>
            <w:r w:rsidRPr="00427622">
              <w:rPr>
                <w:sz w:val="22"/>
                <w:szCs w:val="22"/>
                <w:lang w:val="en-GB"/>
              </w:rPr>
              <w:t>June 2016</w:t>
            </w:r>
          </w:p>
        </w:tc>
        <w:tc>
          <w:tcPr>
            <w:tcW w:w="7682" w:type="dxa"/>
            <w:gridSpan w:val="2"/>
            <w:noWrap/>
            <w:tcMar>
              <w:top w:w="40" w:type="dxa"/>
              <w:left w:w="40" w:type="dxa"/>
              <w:bottom w:w="40" w:type="dxa"/>
              <w:right w:w="40" w:type="dxa"/>
            </w:tcMar>
          </w:tcPr>
          <w:p w14:paraId="16E989B4"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In June 2016, the General Assembly during its sixth session adopted amendments to the Operational Directives encouraging States Parties when preparing their Periodic Reports</w:t>
            </w:r>
            <w:r w:rsidRPr="0033405D">
              <w:rPr>
                <w:lang w:val="en-GB"/>
              </w:rPr>
              <w:t xml:space="preserve"> </w:t>
            </w:r>
            <w:r w:rsidRPr="00427622">
              <w:rPr>
                <w:rFonts w:ascii="Arial" w:hAnsi="Arial" w:cs="Arial"/>
                <w:sz w:val="22"/>
                <w:szCs w:val="22"/>
                <w:lang w:val="en-GB"/>
              </w:rPr>
              <w:t xml:space="preserve">to complement the data gathered on the implementation of the Convention with information provided by relevant non-governmental organizations </w:t>
            </w:r>
            <w:r w:rsidRPr="0033405D">
              <w:rPr>
                <w:rFonts w:ascii="Arial" w:hAnsi="Arial" w:cs="Arial"/>
                <w:sz w:val="22"/>
                <w:szCs w:val="22"/>
                <w:lang w:val="en-GB"/>
              </w:rPr>
              <w:t>(</w:t>
            </w:r>
            <w:hyperlink r:id="rId32" w:history="1">
              <w:r w:rsidRPr="0033405D">
                <w:rPr>
                  <w:rStyle w:val="Hyperlink"/>
                  <w:rFonts w:ascii="Arial" w:hAnsi="Arial" w:cs="Arial"/>
                  <w:sz w:val="22"/>
                  <w:szCs w:val="22"/>
                  <w:lang w:val="en-GB"/>
                </w:rPr>
                <w:t>Resolution 6.GA 7</w:t>
              </w:r>
            </w:hyperlink>
            <w:r w:rsidRPr="0033405D">
              <w:rPr>
                <w:rFonts w:ascii="Arial" w:hAnsi="Arial" w:cs="Arial"/>
                <w:sz w:val="22"/>
                <w:szCs w:val="22"/>
                <w:lang w:val="en-GB"/>
              </w:rPr>
              <w:t>)</w:t>
            </w:r>
            <w:r w:rsidRPr="00427622">
              <w:rPr>
                <w:rFonts w:ascii="Arial" w:hAnsi="Arial" w:cs="Arial"/>
                <w:sz w:val="22"/>
                <w:szCs w:val="22"/>
                <w:lang w:val="en-GB"/>
              </w:rPr>
              <w:t xml:space="preserve">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15F2CBE0" w14:textId="77777777" w:rsidTr="002232C8">
        <w:tc>
          <w:tcPr>
            <w:tcW w:w="4690" w:type="dxa"/>
            <w:noWrap/>
            <w:tcMar>
              <w:top w:w="40" w:type="dxa"/>
              <w:left w:w="40" w:type="dxa"/>
              <w:bottom w:w="40" w:type="dxa"/>
              <w:right w:w="40" w:type="dxa"/>
            </w:tcMar>
          </w:tcPr>
          <w:p w14:paraId="7A1CE944"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Integrate these aspects in</w:t>
            </w:r>
            <w:r>
              <w:rPr>
                <w:sz w:val="22"/>
                <w:szCs w:val="22"/>
                <w:lang w:val="en-GB"/>
              </w:rPr>
              <w:t>to</w:t>
            </w:r>
            <w:r w:rsidRPr="00427622">
              <w:rPr>
                <w:sz w:val="22"/>
                <w:szCs w:val="22"/>
                <w:lang w:val="en-GB"/>
              </w:rPr>
              <w:t xml:space="preserve"> the </w:t>
            </w:r>
            <w:r w:rsidRPr="00427622">
              <w:rPr>
                <w:i/>
                <w:sz w:val="22"/>
                <w:szCs w:val="22"/>
                <w:lang w:val="en-GB"/>
              </w:rPr>
              <w:t>aide-mémoire</w:t>
            </w:r>
            <w:r w:rsidRPr="00427622">
              <w:rPr>
                <w:sz w:val="22"/>
                <w:szCs w:val="22"/>
                <w:lang w:val="en-GB"/>
              </w:rPr>
              <w:t xml:space="preserve"> for elaborating nomination files and for Periodic Reports.</w:t>
            </w:r>
          </w:p>
        </w:tc>
        <w:tc>
          <w:tcPr>
            <w:tcW w:w="1986" w:type="dxa"/>
            <w:gridSpan w:val="2"/>
            <w:noWrap/>
            <w:tcMar>
              <w:top w:w="40" w:type="dxa"/>
              <w:left w:w="40" w:type="dxa"/>
              <w:bottom w:w="40" w:type="dxa"/>
              <w:right w:w="40" w:type="dxa"/>
            </w:tcMar>
          </w:tcPr>
          <w:p w14:paraId="422DD335" w14:textId="267904FF" w:rsidR="00381916" w:rsidRPr="00427622" w:rsidRDefault="00B73BAA" w:rsidP="002232C8">
            <w:pPr>
              <w:pStyle w:val="Default"/>
              <w:spacing w:before="120"/>
              <w:ind w:left="57"/>
              <w:rPr>
                <w:sz w:val="22"/>
                <w:szCs w:val="22"/>
                <w:lang w:val="en-GB"/>
              </w:rPr>
            </w:pPr>
            <w:r>
              <w:rPr>
                <w:sz w:val="22"/>
                <w:szCs w:val="22"/>
                <w:lang w:val="en-GB"/>
              </w:rPr>
              <w:t>November 2016</w:t>
            </w:r>
          </w:p>
        </w:tc>
        <w:tc>
          <w:tcPr>
            <w:tcW w:w="7682" w:type="dxa"/>
            <w:gridSpan w:val="2"/>
            <w:noWrap/>
            <w:tcMar>
              <w:top w:w="40" w:type="dxa"/>
              <w:left w:w="40" w:type="dxa"/>
              <w:bottom w:w="40" w:type="dxa"/>
              <w:right w:w="40" w:type="dxa"/>
            </w:tcMar>
          </w:tcPr>
          <w:p w14:paraId="730C7BAE" w14:textId="77777777" w:rsidR="00381916" w:rsidRPr="00427622" w:rsidRDefault="00381916" w:rsidP="002232C8">
            <w:pPr>
              <w:pStyle w:val="ListParagraph"/>
              <w:numPr>
                <w:ilvl w:val="0"/>
                <w:numId w:val="9"/>
              </w:numPr>
              <w:spacing w:before="120" w:beforeAutospacing="0" w:after="120" w:afterAutospacing="0"/>
              <w:ind w:left="470" w:hanging="357"/>
              <w:contextualSpacing/>
              <w:rPr>
                <w:sz w:val="22"/>
                <w:szCs w:val="22"/>
                <w:lang w:val="en-GB"/>
              </w:rPr>
            </w:pPr>
            <w:r w:rsidRPr="00427622">
              <w:rPr>
                <w:rFonts w:ascii="Arial" w:hAnsi="Arial" w:cs="Arial"/>
                <w:sz w:val="22"/>
                <w:szCs w:val="22"/>
                <w:lang w:val="en-GB"/>
              </w:rPr>
              <w:t xml:space="preserve">The February 2015 version of the </w:t>
            </w:r>
            <w:r w:rsidRPr="00427622">
              <w:rPr>
                <w:rFonts w:ascii="Arial" w:hAnsi="Arial" w:cs="Arial"/>
                <w:i/>
                <w:sz w:val="22"/>
                <w:szCs w:val="22"/>
                <w:lang w:val="en-GB"/>
              </w:rPr>
              <w:t>aide-mémoire</w:t>
            </w:r>
            <w:r w:rsidRPr="00427622">
              <w:rPr>
                <w:rFonts w:ascii="Arial" w:hAnsi="Arial" w:cs="Arial"/>
                <w:sz w:val="22"/>
                <w:szCs w:val="22"/>
                <w:lang w:val="en-GB"/>
              </w:rPr>
              <w:t xml:space="preserve"> mentions in several places the importance of non-governmental organizations and community involvement.</w:t>
            </w:r>
          </w:p>
          <w:p w14:paraId="40F1C3D6"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Following the adoption of the</w:t>
            </w:r>
            <w:r w:rsidRPr="00427622">
              <w:rPr>
                <w:rFonts w:ascii="Arial" w:hAnsi="Arial" w:cs="Arial"/>
                <w:sz w:val="22"/>
                <w:szCs w:val="22"/>
                <w:lang w:val="en-GB"/>
              </w:rPr>
              <w:t xml:space="preserve"> amendments to the Operational Directives </w:t>
            </w:r>
            <w:r w:rsidRPr="00427622">
              <w:rPr>
                <w:rFonts w:ascii="Arial" w:hAnsi="Arial" w:cs="Arial"/>
                <w:sz w:val="22"/>
                <w:szCs w:val="22"/>
                <w:lang w:val="en-GB"/>
              </w:rPr>
              <w:lastRenderedPageBreak/>
              <w:t>by the General Assembly</w:t>
            </w:r>
            <w:r w:rsidRPr="0033405D">
              <w:rPr>
                <w:rFonts w:ascii="Arial" w:hAnsi="Arial" w:cs="Arial"/>
                <w:sz w:val="22"/>
                <w:szCs w:val="22"/>
                <w:lang w:val="en-GB"/>
              </w:rPr>
              <w:t xml:space="preserve">, </w:t>
            </w:r>
            <w:r w:rsidRPr="00427622">
              <w:rPr>
                <w:rFonts w:ascii="Arial" w:hAnsi="Arial" w:cs="Arial"/>
                <w:sz w:val="22"/>
                <w:szCs w:val="22"/>
                <w:lang w:val="en-GB"/>
              </w:rPr>
              <w:t xml:space="preserve">the </w:t>
            </w:r>
            <w:r w:rsidRPr="00427622">
              <w:rPr>
                <w:rFonts w:ascii="Arial" w:hAnsi="Arial" w:cs="Arial"/>
                <w:i/>
                <w:sz w:val="22"/>
                <w:szCs w:val="22"/>
                <w:lang w:val="en-GB"/>
              </w:rPr>
              <w:t>aide-mémoire</w:t>
            </w:r>
            <w:r w:rsidRPr="00427622">
              <w:rPr>
                <w:rFonts w:ascii="Arial" w:hAnsi="Arial" w:cs="Arial"/>
                <w:sz w:val="22"/>
                <w:szCs w:val="22"/>
                <w:lang w:val="en-GB"/>
              </w:rPr>
              <w:t xml:space="preserve"> on periodic reporting</w:t>
            </w:r>
            <w:r w:rsidRPr="0033405D">
              <w:rPr>
                <w:rFonts w:ascii="Arial" w:hAnsi="Arial" w:cs="Arial"/>
                <w:sz w:val="22"/>
                <w:szCs w:val="22"/>
                <w:lang w:val="en-GB"/>
              </w:rPr>
              <w:t xml:space="preserve"> is being updated to </w:t>
            </w:r>
            <w:r w:rsidRPr="00427622">
              <w:rPr>
                <w:rFonts w:ascii="Arial" w:hAnsi="Arial" w:cs="Arial"/>
                <w:sz w:val="22"/>
                <w:szCs w:val="22"/>
                <w:lang w:val="en-GB"/>
              </w:rPr>
              <w:t>further emphasize the role of non-governmental organizations.</w:t>
            </w:r>
          </w:p>
        </w:tc>
      </w:tr>
      <w:tr w:rsidR="00381916" w:rsidRPr="00284E2B" w14:paraId="4B5D9F4E" w14:textId="77777777" w:rsidTr="002232C8">
        <w:tc>
          <w:tcPr>
            <w:tcW w:w="14358" w:type="dxa"/>
            <w:gridSpan w:val="5"/>
            <w:shd w:val="clear" w:color="auto" w:fill="E6E6E6"/>
            <w:noWrap/>
            <w:tcMar>
              <w:top w:w="40" w:type="dxa"/>
              <w:left w:w="40" w:type="dxa"/>
              <w:bottom w:w="40" w:type="dxa"/>
              <w:right w:w="40" w:type="dxa"/>
            </w:tcMar>
          </w:tcPr>
          <w:p w14:paraId="1E840FC4" w14:textId="77777777" w:rsidR="00381916" w:rsidRPr="00427622" w:rsidRDefault="00381916" w:rsidP="002232C8">
            <w:pPr>
              <w:tabs>
                <w:tab w:val="left" w:pos="2640"/>
                <w:tab w:val="left" w:pos="14034"/>
              </w:tabs>
              <w:spacing w:before="120" w:after="120"/>
              <w:ind w:left="113" w:right="113"/>
              <w:jc w:val="both"/>
              <w:rPr>
                <w:rFonts w:ascii="Arial" w:hAnsi="Arial" w:cs="Arial"/>
                <w:b/>
                <w:sz w:val="22"/>
                <w:szCs w:val="22"/>
                <w:lang w:val="en-GB"/>
              </w:rPr>
            </w:pPr>
            <w:r w:rsidRPr="00427622">
              <w:rPr>
                <w:rFonts w:ascii="Arial" w:hAnsi="Arial" w:cs="Arial"/>
                <w:b/>
                <w:sz w:val="22"/>
                <w:szCs w:val="22"/>
                <w:lang w:val="en-GB"/>
              </w:rPr>
              <w:lastRenderedPageBreak/>
              <w:t>Recommendation 3: Enhance cooperation with sustainable development experts for integrating ICH into non-cultural legislation and policy, and for other work related to ICH and sustainable development.</w:t>
            </w:r>
          </w:p>
        </w:tc>
      </w:tr>
      <w:tr w:rsidR="00381916" w:rsidRPr="00284E2B" w14:paraId="02D76F1A" w14:textId="77777777" w:rsidTr="002232C8">
        <w:tc>
          <w:tcPr>
            <w:tcW w:w="14358" w:type="dxa"/>
            <w:gridSpan w:val="5"/>
            <w:noWrap/>
            <w:tcMar>
              <w:top w:w="40" w:type="dxa"/>
              <w:left w:w="40" w:type="dxa"/>
              <w:bottom w:w="40" w:type="dxa"/>
              <w:right w:w="40" w:type="dxa"/>
            </w:tcMar>
          </w:tcPr>
          <w:p w14:paraId="61B549A7" w14:textId="77777777" w:rsidR="00381916" w:rsidRPr="00427622" w:rsidRDefault="00381916" w:rsidP="002232C8">
            <w:pPr>
              <w:spacing w:before="120" w:after="120"/>
              <w:ind w:left="113" w:right="113"/>
              <w:jc w:val="both"/>
              <w:rPr>
                <w:rFonts w:ascii="Arial" w:hAnsi="Arial" w:cs="Arial"/>
                <w:sz w:val="22"/>
                <w:szCs w:val="22"/>
                <w:lang w:val="en-GB"/>
              </w:rPr>
            </w:pPr>
            <w:r w:rsidRPr="00427622">
              <w:rPr>
                <w:rFonts w:ascii="Arial" w:hAnsi="Arial" w:cs="Arial"/>
                <w:b/>
                <w:sz w:val="22"/>
                <w:szCs w:val="22"/>
                <w:lang w:val="en-GB"/>
              </w:rPr>
              <w:t>Management Response</w:t>
            </w:r>
            <w:r w:rsidRPr="00427622">
              <w:rPr>
                <w:rFonts w:ascii="Arial" w:hAnsi="Arial" w:cs="Arial"/>
                <w:sz w:val="22"/>
                <w:szCs w:val="22"/>
                <w:lang w:val="en-GB"/>
              </w:rPr>
              <w:t xml:space="preserve">: Although the implementation of this recommendation is the direct responsibility of the States Parties, the Secretariat is also integrating and/or strengthening these aspects in its capacity-building programme (curriculum and training of trainers), and </w:t>
            </w:r>
            <w:r>
              <w:rPr>
                <w:rFonts w:ascii="Arial" w:hAnsi="Arial" w:cs="Arial"/>
                <w:sz w:val="22"/>
                <w:szCs w:val="22"/>
                <w:lang w:val="en-GB"/>
              </w:rPr>
              <w:t>in its development of</w:t>
            </w:r>
            <w:r w:rsidRPr="00427622">
              <w:rPr>
                <w:rFonts w:ascii="Arial" w:hAnsi="Arial" w:cs="Arial"/>
                <w:sz w:val="22"/>
                <w:szCs w:val="22"/>
                <w:lang w:val="en-GB"/>
              </w:rPr>
              <w:t xml:space="preserve"> new Operational Directives on Intangible Cultural Heritage and sustainable development.</w:t>
            </w:r>
          </w:p>
        </w:tc>
      </w:tr>
      <w:tr w:rsidR="00381916" w:rsidRPr="00427622" w14:paraId="1123A35D" w14:textId="77777777" w:rsidTr="002232C8">
        <w:tc>
          <w:tcPr>
            <w:tcW w:w="4717" w:type="dxa"/>
            <w:gridSpan w:val="2"/>
            <w:noWrap/>
            <w:tcMar>
              <w:top w:w="40" w:type="dxa"/>
              <w:left w:w="40" w:type="dxa"/>
              <w:bottom w:w="40" w:type="dxa"/>
              <w:right w:w="40" w:type="dxa"/>
            </w:tcMar>
          </w:tcPr>
          <w:p w14:paraId="1DCDED59"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00172BF5"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3FDF819"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1B3763D7" w14:textId="77777777" w:rsidTr="002232C8">
        <w:tc>
          <w:tcPr>
            <w:tcW w:w="4717" w:type="dxa"/>
            <w:gridSpan w:val="2"/>
            <w:noWrap/>
            <w:tcMar>
              <w:top w:w="40" w:type="dxa"/>
              <w:left w:w="40" w:type="dxa"/>
              <w:bottom w:w="40" w:type="dxa"/>
              <w:right w:w="40" w:type="dxa"/>
            </w:tcMar>
          </w:tcPr>
          <w:p w14:paraId="1F3EE479"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Integrate and/or strengthen these aspects in the capacity-building material and training of trainers workshops.</w:t>
            </w:r>
          </w:p>
        </w:tc>
        <w:tc>
          <w:tcPr>
            <w:tcW w:w="1986" w:type="dxa"/>
            <w:gridSpan w:val="2"/>
            <w:shd w:val="clear" w:color="auto" w:fill="auto"/>
            <w:noWrap/>
            <w:tcMar>
              <w:top w:w="40" w:type="dxa"/>
              <w:left w:w="40" w:type="dxa"/>
              <w:bottom w:w="40" w:type="dxa"/>
              <w:right w:w="40" w:type="dxa"/>
            </w:tcMar>
          </w:tcPr>
          <w:p w14:paraId="4ACFB464" w14:textId="77777777" w:rsidR="00381916" w:rsidRPr="00427622" w:rsidRDefault="00381916" w:rsidP="002232C8">
            <w:pPr>
              <w:spacing w:before="120" w:after="120"/>
              <w:ind w:left="57" w:righ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1D483E11"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As regards the integration of intangible cultural heritage into non-cultural legislation and policy, greater cooperation with the sustainable development experts allowed</w:t>
            </w:r>
            <w:r>
              <w:rPr>
                <w:rFonts w:ascii="Arial" w:hAnsi="Arial" w:cs="Arial"/>
                <w:sz w:val="22"/>
                <w:szCs w:val="22"/>
                <w:lang w:val="en-GB"/>
              </w:rPr>
              <w:t xml:space="preserve"> for</w:t>
            </w:r>
            <w:r w:rsidRPr="00427622">
              <w:rPr>
                <w:rFonts w:ascii="Arial" w:hAnsi="Arial" w:cs="Arial"/>
                <w:sz w:val="22"/>
                <w:szCs w:val="22"/>
                <w:lang w:val="en-GB"/>
              </w:rPr>
              <w:t>:</w:t>
            </w:r>
          </w:p>
          <w:p w14:paraId="7781CE91" w14:textId="77777777" w:rsidR="00381916" w:rsidRPr="00427622" w:rsidRDefault="00381916" w:rsidP="002232C8">
            <w:pPr>
              <w:pStyle w:val="ListParagraph"/>
              <w:numPr>
                <w:ilvl w:val="0"/>
                <w:numId w:val="10"/>
              </w:numPr>
              <w:spacing w:before="120" w:beforeAutospacing="0" w:after="120" w:afterAutospacing="0"/>
              <w:ind w:left="814"/>
              <w:contextualSpacing/>
              <w:rPr>
                <w:rFonts w:ascii="Arial" w:hAnsi="Arial" w:cs="Arial"/>
                <w:sz w:val="22"/>
                <w:szCs w:val="22"/>
                <w:lang w:val="en-GB"/>
              </w:rPr>
            </w:pPr>
            <w:r w:rsidRPr="00427622">
              <w:rPr>
                <w:rFonts w:ascii="Arial" w:hAnsi="Arial" w:cs="Arial"/>
                <w:sz w:val="22"/>
                <w:szCs w:val="22"/>
                <w:lang w:val="en-GB"/>
              </w:rPr>
              <w:t>the elaboration of a new format for policy and legal support in the capacity-building programme;</w:t>
            </w:r>
          </w:p>
          <w:p w14:paraId="49DE79F3" w14:textId="77777777" w:rsidR="00381916" w:rsidRPr="00427622" w:rsidRDefault="00381916" w:rsidP="002232C8">
            <w:pPr>
              <w:pStyle w:val="ListParagraph"/>
              <w:numPr>
                <w:ilvl w:val="0"/>
                <w:numId w:val="10"/>
              </w:numPr>
              <w:spacing w:before="120" w:beforeAutospacing="0" w:after="120" w:afterAutospacing="0"/>
              <w:ind w:left="814"/>
              <w:contextualSpacing/>
              <w:rPr>
                <w:rFonts w:ascii="Arial" w:hAnsi="Arial" w:cs="Arial"/>
                <w:sz w:val="22"/>
                <w:szCs w:val="22"/>
                <w:lang w:val="en-GB"/>
              </w:rPr>
            </w:pPr>
            <w:r w:rsidRPr="00427622">
              <w:rPr>
                <w:rFonts w:ascii="Arial" w:hAnsi="Arial" w:cs="Arial"/>
                <w:sz w:val="22"/>
                <w:szCs w:val="22"/>
                <w:lang w:val="en-GB"/>
              </w:rPr>
              <w:t>the elaboration of a dedicated unit (Unit 8) on intangible cultural heritage and sustainable development as capacity-building material;</w:t>
            </w:r>
          </w:p>
          <w:p w14:paraId="76F9410E" w14:textId="77777777" w:rsidR="00381916" w:rsidRPr="00427622" w:rsidRDefault="00381916" w:rsidP="002232C8">
            <w:pPr>
              <w:pStyle w:val="ListParagraph"/>
              <w:numPr>
                <w:ilvl w:val="0"/>
                <w:numId w:val="10"/>
              </w:numPr>
              <w:spacing w:before="120" w:beforeAutospacing="0" w:after="120" w:afterAutospacing="0"/>
              <w:ind w:left="814"/>
              <w:contextualSpacing/>
              <w:rPr>
                <w:rFonts w:ascii="Arial" w:hAnsi="Arial" w:cs="Arial"/>
                <w:sz w:val="22"/>
                <w:szCs w:val="22"/>
                <w:lang w:val="en-GB"/>
              </w:rPr>
            </w:pPr>
            <w:r w:rsidRPr="00427622">
              <w:rPr>
                <w:rFonts w:ascii="Arial" w:hAnsi="Arial" w:cs="Arial"/>
                <w:sz w:val="22"/>
                <w:szCs w:val="22"/>
                <w:lang w:val="en-GB"/>
              </w:rPr>
              <w:t>the elaboration of a UNESCO guidance note on providing advisory services for policy development.</w:t>
            </w:r>
          </w:p>
          <w:p w14:paraId="5341B7DC"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b/>
                <w:bCs/>
                <w:i/>
                <w:iCs/>
                <w:sz w:val="22"/>
                <w:szCs w:val="22"/>
                <w:lang w:val="en-GB"/>
              </w:rPr>
            </w:pPr>
            <w:r w:rsidRPr="00427622">
              <w:rPr>
                <w:rFonts w:ascii="Arial" w:hAnsi="Arial" w:cs="Arial"/>
                <w:sz w:val="22"/>
                <w:szCs w:val="22"/>
                <w:lang w:val="en-GB"/>
              </w:rPr>
              <w:t>The regional workshop for expert facilitators from Africa (Constantine, Algeria, September 2015) focused on supporting policy development in the field of intangible cultural heritage in Africa and also discussed the difficulties of integrating intangible cultural heritage policy into non</w:t>
            </w:r>
            <w:r w:rsidRPr="00427622">
              <w:rPr>
                <w:rFonts w:ascii="Arial" w:hAnsi="Arial" w:cs="Arial"/>
                <w:sz w:val="22"/>
                <w:szCs w:val="22"/>
                <w:lang w:val="en-GB"/>
              </w:rPr>
              <w:noBreakHyphen/>
              <w:t>cultural legislation and policies.</w:t>
            </w:r>
          </w:p>
        </w:tc>
      </w:tr>
      <w:tr w:rsidR="00381916" w:rsidRPr="00284E2B" w14:paraId="767FB8CA" w14:textId="77777777" w:rsidTr="002232C8">
        <w:tc>
          <w:tcPr>
            <w:tcW w:w="4717" w:type="dxa"/>
            <w:gridSpan w:val="2"/>
            <w:noWrap/>
            <w:tcMar>
              <w:top w:w="40" w:type="dxa"/>
              <w:left w:w="40" w:type="dxa"/>
              <w:bottom w:w="40" w:type="dxa"/>
              <w:right w:w="40" w:type="dxa"/>
            </w:tcMar>
          </w:tcPr>
          <w:p w14:paraId="36FDFEAE" w14:textId="77777777" w:rsidR="00381916" w:rsidRPr="0033405D" w:rsidRDefault="00381916" w:rsidP="002232C8">
            <w:pPr>
              <w:spacing w:before="120" w:after="120"/>
              <w:ind w:left="113" w:right="57"/>
              <w:rPr>
                <w:rFonts w:ascii="Arial" w:hAnsi="Arial" w:cs="Arial"/>
                <w:sz w:val="22"/>
                <w:szCs w:val="22"/>
                <w:lang w:val="en-GB"/>
              </w:rPr>
            </w:pPr>
            <w:r w:rsidRPr="0033405D">
              <w:rPr>
                <w:rFonts w:ascii="Arial" w:hAnsi="Arial" w:cs="Arial"/>
                <w:sz w:val="22"/>
                <w:szCs w:val="22"/>
                <w:lang w:val="en-GB"/>
              </w:rPr>
              <w:t>Develop new Operational Directives on Safeguarding Intangible Cultural Heritage and Sustainable Development.</w:t>
            </w:r>
          </w:p>
        </w:tc>
        <w:tc>
          <w:tcPr>
            <w:tcW w:w="1986" w:type="dxa"/>
            <w:gridSpan w:val="2"/>
            <w:noWrap/>
            <w:tcMar>
              <w:top w:w="40" w:type="dxa"/>
              <w:left w:w="40" w:type="dxa"/>
              <w:bottom w:w="40" w:type="dxa"/>
              <w:right w:w="40" w:type="dxa"/>
            </w:tcMar>
          </w:tcPr>
          <w:p w14:paraId="49202F4E" w14:textId="77777777" w:rsidR="00381916" w:rsidRPr="0033405D" w:rsidRDefault="00381916" w:rsidP="002232C8">
            <w:pPr>
              <w:spacing w:before="120" w:after="120"/>
              <w:ind w:left="57" w:right="57"/>
              <w:rPr>
                <w:rFonts w:ascii="Arial" w:hAnsi="Arial" w:cs="Arial"/>
                <w:sz w:val="22"/>
                <w:szCs w:val="22"/>
                <w:lang w:val="en-GB"/>
              </w:rPr>
            </w:pPr>
            <w:r w:rsidRPr="0033405D">
              <w:rPr>
                <w:rFonts w:ascii="Arial" w:hAnsi="Arial" w:cs="Arial"/>
                <w:sz w:val="22"/>
                <w:szCs w:val="22"/>
                <w:lang w:val="en-GB"/>
              </w:rPr>
              <w:t>June 2016</w:t>
            </w:r>
          </w:p>
        </w:tc>
        <w:tc>
          <w:tcPr>
            <w:tcW w:w="7655" w:type="dxa"/>
            <w:noWrap/>
            <w:tcMar>
              <w:top w:w="40" w:type="dxa"/>
              <w:left w:w="40" w:type="dxa"/>
              <w:bottom w:w="40" w:type="dxa"/>
              <w:right w:w="40" w:type="dxa"/>
            </w:tcMar>
          </w:tcPr>
          <w:p w14:paraId="72C391DC"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Development experts participated in the elaboration of the draft amendment of the Operational Directives on </w:t>
            </w:r>
            <w:r>
              <w:rPr>
                <w:rFonts w:ascii="Arial" w:hAnsi="Arial" w:cs="Arial"/>
                <w:sz w:val="22"/>
                <w:szCs w:val="22"/>
                <w:lang w:val="en-GB"/>
              </w:rPr>
              <w:t>i</w:t>
            </w:r>
            <w:r w:rsidRPr="0033405D">
              <w:rPr>
                <w:rFonts w:ascii="Arial" w:hAnsi="Arial" w:cs="Arial"/>
                <w:sz w:val="22"/>
                <w:szCs w:val="22"/>
                <w:lang w:val="en-GB"/>
              </w:rPr>
              <w:t xml:space="preserve">ntangible </w:t>
            </w:r>
            <w:r>
              <w:rPr>
                <w:rFonts w:ascii="Arial" w:hAnsi="Arial" w:cs="Arial"/>
                <w:sz w:val="22"/>
                <w:szCs w:val="22"/>
                <w:lang w:val="en-GB"/>
              </w:rPr>
              <w:t>c</w:t>
            </w:r>
            <w:r w:rsidRPr="0033405D">
              <w:rPr>
                <w:rFonts w:ascii="Arial" w:hAnsi="Arial" w:cs="Arial"/>
                <w:sz w:val="22"/>
                <w:szCs w:val="22"/>
                <w:lang w:val="en-GB"/>
              </w:rPr>
              <w:t xml:space="preserve">ultural </w:t>
            </w:r>
            <w:r>
              <w:rPr>
                <w:rFonts w:ascii="Arial" w:hAnsi="Arial" w:cs="Arial"/>
                <w:sz w:val="22"/>
                <w:szCs w:val="22"/>
                <w:lang w:val="en-GB"/>
              </w:rPr>
              <w:t>h</w:t>
            </w:r>
            <w:r w:rsidRPr="0033405D">
              <w:rPr>
                <w:rFonts w:ascii="Arial" w:hAnsi="Arial" w:cs="Arial"/>
                <w:sz w:val="22"/>
                <w:szCs w:val="22"/>
                <w:lang w:val="en-GB"/>
              </w:rPr>
              <w:t xml:space="preserve">eritage and </w:t>
            </w:r>
            <w:r>
              <w:rPr>
                <w:rFonts w:ascii="Arial" w:hAnsi="Arial" w:cs="Arial"/>
                <w:sz w:val="22"/>
                <w:szCs w:val="22"/>
                <w:lang w:val="en-GB"/>
              </w:rPr>
              <w:t>s</w:t>
            </w:r>
            <w:r w:rsidRPr="0033405D">
              <w:rPr>
                <w:rFonts w:ascii="Arial" w:hAnsi="Arial" w:cs="Arial"/>
                <w:sz w:val="22"/>
                <w:szCs w:val="22"/>
                <w:lang w:val="en-GB"/>
              </w:rPr>
              <w:t xml:space="preserve">ustainable </w:t>
            </w:r>
            <w:r>
              <w:rPr>
                <w:rFonts w:ascii="Arial" w:hAnsi="Arial" w:cs="Arial"/>
                <w:sz w:val="22"/>
                <w:szCs w:val="22"/>
                <w:lang w:val="en-GB"/>
              </w:rPr>
              <w:t>d</w:t>
            </w:r>
            <w:r w:rsidRPr="0033405D">
              <w:rPr>
                <w:rFonts w:ascii="Arial" w:hAnsi="Arial" w:cs="Arial"/>
                <w:sz w:val="22"/>
                <w:szCs w:val="22"/>
                <w:lang w:val="en-GB"/>
              </w:rPr>
              <w:t>evelopment; this amendment was submitted to the ninth session of the Committee for debate and was endorsed at the tenth session of the Committee in 2015</w:t>
            </w:r>
            <w:r w:rsidRPr="00427622">
              <w:rPr>
                <w:rFonts w:ascii="Arial" w:hAnsi="Arial" w:cs="Arial"/>
                <w:sz w:val="22"/>
                <w:szCs w:val="22"/>
                <w:lang w:val="en-GB"/>
              </w:rPr>
              <w:t xml:space="preserve"> (</w:t>
            </w:r>
            <w:hyperlink r:id="rId33" w:history="1">
              <w:r w:rsidRPr="00427622">
                <w:rPr>
                  <w:rStyle w:val="Hyperlink"/>
                  <w:rFonts w:ascii="Arial" w:hAnsi="Arial" w:cs="Arial"/>
                  <w:sz w:val="22"/>
                  <w:szCs w:val="22"/>
                  <w:lang w:val="en-GB"/>
                </w:rPr>
                <w:t>Decision 10.COM 14.a</w:t>
              </w:r>
            </w:hyperlink>
            <w:r w:rsidRPr="00427622">
              <w:rPr>
                <w:rFonts w:ascii="Arial" w:hAnsi="Arial" w:cs="Arial"/>
                <w:sz w:val="22"/>
                <w:szCs w:val="22"/>
                <w:lang w:val="en-GB"/>
              </w:rPr>
              <w:t>).</w:t>
            </w:r>
          </w:p>
          <w:p w14:paraId="53BF8C8C"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rPr>
            </w:pPr>
            <w:r w:rsidRPr="00427622">
              <w:rPr>
                <w:rFonts w:ascii="Arial" w:hAnsi="Arial" w:cs="Arial"/>
                <w:sz w:val="22"/>
                <w:szCs w:val="22"/>
                <w:lang w:val="en-GB"/>
              </w:rPr>
              <w:t xml:space="preserve">Operational Directives on </w:t>
            </w:r>
            <w:r>
              <w:rPr>
                <w:rFonts w:ascii="Arial" w:hAnsi="Arial" w:cs="Arial"/>
                <w:sz w:val="22"/>
                <w:szCs w:val="22"/>
                <w:lang w:val="en-GB"/>
              </w:rPr>
              <w:t>s</w:t>
            </w:r>
            <w:r w:rsidRPr="00427622">
              <w:rPr>
                <w:rFonts w:ascii="Arial" w:hAnsi="Arial" w:cs="Arial"/>
                <w:sz w:val="22"/>
                <w:szCs w:val="22"/>
                <w:lang w:val="en-GB"/>
              </w:rPr>
              <w:t xml:space="preserve">afeguarding </w:t>
            </w:r>
            <w:r>
              <w:rPr>
                <w:rFonts w:ascii="Arial" w:hAnsi="Arial" w:cs="Arial"/>
                <w:sz w:val="22"/>
                <w:szCs w:val="22"/>
                <w:lang w:val="en-GB"/>
              </w:rPr>
              <w:t>i</w:t>
            </w:r>
            <w:r w:rsidRPr="00427622">
              <w:rPr>
                <w:rFonts w:ascii="Arial" w:hAnsi="Arial" w:cs="Arial"/>
                <w:sz w:val="22"/>
                <w:szCs w:val="22"/>
                <w:lang w:val="en-GB"/>
              </w:rPr>
              <w:t xml:space="preserve">ntangible </w:t>
            </w:r>
            <w:r>
              <w:rPr>
                <w:rFonts w:ascii="Arial" w:hAnsi="Arial" w:cs="Arial"/>
                <w:sz w:val="22"/>
                <w:szCs w:val="22"/>
                <w:lang w:val="en-GB"/>
              </w:rPr>
              <w:t>c</w:t>
            </w:r>
            <w:r w:rsidRPr="00427622">
              <w:rPr>
                <w:rFonts w:ascii="Arial" w:hAnsi="Arial" w:cs="Arial"/>
                <w:sz w:val="22"/>
                <w:szCs w:val="22"/>
                <w:lang w:val="en-GB"/>
              </w:rPr>
              <w:t xml:space="preserve">ultural </w:t>
            </w:r>
            <w:r>
              <w:rPr>
                <w:rFonts w:ascii="Arial" w:hAnsi="Arial" w:cs="Arial"/>
                <w:sz w:val="22"/>
                <w:szCs w:val="22"/>
                <w:lang w:val="en-GB"/>
              </w:rPr>
              <w:t>h</w:t>
            </w:r>
            <w:r w:rsidRPr="00427622">
              <w:rPr>
                <w:rFonts w:ascii="Arial" w:hAnsi="Arial" w:cs="Arial"/>
                <w:sz w:val="22"/>
                <w:szCs w:val="22"/>
                <w:lang w:val="en-GB"/>
              </w:rPr>
              <w:t xml:space="preserve">eritage and </w:t>
            </w:r>
            <w:r>
              <w:rPr>
                <w:rFonts w:ascii="Arial" w:hAnsi="Arial" w:cs="Arial"/>
                <w:sz w:val="22"/>
                <w:szCs w:val="22"/>
                <w:lang w:val="en-GB"/>
              </w:rPr>
              <w:lastRenderedPageBreak/>
              <w:t>s</w:t>
            </w:r>
            <w:r w:rsidRPr="00427622">
              <w:rPr>
                <w:rFonts w:ascii="Arial" w:hAnsi="Arial" w:cs="Arial"/>
                <w:sz w:val="22"/>
                <w:szCs w:val="22"/>
                <w:lang w:val="en-GB"/>
              </w:rPr>
              <w:t xml:space="preserve">ustainable </w:t>
            </w:r>
            <w:r>
              <w:rPr>
                <w:rFonts w:ascii="Arial" w:hAnsi="Arial" w:cs="Arial"/>
                <w:sz w:val="22"/>
                <w:szCs w:val="22"/>
                <w:lang w:val="en-GB"/>
              </w:rPr>
              <w:t>d</w:t>
            </w:r>
            <w:r w:rsidRPr="00427622">
              <w:rPr>
                <w:rFonts w:ascii="Arial" w:hAnsi="Arial" w:cs="Arial"/>
                <w:sz w:val="22"/>
                <w:szCs w:val="22"/>
                <w:lang w:val="en-GB"/>
              </w:rPr>
              <w:t>evelopment at the national level were adopted by the General Assembly at its sixth session in June 2016 (</w:t>
            </w:r>
            <w:hyperlink r:id="rId34" w:history="1">
              <w:r w:rsidRPr="0033405D">
                <w:rPr>
                  <w:rStyle w:val="Hyperlink"/>
                  <w:rFonts w:ascii="Arial" w:hAnsi="Arial" w:cs="Arial"/>
                  <w:sz w:val="22"/>
                  <w:szCs w:val="22"/>
                  <w:lang w:val="en-GB"/>
                </w:rPr>
                <w:t>Resolution 6.GA 7</w:t>
              </w:r>
            </w:hyperlink>
            <w:r w:rsidRPr="0033405D">
              <w:rPr>
                <w:rFonts w:ascii="Arial" w:hAnsi="Arial" w:cs="Arial"/>
                <w:sz w:val="22"/>
                <w:szCs w:val="22"/>
                <w:lang w:val="en-GB"/>
              </w:rPr>
              <w:t>)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7FCC1CC1" w14:textId="77777777" w:rsidTr="002232C8">
        <w:tc>
          <w:tcPr>
            <w:tcW w:w="14358" w:type="dxa"/>
            <w:gridSpan w:val="5"/>
            <w:shd w:val="clear" w:color="auto" w:fill="E6E6E6"/>
            <w:noWrap/>
            <w:tcMar>
              <w:top w:w="40" w:type="dxa"/>
              <w:left w:w="40" w:type="dxa"/>
              <w:bottom w:w="40" w:type="dxa"/>
              <w:right w:w="40" w:type="dxa"/>
            </w:tcMar>
          </w:tcPr>
          <w:p w14:paraId="1CE106BC" w14:textId="77777777" w:rsidR="00381916" w:rsidRPr="00427622" w:rsidRDefault="00381916" w:rsidP="002232C8">
            <w:pPr>
              <w:tabs>
                <w:tab w:val="left" w:pos="2640"/>
              </w:tabs>
              <w:spacing w:before="120" w:after="120"/>
              <w:ind w:left="113" w:right="113"/>
              <w:jc w:val="both"/>
              <w:rPr>
                <w:rFonts w:ascii="Arial" w:hAnsi="Arial" w:cs="Arial"/>
                <w:b/>
                <w:sz w:val="22"/>
                <w:szCs w:val="22"/>
                <w:lang w:val="en-GB"/>
              </w:rPr>
            </w:pPr>
            <w:r w:rsidRPr="00427622">
              <w:rPr>
                <w:rFonts w:ascii="Arial" w:hAnsi="Arial" w:cs="Arial"/>
                <w:b/>
                <w:sz w:val="22"/>
                <w:szCs w:val="22"/>
                <w:lang w:val="en-GB"/>
              </w:rPr>
              <w:lastRenderedPageBreak/>
              <w:t>Recommendation 4: Support States Parties with the development of legislation and policy as part of the ongoing 2003 Convention capacity building programme and design appropriate capacity building formats to do so.</w:t>
            </w:r>
          </w:p>
        </w:tc>
      </w:tr>
      <w:tr w:rsidR="00381916" w:rsidRPr="00427622" w14:paraId="1EF3459F" w14:textId="77777777" w:rsidTr="002232C8">
        <w:tc>
          <w:tcPr>
            <w:tcW w:w="14358" w:type="dxa"/>
            <w:gridSpan w:val="5"/>
            <w:noWrap/>
            <w:tcMar>
              <w:top w:w="40" w:type="dxa"/>
              <w:left w:w="40" w:type="dxa"/>
              <w:bottom w:w="40" w:type="dxa"/>
              <w:right w:w="40" w:type="dxa"/>
            </w:tcMar>
          </w:tcPr>
          <w:p w14:paraId="54781CBC" w14:textId="77777777" w:rsidR="00381916" w:rsidRPr="00427622" w:rsidRDefault="00381916" w:rsidP="002232C8">
            <w:pPr>
              <w:spacing w:before="120" w:after="120"/>
              <w:ind w:left="113" w:right="113"/>
              <w:jc w:val="both"/>
              <w:rPr>
                <w:rFonts w:ascii="Arial" w:hAnsi="Arial" w:cs="Arial"/>
                <w:sz w:val="22"/>
                <w:szCs w:val="22"/>
                <w:lang w:val="en-GB"/>
              </w:rPr>
            </w:pPr>
            <w:r w:rsidRPr="00427622">
              <w:rPr>
                <w:rFonts w:ascii="Arial" w:hAnsi="Arial" w:cs="Arial"/>
                <w:b/>
                <w:sz w:val="22"/>
                <w:szCs w:val="22"/>
                <w:lang w:val="en-GB"/>
              </w:rPr>
              <w:t>Management Response</w:t>
            </w:r>
            <w:r w:rsidRPr="00427622">
              <w:rPr>
                <w:rFonts w:ascii="Arial" w:hAnsi="Arial" w:cs="Arial"/>
                <w:sz w:val="22"/>
                <w:szCs w:val="22"/>
                <w:lang w:val="en-GB"/>
              </w:rPr>
              <w:t>: The Secretariat is strengthening its policy and legal advisory services in all current and future capacity-building activities. New training material developed, training of trainers conducted accordingly.</w:t>
            </w:r>
          </w:p>
        </w:tc>
      </w:tr>
      <w:tr w:rsidR="00381916" w:rsidRPr="00427622" w14:paraId="1749EE16" w14:textId="77777777" w:rsidTr="002232C8">
        <w:trPr>
          <w:trHeight w:val="508"/>
        </w:trPr>
        <w:tc>
          <w:tcPr>
            <w:tcW w:w="4717" w:type="dxa"/>
            <w:gridSpan w:val="2"/>
            <w:noWrap/>
            <w:tcMar>
              <w:top w:w="40" w:type="dxa"/>
              <w:left w:w="40" w:type="dxa"/>
              <w:bottom w:w="40" w:type="dxa"/>
              <w:right w:w="40" w:type="dxa"/>
            </w:tcMar>
          </w:tcPr>
          <w:p w14:paraId="75C298C2" w14:textId="77777777" w:rsidR="00381916" w:rsidRPr="00427622" w:rsidRDefault="00381916" w:rsidP="002232C8">
            <w:pPr>
              <w:spacing w:before="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56B4CED"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0730314" w14:textId="77777777" w:rsidR="00381916" w:rsidRPr="00427622" w:rsidRDefault="00381916" w:rsidP="002232C8">
            <w:pPr>
              <w:spacing w:before="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09F1F7B3" w14:textId="77777777" w:rsidTr="002232C8">
        <w:tc>
          <w:tcPr>
            <w:tcW w:w="4717" w:type="dxa"/>
            <w:gridSpan w:val="2"/>
            <w:noWrap/>
            <w:tcMar>
              <w:top w:w="40" w:type="dxa"/>
              <w:left w:w="40" w:type="dxa"/>
              <w:bottom w:w="40" w:type="dxa"/>
              <w:right w:w="40" w:type="dxa"/>
            </w:tcMar>
          </w:tcPr>
          <w:p w14:paraId="0A3F70FA" w14:textId="77777777" w:rsidR="00381916" w:rsidRPr="00427622" w:rsidRDefault="00381916" w:rsidP="002232C8">
            <w:pPr>
              <w:spacing w:before="120" w:after="120"/>
              <w:ind w:left="113" w:right="57"/>
              <w:rPr>
                <w:sz w:val="22"/>
                <w:szCs w:val="22"/>
                <w:lang w:val="en-GB"/>
              </w:rPr>
            </w:pPr>
            <w:r w:rsidRPr="00427622">
              <w:rPr>
                <w:rFonts w:ascii="Arial" w:hAnsi="Arial" w:cs="Arial"/>
                <w:sz w:val="22"/>
                <w:szCs w:val="22"/>
                <w:lang w:val="en-GB"/>
              </w:rPr>
              <w:t>Design and use new training materials.</w:t>
            </w:r>
          </w:p>
        </w:tc>
        <w:tc>
          <w:tcPr>
            <w:tcW w:w="1986" w:type="dxa"/>
            <w:gridSpan w:val="2"/>
            <w:noWrap/>
            <w:tcMar>
              <w:top w:w="40" w:type="dxa"/>
              <w:left w:w="40" w:type="dxa"/>
              <w:bottom w:w="40" w:type="dxa"/>
              <w:right w:w="40" w:type="dxa"/>
            </w:tcMar>
          </w:tcPr>
          <w:p w14:paraId="3EDDD607"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February 2016</w:t>
            </w:r>
          </w:p>
        </w:tc>
        <w:tc>
          <w:tcPr>
            <w:tcW w:w="7655" w:type="dxa"/>
            <w:noWrap/>
            <w:tcMar>
              <w:top w:w="40" w:type="dxa"/>
              <w:left w:w="40" w:type="dxa"/>
              <w:bottom w:w="40" w:type="dxa"/>
              <w:right w:w="40" w:type="dxa"/>
            </w:tcMar>
          </w:tcPr>
          <w:p w14:paraId="5F688EA7"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A workshop on developing a new format for policy advice in the Convention’s capacity-building programme was held in June 2014 at UNESCO Headquarters.</w:t>
            </w:r>
          </w:p>
          <w:p w14:paraId="49357AC7"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 xml:space="preserve">Three papers were drafted on issues and experiences </w:t>
            </w:r>
            <w:r>
              <w:rPr>
                <w:rFonts w:ascii="Arial" w:hAnsi="Arial" w:cs="Arial"/>
                <w:sz w:val="22"/>
                <w:szCs w:val="22"/>
                <w:lang w:val="en-GB"/>
              </w:rPr>
              <w:t>concerning</w:t>
            </w:r>
            <w:r w:rsidRPr="00427622">
              <w:rPr>
                <w:rFonts w:ascii="Arial" w:hAnsi="Arial" w:cs="Arial"/>
                <w:sz w:val="22"/>
                <w:szCs w:val="22"/>
                <w:lang w:val="en-GB"/>
              </w:rPr>
              <w:t xml:space="preserve"> policy and legal development in the field of intangible cultural heritage.</w:t>
            </w:r>
          </w:p>
          <w:p w14:paraId="23B40387"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A UNESCO guidance note providing advisory services for policy development in the field of intangible cultural heritage was produced and made available in June 2015 in English and French.</w:t>
            </w:r>
          </w:p>
          <w:p w14:paraId="4BF826B6"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New training material for workshops with national counterparts on policy development was prepared and made available online in English in February 2016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728926A8" w14:textId="77777777" w:rsidTr="002232C8">
        <w:tc>
          <w:tcPr>
            <w:tcW w:w="4717" w:type="dxa"/>
            <w:gridSpan w:val="2"/>
            <w:noWrap/>
            <w:tcMar>
              <w:top w:w="40" w:type="dxa"/>
              <w:left w:w="40" w:type="dxa"/>
              <w:bottom w:w="40" w:type="dxa"/>
              <w:right w:w="40" w:type="dxa"/>
            </w:tcMar>
          </w:tcPr>
          <w:p w14:paraId="22B850DE"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Train trainers.</w:t>
            </w:r>
          </w:p>
        </w:tc>
        <w:tc>
          <w:tcPr>
            <w:tcW w:w="1986" w:type="dxa"/>
            <w:gridSpan w:val="2"/>
            <w:noWrap/>
            <w:tcMar>
              <w:top w:w="40" w:type="dxa"/>
              <w:left w:w="40" w:type="dxa"/>
              <w:bottom w:w="40" w:type="dxa"/>
              <w:right w:w="40" w:type="dxa"/>
            </w:tcMar>
          </w:tcPr>
          <w:p w14:paraId="14030907"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537E03BE"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The issue was addressed during the training of expert facilitators for the Arab states (May 2014); Europe and Central Asia (September 2014); and Asia and the Pacific (January 2015).</w:t>
            </w:r>
          </w:p>
          <w:p w14:paraId="246284B0"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A training workshop for expert facilitators was held on supporting policy development in the field of intangible cultural heritage for Africa (September 2015)</w:t>
            </w:r>
            <w:r>
              <w:rPr>
                <w:rFonts w:ascii="Arial" w:hAnsi="Arial" w:cs="Arial"/>
                <w:sz w:val="22"/>
                <w:szCs w:val="22"/>
                <w:lang w:val="en-GB"/>
              </w:rPr>
              <w:t>.</w:t>
            </w:r>
          </w:p>
        </w:tc>
      </w:tr>
      <w:tr w:rsidR="00381916" w:rsidRPr="00284E2B" w14:paraId="06BAB961" w14:textId="77777777" w:rsidTr="002232C8">
        <w:tc>
          <w:tcPr>
            <w:tcW w:w="4717" w:type="dxa"/>
            <w:gridSpan w:val="2"/>
            <w:noWrap/>
            <w:tcMar>
              <w:top w:w="40" w:type="dxa"/>
              <w:left w:w="40" w:type="dxa"/>
              <w:bottom w:w="40" w:type="dxa"/>
              <w:right w:w="40" w:type="dxa"/>
            </w:tcMar>
          </w:tcPr>
          <w:p w14:paraId="129CE941"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Integrate new specialized trainers in policy development in</w:t>
            </w:r>
            <w:r>
              <w:rPr>
                <w:sz w:val="22"/>
                <w:szCs w:val="22"/>
                <w:lang w:val="en-GB"/>
              </w:rPr>
              <w:t>to</w:t>
            </w:r>
            <w:r w:rsidRPr="00427622">
              <w:rPr>
                <w:sz w:val="22"/>
                <w:szCs w:val="22"/>
                <w:lang w:val="en-GB"/>
              </w:rPr>
              <w:t xml:space="preserve"> the network of trainers.</w:t>
            </w:r>
          </w:p>
        </w:tc>
        <w:tc>
          <w:tcPr>
            <w:tcW w:w="1986" w:type="dxa"/>
            <w:gridSpan w:val="2"/>
            <w:noWrap/>
            <w:tcMar>
              <w:top w:w="40" w:type="dxa"/>
              <w:left w:w="40" w:type="dxa"/>
              <w:bottom w:w="40" w:type="dxa"/>
              <w:right w:w="40" w:type="dxa"/>
            </w:tcMar>
          </w:tcPr>
          <w:p w14:paraId="28AD1D95"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1454B519"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Four new trainers specialized in cultural policy development have been integrated in</w:t>
            </w:r>
            <w:r>
              <w:rPr>
                <w:rFonts w:ascii="Arial" w:hAnsi="Arial" w:cs="Arial"/>
                <w:sz w:val="22"/>
                <w:szCs w:val="22"/>
                <w:lang w:val="en-GB"/>
              </w:rPr>
              <w:t>to</w:t>
            </w:r>
            <w:r w:rsidRPr="00427622">
              <w:rPr>
                <w:rFonts w:ascii="Arial" w:hAnsi="Arial" w:cs="Arial"/>
                <w:sz w:val="22"/>
                <w:szCs w:val="22"/>
                <w:lang w:val="en-GB"/>
              </w:rPr>
              <w:t xml:space="preserve"> the Convention’s network of expert facilitators.</w:t>
            </w:r>
          </w:p>
          <w:p w14:paraId="10B43D00"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 xml:space="preserve">Trainers specialized in cultural policy </w:t>
            </w:r>
            <w:r>
              <w:rPr>
                <w:rFonts w:ascii="Arial" w:hAnsi="Arial" w:cs="Arial"/>
                <w:sz w:val="22"/>
                <w:szCs w:val="22"/>
                <w:lang w:val="en-GB"/>
              </w:rPr>
              <w:t>are participating</w:t>
            </w:r>
            <w:r w:rsidRPr="00427622">
              <w:rPr>
                <w:rFonts w:ascii="Arial" w:hAnsi="Arial" w:cs="Arial"/>
                <w:sz w:val="22"/>
                <w:szCs w:val="22"/>
                <w:lang w:val="en-GB"/>
              </w:rPr>
              <w:t xml:space="preserve"> in a multi-year </w:t>
            </w:r>
            <w:r w:rsidRPr="00427622">
              <w:rPr>
                <w:rFonts w:ascii="Arial" w:hAnsi="Arial" w:cs="Arial"/>
                <w:sz w:val="22"/>
                <w:szCs w:val="22"/>
                <w:lang w:val="en-GB"/>
              </w:rPr>
              <w:lastRenderedPageBreak/>
              <w:t>capacity-building project in countries from Asia and the Pacific.</w:t>
            </w:r>
          </w:p>
          <w:p w14:paraId="6D94F653"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Trainers will participate in future policy support activities of the capacity</w:t>
            </w:r>
            <w:r w:rsidRPr="00427622">
              <w:rPr>
                <w:rFonts w:ascii="Arial" w:hAnsi="Arial" w:cs="Arial"/>
                <w:sz w:val="22"/>
                <w:szCs w:val="22"/>
                <w:lang w:val="en-GB"/>
              </w:rPr>
              <w:noBreakHyphen/>
              <w:t>building programme.</w:t>
            </w:r>
          </w:p>
        </w:tc>
      </w:tr>
      <w:tr w:rsidR="00381916" w:rsidRPr="00284E2B" w14:paraId="28BDCFCF" w14:textId="77777777" w:rsidTr="002232C8">
        <w:tc>
          <w:tcPr>
            <w:tcW w:w="14358" w:type="dxa"/>
            <w:gridSpan w:val="5"/>
            <w:shd w:val="clear" w:color="auto" w:fill="E6E6E6"/>
            <w:noWrap/>
            <w:tcMar>
              <w:top w:w="40" w:type="dxa"/>
              <w:left w:w="40" w:type="dxa"/>
              <w:bottom w:w="40" w:type="dxa"/>
              <w:right w:w="40" w:type="dxa"/>
            </w:tcMar>
          </w:tcPr>
          <w:p w14:paraId="44666F04" w14:textId="77777777" w:rsidR="00381916" w:rsidRPr="0033405D" w:rsidRDefault="00381916" w:rsidP="002232C8">
            <w:pPr>
              <w:tabs>
                <w:tab w:val="left" w:pos="2640"/>
              </w:tabs>
              <w:spacing w:before="100" w:after="100"/>
              <w:ind w:left="113" w:right="113"/>
              <w:jc w:val="both"/>
              <w:rPr>
                <w:rFonts w:ascii="Arial" w:hAnsi="Arial" w:cs="Arial"/>
                <w:b/>
                <w:sz w:val="22"/>
                <w:szCs w:val="22"/>
                <w:lang w:val="en-GB"/>
              </w:rPr>
            </w:pPr>
            <w:r w:rsidRPr="0033405D">
              <w:rPr>
                <w:rFonts w:ascii="Arial" w:hAnsi="Arial" w:cs="Arial"/>
                <w:b/>
                <w:sz w:val="22"/>
                <w:szCs w:val="22"/>
                <w:lang w:val="en-GB"/>
              </w:rPr>
              <w:lastRenderedPageBreak/>
              <w:t>Recommendation 5: Cooperate with sustainable development experts when supporting States Parties with the integration of ICH into non-cultural legislation and policy, and with other work related to ICH and sustainable development.</w:t>
            </w:r>
          </w:p>
        </w:tc>
      </w:tr>
      <w:tr w:rsidR="00381916" w:rsidRPr="00284E2B" w14:paraId="0C1E24E1" w14:textId="77777777" w:rsidTr="002232C8">
        <w:tc>
          <w:tcPr>
            <w:tcW w:w="14358" w:type="dxa"/>
            <w:gridSpan w:val="5"/>
            <w:noWrap/>
            <w:tcMar>
              <w:top w:w="40" w:type="dxa"/>
              <w:left w:w="40" w:type="dxa"/>
              <w:bottom w:w="40" w:type="dxa"/>
              <w:right w:w="40" w:type="dxa"/>
            </w:tcMar>
          </w:tcPr>
          <w:p w14:paraId="14DA0C7F" w14:textId="77777777" w:rsidR="00381916" w:rsidRPr="00BB6E41" w:rsidRDefault="00381916" w:rsidP="002232C8">
            <w:pPr>
              <w:spacing w:before="100" w:after="100"/>
              <w:ind w:left="113" w:right="113"/>
              <w:jc w:val="both"/>
              <w:rPr>
                <w:rFonts w:ascii="Arial" w:eastAsia="Malgun Gothic" w:hAnsi="Arial" w:cs="Arial"/>
                <w:sz w:val="22"/>
                <w:szCs w:val="22"/>
                <w:lang w:val="en-GB" w:eastAsia="ko-KR"/>
              </w:rPr>
            </w:pPr>
            <w:r w:rsidRPr="0033405D">
              <w:rPr>
                <w:rFonts w:ascii="Arial" w:hAnsi="Arial" w:cs="Arial"/>
                <w:b/>
                <w:sz w:val="22"/>
                <w:szCs w:val="22"/>
                <w:lang w:val="en-GB"/>
              </w:rPr>
              <w:t>Management Response</w:t>
            </w:r>
            <w:r w:rsidRPr="0033405D">
              <w:rPr>
                <w:rFonts w:ascii="Arial" w:hAnsi="Arial" w:cs="Arial"/>
                <w:sz w:val="22"/>
                <w:szCs w:val="22"/>
                <w:lang w:val="en-GB"/>
              </w:rPr>
              <w:t>: Sustainable development experts are being integrated in</w:t>
            </w:r>
            <w:r>
              <w:rPr>
                <w:rFonts w:ascii="Arial" w:hAnsi="Arial" w:cs="Arial"/>
                <w:sz w:val="22"/>
                <w:szCs w:val="22"/>
                <w:lang w:val="en-GB"/>
              </w:rPr>
              <w:t>to</w:t>
            </w:r>
            <w:r w:rsidRPr="0033405D">
              <w:rPr>
                <w:rFonts w:ascii="Arial" w:hAnsi="Arial" w:cs="Arial"/>
                <w:sz w:val="22"/>
                <w:szCs w:val="22"/>
                <w:lang w:val="en-GB"/>
              </w:rPr>
              <w:t xml:space="preserve"> </w:t>
            </w:r>
            <w:r>
              <w:rPr>
                <w:rFonts w:ascii="Arial" w:hAnsi="Arial" w:cs="Arial"/>
                <w:sz w:val="22"/>
                <w:szCs w:val="22"/>
                <w:lang w:val="en-GB"/>
              </w:rPr>
              <w:t xml:space="preserve">UNESCO’s </w:t>
            </w:r>
            <w:r w:rsidRPr="0033405D">
              <w:rPr>
                <w:rFonts w:ascii="Arial" w:hAnsi="Arial" w:cs="Arial"/>
                <w:sz w:val="22"/>
                <w:szCs w:val="22"/>
                <w:lang w:val="en-GB"/>
              </w:rPr>
              <w:t>Intangible Cultural Heritage trainers’ network, in order to complement those experts/trainers</w:t>
            </w:r>
            <w:r>
              <w:rPr>
                <w:rFonts w:ascii="Arial" w:hAnsi="Arial" w:cs="Arial"/>
                <w:sz w:val="22"/>
                <w:szCs w:val="22"/>
                <w:lang w:val="en-GB"/>
              </w:rPr>
              <w:t xml:space="preserve"> that are</w:t>
            </w:r>
            <w:r w:rsidRPr="0033405D">
              <w:rPr>
                <w:rFonts w:ascii="Arial" w:hAnsi="Arial" w:cs="Arial"/>
                <w:sz w:val="22"/>
                <w:szCs w:val="22"/>
                <w:lang w:val="en-GB"/>
              </w:rPr>
              <w:t xml:space="preserve"> less familiar with the broader development issues. This should be considered in tandem with </w:t>
            </w:r>
            <w:r>
              <w:rPr>
                <w:rFonts w:ascii="Arial" w:hAnsi="Arial" w:cs="Arial"/>
                <w:sz w:val="22"/>
                <w:szCs w:val="22"/>
                <w:lang w:val="en-GB"/>
              </w:rPr>
              <w:t xml:space="preserve">the </w:t>
            </w:r>
            <w:r w:rsidRPr="0033405D">
              <w:rPr>
                <w:rFonts w:ascii="Arial" w:hAnsi="Arial" w:cs="Arial"/>
                <w:sz w:val="22"/>
                <w:szCs w:val="22"/>
                <w:lang w:val="en-GB"/>
              </w:rPr>
              <w:t>actions planned and undertaken in response to recommendation 3</w:t>
            </w:r>
            <w:r>
              <w:rPr>
                <w:rFonts w:ascii="Arial" w:hAnsi="Arial" w:cs="Arial"/>
                <w:sz w:val="22"/>
                <w:szCs w:val="22"/>
                <w:lang w:val="en-GB"/>
              </w:rPr>
              <w:t>.</w:t>
            </w:r>
          </w:p>
        </w:tc>
      </w:tr>
      <w:tr w:rsidR="00381916" w:rsidRPr="00427622" w14:paraId="2FC06901" w14:textId="77777777" w:rsidTr="002232C8">
        <w:trPr>
          <w:trHeight w:val="508"/>
        </w:trPr>
        <w:tc>
          <w:tcPr>
            <w:tcW w:w="4717" w:type="dxa"/>
            <w:gridSpan w:val="2"/>
            <w:noWrap/>
            <w:tcMar>
              <w:top w:w="40" w:type="dxa"/>
              <w:left w:w="40" w:type="dxa"/>
              <w:bottom w:w="40" w:type="dxa"/>
              <w:right w:w="40" w:type="dxa"/>
            </w:tcMar>
          </w:tcPr>
          <w:p w14:paraId="7B797CD0" w14:textId="77777777" w:rsidR="00381916" w:rsidRPr="00427622" w:rsidRDefault="00381916" w:rsidP="002232C8">
            <w:pPr>
              <w:spacing w:before="100" w:after="10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7EB636CA" w14:textId="77777777" w:rsidR="00381916" w:rsidRPr="00427622" w:rsidRDefault="00381916" w:rsidP="002232C8">
            <w:pPr>
              <w:spacing w:before="100" w:after="10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2F60CDB5" w14:textId="77777777" w:rsidR="00381916" w:rsidRPr="00427622" w:rsidRDefault="00381916" w:rsidP="002232C8">
            <w:pPr>
              <w:spacing w:before="100" w:after="10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19215590" w14:textId="77777777" w:rsidTr="002232C8">
        <w:tc>
          <w:tcPr>
            <w:tcW w:w="4717" w:type="dxa"/>
            <w:gridSpan w:val="2"/>
            <w:noWrap/>
            <w:tcMar>
              <w:top w:w="40" w:type="dxa"/>
              <w:left w:w="40" w:type="dxa"/>
              <w:bottom w:w="40" w:type="dxa"/>
              <w:right w:w="40" w:type="dxa"/>
            </w:tcMar>
          </w:tcPr>
          <w:p w14:paraId="03891373" w14:textId="77777777" w:rsidR="00381916" w:rsidRPr="00BB6E41" w:rsidRDefault="00381916" w:rsidP="002232C8">
            <w:pPr>
              <w:pStyle w:val="Default"/>
              <w:spacing w:before="100" w:after="100"/>
              <w:ind w:left="113" w:right="57"/>
              <w:rPr>
                <w:rFonts w:eastAsia="Malgun Gothic"/>
                <w:color w:val="auto"/>
                <w:sz w:val="22"/>
                <w:szCs w:val="22"/>
                <w:lang w:val="en-GB" w:eastAsia="ko-KR"/>
              </w:rPr>
            </w:pPr>
            <w:r w:rsidRPr="0033405D">
              <w:rPr>
                <w:rFonts w:eastAsia="Times New Roman"/>
                <w:color w:val="auto"/>
                <w:sz w:val="22"/>
                <w:szCs w:val="22"/>
                <w:lang w:val="en-GB"/>
              </w:rPr>
              <w:t xml:space="preserve">Publish and disseminate </w:t>
            </w:r>
            <w:r>
              <w:rPr>
                <w:rFonts w:eastAsia="Times New Roman"/>
                <w:color w:val="auto"/>
                <w:sz w:val="22"/>
                <w:szCs w:val="22"/>
                <w:lang w:val="en-GB"/>
              </w:rPr>
              <w:t xml:space="preserve">the </w:t>
            </w:r>
            <w:r w:rsidRPr="0033405D">
              <w:rPr>
                <w:rFonts w:eastAsia="Times New Roman"/>
                <w:color w:val="auto"/>
                <w:sz w:val="22"/>
                <w:szCs w:val="22"/>
                <w:lang w:val="en-GB"/>
              </w:rPr>
              <w:t>brochure ‘Intangible Cultural Heritage and Sustainab</w:t>
            </w:r>
            <w:r>
              <w:rPr>
                <w:rFonts w:eastAsia="Times New Roman"/>
                <w:color w:val="auto"/>
                <w:sz w:val="22"/>
                <w:szCs w:val="22"/>
                <w:lang w:val="en-GB"/>
              </w:rPr>
              <w:t>le Development’ (ITH info kit).</w:t>
            </w:r>
          </w:p>
        </w:tc>
        <w:tc>
          <w:tcPr>
            <w:tcW w:w="1986" w:type="dxa"/>
            <w:gridSpan w:val="2"/>
            <w:noWrap/>
            <w:tcMar>
              <w:top w:w="40" w:type="dxa"/>
              <w:left w:w="40" w:type="dxa"/>
              <w:bottom w:w="40" w:type="dxa"/>
              <w:right w:w="40" w:type="dxa"/>
            </w:tcMar>
          </w:tcPr>
          <w:p w14:paraId="3CBBCC37" w14:textId="77777777" w:rsidR="00381916" w:rsidRPr="0033405D" w:rsidRDefault="00381916" w:rsidP="002232C8">
            <w:pPr>
              <w:spacing w:before="100" w:after="100"/>
              <w:ind w:left="57" w:right="57"/>
              <w:rPr>
                <w:rFonts w:ascii="Arial" w:hAnsi="Arial" w:cs="Arial"/>
                <w:sz w:val="22"/>
                <w:szCs w:val="22"/>
                <w:lang w:val="en-GB"/>
              </w:rPr>
            </w:pPr>
            <w:r w:rsidRPr="0033405D">
              <w:rPr>
                <w:rFonts w:ascii="Arial" w:hAnsi="Arial" w:cs="Arial"/>
                <w:sz w:val="22"/>
                <w:szCs w:val="22"/>
                <w:lang w:val="en-GB"/>
              </w:rPr>
              <w:t>October 2015</w:t>
            </w:r>
          </w:p>
        </w:tc>
        <w:tc>
          <w:tcPr>
            <w:tcW w:w="7655" w:type="dxa"/>
            <w:noWrap/>
            <w:tcMar>
              <w:top w:w="40" w:type="dxa"/>
              <w:left w:w="40" w:type="dxa"/>
              <w:bottom w:w="40" w:type="dxa"/>
              <w:right w:w="40" w:type="dxa"/>
            </w:tcMar>
          </w:tcPr>
          <w:p w14:paraId="0B961E9E" w14:textId="77777777" w:rsidR="00381916" w:rsidRPr="0033405D" w:rsidRDefault="00381916" w:rsidP="002232C8">
            <w:pPr>
              <w:pStyle w:val="ListParagraph"/>
              <w:numPr>
                <w:ilvl w:val="0"/>
                <w:numId w:val="9"/>
              </w:numPr>
              <w:spacing w:beforeAutospacing="0" w:afterAutospacing="0"/>
              <w:ind w:left="470" w:hanging="357"/>
              <w:contextualSpacing/>
              <w:rPr>
                <w:rFonts w:ascii="Arial" w:hAnsi="Arial" w:cs="Arial"/>
                <w:sz w:val="22"/>
                <w:szCs w:val="22"/>
                <w:lang w:val="en-GB"/>
              </w:rPr>
            </w:pPr>
            <w:r w:rsidRPr="0033405D">
              <w:rPr>
                <w:rFonts w:ascii="Arial" w:hAnsi="Arial" w:cs="Arial"/>
                <w:sz w:val="22"/>
                <w:szCs w:val="22"/>
                <w:lang w:val="en-GB"/>
              </w:rPr>
              <w:t>A brochure was published in October 2015 and distributed at the tenth session of the Committee; it continues to be distributed by the Secretariat and by UNESCO Field Offices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67282FE5" w14:textId="77777777" w:rsidTr="002232C8">
        <w:tc>
          <w:tcPr>
            <w:tcW w:w="4717" w:type="dxa"/>
            <w:gridSpan w:val="2"/>
            <w:noWrap/>
            <w:tcMar>
              <w:top w:w="40" w:type="dxa"/>
              <w:left w:w="40" w:type="dxa"/>
              <w:bottom w:w="40" w:type="dxa"/>
              <w:right w:w="40" w:type="dxa"/>
            </w:tcMar>
          </w:tcPr>
          <w:p w14:paraId="2EDC37B3" w14:textId="77777777" w:rsidR="00381916" w:rsidRPr="0033405D" w:rsidRDefault="00381916" w:rsidP="002232C8">
            <w:pPr>
              <w:pStyle w:val="Default"/>
              <w:spacing w:before="100" w:after="100"/>
              <w:ind w:left="113" w:right="57"/>
              <w:rPr>
                <w:rFonts w:eastAsia="Times New Roman"/>
                <w:color w:val="auto"/>
                <w:sz w:val="22"/>
                <w:szCs w:val="22"/>
                <w:lang w:val="en-GB"/>
              </w:rPr>
            </w:pPr>
            <w:r w:rsidRPr="0033405D">
              <w:rPr>
                <w:rFonts w:eastAsia="Times New Roman"/>
                <w:color w:val="auto"/>
                <w:sz w:val="22"/>
                <w:szCs w:val="22"/>
                <w:lang w:val="en-GB"/>
              </w:rPr>
              <w:t xml:space="preserve">Revise </w:t>
            </w:r>
            <w:r>
              <w:rPr>
                <w:rFonts w:eastAsia="Times New Roman"/>
                <w:color w:val="auto"/>
                <w:sz w:val="22"/>
                <w:szCs w:val="22"/>
                <w:lang w:val="en-GB"/>
              </w:rPr>
              <w:t xml:space="preserve">the </w:t>
            </w:r>
            <w:r w:rsidRPr="0033405D">
              <w:rPr>
                <w:rFonts w:eastAsia="Times New Roman"/>
                <w:color w:val="auto"/>
                <w:sz w:val="22"/>
                <w:szCs w:val="22"/>
                <w:lang w:val="en-GB"/>
              </w:rPr>
              <w:t xml:space="preserve">final reporting template for training to include a question </w:t>
            </w:r>
            <w:r>
              <w:rPr>
                <w:rFonts w:eastAsia="Times New Roman"/>
                <w:color w:val="auto"/>
                <w:sz w:val="22"/>
                <w:szCs w:val="22"/>
                <w:lang w:val="en-GB"/>
              </w:rPr>
              <w:t>relating to</w:t>
            </w:r>
            <w:r w:rsidRPr="0033405D">
              <w:rPr>
                <w:rFonts w:eastAsia="Times New Roman"/>
                <w:color w:val="auto"/>
                <w:sz w:val="22"/>
                <w:szCs w:val="22"/>
                <w:lang w:val="en-GB"/>
              </w:rPr>
              <w:t xml:space="preserve"> participating sustainable development experts.</w:t>
            </w:r>
          </w:p>
        </w:tc>
        <w:tc>
          <w:tcPr>
            <w:tcW w:w="1986" w:type="dxa"/>
            <w:gridSpan w:val="2"/>
            <w:noWrap/>
            <w:tcMar>
              <w:top w:w="40" w:type="dxa"/>
              <w:left w:w="40" w:type="dxa"/>
              <w:bottom w:w="40" w:type="dxa"/>
              <w:right w:w="40" w:type="dxa"/>
            </w:tcMar>
          </w:tcPr>
          <w:p w14:paraId="5151A551" w14:textId="77777777" w:rsidR="00381916" w:rsidRPr="0033405D" w:rsidRDefault="00381916" w:rsidP="002232C8">
            <w:pPr>
              <w:spacing w:before="100" w:after="100"/>
              <w:ind w:left="57" w:right="57"/>
              <w:rPr>
                <w:rFonts w:ascii="Arial" w:hAnsi="Arial" w:cs="Arial"/>
                <w:sz w:val="22"/>
                <w:szCs w:val="22"/>
                <w:lang w:val="en-GB"/>
              </w:rPr>
            </w:pPr>
            <w:r w:rsidRPr="0033405D">
              <w:rPr>
                <w:rFonts w:ascii="Arial" w:hAnsi="Arial" w:cs="Arial"/>
                <w:sz w:val="22"/>
                <w:szCs w:val="22"/>
                <w:lang w:val="en-GB"/>
              </w:rPr>
              <w:t>2016</w:t>
            </w:r>
          </w:p>
        </w:tc>
        <w:tc>
          <w:tcPr>
            <w:tcW w:w="7655" w:type="dxa"/>
            <w:noWrap/>
            <w:tcMar>
              <w:top w:w="40" w:type="dxa"/>
              <w:left w:w="40" w:type="dxa"/>
              <w:bottom w:w="40" w:type="dxa"/>
              <w:right w:w="40" w:type="dxa"/>
            </w:tcMar>
          </w:tcPr>
          <w:p w14:paraId="444005B8" w14:textId="77777777" w:rsidR="00381916" w:rsidRPr="0033405D" w:rsidRDefault="00381916" w:rsidP="002232C8">
            <w:pPr>
              <w:pStyle w:val="ListParagraph"/>
              <w:numPr>
                <w:ilvl w:val="0"/>
                <w:numId w:val="9"/>
              </w:numPr>
              <w:spacing w:beforeAutospacing="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The template for reporting on training </w:t>
            </w:r>
            <w:r>
              <w:rPr>
                <w:rFonts w:ascii="Arial" w:hAnsi="Arial" w:cs="Arial"/>
                <w:sz w:val="22"/>
                <w:szCs w:val="22"/>
                <w:lang w:val="en-GB"/>
              </w:rPr>
              <w:t>was</w:t>
            </w:r>
            <w:r w:rsidRPr="0033405D">
              <w:rPr>
                <w:rFonts w:ascii="Arial" w:hAnsi="Arial" w:cs="Arial"/>
                <w:sz w:val="22"/>
                <w:szCs w:val="22"/>
                <w:lang w:val="en-GB"/>
              </w:rPr>
              <w:t xml:space="preserve"> revised </w:t>
            </w:r>
            <w:r>
              <w:rPr>
                <w:rFonts w:ascii="Arial" w:hAnsi="Arial" w:cs="Arial"/>
                <w:sz w:val="22"/>
                <w:szCs w:val="22"/>
                <w:lang w:val="en-GB"/>
              </w:rPr>
              <w:t xml:space="preserve">in April 2016 </w:t>
            </w:r>
            <w:r w:rsidRPr="0033405D">
              <w:rPr>
                <w:rFonts w:ascii="Arial" w:hAnsi="Arial" w:cs="Arial"/>
                <w:sz w:val="22"/>
                <w:szCs w:val="22"/>
                <w:lang w:val="en-GB"/>
              </w:rPr>
              <w:t>to include questions on expertise in different areas of sustainable development</w:t>
            </w:r>
            <w:r>
              <w:rPr>
                <w:rFonts w:ascii="Arial" w:hAnsi="Arial" w:cs="Arial"/>
                <w:sz w:val="22"/>
                <w:szCs w:val="22"/>
                <w:lang w:val="en-GB"/>
              </w:rPr>
              <w:t>.</w:t>
            </w:r>
            <w:r w:rsidRPr="0033405D">
              <w:rPr>
                <w:rFonts w:ascii="Arial" w:hAnsi="Arial" w:cs="Arial"/>
                <w:sz w:val="22"/>
                <w:szCs w:val="22"/>
                <w:lang w:val="en-GB"/>
              </w:rPr>
              <w:t xml:space="preserve"> </w:t>
            </w:r>
            <w:r>
              <w:rPr>
                <w:rFonts w:ascii="Arial" w:hAnsi="Arial" w:cs="Arial"/>
                <w:sz w:val="22"/>
                <w:szCs w:val="22"/>
                <w:lang w:val="en-GB"/>
              </w:rPr>
              <w:t>A</w:t>
            </w:r>
            <w:r w:rsidRPr="0033405D">
              <w:rPr>
                <w:rFonts w:ascii="Arial" w:hAnsi="Arial" w:cs="Arial"/>
                <w:sz w:val="22"/>
                <w:szCs w:val="22"/>
                <w:lang w:val="en-GB"/>
              </w:rPr>
              <w:t xml:space="preserve">n online reporting tool is </w:t>
            </w:r>
            <w:r>
              <w:rPr>
                <w:rFonts w:ascii="Arial" w:hAnsi="Arial" w:cs="Arial"/>
                <w:sz w:val="22"/>
                <w:szCs w:val="22"/>
                <w:lang w:val="en-GB"/>
              </w:rPr>
              <w:t xml:space="preserve">also </w:t>
            </w:r>
            <w:r w:rsidRPr="0033405D">
              <w:rPr>
                <w:rFonts w:ascii="Arial" w:hAnsi="Arial" w:cs="Arial"/>
                <w:sz w:val="22"/>
                <w:szCs w:val="22"/>
                <w:lang w:val="en-GB"/>
              </w:rPr>
              <w:t>being developed to reflect these evolutions, and to facilitate data input, export and analysis.</w:t>
            </w:r>
          </w:p>
        </w:tc>
      </w:tr>
      <w:tr w:rsidR="00381916" w:rsidRPr="00284E2B" w14:paraId="3AC547AD" w14:textId="77777777" w:rsidTr="002232C8">
        <w:tc>
          <w:tcPr>
            <w:tcW w:w="4717" w:type="dxa"/>
            <w:gridSpan w:val="2"/>
            <w:noWrap/>
            <w:tcMar>
              <w:top w:w="40" w:type="dxa"/>
              <w:left w:w="40" w:type="dxa"/>
              <w:bottom w:w="40" w:type="dxa"/>
              <w:right w:w="40" w:type="dxa"/>
            </w:tcMar>
          </w:tcPr>
          <w:p w14:paraId="0BC24C0C" w14:textId="77777777" w:rsidR="00381916" w:rsidRPr="0033405D" w:rsidRDefault="00381916" w:rsidP="002232C8">
            <w:pPr>
              <w:pStyle w:val="Default"/>
              <w:spacing w:before="100" w:after="100"/>
              <w:ind w:left="113" w:right="57"/>
              <w:rPr>
                <w:rFonts w:eastAsia="Times New Roman"/>
                <w:color w:val="auto"/>
                <w:sz w:val="22"/>
                <w:szCs w:val="22"/>
                <w:lang w:val="en-GB"/>
              </w:rPr>
            </w:pPr>
            <w:r w:rsidRPr="0033405D">
              <w:rPr>
                <w:rFonts w:eastAsia="Times New Roman"/>
                <w:color w:val="auto"/>
                <w:sz w:val="22"/>
                <w:szCs w:val="22"/>
                <w:lang w:val="en-GB"/>
              </w:rPr>
              <w:t>Guide for field offices to be elaborated.</w:t>
            </w:r>
          </w:p>
        </w:tc>
        <w:tc>
          <w:tcPr>
            <w:tcW w:w="1986" w:type="dxa"/>
            <w:gridSpan w:val="2"/>
            <w:noWrap/>
            <w:tcMar>
              <w:top w:w="40" w:type="dxa"/>
              <w:left w:w="40" w:type="dxa"/>
              <w:bottom w:w="40" w:type="dxa"/>
              <w:right w:w="40" w:type="dxa"/>
            </w:tcMar>
          </w:tcPr>
          <w:p w14:paraId="37EC1265" w14:textId="77777777" w:rsidR="00381916" w:rsidRPr="0033405D" w:rsidRDefault="00381916" w:rsidP="002232C8">
            <w:pPr>
              <w:spacing w:before="100" w:after="100"/>
              <w:ind w:left="57" w:right="57"/>
              <w:rPr>
                <w:rFonts w:ascii="Arial" w:hAnsi="Arial" w:cs="Arial"/>
                <w:sz w:val="22"/>
                <w:szCs w:val="22"/>
                <w:lang w:val="en-GB"/>
              </w:rPr>
            </w:pPr>
            <w:r w:rsidRPr="0033405D">
              <w:rPr>
                <w:rFonts w:ascii="Arial" w:hAnsi="Arial" w:cs="Arial"/>
                <w:sz w:val="22"/>
                <w:szCs w:val="22"/>
                <w:lang w:val="en-GB"/>
              </w:rPr>
              <w:t>March 2016</w:t>
            </w:r>
          </w:p>
        </w:tc>
        <w:tc>
          <w:tcPr>
            <w:tcW w:w="7655" w:type="dxa"/>
            <w:noWrap/>
            <w:tcMar>
              <w:top w:w="40" w:type="dxa"/>
              <w:left w:w="40" w:type="dxa"/>
              <w:bottom w:w="40" w:type="dxa"/>
              <w:right w:w="40" w:type="dxa"/>
            </w:tcMar>
          </w:tcPr>
          <w:p w14:paraId="768A82B5" w14:textId="77777777" w:rsidR="00381916" w:rsidRPr="0033405D" w:rsidRDefault="00381916" w:rsidP="002232C8">
            <w:pPr>
              <w:pStyle w:val="ListParagraph"/>
              <w:numPr>
                <w:ilvl w:val="0"/>
                <w:numId w:val="9"/>
              </w:numPr>
              <w:spacing w:beforeAutospacing="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The Intangible Cultural Heritage Section, having consulted </w:t>
            </w:r>
            <w:r>
              <w:rPr>
                <w:rFonts w:ascii="Arial" w:hAnsi="Arial" w:cs="Arial"/>
                <w:sz w:val="22"/>
                <w:szCs w:val="22"/>
                <w:lang w:val="en-GB"/>
              </w:rPr>
              <w:t>the UNESCO</w:t>
            </w:r>
            <w:r w:rsidRPr="0033405D">
              <w:rPr>
                <w:rFonts w:ascii="Arial" w:hAnsi="Arial" w:cs="Arial"/>
                <w:sz w:val="22"/>
                <w:szCs w:val="22"/>
                <w:lang w:val="en-GB"/>
              </w:rPr>
              <w:t xml:space="preserve"> Field Offices, drafted a guidance note that has been disseminated to them together with the above-mentioned brochure </w:t>
            </w:r>
            <w:r w:rsidRPr="00427622">
              <w:rPr>
                <w:rFonts w:ascii="Arial" w:hAnsi="Arial" w:cs="Arial"/>
                <w:sz w:val="22"/>
                <w:szCs w:val="22"/>
                <w:lang w:val="en-GB"/>
              </w:rPr>
              <w:t>(</w:t>
            </w:r>
            <w:r w:rsidRPr="00427622">
              <w:rPr>
                <w:rFonts w:ascii="Arial" w:hAnsi="Arial" w:cs="Arial"/>
                <w:b/>
                <w:sz w:val="22"/>
                <w:szCs w:val="22"/>
                <w:lang w:val="en-GB"/>
              </w:rPr>
              <w:t>action completed</w:t>
            </w:r>
            <w:r w:rsidRPr="00427622">
              <w:rPr>
                <w:rFonts w:ascii="Arial" w:hAnsi="Arial" w:cs="Arial"/>
                <w:sz w:val="22"/>
                <w:szCs w:val="22"/>
                <w:lang w:val="en-GB"/>
              </w:rPr>
              <w:t>)</w:t>
            </w:r>
            <w:r w:rsidRPr="0033405D">
              <w:rPr>
                <w:rFonts w:ascii="Arial" w:hAnsi="Arial" w:cs="Arial"/>
                <w:sz w:val="22"/>
                <w:szCs w:val="22"/>
                <w:lang w:val="en-GB"/>
              </w:rPr>
              <w:t>.</w:t>
            </w:r>
          </w:p>
        </w:tc>
      </w:tr>
      <w:tr w:rsidR="00381916" w:rsidRPr="00284E2B" w14:paraId="79E301C8" w14:textId="77777777" w:rsidTr="002232C8">
        <w:tc>
          <w:tcPr>
            <w:tcW w:w="14358" w:type="dxa"/>
            <w:gridSpan w:val="5"/>
            <w:shd w:val="clear" w:color="auto" w:fill="E6E6E6"/>
            <w:noWrap/>
            <w:tcMar>
              <w:top w:w="40" w:type="dxa"/>
              <w:left w:w="40" w:type="dxa"/>
              <w:bottom w:w="40" w:type="dxa"/>
              <w:right w:w="40" w:type="dxa"/>
            </w:tcMar>
          </w:tcPr>
          <w:p w14:paraId="3D5B7D4F" w14:textId="77777777" w:rsidR="00381916" w:rsidRPr="00427622" w:rsidRDefault="00381916" w:rsidP="002232C8">
            <w:pPr>
              <w:tabs>
                <w:tab w:val="left" w:pos="2640"/>
              </w:tabs>
              <w:spacing w:before="100" w:after="100"/>
              <w:ind w:left="113" w:right="113"/>
              <w:jc w:val="both"/>
              <w:rPr>
                <w:rFonts w:ascii="Arial" w:hAnsi="Arial" w:cs="Arial"/>
                <w:b/>
                <w:sz w:val="22"/>
                <w:szCs w:val="22"/>
                <w:lang w:val="en-GB"/>
              </w:rPr>
            </w:pPr>
            <w:r w:rsidRPr="00427622">
              <w:rPr>
                <w:rFonts w:ascii="Arial" w:hAnsi="Arial" w:cs="Arial"/>
                <w:b/>
                <w:sz w:val="22"/>
                <w:szCs w:val="22"/>
                <w:lang w:val="en-GB"/>
              </w:rPr>
              <w:t>Recommendation 6: Establish, with the full involvement of UNESCO field offices and in cooperation with National Commissions, a follow-up mechanism for capacity</w:t>
            </w:r>
            <w:r>
              <w:rPr>
                <w:rFonts w:ascii="Arial" w:hAnsi="Arial" w:cs="Arial"/>
                <w:b/>
                <w:sz w:val="22"/>
                <w:szCs w:val="22"/>
                <w:lang w:val="en-GB"/>
              </w:rPr>
              <w:t>-</w:t>
            </w:r>
            <w:r w:rsidRPr="00427622">
              <w:rPr>
                <w:rFonts w:ascii="Arial" w:hAnsi="Arial" w:cs="Arial"/>
                <w:b/>
                <w:sz w:val="22"/>
                <w:szCs w:val="22"/>
                <w:lang w:val="en-GB"/>
              </w:rPr>
              <w:t>building activities to gather data about their effectiveness.</w:t>
            </w:r>
          </w:p>
        </w:tc>
      </w:tr>
      <w:tr w:rsidR="00381916" w:rsidRPr="00284E2B" w14:paraId="65C35CF5" w14:textId="77777777" w:rsidTr="002232C8">
        <w:tc>
          <w:tcPr>
            <w:tcW w:w="14358" w:type="dxa"/>
            <w:gridSpan w:val="5"/>
            <w:noWrap/>
            <w:tcMar>
              <w:top w:w="40" w:type="dxa"/>
              <w:left w:w="40" w:type="dxa"/>
              <w:bottom w:w="40" w:type="dxa"/>
              <w:right w:w="40" w:type="dxa"/>
            </w:tcMar>
          </w:tcPr>
          <w:p w14:paraId="14C85DCE" w14:textId="77777777" w:rsidR="00381916" w:rsidRPr="00BB6E41" w:rsidRDefault="00381916" w:rsidP="002232C8">
            <w:pPr>
              <w:spacing w:before="100" w:after="100"/>
              <w:ind w:left="113" w:right="113"/>
              <w:jc w:val="both"/>
              <w:rPr>
                <w:rFonts w:ascii="Arial" w:eastAsia="Malgun Gothic" w:hAnsi="Arial" w:cs="Arial"/>
                <w:sz w:val="22"/>
                <w:szCs w:val="22"/>
                <w:lang w:val="en-GB" w:eastAsia="ko-KR"/>
              </w:rPr>
            </w:pPr>
            <w:r w:rsidRPr="00427622">
              <w:rPr>
                <w:rFonts w:ascii="Arial" w:hAnsi="Arial" w:cs="Arial"/>
                <w:b/>
                <w:sz w:val="22"/>
                <w:szCs w:val="22"/>
                <w:lang w:val="en-GB"/>
              </w:rPr>
              <w:t>Management Response</w:t>
            </w:r>
            <w:r w:rsidRPr="00427622">
              <w:rPr>
                <w:rFonts w:ascii="Arial" w:hAnsi="Arial" w:cs="Arial"/>
                <w:sz w:val="22"/>
                <w:szCs w:val="22"/>
                <w:lang w:val="en-GB"/>
              </w:rPr>
              <w:t xml:space="preserve">: Consultations have been conducted in order to put in place this follow-up mechanism, which </w:t>
            </w:r>
            <w:r w:rsidRPr="0033405D">
              <w:rPr>
                <w:rFonts w:ascii="Arial" w:hAnsi="Arial" w:cs="Arial"/>
                <w:sz w:val="22"/>
                <w:szCs w:val="22"/>
                <w:lang w:val="en-GB"/>
              </w:rPr>
              <w:t xml:space="preserve">was initially planned to </w:t>
            </w:r>
            <w:r w:rsidRPr="00427622">
              <w:rPr>
                <w:rFonts w:ascii="Arial" w:hAnsi="Arial" w:cs="Arial"/>
                <w:sz w:val="22"/>
                <w:szCs w:val="22"/>
                <w:lang w:val="en-GB"/>
              </w:rPr>
              <w:t xml:space="preserve">be in place on a pilot basis by the end of the year. However, completing the work of establishing a follow-up and evaluation mechanism for the Convention’s capacity-building programme before establishing the overall results framework of the Convention in which it should fit was not considered </w:t>
            </w:r>
            <w:r>
              <w:rPr>
                <w:rFonts w:ascii="Arial" w:hAnsi="Arial" w:cs="Arial"/>
                <w:sz w:val="22"/>
                <w:szCs w:val="22"/>
                <w:lang w:val="en-GB"/>
              </w:rPr>
              <w:t>to be</w:t>
            </w:r>
            <w:r w:rsidRPr="00427622">
              <w:rPr>
                <w:rFonts w:ascii="Arial" w:hAnsi="Arial" w:cs="Arial"/>
                <w:sz w:val="22"/>
                <w:szCs w:val="22"/>
                <w:lang w:val="en-GB"/>
              </w:rPr>
              <w:t xml:space="preserve"> the most efficient way to advance. The Secretariat therefore took the decision to postpone </w:t>
            </w:r>
            <w:r>
              <w:rPr>
                <w:rFonts w:ascii="Arial" w:hAnsi="Arial" w:cs="Arial"/>
                <w:sz w:val="22"/>
                <w:szCs w:val="22"/>
                <w:lang w:val="en-GB"/>
              </w:rPr>
              <w:t xml:space="preserve">the </w:t>
            </w:r>
            <w:r w:rsidRPr="00427622">
              <w:rPr>
                <w:rFonts w:ascii="Arial" w:hAnsi="Arial" w:cs="Arial"/>
                <w:sz w:val="22"/>
                <w:szCs w:val="22"/>
                <w:lang w:val="en-GB"/>
              </w:rPr>
              <w:t>full establishment of the follow-up and evaluation mechanism for the capacity-building programme until the overall results framework</w:t>
            </w:r>
            <w:r>
              <w:rPr>
                <w:rFonts w:ascii="Arial" w:hAnsi="Arial" w:cs="Arial"/>
                <w:sz w:val="22"/>
                <w:szCs w:val="22"/>
                <w:lang w:val="en-GB"/>
              </w:rPr>
              <w:t xml:space="preserve"> has been created.</w:t>
            </w:r>
          </w:p>
        </w:tc>
      </w:tr>
      <w:tr w:rsidR="00381916" w:rsidRPr="00427622" w14:paraId="72618D20" w14:textId="77777777" w:rsidTr="002232C8">
        <w:tc>
          <w:tcPr>
            <w:tcW w:w="4717" w:type="dxa"/>
            <w:gridSpan w:val="2"/>
            <w:tcBorders>
              <w:bottom w:val="single" w:sz="4" w:space="0" w:color="auto"/>
            </w:tcBorders>
            <w:noWrap/>
            <w:tcMar>
              <w:top w:w="40" w:type="dxa"/>
              <w:left w:w="40" w:type="dxa"/>
              <w:bottom w:w="40" w:type="dxa"/>
              <w:right w:w="40" w:type="dxa"/>
            </w:tcMar>
          </w:tcPr>
          <w:p w14:paraId="12D21AE4" w14:textId="77777777" w:rsidR="00381916" w:rsidRPr="00427622" w:rsidRDefault="00381916" w:rsidP="002232C8">
            <w:pPr>
              <w:spacing w:before="100" w:after="100"/>
              <w:jc w:val="center"/>
              <w:rPr>
                <w:rFonts w:ascii="Arial" w:hAnsi="Arial" w:cs="Arial"/>
                <w:b/>
                <w:sz w:val="22"/>
                <w:szCs w:val="22"/>
                <w:lang w:val="en-GB"/>
              </w:rPr>
            </w:pPr>
            <w:r w:rsidRPr="00427622">
              <w:rPr>
                <w:rFonts w:ascii="Arial" w:hAnsi="Arial" w:cs="Arial"/>
                <w:b/>
                <w:sz w:val="22"/>
                <w:szCs w:val="22"/>
                <w:lang w:val="en-GB"/>
              </w:rPr>
              <w:lastRenderedPageBreak/>
              <w:t>Actions Planned</w:t>
            </w:r>
          </w:p>
        </w:tc>
        <w:tc>
          <w:tcPr>
            <w:tcW w:w="1986" w:type="dxa"/>
            <w:gridSpan w:val="2"/>
            <w:tcBorders>
              <w:bottom w:val="single" w:sz="4" w:space="0" w:color="auto"/>
            </w:tcBorders>
            <w:noWrap/>
            <w:tcMar>
              <w:top w:w="40" w:type="dxa"/>
              <w:left w:w="40" w:type="dxa"/>
              <w:bottom w:w="40" w:type="dxa"/>
              <w:right w:w="40" w:type="dxa"/>
            </w:tcMar>
          </w:tcPr>
          <w:p w14:paraId="215E6848" w14:textId="77777777" w:rsidR="00381916" w:rsidRPr="00427622" w:rsidRDefault="00381916" w:rsidP="002232C8">
            <w:pPr>
              <w:spacing w:before="100" w:after="10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3DD368A0" w14:textId="77777777" w:rsidR="00381916" w:rsidRPr="00427622" w:rsidRDefault="00381916" w:rsidP="002232C8">
            <w:pPr>
              <w:spacing w:before="100" w:after="10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49BE714A" w14:textId="77777777" w:rsidTr="002232C8">
        <w:tc>
          <w:tcPr>
            <w:tcW w:w="4717" w:type="dxa"/>
            <w:gridSpan w:val="2"/>
            <w:shd w:val="clear" w:color="auto" w:fill="FFFFFF" w:themeFill="background1"/>
            <w:noWrap/>
            <w:tcMar>
              <w:top w:w="40" w:type="dxa"/>
              <w:left w:w="40" w:type="dxa"/>
              <w:bottom w:w="40" w:type="dxa"/>
              <w:right w:w="40" w:type="dxa"/>
            </w:tcMar>
          </w:tcPr>
          <w:p w14:paraId="236FFE03" w14:textId="77777777" w:rsidR="00381916" w:rsidRPr="00427622" w:rsidRDefault="00381916" w:rsidP="002232C8">
            <w:pPr>
              <w:pStyle w:val="Default"/>
              <w:spacing w:before="100" w:after="100"/>
              <w:ind w:left="113"/>
              <w:rPr>
                <w:sz w:val="22"/>
                <w:szCs w:val="22"/>
                <w:lang w:val="en-GB"/>
              </w:rPr>
            </w:pPr>
            <w:r w:rsidRPr="00427622">
              <w:rPr>
                <w:sz w:val="22"/>
                <w:szCs w:val="22"/>
                <w:lang w:val="en-GB"/>
              </w:rPr>
              <w:t xml:space="preserve">Define the methodology and work plan </w:t>
            </w:r>
            <w:r>
              <w:rPr>
                <w:sz w:val="22"/>
                <w:szCs w:val="22"/>
                <w:lang w:val="en-GB"/>
              </w:rPr>
              <w:t>in line</w:t>
            </w:r>
            <w:r w:rsidRPr="00427622">
              <w:rPr>
                <w:sz w:val="22"/>
                <w:szCs w:val="22"/>
                <w:lang w:val="en-GB"/>
              </w:rPr>
              <w:t xml:space="preserve"> with </w:t>
            </w:r>
            <w:r>
              <w:rPr>
                <w:sz w:val="22"/>
                <w:szCs w:val="22"/>
                <w:lang w:val="en-GB"/>
              </w:rPr>
              <w:t xml:space="preserve">the </w:t>
            </w:r>
            <w:r w:rsidRPr="00427622">
              <w:rPr>
                <w:sz w:val="22"/>
                <w:szCs w:val="22"/>
                <w:lang w:val="en-GB"/>
              </w:rPr>
              <w:t>overall theory of change.</w:t>
            </w:r>
          </w:p>
        </w:tc>
        <w:tc>
          <w:tcPr>
            <w:tcW w:w="1986" w:type="dxa"/>
            <w:gridSpan w:val="2"/>
            <w:shd w:val="clear" w:color="auto" w:fill="FFFFFF" w:themeFill="background1"/>
            <w:noWrap/>
            <w:tcMar>
              <w:top w:w="40" w:type="dxa"/>
              <w:left w:w="40" w:type="dxa"/>
              <w:bottom w:w="40" w:type="dxa"/>
              <w:right w:w="40" w:type="dxa"/>
            </w:tcMar>
          </w:tcPr>
          <w:p w14:paraId="1A707675" w14:textId="77777777" w:rsidR="00381916" w:rsidRPr="00427622" w:rsidRDefault="00381916" w:rsidP="002232C8">
            <w:pPr>
              <w:spacing w:before="100" w:after="100"/>
              <w:ind w:left="57"/>
              <w:rPr>
                <w:rFonts w:ascii="Arial" w:hAnsi="Arial" w:cs="Arial"/>
                <w:sz w:val="22"/>
                <w:szCs w:val="22"/>
                <w:lang w:val="en-GB"/>
              </w:rPr>
            </w:pPr>
            <w:r w:rsidRPr="00427622">
              <w:rPr>
                <w:rFonts w:ascii="Arial" w:hAnsi="Arial" w:cs="Arial"/>
                <w:sz w:val="22"/>
                <w:szCs w:val="22"/>
                <w:lang w:val="en-GB"/>
              </w:rPr>
              <w:t>June 2015</w:t>
            </w:r>
          </w:p>
        </w:tc>
        <w:tc>
          <w:tcPr>
            <w:tcW w:w="7655" w:type="dxa"/>
            <w:shd w:val="clear" w:color="auto" w:fill="FFFFFF" w:themeFill="background1"/>
            <w:noWrap/>
            <w:tcMar>
              <w:top w:w="40" w:type="dxa"/>
              <w:left w:w="40" w:type="dxa"/>
              <w:bottom w:w="40" w:type="dxa"/>
              <w:right w:w="40" w:type="dxa"/>
            </w:tcMar>
          </w:tcPr>
          <w:p w14:paraId="677D3746" w14:textId="77777777" w:rsidR="00381916" w:rsidRPr="00427622" w:rsidRDefault="00381916" w:rsidP="002232C8">
            <w:pPr>
              <w:pStyle w:val="ListParagraph"/>
              <w:numPr>
                <w:ilvl w:val="0"/>
                <w:numId w:val="9"/>
              </w:numPr>
              <w:spacing w:beforeAutospacing="0" w:afterAutospacing="0"/>
              <w:ind w:left="470" w:hanging="357"/>
              <w:contextualSpacing/>
              <w:rPr>
                <w:rFonts w:ascii="Arial" w:hAnsi="Arial" w:cs="Arial"/>
                <w:sz w:val="22"/>
                <w:szCs w:val="22"/>
                <w:lang w:val="en-GB"/>
              </w:rPr>
            </w:pPr>
            <w:r w:rsidRPr="00427622">
              <w:rPr>
                <w:rFonts w:ascii="Arial" w:hAnsi="Arial" w:cs="Arial"/>
                <w:sz w:val="22"/>
                <w:szCs w:val="22"/>
                <w:lang w:val="en-GB"/>
              </w:rPr>
              <w:t>The Intangible Cultural Heritage Section consulted IOS, expert facilitators, selected national counterparts and UNESCO Field Offices, who provided consultation on methodology; the work process is defined with a budget estimate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030B86CC" w14:textId="77777777" w:rsidTr="002232C8">
        <w:tc>
          <w:tcPr>
            <w:tcW w:w="4717" w:type="dxa"/>
            <w:gridSpan w:val="2"/>
            <w:noWrap/>
            <w:tcMar>
              <w:top w:w="40" w:type="dxa"/>
              <w:left w:w="40" w:type="dxa"/>
              <w:bottom w:w="40" w:type="dxa"/>
              <w:right w:w="40" w:type="dxa"/>
            </w:tcMar>
          </w:tcPr>
          <w:p w14:paraId="2A0CFD33" w14:textId="77777777" w:rsidR="00381916" w:rsidRPr="00427622" w:rsidRDefault="00381916" w:rsidP="002232C8">
            <w:pPr>
              <w:spacing w:before="100" w:after="100"/>
              <w:ind w:left="113"/>
              <w:rPr>
                <w:rFonts w:ascii="Arial" w:hAnsi="Arial" w:cs="Arial"/>
                <w:sz w:val="22"/>
                <w:szCs w:val="22"/>
                <w:lang w:val="en-GB"/>
              </w:rPr>
            </w:pPr>
            <w:r w:rsidRPr="00427622">
              <w:rPr>
                <w:rFonts w:ascii="Arial" w:hAnsi="Arial" w:cs="Arial"/>
                <w:sz w:val="22"/>
                <w:szCs w:val="22"/>
                <w:lang w:val="en-GB"/>
              </w:rPr>
              <w:t>Put in place the mechanism.</w:t>
            </w:r>
          </w:p>
        </w:tc>
        <w:tc>
          <w:tcPr>
            <w:tcW w:w="1986" w:type="dxa"/>
            <w:gridSpan w:val="2"/>
            <w:noWrap/>
            <w:tcMar>
              <w:top w:w="40" w:type="dxa"/>
              <w:left w:w="40" w:type="dxa"/>
              <w:bottom w:w="40" w:type="dxa"/>
              <w:right w:w="40" w:type="dxa"/>
            </w:tcMar>
          </w:tcPr>
          <w:p w14:paraId="4F5A54C9" w14:textId="77777777" w:rsidR="00381916" w:rsidRPr="00427622" w:rsidRDefault="00381916" w:rsidP="002232C8">
            <w:pPr>
              <w:spacing w:before="100" w:after="100"/>
              <w:ind w:left="57"/>
              <w:rPr>
                <w:rFonts w:ascii="Arial" w:hAnsi="Arial" w:cs="Arial"/>
                <w:sz w:val="22"/>
                <w:szCs w:val="22"/>
                <w:lang w:val="en-GB"/>
              </w:rPr>
            </w:pPr>
            <w:r w:rsidRPr="00427622">
              <w:rPr>
                <w:rFonts w:ascii="Arial" w:hAnsi="Arial" w:cs="Arial"/>
                <w:sz w:val="22"/>
                <w:szCs w:val="22"/>
                <w:lang w:val="en-GB"/>
              </w:rPr>
              <w:t>2016</w:t>
            </w:r>
          </w:p>
        </w:tc>
        <w:tc>
          <w:tcPr>
            <w:tcW w:w="7655" w:type="dxa"/>
            <w:noWrap/>
            <w:tcMar>
              <w:top w:w="40" w:type="dxa"/>
              <w:left w:w="40" w:type="dxa"/>
              <w:bottom w:w="40" w:type="dxa"/>
              <w:right w:w="40" w:type="dxa"/>
            </w:tcMar>
          </w:tcPr>
          <w:p w14:paraId="577372E4" w14:textId="77777777" w:rsidR="00381916" w:rsidRPr="00427622" w:rsidRDefault="00381916" w:rsidP="002232C8">
            <w:pPr>
              <w:pStyle w:val="ListParagraph"/>
              <w:numPr>
                <w:ilvl w:val="0"/>
                <w:numId w:val="9"/>
              </w:numPr>
              <w:spacing w:beforeAutospacing="0" w:afterAutospacing="0"/>
              <w:ind w:left="470" w:hanging="357"/>
              <w:contextualSpacing/>
              <w:rPr>
                <w:rFonts w:ascii="Arial" w:hAnsi="Arial" w:cs="Arial"/>
                <w:sz w:val="22"/>
                <w:szCs w:val="22"/>
                <w:lang w:val="en-GB"/>
              </w:rPr>
            </w:pPr>
            <w:r>
              <w:rPr>
                <w:rFonts w:ascii="Arial" w:hAnsi="Arial" w:cs="Arial"/>
                <w:sz w:val="22"/>
                <w:szCs w:val="22"/>
                <w:lang w:val="en-GB"/>
              </w:rPr>
              <w:t>The piloting of t</w:t>
            </w:r>
            <w:r w:rsidRPr="00427622">
              <w:rPr>
                <w:rFonts w:ascii="Arial" w:hAnsi="Arial" w:cs="Arial"/>
                <w:sz w:val="22"/>
                <w:szCs w:val="22"/>
                <w:lang w:val="en-GB"/>
              </w:rPr>
              <w:t xml:space="preserve">racer studies </w:t>
            </w:r>
            <w:r>
              <w:rPr>
                <w:rFonts w:ascii="Arial" w:hAnsi="Arial" w:cs="Arial"/>
                <w:sz w:val="22"/>
                <w:szCs w:val="22"/>
                <w:lang w:val="en-GB"/>
              </w:rPr>
              <w:t xml:space="preserve">started in early 2016 </w:t>
            </w:r>
            <w:r w:rsidRPr="00427622">
              <w:rPr>
                <w:rFonts w:ascii="Arial" w:hAnsi="Arial" w:cs="Arial"/>
                <w:sz w:val="22"/>
                <w:szCs w:val="22"/>
                <w:lang w:val="en-GB"/>
              </w:rPr>
              <w:t>in a selected number of countries that benefit(ed) from capacity-building activities.</w:t>
            </w:r>
          </w:p>
        </w:tc>
      </w:tr>
      <w:tr w:rsidR="00381916" w:rsidRPr="00284E2B" w14:paraId="47A8E0EE" w14:textId="77777777" w:rsidTr="002232C8">
        <w:tc>
          <w:tcPr>
            <w:tcW w:w="14358" w:type="dxa"/>
            <w:gridSpan w:val="5"/>
            <w:shd w:val="clear" w:color="auto" w:fill="E6E6E6"/>
            <w:noWrap/>
            <w:tcMar>
              <w:top w:w="40" w:type="dxa"/>
              <w:left w:w="40" w:type="dxa"/>
              <w:bottom w:w="40" w:type="dxa"/>
              <w:right w:w="40" w:type="dxa"/>
            </w:tcMar>
          </w:tcPr>
          <w:p w14:paraId="6C3EFE26" w14:textId="77777777" w:rsidR="00381916" w:rsidRPr="00427622" w:rsidRDefault="00381916" w:rsidP="002232C8">
            <w:pPr>
              <w:keepNext/>
              <w:tabs>
                <w:tab w:val="left" w:pos="2640"/>
              </w:tabs>
              <w:spacing w:before="120" w:after="120"/>
              <w:ind w:left="113" w:right="113"/>
              <w:jc w:val="both"/>
              <w:rPr>
                <w:rFonts w:ascii="Arial" w:hAnsi="Arial" w:cs="Arial"/>
                <w:b/>
                <w:sz w:val="22"/>
                <w:szCs w:val="22"/>
                <w:lang w:val="en-GB"/>
              </w:rPr>
            </w:pPr>
            <w:r w:rsidRPr="00427622">
              <w:rPr>
                <w:rFonts w:ascii="Arial" w:hAnsi="Arial" w:cs="Arial"/>
                <w:b/>
                <w:sz w:val="22"/>
                <w:szCs w:val="22"/>
                <w:lang w:val="en-GB"/>
              </w:rPr>
              <w:t>Recommendation 7: Review (and adapt if necessary) the content and format of the capacity</w:t>
            </w:r>
            <w:r>
              <w:rPr>
                <w:rFonts w:ascii="Arial" w:hAnsi="Arial" w:cs="Arial"/>
                <w:b/>
                <w:sz w:val="22"/>
                <w:szCs w:val="22"/>
                <w:lang w:val="en-GB"/>
              </w:rPr>
              <w:t>-</w:t>
            </w:r>
            <w:r w:rsidRPr="00427622">
              <w:rPr>
                <w:rFonts w:ascii="Arial" w:hAnsi="Arial" w:cs="Arial"/>
                <w:b/>
                <w:sz w:val="22"/>
                <w:szCs w:val="22"/>
                <w:lang w:val="en-GB"/>
              </w:rPr>
              <w:t>building strategy to ensure that it responds to the major implementation challenges at the national level.</w:t>
            </w:r>
          </w:p>
        </w:tc>
      </w:tr>
      <w:tr w:rsidR="00381916" w:rsidRPr="00284E2B" w14:paraId="42D1D26B" w14:textId="77777777" w:rsidTr="002232C8">
        <w:tc>
          <w:tcPr>
            <w:tcW w:w="14358" w:type="dxa"/>
            <w:gridSpan w:val="5"/>
            <w:noWrap/>
            <w:tcMar>
              <w:top w:w="40" w:type="dxa"/>
              <w:left w:w="40" w:type="dxa"/>
              <w:bottom w:w="40" w:type="dxa"/>
              <w:right w:w="40" w:type="dxa"/>
            </w:tcMar>
          </w:tcPr>
          <w:p w14:paraId="34C9F53C" w14:textId="77777777" w:rsidR="00381916" w:rsidRPr="00427622" w:rsidRDefault="00381916" w:rsidP="002232C8">
            <w:pPr>
              <w:spacing w:before="120" w:after="120"/>
              <w:ind w:left="113" w:right="113"/>
              <w:jc w:val="both"/>
              <w:rPr>
                <w:rFonts w:ascii="Arial" w:hAnsi="Arial" w:cs="Arial"/>
                <w:sz w:val="22"/>
                <w:szCs w:val="22"/>
                <w:lang w:val="en-GB"/>
              </w:rPr>
            </w:pPr>
            <w:r w:rsidRPr="00427622">
              <w:rPr>
                <w:rFonts w:ascii="Arial" w:hAnsi="Arial" w:cs="Arial"/>
                <w:b/>
                <w:sz w:val="22"/>
                <w:szCs w:val="22"/>
                <w:lang w:val="en-GB"/>
              </w:rPr>
              <w:t>Management Response</w:t>
            </w:r>
            <w:r w:rsidRPr="00427622">
              <w:rPr>
                <w:rFonts w:ascii="Arial" w:hAnsi="Arial" w:cs="Arial"/>
                <w:sz w:val="22"/>
                <w:szCs w:val="22"/>
                <w:lang w:val="en-GB"/>
              </w:rPr>
              <w:t>: Review meetings are conducted regularly in order to assess the content and format of the capacity-building strategy, in particular to adapt it to the evolving needs at the national level.</w:t>
            </w:r>
          </w:p>
        </w:tc>
      </w:tr>
      <w:tr w:rsidR="00381916" w:rsidRPr="00427622" w14:paraId="2389ED26" w14:textId="77777777" w:rsidTr="002232C8">
        <w:tc>
          <w:tcPr>
            <w:tcW w:w="4717" w:type="dxa"/>
            <w:gridSpan w:val="2"/>
            <w:noWrap/>
            <w:tcMar>
              <w:top w:w="40" w:type="dxa"/>
              <w:left w:w="40" w:type="dxa"/>
              <w:bottom w:w="40" w:type="dxa"/>
              <w:right w:w="40" w:type="dxa"/>
            </w:tcMar>
          </w:tcPr>
          <w:p w14:paraId="068221A0" w14:textId="77777777" w:rsidR="00381916" w:rsidRPr="00427622" w:rsidRDefault="00381916" w:rsidP="002232C8">
            <w:pPr>
              <w:keepNext/>
              <w:spacing w:before="120" w:after="120"/>
              <w:jc w:val="center"/>
              <w:rPr>
                <w:rFonts w:ascii="Arial" w:hAnsi="Arial" w:cs="Arial"/>
                <w:b/>
                <w:bCs/>
                <w:i/>
                <w:iCs/>
                <w:sz w:val="22"/>
                <w:szCs w:val="22"/>
                <w:lang w:val="en-GB"/>
              </w:rPr>
            </w:pPr>
            <w:r w:rsidRPr="0033405D">
              <w:rPr>
                <w:lang w:val="en-GB"/>
              </w:rPr>
              <w:br w:type="page"/>
            </w: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950A6EE" w14:textId="77777777" w:rsidR="00381916" w:rsidRPr="00427622" w:rsidRDefault="00381916" w:rsidP="002232C8">
            <w:pPr>
              <w:keepNext/>
              <w:spacing w:before="120" w:after="120"/>
              <w:jc w:val="center"/>
              <w:rPr>
                <w:rFonts w:ascii="Arial" w:hAnsi="Arial" w:cs="Arial"/>
                <w:b/>
                <w:bCs/>
                <w:i/>
                <w:iCs/>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3620CDF4" w14:textId="77777777" w:rsidR="00381916" w:rsidRPr="00427622" w:rsidRDefault="00381916" w:rsidP="002232C8">
            <w:pPr>
              <w:keepNext/>
              <w:spacing w:before="120" w:after="120"/>
              <w:jc w:val="center"/>
              <w:rPr>
                <w:rFonts w:ascii="Arial" w:hAnsi="Arial" w:cs="Arial"/>
                <w:b/>
                <w:bCs/>
                <w:i/>
                <w:iCs/>
                <w:sz w:val="22"/>
                <w:szCs w:val="22"/>
                <w:lang w:val="en-GB"/>
              </w:rPr>
            </w:pPr>
            <w:r w:rsidRPr="00427622">
              <w:rPr>
                <w:rFonts w:ascii="Arial" w:hAnsi="Arial" w:cs="Arial"/>
                <w:b/>
                <w:sz w:val="22"/>
                <w:szCs w:val="22"/>
                <w:lang w:val="en-GB"/>
              </w:rPr>
              <w:t>Status</w:t>
            </w:r>
          </w:p>
        </w:tc>
      </w:tr>
      <w:tr w:rsidR="00381916" w:rsidRPr="00284E2B" w14:paraId="2A5FC976" w14:textId="77777777" w:rsidTr="002232C8">
        <w:tc>
          <w:tcPr>
            <w:tcW w:w="4717" w:type="dxa"/>
            <w:gridSpan w:val="2"/>
            <w:noWrap/>
            <w:tcMar>
              <w:top w:w="40" w:type="dxa"/>
              <w:left w:w="40" w:type="dxa"/>
              <w:bottom w:w="40" w:type="dxa"/>
              <w:right w:w="40" w:type="dxa"/>
            </w:tcMar>
          </w:tcPr>
          <w:p w14:paraId="7D5B86AB"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Initial adaptations reflected in updated logframe based on IOS evaluation.</w:t>
            </w:r>
          </w:p>
        </w:tc>
        <w:tc>
          <w:tcPr>
            <w:tcW w:w="1986" w:type="dxa"/>
            <w:gridSpan w:val="2"/>
            <w:noWrap/>
            <w:tcMar>
              <w:top w:w="40" w:type="dxa"/>
              <w:left w:w="40" w:type="dxa"/>
              <w:bottom w:w="40" w:type="dxa"/>
              <w:right w:w="40" w:type="dxa"/>
            </w:tcMar>
          </w:tcPr>
          <w:p w14:paraId="3B4A5358"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2D6C2F50"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The progress and final reporting templates of capacity-building projects were revised with an updated logframe to include information o</w:t>
            </w:r>
            <w:r>
              <w:rPr>
                <w:rFonts w:ascii="Arial" w:hAnsi="Arial" w:cs="Arial"/>
                <w:sz w:val="22"/>
                <w:szCs w:val="22"/>
                <w:lang w:val="en-GB"/>
              </w:rPr>
              <w:t>n</w:t>
            </w:r>
            <w:r w:rsidRPr="0033405D">
              <w:rPr>
                <w:rFonts w:ascii="Arial" w:hAnsi="Arial" w:cs="Arial"/>
                <w:sz w:val="22"/>
                <w:szCs w:val="22"/>
                <w:lang w:val="en-GB"/>
              </w:rPr>
              <w:t xml:space="preserve"> major implementation challenges at the national level.</w:t>
            </w:r>
          </w:p>
        </w:tc>
      </w:tr>
      <w:tr w:rsidR="00381916" w:rsidRPr="00284E2B" w14:paraId="7211EE96" w14:textId="77777777" w:rsidTr="002232C8">
        <w:tc>
          <w:tcPr>
            <w:tcW w:w="4717" w:type="dxa"/>
            <w:gridSpan w:val="2"/>
            <w:noWrap/>
            <w:tcMar>
              <w:top w:w="40" w:type="dxa"/>
              <w:left w:w="40" w:type="dxa"/>
              <w:bottom w:w="40" w:type="dxa"/>
              <w:right w:w="40" w:type="dxa"/>
            </w:tcMar>
          </w:tcPr>
          <w:p w14:paraId="37C06C97"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Review meetings and competence upgrading with expert facilitators and Field Offices.</w:t>
            </w:r>
          </w:p>
        </w:tc>
        <w:tc>
          <w:tcPr>
            <w:tcW w:w="1986" w:type="dxa"/>
            <w:gridSpan w:val="2"/>
            <w:noWrap/>
            <w:tcMar>
              <w:top w:w="40" w:type="dxa"/>
              <w:left w:w="40" w:type="dxa"/>
              <w:bottom w:w="40" w:type="dxa"/>
              <w:right w:w="40" w:type="dxa"/>
            </w:tcMar>
          </w:tcPr>
          <w:p w14:paraId="6C12A396"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221A9D51"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The Secretariat received recommendations for further revisions from Africa, the Arab Region, Asia and the Pacific, Central Asia and Europe. Specific review meetings with facilitators and </w:t>
            </w:r>
            <w:r>
              <w:rPr>
                <w:rFonts w:ascii="Arial" w:hAnsi="Arial" w:cs="Arial"/>
                <w:sz w:val="22"/>
                <w:szCs w:val="22"/>
                <w:lang w:val="en-GB"/>
              </w:rPr>
              <w:t>UNESCO F</w:t>
            </w:r>
            <w:r w:rsidRPr="0033405D">
              <w:rPr>
                <w:rFonts w:ascii="Arial" w:hAnsi="Arial" w:cs="Arial"/>
                <w:sz w:val="22"/>
                <w:szCs w:val="22"/>
                <w:lang w:val="en-GB"/>
              </w:rPr>
              <w:t xml:space="preserve">ield </w:t>
            </w:r>
            <w:r>
              <w:rPr>
                <w:rFonts w:ascii="Arial" w:hAnsi="Arial" w:cs="Arial"/>
                <w:sz w:val="22"/>
                <w:szCs w:val="22"/>
                <w:lang w:val="en-GB"/>
              </w:rPr>
              <w:t>O</w:t>
            </w:r>
            <w:r w:rsidRPr="0033405D">
              <w:rPr>
                <w:rFonts w:ascii="Arial" w:hAnsi="Arial" w:cs="Arial"/>
                <w:sz w:val="22"/>
                <w:szCs w:val="22"/>
                <w:lang w:val="en-GB"/>
              </w:rPr>
              <w:t>ffices have been or will be organized in specific regions such as for Africa (September 2015)</w:t>
            </w:r>
            <w:r>
              <w:rPr>
                <w:rFonts w:ascii="Arial" w:hAnsi="Arial" w:cs="Arial"/>
                <w:sz w:val="22"/>
                <w:szCs w:val="22"/>
                <w:lang w:val="en-GB"/>
              </w:rPr>
              <w:t>.</w:t>
            </w:r>
          </w:p>
        </w:tc>
      </w:tr>
      <w:tr w:rsidR="00381916" w:rsidRPr="00284E2B" w14:paraId="7A13C364" w14:textId="77777777" w:rsidTr="002232C8">
        <w:trPr>
          <w:trHeight w:val="1036"/>
        </w:trPr>
        <w:tc>
          <w:tcPr>
            <w:tcW w:w="4717" w:type="dxa"/>
            <w:gridSpan w:val="2"/>
            <w:noWrap/>
            <w:tcMar>
              <w:top w:w="40" w:type="dxa"/>
              <w:left w:w="40" w:type="dxa"/>
              <w:bottom w:w="40" w:type="dxa"/>
              <w:right w:w="40" w:type="dxa"/>
            </w:tcMar>
          </w:tcPr>
          <w:p w14:paraId="34FAD93E"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Draw lessons from a consolidated analysis of all expert facilitators’ report</w:t>
            </w:r>
            <w:r>
              <w:rPr>
                <w:sz w:val="22"/>
                <w:szCs w:val="22"/>
                <w:lang w:val="en-GB"/>
              </w:rPr>
              <w:t>s</w:t>
            </w:r>
            <w:r w:rsidRPr="00427622">
              <w:rPr>
                <w:sz w:val="22"/>
                <w:szCs w:val="22"/>
                <w:lang w:val="en-GB"/>
              </w:rPr>
              <w:t xml:space="preserve"> by region.</w:t>
            </w:r>
          </w:p>
        </w:tc>
        <w:tc>
          <w:tcPr>
            <w:tcW w:w="1986" w:type="dxa"/>
            <w:gridSpan w:val="2"/>
            <w:noWrap/>
            <w:tcMar>
              <w:top w:w="40" w:type="dxa"/>
              <w:left w:w="40" w:type="dxa"/>
              <w:bottom w:w="40" w:type="dxa"/>
              <w:right w:w="40" w:type="dxa"/>
            </w:tcMar>
          </w:tcPr>
          <w:p w14:paraId="166CF6F8"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2016</w:t>
            </w:r>
          </w:p>
        </w:tc>
        <w:tc>
          <w:tcPr>
            <w:tcW w:w="7655" w:type="dxa"/>
            <w:noWrap/>
            <w:tcMar>
              <w:top w:w="40" w:type="dxa"/>
              <w:left w:w="40" w:type="dxa"/>
              <w:bottom w:w="40" w:type="dxa"/>
              <w:right w:w="40" w:type="dxa"/>
            </w:tcMar>
          </w:tcPr>
          <w:p w14:paraId="6D4B3A98" w14:textId="77777777" w:rsidR="00381916" w:rsidRPr="0033405D" w:rsidDel="00EF4C76"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A cross-regional analysis of the expert facilitators’ reports has been finalized and shared with expert facilitators and </w:t>
            </w:r>
            <w:r>
              <w:rPr>
                <w:rFonts w:ascii="Arial" w:hAnsi="Arial" w:cs="Arial"/>
                <w:sz w:val="22"/>
                <w:szCs w:val="22"/>
                <w:lang w:val="en-GB"/>
              </w:rPr>
              <w:t>UNESCO F</w:t>
            </w:r>
            <w:r w:rsidRPr="0033405D">
              <w:rPr>
                <w:rFonts w:ascii="Arial" w:hAnsi="Arial" w:cs="Arial"/>
                <w:sz w:val="22"/>
                <w:szCs w:val="22"/>
                <w:lang w:val="en-GB"/>
              </w:rPr>
              <w:t xml:space="preserve">ield </w:t>
            </w:r>
            <w:r>
              <w:rPr>
                <w:rFonts w:ascii="Arial" w:hAnsi="Arial" w:cs="Arial"/>
                <w:sz w:val="22"/>
                <w:szCs w:val="22"/>
                <w:lang w:val="en-GB"/>
              </w:rPr>
              <w:t>O</w:t>
            </w:r>
            <w:r w:rsidRPr="0033405D">
              <w:rPr>
                <w:rFonts w:ascii="Arial" w:hAnsi="Arial" w:cs="Arial"/>
                <w:sz w:val="22"/>
                <w:szCs w:val="22"/>
                <w:lang w:val="en-GB"/>
              </w:rPr>
              <w:t>ffices in 2016. Its findings feed into the preparation of review meetings and new capacity-building activities (</w:t>
            </w:r>
            <w:r w:rsidRPr="00427622">
              <w:rPr>
                <w:rFonts w:ascii="Arial" w:hAnsi="Arial" w:cs="Arial"/>
                <w:b/>
                <w:sz w:val="22"/>
                <w:szCs w:val="22"/>
                <w:lang w:val="en-GB"/>
              </w:rPr>
              <w:t>action completed</w:t>
            </w:r>
            <w:r w:rsidRPr="00427622">
              <w:rPr>
                <w:rFonts w:ascii="Arial" w:hAnsi="Arial" w:cs="Arial"/>
                <w:sz w:val="22"/>
                <w:szCs w:val="22"/>
                <w:lang w:val="en-GB"/>
              </w:rPr>
              <w:t>)</w:t>
            </w:r>
            <w:r w:rsidRPr="0033405D">
              <w:rPr>
                <w:rFonts w:ascii="Arial" w:hAnsi="Arial" w:cs="Arial"/>
                <w:sz w:val="22"/>
                <w:szCs w:val="22"/>
                <w:lang w:val="en-GB"/>
              </w:rPr>
              <w:t>.</w:t>
            </w:r>
          </w:p>
        </w:tc>
      </w:tr>
      <w:tr w:rsidR="00381916" w:rsidRPr="00284E2B" w14:paraId="1F5EA77B" w14:textId="77777777" w:rsidTr="002232C8">
        <w:tc>
          <w:tcPr>
            <w:tcW w:w="4717" w:type="dxa"/>
            <w:gridSpan w:val="2"/>
            <w:noWrap/>
            <w:tcMar>
              <w:top w:w="40" w:type="dxa"/>
              <w:left w:w="40" w:type="dxa"/>
              <w:bottom w:w="40" w:type="dxa"/>
              <w:right w:w="40" w:type="dxa"/>
            </w:tcMar>
          </w:tcPr>
          <w:p w14:paraId="633BBC00"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lastRenderedPageBreak/>
              <w:t>Specific activities and financial provisions for policy assessments integrated in</w:t>
            </w:r>
            <w:r>
              <w:rPr>
                <w:sz w:val="22"/>
                <w:szCs w:val="22"/>
                <w:lang w:val="en-GB"/>
              </w:rPr>
              <w:t>to</w:t>
            </w:r>
            <w:r w:rsidRPr="00427622">
              <w:rPr>
                <w:sz w:val="22"/>
                <w:szCs w:val="22"/>
                <w:lang w:val="en-GB"/>
              </w:rPr>
              <w:t xml:space="preserve"> capacity</w:t>
            </w:r>
            <w:r>
              <w:rPr>
                <w:sz w:val="22"/>
                <w:szCs w:val="22"/>
                <w:lang w:val="en-GB"/>
              </w:rPr>
              <w:t>-</w:t>
            </w:r>
            <w:r w:rsidRPr="00427622">
              <w:rPr>
                <w:sz w:val="22"/>
                <w:szCs w:val="22"/>
                <w:lang w:val="en-GB"/>
              </w:rPr>
              <w:t>building programme.</w:t>
            </w:r>
          </w:p>
        </w:tc>
        <w:tc>
          <w:tcPr>
            <w:tcW w:w="1986" w:type="dxa"/>
            <w:gridSpan w:val="2"/>
            <w:noWrap/>
            <w:tcMar>
              <w:top w:w="40" w:type="dxa"/>
              <w:left w:w="40" w:type="dxa"/>
              <w:bottom w:w="40" w:type="dxa"/>
              <w:right w:w="40" w:type="dxa"/>
            </w:tcMar>
          </w:tcPr>
          <w:p w14:paraId="05A842C4"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231608DC"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The budget of new capacity-building projects systematically includes provisions for policy assessments/development.</w:t>
            </w:r>
          </w:p>
        </w:tc>
      </w:tr>
      <w:tr w:rsidR="00381916" w:rsidRPr="00284E2B" w14:paraId="4989769A" w14:textId="77777777" w:rsidTr="002232C8">
        <w:tc>
          <w:tcPr>
            <w:tcW w:w="4717" w:type="dxa"/>
            <w:gridSpan w:val="2"/>
            <w:noWrap/>
            <w:tcMar>
              <w:top w:w="40" w:type="dxa"/>
              <w:left w:w="40" w:type="dxa"/>
              <w:bottom w:w="40" w:type="dxa"/>
              <w:right w:w="40" w:type="dxa"/>
            </w:tcMar>
          </w:tcPr>
          <w:p w14:paraId="0D4BDF12" w14:textId="77777777" w:rsidR="00381916" w:rsidRPr="00427622" w:rsidRDefault="00381916" w:rsidP="002232C8">
            <w:pPr>
              <w:pStyle w:val="Default"/>
              <w:spacing w:before="120" w:after="120"/>
              <w:ind w:left="113" w:right="57"/>
              <w:rPr>
                <w:sz w:val="22"/>
                <w:szCs w:val="22"/>
                <w:lang w:val="en-GB"/>
              </w:rPr>
            </w:pPr>
            <w:r w:rsidRPr="00427622">
              <w:rPr>
                <w:sz w:val="22"/>
                <w:szCs w:val="22"/>
                <w:lang w:val="en-GB"/>
              </w:rPr>
              <w:t>Introduce new units on gender, sustainable development and policy development.</w:t>
            </w:r>
          </w:p>
        </w:tc>
        <w:tc>
          <w:tcPr>
            <w:tcW w:w="1986" w:type="dxa"/>
            <w:gridSpan w:val="2"/>
            <w:noWrap/>
            <w:tcMar>
              <w:top w:w="40" w:type="dxa"/>
              <w:left w:w="40" w:type="dxa"/>
              <w:bottom w:w="40" w:type="dxa"/>
              <w:right w:w="40" w:type="dxa"/>
            </w:tcMar>
          </w:tcPr>
          <w:p w14:paraId="32B970A9"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February 2016</w:t>
            </w:r>
          </w:p>
        </w:tc>
        <w:tc>
          <w:tcPr>
            <w:tcW w:w="7655" w:type="dxa"/>
            <w:noWrap/>
            <w:tcMar>
              <w:top w:w="40" w:type="dxa"/>
              <w:left w:w="40" w:type="dxa"/>
              <w:bottom w:w="40" w:type="dxa"/>
              <w:right w:w="40" w:type="dxa"/>
            </w:tcMar>
          </w:tcPr>
          <w:p w14:paraId="0F23C2F0"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New training units on gender (Units 48 and 49), as well as an information brochure on the topic in question </w:t>
            </w:r>
            <w:r>
              <w:rPr>
                <w:rFonts w:ascii="Arial" w:hAnsi="Arial" w:cs="Arial"/>
                <w:sz w:val="22"/>
                <w:szCs w:val="22"/>
                <w:lang w:val="en-GB"/>
              </w:rPr>
              <w:t xml:space="preserve">were </w:t>
            </w:r>
            <w:r w:rsidRPr="0033405D">
              <w:rPr>
                <w:rFonts w:ascii="Arial" w:hAnsi="Arial" w:cs="Arial"/>
                <w:sz w:val="22"/>
                <w:szCs w:val="22"/>
                <w:lang w:val="en-GB"/>
              </w:rPr>
              <w:t>made available in June 2015.</w:t>
            </w:r>
          </w:p>
          <w:p w14:paraId="69FA25DC"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A new training unit on sustainable development (Unit 8) </w:t>
            </w:r>
            <w:r>
              <w:rPr>
                <w:rFonts w:ascii="Arial" w:hAnsi="Arial" w:cs="Arial"/>
                <w:sz w:val="22"/>
                <w:szCs w:val="22"/>
                <w:lang w:val="en-GB"/>
              </w:rPr>
              <w:t>was</w:t>
            </w:r>
            <w:r w:rsidRPr="0033405D">
              <w:rPr>
                <w:rFonts w:ascii="Arial" w:hAnsi="Arial" w:cs="Arial"/>
                <w:sz w:val="22"/>
                <w:szCs w:val="22"/>
                <w:lang w:val="en-GB"/>
              </w:rPr>
              <w:t xml:space="preserve"> revised and aligned </w:t>
            </w:r>
            <w:r>
              <w:rPr>
                <w:rFonts w:ascii="Arial" w:hAnsi="Arial" w:cs="Arial"/>
                <w:sz w:val="22"/>
                <w:szCs w:val="22"/>
                <w:lang w:val="en-GB"/>
              </w:rPr>
              <w:t>with</w:t>
            </w:r>
            <w:r w:rsidRPr="0033405D">
              <w:rPr>
                <w:rFonts w:ascii="Arial" w:hAnsi="Arial" w:cs="Arial"/>
                <w:sz w:val="22"/>
                <w:szCs w:val="22"/>
                <w:lang w:val="en-GB"/>
              </w:rPr>
              <w:t xml:space="preserve"> the 2030 Agenda </w:t>
            </w:r>
            <w:r>
              <w:rPr>
                <w:rFonts w:ascii="Arial" w:hAnsi="Arial" w:cs="Arial"/>
                <w:sz w:val="22"/>
                <w:szCs w:val="22"/>
                <w:lang w:val="en-GB"/>
              </w:rPr>
              <w:t xml:space="preserve">for </w:t>
            </w:r>
            <w:r w:rsidRPr="0033405D">
              <w:rPr>
                <w:rFonts w:ascii="Arial" w:hAnsi="Arial" w:cs="Arial"/>
                <w:sz w:val="22"/>
                <w:szCs w:val="22"/>
                <w:lang w:val="en-GB"/>
              </w:rPr>
              <w:t xml:space="preserve">Sustainable Development and </w:t>
            </w:r>
            <w:r>
              <w:rPr>
                <w:rFonts w:ascii="Arial" w:hAnsi="Arial" w:cs="Arial"/>
                <w:sz w:val="22"/>
                <w:szCs w:val="22"/>
                <w:lang w:val="en-GB"/>
              </w:rPr>
              <w:t>was</w:t>
            </w:r>
            <w:r w:rsidRPr="0033405D">
              <w:rPr>
                <w:rFonts w:ascii="Arial" w:hAnsi="Arial" w:cs="Arial"/>
                <w:sz w:val="22"/>
                <w:szCs w:val="22"/>
                <w:lang w:val="en-GB"/>
              </w:rPr>
              <w:t xml:space="preserve"> made available in February 2016.</w:t>
            </w:r>
          </w:p>
          <w:p w14:paraId="3C8B5D5C"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A training unit on policy development (Unit 55) </w:t>
            </w:r>
            <w:r>
              <w:rPr>
                <w:rFonts w:ascii="Arial" w:hAnsi="Arial" w:cs="Arial"/>
                <w:sz w:val="22"/>
                <w:szCs w:val="22"/>
                <w:lang w:val="en-GB"/>
              </w:rPr>
              <w:t>was</w:t>
            </w:r>
            <w:r w:rsidRPr="0033405D">
              <w:rPr>
                <w:rFonts w:ascii="Arial" w:hAnsi="Arial" w:cs="Arial"/>
                <w:sz w:val="22"/>
                <w:szCs w:val="22"/>
                <w:lang w:val="en-GB"/>
              </w:rPr>
              <w:t xml:space="preserve"> prepared and made available in February 2016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0E9A1965" w14:textId="77777777" w:rsidTr="002232C8">
        <w:tc>
          <w:tcPr>
            <w:tcW w:w="14358" w:type="dxa"/>
            <w:gridSpan w:val="5"/>
            <w:shd w:val="clear" w:color="auto" w:fill="E6E6E6"/>
            <w:noWrap/>
            <w:tcMar>
              <w:top w:w="40" w:type="dxa"/>
              <w:left w:w="40" w:type="dxa"/>
              <w:bottom w:w="40" w:type="dxa"/>
              <w:right w:w="40" w:type="dxa"/>
            </w:tcMar>
          </w:tcPr>
          <w:p w14:paraId="3997C62A" w14:textId="77777777" w:rsidR="00381916" w:rsidRPr="0033405D" w:rsidRDefault="00381916" w:rsidP="002232C8">
            <w:pPr>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8: Promote the USL by re-positioning it as an expression of States Parties’ commitment to safeguarding and to the implementation of the Convention, and especially recognize those States Parties that submit nominations to the USL.</w:t>
            </w:r>
          </w:p>
        </w:tc>
      </w:tr>
      <w:tr w:rsidR="00381916" w:rsidRPr="00284E2B" w14:paraId="78A8BF51" w14:textId="77777777" w:rsidTr="002232C8">
        <w:tc>
          <w:tcPr>
            <w:tcW w:w="14358" w:type="dxa"/>
            <w:gridSpan w:val="5"/>
            <w:noWrap/>
            <w:tcMar>
              <w:top w:w="40" w:type="dxa"/>
              <w:left w:w="40" w:type="dxa"/>
              <w:bottom w:w="40" w:type="dxa"/>
              <w:right w:w="40" w:type="dxa"/>
            </w:tcMar>
          </w:tcPr>
          <w:p w14:paraId="48CCECE4" w14:textId="77777777" w:rsidR="00381916" w:rsidRPr="00427622" w:rsidRDefault="00381916" w:rsidP="002232C8">
            <w:pPr>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xml:space="preserve">: </w:t>
            </w:r>
            <w:r>
              <w:rPr>
                <w:rFonts w:ascii="Arial" w:hAnsi="Arial" w:cs="Arial"/>
                <w:sz w:val="22"/>
                <w:szCs w:val="22"/>
                <w:lang w:val="en-GB"/>
              </w:rPr>
              <w:t>The p</w:t>
            </w:r>
            <w:r w:rsidRPr="0033405D">
              <w:rPr>
                <w:rFonts w:ascii="Arial" w:hAnsi="Arial" w:cs="Arial"/>
                <w:sz w:val="22"/>
                <w:szCs w:val="22"/>
                <w:lang w:val="en-GB"/>
              </w:rPr>
              <w:t xml:space="preserve">ublication of </w:t>
            </w:r>
            <w:r>
              <w:rPr>
                <w:rFonts w:ascii="Arial" w:hAnsi="Arial" w:cs="Arial"/>
                <w:sz w:val="22"/>
                <w:szCs w:val="22"/>
                <w:lang w:val="en-GB"/>
              </w:rPr>
              <w:t xml:space="preserve">the </w:t>
            </w:r>
            <w:r w:rsidRPr="0033405D">
              <w:rPr>
                <w:rFonts w:ascii="Arial" w:hAnsi="Arial" w:cs="Arial"/>
                <w:sz w:val="22"/>
                <w:szCs w:val="22"/>
                <w:lang w:val="en-GB"/>
              </w:rPr>
              <w:t xml:space="preserve">digital version of </w:t>
            </w:r>
            <w:r>
              <w:rPr>
                <w:rFonts w:ascii="Arial" w:hAnsi="Arial" w:cs="Arial"/>
                <w:sz w:val="22"/>
                <w:szCs w:val="22"/>
                <w:lang w:val="en-GB"/>
              </w:rPr>
              <w:t xml:space="preserve">the </w:t>
            </w:r>
            <w:r w:rsidRPr="0033405D">
              <w:rPr>
                <w:rFonts w:ascii="Arial" w:hAnsi="Arial" w:cs="Arial"/>
                <w:sz w:val="22"/>
                <w:szCs w:val="22"/>
                <w:lang w:val="en-GB"/>
              </w:rPr>
              <w:t>USL is intended to put emphasis on its importance. All opportunities in communication, media, and speeches are seized in order to emphasi</w:t>
            </w:r>
            <w:r w:rsidRPr="00427622">
              <w:rPr>
                <w:rFonts w:ascii="Arial" w:hAnsi="Arial" w:cs="Arial"/>
                <w:sz w:val="22"/>
                <w:szCs w:val="22"/>
                <w:lang w:val="en-GB"/>
              </w:rPr>
              <w:t>ze its importance.</w:t>
            </w:r>
          </w:p>
        </w:tc>
      </w:tr>
      <w:tr w:rsidR="00381916" w:rsidRPr="00427622" w14:paraId="0332229C" w14:textId="77777777" w:rsidTr="002232C8">
        <w:tc>
          <w:tcPr>
            <w:tcW w:w="4717" w:type="dxa"/>
            <w:gridSpan w:val="2"/>
            <w:noWrap/>
            <w:tcMar>
              <w:top w:w="40" w:type="dxa"/>
              <w:left w:w="40" w:type="dxa"/>
              <w:bottom w:w="40" w:type="dxa"/>
              <w:right w:w="40" w:type="dxa"/>
            </w:tcMar>
          </w:tcPr>
          <w:p w14:paraId="7CC0741E"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7E33A01A"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D91F35E"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21FA8F1C" w14:textId="77777777" w:rsidTr="002232C8">
        <w:tc>
          <w:tcPr>
            <w:tcW w:w="4717" w:type="dxa"/>
            <w:gridSpan w:val="2"/>
            <w:noWrap/>
            <w:tcMar>
              <w:top w:w="40" w:type="dxa"/>
              <w:left w:w="40" w:type="dxa"/>
              <w:bottom w:w="40" w:type="dxa"/>
              <w:right w:w="40" w:type="dxa"/>
            </w:tcMar>
          </w:tcPr>
          <w:p w14:paraId="35667CC2" w14:textId="77777777" w:rsidR="00381916" w:rsidRPr="0033405D" w:rsidRDefault="00381916" w:rsidP="002232C8">
            <w:pPr>
              <w:pStyle w:val="Default"/>
              <w:spacing w:before="120" w:after="120"/>
              <w:ind w:left="113" w:right="57"/>
              <w:rPr>
                <w:sz w:val="22"/>
                <w:szCs w:val="22"/>
                <w:lang w:val="en-GB"/>
              </w:rPr>
            </w:pPr>
            <w:r w:rsidRPr="00427622">
              <w:rPr>
                <w:sz w:val="22"/>
                <w:szCs w:val="22"/>
                <w:lang w:val="en-GB"/>
              </w:rPr>
              <w:t xml:space="preserve">Stop the publication of </w:t>
            </w:r>
            <w:r>
              <w:rPr>
                <w:sz w:val="22"/>
                <w:szCs w:val="22"/>
                <w:lang w:val="en-GB"/>
              </w:rPr>
              <w:t xml:space="preserve">the </w:t>
            </w:r>
            <w:r w:rsidRPr="00427622">
              <w:rPr>
                <w:sz w:val="22"/>
                <w:szCs w:val="22"/>
                <w:lang w:val="en-GB"/>
              </w:rPr>
              <w:t xml:space="preserve">leaflet of yearly inscribed elements and publish Brochures only on </w:t>
            </w:r>
            <w:r>
              <w:rPr>
                <w:sz w:val="22"/>
                <w:szCs w:val="22"/>
                <w:lang w:val="en-GB"/>
              </w:rPr>
              <w:t>the USL</w:t>
            </w:r>
            <w:r w:rsidRPr="00427622">
              <w:rPr>
                <w:sz w:val="22"/>
                <w:szCs w:val="22"/>
                <w:lang w:val="en-GB"/>
              </w:rPr>
              <w:t xml:space="preserve"> and Best Safeguarding Practices.</w:t>
            </w:r>
          </w:p>
        </w:tc>
        <w:tc>
          <w:tcPr>
            <w:tcW w:w="1986" w:type="dxa"/>
            <w:gridSpan w:val="2"/>
            <w:noWrap/>
            <w:tcMar>
              <w:top w:w="40" w:type="dxa"/>
              <w:left w:w="40" w:type="dxa"/>
              <w:bottom w:w="40" w:type="dxa"/>
              <w:right w:w="40" w:type="dxa"/>
            </w:tcMar>
          </w:tcPr>
          <w:p w14:paraId="37CD0043" w14:textId="77777777" w:rsidR="00381916" w:rsidRPr="0033405D" w:rsidRDefault="00381916" w:rsidP="002232C8">
            <w:pPr>
              <w:spacing w:before="120" w:after="120"/>
              <w:ind w:left="57"/>
              <w:rPr>
                <w:rFonts w:ascii="Arial" w:hAnsi="Arial" w:cs="Arial"/>
                <w:sz w:val="22"/>
                <w:szCs w:val="22"/>
                <w:lang w:val="en-GB"/>
              </w:rPr>
            </w:pPr>
            <w:r w:rsidRPr="0033405D">
              <w:rPr>
                <w:rFonts w:ascii="Arial" w:hAnsi="Arial" w:cs="Arial"/>
                <w:sz w:val="22"/>
                <w:szCs w:val="22"/>
                <w:lang w:val="en-GB"/>
              </w:rPr>
              <w:t>Ongoing</w:t>
            </w:r>
          </w:p>
        </w:tc>
        <w:tc>
          <w:tcPr>
            <w:tcW w:w="7655" w:type="dxa"/>
            <w:noWrap/>
            <w:tcMar>
              <w:top w:w="40" w:type="dxa"/>
              <w:left w:w="40" w:type="dxa"/>
              <w:bottom w:w="40" w:type="dxa"/>
              <w:right w:w="40" w:type="dxa"/>
            </w:tcMar>
          </w:tcPr>
          <w:p w14:paraId="4E8FD664"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Pr>
                <w:rFonts w:ascii="Arial" w:hAnsi="Arial" w:cs="Arial"/>
                <w:sz w:val="22"/>
                <w:szCs w:val="22"/>
                <w:lang w:val="en-GB"/>
              </w:rPr>
              <w:t>The y</w:t>
            </w:r>
            <w:r w:rsidRPr="0033405D">
              <w:rPr>
                <w:rFonts w:ascii="Arial" w:hAnsi="Arial" w:cs="Arial"/>
                <w:sz w:val="22"/>
                <w:szCs w:val="22"/>
                <w:lang w:val="en-GB"/>
              </w:rPr>
              <w:t xml:space="preserve">early publication on inscribed elements has </w:t>
            </w:r>
            <w:r>
              <w:rPr>
                <w:rFonts w:ascii="Arial" w:hAnsi="Arial" w:cs="Arial"/>
                <w:sz w:val="22"/>
                <w:szCs w:val="22"/>
                <w:lang w:val="en-GB"/>
              </w:rPr>
              <w:t xml:space="preserve">been </w:t>
            </w:r>
            <w:r w:rsidRPr="0033405D">
              <w:rPr>
                <w:rFonts w:ascii="Arial" w:hAnsi="Arial" w:cs="Arial"/>
                <w:sz w:val="22"/>
                <w:szCs w:val="22"/>
                <w:lang w:val="en-GB"/>
              </w:rPr>
              <w:t>stopped.</w:t>
            </w:r>
          </w:p>
          <w:p w14:paraId="7F20A22D"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Pr>
                <w:rFonts w:ascii="Arial" w:hAnsi="Arial" w:cs="Arial"/>
                <w:sz w:val="22"/>
                <w:szCs w:val="22"/>
                <w:lang w:val="en-GB"/>
              </w:rPr>
              <w:t>The b</w:t>
            </w:r>
            <w:r w:rsidRPr="0033405D">
              <w:rPr>
                <w:rFonts w:ascii="Arial" w:hAnsi="Arial" w:cs="Arial"/>
                <w:sz w:val="22"/>
                <w:szCs w:val="22"/>
                <w:lang w:val="en-GB"/>
              </w:rPr>
              <w:t xml:space="preserve">rochures on </w:t>
            </w:r>
            <w:r>
              <w:rPr>
                <w:rFonts w:ascii="Arial" w:hAnsi="Arial" w:cs="Arial"/>
                <w:sz w:val="22"/>
                <w:szCs w:val="22"/>
                <w:lang w:val="en-GB"/>
              </w:rPr>
              <w:t xml:space="preserve">the </w:t>
            </w:r>
            <w:r w:rsidRPr="0033405D">
              <w:rPr>
                <w:rFonts w:ascii="Arial" w:hAnsi="Arial" w:cs="Arial"/>
                <w:sz w:val="22"/>
                <w:szCs w:val="22"/>
                <w:lang w:val="en-GB"/>
              </w:rPr>
              <w:t xml:space="preserve">USL and BSP for elements </w:t>
            </w:r>
            <w:r>
              <w:rPr>
                <w:rFonts w:ascii="Arial" w:hAnsi="Arial" w:cs="Arial"/>
                <w:sz w:val="22"/>
                <w:szCs w:val="22"/>
                <w:lang w:val="en-GB"/>
              </w:rPr>
              <w:t xml:space="preserve">inscribed </w:t>
            </w:r>
            <w:r w:rsidRPr="0033405D">
              <w:rPr>
                <w:rFonts w:ascii="Arial" w:hAnsi="Arial" w:cs="Arial"/>
                <w:sz w:val="22"/>
                <w:szCs w:val="22"/>
                <w:lang w:val="en-GB"/>
              </w:rPr>
              <w:t xml:space="preserve">and practices selected in 2012 and 2013 </w:t>
            </w:r>
            <w:r>
              <w:rPr>
                <w:rFonts w:ascii="Arial" w:hAnsi="Arial" w:cs="Arial"/>
                <w:sz w:val="22"/>
                <w:szCs w:val="22"/>
                <w:lang w:val="en-GB"/>
              </w:rPr>
              <w:t>were</w:t>
            </w:r>
            <w:r w:rsidRPr="0033405D">
              <w:rPr>
                <w:rFonts w:ascii="Arial" w:hAnsi="Arial" w:cs="Arial"/>
                <w:sz w:val="22"/>
                <w:szCs w:val="22"/>
                <w:lang w:val="en-GB"/>
              </w:rPr>
              <w:t xml:space="preserve"> published electronically in 2014. Electronic brochures on </w:t>
            </w:r>
            <w:r>
              <w:rPr>
                <w:rFonts w:ascii="Arial" w:hAnsi="Arial" w:cs="Arial"/>
                <w:sz w:val="22"/>
                <w:szCs w:val="22"/>
                <w:lang w:val="en-GB"/>
              </w:rPr>
              <w:t xml:space="preserve">the </w:t>
            </w:r>
            <w:r w:rsidRPr="0033405D">
              <w:rPr>
                <w:rFonts w:ascii="Arial" w:hAnsi="Arial" w:cs="Arial"/>
                <w:sz w:val="22"/>
                <w:szCs w:val="22"/>
                <w:lang w:val="en-GB"/>
              </w:rPr>
              <w:t>USL and BSP for elements and practices inscribed and selected in 2014 and 2015 are under preparation.</w:t>
            </w:r>
          </w:p>
        </w:tc>
      </w:tr>
      <w:tr w:rsidR="00381916" w:rsidRPr="00284E2B" w14:paraId="018DE486" w14:textId="77777777" w:rsidTr="002232C8">
        <w:tc>
          <w:tcPr>
            <w:tcW w:w="4717" w:type="dxa"/>
            <w:gridSpan w:val="2"/>
            <w:noWrap/>
            <w:tcMar>
              <w:top w:w="40" w:type="dxa"/>
              <w:left w:w="40" w:type="dxa"/>
              <w:bottom w:w="40" w:type="dxa"/>
              <w:right w:w="40" w:type="dxa"/>
            </w:tcMar>
          </w:tcPr>
          <w:p w14:paraId="2450FB44" w14:textId="77777777" w:rsidR="00381916" w:rsidRPr="00427622" w:rsidRDefault="00381916" w:rsidP="002232C8">
            <w:pPr>
              <w:spacing w:before="120" w:after="120"/>
              <w:ind w:left="113" w:right="57"/>
              <w:rPr>
                <w:rFonts w:ascii="Arial" w:hAnsi="Arial" w:cs="Arial"/>
                <w:sz w:val="22"/>
                <w:szCs w:val="22"/>
                <w:lang w:val="en-GB"/>
              </w:rPr>
            </w:pPr>
            <w:r>
              <w:rPr>
                <w:rFonts w:ascii="Arial" w:hAnsi="Arial" w:cs="Arial"/>
                <w:sz w:val="22"/>
                <w:szCs w:val="22"/>
                <w:lang w:val="en-US"/>
              </w:rPr>
              <w:t xml:space="preserve">Highlight the purpose of the </w:t>
            </w:r>
            <w:r w:rsidRPr="0033405D">
              <w:rPr>
                <w:rFonts w:ascii="Arial" w:hAnsi="Arial" w:cs="Arial"/>
                <w:sz w:val="22"/>
                <w:szCs w:val="22"/>
                <w:lang w:val="en-GB"/>
              </w:rPr>
              <w:t>USL, IA and RL in presentations, speeches, media interviews, media kit</w:t>
            </w:r>
            <w:r>
              <w:rPr>
                <w:rFonts w:ascii="Arial" w:hAnsi="Arial" w:cs="Arial"/>
                <w:sz w:val="22"/>
                <w:szCs w:val="22"/>
                <w:lang w:val="en-GB"/>
              </w:rPr>
              <w:t>s</w:t>
            </w:r>
            <w:r w:rsidRPr="0033405D">
              <w:rPr>
                <w:rFonts w:ascii="Arial" w:hAnsi="Arial" w:cs="Arial"/>
                <w:sz w:val="22"/>
                <w:szCs w:val="22"/>
                <w:lang w:val="en-GB"/>
              </w:rPr>
              <w:t>,</w:t>
            </w:r>
            <w:r w:rsidRPr="00427622">
              <w:rPr>
                <w:rFonts w:ascii="Arial" w:hAnsi="Arial" w:cs="Arial"/>
                <w:sz w:val="22"/>
                <w:szCs w:val="22"/>
                <w:lang w:val="en-GB"/>
              </w:rPr>
              <w:t xml:space="preserve"> training activities etc.</w:t>
            </w:r>
          </w:p>
        </w:tc>
        <w:tc>
          <w:tcPr>
            <w:tcW w:w="1986" w:type="dxa"/>
            <w:gridSpan w:val="2"/>
            <w:noWrap/>
            <w:tcMar>
              <w:top w:w="40" w:type="dxa"/>
              <w:left w:w="40" w:type="dxa"/>
              <w:bottom w:w="40" w:type="dxa"/>
              <w:right w:w="40" w:type="dxa"/>
            </w:tcMar>
          </w:tcPr>
          <w:p w14:paraId="51C42E3A" w14:textId="77777777" w:rsidR="00381916" w:rsidRPr="0033405D" w:rsidRDefault="00381916" w:rsidP="002232C8">
            <w:pPr>
              <w:spacing w:before="120" w:after="120"/>
              <w:ind w:left="57"/>
              <w:rPr>
                <w:rFonts w:ascii="Arial" w:hAnsi="Arial" w:cs="Arial"/>
                <w:sz w:val="22"/>
                <w:szCs w:val="22"/>
                <w:lang w:val="en-GB"/>
              </w:rPr>
            </w:pPr>
            <w:r w:rsidRPr="0033405D">
              <w:rPr>
                <w:rFonts w:ascii="Arial" w:hAnsi="Arial" w:cs="Arial"/>
                <w:sz w:val="22"/>
                <w:szCs w:val="22"/>
                <w:lang w:val="en-GB"/>
              </w:rPr>
              <w:t>Ongoing</w:t>
            </w:r>
          </w:p>
        </w:tc>
        <w:tc>
          <w:tcPr>
            <w:tcW w:w="7655" w:type="dxa"/>
            <w:noWrap/>
            <w:tcMar>
              <w:top w:w="40" w:type="dxa"/>
              <w:left w:w="40" w:type="dxa"/>
              <w:bottom w:w="40" w:type="dxa"/>
              <w:right w:w="40" w:type="dxa"/>
            </w:tcMar>
          </w:tcPr>
          <w:p w14:paraId="6E2E4EB2"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The purpose of </w:t>
            </w:r>
            <w:r>
              <w:rPr>
                <w:rFonts w:ascii="Arial" w:hAnsi="Arial" w:cs="Arial"/>
                <w:sz w:val="22"/>
                <w:szCs w:val="22"/>
                <w:lang w:val="en-GB"/>
              </w:rPr>
              <w:t xml:space="preserve">the </w:t>
            </w:r>
            <w:r w:rsidRPr="0033405D">
              <w:rPr>
                <w:rFonts w:ascii="Arial" w:hAnsi="Arial" w:cs="Arial"/>
                <w:sz w:val="22"/>
                <w:szCs w:val="22"/>
                <w:lang w:val="en-GB"/>
              </w:rPr>
              <w:t xml:space="preserve">USL, IA and RL is highlighted in </w:t>
            </w:r>
            <w:r>
              <w:rPr>
                <w:rFonts w:ascii="Arial" w:hAnsi="Arial" w:cs="Arial"/>
                <w:sz w:val="22"/>
                <w:szCs w:val="22"/>
                <w:lang w:val="en-GB"/>
              </w:rPr>
              <w:t xml:space="preserve">the current version of the relevant </w:t>
            </w:r>
            <w:r w:rsidRPr="0033405D">
              <w:rPr>
                <w:rFonts w:ascii="Arial" w:hAnsi="Arial" w:cs="Arial"/>
                <w:sz w:val="22"/>
                <w:szCs w:val="22"/>
                <w:lang w:val="en-GB"/>
              </w:rPr>
              <w:t>training materials, presentations, speeches, etc.</w:t>
            </w:r>
          </w:p>
        </w:tc>
      </w:tr>
      <w:tr w:rsidR="00381916" w:rsidRPr="00284E2B" w14:paraId="6AB4ED33" w14:textId="77777777" w:rsidTr="002232C8">
        <w:tc>
          <w:tcPr>
            <w:tcW w:w="14358" w:type="dxa"/>
            <w:gridSpan w:val="5"/>
            <w:shd w:val="clear" w:color="auto" w:fill="E6E6E6"/>
            <w:noWrap/>
            <w:tcMar>
              <w:top w:w="40" w:type="dxa"/>
              <w:left w:w="40" w:type="dxa"/>
              <w:bottom w:w="40" w:type="dxa"/>
              <w:right w:w="40" w:type="dxa"/>
            </w:tcMar>
          </w:tcPr>
          <w:p w14:paraId="3B84A4D9" w14:textId="77777777" w:rsidR="00381916" w:rsidRPr="0033405D" w:rsidRDefault="00381916" w:rsidP="002232C8">
            <w:pPr>
              <w:pageBreakBefore/>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lastRenderedPageBreak/>
              <w:t>Recommendation 9: Clarify to States Parties and other stakeholders all misconceptions regarding the purpose and use of the Representative List.</w:t>
            </w:r>
          </w:p>
        </w:tc>
      </w:tr>
      <w:tr w:rsidR="00381916" w:rsidRPr="00427622" w14:paraId="2F07AC1E" w14:textId="77777777" w:rsidTr="002232C8">
        <w:tc>
          <w:tcPr>
            <w:tcW w:w="14358" w:type="dxa"/>
            <w:gridSpan w:val="5"/>
            <w:noWrap/>
            <w:tcMar>
              <w:top w:w="40" w:type="dxa"/>
              <w:left w:w="40" w:type="dxa"/>
              <w:bottom w:w="40" w:type="dxa"/>
              <w:right w:w="40" w:type="dxa"/>
            </w:tcMar>
          </w:tcPr>
          <w:p w14:paraId="39FCB710" w14:textId="77777777" w:rsidR="00381916" w:rsidRPr="00BB6E41" w:rsidRDefault="00381916" w:rsidP="002232C8">
            <w:pPr>
              <w:spacing w:before="120" w:after="120"/>
              <w:ind w:left="113" w:right="113"/>
              <w:jc w:val="both"/>
              <w:rPr>
                <w:rFonts w:ascii="Arial" w:eastAsia="Malgun Gothic" w:hAnsi="Arial" w:cs="Arial"/>
                <w:sz w:val="22"/>
                <w:szCs w:val="22"/>
                <w:lang w:val="en-GB" w:eastAsia="ko-KR"/>
              </w:rPr>
            </w:pPr>
            <w:r w:rsidRPr="0033405D">
              <w:rPr>
                <w:rFonts w:ascii="Arial" w:hAnsi="Arial" w:cs="Arial"/>
                <w:b/>
                <w:sz w:val="22"/>
                <w:szCs w:val="22"/>
                <w:lang w:val="en-GB"/>
              </w:rPr>
              <w:t>Management Response</w:t>
            </w:r>
            <w:r w:rsidRPr="0033405D">
              <w:rPr>
                <w:rFonts w:ascii="Arial" w:hAnsi="Arial" w:cs="Arial"/>
                <w:sz w:val="22"/>
                <w:szCs w:val="22"/>
                <w:lang w:val="en-GB"/>
              </w:rPr>
              <w:t>: All opportunities in communication, media, and speeches are seized in order to emphasi</w:t>
            </w:r>
            <w:r w:rsidRPr="00427622">
              <w:rPr>
                <w:rFonts w:ascii="Arial" w:hAnsi="Arial" w:cs="Arial"/>
                <w:sz w:val="22"/>
                <w:szCs w:val="22"/>
                <w:lang w:val="en-GB"/>
              </w:rPr>
              <w:t>ze the purpose and use of the Representative List. Capacity-building materi</w:t>
            </w:r>
            <w:r>
              <w:rPr>
                <w:rFonts w:ascii="Arial" w:hAnsi="Arial" w:cs="Arial"/>
                <w:sz w:val="22"/>
                <w:szCs w:val="22"/>
                <w:lang w:val="en-GB"/>
              </w:rPr>
              <w:t>als also underline this aspect.</w:t>
            </w:r>
          </w:p>
        </w:tc>
      </w:tr>
      <w:tr w:rsidR="00381916" w:rsidRPr="00427622" w14:paraId="6C39AC9A" w14:textId="77777777" w:rsidTr="002232C8">
        <w:trPr>
          <w:trHeight w:val="536"/>
        </w:trPr>
        <w:tc>
          <w:tcPr>
            <w:tcW w:w="4717" w:type="dxa"/>
            <w:gridSpan w:val="2"/>
            <w:noWrap/>
            <w:tcMar>
              <w:top w:w="40" w:type="dxa"/>
              <w:left w:w="40" w:type="dxa"/>
              <w:bottom w:w="40" w:type="dxa"/>
              <w:right w:w="40" w:type="dxa"/>
            </w:tcMar>
          </w:tcPr>
          <w:p w14:paraId="5462C36E"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6BF02634"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76F69186"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2CE43360" w14:textId="77777777" w:rsidTr="002232C8">
        <w:tc>
          <w:tcPr>
            <w:tcW w:w="4717" w:type="dxa"/>
            <w:gridSpan w:val="2"/>
            <w:noWrap/>
            <w:tcMar>
              <w:top w:w="40" w:type="dxa"/>
              <w:left w:w="40" w:type="dxa"/>
              <w:bottom w:w="40" w:type="dxa"/>
              <w:right w:w="40" w:type="dxa"/>
            </w:tcMar>
          </w:tcPr>
          <w:p w14:paraId="7B9F7193" w14:textId="77777777" w:rsidR="00381916" w:rsidRPr="0033405D" w:rsidRDefault="00381916" w:rsidP="002232C8">
            <w:pPr>
              <w:spacing w:before="120" w:after="120"/>
              <w:ind w:left="113" w:right="57"/>
              <w:rPr>
                <w:rFonts w:ascii="Arial" w:hAnsi="Arial" w:cs="Arial"/>
                <w:sz w:val="22"/>
                <w:szCs w:val="22"/>
                <w:lang w:val="en-GB"/>
              </w:rPr>
            </w:pPr>
            <w:r w:rsidRPr="00427622">
              <w:rPr>
                <w:rFonts w:ascii="Arial" w:hAnsi="Arial" w:cs="Arial"/>
                <w:sz w:val="22"/>
                <w:szCs w:val="22"/>
                <w:lang w:val="en-GB"/>
              </w:rPr>
              <w:t xml:space="preserve">Highlight </w:t>
            </w:r>
            <w:r>
              <w:rPr>
                <w:rFonts w:ascii="Arial" w:hAnsi="Arial" w:cs="Arial"/>
                <w:sz w:val="22"/>
                <w:szCs w:val="22"/>
                <w:lang w:val="en-GB"/>
              </w:rPr>
              <w:t xml:space="preserve">the purpose of the </w:t>
            </w:r>
            <w:r w:rsidRPr="00427622">
              <w:rPr>
                <w:rFonts w:ascii="Arial" w:hAnsi="Arial" w:cs="Arial"/>
                <w:sz w:val="22"/>
                <w:szCs w:val="22"/>
                <w:lang w:val="en-GB"/>
              </w:rPr>
              <w:t>USL, IA and RL in presentations, speeches, media interviews, media kit</w:t>
            </w:r>
            <w:r>
              <w:rPr>
                <w:rFonts w:ascii="Arial" w:hAnsi="Arial" w:cs="Arial"/>
                <w:sz w:val="22"/>
                <w:szCs w:val="22"/>
                <w:lang w:val="en-GB"/>
              </w:rPr>
              <w:t>s</w:t>
            </w:r>
            <w:r w:rsidRPr="00427622">
              <w:rPr>
                <w:rFonts w:ascii="Arial" w:hAnsi="Arial" w:cs="Arial"/>
                <w:sz w:val="22"/>
                <w:szCs w:val="22"/>
                <w:lang w:val="en-GB"/>
              </w:rPr>
              <w:t>, training activities etc.</w:t>
            </w:r>
          </w:p>
        </w:tc>
        <w:tc>
          <w:tcPr>
            <w:tcW w:w="1986" w:type="dxa"/>
            <w:gridSpan w:val="2"/>
            <w:noWrap/>
            <w:tcMar>
              <w:top w:w="40" w:type="dxa"/>
              <w:left w:w="40" w:type="dxa"/>
              <w:bottom w:w="40" w:type="dxa"/>
              <w:right w:w="40" w:type="dxa"/>
            </w:tcMar>
          </w:tcPr>
          <w:p w14:paraId="2ED50851" w14:textId="77777777" w:rsidR="00381916" w:rsidRPr="0033405D" w:rsidRDefault="00381916" w:rsidP="002232C8">
            <w:pPr>
              <w:spacing w:before="120" w:after="120"/>
              <w:ind w:left="57"/>
              <w:rPr>
                <w:rFonts w:ascii="Arial" w:hAnsi="Arial" w:cs="Arial"/>
                <w:sz w:val="22"/>
                <w:szCs w:val="22"/>
                <w:lang w:val="en-GB"/>
              </w:rPr>
            </w:pPr>
            <w:r w:rsidRPr="0033405D">
              <w:rPr>
                <w:rFonts w:ascii="Arial" w:hAnsi="Arial" w:cs="Arial"/>
                <w:sz w:val="22"/>
                <w:szCs w:val="22"/>
                <w:lang w:val="en-GB"/>
              </w:rPr>
              <w:t>Ongoing</w:t>
            </w:r>
          </w:p>
        </w:tc>
        <w:tc>
          <w:tcPr>
            <w:tcW w:w="7655" w:type="dxa"/>
            <w:noWrap/>
            <w:tcMar>
              <w:top w:w="40" w:type="dxa"/>
              <w:left w:w="40" w:type="dxa"/>
              <w:bottom w:w="40" w:type="dxa"/>
              <w:right w:w="40" w:type="dxa"/>
            </w:tcMar>
          </w:tcPr>
          <w:p w14:paraId="3DACE544"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The purpose of </w:t>
            </w:r>
            <w:r>
              <w:rPr>
                <w:rFonts w:ascii="Arial" w:hAnsi="Arial" w:cs="Arial"/>
                <w:sz w:val="22"/>
                <w:szCs w:val="22"/>
                <w:lang w:val="en-GB"/>
              </w:rPr>
              <w:t xml:space="preserve">the </w:t>
            </w:r>
            <w:r w:rsidRPr="0033405D">
              <w:rPr>
                <w:rFonts w:ascii="Arial" w:hAnsi="Arial" w:cs="Arial"/>
                <w:sz w:val="22"/>
                <w:szCs w:val="22"/>
                <w:lang w:val="en-GB"/>
              </w:rPr>
              <w:t>USL, IA and RL is highlighted in</w:t>
            </w:r>
            <w:r>
              <w:rPr>
                <w:rFonts w:ascii="Arial" w:hAnsi="Arial" w:cs="Arial"/>
                <w:sz w:val="22"/>
                <w:szCs w:val="22"/>
                <w:lang w:val="en-GB"/>
              </w:rPr>
              <w:t xml:space="preserve"> the current version of the</w:t>
            </w:r>
            <w:r w:rsidRPr="0033405D">
              <w:rPr>
                <w:rFonts w:ascii="Arial" w:hAnsi="Arial" w:cs="Arial"/>
                <w:sz w:val="22"/>
                <w:szCs w:val="22"/>
                <w:lang w:val="en-GB"/>
              </w:rPr>
              <w:t xml:space="preserve"> </w:t>
            </w:r>
            <w:r>
              <w:rPr>
                <w:rFonts w:ascii="Arial" w:hAnsi="Arial" w:cs="Arial"/>
                <w:sz w:val="22"/>
                <w:szCs w:val="22"/>
                <w:lang w:val="en-GB"/>
              </w:rPr>
              <w:t xml:space="preserve">relevant </w:t>
            </w:r>
            <w:r w:rsidRPr="0033405D">
              <w:rPr>
                <w:rFonts w:ascii="Arial" w:hAnsi="Arial" w:cs="Arial"/>
                <w:sz w:val="22"/>
                <w:szCs w:val="22"/>
                <w:lang w:val="en-GB"/>
              </w:rPr>
              <w:t>training materials, presentations, speeches, media interviews, media kit</w:t>
            </w:r>
            <w:r>
              <w:rPr>
                <w:rFonts w:ascii="Arial" w:hAnsi="Arial" w:cs="Arial"/>
                <w:sz w:val="22"/>
                <w:szCs w:val="22"/>
                <w:lang w:val="en-GB"/>
              </w:rPr>
              <w:t>s</w:t>
            </w:r>
            <w:r w:rsidRPr="0033405D">
              <w:rPr>
                <w:rFonts w:ascii="Arial" w:hAnsi="Arial" w:cs="Arial"/>
                <w:sz w:val="22"/>
                <w:szCs w:val="22"/>
                <w:lang w:val="en-GB"/>
              </w:rPr>
              <w:t>, etc.</w:t>
            </w:r>
          </w:p>
        </w:tc>
      </w:tr>
      <w:tr w:rsidR="00381916" w:rsidRPr="00284E2B" w14:paraId="44B6D5EE" w14:textId="77777777" w:rsidTr="002232C8">
        <w:tc>
          <w:tcPr>
            <w:tcW w:w="14358" w:type="dxa"/>
            <w:gridSpan w:val="5"/>
            <w:shd w:val="clear" w:color="auto" w:fill="E6E6E6"/>
            <w:noWrap/>
            <w:tcMar>
              <w:top w:w="40" w:type="dxa"/>
              <w:left w:w="40" w:type="dxa"/>
              <w:bottom w:w="40" w:type="dxa"/>
              <w:right w:w="40" w:type="dxa"/>
            </w:tcMar>
          </w:tcPr>
          <w:p w14:paraId="4993C344" w14:textId="77777777" w:rsidR="00381916" w:rsidRPr="00427622" w:rsidRDefault="00381916" w:rsidP="002232C8">
            <w:pPr>
              <w:tabs>
                <w:tab w:val="left" w:pos="2640"/>
              </w:tabs>
              <w:spacing w:before="80" w:after="60"/>
              <w:ind w:left="113" w:right="113"/>
              <w:jc w:val="both"/>
              <w:rPr>
                <w:rFonts w:ascii="Arial" w:hAnsi="Arial" w:cs="Arial"/>
                <w:b/>
                <w:sz w:val="22"/>
                <w:szCs w:val="22"/>
                <w:lang w:val="en-GB"/>
              </w:rPr>
            </w:pPr>
            <w:r w:rsidRPr="00427622">
              <w:rPr>
                <w:rFonts w:ascii="Arial" w:hAnsi="Arial" w:cs="Arial"/>
                <w:b/>
                <w:sz w:val="22"/>
                <w:szCs w:val="22"/>
                <w:lang w:val="en-GB"/>
              </w:rPr>
              <w:t xml:space="preserve">Recommendation 10: Ensure that </w:t>
            </w:r>
            <w:r>
              <w:rPr>
                <w:rFonts w:ascii="Arial" w:hAnsi="Arial" w:cs="Arial"/>
                <w:b/>
                <w:sz w:val="22"/>
                <w:szCs w:val="22"/>
                <w:lang w:val="en-GB"/>
              </w:rPr>
              <w:t xml:space="preserve">the </w:t>
            </w:r>
            <w:r w:rsidRPr="00427622">
              <w:rPr>
                <w:rFonts w:ascii="Arial" w:hAnsi="Arial" w:cs="Arial"/>
                <w:b/>
                <w:sz w:val="22"/>
                <w:szCs w:val="22"/>
                <w:lang w:val="en-GB"/>
              </w:rPr>
              <w:t xml:space="preserve">inscription of elements </w:t>
            </w:r>
            <w:r>
              <w:rPr>
                <w:rFonts w:ascii="Arial" w:hAnsi="Arial" w:cs="Arial"/>
                <w:b/>
                <w:sz w:val="22"/>
                <w:szCs w:val="22"/>
                <w:lang w:val="en-GB"/>
              </w:rPr>
              <w:t>on</w:t>
            </w:r>
            <w:r w:rsidRPr="00427622">
              <w:rPr>
                <w:rFonts w:ascii="Arial" w:hAnsi="Arial" w:cs="Arial"/>
                <w:b/>
                <w:sz w:val="22"/>
                <w:szCs w:val="22"/>
                <w:lang w:val="en-GB"/>
              </w:rPr>
              <w:t xml:space="preserve"> the Representative List reflect more closely the criteria and procedures specified in Chapter I.2 of the Convention’s Operational Guidelines.</w:t>
            </w:r>
          </w:p>
        </w:tc>
      </w:tr>
      <w:tr w:rsidR="00381916" w:rsidRPr="00284E2B" w14:paraId="070224F6" w14:textId="77777777" w:rsidTr="002232C8">
        <w:tc>
          <w:tcPr>
            <w:tcW w:w="14358" w:type="dxa"/>
            <w:gridSpan w:val="5"/>
            <w:noWrap/>
            <w:tcMar>
              <w:top w:w="40" w:type="dxa"/>
              <w:left w:w="40" w:type="dxa"/>
              <w:bottom w:w="40" w:type="dxa"/>
              <w:right w:w="40" w:type="dxa"/>
            </w:tcMar>
          </w:tcPr>
          <w:p w14:paraId="3539D737" w14:textId="77777777" w:rsidR="00381916" w:rsidRPr="00427622" w:rsidRDefault="00381916" w:rsidP="002232C8">
            <w:pPr>
              <w:spacing w:before="120" w:after="60"/>
              <w:ind w:left="113" w:right="113"/>
              <w:jc w:val="both"/>
              <w:rPr>
                <w:rFonts w:ascii="Arial" w:hAnsi="Arial" w:cs="Arial"/>
                <w:sz w:val="22"/>
                <w:szCs w:val="22"/>
                <w:lang w:val="en-GB"/>
              </w:rPr>
            </w:pPr>
            <w:r w:rsidRPr="00427622">
              <w:rPr>
                <w:rFonts w:ascii="Arial" w:hAnsi="Arial" w:cs="Arial"/>
                <w:b/>
                <w:sz w:val="22"/>
                <w:szCs w:val="22"/>
                <w:lang w:val="en-GB"/>
              </w:rPr>
              <w:t>Management Response</w:t>
            </w:r>
            <w:r w:rsidRPr="00427622">
              <w:rPr>
                <w:rFonts w:ascii="Arial" w:hAnsi="Arial" w:cs="Arial"/>
                <w:sz w:val="22"/>
                <w:szCs w:val="22"/>
                <w:lang w:val="en-GB"/>
              </w:rPr>
              <w:t xml:space="preserve">: To be applied by the Committee and its Evaluation Body; </w:t>
            </w:r>
            <w:r>
              <w:rPr>
                <w:rFonts w:ascii="Arial" w:hAnsi="Arial" w:cs="Arial"/>
                <w:sz w:val="22"/>
                <w:szCs w:val="22"/>
                <w:lang w:val="en-GB"/>
              </w:rPr>
              <w:t xml:space="preserve">the </w:t>
            </w:r>
            <w:r w:rsidRPr="00427622">
              <w:rPr>
                <w:rFonts w:ascii="Arial" w:hAnsi="Arial" w:cs="Arial"/>
                <w:sz w:val="22"/>
                <w:szCs w:val="22"/>
                <w:lang w:val="en-GB"/>
              </w:rPr>
              <w:t>Secretariat includes this point in training sessions for</w:t>
            </w:r>
            <w:r>
              <w:rPr>
                <w:rFonts w:ascii="Arial" w:hAnsi="Arial" w:cs="Arial"/>
                <w:sz w:val="22"/>
                <w:szCs w:val="22"/>
                <w:lang w:val="en-GB"/>
              </w:rPr>
              <w:t xml:space="preserve"> the</w:t>
            </w:r>
            <w:r w:rsidRPr="00427622">
              <w:rPr>
                <w:rFonts w:ascii="Arial" w:hAnsi="Arial" w:cs="Arial"/>
                <w:sz w:val="22"/>
                <w:szCs w:val="22"/>
                <w:lang w:val="en-GB"/>
              </w:rPr>
              <w:t xml:space="preserve"> Evaluation Body.</w:t>
            </w:r>
          </w:p>
        </w:tc>
      </w:tr>
      <w:tr w:rsidR="00381916" w:rsidRPr="00427622" w14:paraId="6496A6E1" w14:textId="77777777" w:rsidTr="002232C8">
        <w:trPr>
          <w:trHeight w:val="586"/>
        </w:trPr>
        <w:tc>
          <w:tcPr>
            <w:tcW w:w="4717" w:type="dxa"/>
            <w:gridSpan w:val="2"/>
            <w:tcBorders>
              <w:bottom w:val="single" w:sz="4" w:space="0" w:color="auto"/>
            </w:tcBorders>
            <w:noWrap/>
            <w:tcMar>
              <w:top w:w="40" w:type="dxa"/>
              <w:left w:w="40" w:type="dxa"/>
              <w:bottom w:w="40" w:type="dxa"/>
              <w:right w:w="40" w:type="dxa"/>
            </w:tcMar>
          </w:tcPr>
          <w:p w14:paraId="7850ABE2" w14:textId="77777777" w:rsidR="00381916" w:rsidRPr="00427622" w:rsidRDefault="00381916" w:rsidP="002232C8">
            <w:pPr>
              <w:spacing w:before="80" w:after="80"/>
              <w:ind w:left="113"/>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49DEF7FC" w14:textId="77777777" w:rsidR="00381916" w:rsidRPr="00427622" w:rsidRDefault="00381916" w:rsidP="002232C8">
            <w:pPr>
              <w:spacing w:before="120" w:after="120"/>
              <w:jc w:val="center"/>
              <w:rPr>
                <w:rFonts w:ascii="Arial" w:hAnsi="Arial" w:cs="Arial"/>
                <w:b/>
                <w:bCs/>
                <w:i/>
                <w:iCs/>
                <w:sz w:val="22"/>
                <w:szCs w:val="22"/>
                <w:lang w:val="en-GB"/>
              </w:rPr>
            </w:pPr>
            <w:r w:rsidRPr="00427622">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09DC5432" w14:textId="77777777" w:rsidR="00381916" w:rsidRPr="00427622" w:rsidRDefault="00381916" w:rsidP="002232C8">
            <w:pPr>
              <w:spacing w:before="80" w:after="80"/>
              <w:ind w:left="113"/>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2F2DF0E7" w14:textId="77777777" w:rsidTr="002232C8">
        <w:tc>
          <w:tcPr>
            <w:tcW w:w="4717" w:type="dxa"/>
            <w:gridSpan w:val="2"/>
            <w:shd w:val="clear" w:color="auto" w:fill="FFFFFF" w:themeFill="background1"/>
            <w:noWrap/>
            <w:tcMar>
              <w:top w:w="40" w:type="dxa"/>
              <w:left w:w="40" w:type="dxa"/>
              <w:bottom w:w="40" w:type="dxa"/>
              <w:right w:w="40" w:type="dxa"/>
            </w:tcMar>
          </w:tcPr>
          <w:p w14:paraId="028CDFBB" w14:textId="77777777" w:rsidR="00381916" w:rsidRPr="00427622" w:rsidRDefault="00381916" w:rsidP="002232C8">
            <w:pPr>
              <w:pStyle w:val="Default"/>
              <w:spacing w:before="80" w:after="80"/>
              <w:ind w:left="113" w:right="57"/>
              <w:rPr>
                <w:sz w:val="22"/>
                <w:szCs w:val="22"/>
                <w:lang w:val="en-GB"/>
              </w:rPr>
            </w:pPr>
            <w:r w:rsidRPr="00427622">
              <w:rPr>
                <w:sz w:val="22"/>
                <w:szCs w:val="22"/>
                <w:lang w:val="en-GB"/>
              </w:rPr>
              <w:t xml:space="preserve">Prepare </w:t>
            </w:r>
            <w:r>
              <w:rPr>
                <w:sz w:val="22"/>
                <w:szCs w:val="22"/>
                <w:lang w:val="en-GB"/>
              </w:rPr>
              <w:t xml:space="preserve">an </w:t>
            </w:r>
            <w:r w:rsidRPr="00427622">
              <w:rPr>
                <w:sz w:val="22"/>
                <w:szCs w:val="22"/>
                <w:lang w:val="en-GB"/>
              </w:rPr>
              <w:t xml:space="preserve">evaluation of the implementation of previous decisions of the Committee in connection with the inscription of elements, </w:t>
            </w:r>
            <w:r>
              <w:rPr>
                <w:sz w:val="22"/>
                <w:szCs w:val="22"/>
                <w:lang w:val="en-GB"/>
              </w:rPr>
              <w:t xml:space="preserve">the </w:t>
            </w:r>
            <w:r w:rsidRPr="00427622">
              <w:rPr>
                <w:sz w:val="22"/>
                <w:szCs w:val="22"/>
                <w:lang w:val="en-GB"/>
              </w:rPr>
              <w:t xml:space="preserve">selection of proposals to the Register of Best Safeguarding Practices and </w:t>
            </w:r>
            <w:r>
              <w:rPr>
                <w:sz w:val="22"/>
                <w:szCs w:val="22"/>
                <w:lang w:val="en-GB"/>
              </w:rPr>
              <w:t xml:space="preserve">the </w:t>
            </w:r>
            <w:r w:rsidRPr="00427622">
              <w:rPr>
                <w:sz w:val="22"/>
                <w:szCs w:val="22"/>
                <w:lang w:val="en-GB"/>
              </w:rPr>
              <w:t>approval of requests for International Assistance.</w:t>
            </w:r>
          </w:p>
        </w:tc>
        <w:tc>
          <w:tcPr>
            <w:tcW w:w="1986" w:type="dxa"/>
            <w:gridSpan w:val="2"/>
            <w:shd w:val="clear" w:color="auto" w:fill="FFFFFF" w:themeFill="background1"/>
            <w:noWrap/>
            <w:tcMar>
              <w:top w:w="40" w:type="dxa"/>
              <w:left w:w="40" w:type="dxa"/>
              <w:bottom w:w="40" w:type="dxa"/>
              <w:right w:w="40" w:type="dxa"/>
            </w:tcMar>
          </w:tcPr>
          <w:p w14:paraId="716FC22D" w14:textId="77777777" w:rsidR="00381916" w:rsidRPr="00427622" w:rsidRDefault="00381916" w:rsidP="002232C8">
            <w:pPr>
              <w:spacing w:before="80" w:after="80"/>
              <w:ind w:left="57"/>
              <w:rPr>
                <w:rFonts w:ascii="Arial" w:hAnsi="Arial" w:cs="Arial"/>
                <w:sz w:val="22"/>
                <w:szCs w:val="22"/>
                <w:lang w:val="en-GB"/>
              </w:rPr>
            </w:pPr>
            <w:r w:rsidRPr="00427622">
              <w:rPr>
                <w:rFonts w:ascii="Arial" w:hAnsi="Arial" w:cs="Arial"/>
                <w:sz w:val="22"/>
                <w:szCs w:val="22"/>
                <w:lang w:val="en-GB"/>
              </w:rPr>
              <w:t>December 2014</w:t>
            </w:r>
          </w:p>
        </w:tc>
        <w:tc>
          <w:tcPr>
            <w:tcW w:w="7655" w:type="dxa"/>
            <w:shd w:val="clear" w:color="auto" w:fill="FFFFFF" w:themeFill="background1"/>
            <w:noWrap/>
            <w:tcMar>
              <w:top w:w="40" w:type="dxa"/>
              <w:left w:w="40" w:type="dxa"/>
              <w:bottom w:w="40" w:type="dxa"/>
              <w:right w:w="40" w:type="dxa"/>
            </w:tcMar>
          </w:tcPr>
          <w:p w14:paraId="67792FDC" w14:textId="73E1CA57" w:rsidR="00381916" w:rsidRPr="00427622" w:rsidRDefault="00381916" w:rsidP="002232C8">
            <w:pPr>
              <w:pStyle w:val="ListParagraph"/>
              <w:numPr>
                <w:ilvl w:val="0"/>
                <w:numId w:val="9"/>
              </w:numPr>
              <w:spacing w:before="80" w:beforeAutospacing="0" w:after="80" w:afterAutospacing="0"/>
              <w:ind w:left="470" w:hanging="357"/>
              <w:contextualSpacing/>
              <w:rPr>
                <w:rFonts w:ascii="Arial" w:hAnsi="Arial" w:cs="Arial"/>
                <w:sz w:val="22"/>
                <w:szCs w:val="22"/>
                <w:lang w:val="en-GB"/>
              </w:rPr>
            </w:pPr>
            <w:r w:rsidRPr="0033405D">
              <w:rPr>
                <w:rFonts w:ascii="Arial" w:hAnsi="Arial" w:cs="Arial"/>
                <w:sz w:val="22"/>
                <w:szCs w:val="22"/>
                <w:lang w:val="en-GB"/>
              </w:rPr>
              <w:t>The Secretariat prepared the evaluation and presented it as a working document for examination by the Committee at its ninth session (</w:t>
            </w:r>
            <w:r w:rsidRPr="00C81C86">
              <w:rPr>
                <w:rFonts w:ascii="Arial" w:hAnsi="Arial" w:cs="Arial"/>
                <w:sz w:val="22"/>
                <w:szCs w:val="22"/>
                <w:lang w:val="en-GB"/>
              </w:rPr>
              <w:t>Document </w:t>
            </w:r>
            <w:hyperlink r:id="rId35" w:history="1">
              <w:r w:rsidRPr="00C81C86">
                <w:rPr>
                  <w:rStyle w:val="Hyperlink"/>
                  <w:rFonts w:ascii="Arial" w:hAnsi="Arial" w:cs="Arial"/>
                  <w:sz w:val="22"/>
                  <w:szCs w:val="22"/>
                  <w:lang w:val="en-GB"/>
                </w:rPr>
                <w:t>ITH/14/9.COM/13.d</w:t>
              </w:r>
            </w:hyperlink>
            <w:r w:rsidRPr="00C81C86">
              <w:rPr>
                <w:rStyle w:val="Hyperlink"/>
                <w:rFonts w:ascii="Arial" w:hAnsi="Arial" w:cs="Arial"/>
                <w:color w:val="auto"/>
                <w:sz w:val="22"/>
                <w:szCs w:val="22"/>
                <w:u w:val="none"/>
                <w:lang w:val="en-GB"/>
              </w:rPr>
              <w:t>)</w:t>
            </w:r>
            <w:r w:rsidRPr="00427622">
              <w:rPr>
                <w:rFonts w:ascii="Arial" w:hAnsi="Arial" w:cs="Arial"/>
                <w:sz w:val="22"/>
                <w:szCs w:val="22"/>
                <w:lang w:val="en-GB"/>
              </w:rPr>
              <w:t xml:space="preserve">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0F184861" w14:textId="77777777" w:rsidTr="002232C8">
        <w:tc>
          <w:tcPr>
            <w:tcW w:w="4717" w:type="dxa"/>
            <w:gridSpan w:val="2"/>
            <w:noWrap/>
            <w:tcMar>
              <w:top w:w="40" w:type="dxa"/>
              <w:left w:w="40" w:type="dxa"/>
              <w:bottom w:w="40" w:type="dxa"/>
              <w:right w:w="40" w:type="dxa"/>
            </w:tcMar>
          </w:tcPr>
          <w:p w14:paraId="107F8990" w14:textId="77777777" w:rsidR="00381916" w:rsidRPr="00BB6E41" w:rsidRDefault="00381916" w:rsidP="002232C8">
            <w:pPr>
              <w:pStyle w:val="Default"/>
              <w:spacing w:before="80" w:after="80"/>
              <w:ind w:left="113" w:right="57"/>
              <w:rPr>
                <w:rFonts w:eastAsia="Malgun Gothic"/>
                <w:sz w:val="22"/>
                <w:szCs w:val="22"/>
                <w:lang w:val="en-GB" w:eastAsia="ko-KR"/>
              </w:rPr>
            </w:pPr>
            <w:r w:rsidRPr="00427622">
              <w:rPr>
                <w:sz w:val="22"/>
                <w:szCs w:val="22"/>
                <w:lang w:val="en-GB"/>
              </w:rPr>
              <w:t xml:space="preserve">Secretariat to include this point in training sessions for </w:t>
            </w:r>
            <w:r>
              <w:rPr>
                <w:sz w:val="22"/>
                <w:szCs w:val="22"/>
                <w:lang w:val="en-GB"/>
              </w:rPr>
              <w:t>the Evaluation Body.</w:t>
            </w:r>
          </w:p>
        </w:tc>
        <w:tc>
          <w:tcPr>
            <w:tcW w:w="1986" w:type="dxa"/>
            <w:gridSpan w:val="2"/>
            <w:noWrap/>
            <w:tcMar>
              <w:top w:w="40" w:type="dxa"/>
              <w:left w:w="40" w:type="dxa"/>
              <w:bottom w:w="40" w:type="dxa"/>
              <w:right w:w="40" w:type="dxa"/>
            </w:tcMar>
          </w:tcPr>
          <w:p w14:paraId="07CD2345" w14:textId="77777777" w:rsidR="00381916" w:rsidRPr="00427622" w:rsidRDefault="00381916" w:rsidP="002232C8">
            <w:pPr>
              <w:spacing w:before="80" w:after="8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63CECC41" w14:textId="77777777" w:rsidR="00381916" w:rsidRPr="0033405D" w:rsidRDefault="00381916" w:rsidP="002232C8">
            <w:pPr>
              <w:pStyle w:val="ListParagraph"/>
              <w:numPr>
                <w:ilvl w:val="0"/>
                <w:numId w:val="9"/>
              </w:numPr>
              <w:spacing w:before="80" w:beforeAutospacing="0" w:after="80" w:afterAutospacing="0"/>
              <w:ind w:left="470" w:hanging="357"/>
              <w:contextualSpacing/>
              <w:rPr>
                <w:rFonts w:ascii="Arial" w:hAnsi="Arial" w:cs="Arial"/>
                <w:sz w:val="22"/>
                <w:szCs w:val="22"/>
                <w:lang w:val="en-GB"/>
              </w:rPr>
            </w:pPr>
            <w:r w:rsidRPr="0033405D">
              <w:rPr>
                <w:rFonts w:ascii="Arial" w:hAnsi="Arial" w:cs="Arial"/>
                <w:sz w:val="22"/>
                <w:szCs w:val="22"/>
                <w:lang w:val="en-GB"/>
              </w:rPr>
              <w:t>Members of the Evaluation Body trained in April 2015 and March 2016.</w:t>
            </w:r>
          </w:p>
          <w:p w14:paraId="0F7ED0AD" w14:textId="77777777" w:rsidR="00381916" w:rsidRPr="00427622" w:rsidRDefault="00381916" w:rsidP="002232C8">
            <w:pPr>
              <w:pStyle w:val="ListParagraph"/>
              <w:numPr>
                <w:ilvl w:val="0"/>
                <w:numId w:val="9"/>
              </w:numPr>
              <w:spacing w:before="80" w:beforeAutospacing="0" w:after="80" w:afterAutospacing="0"/>
              <w:ind w:left="470" w:hanging="357"/>
              <w:contextualSpacing/>
              <w:rPr>
                <w:rFonts w:ascii="Arial" w:hAnsi="Arial" w:cs="Arial"/>
                <w:b/>
                <w:sz w:val="22"/>
                <w:szCs w:val="22"/>
                <w:u w:val="single"/>
                <w:lang w:val="en-GB"/>
              </w:rPr>
            </w:pPr>
            <w:r w:rsidRPr="0033405D">
              <w:rPr>
                <w:rFonts w:ascii="Arial" w:hAnsi="Arial" w:cs="Arial"/>
                <w:sz w:val="22"/>
                <w:szCs w:val="22"/>
                <w:lang w:val="en-GB"/>
              </w:rPr>
              <w:t>New members of the Evaluation Body to be trained in each cycle.</w:t>
            </w:r>
          </w:p>
        </w:tc>
      </w:tr>
      <w:tr w:rsidR="00381916" w:rsidRPr="00284E2B" w14:paraId="7EB78BF1" w14:textId="77777777" w:rsidTr="002232C8">
        <w:tc>
          <w:tcPr>
            <w:tcW w:w="14358" w:type="dxa"/>
            <w:gridSpan w:val="5"/>
            <w:shd w:val="clear" w:color="auto" w:fill="E6E6E6"/>
            <w:noWrap/>
            <w:tcMar>
              <w:top w:w="40" w:type="dxa"/>
              <w:left w:w="40" w:type="dxa"/>
              <w:bottom w:w="40" w:type="dxa"/>
              <w:right w:w="40" w:type="dxa"/>
            </w:tcMar>
          </w:tcPr>
          <w:p w14:paraId="319D6850" w14:textId="77777777" w:rsidR="00381916" w:rsidRPr="00427622" w:rsidRDefault="00381916" w:rsidP="002232C8">
            <w:pPr>
              <w:pageBreakBefore/>
              <w:tabs>
                <w:tab w:val="left" w:pos="2640"/>
              </w:tabs>
              <w:spacing w:before="80" w:after="80"/>
              <w:ind w:left="113" w:right="113"/>
              <w:jc w:val="both"/>
              <w:rPr>
                <w:rFonts w:ascii="Arial" w:hAnsi="Arial" w:cs="Arial"/>
                <w:b/>
                <w:sz w:val="22"/>
                <w:szCs w:val="22"/>
                <w:lang w:val="en-GB"/>
              </w:rPr>
            </w:pPr>
            <w:r w:rsidRPr="00427622">
              <w:rPr>
                <w:rFonts w:ascii="Arial" w:hAnsi="Arial" w:cs="Arial"/>
                <w:b/>
                <w:sz w:val="22"/>
                <w:szCs w:val="22"/>
                <w:lang w:val="en-GB"/>
              </w:rPr>
              <w:lastRenderedPageBreak/>
              <w:t>Recommendation 11: Suspend the Subsidiary Body, so that all nominations are evaluated by one common and independent body.</w:t>
            </w:r>
          </w:p>
        </w:tc>
      </w:tr>
      <w:tr w:rsidR="00381916" w:rsidRPr="00284E2B" w14:paraId="7A1334FB" w14:textId="77777777" w:rsidTr="002232C8">
        <w:tc>
          <w:tcPr>
            <w:tcW w:w="14358" w:type="dxa"/>
            <w:gridSpan w:val="5"/>
            <w:noWrap/>
            <w:tcMar>
              <w:top w:w="40" w:type="dxa"/>
              <w:left w:w="40" w:type="dxa"/>
              <w:bottom w:w="40" w:type="dxa"/>
              <w:right w:w="40" w:type="dxa"/>
            </w:tcMar>
          </w:tcPr>
          <w:p w14:paraId="6280964F" w14:textId="77777777" w:rsidR="00381916" w:rsidRPr="00427622" w:rsidRDefault="00381916" w:rsidP="002232C8">
            <w:pPr>
              <w:spacing w:before="80" w:after="60"/>
              <w:ind w:left="113" w:right="113"/>
              <w:jc w:val="both"/>
              <w:rPr>
                <w:rFonts w:ascii="Arial" w:hAnsi="Arial" w:cs="Arial"/>
                <w:sz w:val="22"/>
                <w:szCs w:val="22"/>
                <w:lang w:val="en-GB"/>
              </w:rPr>
            </w:pPr>
            <w:r w:rsidRPr="00427622">
              <w:rPr>
                <w:rFonts w:ascii="Arial" w:hAnsi="Arial" w:cs="Arial"/>
                <w:b/>
                <w:sz w:val="22"/>
                <w:szCs w:val="22"/>
                <w:lang w:val="en-GB"/>
              </w:rPr>
              <w:t>Management Response</w:t>
            </w:r>
            <w:r w:rsidRPr="00427622">
              <w:rPr>
                <w:rFonts w:ascii="Arial" w:hAnsi="Arial" w:cs="Arial"/>
                <w:sz w:val="22"/>
                <w:szCs w:val="22"/>
                <w:lang w:val="en-GB"/>
              </w:rPr>
              <w:t>: Operational Directives adopted for one single Evaluation Body and the new Evaluation Body started its operations in 2015.</w:t>
            </w:r>
          </w:p>
        </w:tc>
      </w:tr>
      <w:tr w:rsidR="00381916" w:rsidRPr="00427622" w14:paraId="41FF2D19" w14:textId="77777777" w:rsidTr="002232C8">
        <w:tc>
          <w:tcPr>
            <w:tcW w:w="4717" w:type="dxa"/>
            <w:gridSpan w:val="2"/>
            <w:tcBorders>
              <w:bottom w:val="single" w:sz="4" w:space="0" w:color="auto"/>
            </w:tcBorders>
            <w:noWrap/>
            <w:tcMar>
              <w:top w:w="40" w:type="dxa"/>
              <w:left w:w="40" w:type="dxa"/>
              <w:bottom w:w="40" w:type="dxa"/>
              <w:right w:w="40" w:type="dxa"/>
            </w:tcMar>
          </w:tcPr>
          <w:p w14:paraId="4DE46AAF" w14:textId="77777777" w:rsidR="00381916" w:rsidRPr="00427622" w:rsidRDefault="00381916" w:rsidP="002232C8">
            <w:pPr>
              <w:spacing w:before="80" w:after="8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4EDD8BD2" w14:textId="77777777" w:rsidR="00381916" w:rsidRPr="00427622" w:rsidRDefault="00381916" w:rsidP="002232C8">
            <w:pPr>
              <w:spacing w:before="80" w:after="8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2449E5BC" w14:textId="77777777" w:rsidR="00381916" w:rsidRPr="00427622" w:rsidRDefault="00381916" w:rsidP="002232C8">
            <w:pPr>
              <w:spacing w:before="80" w:after="8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76918BB2" w14:textId="77777777" w:rsidTr="002232C8">
        <w:tc>
          <w:tcPr>
            <w:tcW w:w="4717" w:type="dxa"/>
            <w:gridSpan w:val="2"/>
            <w:shd w:val="clear" w:color="auto" w:fill="FFFFFF" w:themeFill="background1"/>
            <w:noWrap/>
            <w:tcMar>
              <w:top w:w="40" w:type="dxa"/>
              <w:left w:w="40" w:type="dxa"/>
              <w:bottom w:w="40" w:type="dxa"/>
              <w:right w:w="40" w:type="dxa"/>
            </w:tcMar>
          </w:tcPr>
          <w:p w14:paraId="7571DCB7" w14:textId="77777777" w:rsidR="00381916" w:rsidRPr="00427622" w:rsidRDefault="00381916" w:rsidP="002232C8">
            <w:pPr>
              <w:spacing w:before="80" w:after="80"/>
              <w:ind w:left="113" w:right="57"/>
              <w:rPr>
                <w:rFonts w:ascii="Arial" w:hAnsi="Arial" w:cs="Arial"/>
                <w:sz w:val="22"/>
                <w:szCs w:val="22"/>
                <w:lang w:val="en-GB"/>
              </w:rPr>
            </w:pPr>
            <w:r w:rsidRPr="00427622">
              <w:rPr>
                <w:rFonts w:ascii="Arial" w:hAnsi="Arial" w:cs="Arial"/>
                <w:sz w:val="22"/>
                <w:szCs w:val="22"/>
                <w:lang w:val="en-GB"/>
              </w:rPr>
              <w:t>Operational Directives adopted for one single Evaluation Body.</w:t>
            </w:r>
          </w:p>
        </w:tc>
        <w:tc>
          <w:tcPr>
            <w:tcW w:w="1986" w:type="dxa"/>
            <w:gridSpan w:val="2"/>
            <w:shd w:val="clear" w:color="auto" w:fill="FFFFFF" w:themeFill="background1"/>
            <w:noWrap/>
            <w:tcMar>
              <w:top w:w="40" w:type="dxa"/>
              <w:left w:w="40" w:type="dxa"/>
              <w:bottom w:w="40" w:type="dxa"/>
              <w:right w:w="40" w:type="dxa"/>
            </w:tcMar>
          </w:tcPr>
          <w:p w14:paraId="2C2D4102" w14:textId="77777777" w:rsidR="00381916" w:rsidRPr="00427622" w:rsidRDefault="00381916" w:rsidP="002232C8">
            <w:pPr>
              <w:spacing w:before="80" w:after="80"/>
              <w:ind w:left="57"/>
              <w:rPr>
                <w:rFonts w:ascii="Arial" w:hAnsi="Arial" w:cs="Arial"/>
                <w:sz w:val="22"/>
                <w:szCs w:val="22"/>
                <w:lang w:val="en-GB"/>
              </w:rPr>
            </w:pPr>
            <w:r w:rsidRPr="00427622">
              <w:rPr>
                <w:rFonts w:ascii="Arial" w:hAnsi="Arial" w:cs="Arial"/>
                <w:sz w:val="22"/>
                <w:szCs w:val="22"/>
                <w:lang w:val="en-GB"/>
              </w:rPr>
              <w:t>June 2014</w:t>
            </w:r>
          </w:p>
        </w:tc>
        <w:tc>
          <w:tcPr>
            <w:tcW w:w="7655" w:type="dxa"/>
            <w:shd w:val="clear" w:color="auto" w:fill="FFFFFF" w:themeFill="background1"/>
            <w:noWrap/>
            <w:tcMar>
              <w:top w:w="40" w:type="dxa"/>
              <w:left w:w="40" w:type="dxa"/>
              <w:bottom w:w="40" w:type="dxa"/>
              <w:right w:w="40" w:type="dxa"/>
            </w:tcMar>
          </w:tcPr>
          <w:p w14:paraId="5F23AC30" w14:textId="428B7612" w:rsidR="00381916" w:rsidRPr="0033405D" w:rsidRDefault="00381916" w:rsidP="001E6E65">
            <w:pPr>
              <w:pStyle w:val="ListParagraph"/>
              <w:numPr>
                <w:ilvl w:val="0"/>
                <w:numId w:val="9"/>
              </w:numPr>
              <w:spacing w:before="80" w:beforeAutospacing="0" w:after="80" w:afterAutospacing="0"/>
              <w:ind w:left="470" w:hanging="357"/>
              <w:contextualSpacing/>
              <w:rPr>
                <w:rFonts w:ascii="Arial" w:hAnsi="Arial" w:cs="Arial"/>
                <w:sz w:val="22"/>
                <w:szCs w:val="22"/>
                <w:lang w:val="en-GB"/>
              </w:rPr>
            </w:pPr>
            <w:r w:rsidRPr="00427622">
              <w:rPr>
                <w:rFonts w:ascii="Arial" w:hAnsi="Arial" w:cs="Arial"/>
                <w:sz w:val="22"/>
                <w:szCs w:val="22"/>
                <w:lang w:val="en-GB"/>
              </w:rPr>
              <w:t>The General Assembly, during its fifth session, decided (</w:t>
            </w:r>
            <w:hyperlink r:id="rId36" w:history="1">
              <w:r w:rsidRPr="0033405D">
                <w:rPr>
                  <w:rStyle w:val="Hyperlink"/>
                  <w:rFonts w:ascii="Arial" w:hAnsi="Arial" w:cs="Arial"/>
                  <w:sz w:val="22"/>
                  <w:szCs w:val="22"/>
                  <w:lang w:val="en-GB"/>
                </w:rPr>
                <w:t>Resolution 5.GA 5.1</w:t>
              </w:r>
            </w:hyperlink>
            <w:r w:rsidRPr="0033405D">
              <w:rPr>
                <w:rFonts w:ascii="Arial" w:hAnsi="Arial" w:cs="Arial"/>
                <w:sz w:val="22"/>
                <w:szCs w:val="22"/>
                <w:lang w:val="en-GB"/>
              </w:rPr>
              <w:t>) that ‘the evaluation [of files] shall be accomplished by a consultative body of the Committee established in accordance with Article 8.3 of the Convention, to b</w:t>
            </w:r>
            <w:r w:rsidR="001E6E65">
              <w:rPr>
                <w:rFonts w:ascii="Arial" w:hAnsi="Arial" w:cs="Arial"/>
                <w:sz w:val="22"/>
                <w:szCs w:val="22"/>
                <w:lang w:val="en-GB"/>
              </w:rPr>
              <w:t>e known as the “Evaluation Body”’</w:t>
            </w:r>
            <w:r w:rsidRPr="0033405D">
              <w:rPr>
                <w:rFonts w:ascii="Arial" w:hAnsi="Arial" w:cs="Arial"/>
                <w:sz w:val="22"/>
                <w:szCs w:val="22"/>
                <w:lang w:val="en-GB"/>
              </w:rPr>
              <w:t xml:space="preserve"> (paragraph 27 of the Operational Directives)</w:t>
            </w:r>
            <w:r w:rsidRPr="00427622">
              <w:rPr>
                <w:rFonts w:ascii="Arial" w:hAnsi="Arial" w:cs="Arial"/>
                <w:sz w:val="22"/>
                <w:szCs w:val="22"/>
                <w:lang w:val="en-GB"/>
              </w:rPr>
              <w:t xml:space="preserve">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24495D53" w14:textId="77777777" w:rsidTr="002232C8">
        <w:tc>
          <w:tcPr>
            <w:tcW w:w="4717" w:type="dxa"/>
            <w:gridSpan w:val="2"/>
            <w:shd w:val="clear" w:color="auto" w:fill="FFFFFF" w:themeFill="background1"/>
            <w:noWrap/>
            <w:tcMar>
              <w:top w:w="40" w:type="dxa"/>
              <w:left w:w="40" w:type="dxa"/>
              <w:bottom w:w="40" w:type="dxa"/>
              <w:right w:w="40" w:type="dxa"/>
            </w:tcMar>
          </w:tcPr>
          <w:p w14:paraId="48A918D6" w14:textId="77777777" w:rsidR="00381916" w:rsidRPr="00427622" w:rsidRDefault="00381916" w:rsidP="002232C8">
            <w:pPr>
              <w:spacing w:before="80" w:after="80"/>
              <w:ind w:left="113" w:right="57"/>
              <w:rPr>
                <w:rFonts w:ascii="Arial" w:hAnsi="Arial" w:cs="Arial"/>
                <w:sz w:val="22"/>
                <w:szCs w:val="22"/>
                <w:lang w:val="en-GB"/>
              </w:rPr>
            </w:pPr>
            <w:r w:rsidRPr="00427622">
              <w:rPr>
                <w:rFonts w:ascii="Arial" w:hAnsi="Arial" w:cs="Arial"/>
                <w:sz w:val="22"/>
                <w:szCs w:val="22"/>
                <w:lang w:val="en-GB"/>
              </w:rPr>
              <w:t>Single Evaluation Body operational.</w:t>
            </w:r>
          </w:p>
        </w:tc>
        <w:tc>
          <w:tcPr>
            <w:tcW w:w="1986" w:type="dxa"/>
            <w:gridSpan w:val="2"/>
            <w:shd w:val="clear" w:color="auto" w:fill="FFFFFF" w:themeFill="background1"/>
            <w:noWrap/>
            <w:tcMar>
              <w:top w:w="40" w:type="dxa"/>
              <w:left w:w="40" w:type="dxa"/>
              <w:bottom w:w="40" w:type="dxa"/>
              <w:right w:w="40" w:type="dxa"/>
            </w:tcMar>
          </w:tcPr>
          <w:p w14:paraId="1A2A963F" w14:textId="77777777" w:rsidR="00381916" w:rsidRPr="00427622" w:rsidRDefault="00381916" w:rsidP="002232C8">
            <w:pPr>
              <w:spacing w:before="80" w:after="80"/>
              <w:ind w:left="57"/>
              <w:rPr>
                <w:rFonts w:ascii="Arial" w:hAnsi="Arial" w:cs="Arial"/>
                <w:sz w:val="22"/>
                <w:szCs w:val="22"/>
                <w:lang w:val="en-GB"/>
              </w:rPr>
            </w:pPr>
            <w:r w:rsidRPr="00427622">
              <w:rPr>
                <w:rFonts w:ascii="Arial" w:hAnsi="Arial" w:cs="Arial"/>
                <w:sz w:val="22"/>
                <w:szCs w:val="22"/>
                <w:lang w:val="en-GB"/>
              </w:rPr>
              <w:t>October 2015</w:t>
            </w:r>
          </w:p>
        </w:tc>
        <w:tc>
          <w:tcPr>
            <w:tcW w:w="7655" w:type="dxa"/>
            <w:shd w:val="clear" w:color="auto" w:fill="FFFFFF" w:themeFill="background1"/>
            <w:noWrap/>
            <w:tcMar>
              <w:top w:w="40" w:type="dxa"/>
              <w:left w:w="40" w:type="dxa"/>
              <w:bottom w:w="40" w:type="dxa"/>
              <w:right w:w="40" w:type="dxa"/>
            </w:tcMar>
          </w:tcPr>
          <w:p w14:paraId="6ED2B3D1" w14:textId="77777777" w:rsidR="00381916" w:rsidRPr="00427622" w:rsidRDefault="00381916" w:rsidP="002232C8">
            <w:pPr>
              <w:pStyle w:val="ListParagraph"/>
              <w:numPr>
                <w:ilvl w:val="0"/>
                <w:numId w:val="9"/>
              </w:numPr>
              <w:spacing w:before="80" w:beforeAutospacing="0" w:after="80" w:afterAutospacing="0"/>
              <w:ind w:left="470" w:hanging="357"/>
              <w:contextualSpacing/>
              <w:rPr>
                <w:rFonts w:ascii="Arial" w:hAnsi="Arial" w:cs="Arial"/>
                <w:b/>
                <w:sz w:val="22"/>
                <w:szCs w:val="22"/>
                <w:u w:val="single"/>
                <w:lang w:val="en-GB"/>
              </w:rPr>
            </w:pPr>
            <w:r w:rsidRPr="0033405D">
              <w:rPr>
                <w:rFonts w:ascii="Arial" w:hAnsi="Arial" w:cs="Arial"/>
                <w:sz w:val="22"/>
                <w:szCs w:val="22"/>
                <w:lang w:val="en-GB"/>
              </w:rPr>
              <w:t xml:space="preserve">A single Evaluation Body </w:t>
            </w:r>
            <w:r>
              <w:rPr>
                <w:rFonts w:ascii="Arial" w:hAnsi="Arial" w:cs="Arial"/>
                <w:sz w:val="22"/>
                <w:szCs w:val="22"/>
                <w:lang w:val="en-GB"/>
              </w:rPr>
              <w:t>has evaluated</w:t>
            </w:r>
            <w:r w:rsidRPr="0033405D">
              <w:rPr>
                <w:rFonts w:ascii="Arial" w:hAnsi="Arial" w:cs="Arial"/>
                <w:sz w:val="22"/>
                <w:szCs w:val="22"/>
                <w:lang w:val="en-GB"/>
              </w:rPr>
              <w:t xml:space="preserve"> all files since the 2015 cycle </w:t>
            </w:r>
            <w:r w:rsidRPr="00427622">
              <w:rPr>
                <w:rFonts w:ascii="Arial" w:hAnsi="Arial" w:cs="Arial"/>
                <w:sz w:val="22"/>
                <w:szCs w:val="22"/>
                <w:lang w:val="en-GB"/>
              </w:rPr>
              <w:t>(</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427622" w14:paraId="3E41EE88" w14:textId="77777777" w:rsidTr="002232C8">
        <w:tc>
          <w:tcPr>
            <w:tcW w:w="14358" w:type="dxa"/>
            <w:gridSpan w:val="5"/>
            <w:shd w:val="clear" w:color="auto" w:fill="E6E6E6"/>
            <w:noWrap/>
            <w:tcMar>
              <w:top w:w="40" w:type="dxa"/>
              <w:left w:w="40" w:type="dxa"/>
              <w:bottom w:w="40" w:type="dxa"/>
              <w:right w:w="40" w:type="dxa"/>
            </w:tcMar>
          </w:tcPr>
          <w:p w14:paraId="2D8E117F" w14:textId="6C263C08" w:rsidR="00381916" w:rsidRPr="00427622" w:rsidRDefault="00381916" w:rsidP="002232C8">
            <w:pPr>
              <w:tabs>
                <w:tab w:val="left" w:pos="2640"/>
              </w:tabs>
              <w:spacing w:before="60" w:after="60"/>
              <w:ind w:left="113" w:right="113"/>
              <w:jc w:val="both"/>
              <w:rPr>
                <w:rFonts w:ascii="Arial" w:hAnsi="Arial" w:cs="Arial"/>
                <w:b/>
                <w:sz w:val="22"/>
                <w:szCs w:val="22"/>
                <w:lang w:val="en-GB"/>
              </w:rPr>
            </w:pPr>
            <w:r w:rsidRPr="00427622">
              <w:rPr>
                <w:rFonts w:ascii="Arial" w:hAnsi="Arial" w:cs="Arial"/>
                <w:b/>
                <w:sz w:val="22"/>
                <w:szCs w:val="22"/>
                <w:lang w:val="en-GB"/>
              </w:rPr>
              <w:t>Recommendation 12: Reconsider and complement the Register of Best Safeguarding Practices by developing alternate, lighter ways of sharing safeguarding experiences such as dedicated websites, e-newsletters, online forums, etc. (This recommendation</w:t>
            </w:r>
            <w:r w:rsidR="00C81C86">
              <w:rPr>
                <w:rFonts w:ascii="Arial" w:hAnsi="Arial" w:cs="Arial"/>
                <w:b/>
                <w:sz w:val="22"/>
                <w:szCs w:val="22"/>
                <w:lang w:val="en-GB"/>
              </w:rPr>
              <w:t xml:space="preserve"> is linked to Recommendation 19</w:t>
            </w:r>
            <w:r w:rsidRPr="00427622">
              <w:rPr>
                <w:rFonts w:ascii="Arial" w:hAnsi="Arial" w:cs="Arial"/>
                <w:b/>
                <w:sz w:val="22"/>
                <w:szCs w:val="22"/>
                <w:lang w:val="en-GB"/>
              </w:rPr>
              <w:t>)</w:t>
            </w:r>
            <w:r w:rsidR="00C81C86">
              <w:rPr>
                <w:rFonts w:ascii="Arial" w:hAnsi="Arial" w:cs="Arial"/>
                <w:b/>
                <w:sz w:val="22"/>
                <w:szCs w:val="22"/>
                <w:lang w:val="en-GB"/>
              </w:rPr>
              <w:t>.</w:t>
            </w:r>
          </w:p>
        </w:tc>
      </w:tr>
      <w:tr w:rsidR="00381916" w:rsidRPr="00284E2B" w14:paraId="062DC682" w14:textId="77777777" w:rsidTr="002232C8">
        <w:tc>
          <w:tcPr>
            <w:tcW w:w="14358" w:type="dxa"/>
            <w:gridSpan w:val="5"/>
            <w:noWrap/>
            <w:tcMar>
              <w:top w:w="40" w:type="dxa"/>
              <w:left w:w="40" w:type="dxa"/>
              <w:bottom w:w="40" w:type="dxa"/>
              <w:right w:w="40" w:type="dxa"/>
            </w:tcMar>
          </w:tcPr>
          <w:p w14:paraId="0268B67F" w14:textId="77777777" w:rsidR="00381916" w:rsidRPr="00427622" w:rsidRDefault="00381916" w:rsidP="002232C8">
            <w:pPr>
              <w:spacing w:before="60" w:after="60"/>
              <w:ind w:left="113" w:right="113"/>
              <w:jc w:val="both"/>
              <w:rPr>
                <w:rFonts w:ascii="Arial" w:hAnsi="Arial" w:cs="Arial"/>
                <w:sz w:val="22"/>
                <w:szCs w:val="22"/>
                <w:lang w:val="en-GB"/>
              </w:rPr>
            </w:pPr>
            <w:r w:rsidRPr="00427622">
              <w:rPr>
                <w:rFonts w:ascii="Arial" w:hAnsi="Arial" w:cs="Arial"/>
                <w:b/>
                <w:sz w:val="22"/>
                <w:szCs w:val="22"/>
                <w:lang w:val="en-GB"/>
              </w:rPr>
              <w:t>Management Response</w:t>
            </w:r>
            <w:r w:rsidRPr="00427622">
              <w:rPr>
                <w:rFonts w:ascii="Arial" w:hAnsi="Arial" w:cs="Arial"/>
                <w:sz w:val="22"/>
                <w:szCs w:val="22"/>
                <w:lang w:val="en-GB"/>
              </w:rPr>
              <w:t xml:space="preserve">: Different stakeholders, and in particular </w:t>
            </w:r>
            <w:r>
              <w:rPr>
                <w:rFonts w:ascii="Arial" w:hAnsi="Arial" w:cs="Arial"/>
                <w:sz w:val="22"/>
                <w:szCs w:val="22"/>
                <w:lang w:val="en-GB"/>
              </w:rPr>
              <w:t xml:space="preserve">the </w:t>
            </w:r>
            <w:r w:rsidRPr="00427622">
              <w:rPr>
                <w:rFonts w:ascii="Arial" w:hAnsi="Arial" w:cs="Arial"/>
                <w:sz w:val="22"/>
                <w:szCs w:val="22"/>
                <w:lang w:val="en-GB"/>
              </w:rPr>
              <w:t xml:space="preserve">NGO Forum, have to be consulted on lighter and alternative ways. Best practices can be identified through the analysis of Periodic Reports. </w:t>
            </w:r>
            <w:r w:rsidRPr="0033405D">
              <w:rPr>
                <w:rFonts w:ascii="Arial" w:hAnsi="Arial" w:cs="Arial"/>
                <w:sz w:val="22"/>
                <w:szCs w:val="22"/>
                <w:lang w:val="en-GB"/>
              </w:rPr>
              <w:t>Given</w:t>
            </w:r>
            <w:r>
              <w:rPr>
                <w:rFonts w:ascii="Arial" w:hAnsi="Arial" w:cs="Arial"/>
                <w:sz w:val="22"/>
                <w:szCs w:val="22"/>
                <w:lang w:val="en-GB"/>
              </w:rPr>
              <w:t xml:space="preserve"> the</w:t>
            </w:r>
            <w:r w:rsidRPr="0033405D">
              <w:rPr>
                <w:rFonts w:ascii="Arial" w:hAnsi="Arial" w:cs="Arial"/>
                <w:sz w:val="22"/>
                <w:szCs w:val="22"/>
                <w:lang w:val="en-GB"/>
              </w:rPr>
              <w:t xml:space="preserve"> limited financial and human resources, more substantial actions promoting examples of good safeguarding practices could not be initiated.</w:t>
            </w:r>
          </w:p>
        </w:tc>
      </w:tr>
      <w:tr w:rsidR="00381916" w:rsidRPr="00427622" w14:paraId="6EE326F5" w14:textId="77777777" w:rsidTr="002232C8">
        <w:tc>
          <w:tcPr>
            <w:tcW w:w="4717" w:type="dxa"/>
            <w:gridSpan w:val="2"/>
            <w:tcBorders>
              <w:bottom w:val="single" w:sz="4" w:space="0" w:color="auto"/>
            </w:tcBorders>
            <w:noWrap/>
            <w:tcMar>
              <w:top w:w="40" w:type="dxa"/>
              <w:left w:w="40" w:type="dxa"/>
              <w:bottom w:w="40" w:type="dxa"/>
              <w:right w:w="40" w:type="dxa"/>
            </w:tcMar>
          </w:tcPr>
          <w:p w14:paraId="25252EB0" w14:textId="77777777" w:rsidR="00381916" w:rsidRPr="00427622"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1E7CEF05" w14:textId="77777777" w:rsidR="00381916" w:rsidRPr="00427622"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39EA5C49" w14:textId="77777777" w:rsidR="00381916" w:rsidRPr="00427622"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74FC7D4E" w14:textId="77777777" w:rsidTr="002232C8">
        <w:tc>
          <w:tcPr>
            <w:tcW w:w="4717" w:type="dxa"/>
            <w:gridSpan w:val="2"/>
            <w:shd w:val="clear" w:color="auto" w:fill="FFFFFF" w:themeFill="background1"/>
            <w:noWrap/>
            <w:tcMar>
              <w:top w:w="40" w:type="dxa"/>
              <w:left w:w="40" w:type="dxa"/>
              <w:bottom w:w="40" w:type="dxa"/>
              <w:right w:w="40" w:type="dxa"/>
            </w:tcMar>
          </w:tcPr>
          <w:p w14:paraId="1B5A83A3" w14:textId="77777777" w:rsidR="00381916" w:rsidRPr="00427622" w:rsidRDefault="00381916" w:rsidP="002232C8">
            <w:pPr>
              <w:spacing w:before="60" w:after="60"/>
              <w:ind w:left="113" w:right="57"/>
              <w:rPr>
                <w:rFonts w:ascii="Arial" w:hAnsi="Arial" w:cs="Arial"/>
                <w:sz w:val="22"/>
                <w:szCs w:val="22"/>
                <w:lang w:val="en-GB"/>
              </w:rPr>
            </w:pPr>
            <w:r w:rsidRPr="00427622">
              <w:rPr>
                <w:rFonts w:ascii="Arial" w:hAnsi="Arial" w:cs="Arial"/>
                <w:sz w:val="22"/>
                <w:szCs w:val="22"/>
                <w:lang w:val="en-GB"/>
              </w:rPr>
              <w:t xml:space="preserve">Consult different stakeholders, in particular </w:t>
            </w:r>
            <w:r>
              <w:rPr>
                <w:rFonts w:ascii="Arial" w:hAnsi="Arial" w:cs="Arial"/>
                <w:sz w:val="22"/>
                <w:szCs w:val="22"/>
                <w:lang w:val="en-GB"/>
              </w:rPr>
              <w:t>the</w:t>
            </w:r>
            <w:r w:rsidRPr="00427622">
              <w:rPr>
                <w:rFonts w:ascii="Arial" w:hAnsi="Arial" w:cs="Arial"/>
                <w:sz w:val="22"/>
                <w:szCs w:val="22"/>
                <w:lang w:val="en-GB"/>
              </w:rPr>
              <w:t xml:space="preserve"> NGO Forum, on lighter and alternative ways.</w:t>
            </w:r>
          </w:p>
        </w:tc>
        <w:tc>
          <w:tcPr>
            <w:tcW w:w="1986" w:type="dxa"/>
            <w:gridSpan w:val="2"/>
            <w:shd w:val="clear" w:color="auto" w:fill="FFFFFF" w:themeFill="background1"/>
            <w:noWrap/>
            <w:tcMar>
              <w:top w:w="40" w:type="dxa"/>
              <w:left w:w="40" w:type="dxa"/>
              <w:bottom w:w="40" w:type="dxa"/>
              <w:right w:w="40" w:type="dxa"/>
            </w:tcMar>
          </w:tcPr>
          <w:p w14:paraId="7A78B6CA" w14:textId="77777777" w:rsidR="00381916" w:rsidRPr="00427622" w:rsidRDefault="00381916" w:rsidP="002232C8">
            <w:pPr>
              <w:spacing w:before="60" w:after="60"/>
              <w:ind w:left="57"/>
              <w:rPr>
                <w:rFonts w:ascii="Arial" w:hAnsi="Arial" w:cs="Arial"/>
                <w:sz w:val="22"/>
                <w:szCs w:val="22"/>
                <w:lang w:val="en-GB"/>
              </w:rPr>
            </w:pPr>
            <w:r w:rsidRPr="00427622">
              <w:rPr>
                <w:rFonts w:ascii="Arial" w:hAnsi="Arial" w:cs="Arial"/>
                <w:sz w:val="22"/>
                <w:szCs w:val="22"/>
                <w:lang w:val="en-GB"/>
              </w:rPr>
              <w:t>October 2014</w:t>
            </w:r>
          </w:p>
        </w:tc>
        <w:tc>
          <w:tcPr>
            <w:tcW w:w="7655" w:type="dxa"/>
            <w:shd w:val="clear" w:color="auto" w:fill="FFFFFF" w:themeFill="background1"/>
            <w:noWrap/>
            <w:tcMar>
              <w:top w:w="40" w:type="dxa"/>
              <w:left w:w="40" w:type="dxa"/>
              <w:bottom w:w="40" w:type="dxa"/>
              <w:right w:w="40" w:type="dxa"/>
            </w:tcMar>
          </w:tcPr>
          <w:p w14:paraId="04095487" w14:textId="77777777" w:rsidR="00381916" w:rsidRPr="00427622" w:rsidRDefault="00381916" w:rsidP="002232C8">
            <w:pPr>
              <w:pStyle w:val="ListParagraph"/>
              <w:numPr>
                <w:ilvl w:val="0"/>
                <w:numId w:val="9"/>
              </w:numPr>
              <w:spacing w:before="60" w:beforeAutospacing="0" w:after="60" w:afterAutospacing="0"/>
              <w:ind w:left="470" w:hanging="357"/>
              <w:contextualSpacing/>
              <w:rPr>
                <w:rFonts w:ascii="Arial" w:hAnsi="Arial" w:cs="Arial"/>
                <w:sz w:val="22"/>
                <w:szCs w:val="22"/>
                <w:lang w:val="en-GB"/>
              </w:rPr>
            </w:pPr>
            <w:r w:rsidRPr="00427622">
              <w:rPr>
                <w:rFonts w:ascii="Arial" w:hAnsi="Arial" w:cs="Arial"/>
                <w:sz w:val="22"/>
                <w:szCs w:val="22"/>
                <w:lang w:val="en-GB"/>
              </w:rPr>
              <w:t>NGO Forum representatives were consulted in December 2013</w:t>
            </w:r>
            <w:r>
              <w:rPr>
                <w:rFonts w:ascii="Arial" w:hAnsi="Arial" w:cs="Arial"/>
                <w:sz w:val="22"/>
                <w:szCs w:val="22"/>
                <w:lang w:val="en-GB"/>
              </w:rPr>
              <w:t>;</w:t>
            </w:r>
            <w:r w:rsidRPr="00427622">
              <w:rPr>
                <w:rFonts w:ascii="Arial" w:hAnsi="Arial" w:cs="Arial"/>
                <w:sz w:val="22"/>
                <w:szCs w:val="22"/>
                <w:lang w:val="en-GB"/>
              </w:rPr>
              <w:t xml:space="preserve"> Members of the Consultative Body in September 2014 and category 2 centres in October 2014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56A74932" w14:textId="77777777" w:rsidTr="002232C8">
        <w:tc>
          <w:tcPr>
            <w:tcW w:w="4717" w:type="dxa"/>
            <w:gridSpan w:val="2"/>
            <w:noWrap/>
            <w:tcMar>
              <w:top w:w="40" w:type="dxa"/>
              <w:left w:w="40" w:type="dxa"/>
              <w:bottom w:w="40" w:type="dxa"/>
              <w:right w:w="40" w:type="dxa"/>
            </w:tcMar>
          </w:tcPr>
          <w:p w14:paraId="1560175E" w14:textId="77777777" w:rsidR="00381916" w:rsidRPr="00427622" w:rsidRDefault="00381916" w:rsidP="002232C8">
            <w:pPr>
              <w:spacing w:before="60" w:after="60"/>
              <w:ind w:left="113" w:right="57"/>
              <w:rPr>
                <w:rFonts w:ascii="Arial" w:hAnsi="Arial" w:cs="Arial"/>
                <w:sz w:val="22"/>
                <w:szCs w:val="22"/>
                <w:lang w:val="en-GB"/>
              </w:rPr>
            </w:pPr>
            <w:r w:rsidRPr="00427622">
              <w:rPr>
                <w:rFonts w:ascii="Arial" w:hAnsi="Arial" w:cs="Arial"/>
                <w:sz w:val="22"/>
                <w:szCs w:val="22"/>
                <w:lang w:val="en-GB"/>
              </w:rPr>
              <w:t>Identify best practices through the analysis of Periodic Reports.</w:t>
            </w:r>
          </w:p>
        </w:tc>
        <w:tc>
          <w:tcPr>
            <w:tcW w:w="1986" w:type="dxa"/>
            <w:gridSpan w:val="2"/>
            <w:noWrap/>
            <w:tcMar>
              <w:top w:w="40" w:type="dxa"/>
              <w:left w:w="40" w:type="dxa"/>
              <w:bottom w:w="40" w:type="dxa"/>
              <w:right w:w="40" w:type="dxa"/>
            </w:tcMar>
          </w:tcPr>
          <w:p w14:paraId="226D38B5" w14:textId="77777777" w:rsidR="00381916" w:rsidRPr="00427622" w:rsidRDefault="00381916" w:rsidP="002232C8">
            <w:pPr>
              <w:spacing w:before="60" w:after="6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53253D23" w14:textId="77777777" w:rsidR="00381916" w:rsidRPr="00427622" w:rsidRDefault="00381916" w:rsidP="002232C8">
            <w:pPr>
              <w:pStyle w:val="ListParagraph"/>
              <w:numPr>
                <w:ilvl w:val="0"/>
                <w:numId w:val="9"/>
              </w:numPr>
              <w:spacing w:before="60" w:beforeAutospacing="0" w:after="60" w:afterAutospacing="0"/>
              <w:ind w:left="470" w:hanging="357"/>
              <w:contextualSpacing/>
              <w:rPr>
                <w:rFonts w:ascii="Arial" w:hAnsi="Arial" w:cs="Arial"/>
                <w:b/>
                <w:bCs/>
                <w:i/>
                <w:iCs/>
                <w:sz w:val="22"/>
                <w:szCs w:val="22"/>
                <w:u w:val="single"/>
                <w:lang w:val="en-GB"/>
              </w:rPr>
            </w:pPr>
            <w:r w:rsidRPr="00427622">
              <w:rPr>
                <w:rFonts w:ascii="Arial" w:hAnsi="Arial" w:cs="Arial"/>
                <w:sz w:val="22"/>
                <w:szCs w:val="22"/>
                <w:lang w:val="en-GB"/>
              </w:rPr>
              <w:t>The syntheses of the 57 Periodic Reports submitted for examination by the Committee since its ninth session contain information on safeguarding practices.</w:t>
            </w:r>
          </w:p>
        </w:tc>
      </w:tr>
      <w:tr w:rsidR="00381916" w:rsidRPr="00284E2B" w14:paraId="798D0C36" w14:textId="77777777" w:rsidTr="002232C8">
        <w:tc>
          <w:tcPr>
            <w:tcW w:w="14358" w:type="dxa"/>
            <w:gridSpan w:val="5"/>
            <w:shd w:val="clear" w:color="auto" w:fill="E6E6E6"/>
            <w:noWrap/>
            <w:tcMar>
              <w:top w:w="40" w:type="dxa"/>
              <w:left w:w="40" w:type="dxa"/>
              <w:bottom w:w="40" w:type="dxa"/>
              <w:right w:w="40" w:type="dxa"/>
            </w:tcMar>
          </w:tcPr>
          <w:p w14:paraId="6AAFE910" w14:textId="77777777" w:rsidR="00381916" w:rsidRPr="0033405D" w:rsidRDefault="00381916" w:rsidP="002232C8">
            <w:pPr>
              <w:pageBreakBefore/>
              <w:tabs>
                <w:tab w:val="left" w:pos="2640"/>
              </w:tabs>
              <w:spacing w:before="60" w:after="60"/>
              <w:ind w:left="113" w:right="113"/>
              <w:jc w:val="both"/>
              <w:rPr>
                <w:rFonts w:ascii="Arial" w:hAnsi="Arial" w:cs="Arial"/>
                <w:b/>
                <w:sz w:val="22"/>
                <w:szCs w:val="22"/>
                <w:lang w:val="en-GB"/>
              </w:rPr>
            </w:pPr>
            <w:r w:rsidRPr="0033405D">
              <w:rPr>
                <w:rFonts w:ascii="Arial" w:hAnsi="Arial" w:cs="Arial"/>
                <w:b/>
                <w:sz w:val="22"/>
                <w:szCs w:val="22"/>
                <w:lang w:val="en-GB"/>
              </w:rPr>
              <w:lastRenderedPageBreak/>
              <w:t>Recommendation 13: Give priority to International Assistance requests within the ceiling of files to the Convention’s mechanisms</w:t>
            </w:r>
            <w:r w:rsidRPr="00427622">
              <w:rPr>
                <w:rFonts w:ascii="Arial" w:hAnsi="Arial" w:cs="Arial"/>
                <w:sz w:val="22"/>
                <w:szCs w:val="22"/>
                <w:lang w:val="en-GB"/>
              </w:rPr>
              <w:t>.</w:t>
            </w:r>
          </w:p>
        </w:tc>
      </w:tr>
      <w:tr w:rsidR="00381916" w:rsidRPr="00284E2B" w14:paraId="1716C56B" w14:textId="77777777" w:rsidTr="002232C8">
        <w:tc>
          <w:tcPr>
            <w:tcW w:w="14358" w:type="dxa"/>
            <w:gridSpan w:val="5"/>
            <w:noWrap/>
            <w:tcMar>
              <w:top w:w="40" w:type="dxa"/>
              <w:left w:w="40" w:type="dxa"/>
              <w:bottom w:w="40" w:type="dxa"/>
              <w:right w:w="40" w:type="dxa"/>
            </w:tcMar>
          </w:tcPr>
          <w:p w14:paraId="331A680F" w14:textId="7523BB67" w:rsidR="00381916" w:rsidRPr="00427622" w:rsidRDefault="00381916" w:rsidP="002232C8">
            <w:pPr>
              <w:spacing w:before="60" w:after="6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xml:space="preserve">: </w:t>
            </w:r>
            <w:r>
              <w:rPr>
                <w:rFonts w:ascii="Arial" w:hAnsi="Arial" w:cs="Arial"/>
                <w:sz w:val="22"/>
                <w:szCs w:val="22"/>
                <w:lang w:val="en-GB"/>
              </w:rPr>
              <w:t>This w</w:t>
            </w:r>
            <w:r w:rsidRPr="0033405D">
              <w:rPr>
                <w:rFonts w:ascii="Arial" w:hAnsi="Arial" w:cs="Arial"/>
                <w:sz w:val="22"/>
                <w:szCs w:val="22"/>
                <w:lang w:val="en-GB"/>
              </w:rPr>
              <w:t>as proposed by the Secretariat to the Committee at its eighth session (</w:t>
            </w:r>
            <w:r w:rsidRPr="00C81C86">
              <w:rPr>
                <w:rFonts w:ascii="Arial" w:hAnsi="Arial" w:cs="Arial"/>
                <w:sz w:val="22"/>
                <w:szCs w:val="22"/>
                <w:lang w:val="en-GB"/>
              </w:rPr>
              <w:t>Document </w:t>
            </w:r>
            <w:hyperlink r:id="rId37" w:history="1">
              <w:r w:rsidRPr="00C81C86">
                <w:rPr>
                  <w:rStyle w:val="Hyperlink"/>
                  <w:rFonts w:ascii="Arial" w:hAnsi="Arial" w:cs="Arial"/>
                  <w:sz w:val="22"/>
                  <w:szCs w:val="22"/>
                  <w:lang w:val="en-GB"/>
                </w:rPr>
                <w:t>ITH/13/8.COM/5.c</w:t>
              </w:r>
            </w:hyperlink>
            <w:r w:rsidRPr="00427622">
              <w:rPr>
                <w:rFonts w:ascii="Arial" w:hAnsi="Arial" w:cs="Arial"/>
                <w:sz w:val="22"/>
                <w:szCs w:val="22"/>
                <w:lang w:val="en-GB"/>
              </w:rPr>
              <w:t>) but not accepted by the Committee. The Secretariat is nevertheless giving important support to the International Assistance request mechanism and follow-up.</w:t>
            </w:r>
          </w:p>
        </w:tc>
      </w:tr>
      <w:tr w:rsidR="00381916" w:rsidRPr="00427622" w14:paraId="4B2E0CD8" w14:textId="77777777" w:rsidTr="002232C8">
        <w:tc>
          <w:tcPr>
            <w:tcW w:w="4717" w:type="dxa"/>
            <w:gridSpan w:val="2"/>
            <w:noWrap/>
            <w:tcMar>
              <w:top w:w="40" w:type="dxa"/>
              <w:left w:w="40" w:type="dxa"/>
              <w:bottom w:w="40" w:type="dxa"/>
              <w:right w:w="40" w:type="dxa"/>
            </w:tcMar>
          </w:tcPr>
          <w:p w14:paraId="5FA055AA" w14:textId="77777777" w:rsidR="00381916" w:rsidRPr="00427622"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250332A7" w14:textId="77777777" w:rsidR="00381916" w:rsidRPr="00427622"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06BAE69F" w14:textId="77777777" w:rsidR="00381916" w:rsidRPr="00427622"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2340F72C" w14:textId="77777777" w:rsidTr="002232C8">
        <w:tc>
          <w:tcPr>
            <w:tcW w:w="4717" w:type="dxa"/>
            <w:gridSpan w:val="2"/>
            <w:noWrap/>
            <w:tcMar>
              <w:top w:w="40" w:type="dxa"/>
              <w:left w:w="40" w:type="dxa"/>
              <w:bottom w:w="40" w:type="dxa"/>
              <w:right w:w="40" w:type="dxa"/>
            </w:tcMar>
          </w:tcPr>
          <w:p w14:paraId="40AFA551" w14:textId="77777777" w:rsidR="00381916" w:rsidRPr="0033405D" w:rsidRDefault="00381916" w:rsidP="002232C8">
            <w:pPr>
              <w:spacing w:before="60" w:after="60"/>
              <w:ind w:left="113" w:right="57"/>
              <w:rPr>
                <w:rFonts w:ascii="Arial" w:hAnsi="Arial" w:cs="Arial"/>
                <w:sz w:val="22"/>
                <w:szCs w:val="22"/>
                <w:lang w:val="en-GB"/>
              </w:rPr>
            </w:pPr>
            <w:r w:rsidRPr="00427622">
              <w:rPr>
                <w:rFonts w:ascii="Arial" w:hAnsi="Arial" w:cs="Arial"/>
                <w:sz w:val="22"/>
                <w:szCs w:val="22"/>
                <w:lang w:val="en-GB"/>
              </w:rPr>
              <w:t xml:space="preserve">Propose </w:t>
            </w:r>
            <w:r>
              <w:rPr>
                <w:rFonts w:ascii="Arial" w:hAnsi="Arial" w:cs="Arial"/>
                <w:sz w:val="22"/>
                <w:szCs w:val="22"/>
                <w:lang w:val="en-GB"/>
              </w:rPr>
              <w:t xml:space="preserve">the </w:t>
            </w:r>
            <w:r w:rsidRPr="00427622">
              <w:rPr>
                <w:rFonts w:ascii="Arial" w:hAnsi="Arial" w:cs="Arial"/>
                <w:sz w:val="22"/>
                <w:szCs w:val="22"/>
                <w:lang w:val="en-GB"/>
              </w:rPr>
              <w:t>amendment of the Operational Directives to increase the ceiling of International Assistance requests that can be approved by the Bureau (currently up to US$25,000).</w:t>
            </w:r>
          </w:p>
        </w:tc>
        <w:tc>
          <w:tcPr>
            <w:tcW w:w="1986" w:type="dxa"/>
            <w:gridSpan w:val="2"/>
            <w:noWrap/>
            <w:tcMar>
              <w:top w:w="40" w:type="dxa"/>
              <w:left w:w="40" w:type="dxa"/>
              <w:bottom w:w="40" w:type="dxa"/>
              <w:right w:w="40" w:type="dxa"/>
            </w:tcMar>
          </w:tcPr>
          <w:p w14:paraId="2D65EF04" w14:textId="77777777" w:rsidR="00381916" w:rsidRPr="0033405D" w:rsidRDefault="00381916" w:rsidP="002232C8">
            <w:pPr>
              <w:spacing w:before="60" w:after="60"/>
              <w:ind w:left="57"/>
              <w:rPr>
                <w:rFonts w:ascii="Arial" w:hAnsi="Arial" w:cs="Arial"/>
                <w:sz w:val="22"/>
                <w:szCs w:val="22"/>
                <w:lang w:val="en-GB"/>
              </w:rPr>
            </w:pPr>
            <w:r w:rsidRPr="0033405D">
              <w:rPr>
                <w:rFonts w:ascii="Arial" w:hAnsi="Arial" w:cs="Arial"/>
                <w:sz w:val="22"/>
                <w:szCs w:val="22"/>
                <w:lang w:val="en-GB"/>
              </w:rPr>
              <w:t>December 2015</w:t>
            </w:r>
          </w:p>
        </w:tc>
        <w:tc>
          <w:tcPr>
            <w:tcW w:w="7655" w:type="dxa"/>
            <w:noWrap/>
            <w:tcMar>
              <w:top w:w="40" w:type="dxa"/>
              <w:left w:w="40" w:type="dxa"/>
              <w:bottom w:w="40" w:type="dxa"/>
              <w:right w:w="40" w:type="dxa"/>
            </w:tcMar>
          </w:tcPr>
          <w:p w14:paraId="3A8F3715" w14:textId="77777777" w:rsidR="00381916" w:rsidRPr="0033405D" w:rsidRDefault="00381916" w:rsidP="002232C8">
            <w:pPr>
              <w:pStyle w:val="ListParagraph"/>
              <w:numPr>
                <w:ilvl w:val="0"/>
                <w:numId w:val="9"/>
              </w:numPr>
              <w:spacing w:before="60" w:beforeAutospacing="0" w:after="60" w:afterAutospacing="0"/>
              <w:ind w:left="470" w:hanging="357"/>
              <w:contextualSpacing/>
              <w:rPr>
                <w:rFonts w:ascii="Arial" w:hAnsi="Arial" w:cs="Arial"/>
                <w:b/>
                <w:sz w:val="22"/>
                <w:szCs w:val="22"/>
                <w:u w:val="single"/>
                <w:lang w:val="en-GB"/>
              </w:rPr>
            </w:pPr>
            <w:r w:rsidRPr="00427622">
              <w:rPr>
                <w:rFonts w:ascii="Arial" w:hAnsi="Arial" w:cs="Arial"/>
                <w:sz w:val="22"/>
                <w:szCs w:val="22"/>
                <w:lang w:val="en-GB"/>
              </w:rPr>
              <w:t>The proposal to increase the ceiling to US$100,000 was endorsed by the Committee at its tenth session (</w:t>
            </w:r>
            <w:hyperlink r:id="rId38" w:history="1">
              <w:r w:rsidRPr="00BB6E41">
                <w:rPr>
                  <w:rStyle w:val="Hyperlink"/>
                  <w:rFonts w:ascii="Arial" w:hAnsi="Arial" w:cs="Arial"/>
                  <w:sz w:val="22"/>
                  <w:szCs w:val="22"/>
                  <w:lang w:val="en-GB"/>
                </w:rPr>
                <w:t>Decision 10.COM 15.c</w:t>
              </w:r>
            </w:hyperlink>
            <w:r w:rsidRPr="00427622">
              <w:rPr>
                <w:rFonts w:ascii="Arial" w:hAnsi="Arial" w:cs="Arial"/>
                <w:sz w:val="22"/>
                <w:szCs w:val="22"/>
                <w:lang w:val="en-GB"/>
              </w:rPr>
              <w:t>)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34820E6F" w14:textId="77777777" w:rsidTr="002232C8">
        <w:tc>
          <w:tcPr>
            <w:tcW w:w="4717" w:type="dxa"/>
            <w:gridSpan w:val="2"/>
            <w:noWrap/>
            <w:tcMar>
              <w:top w:w="40" w:type="dxa"/>
              <w:left w:w="40" w:type="dxa"/>
              <w:bottom w:w="40" w:type="dxa"/>
              <w:right w:w="40" w:type="dxa"/>
            </w:tcMar>
          </w:tcPr>
          <w:p w14:paraId="0E5724F6" w14:textId="77777777" w:rsidR="00381916" w:rsidRPr="0055633B" w:rsidDel="00ED20A1" w:rsidRDefault="00381916" w:rsidP="002232C8">
            <w:pPr>
              <w:spacing w:before="60" w:after="60"/>
              <w:ind w:left="113" w:right="57"/>
              <w:rPr>
                <w:rFonts w:ascii="Arial" w:eastAsia="Malgun Gothic" w:hAnsi="Arial" w:cs="Arial"/>
                <w:sz w:val="22"/>
                <w:szCs w:val="22"/>
                <w:lang w:val="en-GB" w:eastAsia="ko-KR"/>
              </w:rPr>
            </w:pPr>
            <w:r w:rsidRPr="00427622">
              <w:rPr>
                <w:rFonts w:ascii="Arial" w:hAnsi="Arial" w:cs="Arial"/>
                <w:sz w:val="22"/>
                <w:szCs w:val="22"/>
                <w:lang w:val="en-GB"/>
              </w:rPr>
              <w:t xml:space="preserve">Present to the General Assembly </w:t>
            </w:r>
            <w:r>
              <w:rPr>
                <w:rFonts w:ascii="Arial" w:hAnsi="Arial" w:cs="Arial"/>
                <w:sz w:val="22"/>
                <w:szCs w:val="22"/>
                <w:lang w:val="en-GB"/>
              </w:rPr>
              <w:t xml:space="preserve">the </w:t>
            </w:r>
            <w:r w:rsidRPr="00427622">
              <w:rPr>
                <w:rFonts w:ascii="Arial" w:hAnsi="Arial" w:cs="Arial"/>
                <w:sz w:val="22"/>
                <w:szCs w:val="22"/>
                <w:lang w:val="en-GB"/>
              </w:rPr>
              <w:t>amendment of the Operational Directives to increase the ceiling of International Assistance requests that can be approved by the Bure</w:t>
            </w:r>
            <w:r>
              <w:rPr>
                <w:rFonts w:ascii="Arial" w:hAnsi="Arial" w:cs="Arial"/>
                <w:sz w:val="22"/>
                <w:szCs w:val="22"/>
                <w:lang w:val="en-GB"/>
              </w:rPr>
              <w:t>au (currently up to US$25,000).</w:t>
            </w:r>
          </w:p>
        </w:tc>
        <w:tc>
          <w:tcPr>
            <w:tcW w:w="1986" w:type="dxa"/>
            <w:gridSpan w:val="2"/>
            <w:noWrap/>
            <w:tcMar>
              <w:top w:w="40" w:type="dxa"/>
              <w:left w:w="40" w:type="dxa"/>
              <w:bottom w:w="40" w:type="dxa"/>
              <w:right w:w="40" w:type="dxa"/>
            </w:tcMar>
          </w:tcPr>
          <w:p w14:paraId="403199E7" w14:textId="77777777" w:rsidR="00381916" w:rsidRPr="0033405D" w:rsidDel="00ED20A1" w:rsidRDefault="00381916" w:rsidP="002232C8">
            <w:pPr>
              <w:spacing w:before="60" w:after="60"/>
              <w:ind w:left="57"/>
              <w:rPr>
                <w:rFonts w:ascii="Arial" w:hAnsi="Arial" w:cs="Arial"/>
                <w:sz w:val="22"/>
                <w:szCs w:val="22"/>
                <w:lang w:val="en-GB"/>
              </w:rPr>
            </w:pPr>
            <w:r w:rsidRPr="0033405D">
              <w:rPr>
                <w:rFonts w:ascii="Arial" w:hAnsi="Arial" w:cs="Arial"/>
                <w:sz w:val="22"/>
                <w:szCs w:val="22"/>
                <w:lang w:val="en-GB"/>
              </w:rPr>
              <w:t>June 2016</w:t>
            </w:r>
          </w:p>
        </w:tc>
        <w:tc>
          <w:tcPr>
            <w:tcW w:w="7655" w:type="dxa"/>
            <w:noWrap/>
            <w:tcMar>
              <w:top w:w="40" w:type="dxa"/>
              <w:left w:w="40" w:type="dxa"/>
              <w:bottom w:w="40" w:type="dxa"/>
              <w:right w:w="40" w:type="dxa"/>
            </w:tcMar>
          </w:tcPr>
          <w:p w14:paraId="49EA1706" w14:textId="77777777" w:rsidR="00381916" w:rsidRPr="00427622" w:rsidDel="00ED20A1" w:rsidRDefault="00381916" w:rsidP="002232C8">
            <w:pPr>
              <w:pStyle w:val="ListParagraph"/>
              <w:numPr>
                <w:ilvl w:val="0"/>
                <w:numId w:val="9"/>
              </w:numPr>
              <w:spacing w:before="60" w:beforeAutospacing="0" w:after="60" w:afterAutospacing="0"/>
              <w:ind w:left="470" w:hanging="357"/>
              <w:contextualSpacing/>
              <w:rPr>
                <w:rFonts w:ascii="Arial" w:hAnsi="Arial" w:cs="Arial"/>
                <w:b/>
                <w:bCs/>
                <w:i/>
                <w:iCs/>
                <w:sz w:val="22"/>
                <w:szCs w:val="22"/>
                <w:lang w:val="en-GB"/>
              </w:rPr>
            </w:pPr>
            <w:r w:rsidRPr="00427622">
              <w:rPr>
                <w:rFonts w:ascii="Arial" w:hAnsi="Arial" w:cs="Arial"/>
                <w:sz w:val="22"/>
                <w:szCs w:val="22"/>
                <w:lang w:val="en-GB"/>
              </w:rPr>
              <w:t>The General Assembly approved at its sixth session in 2016 amendments to the Operational Directives (chapters I.8, I.10, I.14 and I.15) to increase the ceiling of International Assistance requests that can be approved by the Bureau to US$100,000 (</w:t>
            </w:r>
            <w:hyperlink r:id="rId39" w:history="1">
              <w:r w:rsidRPr="00427622">
                <w:rPr>
                  <w:rStyle w:val="Hyperlink"/>
                  <w:rFonts w:ascii="Arial" w:hAnsi="Arial" w:cs="Arial"/>
                  <w:sz w:val="22"/>
                  <w:szCs w:val="22"/>
                  <w:lang w:val="en-GB"/>
                </w:rPr>
                <w:t>Resolution 6.GA 7</w:t>
              </w:r>
            </w:hyperlink>
            <w:r w:rsidRPr="00427622">
              <w:rPr>
                <w:rFonts w:ascii="Arial" w:hAnsi="Arial" w:cs="Arial"/>
                <w:sz w:val="22"/>
                <w:szCs w:val="22"/>
                <w:lang w:val="en-GB"/>
              </w:rPr>
              <w:t>)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0173F72C" w14:textId="77777777" w:rsidTr="002232C8">
        <w:tc>
          <w:tcPr>
            <w:tcW w:w="14358" w:type="dxa"/>
            <w:gridSpan w:val="5"/>
            <w:shd w:val="clear" w:color="auto" w:fill="E6E6E6"/>
            <w:noWrap/>
            <w:tcMar>
              <w:top w:w="40" w:type="dxa"/>
              <w:left w:w="40" w:type="dxa"/>
              <w:bottom w:w="40" w:type="dxa"/>
              <w:right w:w="40" w:type="dxa"/>
            </w:tcMar>
          </w:tcPr>
          <w:p w14:paraId="7C707636" w14:textId="77777777" w:rsidR="00381916" w:rsidRPr="0033405D" w:rsidRDefault="00381916" w:rsidP="002232C8">
            <w:pPr>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14: Promote International Assistance as a capacity</w:t>
            </w:r>
            <w:r>
              <w:rPr>
                <w:rFonts w:ascii="Arial" w:hAnsi="Arial" w:cs="Arial"/>
                <w:b/>
                <w:sz w:val="22"/>
                <w:szCs w:val="22"/>
                <w:lang w:val="en-GB"/>
              </w:rPr>
              <w:t>-</w:t>
            </w:r>
            <w:r w:rsidRPr="0033405D">
              <w:rPr>
                <w:rFonts w:ascii="Arial" w:hAnsi="Arial" w:cs="Arial"/>
                <w:b/>
                <w:sz w:val="22"/>
                <w:szCs w:val="22"/>
                <w:lang w:val="en-GB"/>
              </w:rPr>
              <w:t>building mechanism for States Parties.</w:t>
            </w:r>
          </w:p>
        </w:tc>
      </w:tr>
      <w:tr w:rsidR="00381916" w:rsidRPr="00284E2B" w14:paraId="5900EAA9" w14:textId="77777777" w:rsidTr="002232C8">
        <w:tc>
          <w:tcPr>
            <w:tcW w:w="14358" w:type="dxa"/>
            <w:gridSpan w:val="5"/>
            <w:noWrap/>
            <w:tcMar>
              <w:top w:w="40" w:type="dxa"/>
              <w:left w:w="40" w:type="dxa"/>
              <w:bottom w:w="40" w:type="dxa"/>
              <w:right w:w="40" w:type="dxa"/>
            </w:tcMar>
          </w:tcPr>
          <w:p w14:paraId="58DE08B5" w14:textId="77777777" w:rsidR="00381916" w:rsidRPr="00427622" w:rsidRDefault="00381916" w:rsidP="002232C8">
            <w:pPr>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xml:space="preserve">: The Secretariat </w:t>
            </w:r>
            <w:r>
              <w:rPr>
                <w:rFonts w:ascii="Arial" w:hAnsi="Arial" w:cs="Arial"/>
                <w:sz w:val="22"/>
                <w:szCs w:val="22"/>
                <w:lang w:val="en-GB"/>
              </w:rPr>
              <w:t>provides</w:t>
            </w:r>
            <w:r w:rsidRPr="0033405D">
              <w:rPr>
                <w:rFonts w:ascii="Arial" w:hAnsi="Arial" w:cs="Arial"/>
                <w:sz w:val="22"/>
                <w:szCs w:val="22"/>
                <w:lang w:val="en-GB"/>
              </w:rPr>
              <w:t xml:space="preserve"> important and frequent feedback on </w:t>
            </w:r>
            <w:r>
              <w:rPr>
                <w:rFonts w:ascii="Arial" w:hAnsi="Arial" w:cs="Arial"/>
                <w:sz w:val="22"/>
                <w:szCs w:val="22"/>
                <w:lang w:val="en-GB"/>
              </w:rPr>
              <w:t>I</w:t>
            </w:r>
            <w:r w:rsidRPr="0033405D">
              <w:rPr>
                <w:rFonts w:ascii="Arial" w:hAnsi="Arial" w:cs="Arial"/>
                <w:sz w:val="22"/>
                <w:szCs w:val="22"/>
                <w:lang w:val="en-GB"/>
              </w:rPr>
              <w:t xml:space="preserve">nternational </w:t>
            </w:r>
            <w:r>
              <w:rPr>
                <w:rFonts w:ascii="Arial" w:hAnsi="Arial" w:cs="Arial"/>
                <w:sz w:val="22"/>
                <w:szCs w:val="22"/>
                <w:lang w:val="en-GB"/>
              </w:rPr>
              <w:t>A</w:t>
            </w:r>
            <w:r w:rsidRPr="0033405D">
              <w:rPr>
                <w:rFonts w:ascii="Arial" w:hAnsi="Arial" w:cs="Arial"/>
                <w:sz w:val="22"/>
                <w:szCs w:val="22"/>
                <w:lang w:val="en-GB"/>
              </w:rPr>
              <w:t>ssistance requests, including technical assistance, integrating this work as a capacity-building exercise.</w:t>
            </w:r>
          </w:p>
        </w:tc>
      </w:tr>
      <w:tr w:rsidR="00381916" w:rsidRPr="00427622" w14:paraId="7E725E76" w14:textId="77777777" w:rsidTr="002232C8">
        <w:tc>
          <w:tcPr>
            <w:tcW w:w="4717" w:type="dxa"/>
            <w:gridSpan w:val="2"/>
            <w:noWrap/>
            <w:tcMar>
              <w:top w:w="40" w:type="dxa"/>
              <w:left w:w="40" w:type="dxa"/>
              <w:bottom w:w="40" w:type="dxa"/>
              <w:right w:w="40" w:type="dxa"/>
            </w:tcMar>
          </w:tcPr>
          <w:p w14:paraId="133731B6"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77ABE33"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ADF9560"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1D5A17A7" w14:textId="77777777" w:rsidTr="002232C8">
        <w:tc>
          <w:tcPr>
            <w:tcW w:w="4717" w:type="dxa"/>
            <w:gridSpan w:val="2"/>
            <w:noWrap/>
            <w:tcMar>
              <w:top w:w="40" w:type="dxa"/>
              <w:left w:w="40" w:type="dxa"/>
              <w:bottom w:w="40" w:type="dxa"/>
              <w:right w:w="40" w:type="dxa"/>
            </w:tcMar>
          </w:tcPr>
          <w:p w14:paraId="049EC5DD" w14:textId="77777777" w:rsidR="00381916" w:rsidRPr="0033405D" w:rsidRDefault="00381916" w:rsidP="002232C8">
            <w:pPr>
              <w:spacing w:before="120" w:after="120"/>
              <w:ind w:left="113" w:right="57"/>
              <w:rPr>
                <w:rFonts w:ascii="Arial" w:hAnsi="Arial" w:cs="Arial"/>
                <w:sz w:val="22"/>
                <w:szCs w:val="22"/>
                <w:lang w:val="en-GB"/>
              </w:rPr>
            </w:pPr>
            <w:r w:rsidRPr="00427622">
              <w:rPr>
                <w:rFonts w:ascii="Arial" w:hAnsi="Arial" w:cs="Arial"/>
                <w:sz w:val="22"/>
                <w:szCs w:val="22"/>
                <w:lang w:val="en-GB"/>
              </w:rPr>
              <w:t xml:space="preserve">Provide technical assistance </w:t>
            </w:r>
            <w:r>
              <w:rPr>
                <w:rFonts w:ascii="Arial" w:hAnsi="Arial" w:cs="Arial"/>
                <w:sz w:val="22"/>
                <w:szCs w:val="22"/>
                <w:lang w:val="en-GB"/>
              </w:rPr>
              <w:t>with</w:t>
            </w:r>
            <w:r w:rsidRPr="00427622">
              <w:rPr>
                <w:rFonts w:ascii="Arial" w:hAnsi="Arial" w:cs="Arial"/>
                <w:sz w:val="22"/>
                <w:szCs w:val="22"/>
                <w:lang w:val="en-GB"/>
              </w:rPr>
              <w:t xml:space="preserve"> International Assistance elaboration as appropriate and promote other forms than just donations.</w:t>
            </w:r>
          </w:p>
        </w:tc>
        <w:tc>
          <w:tcPr>
            <w:tcW w:w="1986" w:type="dxa"/>
            <w:gridSpan w:val="2"/>
            <w:noWrap/>
            <w:tcMar>
              <w:top w:w="40" w:type="dxa"/>
              <w:left w:w="40" w:type="dxa"/>
              <w:bottom w:w="40" w:type="dxa"/>
              <w:right w:w="40" w:type="dxa"/>
            </w:tcMar>
          </w:tcPr>
          <w:p w14:paraId="5A195F76" w14:textId="77777777" w:rsidR="00381916" w:rsidRPr="0033405D" w:rsidRDefault="00381916" w:rsidP="002232C8">
            <w:pPr>
              <w:spacing w:before="120" w:after="120"/>
              <w:ind w:left="57"/>
              <w:rPr>
                <w:rFonts w:ascii="Arial" w:hAnsi="Arial" w:cs="Arial"/>
                <w:sz w:val="22"/>
                <w:szCs w:val="22"/>
                <w:lang w:val="en-GB"/>
              </w:rPr>
            </w:pPr>
            <w:r w:rsidRPr="0033405D">
              <w:rPr>
                <w:rFonts w:ascii="Arial" w:hAnsi="Arial" w:cs="Arial"/>
                <w:sz w:val="22"/>
                <w:szCs w:val="22"/>
                <w:lang w:val="en-GB"/>
              </w:rPr>
              <w:t>Ongoing</w:t>
            </w:r>
          </w:p>
        </w:tc>
        <w:tc>
          <w:tcPr>
            <w:tcW w:w="7655" w:type="dxa"/>
            <w:noWrap/>
            <w:tcMar>
              <w:top w:w="40" w:type="dxa"/>
              <w:left w:w="40" w:type="dxa"/>
              <w:bottom w:w="40" w:type="dxa"/>
              <w:right w:w="40" w:type="dxa"/>
            </w:tcMar>
          </w:tcPr>
          <w:p w14:paraId="1A702A34"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Following the Committee’s request, the Secretariat ‘devise[d] a means, to offer technical assistance, through the provision of experts, as described in Article 21 of the Convention, to States Parties wishing to elaborate requests for International Assistance’ (</w:t>
            </w:r>
            <w:hyperlink r:id="rId40" w:history="1">
              <w:r w:rsidRPr="00427622">
                <w:rPr>
                  <w:rStyle w:val="Hyperlink"/>
                  <w:rFonts w:ascii="Arial" w:hAnsi="Arial" w:cs="Arial"/>
                  <w:sz w:val="22"/>
                  <w:szCs w:val="22"/>
                  <w:lang w:val="en-GB"/>
                </w:rPr>
                <w:t>Decision 8.COM 7.c</w:t>
              </w:r>
            </w:hyperlink>
            <w:r w:rsidRPr="00427622">
              <w:rPr>
                <w:rFonts w:ascii="Arial" w:hAnsi="Arial" w:cs="Arial"/>
                <w:sz w:val="22"/>
                <w:szCs w:val="22"/>
                <w:lang w:val="en-GB"/>
              </w:rPr>
              <w:t>).</w:t>
            </w:r>
          </w:p>
          <w:p w14:paraId="5C0FDBCA" w14:textId="77777777" w:rsidR="00381916" w:rsidRPr="00427622" w:rsidRDefault="00381916" w:rsidP="002232C8">
            <w:pPr>
              <w:pStyle w:val="ListParagraph"/>
              <w:spacing w:before="120" w:beforeAutospacing="0" w:after="120" w:afterAutospacing="0"/>
              <w:ind w:left="470"/>
              <w:rPr>
                <w:rFonts w:ascii="Arial" w:hAnsi="Arial" w:cs="Arial"/>
                <w:sz w:val="22"/>
                <w:szCs w:val="22"/>
                <w:lang w:val="en-GB"/>
              </w:rPr>
            </w:pPr>
            <w:r w:rsidRPr="0033405D">
              <w:rPr>
                <w:rFonts w:ascii="Arial" w:hAnsi="Arial" w:cs="Arial"/>
                <w:sz w:val="22"/>
                <w:szCs w:val="22"/>
                <w:lang w:val="en-GB"/>
              </w:rPr>
              <w:t xml:space="preserve">Nine </w:t>
            </w:r>
            <w:r w:rsidRPr="00427622">
              <w:rPr>
                <w:rFonts w:ascii="Arial" w:hAnsi="Arial" w:cs="Arial"/>
                <w:sz w:val="22"/>
                <w:szCs w:val="22"/>
                <w:lang w:val="en-GB"/>
              </w:rPr>
              <w:t>countries have already benefited from this mechanism.</w:t>
            </w:r>
          </w:p>
          <w:p w14:paraId="676FB87C"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An </w:t>
            </w:r>
            <w:r w:rsidRPr="00BB6E41">
              <w:rPr>
                <w:rFonts w:ascii="Arial" w:hAnsi="Arial" w:cs="Arial"/>
                <w:i/>
                <w:sz w:val="22"/>
                <w:szCs w:val="22"/>
                <w:lang w:val="en-GB"/>
              </w:rPr>
              <w:t>aide-mémoire</w:t>
            </w:r>
            <w:r>
              <w:rPr>
                <w:rFonts w:ascii="Arial" w:hAnsi="Arial" w:cs="Arial"/>
                <w:sz w:val="22"/>
                <w:szCs w:val="22"/>
                <w:lang w:val="en-GB"/>
              </w:rPr>
              <w:t xml:space="preserve"> for completing a request for International A</w:t>
            </w:r>
            <w:r w:rsidRPr="0033405D">
              <w:rPr>
                <w:rFonts w:ascii="Arial" w:hAnsi="Arial" w:cs="Arial"/>
                <w:sz w:val="22"/>
                <w:szCs w:val="22"/>
                <w:lang w:val="en-GB"/>
              </w:rPr>
              <w:t xml:space="preserve">ssistance </w:t>
            </w:r>
            <w:r w:rsidRPr="00427622">
              <w:rPr>
                <w:rFonts w:ascii="Arial" w:hAnsi="Arial" w:cs="Arial"/>
                <w:sz w:val="22"/>
                <w:szCs w:val="22"/>
                <w:lang w:val="en-GB"/>
              </w:rPr>
              <w:t>was developed in English (2015) and</w:t>
            </w:r>
            <w:r w:rsidRPr="0033405D">
              <w:rPr>
                <w:rFonts w:ascii="Arial" w:hAnsi="Arial" w:cs="Arial"/>
                <w:sz w:val="22"/>
                <w:szCs w:val="22"/>
                <w:lang w:val="en-GB"/>
              </w:rPr>
              <w:t xml:space="preserve"> French</w:t>
            </w:r>
            <w:r w:rsidRPr="00427622">
              <w:rPr>
                <w:rFonts w:ascii="Arial" w:hAnsi="Arial" w:cs="Arial"/>
                <w:sz w:val="22"/>
                <w:szCs w:val="22"/>
                <w:lang w:val="en-GB"/>
              </w:rPr>
              <w:t xml:space="preserve"> (2016)</w:t>
            </w:r>
            <w:r w:rsidRPr="0033405D">
              <w:rPr>
                <w:rFonts w:ascii="Arial" w:hAnsi="Arial" w:cs="Arial"/>
                <w:sz w:val="22"/>
                <w:szCs w:val="22"/>
                <w:lang w:val="en-GB"/>
              </w:rPr>
              <w:t>.</w:t>
            </w:r>
          </w:p>
          <w:p w14:paraId="440560A9" w14:textId="2D54F525"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rPr>
            </w:pPr>
            <w:r w:rsidRPr="00A771C0">
              <w:rPr>
                <w:rFonts w:ascii="Arial" w:hAnsi="Arial" w:cs="Arial"/>
                <w:sz w:val="22"/>
                <w:szCs w:val="22"/>
                <w:lang w:val="en-GB"/>
              </w:rPr>
              <w:lastRenderedPageBreak/>
              <w:t>The Secretariat promoted</w:t>
            </w:r>
            <w:r>
              <w:rPr>
                <w:rFonts w:ascii="Arial" w:hAnsi="Arial" w:cs="Arial"/>
                <w:sz w:val="22"/>
                <w:szCs w:val="22"/>
                <w:lang w:val="en-GB"/>
              </w:rPr>
              <w:t xml:space="preserve"> the use of International A</w:t>
            </w:r>
            <w:r w:rsidRPr="007A4719">
              <w:rPr>
                <w:rFonts w:ascii="Arial" w:hAnsi="Arial" w:cs="Arial"/>
                <w:sz w:val="22"/>
                <w:szCs w:val="22"/>
                <w:lang w:val="en-GB"/>
              </w:rPr>
              <w:t>ssistance in forms other than just donations, as per Article 21 of the Convention (</w:t>
            </w:r>
            <w:r w:rsidRPr="002F2B98">
              <w:rPr>
                <w:rFonts w:ascii="Arial" w:hAnsi="Arial" w:cs="Arial"/>
                <w:sz w:val="22"/>
                <w:szCs w:val="22"/>
                <w:lang w:val="en-GB"/>
              </w:rPr>
              <w:t>Document </w:t>
            </w:r>
            <w:hyperlink r:id="rId41" w:history="1">
              <w:r w:rsidRPr="002F2B98">
                <w:rPr>
                  <w:rStyle w:val="Hyperlink"/>
                  <w:rFonts w:ascii="Arial" w:hAnsi="Arial" w:cs="Arial"/>
                  <w:sz w:val="22"/>
                  <w:szCs w:val="22"/>
                  <w:lang w:val="en-GB"/>
                </w:rPr>
                <w:t>ITH/15/10.COM/8</w:t>
              </w:r>
            </w:hyperlink>
            <w:r w:rsidRPr="00A771C0">
              <w:rPr>
                <w:rFonts w:ascii="Arial" w:hAnsi="Arial" w:cs="Arial"/>
                <w:sz w:val="22"/>
                <w:szCs w:val="22"/>
                <w:lang w:val="en-GB"/>
              </w:rPr>
              <w:t>). Following the decision of the Committee in 2015</w:t>
            </w:r>
            <w:r w:rsidRPr="007A4719">
              <w:rPr>
                <w:rFonts w:ascii="Arial" w:hAnsi="Arial" w:cs="Arial"/>
                <w:sz w:val="22"/>
                <w:szCs w:val="22"/>
                <w:lang w:val="en-GB"/>
              </w:rPr>
              <w:t xml:space="preserve"> (</w:t>
            </w:r>
            <w:hyperlink r:id="rId42" w:history="1">
              <w:r w:rsidRPr="00A771C0">
                <w:rPr>
                  <w:rStyle w:val="Hyperlink"/>
                  <w:rFonts w:ascii="Arial" w:hAnsi="Arial" w:cs="Arial"/>
                  <w:sz w:val="22"/>
                  <w:szCs w:val="22"/>
                  <w:lang w:val="en-GB"/>
                </w:rPr>
                <w:t>Decision 10.COM 8</w:t>
              </w:r>
            </w:hyperlink>
            <w:r w:rsidRPr="00A771C0">
              <w:rPr>
                <w:rFonts w:ascii="Arial" w:hAnsi="Arial" w:cs="Arial"/>
                <w:sz w:val="22"/>
                <w:szCs w:val="22"/>
                <w:lang w:val="en-GB"/>
              </w:rPr>
              <w:t>), Form ICH-04</w:t>
            </w:r>
            <w:r w:rsidRPr="007A4719">
              <w:rPr>
                <w:rFonts w:ascii="Arial" w:hAnsi="Arial" w:cs="Arial"/>
                <w:sz w:val="22"/>
                <w:szCs w:val="22"/>
                <w:lang w:val="en-GB"/>
              </w:rPr>
              <w:t xml:space="preserve"> is planned to be revised to better reflect the provisions in Article 21 of the Convention regarding the forms of International Assistance.</w:t>
            </w:r>
          </w:p>
        </w:tc>
      </w:tr>
      <w:tr w:rsidR="00381916" w:rsidRPr="00284E2B" w14:paraId="35C0998C" w14:textId="77777777" w:rsidTr="002232C8">
        <w:tc>
          <w:tcPr>
            <w:tcW w:w="4717" w:type="dxa"/>
            <w:gridSpan w:val="2"/>
            <w:noWrap/>
            <w:tcMar>
              <w:top w:w="40" w:type="dxa"/>
              <w:left w:w="40" w:type="dxa"/>
              <w:bottom w:w="40" w:type="dxa"/>
              <w:right w:w="40" w:type="dxa"/>
            </w:tcMar>
          </w:tcPr>
          <w:p w14:paraId="244A167F" w14:textId="77777777" w:rsidR="00381916" w:rsidRPr="00427622" w:rsidRDefault="00381916" w:rsidP="002232C8">
            <w:pPr>
              <w:spacing w:before="120" w:after="120"/>
              <w:ind w:left="113" w:right="57"/>
              <w:rPr>
                <w:rFonts w:ascii="Arial" w:hAnsi="Arial" w:cs="Arial"/>
                <w:sz w:val="22"/>
                <w:szCs w:val="22"/>
                <w:lang w:val="en-GB"/>
              </w:rPr>
            </w:pPr>
            <w:r w:rsidRPr="00427622">
              <w:rPr>
                <w:rFonts w:ascii="Arial" w:hAnsi="Arial" w:cs="Arial"/>
                <w:sz w:val="22"/>
                <w:szCs w:val="22"/>
                <w:lang w:val="en-GB"/>
              </w:rPr>
              <w:lastRenderedPageBreak/>
              <w:t>Integrate and track trainings on International Assistance elaboration within CAP projects.</w:t>
            </w:r>
          </w:p>
        </w:tc>
        <w:tc>
          <w:tcPr>
            <w:tcW w:w="1986" w:type="dxa"/>
            <w:gridSpan w:val="2"/>
            <w:noWrap/>
            <w:tcMar>
              <w:top w:w="40" w:type="dxa"/>
              <w:left w:w="40" w:type="dxa"/>
              <w:bottom w:w="40" w:type="dxa"/>
              <w:right w:w="40" w:type="dxa"/>
            </w:tcMar>
          </w:tcPr>
          <w:p w14:paraId="494DBBC9" w14:textId="77777777" w:rsidR="00381916" w:rsidRPr="0033405D" w:rsidRDefault="00381916" w:rsidP="002232C8">
            <w:pPr>
              <w:keepNext/>
              <w:spacing w:before="120" w:after="120"/>
              <w:ind w:left="57"/>
              <w:outlineLvl w:val="1"/>
              <w:rPr>
                <w:rFonts w:ascii="Arial" w:hAnsi="Arial" w:cs="Arial"/>
                <w:sz w:val="22"/>
                <w:szCs w:val="22"/>
                <w:lang w:val="en-GB"/>
              </w:rPr>
            </w:pPr>
            <w:r w:rsidRPr="0033405D">
              <w:rPr>
                <w:rFonts w:ascii="Arial" w:hAnsi="Arial" w:cs="Arial"/>
                <w:sz w:val="22"/>
                <w:szCs w:val="22"/>
                <w:lang w:val="en-GB"/>
              </w:rPr>
              <w:t>2016</w:t>
            </w:r>
          </w:p>
        </w:tc>
        <w:tc>
          <w:tcPr>
            <w:tcW w:w="7655" w:type="dxa"/>
            <w:noWrap/>
            <w:tcMar>
              <w:top w:w="40" w:type="dxa"/>
              <w:left w:w="40" w:type="dxa"/>
              <w:bottom w:w="40" w:type="dxa"/>
              <w:right w:w="40" w:type="dxa"/>
            </w:tcMar>
          </w:tcPr>
          <w:p w14:paraId="4629E9F5"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International Assistance was integrated in</w:t>
            </w:r>
            <w:r>
              <w:rPr>
                <w:rFonts w:ascii="Arial" w:hAnsi="Arial" w:cs="Arial"/>
                <w:sz w:val="22"/>
                <w:szCs w:val="22"/>
                <w:lang w:val="en-GB"/>
              </w:rPr>
              <w:t>to</w:t>
            </w:r>
            <w:r w:rsidRPr="00427622">
              <w:rPr>
                <w:rFonts w:ascii="Arial" w:hAnsi="Arial" w:cs="Arial"/>
                <w:sz w:val="22"/>
                <w:szCs w:val="22"/>
                <w:lang w:val="en-GB"/>
              </w:rPr>
              <w:t xml:space="preserve"> workshops on the different curriculum areas (safeguarding, nominations, etc.).</w:t>
            </w:r>
          </w:p>
          <w:p w14:paraId="510130F9"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 xml:space="preserve">New comprehensive training materials on elaborating International Assistance were commissioned and </w:t>
            </w:r>
            <w:r w:rsidRPr="0033405D">
              <w:rPr>
                <w:rFonts w:ascii="Arial" w:hAnsi="Arial" w:cs="Arial"/>
                <w:sz w:val="22"/>
                <w:szCs w:val="22"/>
                <w:lang w:val="en-GB"/>
              </w:rPr>
              <w:t>have been developed</w:t>
            </w:r>
            <w:r w:rsidRPr="00427622">
              <w:rPr>
                <w:rFonts w:ascii="Arial" w:hAnsi="Arial" w:cs="Arial"/>
                <w:sz w:val="22"/>
                <w:szCs w:val="22"/>
                <w:lang w:val="en-GB"/>
              </w:rPr>
              <w:t>.</w:t>
            </w:r>
          </w:p>
        </w:tc>
      </w:tr>
      <w:tr w:rsidR="00381916" w:rsidRPr="00284E2B" w14:paraId="07EBABA5" w14:textId="77777777" w:rsidTr="002232C8">
        <w:tc>
          <w:tcPr>
            <w:tcW w:w="14358" w:type="dxa"/>
            <w:gridSpan w:val="5"/>
            <w:shd w:val="clear" w:color="auto" w:fill="E6E6E6"/>
            <w:noWrap/>
            <w:tcMar>
              <w:top w:w="40" w:type="dxa"/>
              <w:left w:w="40" w:type="dxa"/>
              <w:bottom w:w="40" w:type="dxa"/>
              <w:right w:w="40" w:type="dxa"/>
            </w:tcMar>
          </w:tcPr>
          <w:p w14:paraId="38CF6893" w14:textId="77777777" w:rsidR="00381916" w:rsidRPr="0033405D" w:rsidRDefault="00381916" w:rsidP="002232C8">
            <w:pPr>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15: Strengthen UNESCO’s cooperation with WIPO over traditional knowledge and culture to ensure an ongoing exchange and learning between the two organizations and their Member States, especially in the context of WIPO’s current discussions about a new international standard-setting instrument for the protection of the intellectual property rights of communities</w:t>
            </w:r>
            <w:r w:rsidRPr="00427622">
              <w:rPr>
                <w:rFonts w:ascii="Arial" w:hAnsi="Arial" w:cs="Arial"/>
                <w:sz w:val="22"/>
                <w:szCs w:val="22"/>
                <w:lang w:val="en-GB"/>
              </w:rPr>
              <w:t>.</w:t>
            </w:r>
          </w:p>
        </w:tc>
      </w:tr>
      <w:tr w:rsidR="00381916" w:rsidRPr="00284E2B" w14:paraId="4DDE710E" w14:textId="77777777" w:rsidTr="002232C8">
        <w:tc>
          <w:tcPr>
            <w:tcW w:w="14358" w:type="dxa"/>
            <w:gridSpan w:val="5"/>
            <w:noWrap/>
            <w:tcMar>
              <w:top w:w="40" w:type="dxa"/>
              <w:left w:w="40" w:type="dxa"/>
              <w:bottom w:w="40" w:type="dxa"/>
              <w:right w:w="40" w:type="dxa"/>
            </w:tcMar>
          </w:tcPr>
          <w:p w14:paraId="77247D0E" w14:textId="77777777" w:rsidR="00381916" w:rsidRPr="00427622" w:rsidRDefault="00381916" w:rsidP="002232C8">
            <w:pPr>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xml:space="preserve">: To the extent possible considering its human resources, the Secretariat will increase its cooperation with WIPO, in particular in organizing joint events/meetings and in participating in WIPO’s governing bodies meetings as </w:t>
            </w:r>
            <w:r>
              <w:rPr>
                <w:rFonts w:ascii="Arial" w:hAnsi="Arial" w:cs="Arial"/>
                <w:sz w:val="22"/>
                <w:szCs w:val="22"/>
                <w:lang w:val="en-GB"/>
              </w:rPr>
              <w:t xml:space="preserve">an </w:t>
            </w:r>
            <w:r w:rsidRPr="0033405D">
              <w:rPr>
                <w:rFonts w:ascii="Arial" w:hAnsi="Arial" w:cs="Arial"/>
                <w:sz w:val="22"/>
                <w:szCs w:val="22"/>
                <w:lang w:val="en-GB"/>
              </w:rPr>
              <w:t>observer.</w:t>
            </w:r>
          </w:p>
        </w:tc>
      </w:tr>
      <w:tr w:rsidR="00381916" w:rsidRPr="00427622" w14:paraId="26734473" w14:textId="77777777" w:rsidTr="002232C8">
        <w:tc>
          <w:tcPr>
            <w:tcW w:w="4717" w:type="dxa"/>
            <w:gridSpan w:val="2"/>
            <w:noWrap/>
            <w:tcMar>
              <w:top w:w="40" w:type="dxa"/>
              <w:left w:w="40" w:type="dxa"/>
              <w:bottom w:w="40" w:type="dxa"/>
              <w:right w:w="40" w:type="dxa"/>
            </w:tcMar>
          </w:tcPr>
          <w:p w14:paraId="69A4005F"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3AF37FE"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0403F24E" w14:textId="77777777" w:rsidR="00381916" w:rsidRPr="00427622"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19540A54" w14:textId="77777777" w:rsidTr="002232C8">
        <w:tc>
          <w:tcPr>
            <w:tcW w:w="4717" w:type="dxa"/>
            <w:gridSpan w:val="2"/>
            <w:noWrap/>
            <w:tcMar>
              <w:top w:w="40" w:type="dxa"/>
              <w:left w:w="40" w:type="dxa"/>
              <w:bottom w:w="40" w:type="dxa"/>
              <w:right w:w="40" w:type="dxa"/>
            </w:tcMar>
          </w:tcPr>
          <w:p w14:paraId="2F15A667" w14:textId="77777777" w:rsidR="00381916" w:rsidRPr="0033405D" w:rsidRDefault="00381916" w:rsidP="002232C8">
            <w:pPr>
              <w:spacing w:before="120" w:after="120"/>
              <w:ind w:left="113" w:right="57"/>
              <w:rPr>
                <w:rFonts w:ascii="Arial" w:hAnsi="Arial" w:cs="Arial"/>
                <w:sz w:val="22"/>
                <w:szCs w:val="22"/>
                <w:lang w:val="en-GB"/>
              </w:rPr>
            </w:pPr>
            <w:r w:rsidRPr="00427622">
              <w:rPr>
                <w:rFonts w:ascii="Arial" w:hAnsi="Arial" w:cs="Arial"/>
                <w:sz w:val="22"/>
                <w:szCs w:val="22"/>
                <w:lang w:val="en-GB"/>
              </w:rPr>
              <w:t>Strengthen UNESCO’s cooperation with WIPO to ensure ongoing exchange and learning between the two organizations and their Member States concerning traditional knowledge and cultural expression.</w:t>
            </w:r>
          </w:p>
        </w:tc>
        <w:tc>
          <w:tcPr>
            <w:tcW w:w="1986" w:type="dxa"/>
            <w:gridSpan w:val="2"/>
            <w:noWrap/>
            <w:tcMar>
              <w:top w:w="40" w:type="dxa"/>
              <w:left w:w="40" w:type="dxa"/>
              <w:bottom w:w="40" w:type="dxa"/>
              <w:right w:w="40" w:type="dxa"/>
            </w:tcMar>
          </w:tcPr>
          <w:p w14:paraId="6C9D80DA" w14:textId="77777777" w:rsidR="00381916" w:rsidRPr="0033405D" w:rsidRDefault="00381916" w:rsidP="002232C8">
            <w:pPr>
              <w:spacing w:before="120" w:after="120"/>
              <w:ind w:left="57"/>
              <w:rPr>
                <w:rFonts w:ascii="Arial" w:hAnsi="Arial" w:cs="Arial"/>
                <w:sz w:val="22"/>
                <w:szCs w:val="22"/>
                <w:lang w:val="en-GB"/>
              </w:rPr>
            </w:pPr>
            <w:r w:rsidRPr="0033405D">
              <w:rPr>
                <w:rFonts w:ascii="Arial" w:hAnsi="Arial" w:cs="Arial"/>
                <w:sz w:val="22"/>
                <w:szCs w:val="22"/>
                <w:lang w:val="en-GB"/>
              </w:rPr>
              <w:t>Ongoing</w:t>
            </w:r>
          </w:p>
        </w:tc>
        <w:tc>
          <w:tcPr>
            <w:tcW w:w="7655" w:type="dxa"/>
            <w:noWrap/>
            <w:tcMar>
              <w:top w:w="40" w:type="dxa"/>
              <w:left w:w="40" w:type="dxa"/>
              <w:bottom w:w="40" w:type="dxa"/>
              <w:right w:w="40" w:type="dxa"/>
            </w:tcMar>
          </w:tcPr>
          <w:p w14:paraId="71651750"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To ensure the strengthening of UNESCO’s cooperation with WIPO, the Bureau of the Committee approved funds for this purpose in the 2014-2015 and 2016-2017</w:t>
            </w:r>
            <w:r>
              <w:rPr>
                <w:rFonts w:ascii="Arial" w:hAnsi="Arial" w:cs="Arial"/>
                <w:sz w:val="22"/>
                <w:szCs w:val="22"/>
                <w:lang w:val="en-GB"/>
              </w:rPr>
              <w:t xml:space="preserve"> </w:t>
            </w:r>
            <w:r w:rsidRPr="00427622">
              <w:rPr>
                <w:rFonts w:ascii="Arial" w:hAnsi="Arial" w:cs="Arial"/>
                <w:sz w:val="22"/>
                <w:szCs w:val="22"/>
                <w:lang w:val="en-GB"/>
              </w:rPr>
              <w:t xml:space="preserve">spending plans for the use of </w:t>
            </w:r>
            <w:r>
              <w:rPr>
                <w:rFonts w:ascii="Arial" w:hAnsi="Arial" w:cs="Arial"/>
                <w:sz w:val="22"/>
                <w:szCs w:val="22"/>
                <w:lang w:val="en-GB"/>
              </w:rPr>
              <w:t>the</w:t>
            </w:r>
            <w:r>
              <w:rPr>
                <w:rFonts w:ascii="Arial" w:hAnsi="Arial" w:cs="Arial"/>
                <w:sz w:val="22"/>
                <w:szCs w:val="22"/>
                <w:lang w:val="en-US"/>
              </w:rPr>
              <w:t xml:space="preserve"> Intangible Culture Heritage Fund </w:t>
            </w:r>
            <w:r w:rsidRPr="00427622">
              <w:rPr>
                <w:rFonts w:ascii="Arial" w:hAnsi="Arial" w:cs="Arial"/>
                <w:sz w:val="22"/>
                <w:szCs w:val="22"/>
                <w:lang w:val="en-GB"/>
              </w:rPr>
              <w:t>dedicated to ‘other functions of the Committee’.</w:t>
            </w:r>
          </w:p>
          <w:p w14:paraId="4E3C5C76"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 xml:space="preserve">The Secretariat of the 2003 Convention participated in an expert meeting convened in June 2014 by the United Nations Special Rapporteur on the subject </w:t>
            </w:r>
            <w:r>
              <w:rPr>
                <w:rFonts w:ascii="Arial" w:hAnsi="Arial" w:cs="Arial"/>
                <w:sz w:val="22"/>
                <w:szCs w:val="22"/>
                <w:lang w:val="en-GB"/>
              </w:rPr>
              <w:t xml:space="preserve">of </w:t>
            </w:r>
            <w:r w:rsidRPr="00427622">
              <w:rPr>
                <w:rFonts w:ascii="Arial" w:hAnsi="Arial" w:cs="Arial"/>
                <w:sz w:val="22"/>
                <w:szCs w:val="22"/>
                <w:lang w:val="en-GB"/>
              </w:rPr>
              <w:t>‘the impact of intellectual property regimes on the enjoyment of the right to science and culture’.</w:t>
            </w:r>
          </w:p>
          <w:p w14:paraId="7CB3F334"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427622">
              <w:rPr>
                <w:rFonts w:ascii="Arial" w:hAnsi="Arial" w:cs="Arial"/>
                <w:sz w:val="22"/>
                <w:szCs w:val="22"/>
                <w:lang w:val="en-GB"/>
              </w:rPr>
              <w:t xml:space="preserve">The Secretariat collaborated with WIPO in organizing a conference on ‘Intellectual Property, Intangible Cultural Heritage and Traditional Medicine in the context of policies for the safeguarding of the intangible cultural heritage in the countries of South-Eastern Europe’ hosted by the </w:t>
            </w:r>
            <w:r w:rsidRPr="00427622">
              <w:rPr>
                <w:rFonts w:ascii="Arial" w:hAnsi="Arial" w:cs="Arial"/>
                <w:sz w:val="22"/>
                <w:szCs w:val="22"/>
                <w:lang w:val="en-GB"/>
              </w:rPr>
              <w:lastRenderedPageBreak/>
              <w:t>Regional Centre for the Safeguarding of Intangible Cultural Heritage in South-Eastern Europe in Sofia, Bulgaria, in April 2015.</w:t>
            </w:r>
          </w:p>
          <w:p w14:paraId="1E861804" w14:textId="77777777" w:rsidR="00381916" w:rsidRPr="007C566C" w:rsidRDefault="00381916" w:rsidP="002232C8">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rPr>
            </w:pPr>
            <w:r w:rsidRPr="00427622">
              <w:rPr>
                <w:rFonts w:ascii="Arial" w:hAnsi="Arial" w:cs="Arial"/>
                <w:sz w:val="22"/>
                <w:szCs w:val="22"/>
                <w:lang w:val="en-GB"/>
              </w:rPr>
              <w:t>The Secretariat participated in a seminar organized by WIPO in June 2015 on ‘Intellectual Property and Genetic Resources, Traditional Knowledge and Folklore’ to discuss the effective protection of traditional cultural expressions, knowledge and genetic resources, exploring initial ideas for cooperation to create synergies with relevant standard-setting instruments, including the 2003 Convention.</w:t>
            </w:r>
          </w:p>
        </w:tc>
      </w:tr>
      <w:tr w:rsidR="00381916" w:rsidRPr="00284E2B" w14:paraId="17CFE9DF" w14:textId="77777777" w:rsidTr="002232C8">
        <w:tc>
          <w:tcPr>
            <w:tcW w:w="14358" w:type="dxa"/>
            <w:gridSpan w:val="5"/>
            <w:shd w:val="clear" w:color="auto" w:fill="E6E6E6"/>
            <w:noWrap/>
            <w:tcMar>
              <w:top w:w="40" w:type="dxa"/>
              <w:left w:w="40" w:type="dxa"/>
              <w:bottom w:w="40" w:type="dxa"/>
              <w:right w:w="40" w:type="dxa"/>
            </w:tcMar>
          </w:tcPr>
          <w:p w14:paraId="481CE6D2" w14:textId="77777777" w:rsidR="00381916" w:rsidRPr="0033405D" w:rsidRDefault="00381916" w:rsidP="002232C8">
            <w:pPr>
              <w:keepLines/>
              <w:tabs>
                <w:tab w:val="left" w:pos="2640"/>
              </w:tabs>
              <w:spacing w:before="60" w:after="60"/>
              <w:ind w:left="113" w:right="113"/>
              <w:jc w:val="both"/>
              <w:rPr>
                <w:rFonts w:ascii="Arial" w:hAnsi="Arial" w:cs="Arial"/>
                <w:b/>
                <w:spacing w:val="-2"/>
                <w:sz w:val="22"/>
                <w:szCs w:val="22"/>
                <w:lang w:val="en-GB"/>
              </w:rPr>
            </w:pPr>
            <w:r w:rsidRPr="0033405D">
              <w:rPr>
                <w:rFonts w:ascii="Arial" w:hAnsi="Arial" w:cs="Arial"/>
                <w:b/>
                <w:spacing w:val="-2"/>
                <w:sz w:val="22"/>
                <w:szCs w:val="22"/>
                <w:lang w:val="en-GB"/>
              </w:rPr>
              <w:lastRenderedPageBreak/>
              <w:t xml:space="preserve">Recommendation 16: Create opportunities for joint thinking, </w:t>
            </w:r>
            <w:r>
              <w:rPr>
                <w:rFonts w:ascii="Arial" w:hAnsi="Arial" w:cs="Arial"/>
                <w:b/>
                <w:spacing w:val="-2"/>
                <w:sz w:val="22"/>
                <w:szCs w:val="22"/>
                <w:lang w:val="en-GB"/>
              </w:rPr>
              <w:t xml:space="preserve">the </w:t>
            </w:r>
            <w:r w:rsidRPr="0033405D">
              <w:rPr>
                <w:rFonts w:ascii="Arial" w:hAnsi="Arial" w:cs="Arial"/>
                <w:b/>
                <w:spacing w:val="-2"/>
                <w:sz w:val="22"/>
                <w:szCs w:val="22"/>
                <w:lang w:val="en-GB"/>
              </w:rPr>
              <w:t>exchange of experiences, cooperation and synergies between UNESCO’s culture conventions of 1972, 2003 and 2005 and establish appropriate mechanisms for this.</w:t>
            </w:r>
          </w:p>
        </w:tc>
      </w:tr>
      <w:tr w:rsidR="00381916" w:rsidRPr="00284E2B" w14:paraId="5DE4A992" w14:textId="77777777" w:rsidTr="002232C8">
        <w:tc>
          <w:tcPr>
            <w:tcW w:w="14358" w:type="dxa"/>
            <w:gridSpan w:val="5"/>
            <w:noWrap/>
            <w:tcMar>
              <w:top w:w="40" w:type="dxa"/>
              <w:left w:w="40" w:type="dxa"/>
              <w:bottom w:w="40" w:type="dxa"/>
              <w:right w:w="40" w:type="dxa"/>
            </w:tcMar>
          </w:tcPr>
          <w:p w14:paraId="1E4BD2DA" w14:textId="77777777" w:rsidR="00381916" w:rsidRPr="00427622" w:rsidRDefault="00381916" w:rsidP="002232C8">
            <w:pPr>
              <w:spacing w:before="60" w:after="60"/>
              <w:ind w:left="113" w:right="113"/>
              <w:jc w:val="both"/>
              <w:rPr>
                <w:rFonts w:ascii="Arial" w:hAnsi="Arial" w:cs="Arial"/>
                <w:spacing w:val="-2"/>
                <w:sz w:val="22"/>
                <w:szCs w:val="22"/>
                <w:lang w:val="en-GB"/>
              </w:rPr>
            </w:pPr>
            <w:r w:rsidRPr="0033405D">
              <w:rPr>
                <w:rFonts w:ascii="Arial" w:hAnsi="Arial" w:cs="Arial"/>
                <w:b/>
                <w:spacing w:val="-2"/>
                <w:sz w:val="22"/>
                <w:szCs w:val="22"/>
                <w:lang w:val="en-GB"/>
              </w:rPr>
              <w:t>Management Response</w:t>
            </w:r>
            <w:r w:rsidRPr="0033405D">
              <w:rPr>
                <w:rFonts w:ascii="Arial" w:hAnsi="Arial" w:cs="Arial"/>
                <w:spacing w:val="-2"/>
                <w:sz w:val="22"/>
                <w:szCs w:val="22"/>
                <w:lang w:val="en-GB"/>
              </w:rPr>
              <w:t xml:space="preserve">: The Cultural Conventions Liaison Group, comprising the Secretaries of the respective conventions and senior CLT management, </w:t>
            </w:r>
            <w:r>
              <w:rPr>
                <w:rFonts w:ascii="Arial" w:hAnsi="Arial" w:cs="Arial"/>
                <w:spacing w:val="-2"/>
                <w:sz w:val="22"/>
                <w:szCs w:val="22"/>
                <w:lang w:val="en-GB"/>
              </w:rPr>
              <w:t>meets</w:t>
            </w:r>
            <w:r w:rsidRPr="0033405D">
              <w:rPr>
                <w:rFonts w:ascii="Arial" w:hAnsi="Arial" w:cs="Arial"/>
                <w:spacing w:val="-2"/>
                <w:sz w:val="22"/>
                <w:szCs w:val="22"/>
                <w:lang w:val="en-GB"/>
              </w:rPr>
              <w:t xml:space="preserve"> regularly and shar</w:t>
            </w:r>
            <w:r>
              <w:rPr>
                <w:rFonts w:ascii="Arial" w:hAnsi="Arial" w:cs="Arial"/>
                <w:spacing w:val="-2"/>
                <w:sz w:val="22"/>
                <w:szCs w:val="22"/>
                <w:lang w:val="en-GB"/>
              </w:rPr>
              <w:t>es</w:t>
            </w:r>
            <w:r w:rsidRPr="0033405D">
              <w:rPr>
                <w:rFonts w:ascii="Arial" w:hAnsi="Arial" w:cs="Arial"/>
                <w:spacing w:val="-2"/>
                <w:sz w:val="22"/>
                <w:szCs w:val="22"/>
                <w:lang w:val="en-GB"/>
              </w:rPr>
              <w:t xml:space="preserve"> information. Sub-groups on different topics (Periodic Reports, International Assistance, etc.) also </w:t>
            </w:r>
            <w:r>
              <w:rPr>
                <w:rFonts w:ascii="Arial" w:hAnsi="Arial" w:cs="Arial"/>
                <w:spacing w:val="-2"/>
                <w:sz w:val="22"/>
                <w:szCs w:val="22"/>
                <w:lang w:val="en-GB"/>
              </w:rPr>
              <w:t>share</w:t>
            </w:r>
            <w:r w:rsidRPr="0033405D">
              <w:rPr>
                <w:rFonts w:ascii="Arial" w:hAnsi="Arial" w:cs="Arial"/>
                <w:spacing w:val="-2"/>
                <w:sz w:val="22"/>
                <w:szCs w:val="22"/>
                <w:lang w:val="en-GB"/>
              </w:rPr>
              <w:t xml:space="preserve"> resources and methodologies.</w:t>
            </w:r>
          </w:p>
        </w:tc>
      </w:tr>
      <w:tr w:rsidR="00381916" w:rsidRPr="00427622" w14:paraId="22E94F8D" w14:textId="77777777" w:rsidTr="002232C8">
        <w:tc>
          <w:tcPr>
            <w:tcW w:w="4717" w:type="dxa"/>
            <w:gridSpan w:val="2"/>
            <w:noWrap/>
            <w:tcMar>
              <w:top w:w="40" w:type="dxa"/>
              <w:left w:w="40" w:type="dxa"/>
              <w:bottom w:w="40" w:type="dxa"/>
              <w:right w:w="40" w:type="dxa"/>
            </w:tcMar>
          </w:tcPr>
          <w:p w14:paraId="284A1E9B" w14:textId="77777777" w:rsidR="00381916" w:rsidRPr="0033405D" w:rsidRDefault="00381916" w:rsidP="002232C8">
            <w:pPr>
              <w:jc w:val="center"/>
              <w:rPr>
                <w:rFonts w:ascii="Arial" w:hAnsi="Arial" w:cs="Arial"/>
                <w:b/>
                <w:spacing w:val="-2"/>
                <w:sz w:val="22"/>
                <w:szCs w:val="22"/>
                <w:lang w:val="en-GB"/>
              </w:rPr>
            </w:pPr>
            <w:r w:rsidRPr="00427622">
              <w:rPr>
                <w:rFonts w:ascii="Arial" w:hAnsi="Arial" w:cs="Arial"/>
                <w:b/>
                <w:spacing w:val="-2"/>
                <w:sz w:val="22"/>
                <w:szCs w:val="22"/>
                <w:lang w:val="en-GB"/>
              </w:rPr>
              <w:t>Actions Planned</w:t>
            </w:r>
          </w:p>
        </w:tc>
        <w:tc>
          <w:tcPr>
            <w:tcW w:w="1986" w:type="dxa"/>
            <w:gridSpan w:val="2"/>
            <w:noWrap/>
            <w:tcMar>
              <w:top w:w="40" w:type="dxa"/>
              <w:left w:w="40" w:type="dxa"/>
              <w:bottom w:w="40" w:type="dxa"/>
              <w:right w:w="40" w:type="dxa"/>
            </w:tcMar>
          </w:tcPr>
          <w:p w14:paraId="3E84EE9C" w14:textId="77777777" w:rsidR="00381916" w:rsidRPr="0033405D" w:rsidRDefault="00381916" w:rsidP="002232C8">
            <w:pPr>
              <w:jc w:val="center"/>
              <w:rPr>
                <w:rFonts w:ascii="Arial" w:hAnsi="Arial" w:cs="Arial"/>
                <w:b/>
                <w:spacing w:val="-2"/>
                <w:sz w:val="22"/>
                <w:szCs w:val="22"/>
                <w:lang w:val="en-GB"/>
              </w:rPr>
            </w:pPr>
            <w:r w:rsidRPr="00427622">
              <w:rPr>
                <w:rFonts w:ascii="Arial" w:hAnsi="Arial" w:cs="Arial"/>
                <w:b/>
                <w:spacing w:val="-2"/>
                <w:sz w:val="22"/>
                <w:szCs w:val="22"/>
                <w:lang w:val="en-GB"/>
              </w:rPr>
              <w:t>Expected Date of Implementation</w:t>
            </w:r>
          </w:p>
        </w:tc>
        <w:tc>
          <w:tcPr>
            <w:tcW w:w="7655" w:type="dxa"/>
            <w:noWrap/>
            <w:tcMar>
              <w:top w:w="40" w:type="dxa"/>
              <w:left w:w="40" w:type="dxa"/>
              <w:bottom w:w="40" w:type="dxa"/>
              <w:right w:w="40" w:type="dxa"/>
            </w:tcMar>
          </w:tcPr>
          <w:p w14:paraId="0CC2A965" w14:textId="77777777" w:rsidR="00381916" w:rsidRPr="0033405D" w:rsidRDefault="00381916" w:rsidP="002232C8">
            <w:pPr>
              <w:jc w:val="center"/>
              <w:rPr>
                <w:rFonts w:ascii="Arial" w:hAnsi="Arial" w:cs="Arial"/>
                <w:b/>
                <w:spacing w:val="-2"/>
                <w:sz w:val="22"/>
                <w:szCs w:val="22"/>
                <w:lang w:val="en-GB"/>
              </w:rPr>
            </w:pPr>
            <w:r w:rsidRPr="00427622">
              <w:rPr>
                <w:rFonts w:ascii="Arial" w:hAnsi="Arial" w:cs="Arial"/>
                <w:b/>
                <w:spacing w:val="-2"/>
                <w:sz w:val="22"/>
                <w:szCs w:val="22"/>
                <w:lang w:val="en-GB"/>
              </w:rPr>
              <w:t>Status</w:t>
            </w:r>
          </w:p>
        </w:tc>
      </w:tr>
      <w:tr w:rsidR="00381916" w:rsidRPr="00284E2B" w14:paraId="05539E0B" w14:textId="77777777" w:rsidTr="002232C8">
        <w:tc>
          <w:tcPr>
            <w:tcW w:w="4717" w:type="dxa"/>
            <w:gridSpan w:val="2"/>
            <w:shd w:val="clear" w:color="auto" w:fill="auto"/>
            <w:noWrap/>
            <w:tcMar>
              <w:top w:w="40" w:type="dxa"/>
              <w:left w:w="40" w:type="dxa"/>
              <w:bottom w:w="40" w:type="dxa"/>
              <w:right w:w="40" w:type="dxa"/>
            </w:tcMar>
          </w:tcPr>
          <w:p w14:paraId="6B9D8F1D" w14:textId="77777777" w:rsidR="00381916" w:rsidRPr="0055633B" w:rsidRDefault="00381916" w:rsidP="002232C8">
            <w:pPr>
              <w:ind w:left="113" w:right="57"/>
              <w:rPr>
                <w:rFonts w:ascii="Arial" w:eastAsia="Malgun Gothic" w:hAnsi="Arial" w:cs="Arial"/>
                <w:spacing w:val="-2"/>
                <w:sz w:val="22"/>
                <w:szCs w:val="22"/>
                <w:lang w:val="en-GB" w:eastAsia="ko-KR"/>
              </w:rPr>
            </w:pPr>
            <w:r w:rsidRPr="00427622">
              <w:rPr>
                <w:rFonts w:ascii="Arial" w:hAnsi="Arial" w:cs="Arial"/>
                <w:spacing w:val="-2"/>
                <w:sz w:val="22"/>
                <w:szCs w:val="22"/>
                <w:lang w:val="en-GB"/>
              </w:rPr>
              <w:t>Participate in the CCLG, comprising the Secretaries of the convent</w:t>
            </w:r>
            <w:r>
              <w:rPr>
                <w:rFonts w:ascii="Arial" w:hAnsi="Arial" w:cs="Arial"/>
                <w:spacing w:val="-2"/>
                <w:sz w:val="22"/>
                <w:szCs w:val="22"/>
                <w:lang w:val="en-GB"/>
              </w:rPr>
              <w:t>ions and senior CLT management.</w:t>
            </w:r>
          </w:p>
        </w:tc>
        <w:tc>
          <w:tcPr>
            <w:tcW w:w="1986" w:type="dxa"/>
            <w:gridSpan w:val="2"/>
            <w:shd w:val="clear" w:color="auto" w:fill="auto"/>
            <w:noWrap/>
            <w:tcMar>
              <w:top w:w="40" w:type="dxa"/>
              <w:left w:w="40" w:type="dxa"/>
              <w:bottom w:w="40" w:type="dxa"/>
              <w:right w:w="40" w:type="dxa"/>
            </w:tcMar>
          </w:tcPr>
          <w:p w14:paraId="168842E6" w14:textId="77777777" w:rsidR="00381916" w:rsidRPr="00427622" w:rsidRDefault="00381916" w:rsidP="002232C8">
            <w:pPr>
              <w:ind w:left="57"/>
              <w:rPr>
                <w:rFonts w:ascii="Arial" w:hAnsi="Arial" w:cs="Arial"/>
                <w:spacing w:val="-2"/>
                <w:sz w:val="22"/>
                <w:szCs w:val="22"/>
                <w:lang w:val="en-GB"/>
              </w:rPr>
            </w:pPr>
            <w:r w:rsidRPr="00427622">
              <w:rPr>
                <w:rFonts w:ascii="Arial" w:hAnsi="Arial" w:cs="Arial"/>
                <w:spacing w:val="-2"/>
                <w:sz w:val="22"/>
                <w:szCs w:val="22"/>
                <w:lang w:val="en-GB"/>
              </w:rPr>
              <w:t>Ongoing</w:t>
            </w:r>
          </w:p>
        </w:tc>
        <w:tc>
          <w:tcPr>
            <w:tcW w:w="7655" w:type="dxa"/>
            <w:shd w:val="clear" w:color="auto" w:fill="auto"/>
            <w:noWrap/>
            <w:tcMar>
              <w:top w:w="40" w:type="dxa"/>
              <w:left w:w="40" w:type="dxa"/>
              <w:bottom w:w="40" w:type="dxa"/>
              <w:right w:w="40" w:type="dxa"/>
            </w:tcMar>
          </w:tcPr>
          <w:p w14:paraId="047B32AC" w14:textId="1F5436E4" w:rsidR="00381916" w:rsidRPr="00427622" w:rsidRDefault="00381916" w:rsidP="002232C8">
            <w:pPr>
              <w:pStyle w:val="ListParagraph"/>
              <w:numPr>
                <w:ilvl w:val="0"/>
                <w:numId w:val="9"/>
              </w:numPr>
              <w:spacing w:before="0" w:beforeAutospacing="0" w:after="0" w:afterAutospacing="0"/>
              <w:ind w:left="470" w:hanging="357"/>
              <w:contextualSpacing/>
              <w:rPr>
                <w:rFonts w:ascii="Arial" w:hAnsi="Arial" w:cs="Arial"/>
                <w:spacing w:val="-2"/>
                <w:sz w:val="22"/>
                <w:szCs w:val="22"/>
                <w:lang w:val="en-GB" w:eastAsia="en-US"/>
              </w:rPr>
            </w:pPr>
            <w:r w:rsidRPr="00427622">
              <w:rPr>
                <w:rFonts w:ascii="Arial" w:hAnsi="Arial" w:cs="Arial"/>
                <w:spacing w:val="-2"/>
                <w:sz w:val="22"/>
                <w:szCs w:val="22"/>
                <w:lang w:val="en-GB" w:eastAsia="en-US"/>
              </w:rPr>
              <w:t xml:space="preserve">The </w:t>
            </w:r>
            <w:r w:rsidRPr="00427622">
              <w:rPr>
                <w:rFonts w:ascii="Arial" w:hAnsi="Arial" w:cs="Arial"/>
                <w:spacing w:val="-2"/>
                <w:sz w:val="22"/>
                <w:szCs w:val="22"/>
                <w:lang w:val="en-GB"/>
              </w:rPr>
              <w:t>Secretariat</w:t>
            </w:r>
            <w:r w:rsidRPr="00427622">
              <w:rPr>
                <w:rFonts w:ascii="Arial" w:hAnsi="Arial" w:cs="Arial"/>
                <w:spacing w:val="-2"/>
                <w:sz w:val="22"/>
                <w:szCs w:val="22"/>
                <w:lang w:val="en-GB" w:eastAsia="en-US"/>
              </w:rPr>
              <w:t xml:space="preserve"> informed the Committee on progress made during its ninth session (</w:t>
            </w:r>
            <w:r w:rsidRPr="002F2B98">
              <w:rPr>
                <w:rFonts w:ascii="Arial" w:hAnsi="Arial" w:cs="Arial"/>
                <w:spacing w:val="-2"/>
                <w:sz w:val="22"/>
                <w:szCs w:val="22"/>
                <w:lang w:val="en-GB" w:eastAsia="en-US"/>
              </w:rPr>
              <w:t>Document </w:t>
            </w:r>
            <w:hyperlink r:id="rId43" w:history="1">
              <w:r w:rsidRPr="002F2B98">
                <w:rPr>
                  <w:rStyle w:val="Hyperlink"/>
                  <w:rFonts w:ascii="Arial" w:hAnsi="Arial" w:cs="Arial"/>
                  <w:spacing w:val="-2"/>
                  <w:sz w:val="22"/>
                  <w:szCs w:val="22"/>
                  <w:lang w:val="en-GB" w:eastAsia="en-US"/>
                </w:rPr>
                <w:t>ITH/14/9.COM/13.h</w:t>
              </w:r>
            </w:hyperlink>
            <w:r w:rsidRPr="00427622">
              <w:rPr>
                <w:rFonts w:ascii="Arial" w:hAnsi="Arial" w:cs="Arial"/>
                <w:spacing w:val="-2"/>
                <w:sz w:val="22"/>
                <w:szCs w:val="22"/>
                <w:lang w:val="en-GB" w:eastAsia="en-US"/>
              </w:rPr>
              <w:t xml:space="preserve"> and </w:t>
            </w:r>
            <w:hyperlink r:id="rId44" w:history="1">
              <w:r w:rsidRPr="00427622">
                <w:rPr>
                  <w:rStyle w:val="Hyperlink"/>
                  <w:rFonts w:ascii="Arial" w:hAnsi="Arial" w:cs="Arial"/>
                  <w:spacing w:val="-2"/>
                  <w:sz w:val="22"/>
                  <w:szCs w:val="22"/>
                  <w:lang w:val="en-GB" w:eastAsia="en-US"/>
                </w:rPr>
                <w:t>Decision 9.COM 13.h</w:t>
              </w:r>
            </w:hyperlink>
            <w:r w:rsidRPr="00427622">
              <w:rPr>
                <w:rFonts w:ascii="Arial" w:hAnsi="Arial" w:cs="Arial"/>
                <w:spacing w:val="-2"/>
                <w:sz w:val="22"/>
                <w:szCs w:val="22"/>
                <w:lang w:val="en-GB" w:eastAsia="en-US"/>
              </w:rPr>
              <w:t>).</w:t>
            </w:r>
          </w:p>
        </w:tc>
      </w:tr>
      <w:tr w:rsidR="00381916" w:rsidRPr="00284E2B" w14:paraId="373CAE53" w14:textId="77777777" w:rsidTr="002232C8">
        <w:tc>
          <w:tcPr>
            <w:tcW w:w="4717" w:type="dxa"/>
            <w:gridSpan w:val="2"/>
            <w:noWrap/>
            <w:tcMar>
              <w:top w:w="40" w:type="dxa"/>
              <w:left w:w="40" w:type="dxa"/>
              <w:bottom w:w="40" w:type="dxa"/>
              <w:right w:w="40" w:type="dxa"/>
            </w:tcMar>
          </w:tcPr>
          <w:p w14:paraId="73E2D041" w14:textId="77777777" w:rsidR="00381916" w:rsidRPr="00427622" w:rsidRDefault="00381916" w:rsidP="002232C8">
            <w:pPr>
              <w:ind w:left="113" w:right="57"/>
              <w:rPr>
                <w:rFonts w:ascii="Arial" w:hAnsi="Arial" w:cs="Arial"/>
                <w:spacing w:val="-2"/>
                <w:sz w:val="22"/>
                <w:szCs w:val="22"/>
                <w:lang w:val="en-GB"/>
              </w:rPr>
            </w:pPr>
            <w:r w:rsidRPr="00427622">
              <w:rPr>
                <w:rFonts w:ascii="Arial" w:hAnsi="Arial" w:cs="Arial"/>
                <w:spacing w:val="-2"/>
                <w:sz w:val="22"/>
                <w:szCs w:val="22"/>
                <w:lang w:val="en-GB"/>
              </w:rPr>
              <w:t>Facilitate thinking on synergies between 2003 and 2005 in the field of capacity building.</w:t>
            </w:r>
          </w:p>
        </w:tc>
        <w:tc>
          <w:tcPr>
            <w:tcW w:w="1986" w:type="dxa"/>
            <w:gridSpan w:val="2"/>
            <w:noWrap/>
            <w:tcMar>
              <w:top w:w="40" w:type="dxa"/>
              <w:left w:w="40" w:type="dxa"/>
              <w:bottom w:w="40" w:type="dxa"/>
              <w:right w:w="40" w:type="dxa"/>
            </w:tcMar>
          </w:tcPr>
          <w:p w14:paraId="5F5C39A9" w14:textId="77777777" w:rsidR="00381916" w:rsidRPr="00427622" w:rsidRDefault="00381916" w:rsidP="002232C8">
            <w:pPr>
              <w:ind w:left="57"/>
              <w:rPr>
                <w:rFonts w:ascii="Arial" w:hAnsi="Arial" w:cs="Arial"/>
                <w:spacing w:val="-2"/>
                <w:sz w:val="22"/>
                <w:szCs w:val="22"/>
                <w:lang w:val="en-GB"/>
              </w:rPr>
            </w:pPr>
            <w:r w:rsidRPr="00427622">
              <w:rPr>
                <w:rFonts w:ascii="Arial" w:hAnsi="Arial" w:cs="Arial"/>
                <w:spacing w:val="-2"/>
                <w:sz w:val="22"/>
                <w:szCs w:val="22"/>
                <w:lang w:val="en-GB"/>
              </w:rPr>
              <w:t>Ongoing</w:t>
            </w:r>
          </w:p>
        </w:tc>
        <w:tc>
          <w:tcPr>
            <w:tcW w:w="7655" w:type="dxa"/>
            <w:noWrap/>
            <w:tcMar>
              <w:top w:w="40" w:type="dxa"/>
              <w:left w:w="40" w:type="dxa"/>
              <w:bottom w:w="40" w:type="dxa"/>
              <w:right w:w="40" w:type="dxa"/>
            </w:tcMar>
          </w:tcPr>
          <w:p w14:paraId="701CDF89" w14:textId="6709A2B8" w:rsidR="00381916" w:rsidRPr="00427622" w:rsidRDefault="00381916" w:rsidP="002232C8">
            <w:pPr>
              <w:pStyle w:val="ListParagraph"/>
              <w:numPr>
                <w:ilvl w:val="0"/>
                <w:numId w:val="9"/>
              </w:numPr>
              <w:spacing w:before="0" w:beforeAutospacing="0" w:after="0" w:afterAutospacing="0"/>
              <w:ind w:left="470" w:hanging="357"/>
              <w:contextualSpacing/>
              <w:rPr>
                <w:rFonts w:ascii="Arial" w:hAnsi="Arial" w:cs="Arial"/>
                <w:spacing w:val="-2"/>
                <w:sz w:val="22"/>
                <w:szCs w:val="22"/>
                <w:lang w:val="en-GB" w:eastAsia="en-US"/>
              </w:rPr>
            </w:pPr>
            <w:r w:rsidRPr="00427622">
              <w:rPr>
                <w:rFonts w:ascii="Arial" w:hAnsi="Arial" w:cs="Arial"/>
                <w:spacing w:val="-2"/>
                <w:sz w:val="22"/>
                <w:szCs w:val="22"/>
                <w:lang w:val="en-GB" w:eastAsia="en-US"/>
              </w:rPr>
              <w:t xml:space="preserve">The Secretariat reported to the Committee on progress achieved during its </w:t>
            </w:r>
            <w:r w:rsidRPr="00427622">
              <w:rPr>
                <w:rFonts w:ascii="Arial" w:hAnsi="Arial" w:cs="Arial"/>
                <w:spacing w:val="-2"/>
                <w:sz w:val="22"/>
                <w:szCs w:val="22"/>
                <w:lang w:val="en-GB"/>
              </w:rPr>
              <w:t>ninth</w:t>
            </w:r>
            <w:r w:rsidRPr="00427622">
              <w:rPr>
                <w:rFonts w:ascii="Arial" w:hAnsi="Arial" w:cs="Arial"/>
                <w:spacing w:val="-2"/>
                <w:sz w:val="22"/>
                <w:szCs w:val="22"/>
                <w:lang w:val="en-GB" w:eastAsia="en-US"/>
              </w:rPr>
              <w:t xml:space="preserve"> session (</w:t>
            </w:r>
            <w:r w:rsidRPr="002F2B98">
              <w:rPr>
                <w:rFonts w:ascii="Arial" w:hAnsi="Arial" w:cs="Arial"/>
                <w:spacing w:val="-2"/>
                <w:sz w:val="22"/>
                <w:szCs w:val="22"/>
                <w:lang w:val="en-GB" w:eastAsia="en-US"/>
              </w:rPr>
              <w:t>Document </w:t>
            </w:r>
            <w:hyperlink r:id="rId45" w:history="1">
              <w:r w:rsidRPr="002F2B98">
                <w:rPr>
                  <w:rStyle w:val="Hyperlink"/>
                  <w:rFonts w:ascii="Arial" w:hAnsi="Arial" w:cs="Arial"/>
                  <w:spacing w:val="-2"/>
                  <w:sz w:val="22"/>
                  <w:szCs w:val="22"/>
                  <w:lang w:val="en-GB" w:eastAsia="en-US"/>
                </w:rPr>
                <w:t>ITH/14/9.COM/13.h</w:t>
              </w:r>
            </w:hyperlink>
            <w:r w:rsidRPr="00427622">
              <w:rPr>
                <w:rFonts w:ascii="Arial" w:hAnsi="Arial" w:cs="Arial"/>
                <w:spacing w:val="-2"/>
                <w:sz w:val="22"/>
                <w:szCs w:val="22"/>
                <w:lang w:val="en-GB" w:eastAsia="en-US"/>
              </w:rPr>
              <w:t xml:space="preserve"> and </w:t>
            </w:r>
            <w:hyperlink r:id="rId46" w:history="1">
              <w:r w:rsidRPr="00427622">
                <w:rPr>
                  <w:rStyle w:val="Hyperlink"/>
                  <w:rFonts w:ascii="Arial" w:hAnsi="Arial" w:cs="Arial"/>
                  <w:spacing w:val="-2"/>
                  <w:sz w:val="22"/>
                  <w:szCs w:val="22"/>
                  <w:lang w:val="en-GB" w:eastAsia="en-US"/>
                </w:rPr>
                <w:t>Decision 9.COM 13.h</w:t>
              </w:r>
            </w:hyperlink>
            <w:r w:rsidRPr="00427622">
              <w:rPr>
                <w:rFonts w:ascii="Arial" w:hAnsi="Arial" w:cs="Arial"/>
                <w:spacing w:val="-2"/>
                <w:sz w:val="22"/>
                <w:szCs w:val="22"/>
                <w:lang w:val="en-GB" w:eastAsia="en-US"/>
              </w:rPr>
              <w:t>).</w:t>
            </w:r>
          </w:p>
          <w:p w14:paraId="1EB86E20" w14:textId="77777777" w:rsidR="00381916" w:rsidRPr="00427622" w:rsidRDefault="00381916" w:rsidP="002232C8">
            <w:pPr>
              <w:pStyle w:val="ListParagraph"/>
              <w:numPr>
                <w:ilvl w:val="0"/>
                <w:numId w:val="9"/>
              </w:numPr>
              <w:spacing w:before="0" w:beforeAutospacing="0" w:after="0" w:afterAutospacing="0"/>
              <w:ind w:left="470" w:hanging="357"/>
              <w:contextualSpacing/>
              <w:rPr>
                <w:rFonts w:ascii="Arial" w:hAnsi="Arial" w:cs="Arial"/>
                <w:spacing w:val="-2"/>
                <w:sz w:val="22"/>
                <w:szCs w:val="22"/>
                <w:lang w:val="en-GB"/>
              </w:rPr>
            </w:pPr>
            <w:r w:rsidRPr="00427622">
              <w:rPr>
                <w:rFonts w:ascii="Arial" w:hAnsi="Arial" w:cs="Arial"/>
                <w:spacing w:val="-2"/>
                <w:sz w:val="22"/>
                <w:szCs w:val="22"/>
                <w:lang w:val="en-GB"/>
              </w:rPr>
              <w:t>Since the ninth session of the Committee, the Secretariat:</w:t>
            </w:r>
          </w:p>
          <w:p w14:paraId="24659612" w14:textId="01B7A8B0" w:rsidR="00381916" w:rsidRPr="00427622" w:rsidRDefault="00381916" w:rsidP="002232C8">
            <w:pPr>
              <w:pStyle w:val="ListParagraph"/>
              <w:numPr>
                <w:ilvl w:val="1"/>
                <w:numId w:val="11"/>
              </w:numPr>
              <w:spacing w:before="0" w:beforeAutospacing="0" w:after="0" w:afterAutospacing="0"/>
              <w:ind w:left="809" w:hanging="425"/>
              <w:contextualSpacing/>
              <w:rPr>
                <w:rFonts w:ascii="Arial" w:hAnsi="Arial" w:cs="Arial"/>
                <w:spacing w:val="-2"/>
                <w:sz w:val="22"/>
                <w:szCs w:val="22"/>
                <w:lang w:val="en-GB"/>
              </w:rPr>
            </w:pPr>
            <w:r w:rsidRPr="00427622">
              <w:rPr>
                <w:rFonts w:ascii="Arial" w:hAnsi="Arial" w:cs="Arial"/>
                <w:spacing w:val="-2"/>
                <w:sz w:val="22"/>
                <w:szCs w:val="22"/>
                <w:lang w:val="en-GB"/>
              </w:rPr>
              <w:t xml:space="preserve">organized a workshop on </w:t>
            </w:r>
            <w:r w:rsidR="00A94B30">
              <w:rPr>
                <w:rFonts w:ascii="Arial" w:hAnsi="Arial" w:cs="Arial"/>
                <w:spacing w:val="-2"/>
                <w:sz w:val="22"/>
                <w:szCs w:val="22"/>
                <w:lang w:val="en-GB"/>
              </w:rPr>
              <w:t>‘</w:t>
            </w:r>
            <w:r w:rsidRPr="00427622">
              <w:rPr>
                <w:rFonts w:ascii="Arial" w:hAnsi="Arial" w:cs="Arial"/>
                <w:spacing w:val="-2"/>
                <w:sz w:val="22"/>
                <w:szCs w:val="22"/>
                <w:lang w:val="en-GB"/>
              </w:rPr>
              <w:t>How to provide policy advice effectively?’ with the participation of the 2003 and 2005 Convention Secretariats;</w:t>
            </w:r>
          </w:p>
          <w:p w14:paraId="683AFF36" w14:textId="77777777" w:rsidR="00381916" w:rsidRPr="00427622" w:rsidRDefault="00381916" w:rsidP="002232C8">
            <w:pPr>
              <w:pStyle w:val="ListParagraph"/>
              <w:numPr>
                <w:ilvl w:val="1"/>
                <w:numId w:val="11"/>
              </w:numPr>
              <w:spacing w:before="0" w:beforeAutospacing="0" w:after="0" w:afterAutospacing="0"/>
              <w:ind w:left="809" w:hanging="425"/>
              <w:contextualSpacing/>
              <w:rPr>
                <w:rFonts w:ascii="Arial" w:hAnsi="Arial" w:cs="Arial"/>
                <w:spacing w:val="-2"/>
                <w:sz w:val="22"/>
                <w:szCs w:val="22"/>
                <w:lang w:val="en-GB"/>
              </w:rPr>
            </w:pPr>
            <w:r w:rsidRPr="00427622">
              <w:rPr>
                <w:rFonts w:ascii="Arial" w:hAnsi="Arial" w:cs="Arial"/>
                <w:spacing w:val="-2"/>
                <w:sz w:val="22"/>
                <w:szCs w:val="22"/>
                <w:lang w:val="en-GB"/>
              </w:rPr>
              <w:t>adapted the policy advice format of the 2003 Convention’s capacity</w:t>
            </w:r>
            <w:r w:rsidRPr="00427622">
              <w:rPr>
                <w:rFonts w:ascii="Arial" w:hAnsi="Arial" w:cs="Arial"/>
                <w:spacing w:val="-2"/>
                <w:sz w:val="22"/>
                <w:szCs w:val="22"/>
                <w:lang w:val="en-GB"/>
              </w:rPr>
              <w:noBreakHyphen/>
              <w:t>building programme to promote synergy;</w:t>
            </w:r>
          </w:p>
          <w:p w14:paraId="3A5DB02E" w14:textId="77777777" w:rsidR="00381916" w:rsidRPr="00427622" w:rsidRDefault="00381916" w:rsidP="002232C8">
            <w:pPr>
              <w:pStyle w:val="ListParagraph"/>
              <w:numPr>
                <w:ilvl w:val="1"/>
                <w:numId w:val="11"/>
              </w:numPr>
              <w:spacing w:before="0" w:beforeAutospacing="0" w:after="0" w:afterAutospacing="0"/>
              <w:ind w:left="809" w:hanging="425"/>
              <w:contextualSpacing/>
              <w:rPr>
                <w:rFonts w:ascii="Arial" w:hAnsi="Arial" w:cs="Arial"/>
                <w:spacing w:val="-2"/>
                <w:sz w:val="22"/>
                <w:szCs w:val="22"/>
                <w:lang w:val="en-GB"/>
              </w:rPr>
            </w:pPr>
            <w:r w:rsidRPr="00427622">
              <w:rPr>
                <w:rFonts w:ascii="Arial" w:hAnsi="Arial" w:cs="Arial"/>
                <w:spacing w:val="-2"/>
                <w:sz w:val="22"/>
                <w:szCs w:val="22"/>
                <w:lang w:val="en-GB"/>
              </w:rPr>
              <w:t>organized a workshop for expert facilitators on providing effective policy support in Africa that included experts from the 2005 Convention.</w:t>
            </w:r>
          </w:p>
        </w:tc>
      </w:tr>
      <w:tr w:rsidR="00381916" w:rsidRPr="00284E2B" w14:paraId="5F5704B4" w14:textId="77777777" w:rsidTr="002232C8">
        <w:tc>
          <w:tcPr>
            <w:tcW w:w="4717" w:type="dxa"/>
            <w:gridSpan w:val="2"/>
            <w:noWrap/>
            <w:tcMar>
              <w:top w:w="40" w:type="dxa"/>
              <w:left w:w="40" w:type="dxa"/>
              <w:bottom w:w="40" w:type="dxa"/>
              <w:right w:w="40" w:type="dxa"/>
            </w:tcMar>
          </w:tcPr>
          <w:p w14:paraId="2DF88949" w14:textId="77777777" w:rsidR="00381916" w:rsidRPr="00427622" w:rsidRDefault="00381916" w:rsidP="002232C8">
            <w:pPr>
              <w:keepNext/>
              <w:keepLines/>
              <w:ind w:left="113" w:right="57"/>
              <w:rPr>
                <w:rFonts w:ascii="Arial" w:hAnsi="Arial" w:cs="Arial"/>
                <w:spacing w:val="-2"/>
                <w:sz w:val="22"/>
                <w:szCs w:val="22"/>
                <w:lang w:val="en-GB"/>
              </w:rPr>
            </w:pPr>
            <w:r w:rsidRPr="00427622">
              <w:rPr>
                <w:rFonts w:ascii="Arial" w:hAnsi="Arial" w:cs="Arial"/>
                <w:spacing w:val="-2"/>
                <w:sz w:val="22"/>
                <w:szCs w:val="22"/>
                <w:lang w:val="en-GB"/>
              </w:rPr>
              <w:lastRenderedPageBreak/>
              <w:t>Integrate the services of the CLT/CCS effectively into the work of the Section.</w:t>
            </w:r>
          </w:p>
        </w:tc>
        <w:tc>
          <w:tcPr>
            <w:tcW w:w="1986" w:type="dxa"/>
            <w:gridSpan w:val="2"/>
            <w:noWrap/>
            <w:tcMar>
              <w:top w:w="40" w:type="dxa"/>
              <w:left w:w="40" w:type="dxa"/>
              <w:bottom w:w="40" w:type="dxa"/>
              <w:right w:w="40" w:type="dxa"/>
            </w:tcMar>
          </w:tcPr>
          <w:p w14:paraId="32B774E9" w14:textId="77777777" w:rsidR="00381916" w:rsidRPr="00427622" w:rsidRDefault="00381916" w:rsidP="002232C8">
            <w:pPr>
              <w:ind w:left="57"/>
              <w:rPr>
                <w:rFonts w:ascii="Arial" w:hAnsi="Arial" w:cs="Arial"/>
                <w:spacing w:val="-2"/>
                <w:sz w:val="22"/>
                <w:szCs w:val="22"/>
                <w:lang w:val="en-GB"/>
              </w:rPr>
            </w:pPr>
            <w:r w:rsidRPr="00427622">
              <w:rPr>
                <w:rFonts w:ascii="Arial" w:hAnsi="Arial" w:cs="Arial"/>
                <w:spacing w:val="-2"/>
                <w:sz w:val="22"/>
                <w:szCs w:val="22"/>
                <w:lang w:val="en-GB"/>
              </w:rPr>
              <w:t>Ongoing</w:t>
            </w:r>
          </w:p>
        </w:tc>
        <w:tc>
          <w:tcPr>
            <w:tcW w:w="7655" w:type="dxa"/>
            <w:noWrap/>
            <w:tcMar>
              <w:top w:w="40" w:type="dxa"/>
              <w:left w:w="40" w:type="dxa"/>
              <w:bottom w:w="40" w:type="dxa"/>
              <w:right w:w="40" w:type="dxa"/>
            </w:tcMar>
          </w:tcPr>
          <w:p w14:paraId="430CDBBF" w14:textId="77777777" w:rsidR="00381916" w:rsidRPr="00427622" w:rsidRDefault="00381916" w:rsidP="002232C8">
            <w:pPr>
              <w:pStyle w:val="ListParagraph"/>
              <w:numPr>
                <w:ilvl w:val="0"/>
                <w:numId w:val="9"/>
              </w:numPr>
              <w:spacing w:before="0" w:beforeAutospacing="0" w:after="0" w:afterAutospacing="0"/>
              <w:ind w:left="470" w:hanging="357"/>
              <w:contextualSpacing/>
              <w:rPr>
                <w:rFonts w:ascii="Arial" w:hAnsi="Arial" w:cs="Arial"/>
                <w:b/>
                <w:spacing w:val="-2"/>
                <w:sz w:val="22"/>
                <w:szCs w:val="22"/>
                <w:u w:val="single"/>
                <w:lang w:val="en-GB"/>
              </w:rPr>
            </w:pPr>
            <w:r w:rsidRPr="00427622">
              <w:rPr>
                <w:rFonts w:ascii="Arial" w:hAnsi="Arial" w:cs="Arial"/>
                <w:spacing w:val="-2"/>
                <w:sz w:val="22"/>
                <w:szCs w:val="22"/>
                <w:lang w:val="en-GB"/>
              </w:rPr>
              <w:t xml:space="preserve">The Common Convention Services Unit (CLT/CCS) </w:t>
            </w:r>
            <w:r>
              <w:rPr>
                <w:rFonts w:ascii="Arial" w:hAnsi="Arial" w:cs="Arial"/>
                <w:spacing w:val="-2"/>
                <w:sz w:val="22"/>
                <w:szCs w:val="22"/>
                <w:lang w:val="en-GB"/>
              </w:rPr>
              <w:t xml:space="preserve">provided logistical </w:t>
            </w:r>
            <w:r w:rsidRPr="00427622">
              <w:rPr>
                <w:rFonts w:ascii="Arial" w:hAnsi="Arial" w:cs="Arial"/>
                <w:spacing w:val="-2"/>
                <w:sz w:val="22"/>
                <w:szCs w:val="22"/>
                <w:lang w:val="en-GB"/>
              </w:rPr>
              <w:t>support</w:t>
            </w:r>
            <w:r>
              <w:rPr>
                <w:rFonts w:ascii="Arial" w:hAnsi="Arial" w:cs="Arial"/>
                <w:spacing w:val="-2"/>
                <w:sz w:val="22"/>
                <w:szCs w:val="22"/>
                <w:lang w:val="en-GB"/>
              </w:rPr>
              <w:t xml:space="preserve"> for</w:t>
            </w:r>
            <w:r w:rsidRPr="00427622">
              <w:rPr>
                <w:rFonts w:ascii="Arial" w:hAnsi="Arial" w:cs="Arial"/>
                <w:spacing w:val="-2"/>
                <w:sz w:val="22"/>
                <w:szCs w:val="22"/>
                <w:lang w:val="en-GB"/>
              </w:rPr>
              <w:t xml:space="preserve"> the organization of the sixth session of the General Assembly and of the ninth and tenth sessions of the Committee.</w:t>
            </w:r>
          </w:p>
        </w:tc>
      </w:tr>
      <w:tr w:rsidR="00381916" w:rsidRPr="00284E2B" w14:paraId="11A1C1F9" w14:textId="77777777" w:rsidTr="002232C8">
        <w:tc>
          <w:tcPr>
            <w:tcW w:w="4717" w:type="dxa"/>
            <w:gridSpan w:val="2"/>
            <w:noWrap/>
            <w:tcMar>
              <w:top w:w="40" w:type="dxa"/>
              <w:left w:w="40" w:type="dxa"/>
              <w:bottom w:w="40" w:type="dxa"/>
              <w:right w:w="40" w:type="dxa"/>
            </w:tcMar>
          </w:tcPr>
          <w:p w14:paraId="285C50D2" w14:textId="77777777" w:rsidR="00381916" w:rsidRPr="00427622" w:rsidRDefault="00381916" w:rsidP="002232C8">
            <w:pPr>
              <w:keepNext/>
              <w:keepLines/>
              <w:ind w:left="113" w:right="57"/>
              <w:rPr>
                <w:rFonts w:ascii="Arial" w:hAnsi="Arial" w:cs="Arial"/>
                <w:spacing w:val="-2"/>
                <w:sz w:val="22"/>
                <w:szCs w:val="22"/>
                <w:lang w:val="en-GB"/>
              </w:rPr>
            </w:pPr>
            <w:r w:rsidRPr="00427622">
              <w:rPr>
                <w:rFonts w:ascii="Arial" w:hAnsi="Arial" w:cs="Arial"/>
                <w:spacing w:val="-2"/>
                <w:sz w:val="22"/>
                <w:szCs w:val="22"/>
                <w:lang w:val="en-GB"/>
              </w:rPr>
              <w:t xml:space="preserve">Facilitate meetings between </w:t>
            </w:r>
            <w:r>
              <w:rPr>
                <w:rFonts w:ascii="Arial" w:hAnsi="Arial" w:cs="Arial"/>
                <w:spacing w:val="-2"/>
                <w:sz w:val="22"/>
                <w:szCs w:val="22"/>
                <w:lang w:val="en-GB"/>
              </w:rPr>
              <w:t xml:space="preserve">the </w:t>
            </w:r>
            <w:r w:rsidRPr="00427622">
              <w:rPr>
                <w:rFonts w:ascii="Arial" w:hAnsi="Arial" w:cs="Arial"/>
                <w:spacing w:val="-2"/>
                <w:sz w:val="22"/>
                <w:szCs w:val="22"/>
                <w:lang w:val="en-GB"/>
              </w:rPr>
              <w:t>Chairpersons of the six UNESCO culture conventions.</w:t>
            </w:r>
          </w:p>
        </w:tc>
        <w:tc>
          <w:tcPr>
            <w:tcW w:w="1986" w:type="dxa"/>
            <w:gridSpan w:val="2"/>
            <w:noWrap/>
            <w:tcMar>
              <w:top w:w="40" w:type="dxa"/>
              <w:left w:w="40" w:type="dxa"/>
              <w:bottom w:w="40" w:type="dxa"/>
              <w:right w:w="40" w:type="dxa"/>
            </w:tcMar>
          </w:tcPr>
          <w:p w14:paraId="7895638C" w14:textId="77777777" w:rsidR="00381916" w:rsidRPr="00427622" w:rsidRDefault="00381916" w:rsidP="002232C8">
            <w:pPr>
              <w:ind w:left="57"/>
              <w:rPr>
                <w:rFonts w:ascii="Arial" w:hAnsi="Arial" w:cs="Arial"/>
                <w:spacing w:val="-2"/>
                <w:sz w:val="22"/>
                <w:szCs w:val="22"/>
                <w:lang w:val="en-GB"/>
              </w:rPr>
            </w:pPr>
            <w:r w:rsidRPr="00427622">
              <w:rPr>
                <w:rFonts w:ascii="Arial" w:hAnsi="Arial" w:cs="Arial"/>
                <w:spacing w:val="-2"/>
                <w:sz w:val="22"/>
                <w:szCs w:val="22"/>
                <w:lang w:val="en-GB"/>
              </w:rPr>
              <w:t>Ongoing</w:t>
            </w:r>
          </w:p>
        </w:tc>
        <w:tc>
          <w:tcPr>
            <w:tcW w:w="7655" w:type="dxa"/>
            <w:noWrap/>
            <w:tcMar>
              <w:top w:w="40" w:type="dxa"/>
              <w:left w:w="40" w:type="dxa"/>
              <w:bottom w:w="40" w:type="dxa"/>
              <w:right w:w="40" w:type="dxa"/>
            </w:tcMar>
          </w:tcPr>
          <w:p w14:paraId="1618FB35" w14:textId="77777777" w:rsidR="00381916" w:rsidRPr="00427622" w:rsidRDefault="00381916" w:rsidP="002232C8">
            <w:pPr>
              <w:pStyle w:val="ListParagraph"/>
              <w:numPr>
                <w:ilvl w:val="0"/>
                <w:numId w:val="9"/>
              </w:numPr>
              <w:spacing w:before="0" w:beforeAutospacing="0" w:after="0" w:afterAutospacing="0"/>
              <w:ind w:left="470" w:hanging="357"/>
              <w:contextualSpacing/>
              <w:rPr>
                <w:rFonts w:ascii="Arial" w:hAnsi="Arial" w:cs="Arial"/>
                <w:spacing w:val="-2"/>
                <w:sz w:val="22"/>
                <w:szCs w:val="22"/>
                <w:lang w:val="en-GB"/>
              </w:rPr>
            </w:pPr>
            <w:r w:rsidRPr="00427622">
              <w:rPr>
                <w:rFonts w:ascii="Arial" w:hAnsi="Arial" w:cs="Arial"/>
                <w:spacing w:val="-2"/>
                <w:sz w:val="22"/>
                <w:szCs w:val="22"/>
                <w:lang w:val="en-GB"/>
              </w:rPr>
              <w:t>In June 2015, during the 39th session of the World Heritage Committee in Bonn, Germany, the Chairs of the six UNESCO culture conventions met for the first time to discuss ways of working together more effectively.</w:t>
            </w:r>
          </w:p>
          <w:p w14:paraId="5769D1C8" w14:textId="77777777" w:rsidR="00381916" w:rsidRPr="00A75804" w:rsidRDefault="00381916" w:rsidP="002232C8">
            <w:pPr>
              <w:pStyle w:val="ListParagraph"/>
              <w:numPr>
                <w:ilvl w:val="0"/>
                <w:numId w:val="9"/>
              </w:numPr>
              <w:spacing w:before="0" w:beforeAutospacing="0" w:after="0" w:afterAutospacing="0"/>
              <w:ind w:left="470" w:hanging="357"/>
              <w:contextualSpacing/>
              <w:rPr>
                <w:rFonts w:ascii="Arial" w:hAnsi="Arial" w:cs="Arial"/>
                <w:spacing w:val="-2"/>
                <w:sz w:val="22"/>
                <w:szCs w:val="22"/>
                <w:lang w:val="en-GB"/>
              </w:rPr>
            </w:pPr>
            <w:r w:rsidRPr="00427622">
              <w:rPr>
                <w:rFonts w:ascii="Arial" w:hAnsi="Arial" w:cs="Arial"/>
                <w:spacing w:val="-2"/>
                <w:sz w:val="22"/>
                <w:szCs w:val="22"/>
                <w:lang w:val="en-GB"/>
              </w:rPr>
              <w:t xml:space="preserve">In their statement, the Chairs emphasized the need for renewed political will to support UNESCO’s culture conventions and encouraged the United Nations to ensure that the protection, safeguarding and understanding of cultural and natural heritage, cultural diversity and creative expression worldwide be recognized as a cross-cutting issue in </w:t>
            </w:r>
            <w:r>
              <w:rPr>
                <w:rFonts w:ascii="Arial" w:hAnsi="Arial" w:cs="Arial"/>
                <w:spacing w:val="-2"/>
                <w:sz w:val="22"/>
                <w:szCs w:val="22"/>
                <w:lang w:val="en-GB"/>
              </w:rPr>
              <w:t xml:space="preserve">the </w:t>
            </w:r>
            <w:r w:rsidRPr="00427622">
              <w:rPr>
                <w:rFonts w:ascii="Arial" w:hAnsi="Arial" w:cs="Arial"/>
                <w:spacing w:val="-2"/>
                <w:sz w:val="22"/>
                <w:szCs w:val="22"/>
                <w:lang w:val="en-GB"/>
              </w:rPr>
              <w:t>implementation of the interrelated goals of the Post-2015 Development Agenda.</w:t>
            </w:r>
          </w:p>
        </w:tc>
      </w:tr>
      <w:tr w:rsidR="00381916" w:rsidRPr="00284E2B" w14:paraId="2A0950FB" w14:textId="77777777" w:rsidTr="002232C8">
        <w:tc>
          <w:tcPr>
            <w:tcW w:w="14358" w:type="dxa"/>
            <w:gridSpan w:val="5"/>
            <w:shd w:val="clear" w:color="auto" w:fill="E6E6E6"/>
            <w:noWrap/>
            <w:tcMar>
              <w:top w:w="40" w:type="dxa"/>
              <w:left w:w="40" w:type="dxa"/>
              <w:bottom w:w="40" w:type="dxa"/>
              <w:right w:w="40" w:type="dxa"/>
            </w:tcMar>
          </w:tcPr>
          <w:p w14:paraId="059B188B" w14:textId="77777777" w:rsidR="00381916" w:rsidRPr="0033405D" w:rsidRDefault="00381916" w:rsidP="002232C8">
            <w:pPr>
              <w:keepNext/>
              <w:keepLines/>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17: Encourage representatives of accredited NGOs to participate in IGC debates prior to voting on agenda items and include the outcomes of the NGO forums (such as the NGO Statements) in the Committee agendas</w:t>
            </w:r>
            <w:r w:rsidRPr="004654DC">
              <w:rPr>
                <w:rFonts w:ascii="Arial" w:hAnsi="Arial" w:cs="Arial"/>
                <w:b/>
                <w:sz w:val="22"/>
                <w:szCs w:val="22"/>
                <w:lang w:val="en-GB"/>
              </w:rPr>
              <w:t>.</w:t>
            </w:r>
          </w:p>
        </w:tc>
      </w:tr>
      <w:tr w:rsidR="00381916" w:rsidRPr="00284E2B" w14:paraId="0B898190" w14:textId="77777777" w:rsidTr="002232C8">
        <w:tc>
          <w:tcPr>
            <w:tcW w:w="14358" w:type="dxa"/>
            <w:gridSpan w:val="5"/>
            <w:noWrap/>
            <w:tcMar>
              <w:top w:w="40" w:type="dxa"/>
              <w:left w:w="40" w:type="dxa"/>
              <w:bottom w:w="40" w:type="dxa"/>
              <w:right w:w="40" w:type="dxa"/>
            </w:tcMar>
          </w:tcPr>
          <w:p w14:paraId="427487C6" w14:textId="366E7E80" w:rsidR="00381916" w:rsidRPr="00427622" w:rsidRDefault="00381916" w:rsidP="002232C8">
            <w:pPr>
              <w:keepNext/>
              <w:keepLines/>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xml:space="preserve">: </w:t>
            </w:r>
            <w:r>
              <w:rPr>
                <w:rFonts w:ascii="Arial" w:hAnsi="Arial" w:cs="Arial"/>
                <w:sz w:val="22"/>
                <w:szCs w:val="22"/>
                <w:lang w:val="en-GB"/>
              </w:rPr>
              <w:t xml:space="preserve">The </w:t>
            </w:r>
            <w:r w:rsidRPr="0033405D">
              <w:rPr>
                <w:rFonts w:ascii="Arial" w:hAnsi="Arial" w:cs="Arial"/>
                <w:sz w:val="22"/>
                <w:szCs w:val="22"/>
                <w:lang w:val="en-GB"/>
              </w:rPr>
              <w:t xml:space="preserve">NGO Forum report </w:t>
            </w:r>
            <w:r>
              <w:rPr>
                <w:rFonts w:ascii="Arial" w:hAnsi="Arial" w:cs="Arial"/>
                <w:sz w:val="22"/>
                <w:szCs w:val="22"/>
                <w:lang w:val="en-GB"/>
              </w:rPr>
              <w:t xml:space="preserve">has </w:t>
            </w:r>
            <w:r w:rsidRPr="0033405D">
              <w:rPr>
                <w:rFonts w:ascii="Arial" w:hAnsi="Arial" w:cs="Arial"/>
                <w:sz w:val="22"/>
                <w:szCs w:val="22"/>
                <w:lang w:val="en-GB"/>
              </w:rPr>
              <w:t xml:space="preserve">already </w:t>
            </w:r>
            <w:r>
              <w:rPr>
                <w:rFonts w:ascii="Arial" w:hAnsi="Arial" w:cs="Arial"/>
                <w:sz w:val="22"/>
                <w:szCs w:val="22"/>
                <w:lang w:val="en-GB"/>
              </w:rPr>
              <w:t xml:space="preserve">been </w:t>
            </w:r>
            <w:r w:rsidRPr="0033405D">
              <w:rPr>
                <w:rFonts w:ascii="Arial" w:hAnsi="Arial" w:cs="Arial"/>
                <w:sz w:val="22"/>
                <w:szCs w:val="22"/>
                <w:lang w:val="en-GB"/>
              </w:rPr>
              <w:t xml:space="preserve">integrated </w:t>
            </w:r>
            <w:r w:rsidRPr="00427622">
              <w:rPr>
                <w:rFonts w:ascii="Arial" w:hAnsi="Arial" w:cs="Arial"/>
                <w:sz w:val="22"/>
                <w:szCs w:val="22"/>
                <w:lang w:val="en-GB"/>
              </w:rPr>
              <w:t>in</w:t>
            </w:r>
            <w:r>
              <w:rPr>
                <w:rFonts w:ascii="Arial" w:hAnsi="Arial" w:cs="Arial"/>
                <w:sz w:val="22"/>
                <w:szCs w:val="22"/>
                <w:lang w:val="en-GB"/>
              </w:rPr>
              <w:t>to</w:t>
            </w:r>
            <w:r w:rsidRPr="00427622">
              <w:rPr>
                <w:rFonts w:ascii="Arial" w:hAnsi="Arial" w:cs="Arial"/>
                <w:sz w:val="22"/>
                <w:szCs w:val="22"/>
                <w:lang w:val="en-GB"/>
              </w:rPr>
              <w:t xml:space="preserve"> the timetables of the sessions of the Committee since its ninth session in 2014, and NGOs have been given the floor when requested on several items of the agenda at sessions of the Committ</w:t>
            </w:r>
            <w:r w:rsidR="002F2B98">
              <w:rPr>
                <w:rFonts w:ascii="Arial" w:hAnsi="Arial" w:cs="Arial"/>
                <w:sz w:val="22"/>
                <w:szCs w:val="22"/>
                <w:lang w:val="en-GB"/>
              </w:rPr>
              <w:t>ee and of the General Assembly.</w:t>
            </w:r>
          </w:p>
        </w:tc>
      </w:tr>
      <w:tr w:rsidR="00381916" w:rsidRPr="00427622" w14:paraId="1677FAA0" w14:textId="77777777" w:rsidTr="002232C8">
        <w:tc>
          <w:tcPr>
            <w:tcW w:w="4717" w:type="dxa"/>
            <w:gridSpan w:val="2"/>
            <w:noWrap/>
            <w:tcMar>
              <w:top w:w="40" w:type="dxa"/>
              <w:left w:w="40" w:type="dxa"/>
              <w:bottom w:w="40" w:type="dxa"/>
              <w:right w:w="40" w:type="dxa"/>
            </w:tcMar>
          </w:tcPr>
          <w:p w14:paraId="353C217E" w14:textId="77777777" w:rsidR="00381916" w:rsidRPr="0033405D" w:rsidRDefault="00381916" w:rsidP="002232C8">
            <w:pPr>
              <w:keepNext/>
              <w:keepLines/>
              <w:spacing w:before="120" w:after="120"/>
              <w:ind w:left="113" w:right="57"/>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EDDB0BE" w14:textId="77777777" w:rsidR="00381916" w:rsidRPr="0033405D" w:rsidRDefault="00381916" w:rsidP="002232C8">
            <w:pPr>
              <w:spacing w:before="120" w:after="120"/>
              <w:ind w:left="57" w:right="57"/>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79D25E48" w14:textId="77777777" w:rsidR="00381916" w:rsidRPr="0033405D" w:rsidRDefault="00381916" w:rsidP="002232C8">
            <w:pPr>
              <w:spacing w:before="120" w:after="120"/>
              <w:ind w:left="113" w:right="57"/>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5EBB1664" w14:textId="77777777" w:rsidTr="002232C8">
        <w:tc>
          <w:tcPr>
            <w:tcW w:w="4717" w:type="dxa"/>
            <w:gridSpan w:val="2"/>
            <w:noWrap/>
            <w:tcMar>
              <w:top w:w="40" w:type="dxa"/>
              <w:left w:w="40" w:type="dxa"/>
              <w:bottom w:w="40" w:type="dxa"/>
              <w:right w:w="40" w:type="dxa"/>
            </w:tcMar>
          </w:tcPr>
          <w:p w14:paraId="13D69961" w14:textId="6576BBFC" w:rsidR="00381916" w:rsidRPr="00427622" w:rsidRDefault="00381916" w:rsidP="002232C8">
            <w:pPr>
              <w:pStyle w:val="Default"/>
              <w:spacing w:before="120" w:after="120"/>
              <w:ind w:left="113" w:right="57"/>
              <w:rPr>
                <w:sz w:val="22"/>
                <w:szCs w:val="22"/>
                <w:lang w:val="en-GB"/>
              </w:rPr>
            </w:pPr>
            <w:r w:rsidRPr="00427622">
              <w:rPr>
                <w:sz w:val="22"/>
                <w:szCs w:val="22"/>
                <w:lang w:val="en-GB"/>
              </w:rPr>
              <w:t xml:space="preserve">Integrate </w:t>
            </w:r>
            <w:r>
              <w:rPr>
                <w:sz w:val="22"/>
                <w:szCs w:val="22"/>
                <w:lang w:val="en-GB"/>
              </w:rPr>
              <w:t xml:space="preserve">the </w:t>
            </w:r>
            <w:r w:rsidRPr="00427622">
              <w:rPr>
                <w:sz w:val="22"/>
                <w:szCs w:val="22"/>
                <w:lang w:val="en-GB"/>
              </w:rPr>
              <w:t>NGO Statement in</w:t>
            </w:r>
            <w:r>
              <w:rPr>
                <w:sz w:val="22"/>
                <w:szCs w:val="22"/>
                <w:lang w:val="en-GB"/>
              </w:rPr>
              <w:t>to</w:t>
            </w:r>
            <w:r w:rsidRPr="00427622">
              <w:rPr>
                <w:sz w:val="22"/>
                <w:szCs w:val="22"/>
                <w:lang w:val="en-GB"/>
              </w:rPr>
              <w:t xml:space="preserve"> th</w:t>
            </w:r>
            <w:r w:rsidR="002F2B98">
              <w:rPr>
                <w:sz w:val="22"/>
                <w:szCs w:val="22"/>
                <w:lang w:val="en-GB"/>
              </w:rPr>
              <w:t>e agenda.</w:t>
            </w:r>
          </w:p>
          <w:p w14:paraId="2AC6DC21" w14:textId="77777777" w:rsidR="00381916" w:rsidRPr="00427622" w:rsidRDefault="00381916" w:rsidP="002232C8">
            <w:pPr>
              <w:pStyle w:val="Default"/>
              <w:spacing w:before="120" w:after="120"/>
              <w:ind w:left="113" w:right="57"/>
              <w:rPr>
                <w:lang w:val="en-GB"/>
              </w:rPr>
            </w:pPr>
            <w:r w:rsidRPr="00427622">
              <w:rPr>
                <w:sz w:val="22"/>
                <w:szCs w:val="22"/>
                <w:lang w:val="en-GB"/>
              </w:rPr>
              <w:t>Encourage NGOs to prepare their interventions prior to the session.</w:t>
            </w:r>
          </w:p>
        </w:tc>
        <w:tc>
          <w:tcPr>
            <w:tcW w:w="1986" w:type="dxa"/>
            <w:gridSpan w:val="2"/>
            <w:noWrap/>
            <w:tcMar>
              <w:top w:w="40" w:type="dxa"/>
              <w:left w:w="40" w:type="dxa"/>
              <w:bottom w:w="40" w:type="dxa"/>
              <w:right w:w="40" w:type="dxa"/>
            </w:tcMar>
          </w:tcPr>
          <w:p w14:paraId="29F7B92D" w14:textId="77777777" w:rsidR="00381916" w:rsidRPr="00427622" w:rsidRDefault="00381916" w:rsidP="002232C8">
            <w:pPr>
              <w:spacing w:before="120" w:after="120"/>
              <w:ind w:left="57" w:righ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1F87CF5D" w14:textId="77777777" w:rsidR="00381916" w:rsidRPr="00DB5451" w:rsidRDefault="00381916" w:rsidP="002232C8">
            <w:pPr>
              <w:pStyle w:val="ListParagraph"/>
              <w:numPr>
                <w:ilvl w:val="0"/>
                <w:numId w:val="9"/>
              </w:numPr>
              <w:spacing w:before="120" w:beforeAutospacing="0" w:after="120" w:afterAutospacing="0"/>
              <w:ind w:left="470" w:right="57" w:hanging="357"/>
              <w:contextualSpacing/>
              <w:rPr>
                <w:rFonts w:ascii="Arial" w:hAnsi="Arial" w:cs="Arial"/>
                <w:sz w:val="22"/>
                <w:szCs w:val="22"/>
                <w:lang w:val="en-GB"/>
              </w:rPr>
            </w:pPr>
            <w:r w:rsidRPr="00427622">
              <w:rPr>
                <w:rFonts w:ascii="Arial" w:hAnsi="Arial" w:cs="Arial"/>
                <w:sz w:val="22"/>
                <w:szCs w:val="22"/>
                <w:lang w:val="en-GB"/>
              </w:rPr>
              <w:t>The NGO statement was integrated in</w:t>
            </w:r>
            <w:r>
              <w:rPr>
                <w:rFonts w:ascii="Arial" w:hAnsi="Arial" w:cs="Arial"/>
                <w:sz w:val="22"/>
                <w:szCs w:val="22"/>
                <w:lang w:val="en-GB"/>
              </w:rPr>
              <w:t>to</w:t>
            </w:r>
            <w:r w:rsidRPr="00427622">
              <w:rPr>
                <w:rFonts w:ascii="Arial" w:hAnsi="Arial" w:cs="Arial"/>
                <w:sz w:val="22"/>
                <w:szCs w:val="22"/>
                <w:lang w:val="en-GB"/>
              </w:rPr>
              <w:t xml:space="preserve"> the timetable of the ninth</w:t>
            </w:r>
            <w:r>
              <w:rPr>
                <w:rFonts w:ascii="Arial" w:hAnsi="Arial" w:cs="Arial"/>
                <w:sz w:val="22"/>
                <w:szCs w:val="22"/>
                <w:lang w:val="en-GB"/>
              </w:rPr>
              <w:t xml:space="preserve"> and</w:t>
            </w:r>
            <w:r w:rsidRPr="00497383">
              <w:rPr>
                <w:rFonts w:ascii="Arial" w:hAnsi="Arial" w:cs="Arial"/>
                <w:sz w:val="22"/>
                <w:szCs w:val="22"/>
                <w:lang w:val="en-GB"/>
              </w:rPr>
              <w:t xml:space="preserve"> </w:t>
            </w:r>
            <w:r w:rsidRPr="00DB5451">
              <w:rPr>
                <w:rFonts w:ascii="Arial" w:hAnsi="Arial" w:cs="Arial"/>
                <w:sz w:val="22"/>
                <w:szCs w:val="22"/>
                <w:lang w:val="en-GB"/>
              </w:rPr>
              <w:t>tenth sessions of the Committee.</w:t>
            </w:r>
          </w:p>
          <w:p w14:paraId="382AD85C" w14:textId="77777777" w:rsidR="00381916" w:rsidRPr="00427622" w:rsidRDefault="00381916" w:rsidP="002232C8">
            <w:pPr>
              <w:pStyle w:val="ListParagraph"/>
              <w:widowControl w:val="0"/>
              <w:numPr>
                <w:ilvl w:val="0"/>
                <w:numId w:val="9"/>
              </w:numPr>
              <w:spacing w:before="120" w:beforeAutospacing="0" w:after="120" w:afterAutospacing="0"/>
              <w:ind w:left="470" w:right="57" w:hanging="357"/>
              <w:contextualSpacing/>
              <w:rPr>
                <w:rFonts w:ascii="Arial" w:hAnsi="Arial" w:cs="Arial"/>
                <w:b/>
                <w:sz w:val="22"/>
                <w:szCs w:val="22"/>
                <w:u w:val="single"/>
                <w:lang w:val="en-GB"/>
              </w:rPr>
            </w:pPr>
            <w:r w:rsidRPr="00427622">
              <w:rPr>
                <w:rFonts w:ascii="Arial" w:hAnsi="Arial" w:cs="Arial"/>
                <w:sz w:val="22"/>
                <w:szCs w:val="22"/>
                <w:lang w:val="en-GB"/>
              </w:rPr>
              <w:t>The NGO Statement will continue to be integrated in</w:t>
            </w:r>
            <w:r>
              <w:rPr>
                <w:rFonts w:ascii="Arial" w:hAnsi="Arial" w:cs="Arial"/>
                <w:sz w:val="22"/>
                <w:szCs w:val="22"/>
                <w:lang w:val="en-GB"/>
              </w:rPr>
              <w:t>to</w:t>
            </w:r>
            <w:r w:rsidRPr="00427622">
              <w:rPr>
                <w:rFonts w:ascii="Arial" w:hAnsi="Arial" w:cs="Arial"/>
                <w:sz w:val="22"/>
                <w:szCs w:val="22"/>
                <w:lang w:val="en-GB"/>
              </w:rPr>
              <w:t xml:space="preserve"> the timetable of the Committee sessions.</w:t>
            </w:r>
          </w:p>
        </w:tc>
      </w:tr>
      <w:tr w:rsidR="00381916" w:rsidRPr="00284E2B" w14:paraId="7FF98895" w14:textId="77777777" w:rsidTr="002232C8">
        <w:tc>
          <w:tcPr>
            <w:tcW w:w="14358" w:type="dxa"/>
            <w:gridSpan w:val="5"/>
            <w:shd w:val="clear" w:color="auto" w:fill="E6E6E6"/>
            <w:noWrap/>
            <w:tcMar>
              <w:top w:w="40" w:type="dxa"/>
              <w:left w:w="40" w:type="dxa"/>
              <w:bottom w:w="40" w:type="dxa"/>
              <w:right w:w="40" w:type="dxa"/>
            </w:tcMar>
          </w:tcPr>
          <w:p w14:paraId="4A56D36B" w14:textId="77777777" w:rsidR="00381916" w:rsidRPr="0033405D" w:rsidRDefault="00381916" w:rsidP="002232C8">
            <w:pPr>
              <w:tabs>
                <w:tab w:val="left" w:pos="2640"/>
              </w:tabs>
              <w:spacing w:before="120" w:after="120"/>
              <w:ind w:left="113" w:right="113"/>
              <w:jc w:val="both"/>
              <w:rPr>
                <w:rFonts w:ascii="Arial" w:hAnsi="Arial" w:cs="Arial"/>
                <w:b/>
                <w:sz w:val="22"/>
                <w:szCs w:val="22"/>
                <w:lang w:val="en-GB"/>
              </w:rPr>
            </w:pPr>
            <w:r w:rsidRPr="0033405D">
              <w:rPr>
                <w:lang w:val="en-GB"/>
              </w:rPr>
              <w:br w:type="page"/>
            </w:r>
            <w:r w:rsidRPr="0033405D">
              <w:rPr>
                <w:rFonts w:ascii="Arial" w:hAnsi="Arial" w:cs="Arial"/>
                <w:b/>
                <w:sz w:val="22"/>
                <w:szCs w:val="22"/>
                <w:lang w:val="en-GB"/>
              </w:rPr>
              <w:t>Recommendation 18: Revise the accreditation process and criteria for NGOs to ensure that all accredited NGOs have the required experience and capacity to provide advisory services to the Committee</w:t>
            </w:r>
            <w:r w:rsidRPr="004654DC">
              <w:rPr>
                <w:rFonts w:ascii="Arial" w:hAnsi="Arial" w:cs="Arial"/>
                <w:b/>
                <w:sz w:val="22"/>
                <w:szCs w:val="22"/>
                <w:lang w:val="en-GB"/>
              </w:rPr>
              <w:t>.</w:t>
            </w:r>
          </w:p>
        </w:tc>
      </w:tr>
      <w:tr w:rsidR="00381916" w:rsidRPr="00284E2B" w14:paraId="6216D67C" w14:textId="77777777" w:rsidTr="002232C8">
        <w:tc>
          <w:tcPr>
            <w:tcW w:w="14358" w:type="dxa"/>
            <w:gridSpan w:val="5"/>
            <w:noWrap/>
            <w:tcMar>
              <w:top w:w="40" w:type="dxa"/>
              <w:left w:w="40" w:type="dxa"/>
              <w:bottom w:w="40" w:type="dxa"/>
              <w:right w:w="40" w:type="dxa"/>
            </w:tcMar>
          </w:tcPr>
          <w:p w14:paraId="22F9BEBB" w14:textId="77777777" w:rsidR="00381916" w:rsidRPr="00427622" w:rsidRDefault="00381916" w:rsidP="002232C8">
            <w:pPr>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The General Assembly at its fifth session in June 2014 rejected the draft Directives prepared by the Secretariat</w:t>
            </w:r>
            <w:r>
              <w:rPr>
                <w:rFonts w:ascii="Arial" w:hAnsi="Arial" w:cs="Arial"/>
                <w:sz w:val="22"/>
                <w:szCs w:val="22"/>
                <w:lang w:val="en-GB"/>
              </w:rPr>
              <w:t>,</w:t>
            </w:r>
            <w:r w:rsidRPr="0033405D">
              <w:rPr>
                <w:rFonts w:ascii="Arial" w:hAnsi="Arial" w:cs="Arial"/>
                <w:sz w:val="22"/>
                <w:szCs w:val="22"/>
                <w:lang w:val="en-GB"/>
              </w:rPr>
              <w:t xml:space="preserve"> revising the criteria of accreditation to ensure that all accredited NGOs have the required experience and capacity to provide advisory services to the Committee.</w:t>
            </w:r>
          </w:p>
        </w:tc>
      </w:tr>
      <w:tr w:rsidR="00381916" w:rsidRPr="00427622" w14:paraId="4F0CF012" w14:textId="77777777" w:rsidTr="002232C8">
        <w:tc>
          <w:tcPr>
            <w:tcW w:w="4717" w:type="dxa"/>
            <w:gridSpan w:val="2"/>
            <w:noWrap/>
            <w:tcMar>
              <w:top w:w="40" w:type="dxa"/>
              <w:left w:w="40" w:type="dxa"/>
              <w:bottom w:w="40" w:type="dxa"/>
              <w:right w:w="40" w:type="dxa"/>
            </w:tcMar>
          </w:tcPr>
          <w:p w14:paraId="212F48FC" w14:textId="77777777" w:rsidR="00381916" w:rsidRPr="0033405D" w:rsidRDefault="00381916" w:rsidP="002232C8">
            <w:pPr>
              <w:spacing w:before="120" w:after="120"/>
              <w:ind w:left="113" w:right="57"/>
              <w:jc w:val="center"/>
              <w:rPr>
                <w:rFonts w:ascii="Arial" w:hAnsi="Arial" w:cs="Arial"/>
                <w:b/>
                <w:sz w:val="22"/>
                <w:szCs w:val="22"/>
                <w:lang w:val="en-GB"/>
              </w:rPr>
            </w:pPr>
            <w:r w:rsidRPr="00427622">
              <w:rPr>
                <w:rFonts w:ascii="Arial" w:hAnsi="Arial" w:cs="Arial"/>
                <w:b/>
                <w:sz w:val="22"/>
                <w:szCs w:val="22"/>
                <w:lang w:val="en-GB"/>
              </w:rPr>
              <w:lastRenderedPageBreak/>
              <w:t>Actions Planned</w:t>
            </w:r>
          </w:p>
        </w:tc>
        <w:tc>
          <w:tcPr>
            <w:tcW w:w="1986" w:type="dxa"/>
            <w:gridSpan w:val="2"/>
            <w:noWrap/>
            <w:tcMar>
              <w:top w:w="40" w:type="dxa"/>
              <w:left w:w="40" w:type="dxa"/>
              <w:bottom w:w="40" w:type="dxa"/>
              <w:right w:w="40" w:type="dxa"/>
            </w:tcMar>
          </w:tcPr>
          <w:p w14:paraId="2E0FC1A4" w14:textId="77777777" w:rsidR="00381916" w:rsidRPr="0033405D" w:rsidRDefault="00381916" w:rsidP="002232C8">
            <w:pPr>
              <w:spacing w:before="120" w:after="120"/>
              <w:ind w:left="57" w:right="57"/>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2D847F1B" w14:textId="77777777" w:rsidR="00381916" w:rsidRPr="0033405D" w:rsidRDefault="00381916" w:rsidP="002232C8">
            <w:pPr>
              <w:spacing w:before="120" w:after="120"/>
              <w:ind w:left="113" w:right="57"/>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427622" w14:paraId="621F3730" w14:textId="77777777" w:rsidTr="002232C8">
        <w:tc>
          <w:tcPr>
            <w:tcW w:w="4717" w:type="dxa"/>
            <w:gridSpan w:val="2"/>
            <w:noWrap/>
            <w:tcMar>
              <w:top w:w="40" w:type="dxa"/>
              <w:left w:w="40" w:type="dxa"/>
              <w:bottom w:w="40" w:type="dxa"/>
              <w:right w:w="40" w:type="dxa"/>
            </w:tcMar>
          </w:tcPr>
          <w:p w14:paraId="3E62C465" w14:textId="4B78E0BC" w:rsidR="00381916" w:rsidRPr="00427622" w:rsidRDefault="00381916" w:rsidP="002232C8">
            <w:pPr>
              <w:spacing w:before="120" w:after="120"/>
              <w:ind w:left="113" w:right="57"/>
              <w:rPr>
                <w:rFonts w:ascii="Arial" w:hAnsi="Arial" w:cs="Arial"/>
                <w:sz w:val="22"/>
                <w:szCs w:val="22"/>
                <w:lang w:val="en-GB"/>
              </w:rPr>
            </w:pPr>
            <w:r w:rsidRPr="00427622">
              <w:rPr>
                <w:rFonts w:ascii="Arial" w:hAnsi="Arial" w:cs="Arial"/>
                <w:sz w:val="22"/>
                <w:szCs w:val="22"/>
                <w:lang w:val="en-GB"/>
              </w:rPr>
              <w:t>The General Assembly at its fifth session in June 2014 rejected the draft Operational Directives prepared by the Secretariat</w:t>
            </w:r>
            <w:r>
              <w:rPr>
                <w:rFonts w:ascii="Arial" w:hAnsi="Arial" w:cs="Arial"/>
                <w:sz w:val="22"/>
                <w:szCs w:val="22"/>
                <w:lang w:val="en-GB"/>
              </w:rPr>
              <w:t>,</w:t>
            </w:r>
            <w:r w:rsidRPr="00427622">
              <w:rPr>
                <w:rFonts w:ascii="Arial" w:hAnsi="Arial" w:cs="Arial"/>
                <w:sz w:val="22"/>
                <w:szCs w:val="22"/>
                <w:lang w:val="en-GB"/>
              </w:rPr>
              <w:t xml:space="preserve"> revising the criteria of accreditation (</w:t>
            </w:r>
            <w:r w:rsidRPr="002F2B98">
              <w:rPr>
                <w:rFonts w:ascii="Arial" w:hAnsi="Arial" w:cs="Arial"/>
                <w:sz w:val="22"/>
                <w:szCs w:val="22"/>
                <w:lang w:val="en-GB"/>
              </w:rPr>
              <w:t>Document </w:t>
            </w:r>
            <w:hyperlink r:id="rId47" w:history="1">
              <w:r w:rsidRPr="002F2B98">
                <w:rPr>
                  <w:rStyle w:val="Hyperlink"/>
                  <w:rFonts w:ascii="Arial" w:hAnsi="Arial" w:cs="Arial"/>
                  <w:sz w:val="22"/>
                  <w:szCs w:val="22"/>
                  <w:lang w:val="en-GB"/>
                </w:rPr>
                <w:t>ITH/14/5.GA/5.1</w:t>
              </w:r>
            </w:hyperlink>
            <w:r w:rsidRPr="002F2B98">
              <w:rPr>
                <w:rStyle w:val="Hyperlink"/>
                <w:rFonts w:ascii="Arial" w:hAnsi="Arial" w:cs="Arial"/>
                <w:color w:val="auto"/>
                <w:sz w:val="22"/>
                <w:szCs w:val="22"/>
                <w:u w:val="none"/>
                <w:lang w:val="en-GB"/>
              </w:rPr>
              <w:t>)</w:t>
            </w:r>
            <w:r w:rsidRPr="00427622">
              <w:rPr>
                <w:lang w:val="en-GB"/>
              </w:rPr>
              <w:t>.</w:t>
            </w:r>
          </w:p>
        </w:tc>
        <w:tc>
          <w:tcPr>
            <w:tcW w:w="1986" w:type="dxa"/>
            <w:gridSpan w:val="2"/>
            <w:noWrap/>
            <w:tcMar>
              <w:top w:w="40" w:type="dxa"/>
              <w:left w:w="40" w:type="dxa"/>
              <w:bottom w:w="40" w:type="dxa"/>
              <w:right w:w="40" w:type="dxa"/>
            </w:tcMar>
          </w:tcPr>
          <w:p w14:paraId="6E153912" w14:textId="77777777" w:rsidR="00381916" w:rsidRPr="00427622" w:rsidRDefault="00381916" w:rsidP="002232C8">
            <w:pPr>
              <w:spacing w:before="120" w:after="120"/>
              <w:ind w:left="113" w:right="57"/>
              <w:rPr>
                <w:rFonts w:ascii="Arial" w:hAnsi="Arial" w:cs="Arial"/>
                <w:sz w:val="22"/>
                <w:szCs w:val="22"/>
                <w:lang w:val="en-GB"/>
              </w:rPr>
            </w:pPr>
          </w:p>
        </w:tc>
        <w:tc>
          <w:tcPr>
            <w:tcW w:w="7655" w:type="dxa"/>
            <w:noWrap/>
            <w:tcMar>
              <w:top w:w="40" w:type="dxa"/>
              <w:left w:w="40" w:type="dxa"/>
              <w:bottom w:w="40" w:type="dxa"/>
              <w:right w:w="40" w:type="dxa"/>
            </w:tcMar>
          </w:tcPr>
          <w:p w14:paraId="3F3B5456" w14:textId="77777777" w:rsidR="00381916" w:rsidRPr="00427622" w:rsidRDefault="00381916" w:rsidP="002232C8">
            <w:pPr>
              <w:spacing w:before="120" w:after="120"/>
              <w:ind w:left="113" w:right="57"/>
              <w:rPr>
                <w:rFonts w:ascii="Arial" w:hAnsi="Arial" w:cs="Arial"/>
                <w:sz w:val="22"/>
                <w:szCs w:val="22"/>
                <w:lang w:val="en-GB"/>
              </w:rPr>
            </w:pPr>
            <w:r w:rsidRPr="00427622">
              <w:rPr>
                <w:rFonts w:ascii="Arial" w:hAnsi="Arial" w:cs="Arial"/>
                <w:sz w:val="22"/>
                <w:szCs w:val="22"/>
                <w:lang w:val="en-GB"/>
              </w:rPr>
              <w:t>None</w:t>
            </w:r>
          </w:p>
        </w:tc>
      </w:tr>
      <w:tr w:rsidR="00381916" w:rsidRPr="00284E2B" w14:paraId="0EC78DCC" w14:textId="77777777" w:rsidTr="002232C8">
        <w:tc>
          <w:tcPr>
            <w:tcW w:w="14358" w:type="dxa"/>
            <w:gridSpan w:val="5"/>
            <w:shd w:val="clear" w:color="auto" w:fill="E6E6E6"/>
            <w:noWrap/>
            <w:tcMar>
              <w:top w:w="40" w:type="dxa"/>
              <w:left w:w="40" w:type="dxa"/>
              <w:bottom w:w="40" w:type="dxa"/>
              <w:right w:w="40" w:type="dxa"/>
            </w:tcMar>
          </w:tcPr>
          <w:p w14:paraId="6295255F" w14:textId="77777777" w:rsidR="00381916" w:rsidRPr="0033405D" w:rsidRDefault="00381916" w:rsidP="002232C8">
            <w:pPr>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19: Encourage a debate on the role of the private sector and of private/public partnerships in safeguarding ICH at all levels (national, regional and international) in order to better define its potential for cooperation and involvement.</w:t>
            </w:r>
          </w:p>
        </w:tc>
      </w:tr>
      <w:tr w:rsidR="00381916" w:rsidRPr="00284E2B" w14:paraId="0938D723" w14:textId="77777777" w:rsidTr="002232C8">
        <w:tc>
          <w:tcPr>
            <w:tcW w:w="14358" w:type="dxa"/>
            <w:gridSpan w:val="5"/>
            <w:noWrap/>
            <w:tcMar>
              <w:top w:w="40" w:type="dxa"/>
              <w:left w:w="40" w:type="dxa"/>
              <w:bottom w:w="40" w:type="dxa"/>
              <w:right w:w="40" w:type="dxa"/>
            </w:tcMar>
          </w:tcPr>
          <w:p w14:paraId="18978E3F" w14:textId="77777777" w:rsidR="00381916" w:rsidRPr="00427622" w:rsidRDefault="00381916" w:rsidP="002232C8">
            <w:pPr>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To be implemented at the Culture Sector level.</w:t>
            </w:r>
          </w:p>
        </w:tc>
      </w:tr>
      <w:tr w:rsidR="00381916" w:rsidRPr="00427622" w14:paraId="1E02ED52" w14:textId="77777777" w:rsidTr="002232C8">
        <w:tc>
          <w:tcPr>
            <w:tcW w:w="4717" w:type="dxa"/>
            <w:gridSpan w:val="2"/>
            <w:noWrap/>
            <w:tcMar>
              <w:top w:w="40" w:type="dxa"/>
              <w:left w:w="40" w:type="dxa"/>
              <w:bottom w:w="40" w:type="dxa"/>
              <w:right w:w="40" w:type="dxa"/>
            </w:tcMar>
          </w:tcPr>
          <w:p w14:paraId="64A221CB"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3AF75EE9"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3F00D547"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5AB7C8D7" w14:textId="77777777" w:rsidTr="002232C8">
        <w:tc>
          <w:tcPr>
            <w:tcW w:w="4717" w:type="dxa"/>
            <w:gridSpan w:val="2"/>
            <w:shd w:val="clear" w:color="auto" w:fill="auto"/>
            <w:noWrap/>
            <w:tcMar>
              <w:top w:w="40" w:type="dxa"/>
              <w:left w:w="40" w:type="dxa"/>
              <w:bottom w:w="40" w:type="dxa"/>
              <w:right w:w="40" w:type="dxa"/>
            </w:tcMar>
          </w:tcPr>
          <w:p w14:paraId="7157252C" w14:textId="77777777" w:rsidR="00381916" w:rsidRPr="00427622" w:rsidRDefault="00381916" w:rsidP="002232C8">
            <w:pPr>
              <w:spacing w:before="60" w:after="60"/>
              <w:ind w:left="113" w:right="57"/>
              <w:rPr>
                <w:rFonts w:ascii="Arial" w:hAnsi="Arial" w:cs="Arial"/>
                <w:sz w:val="22"/>
                <w:szCs w:val="22"/>
                <w:lang w:val="en-GB"/>
              </w:rPr>
            </w:pPr>
            <w:r w:rsidRPr="00427622">
              <w:rPr>
                <w:rFonts w:ascii="Arial" w:hAnsi="Arial" w:cs="Arial"/>
                <w:sz w:val="22"/>
                <w:szCs w:val="22"/>
                <w:lang w:val="en-GB"/>
              </w:rPr>
              <w:t>Identify specific fund-raising strategies for the 2003 Convention to feed into the overall Culture sector</w:t>
            </w:r>
            <w:r w:rsidRPr="0033405D">
              <w:rPr>
                <w:rFonts w:ascii="Arial" w:hAnsi="Arial" w:cs="Arial"/>
                <w:sz w:val="22"/>
                <w:szCs w:val="22"/>
                <w:lang w:val="en-GB"/>
              </w:rPr>
              <w:t>’</w:t>
            </w:r>
            <w:r>
              <w:rPr>
                <w:rFonts w:ascii="Arial" w:hAnsi="Arial" w:cs="Arial"/>
                <w:sz w:val="22"/>
                <w:szCs w:val="22"/>
                <w:lang w:val="en-GB"/>
              </w:rPr>
              <w:t>s</w:t>
            </w:r>
            <w:r w:rsidRPr="00427622">
              <w:rPr>
                <w:rFonts w:ascii="Arial" w:hAnsi="Arial" w:cs="Arial"/>
                <w:sz w:val="22"/>
                <w:szCs w:val="22"/>
                <w:lang w:val="en-GB"/>
              </w:rPr>
              <w:t xml:space="preserve"> fund-raising strategy.</w:t>
            </w:r>
          </w:p>
          <w:p w14:paraId="373A06A4" w14:textId="77777777" w:rsidR="00381916" w:rsidRPr="00427622" w:rsidRDefault="00381916" w:rsidP="002232C8">
            <w:pPr>
              <w:spacing w:before="60" w:after="60"/>
              <w:ind w:left="113" w:right="57"/>
              <w:rPr>
                <w:rFonts w:ascii="Arial" w:hAnsi="Arial" w:cs="Arial"/>
                <w:sz w:val="22"/>
                <w:szCs w:val="22"/>
                <w:lang w:val="en-GB"/>
              </w:rPr>
            </w:pPr>
            <w:r w:rsidRPr="00427622">
              <w:rPr>
                <w:rFonts w:ascii="Arial" w:hAnsi="Arial" w:cs="Arial"/>
                <w:sz w:val="22"/>
                <w:szCs w:val="22"/>
                <w:lang w:val="en-GB"/>
              </w:rPr>
              <w:t>Explore options to integrate in</w:t>
            </w:r>
            <w:r>
              <w:rPr>
                <w:rFonts w:ascii="Arial" w:hAnsi="Arial" w:cs="Arial"/>
                <w:sz w:val="22"/>
                <w:szCs w:val="22"/>
                <w:lang w:val="en-GB"/>
              </w:rPr>
              <w:t>to</w:t>
            </w:r>
            <w:r w:rsidRPr="00427622">
              <w:rPr>
                <w:rFonts w:ascii="Arial" w:hAnsi="Arial" w:cs="Arial"/>
                <w:sz w:val="22"/>
                <w:szCs w:val="22"/>
                <w:lang w:val="en-GB"/>
              </w:rPr>
              <w:t xml:space="preserve"> CAP activities and consult on </w:t>
            </w:r>
            <w:r>
              <w:rPr>
                <w:rFonts w:ascii="Arial" w:hAnsi="Arial" w:cs="Arial"/>
                <w:sz w:val="22"/>
                <w:szCs w:val="22"/>
                <w:lang w:val="en-GB"/>
              </w:rPr>
              <w:t xml:space="preserve">the </w:t>
            </w:r>
            <w:r w:rsidRPr="00427622">
              <w:rPr>
                <w:rFonts w:ascii="Arial" w:hAnsi="Arial" w:cs="Arial"/>
                <w:sz w:val="22"/>
                <w:szCs w:val="22"/>
                <w:lang w:val="en-GB"/>
              </w:rPr>
              <w:t>potential methodology.</w:t>
            </w:r>
          </w:p>
          <w:p w14:paraId="481D8C95" w14:textId="77777777" w:rsidR="00381916" w:rsidRPr="0055633B" w:rsidRDefault="00381916" w:rsidP="002232C8">
            <w:pPr>
              <w:spacing w:before="60" w:after="60"/>
              <w:ind w:left="113" w:right="57"/>
              <w:rPr>
                <w:rFonts w:eastAsia="Malgun Gothic"/>
                <w:sz w:val="22"/>
                <w:szCs w:val="22"/>
                <w:lang w:val="en-GB" w:eastAsia="ko-KR"/>
              </w:rPr>
            </w:pPr>
            <w:r w:rsidRPr="00427622">
              <w:rPr>
                <w:rFonts w:ascii="Arial" w:hAnsi="Arial" w:cs="Arial"/>
                <w:sz w:val="22"/>
                <w:szCs w:val="22"/>
                <w:lang w:val="en-GB"/>
              </w:rPr>
              <w:t>Coordinate with the overall Culture sector</w:t>
            </w:r>
            <w:r w:rsidRPr="0033405D">
              <w:rPr>
                <w:rFonts w:ascii="Arial" w:hAnsi="Arial" w:cs="Arial"/>
                <w:sz w:val="22"/>
                <w:szCs w:val="22"/>
                <w:lang w:val="en-GB"/>
              </w:rPr>
              <w:t>’</w:t>
            </w:r>
            <w:r>
              <w:rPr>
                <w:rFonts w:ascii="Arial" w:hAnsi="Arial" w:cs="Arial"/>
                <w:sz w:val="22"/>
                <w:szCs w:val="22"/>
                <w:lang w:val="en-GB"/>
              </w:rPr>
              <w:t>s</w:t>
            </w:r>
            <w:r w:rsidRPr="00427622">
              <w:rPr>
                <w:rFonts w:ascii="Arial" w:hAnsi="Arial" w:cs="Arial"/>
                <w:sz w:val="22"/>
                <w:szCs w:val="22"/>
                <w:lang w:val="en-GB"/>
              </w:rPr>
              <w:t xml:space="preserve"> fund-raising strategy.</w:t>
            </w:r>
          </w:p>
        </w:tc>
        <w:tc>
          <w:tcPr>
            <w:tcW w:w="1986" w:type="dxa"/>
            <w:gridSpan w:val="2"/>
            <w:noWrap/>
            <w:tcMar>
              <w:top w:w="40" w:type="dxa"/>
              <w:left w:w="40" w:type="dxa"/>
              <w:bottom w:w="40" w:type="dxa"/>
              <w:right w:w="40" w:type="dxa"/>
            </w:tcMar>
          </w:tcPr>
          <w:p w14:paraId="30A70327"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Ongoing</w:t>
            </w:r>
          </w:p>
        </w:tc>
        <w:tc>
          <w:tcPr>
            <w:tcW w:w="7655" w:type="dxa"/>
            <w:noWrap/>
            <w:tcMar>
              <w:top w:w="40" w:type="dxa"/>
              <w:left w:w="40" w:type="dxa"/>
              <w:bottom w:w="40" w:type="dxa"/>
              <w:right w:w="40" w:type="dxa"/>
            </w:tcMar>
          </w:tcPr>
          <w:p w14:paraId="1230AC8A" w14:textId="77777777" w:rsidR="00381916" w:rsidRPr="00A75804" w:rsidRDefault="00381916" w:rsidP="002232C8">
            <w:pPr>
              <w:pStyle w:val="ListParagraph"/>
              <w:numPr>
                <w:ilvl w:val="0"/>
                <w:numId w:val="9"/>
              </w:numPr>
              <w:spacing w:before="120" w:after="120"/>
              <w:ind w:left="530" w:hanging="426"/>
              <w:contextualSpacing/>
              <w:rPr>
                <w:rFonts w:ascii="Arial" w:hAnsi="Arial" w:cs="Arial"/>
                <w:sz w:val="22"/>
                <w:szCs w:val="22"/>
                <w:lang w:val="en-GB" w:eastAsia="en-US"/>
              </w:rPr>
            </w:pPr>
            <w:r>
              <w:rPr>
                <w:rFonts w:ascii="Arial" w:hAnsi="Arial" w:cs="Arial"/>
                <w:sz w:val="22"/>
                <w:szCs w:val="22"/>
                <w:lang w:val="en-GB" w:eastAsia="en-US"/>
              </w:rPr>
              <w:t xml:space="preserve">The </w:t>
            </w:r>
            <w:r w:rsidRPr="00427622">
              <w:rPr>
                <w:rFonts w:ascii="Arial" w:hAnsi="Arial" w:cs="Arial"/>
                <w:sz w:val="22"/>
                <w:szCs w:val="22"/>
                <w:lang w:val="en-GB" w:eastAsia="en-US"/>
              </w:rPr>
              <w:t xml:space="preserve">Conventions Common Services Unit (CLT/CCS) </w:t>
            </w:r>
            <w:r w:rsidRPr="00A75804">
              <w:rPr>
                <w:rFonts w:ascii="Arial" w:hAnsi="Arial" w:cs="Arial"/>
                <w:sz w:val="22"/>
                <w:szCs w:val="22"/>
                <w:lang w:val="en-GB" w:eastAsia="en-US"/>
              </w:rPr>
              <w:t xml:space="preserve">CCS has prepared a document on </w:t>
            </w:r>
            <w:r>
              <w:rPr>
                <w:rFonts w:ascii="Arial" w:hAnsi="Arial" w:cs="Arial"/>
                <w:sz w:val="22"/>
                <w:szCs w:val="22"/>
                <w:lang w:val="en-GB" w:eastAsia="en-US"/>
              </w:rPr>
              <w:t>r</w:t>
            </w:r>
            <w:r w:rsidRPr="00A75804">
              <w:rPr>
                <w:rFonts w:ascii="Arial" w:hAnsi="Arial" w:cs="Arial"/>
                <w:sz w:val="22"/>
                <w:szCs w:val="22"/>
                <w:lang w:val="en-GB" w:eastAsia="en-US"/>
              </w:rPr>
              <w:t>esource mobilization working principles, outlining the basic principles, approaches and tools that would be contained in a common resource mobilization strategy for the Culture Conventions. The document has been shared with the 2005 and 2003 Convention Secretariats for comments and will also be discussed with BSP/CF</w:t>
            </w:r>
            <w:r>
              <w:rPr>
                <w:rFonts w:ascii="Arial" w:hAnsi="Arial" w:cs="Arial"/>
                <w:sz w:val="22"/>
                <w:szCs w:val="22"/>
                <w:lang w:val="en-GB" w:eastAsia="en-US"/>
              </w:rPr>
              <w:t>S prior to finalization.</w:t>
            </w:r>
          </w:p>
          <w:p w14:paraId="7057D48A" w14:textId="77777777" w:rsidR="00381916" w:rsidRPr="00A75804" w:rsidRDefault="00381916" w:rsidP="002232C8">
            <w:pPr>
              <w:pStyle w:val="ListParagraph"/>
              <w:numPr>
                <w:ilvl w:val="0"/>
                <w:numId w:val="9"/>
              </w:numPr>
              <w:spacing w:before="120" w:after="120"/>
              <w:ind w:left="530" w:hanging="426"/>
              <w:contextualSpacing/>
              <w:rPr>
                <w:rFonts w:ascii="Arial" w:hAnsi="Arial" w:cs="Arial"/>
                <w:sz w:val="22"/>
                <w:szCs w:val="22"/>
                <w:lang w:val="en-GB" w:eastAsia="en-US"/>
              </w:rPr>
            </w:pPr>
            <w:r w:rsidRPr="00A75804">
              <w:rPr>
                <w:rFonts w:ascii="Arial" w:hAnsi="Arial" w:cs="Arial"/>
                <w:sz w:val="22"/>
                <w:szCs w:val="22"/>
                <w:lang w:val="en-GB" w:eastAsia="en-US"/>
              </w:rPr>
              <w:t>The Panorama table prepared by CCS</w:t>
            </w:r>
            <w:r>
              <w:rPr>
                <w:rFonts w:ascii="Arial" w:hAnsi="Arial" w:cs="Arial"/>
                <w:sz w:val="22"/>
                <w:szCs w:val="22"/>
                <w:lang w:val="en-GB" w:eastAsia="en-US"/>
              </w:rPr>
              <w:t>, which</w:t>
            </w:r>
            <w:r w:rsidRPr="00A75804">
              <w:rPr>
                <w:rFonts w:ascii="Arial" w:hAnsi="Arial" w:cs="Arial"/>
                <w:sz w:val="22"/>
                <w:szCs w:val="22"/>
                <w:lang w:val="en-GB" w:eastAsia="en-US"/>
              </w:rPr>
              <w:t xml:space="preserve"> summariz</w:t>
            </w:r>
            <w:r>
              <w:rPr>
                <w:rFonts w:ascii="Arial" w:hAnsi="Arial" w:cs="Arial"/>
                <w:sz w:val="22"/>
                <w:szCs w:val="22"/>
                <w:lang w:val="en-GB" w:eastAsia="en-US"/>
              </w:rPr>
              <w:t>es</w:t>
            </w:r>
            <w:r w:rsidRPr="00A75804">
              <w:rPr>
                <w:rFonts w:ascii="Arial" w:hAnsi="Arial" w:cs="Arial"/>
                <w:sz w:val="22"/>
                <w:szCs w:val="22"/>
                <w:lang w:val="en-GB" w:eastAsia="en-US"/>
              </w:rPr>
              <w:t xml:space="preserve"> the different objectives and obligations of each Convention in terms of resource mobilization</w:t>
            </w:r>
            <w:r>
              <w:rPr>
                <w:rFonts w:ascii="Arial" w:hAnsi="Arial" w:cs="Arial"/>
                <w:sz w:val="22"/>
                <w:szCs w:val="22"/>
                <w:lang w:val="en-GB" w:eastAsia="en-US"/>
              </w:rPr>
              <w:t xml:space="preserve"> </w:t>
            </w:r>
            <w:r w:rsidRPr="00A75804">
              <w:rPr>
                <w:rFonts w:ascii="Arial" w:hAnsi="Arial" w:cs="Arial"/>
                <w:sz w:val="22"/>
                <w:szCs w:val="22"/>
                <w:lang w:val="en-GB" w:eastAsia="en-US"/>
              </w:rPr>
              <w:t>as well as the potential for each Convention to attract funding</w:t>
            </w:r>
            <w:r>
              <w:rPr>
                <w:rFonts w:ascii="Arial" w:hAnsi="Arial" w:cs="Arial"/>
                <w:sz w:val="22"/>
                <w:szCs w:val="22"/>
                <w:lang w:val="en-GB" w:eastAsia="en-US"/>
              </w:rPr>
              <w:t>,</w:t>
            </w:r>
            <w:r w:rsidRPr="00A75804">
              <w:rPr>
                <w:rFonts w:ascii="Arial" w:hAnsi="Arial" w:cs="Arial"/>
                <w:sz w:val="22"/>
                <w:szCs w:val="22"/>
                <w:lang w:val="en-GB" w:eastAsia="en-US"/>
              </w:rPr>
              <w:t xml:space="preserve"> has been updated to include recent developments.</w:t>
            </w:r>
          </w:p>
          <w:p w14:paraId="7481AAFD" w14:textId="77777777" w:rsidR="00381916" w:rsidRPr="00A75804" w:rsidRDefault="00381916" w:rsidP="002232C8">
            <w:pPr>
              <w:pStyle w:val="ListParagraph"/>
              <w:numPr>
                <w:ilvl w:val="0"/>
                <w:numId w:val="9"/>
              </w:numPr>
              <w:spacing w:before="120" w:after="120"/>
              <w:ind w:left="530" w:hanging="426"/>
              <w:contextualSpacing/>
              <w:rPr>
                <w:rFonts w:ascii="Arial" w:hAnsi="Arial" w:cs="Arial"/>
                <w:sz w:val="22"/>
                <w:szCs w:val="22"/>
                <w:lang w:val="en-GB" w:eastAsia="en-US"/>
              </w:rPr>
            </w:pPr>
            <w:r w:rsidRPr="00A75804">
              <w:rPr>
                <w:rFonts w:ascii="Arial" w:hAnsi="Arial" w:cs="Arial"/>
                <w:sz w:val="22"/>
                <w:szCs w:val="22"/>
                <w:lang w:val="en-GB" w:eastAsia="en-US"/>
              </w:rPr>
              <w:t>The workflows proposed by CCS concerning private sector resource mobilization are being revised</w:t>
            </w:r>
            <w:r>
              <w:rPr>
                <w:rFonts w:ascii="Arial" w:hAnsi="Arial" w:cs="Arial"/>
                <w:sz w:val="22"/>
                <w:szCs w:val="22"/>
                <w:lang w:val="en-GB" w:eastAsia="en-US"/>
              </w:rPr>
              <w:t>,</w:t>
            </w:r>
            <w:r w:rsidRPr="00A75804">
              <w:rPr>
                <w:rFonts w:ascii="Arial" w:hAnsi="Arial" w:cs="Arial"/>
                <w:sz w:val="22"/>
                <w:szCs w:val="22"/>
                <w:lang w:val="en-GB" w:eastAsia="en-US"/>
              </w:rPr>
              <w:t xml:space="preserve"> taking into account the experience gathered since the CCS Unit</w:t>
            </w:r>
            <w:r>
              <w:rPr>
                <w:rFonts w:ascii="Arial" w:hAnsi="Arial" w:cs="Arial"/>
                <w:sz w:val="22"/>
                <w:szCs w:val="22"/>
                <w:lang w:val="en-GB" w:eastAsia="en-US"/>
              </w:rPr>
              <w:t xml:space="preserve"> was set up</w:t>
            </w:r>
            <w:r w:rsidRPr="00A75804">
              <w:rPr>
                <w:rFonts w:ascii="Arial" w:hAnsi="Arial" w:cs="Arial"/>
                <w:sz w:val="22"/>
                <w:szCs w:val="22"/>
                <w:lang w:val="en-GB" w:eastAsia="en-US"/>
              </w:rPr>
              <w:t>.</w:t>
            </w:r>
          </w:p>
          <w:p w14:paraId="2D89ABAA" w14:textId="77777777" w:rsidR="00381916" w:rsidRPr="00A75804" w:rsidRDefault="00381916" w:rsidP="002232C8">
            <w:pPr>
              <w:pStyle w:val="ListParagraph"/>
              <w:numPr>
                <w:ilvl w:val="0"/>
                <w:numId w:val="9"/>
              </w:numPr>
              <w:spacing w:before="120" w:beforeAutospacing="0" w:after="120" w:afterAutospacing="0"/>
              <w:ind w:left="530" w:hanging="426"/>
              <w:contextualSpacing/>
              <w:rPr>
                <w:rFonts w:ascii="Arial" w:hAnsi="Arial" w:cs="Arial"/>
                <w:sz w:val="22"/>
                <w:szCs w:val="22"/>
                <w:lang w:val="en-GB" w:eastAsia="en-US"/>
              </w:rPr>
            </w:pPr>
            <w:r w:rsidRPr="00A75804">
              <w:rPr>
                <w:rFonts w:ascii="Arial" w:hAnsi="Arial" w:cs="Arial"/>
                <w:sz w:val="22"/>
                <w:szCs w:val="22"/>
                <w:lang w:val="en-GB" w:eastAsia="en-US"/>
              </w:rPr>
              <w:t xml:space="preserve">CCS prospects for private sector partners with </w:t>
            </w:r>
            <w:r>
              <w:rPr>
                <w:rFonts w:ascii="Arial" w:hAnsi="Arial" w:cs="Arial"/>
                <w:sz w:val="22"/>
                <w:szCs w:val="22"/>
                <w:lang w:val="en-GB" w:eastAsia="en-US"/>
              </w:rPr>
              <w:t xml:space="preserve">a </w:t>
            </w:r>
            <w:r w:rsidRPr="00A75804">
              <w:rPr>
                <w:rFonts w:ascii="Arial" w:hAnsi="Arial" w:cs="Arial"/>
                <w:sz w:val="22"/>
                <w:szCs w:val="22"/>
                <w:lang w:val="en-GB" w:eastAsia="en-US"/>
              </w:rPr>
              <w:t xml:space="preserve">potential interest </w:t>
            </w:r>
            <w:r>
              <w:rPr>
                <w:rFonts w:ascii="Arial" w:hAnsi="Arial" w:cs="Arial"/>
                <w:sz w:val="22"/>
                <w:szCs w:val="22"/>
                <w:lang w:val="en-GB" w:eastAsia="en-US"/>
              </w:rPr>
              <w:t>in</w:t>
            </w:r>
            <w:r w:rsidRPr="00A75804">
              <w:rPr>
                <w:rFonts w:ascii="Arial" w:hAnsi="Arial" w:cs="Arial"/>
                <w:sz w:val="22"/>
                <w:szCs w:val="22"/>
                <w:lang w:val="en-GB" w:eastAsia="en-US"/>
              </w:rPr>
              <w:t xml:space="preserve"> ITH, with the objective </w:t>
            </w:r>
            <w:r>
              <w:rPr>
                <w:rFonts w:ascii="Arial" w:hAnsi="Arial" w:cs="Arial"/>
                <w:sz w:val="22"/>
                <w:szCs w:val="22"/>
                <w:lang w:val="en-GB" w:eastAsia="en-US"/>
              </w:rPr>
              <w:t>of identifying</w:t>
            </w:r>
            <w:r w:rsidRPr="00A75804">
              <w:rPr>
                <w:rFonts w:ascii="Arial" w:hAnsi="Arial" w:cs="Arial"/>
                <w:sz w:val="22"/>
                <w:szCs w:val="22"/>
                <w:lang w:val="en-GB" w:eastAsia="en-US"/>
              </w:rPr>
              <w:t xml:space="preserve"> five to seven potential partners during this biennium.</w:t>
            </w:r>
          </w:p>
          <w:p w14:paraId="158B6710" w14:textId="77777777" w:rsidR="00381916" w:rsidRPr="00A75804" w:rsidRDefault="00381916" w:rsidP="002232C8">
            <w:pPr>
              <w:pStyle w:val="ListParagraph"/>
              <w:numPr>
                <w:ilvl w:val="0"/>
                <w:numId w:val="9"/>
              </w:numPr>
              <w:spacing w:before="120" w:beforeAutospacing="0" w:after="120" w:afterAutospacing="0"/>
              <w:ind w:left="530" w:hanging="426"/>
              <w:contextualSpacing/>
              <w:rPr>
                <w:rFonts w:ascii="Arial" w:hAnsi="Arial" w:cs="Arial"/>
                <w:sz w:val="22"/>
                <w:szCs w:val="22"/>
                <w:lang w:val="en-GB" w:eastAsia="en-US"/>
              </w:rPr>
            </w:pPr>
            <w:r w:rsidRPr="00427622">
              <w:rPr>
                <w:rFonts w:ascii="Arial" w:hAnsi="Arial" w:cs="Arial"/>
                <w:sz w:val="22"/>
                <w:szCs w:val="22"/>
                <w:lang w:val="en-GB" w:eastAsia="en-US"/>
              </w:rPr>
              <w:t xml:space="preserve">To ensure </w:t>
            </w:r>
            <w:r>
              <w:rPr>
                <w:rFonts w:ascii="Arial" w:hAnsi="Arial" w:cs="Arial"/>
                <w:sz w:val="22"/>
                <w:szCs w:val="22"/>
                <w:lang w:val="en-GB" w:eastAsia="en-US"/>
              </w:rPr>
              <w:t xml:space="preserve">enhanced outreach and partnerships, </w:t>
            </w:r>
            <w:r w:rsidRPr="00427622">
              <w:rPr>
                <w:rFonts w:ascii="Arial" w:hAnsi="Arial" w:cs="Arial"/>
                <w:sz w:val="22"/>
                <w:szCs w:val="22"/>
                <w:lang w:val="en-GB" w:eastAsia="en-US"/>
              </w:rPr>
              <w:t xml:space="preserve">the Bureau of the </w:t>
            </w:r>
            <w:r w:rsidRPr="00427622">
              <w:rPr>
                <w:rFonts w:ascii="Arial" w:hAnsi="Arial" w:cs="Arial"/>
                <w:sz w:val="22"/>
                <w:szCs w:val="22"/>
                <w:lang w:val="en-GB" w:eastAsia="en-US"/>
              </w:rPr>
              <w:lastRenderedPageBreak/>
              <w:t>Committee approved funds for this purpose in the 2016-2017</w:t>
            </w:r>
            <w:r>
              <w:rPr>
                <w:rFonts w:ascii="Arial" w:hAnsi="Arial" w:cs="Arial"/>
                <w:sz w:val="22"/>
                <w:szCs w:val="22"/>
                <w:lang w:val="en-GB" w:eastAsia="en-US"/>
              </w:rPr>
              <w:t xml:space="preserve"> </w:t>
            </w:r>
            <w:r w:rsidRPr="00427622">
              <w:rPr>
                <w:rFonts w:ascii="Arial" w:hAnsi="Arial" w:cs="Arial"/>
                <w:sz w:val="22"/>
                <w:szCs w:val="22"/>
                <w:lang w:val="en-GB" w:eastAsia="en-US"/>
              </w:rPr>
              <w:t xml:space="preserve">spending plans for the use of </w:t>
            </w:r>
            <w:r>
              <w:rPr>
                <w:rFonts w:ascii="Arial" w:hAnsi="Arial" w:cs="Arial"/>
                <w:sz w:val="22"/>
                <w:szCs w:val="22"/>
                <w:lang w:val="en-GB" w:eastAsia="en-US"/>
              </w:rPr>
              <w:t xml:space="preserve">the </w:t>
            </w:r>
            <w:r w:rsidRPr="007C566C">
              <w:rPr>
                <w:rFonts w:ascii="Arial" w:hAnsi="Arial" w:cs="Arial"/>
                <w:sz w:val="22"/>
                <w:szCs w:val="22"/>
                <w:lang w:val="en-GB" w:eastAsia="en-US"/>
              </w:rPr>
              <w:t xml:space="preserve">Intangible Culture Heritage Fund </w:t>
            </w:r>
            <w:r w:rsidRPr="00427622">
              <w:rPr>
                <w:rFonts w:ascii="Arial" w:hAnsi="Arial" w:cs="Arial"/>
                <w:sz w:val="22"/>
                <w:szCs w:val="22"/>
                <w:lang w:val="en-GB" w:eastAsia="en-US"/>
              </w:rPr>
              <w:t>dedicated to ‘other functions of the Committee’.</w:t>
            </w:r>
          </w:p>
          <w:p w14:paraId="1FFD7D2C" w14:textId="77777777" w:rsidR="00381916" w:rsidRPr="00427622" w:rsidRDefault="00381916" w:rsidP="002232C8">
            <w:pPr>
              <w:pStyle w:val="ListParagraph"/>
              <w:numPr>
                <w:ilvl w:val="0"/>
                <w:numId w:val="9"/>
              </w:numPr>
              <w:spacing w:before="120" w:beforeAutospacing="0" w:after="120" w:afterAutospacing="0"/>
              <w:ind w:left="470" w:hanging="357"/>
              <w:contextualSpacing/>
              <w:rPr>
                <w:b/>
                <w:sz w:val="22"/>
                <w:szCs w:val="22"/>
                <w:u w:val="single"/>
                <w:lang w:val="en-GB"/>
              </w:rPr>
            </w:pPr>
            <w:r>
              <w:rPr>
                <w:rFonts w:ascii="Arial" w:hAnsi="Arial" w:cs="Arial"/>
                <w:sz w:val="22"/>
                <w:szCs w:val="22"/>
                <w:lang w:val="en-GB" w:eastAsia="en-US"/>
              </w:rPr>
              <w:t>T</w:t>
            </w:r>
            <w:r w:rsidRPr="0033405D">
              <w:rPr>
                <w:rFonts w:ascii="Arial" w:hAnsi="Arial" w:cs="Arial"/>
                <w:sz w:val="22"/>
                <w:szCs w:val="22"/>
                <w:lang w:val="en-GB" w:eastAsia="en-US"/>
              </w:rPr>
              <w:t>he development of the overall results framework to be initiated at the expert meeting in Beijing, China, in September 2016, is foreseen to contribute to the fund-raising strategy.</w:t>
            </w:r>
          </w:p>
        </w:tc>
      </w:tr>
      <w:tr w:rsidR="00381916" w:rsidRPr="00284E2B" w14:paraId="4D26DDC8" w14:textId="77777777" w:rsidTr="002232C8">
        <w:tc>
          <w:tcPr>
            <w:tcW w:w="14358" w:type="dxa"/>
            <w:gridSpan w:val="5"/>
            <w:shd w:val="clear" w:color="auto" w:fill="E6E6E6"/>
            <w:noWrap/>
            <w:tcMar>
              <w:top w:w="40" w:type="dxa"/>
              <w:left w:w="40" w:type="dxa"/>
              <w:bottom w:w="40" w:type="dxa"/>
              <w:right w:w="40" w:type="dxa"/>
            </w:tcMar>
          </w:tcPr>
          <w:p w14:paraId="57A0C15C" w14:textId="77777777" w:rsidR="00381916" w:rsidRPr="0033405D" w:rsidRDefault="00381916" w:rsidP="002232C8">
            <w:pPr>
              <w:tabs>
                <w:tab w:val="left" w:pos="3390"/>
              </w:tabs>
              <w:spacing w:before="120" w:after="120"/>
              <w:ind w:left="113" w:right="113"/>
              <w:rPr>
                <w:rFonts w:ascii="Arial" w:hAnsi="Arial" w:cs="Arial"/>
                <w:b/>
                <w:sz w:val="22"/>
                <w:szCs w:val="22"/>
                <w:lang w:val="en-GB"/>
              </w:rPr>
            </w:pPr>
            <w:r w:rsidRPr="0033405D">
              <w:rPr>
                <w:rFonts w:ascii="Arial" w:hAnsi="Arial" w:cs="Arial"/>
                <w:b/>
                <w:sz w:val="22"/>
                <w:szCs w:val="22"/>
                <w:lang w:val="en-GB"/>
              </w:rPr>
              <w:lastRenderedPageBreak/>
              <w:t>Recommendation 20: Strengthen informal sharing of interesting and innovative examples o</w:t>
            </w:r>
            <w:r>
              <w:rPr>
                <w:rFonts w:ascii="Arial" w:hAnsi="Arial" w:cs="Arial"/>
                <w:b/>
                <w:sz w:val="22"/>
                <w:szCs w:val="22"/>
                <w:lang w:val="en-GB"/>
              </w:rPr>
              <w:t>f</w:t>
            </w:r>
            <w:r w:rsidRPr="0033405D">
              <w:rPr>
                <w:rFonts w:ascii="Arial" w:hAnsi="Arial" w:cs="Arial"/>
                <w:b/>
                <w:sz w:val="22"/>
                <w:szCs w:val="22"/>
                <w:lang w:val="en-GB"/>
              </w:rPr>
              <w:t xml:space="preserve"> working on the Convention, including about ICH safeguarding, development of policy and legislation, ICH and sustainable development, innovative partnerships and others</w:t>
            </w:r>
            <w:r>
              <w:rPr>
                <w:rFonts w:ascii="Arial" w:hAnsi="Arial" w:cs="Arial"/>
                <w:b/>
                <w:sz w:val="22"/>
                <w:szCs w:val="22"/>
                <w:lang w:val="en-GB"/>
              </w:rPr>
              <w:t>.</w:t>
            </w:r>
          </w:p>
        </w:tc>
      </w:tr>
      <w:tr w:rsidR="00381916" w:rsidRPr="00427622" w14:paraId="7E8EF166" w14:textId="77777777" w:rsidTr="002232C8">
        <w:tc>
          <w:tcPr>
            <w:tcW w:w="14358" w:type="dxa"/>
            <w:gridSpan w:val="5"/>
            <w:noWrap/>
            <w:tcMar>
              <w:top w:w="40" w:type="dxa"/>
              <w:left w:w="40" w:type="dxa"/>
              <w:bottom w:w="40" w:type="dxa"/>
              <w:right w:w="40" w:type="dxa"/>
            </w:tcMar>
          </w:tcPr>
          <w:p w14:paraId="6717290E" w14:textId="77777777" w:rsidR="00381916" w:rsidRPr="00427622" w:rsidRDefault="00381916" w:rsidP="002232C8">
            <w:pPr>
              <w:spacing w:before="120" w:after="120"/>
              <w:ind w:left="113" w:right="113"/>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See actions under recommendations 12 and 19</w:t>
            </w:r>
            <w:r>
              <w:rPr>
                <w:rFonts w:ascii="Arial" w:hAnsi="Arial" w:cs="Arial"/>
                <w:sz w:val="22"/>
                <w:szCs w:val="22"/>
                <w:lang w:val="en-GB"/>
              </w:rPr>
              <w:t>.</w:t>
            </w:r>
          </w:p>
        </w:tc>
      </w:tr>
      <w:tr w:rsidR="00381916" w:rsidRPr="00427622" w14:paraId="421DCF6D" w14:textId="77777777" w:rsidTr="002232C8">
        <w:tc>
          <w:tcPr>
            <w:tcW w:w="4717" w:type="dxa"/>
            <w:gridSpan w:val="2"/>
            <w:noWrap/>
            <w:tcMar>
              <w:top w:w="40" w:type="dxa"/>
              <w:left w:w="40" w:type="dxa"/>
              <w:bottom w:w="40" w:type="dxa"/>
              <w:right w:w="40" w:type="dxa"/>
            </w:tcMar>
          </w:tcPr>
          <w:p w14:paraId="4CCFC4CC"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9BDB1EE"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5D5FDFE9"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22003C0C" w14:textId="77777777" w:rsidTr="002232C8">
        <w:tc>
          <w:tcPr>
            <w:tcW w:w="4717" w:type="dxa"/>
            <w:gridSpan w:val="2"/>
            <w:noWrap/>
            <w:tcMar>
              <w:top w:w="40" w:type="dxa"/>
              <w:left w:w="40" w:type="dxa"/>
              <w:bottom w:w="40" w:type="dxa"/>
              <w:right w:w="40" w:type="dxa"/>
            </w:tcMar>
            <w:vAlign w:val="center"/>
          </w:tcPr>
          <w:p w14:paraId="0CAB6403" w14:textId="77777777" w:rsidR="00381916" w:rsidRPr="0033405D" w:rsidRDefault="00381916" w:rsidP="002232C8">
            <w:pPr>
              <w:spacing w:before="120" w:after="120"/>
              <w:ind w:left="113"/>
              <w:rPr>
                <w:rFonts w:ascii="Arial" w:hAnsi="Arial" w:cs="Arial"/>
                <w:sz w:val="22"/>
                <w:szCs w:val="22"/>
                <w:lang w:val="en-GB"/>
              </w:rPr>
            </w:pPr>
            <w:r w:rsidRPr="0033405D">
              <w:rPr>
                <w:rFonts w:ascii="Arial" w:hAnsi="Arial" w:cs="Arial"/>
                <w:sz w:val="22"/>
                <w:szCs w:val="22"/>
                <w:lang w:val="en-GB"/>
              </w:rPr>
              <w:t>See actions under recommendations 12 and 19.</w:t>
            </w:r>
          </w:p>
        </w:tc>
        <w:tc>
          <w:tcPr>
            <w:tcW w:w="1986" w:type="dxa"/>
            <w:gridSpan w:val="2"/>
            <w:noWrap/>
            <w:tcMar>
              <w:top w:w="40" w:type="dxa"/>
              <w:left w:w="40" w:type="dxa"/>
              <w:bottom w:w="40" w:type="dxa"/>
              <w:right w:w="40" w:type="dxa"/>
            </w:tcMar>
            <w:vAlign w:val="center"/>
          </w:tcPr>
          <w:p w14:paraId="262891A5" w14:textId="77777777" w:rsidR="00381916" w:rsidRPr="0033405D" w:rsidRDefault="00381916" w:rsidP="002232C8">
            <w:pPr>
              <w:spacing w:before="120" w:after="120"/>
              <w:rPr>
                <w:rFonts w:ascii="Arial" w:hAnsi="Arial" w:cs="Arial"/>
                <w:sz w:val="22"/>
                <w:szCs w:val="22"/>
                <w:lang w:val="en-GB"/>
              </w:rPr>
            </w:pPr>
          </w:p>
        </w:tc>
        <w:tc>
          <w:tcPr>
            <w:tcW w:w="7655" w:type="dxa"/>
            <w:noWrap/>
            <w:tcMar>
              <w:top w:w="40" w:type="dxa"/>
              <w:left w:w="40" w:type="dxa"/>
              <w:bottom w:w="40" w:type="dxa"/>
              <w:right w:w="40" w:type="dxa"/>
            </w:tcMar>
            <w:vAlign w:val="center"/>
          </w:tcPr>
          <w:p w14:paraId="7D683683" w14:textId="77777777" w:rsidR="00381916" w:rsidRPr="0033405D" w:rsidRDefault="00381916" w:rsidP="002232C8">
            <w:pPr>
              <w:spacing w:before="120" w:after="120"/>
              <w:rPr>
                <w:rFonts w:ascii="Arial" w:hAnsi="Arial" w:cs="Arial"/>
                <w:b/>
                <w:sz w:val="22"/>
                <w:szCs w:val="22"/>
                <w:u w:val="single"/>
                <w:lang w:val="en-GB"/>
              </w:rPr>
            </w:pPr>
          </w:p>
        </w:tc>
      </w:tr>
      <w:tr w:rsidR="00381916" w:rsidRPr="00284E2B" w14:paraId="3CD6B399" w14:textId="77777777" w:rsidTr="002232C8">
        <w:tc>
          <w:tcPr>
            <w:tcW w:w="14358" w:type="dxa"/>
            <w:gridSpan w:val="5"/>
            <w:shd w:val="clear" w:color="auto" w:fill="E6E6E6"/>
            <w:noWrap/>
            <w:tcMar>
              <w:top w:w="40" w:type="dxa"/>
              <w:left w:w="40" w:type="dxa"/>
              <w:bottom w:w="40" w:type="dxa"/>
              <w:right w:w="40" w:type="dxa"/>
            </w:tcMar>
          </w:tcPr>
          <w:p w14:paraId="7E0C66F5" w14:textId="77777777" w:rsidR="00381916" w:rsidRPr="0033405D" w:rsidRDefault="00381916" w:rsidP="002232C8">
            <w:pPr>
              <w:tabs>
                <w:tab w:val="left" w:pos="2640"/>
              </w:tabs>
              <w:spacing w:before="60" w:after="60"/>
              <w:ind w:left="113" w:right="113"/>
              <w:jc w:val="both"/>
              <w:rPr>
                <w:rFonts w:ascii="Arial" w:hAnsi="Arial" w:cs="Arial"/>
                <w:b/>
                <w:sz w:val="22"/>
                <w:szCs w:val="22"/>
                <w:lang w:val="en-GB"/>
              </w:rPr>
            </w:pPr>
            <w:r w:rsidRPr="0033405D">
              <w:rPr>
                <w:rFonts w:ascii="Arial" w:hAnsi="Arial" w:cs="Arial"/>
                <w:b/>
                <w:sz w:val="22"/>
                <w:szCs w:val="22"/>
                <w:lang w:val="en-GB"/>
              </w:rPr>
              <w:t>Recommendation 21: Revise the periodic reporting form to include specific questions on policy, legislation and gender, and to ensure that the reports focus on results rather than on activities.</w:t>
            </w:r>
          </w:p>
        </w:tc>
      </w:tr>
      <w:tr w:rsidR="00381916" w:rsidRPr="00284E2B" w14:paraId="1AF5502F" w14:textId="77777777" w:rsidTr="002232C8">
        <w:tc>
          <w:tcPr>
            <w:tcW w:w="14358" w:type="dxa"/>
            <w:gridSpan w:val="5"/>
            <w:noWrap/>
            <w:tcMar>
              <w:top w:w="40" w:type="dxa"/>
              <w:left w:w="40" w:type="dxa"/>
              <w:bottom w:w="40" w:type="dxa"/>
              <w:right w:w="40" w:type="dxa"/>
            </w:tcMar>
          </w:tcPr>
          <w:p w14:paraId="13B4D252" w14:textId="77777777" w:rsidR="00381916" w:rsidRPr="00427622" w:rsidRDefault="00381916" w:rsidP="002232C8">
            <w:pPr>
              <w:spacing w:before="60" w:after="6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The periodic reporting forms have been revised to include specific questions on policy, legislation and gender.</w:t>
            </w:r>
            <w:r>
              <w:rPr>
                <w:rFonts w:ascii="Arial" w:hAnsi="Arial" w:cs="Arial"/>
                <w:sz w:val="22"/>
                <w:szCs w:val="22"/>
                <w:lang w:val="en-GB"/>
              </w:rPr>
              <w:t xml:space="preserve"> The</w:t>
            </w:r>
            <w:r w:rsidRPr="0033405D">
              <w:rPr>
                <w:rFonts w:ascii="Arial" w:hAnsi="Arial" w:cs="Arial"/>
                <w:sz w:val="22"/>
                <w:szCs w:val="22"/>
                <w:lang w:val="en-GB"/>
              </w:rPr>
              <w:t xml:space="preserve"> Amended Operational Directives </w:t>
            </w:r>
            <w:r>
              <w:rPr>
                <w:rFonts w:ascii="Arial" w:hAnsi="Arial" w:cs="Arial"/>
                <w:sz w:val="22"/>
                <w:szCs w:val="22"/>
                <w:lang w:val="en-GB"/>
              </w:rPr>
              <w:t>were</w:t>
            </w:r>
            <w:r w:rsidRPr="0033405D">
              <w:rPr>
                <w:rFonts w:ascii="Arial" w:hAnsi="Arial" w:cs="Arial"/>
                <w:sz w:val="22"/>
                <w:szCs w:val="22"/>
                <w:lang w:val="en-GB"/>
              </w:rPr>
              <w:t xml:space="preserve"> adopted by the General Assembly at its sixth session (June 2016).</w:t>
            </w:r>
          </w:p>
        </w:tc>
      </w:tr>
      <w:tr w:rsidR="00381916" w:rsidRPr="00427622" w14:paraId="5183F620" w14:textId="77777777" w:rsidTr="002232C8">
        <w:tc>
          <w:tcPr>
            <w:tcW w:w="4717" w:type="dxa"/>
            <w:gridSpan w:val="2"/>
            <w:noWrap/>
            <w:tcMar>
              <w:top w:w="40" w:type="dxa"/>
              <w:left w:w="40" w:type="dxa"/>
              <w:bottom w:w="40" w:type="dxa"/>
              <w:right w:w="40" w:type="dxa"/>
            </w:tcMar>
          </w:tcPr>
          <w:p w14:paraId="5011DDFC" w14:textId="77777777" w:rsidR="00381916" w:rsidRPr="0033405D"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87DEE41" w14:textId="77777777" w:rsidR="00381916" w:rsidRPr="0033405D"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722A080E" w14:textId="77777777" w:rsidR="00381916" w:rsidRPr="0033405D"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32D9688A" w14:textId="77777777" w:rsidTr="002232C8">
        <w:tc>
          <w:tcPr>
            <w:tcW w:w="4717" w:type="dxa"/>
            <w:gridSpan w:val="2"/>
            <w:noWrap/>
            <w:tcMar>
              <w:top w:w="40" w:type="dxa"/>
              <w:left w:w="40" w:type="dxa"/>
              <w:bottom w:w="40" w:type="dxa"/>
              <w:right w:w="40" w:type="dxa"/>
            </w:tcMar>
          </w:tcPr>
          <w:p w14:paraId="4E85F8F9" w14:textId="77777777" w:rsidR="00381916" w:rsidRPr="00427622" w:rsidRDefault="00381916" w:rsidP="002232C8">
            <w:pPr>
              <w:spacing w:before="60" w:after="60"/>
              <w:ind w:left="113" w:right="57"/>
              <w:rPr>
                <w:rFonts w:ascii="Arial" w:hAnsi="Arial" w:cs="Arial"/>
                <w:sz w:val="22"/>
                <w:szCs w:val="22"/>
                <w:lang w:val="en-GB"/>
              </w:rPr>
            </w:pPr>
            <w:r w:rsidRPr="00427622">
              <w:rPr>
                <w:rFonts w:ascii="Arial" w:hAnsi="Arial" w:cs="Arial"/>
                <w:sz w:val="22"/>
                <w:szCs w:val="22"/>
                <w:lang w:val="en-GB"/>
              </w:rPr>
              <w:t>Revise Form ICH-10 (Reports by States Parties on the implementation of the Convention)</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04AD5003" w14:textId="77777777" w:rsidR="00381916" w:rsidRPr="00427622" w:rsidRDefault="00381916" w:rsidP="002232C8">
            <w:pPr>
              <w:spacing w:before="60" w:after="60"/>
              <w:ind w:left="57"/>
              <w:rPr>
                <w:rFonts w:ascii="Arial" w:hAnsi="Arial" w:cs="Arial"/>
                <w:sz w:val="22"/>
                <w:szCs w:val="22"/>
                <w:lang w:val="en-GB"/>
              </w:rPr>
            </w:pPr>
            <w:r w:rsidRPr="00427622">
              <w:rPr>
                <w:rFonts w:ascii="Arial" w:hAnsi="Arial" w:cs="Arial"/>
                <w:sz w:val="22"/>
                <w:szCs w:val="22"/>
                <w:lang w:val="en-GB"/>
              </w:rPr>
              <w:t>December 2014</w:t>
            </w:r>
          </w:p>
        </w:tc>
        <w:tc>
          <w:tcPr>
            <w:tcW w:w="7655" w:type="dxa"/>
            <w:noWrap/>
            <w:tcMar>
              <w:top w:w="40" w:type="dxa"/>
              <w:left w:w="40" w:type="dxa"/>
              <w:bottom w:w="40" w:type="dxa"/>
              <w:right w:w="40" w:type="dxa"/>
            </w:tcMar>
          </w:tcPr>
          <w:p w14:paraId="07E3379E" w14:textId="5DFF4A42" w:rsidR="00381916" w:rsidRPr="00427622" w:rsidRDefault="00381916" w:rsidP="002232C8">
            <w:pPr>
              <w:pStyle w:val="ListParagraph"/>
              <w:numPr>
                <w:ilvl w:val="0"/>
                <w:numId w:val="9"/>
              </w:numPr>
              <w:spacing w:before="60" w:beforeAutospacing="0" w:after="60" w:afterAutospacing="0"/>
              <w:ind w:left="470" w:hanging="357"/>
              <w:contextualSpacing/>
              <w:rPr>
                <w:rFonts w:ascii="Arial" w:hAnsi="Arial" w:cs="Arial"/>
                <w:sz w:val="22"/>
                <w:szCs w:val="22"/>
                <w:lang w:val="en-GB"/>
              </w:rPr>
            </w:pPr>
            <w:r w:rsidRPr="00427622">
              <w:rPr>
                <w:rFonts w:ascii="Arial" w:hAnsi="Arial" w:cs="Arial"/>
                <w:sz w:val="22"/>
                <w:szCs w:val="22"/>
                <w:lang w:val="en-GB"/>
              </w:rPr>
              <w:t>Form ICH-10 (Reports by States Parties on the implementation of the Convention) was revised in December 2014 (</w:t>
            </w:r>
            <w:r w:rsidRPr="00427622">
              <w:rPr>
                <w:rFonts w:ascii="Arial" w:hAnsi="Arial" w:cs="Arial"/>
                <w:b/>
                <w:sz w:val="22"/>
                <w:szCs w:val="22"/>
                <w:lang w:val="en-GB"/>
              </w:rPr>
              <w:t>action completed</w:t>
            </w:r>
            <w:r w:rsidR="002F2B98">
              <w:rPr>
                <w:rFonts w:ascii="Arial" w:hAnsi="Arial" w:cs="Arial"/>
                <w:sz w:val="22"/>
                <w:szCs w:val="22"/>
                <w:lang w:val="en-GB"/>
              </w:rPr>
              <w:t>).</w:t>
            </w:r>
          </w:p>
        </w:tc>
      </w:tr>
      <w:tr w:rsidR="00381916" w:rsidRPr="00284E2B" w14:paraId="2DD38E71" w14:textId="77777777" w:rsidTr="002232C8">
        <w:tc>
          <w:tcPr>
            <w:tcW w:w="4717" w:type="dxa"/>
            <w:gridSpan w:val="2"/>
            <w:noWrap/>
            <w:tcMar>
              <w:top w:w="40" w:type="dxa"/>
              <w:left w:w="40" w:type="dxa"/>
              <w:bottom w:w="40" w:type="dxa"/>
              <w:right w:w="40" w:type="dxa"/>
            </w:tcMar>
          </w:tcPr>
          <w:p w14:paraId="598C3C31" w14:textId="77777777" w:rsidR="00381916" w:rsidRPr="00427622" w:rsidRDefault="00381916" w:rsidP="002232C8">
            <w:pPr>
              <w:spacing w:before="60" w:after="60"/>
              <w:ind w:left="113" w:right="57"/>
              <w:rPr>
                <w:rFonts w:ascii="Arial" w:hAnsi="Arial" w:cs="Arial"/>
                <w:sz w:val="22"/>
                <w:szCs w:val="22"/>
                <w:lang w:val="en-GB"/>
              </w:rPr>
            </w:pPr>
            <w:r w:rsidRPr="00427622">
              <w:rPr>
                <w:rFonts w:ascii="Arial" w:hAnsi="Arial" w:cs="Arial"/>
                <w:sz w:val="22"/>
                <w:szCs w:val="22"/>
                <w:lang w:val="en-GB"/>
              </w:rPr>
              <w:t xml:space="preserve">Propose draft Operational Directives in order to ensure that </w:t>
            </w:r>
            <w:r>
              <w:rPr>
                <w:rFonts w:ascii="Arial" w:hAnsi="Arial" w:cs="Arial"/>
                <w:sz w:val="22"/>
                <w:szCs w:val="22"/>
                <w:lang w:val="en-GB"/>
              </w:rPr>
              <w:t xml:space="preserve">the </w:t>
            </w:r>
            <w:r w:rsidRPr="00427622">
              <w:rPr>
                <w:rFonts w:ascii="Arial" w:hAnsi="Arial" w:cs="Arial"/>
                <w:sz w:val="22"/>
                <w:szCs w:val="22"/>
                <w:lang w:val="en-GB"/>
              </w:rPr>
              <w:t>Periodic Report include these issues</w:t>
            </w:r>
            <w:r>
              <w:rPr>
                <w:rFonts w:ascii="Arial" w:hAnsi="Arial" w:cs="Arial"/>
                <w:sz w:val="22"/>
                <w:szCs w:val="22"/>
                <w:lang w:val="en-GB"/>
              </w:rPr>
              <w:t>.</w:t>
            </w:r>
          </w:p>
        </w:tc>
        <w:tc>
          <w:tcPr>
            <w:tcW w:w="1986" w:type="dxa"/>
            <w:gridSpan w:val="2"/>
            <w:noWrap/>
            <w:tcMar>
              <w:top w:w="40" w:type="dxa"/>
              <w:left w:w="40" w:type="dxa"/>
              <w:bottom w:w="40" w:type="dxa"/>
              <w:right w:w="40" w:type="dxa"/>
            </w:tcMar>
          </w:tcPr>
          <w:p w14:paraId="73EDF745" w14:textId="77777777" w:rsidR="00381916" w:rsidRPr="00427622" w:rsidRDefault="00381916" w:rsidP="002232C8">
            <w:pPr>
              <w:spacing w:before="60" w:after="60"/>
              <w:ind w:left="57"/>
              <w:rPr>
                <w:rFonts w:ascii="Arial" w:hAnsi="Arial" w:cs="Arial"/>
                <w:sz w:val="22"/>
                <w:szCs w:val="22"/>
                <w:lang w:val="en-GB"/>
              </w:rPr>
            </w:pPr>
            <w:r w:rsidRPr="00427622">
              <w:rPr>
                <w:rFonts w:ascii="Arial" w:hAnsi="Arial" w:cs="Arial"/>
                <w:sz w:val="22"/>
                <w:szCs w:val="22"/>
                <w:lang w:val="en-GB"/>
              </w:rPr>
              <w:t>June 2016</w:t>
            </w:r>
          </w:p>
        </w:tc>
        <w:tc>
          <w:tcPr>
            <w:tcW w:w="7655" w:type="dxa"/>
            <w:noWrap/>
            <w:tcMar>
              <w:top w:w="40" w:type="dxa"/>
              <w:left w:w="40" w:type="dxa"/>
              <w:bottom w:w="40" w:type="dxa"/>
              <w:right w:w="40" w:type="dxa"/>
            </w:tcMar>
          </w:tcPr>
          <w:p w14:paraId="0B33F93F" w14:textId="77777777" w:rsidR="00381916" w:rsidRPr="00427622" w:rsidRDefault="00381916" w:rsidP="002232C8">
            <w:pPr>
              <w:pStyle w:val="ListParagraph"/>
              <w:numPr>
                <w:ilvl w:val="0"/>
                <w:numId w:val="9"/>
              </w:numPr>
              <w:spacing w:before="60" w:beforeAutospacing="0" w:after="60" w:afterAutospacing="0"/>
              <w:ind w:left="470" w:hanging="357"/>
              <w:contextualSpacing/>
              <w:rPr>
                <w:rFonts w:ascii="Arial" w:hAnsi="Arial" w:cs="Arial"/>
                <w:sz w:val="22"/>
                <w:szCs w:val="22"/>
                <w:lang w:val="en-GB"/>
              </w:rPr>
            </w:pPr>
            <w:r w:rsidRPr="00427622">
              <w:rPr>
                <w:rFonts w:ascii="Arial" w:hAnsi="Arial" w:cs="Arial"/>
                <w:sz w:val="22"/>
                <w:szCs w:val="22"/>
                <w:lang w:val="en-GB"/>
              </w:rPr>
              <w:t>The Committee, at its ninth session, discussed and endorsed draft amendments to the Operational Directives on periodic reporting and recommended that the General Assembly approve these amendments (</w:t>
            </w:r>
            <w:hyperlink r:id="rId48" w:history="1">
              <w:r w:rsidRPr="00427622">
                <w:rPr>
                  <w:rStyle w:val="Hyperlink"/>
                  <w:rFonts w:ascii="Arial" w:hAnsi="Arial" w:cs="Arial"/>
                  <w:sz w:val="22"/>
                  <w:szCs w:val="22"/>
                  <w:lang w:val="en-GB"/>
                </w:rPr>
                <w:t>Decision 9.COM 13.a</w:t>
              </w:r>
            </w:hyperlink>
            <w:r w:rsidRPr="00427622">
              <w:rPr>
                <w:rFonts w:ascii="Arial" w:hAnsi="Arial" w:cs="Arial"/>
                <w:sz w:val="22"/>
                <w:szCs w:val="22"/>
                <w:lang w:val="en-GB"/>
              </w:rPr>
              <w:t>).</w:t>
            </w:r>
          </w:p>
          <w:p w14:paraId="63ED9E02" w14:textId="77777777" w:rsidR="00381916" w:rsidRPr="00427622" w:rsidRDefault="00381916" w:rsidP="002232C8">
            <w:pPr>
              <w:pStyle w:val="ListParagraph"/>
              <w:numPr>
                <w:ilvl w:val="0"/>
                <w:numId w:val="9"/>
              </w:numPr>
              <w:spacing w:before="60" w:beforeAutospacing="0" w:after="60" w:afterAutospacing="0"/>
              <w:ind w:left="470" w:hanging="357"/>
              <w:contextualSpacing/>
              <w:rPr>
                <w:rFonts w:ascii="Arial" w:hAnsi="Arial" w:cs="Arial"/>
                <w:sz w:val="22"/>
                <w:szCs w:val="22"/>
                <w:lang w:val="en-GB"/>
              </w:rPr>
            </w:pPr>
            <w:r w:rsidRPr="00427622">
              <w:rPr>
                <w:rFonts w:ascii="Arial" w:hAnsi="Arial" w:cs="Arial"/>
                <w:sz w:val="22"/>
                <w:szCs w:val="22"/>
                <w:lang w:val="en-GB"/>
              </w:rPr>
              <w:t xml:space="preserve">Amendments to the Operational Directives were approved by the </w:t>
            </w:r>
            <w:r w:rsidRPr="00427622">
              <w:rPr>
                <w:rFonts w:ascii="Arial" w:hAnsi="Arial" w:cs="Arial"/>
                <w:sz w:val="22"/>
                <w:szCs w:val="22"/>
                <w:lang w:val="en-GB"/>
              </w:rPr>
              <w:lastRenderedPageBreak/>
              <w:t>General Assembly at its sixth session in June 2016 (</w:t>
            </w:r>
            <w:hyperlink r:id="rId49" w:history="1">
              <w:r w:rsidRPr="00427622">
                <w:rPr>
                  <w:rStyle w:val="Hyperlink"/>
                  <w:rFonts w:ascii="Arial" w:hAnsi="Arial" w:cs="Arial"/>
                  <w:sz w:val="22"/>
                  <w:szCs w:val="22"/>
                  <w:lang w:val="en-GB"/>
                </w:rPr>
                <w:t>Resolution 6.GA 7</w:t>
              </w:r>
            </w:hyperlink>
            <w:r w:rsidRPr="00427622">
              <w:rPr>
                <w:rFonts w:ascii="Arial" w:hAnsi="Arial" w:cs="Arial"/>
                <w:sz w:val="22"/>
                <w:szCs w:val="22"/>
                <w:lang w:val="en-GB"/>
              </w:rPr>
              <w:t>) (</w:t>
            </w:r>
            <w:r w:rsidRPr="0033405D">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79C44EFC" w14:textId="77777777" w:rsidTr="002232C8">
        <w:tc>
          <w:tcPr>
            <w:tcW w:w="14358" w:type="dxa"/>
            <w:gridSpan w:val="5"/>
            <w:shd w:val="clear" w:color="auto" w:fill="E6E6E6"/>
            <w:noWrap/>
            <w:tcMar>
              <w:top w:w="40" w:type="dxa"/>
              <w:left w:w="40" w:type="dxa"/>
              <w:bottom w:w="40" w:type="dxa"/>
              <w:right w:w="40" w:type="dxa"/>
            </w:tcMar>
          </w:tcPr>
          <w:p w14:paraId="280C451E" w14:textId="77777777" w:rsidR="00381916" w:rsidRPr="0033405D" w:rsidRDefault="00381916" w:rsidP="002232C8">
            <w:pPr>
              <w:tabs>
                <w:tab w:val="left" w:pos="2640"/>
              </w:tabs>
              <w:spacing w:before="60" w:after="60"/>
              <w:ind w:left="113" w:right="113"/>
              <w:rPr>
                <w:rFonts w:ascii="Arial" w:hAnsi="Arial" w:cs="Arial"/>
                <w:b/>
                <w:sz w:val="22"/>
                <w:szCs w:val="22"/>
                <w:lang w:val="en-GB"/>
              </w:rPr>
            </w:pPr>
            <w:r w:rsidRPr="0033405D">
              <w:rPr>
                <w:rFonts w:ascii="Arial" w:hAnsi="Arial" w:cs="Arial"/>
                <w:b/>
                <w:sz w:val="22"/>
                <w:szCs w:val="22"/>
                <w:lang w:val="en-GB"/>
              </w:rPr>
              <w:lastRenderedPageBreak/>
              <w:t>Recommendation 22: Develop an overall results framework for the Convention, linked to a Convention Theory of Change and including clear objectives, time-frames, indicators and benchmarks.</w:t>
            </w:r>
          </w:p>
        </w:tc>
      </w:tr>
      <w:tr w:rsidR="00381916" w:rsidRPr="00284E2B" w14:paraId="3FED7060" w14:textId="77777777" w:rsidTr="002232C8">
        <w:tc>
          <w:tcPr>
            <w:tcW w:w="14358" w:type="dxa"/>
            <w:gridSpan w:val="5"/>
            <w:noWrap/>
            <w:tcMar>
              <w:top w:w="40" w:type="dxa"/>
              <w:left w:w="40" w:type="dxa"/>
              <w:bottom w:w="40" w:type="dxa"/>
              <w:right w:w="40" w:type="dxa"/>
            </w:tcMar>
          </w:tcPr>
          <w:p w14:paraId="7B171780" w14:textId="77777777" w:rsidR="00381916" w:rsidRPr="00427622" w:rsidRDefault="00381916" w:rsidP="002232C8">
            <w:pPr>
              <w:spacing w:before="60" w:after="60"/>
              <w:ind w:left="113" w:right="113"/>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Considering the importance for all stakeholders to adhere to an overall results framework for the Convention, an open-ended working group of the Committee should be organized to discuss</w:t>
            </w:r>
            <w:r>
              <w:rPr>
                <w:rFonts w:ascii="Arial" w:hAnsi="Arial" w:cs="Arial"/>
                <w:sz w:val="22"/>
                <w:szCs w:val="22"/>
                <w:lang w:val="en-GB"/>
              </w:rPr>
              <w:t xml:space="preserve"> the</w:t>
            </w:r>
            <w:r w:rsidRPr="0033405D">
              <w:rPr>
                <w:rFonts w:ascii="Arial" w:hAnsi="Arial" w:cs="Arial"/>
                <w:sz w:val="22"/>
                <w:szCs w:val="22"/>
                <w:lang w:val="en-GB"/>
              </w:rPr>
              <w:t xml:space="preserve"> results framework; extrabudgetary funding for such a working group should be mobilized.</w:t>
            </w:r>
          </w:p>
        </w:tc>
      </w:tr>
      <w:tr w:rsidR="00381916" w:rsidRPr="00427622" w14:paraId="17191C23" w14:textId="77777777" w:rsidTr="002232C8">
        <w:tc>
          <w:tcPr>
            <w:tcW w:w="4717" w:type="dxa"/>
            <w:gridSpan w:val="2"/>
            <w:noWrap/>
            <w:tcMar>
              <w:top w:w="40" w:type="dxa"/>
              <w:left w:w="40" w:type="dxa"/>
              <w:bottom w:w="40" w:type="dxa"/>
              <w:right w:w="40" w:type="dxa"/>
            </w:tcMar>
          </w:tcPr>
          <w:p w14:paraId="12FCFBDA" w14:textId="77777777" w:rsidR="00381916" w:rsidRPr="0033405D"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0E56A008" w14:textId="77777777" w:rsidR="00381916" w:rsidRPr="0033405D"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2C461179" w14:textId="77777777" w:rsidR="00381916" w:rsidRPr="0033405D" w:rsidRDefault="00381916" w:rsidP="002232C8">
            <w:pPr>
              <w:spacing w:before="60" w:after="6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63CB2611" w14:textId="77777777" w:rsidTr="002232C8">
        <w:tc>
          <w:tcPr>
            <w:tcW w:w="4717" w:type="dxa"/>
            <w:gridSpan w:val="2"/>
            <w:noWrap/>
            <w:tcMar>
              <w:top w:w="40" w:type="dxa"/>
              <w:left w:w="40" w:type="dxa"/>
              <w:bottom w:w="40" w:type="dxa"/>
              <w:right w:w="40" w:type="dxa"/>
            </w:tcMar>
          </w:tcPr>
          <w:p w14:paraId="395921A3" w14:textId="77777777" w:rsidR="00381916" w:rsidRPr="00427622" w:rsidRDefault="00381916" w:rsidP="002232C8">
            <w:pPr>
              <w:spacing w:before="60" w:after="60"/>
              <w:ind w:left="113"/>
              <w:rPr>
                <w:rFonts w:ascii="Arial" w:hAnsi="Arial" w:cs="Arial"/>
                <w:sz w:val="22"/>
                <w:szCs w:val="22"/>
                <w:lang w:val="en-GB"/>
              </w:rPr>
            </w:pPr>
            <w:r w:rsidRPr="00427622">
              <w:rPr>
                <w:rFonts w:ascii="Arial" w:hAnsi="Arial" w:cs="Arial"/>
                <w:sz w:val="22"/>
                <w:szCs w:val="22"/>
                <w:lang w:val="en-GB"/>
              </w:rPr>
              <w:t xml:space="preserve">Organize </w:t>
            </w:r>
            <w:r>
              <w:rPr>
                <w:rFonts w:ascii="Arial" w:hAnsi="Arial" w:cs="Arial"/>
                <w:sz w:val="22"/>
                <w:szCs w:val="22"/>
                <w:lang w:val="en-GB"/>
              </w:rPr>
              <w:t xml:space="preserve">a </w:t>
            </w:r>
            <w:r w:rsidRPr="00427622">
              <w:rPr>
                <w:rFonts w:ascii="Arial" w:hAnsi="Arial" w:cs="Arial"/>
                <w:sz w:val="22"/>
                <w:szCs w:val="22"/>
                <w:lang w:val="en-GB"/>
              </w:rPr>
              <w:t xml:space="preserve">working group of the Committee to discuss </w:t>
            </w:r>
            <w:r>
              <w:rPr>
                <w:rFonts w:ascii="Arial" w:hAnsi="Arial" w:cs="Arial"/>
                <w:sz w:val="22"/>
                <w:szCs w:val="22"/>
                <w:lang w:val="en-GB"/>
              </w:rPr>
              <w:t xml:space="preserve">the </w:t>
            </w:r>
            <w:r w:rsidRPr="00427622">
              <w:rPr>
                <w:rFonts w:ascii="Arial" w:hAnsi="Arial" w:cs="Arial"/>
                <w:sz w:val="22"/>
                <w:szCs w:val="22"/>
                <w:lang w:val="en-GB"/>
              </w:rPr>
              <w:t>results framework.</w:t>
            </w:r>
          </w:p>
          <w:p w14:paraId="2B6C4986" w14:textId="77777777" w:rsidR="00381916" w:rsidRPr="0033405D" w:rsidRDefault="00381916" w:rsidP="002232C8">
            <w:pPr>
              <w:spacing w:before="60" w:after="60"/>
              <w:ind w:left="113"/>
              <w:rPr>
                <w:rFonts w:ascii="Arial" w:hAnsi="Arial" w:cs="Arial"/>
                <w:sz w:val="22"/>
                <w:szCs w:val="22"/>
                <w:lang w:val="en-GB"/>
              </w:rPr>
            </w:pPr>
            <w:r w:rsidRPr="00427622">
              <w:rPr>
                <w:rFonts w:ascii="Arial" w:hAnsi="Arial" w:cs="Arial"/>
                <w:sz w:val="22"/>
                <w:szCs w:val="22"/>
                <w:lang w:val="en-GB"/>
              </w:rPr>
              <w:t>Mobilize extrabu</w:t>
            </w:r>
            <w:r>
              <w:rPr>
                <w:rFonts w:ascii="Arial" w:hAnsi="Arial" w:cs="Arial"/>
                <w:sz w:val="22"/>
                <w:szCs w:val="22"/>
                <w:lang w:val="en-GB"/>
              </w:rPr>
              <w:t>d</w:t>
            </w:r>
            <w:r w:rsidRPr="00427622">
              <w:rPr>
                <w:rFonts w:ascii="Arial" w:hAnsi="Arial" w:cs="Arial"/>
                <w:sz w:val="22"/>
                <w:szCs w:val="22"/>
                <w:lang w:val="en-GB"/>
              </w:rPr>
              <w:t>getary funding for such working group.</w:t>
            </w:r>
          </w:p>
        </w:tc>
        <w:tc>
          <w:tcPr>
            <w:tcW w:w="1986" w:type="dxa"/>
            <w:gridSpan w:val="2"/>
            <w:noWrap/>
            <w:tcMar>
              <w:top w:w="40" w:type="dxa"/>
              <w:left w:w="40" w:type="dxa"/>
              <w:bottom w:w="40" w:type="dxa"/>
              <w:right w:w="40" w:type="dxa"/>
            </w:tcMar>
          </w:tcPr>
          <w:p w14:paraId="744D7550" w14:textId="77777777" w:rsidR="00381916" w:rsidRPr="0033405D" w:rsidRDefault="00381916" w:rsidP="002232C8">
            <w:pPr>
              <w:keepNext/>
              <w:spacing w:before="60" w:after="60"/>
              <w:ind w:left="57"/>
              <w:outlineLvl w:val="1"/>
              <w:rPr>
                <w:rFonts w:ascii="Arial" w:hAnsi="Arial" w:cs="Arial"/>
                <w:sz w:val="22"/>
                <w:szCs w:val="22"/>
                <w:lang w:val="en-GB"/>
              </w:rPr>
            </w:pPr>
            <w:r w:rsidRPr="0033405D">
              <w:rPr>
                <w:rFonts w:ascii="Arial" w:hAnsi="Arial" w:cs="Arial"/>
                <w:sz w:val="22"/>
                <w:szCs w:val="22"/>
                <w:lang w:val="en-GB"/>
              </w:rPr>
              <w:t>2016-2017</w:t>
            </w:r>
          </w:p>
        </w:tc>
        <w:tc>
          <w:tcPr>
            <w:tcW w:w="7655" w:type="dxa"/>
            <w:noWrap/>
            <w:tcMar>
              <w:top w:w="40" w:type="dxa"/>
              <w:left w:w="40" w:type="dxa"/>
              <w:bottom w:w="40" w:type="dxa"/>
              <w:right w:w="40" w:type="dxa"/>
            </w:tcMar>
          </w:tcPr>
          <w:p w14:paraId="5A9A83E2" w14:textId="77777777" w:rsidR="00381916" w:rsidRPr="0033405D" w:rsidRDefault="00381916" w:rsidP="002232C8">
            <w:pPr>
              <w:pStyle w:val="ListParagraph"/>
              <w:numPr>
                <w:ilvl w:val="0"/>
                <w:numId w:val="9"/>
              </w:numPr>
              <w:spacing w:before="60" w:beforeAutospacing="0" w:after="6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At its ninth session, the Committee decided to convene an open-ended intergovernmental working group during the course of 2016 to examine </w:t>
            </w:r>
            <w:r>
              <w:rPr>
                <w:rFonts w:ascii="Arial" w:hAnsi="Arial" w:cs="Arial"/>
                <w:sz w:val="22"/>
                <w:szCs w:val="22"/>
                <w:lang w:val="en-GB"/>
              </w:rPr>
              <w:t xml:space="preserve">the </w:t>
            </w:r>
            <w:r w:rsidRPr="0033405D">
              <w:rPr>
                <w:rFonts w:ascii="Arial" w:hAnsi="Arial" w:cs="Arial"/>
                <w:sz w:val="22"/>
                <w:szCs w:val="22"/>
                <w:lang w:val="en-GB"/>
              </w:rPr>
              <w:t>preliminary recommendations of possible directives, subject to the condition that voluntary supplementary contributions are received in due course to the Intangible Cultural Heritage Fund (</w:t>
            </w:r>
            <w:hyperlink r:id="rId50" w:history="1">
              <w:r w:rsidRPr="0033405D">
                <w:rPr>
                  <w:rStyle w:val="Hyperlink"/>
                  <w:rFonts w:ascii="Arial" w:hAnsi="Arial" w:cs="Arial"/>
                  <w:sz w:val="22"/>
                  <w:szCs w:val="22"/>
                  <w:lang w:val="en-GB"/>
                </w:rPr>
                <w:t>Decision 9.COM 13.e</w:t>
              </w:r>
            </w:hyperlink>
            <w:r w:rsidRPr="0033405D">
              <w:rPr>
                <w:rFonts w:ascii="Arial" w:hAnsi="Arial" w:cs="Arial"/>
                <w:sz w:val="22"/>
                <w:szCs w:val="22"/>
                <w:lang w:val="en-GB"/>
              </w:rPr>
              <w:t>).</w:t>
            </w:r>
          </w:p>
          <w:p w14:paraId="74C25ED3" w14:textId="77777777" w:rsidR="00381916" w:rsidRDefault="00381916" w:rsidP="002232C8">
            <w:pPr>
              <w:pStyle w:val="ListParagraph"/>
              <w:numPr>
                <w:ilvl w:val="0"/>
                <w:numId w:val="9"/>
              </w:numPr>
              <w:spacing w:before="60" w:beforeAutospacing="0" w:after="6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The Committee approved at its tenth session China’s offer to support the organization in 2016 </w:t>
            </w:r>
            <w:r>
              <w:rPr>
                <w:rFonts w:ascii="Arial" w:hAnsi="Arial" w:cs="Arial"/>
                <w:sz w:val="22"/>
                <w:szCs w:val="22"/>
                <w:lang w:val="en-GB"/>
              </w:rPr>
              <w:t>with</w:t>
            </w:r>
            <w:r w:rsidRPr="0033405D">
              <w:rPr>
                <w:rFonts w:ascii="Arial" w:hAnsi="Arial" w:cs="Arial"/>
                <w:sz w:val="22"/>
                <w:szCs w:val="22"/>
                <w:lang w:val="en-GB"/>
              </w:rPr>
              <w:t xml:space="preserve"> an expert meeting on developing an overall results framework for the Convention (</w:t>
            </w:r>
            <w:hyperlink r:id="rId51" w:history="1">
              <w:r w:rsidRPr="0033405D">
                <w:rPr>
                  <w:rStyle w:val="Hyperlink"/>
                  <w:rFonts w:ascii="Arial" w:hAnsi="Arial" w:cs="Arial"/>
                  <w:sz w:val="22"/>
                  <w:szCs w:val="22"/>
                  <w:lang w:val="en-GB"/>
                </w:rPr>
                <w:t>Decision 10.COM 9</w:t>
              </w:r>
            </w:hyperlink>
            <w:r w:rsidRPr="0033405D">
              <w:rPr>
                <w:rFonts w:ascii="Arial" w:hAnsi="Arial" w:cs="Arial"/>
                <w:sz w:val="22"/>
                <w:szCs w:val="22"/>
                <w:lang w:val="en-GB"/>
              </w:rPr>
              <w:t>).</w:t>
            </w:r>
          </w:p>
          <w:p w14:paraId="5FBCA9CE" w14:textId="77777777" w:rsidR="00381916" w:rsidRPr="0033405D" w:rsidRDefault="00381916" w:rsidP="002232C8">
            <w:pPr>
              <w:pStyle w:val="ListParagraph"/>
              <w:keepNext/>
              <w:numPr>
                <w:ilvl w:val="0"/>
                <w:numId w:val="9"/>
              </w:numPr>
              <w:spacing w:before="60" w:beforeAutospacing="0" w:after="60" w:afterAutospacing="0"/>
              <w:ind w:left="470" w:hanging="357"/>
              <w:contextualSpacing/>
              <w:outlineLvl w:val="1"/>
              <w:rPr>
                <w:rFonts w:ascii="Arial" w:hAnsi="Arial" w:cs="Arial"/>
                <w:sz w:val="22"/>
                <w:szCs w:val="22"/>
                <w:lang w:val="en-GB"/>
              </w:rPr>
            </w:pPr>
            <w:r w:rsidRPr="0033405D">
              <w:rPr>
                <w:rFonts w:ascii="Arial" w:hAnsi="Arial" w:cs="Arial"/>
                <w:sz w:val="22"/>
                <w:szCs w:val="22"/>
                <w:lang w:val="en-GB"/>
              </w:rPr>
              <w:t xml:space="preserve">Pending </w:t>
            </w:r>
            <w:r>
              <w:rPr>
                <w:rFonts w:ascii="Arial" w:hAnsi="Arial" w:cs="Arial"/>
                <w:sz w:val="22"/>
                <w:szCs w:val="22"/>
                <w:lang w:val="en-GB"/>
              </w:rPr>
              <w:t xml:space="preserve">the </w:t>
            </w:r>
            <w:r w:rsidRPr="0033405D">
              <w:rPr>
                <w:rFonts w:ascii="Arial" w:hAnsi="Arial" w:cs="Arial"/>
                <w:sz w:val="22"/>
                <w:szCs w:val="22"/>
                <w:lang w:val="en-GB"/>
              </w:rPr>
              <w:t>mobilization of extrabudgetary funding, an open</w:t>
            </w:r>
            <w:r>
              <w:rPr>
                <w:rFonts w:ascii="Arial" w:hAnsi="Arial" w:cs="Arial"/>
                <w:sz w:val="22"/>
                <w:szCs w:val="22"/>
                <w:lang w:val="en-GB"/>
              </w:rPr>
              <w:t>-</w:t>
            </w:r>
            <w:r w:rsidRPr="0033405D">
              <w:rPr>
                <w:rFonts w:ascii="Arial" w:hAnsi="Arial" w:cs="Arial"/>
                <w:sz w:val="22"/>
                <w:szCs w:val="22"/>
                <w:lang w:val="en-GB"/>
              </w:rPr>
              <w:t>ended intergovernmental group will be established in 2017.</w:t>
            </w:r>
          </w:p>
        </w:tc>
      </w:tr>
      <w:tr w:rsidR="00381916" w:rsidRPr="00284E2B" w14:paraId="6918E675" w14:textId="77777777" w:rsidTr="002232C8">
        <w:tc>
          <w:tcPr>
            <w:tcW w:w="14358" w:type="dxa"/>
            <w:gridSpan w:val="5"/>
            <w:shd w:val="clear" w:color="auto" w:fill="E6E6E6"/>
            <w:noWrap/>
            <w:tcMar>
              <w:top w:w="40" w:type="dxa"/>
              <w:left w:w="40" w:type="dxa"/>
              <w:bottom w:w="40" w:type="dxa"/>
              <w:right w:w="40" w:type="dxa"/>
            </w:tcMar>
          </w:tcPr>
          <w:p w14:paraId="0380390A" w14:textId="77777777" w:rsidR="00381916" w:rsidRPr="0033405D" w:rsidRDefault="00381916" w:rsidP="002232C8">
            <w:pPr>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23: Complement the data gathered on the implementation of the Convention through Periodic Reports submitted by States Parties with information provided by NGOs.</w:t>
            </w:r>
          </w:p>
        </w:tc>
      </w:tr>
      <w:tr w:rsidR="00381916" w:rsidRPr="00284E2B" w14:paraId="7C965D43" w14:textId="77777777" w:rsidTr="002232C8">
        <w:tc>
          <w:tcPr>
            <w:tcW w:w="14358" w:type="dxa"/>
            <w:gridSpan w:val="5"/>
            <w:noWrap/>
            <w:tcMar>
              <w:top w:w="40" w:type="dxa"/>
              <w:left w:w="40" w:type="dxa"/>
              <w:bottom w:w="40" w:type="dxa"/>
              <w:right w:w="40" w:type="dxa"/>
            </w:tcMar>
          </w:tcPr>
          <w:p w14:paraId="7B4E0EB0" w14:textId="77777777" w:rsidR="00381916" w:rsidRPr="00427622" w:rsidRDefault="00381916" w:rsidP="002232C8">
            <w:pPr>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xml:space="preserve">: Periodic reporting Form ICH-10 was revised on 15 December 2014. States reporting in 2016 are able to integrate such contributions. Operational Directives </w:t>
            </w:r>
            <w:r>
              <w:rPr>
                <w:rFonts w:ascii="Arial" w:hAnsi="Arial" w:cs="Arial"/>
                <w:sz w:val="22"/>
                <w:szCs w:val="22"/>
                <w:lang w:val="en-GB"/>
              </w:rPr>
              <w:t>were</w:t>
            </w:r>
            <w:r w:rsidRPr="0033405D">
              <w:rPr>
                <w:rFonts w:ascii="Arial" w:hAnsi="Arial" w:cs="Arial"/>
                <w:sz w:val="22"/>
                <w:szCs w:val="22"/>
                <w:lang w:val="en-GB"/>
              </w:rPr>
              <w:t xml:space="preserve"> revised to integrate this recommendation in June 2016.</w:t>
            </w:r>
          </w:p>
        </w:tc>
      </w:tr>
      <w:tr w:rsidR="00381916" w:rsidRPr="00427622" w14:paraId="702EA9AC" w14:textId="77777777" w:rsidTr="002232C8">
        <w:tc>
          <w:tcPr>
            <w:tcW w:w="4717" w:type="dxa"/>
            <w:gridSpan w:val="2"/>
            <w:tcBorders>
              <w:bottom w:val="single" w:sz="4" w:space="0" w:color="auto"/>
            </w:tcBorders>
            <w:noWrap/>
            <w:tcMar>
              <w:top w:w="40" w:type="dxa"/>
              <w:left w:w="40" w:type="dxa"/>
              <w:bottom w:w="40" w:type="dxa"/>
              <w:right w:w="40" w:type="dxa"/>
            </w:tcMar>
          </w:tcPr>
          <w:p w14:paraId="2F84BFC3"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12BD6F63"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0866F0C0"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6EA6C923" w14:textId="77777777" w:rsidTr="002232C8">
        <w:tc>
          <w:tcPr>
            <w:tcW w:w="4717" w:type="dxa"/>
            <w:gridSpan w:val="2"/>
            <w:shd w:val="clear" w:color="auto" w:fill="FFFFFF" w:themeFill="background1"/>
            <w:noWrap/>
            <w:tcMar>
              <w:top w:w="40" w:type="dxa"/>
              <w:left w:w="40" w:type="dxa"/>
              <w:bottom w:w="40" w:type="dxa"/>
              <w:right w:w="40" w:type="dxa"/>
            </w:tcMar>
          </w:tcPr>
          <w:p w14:paraId="493026F7" w14:textId="77777777" w:rsidR="00381916" w:rsidRPr="00953F41" w:rsidRDefault="00381916" w:rsidP="002232C8">
            <w:pPr>
              <w:spacing w:before="120" w:after="120"/>
              <w:ind w:left="113" w:right="57"/>
              <w:rPr>
                <w:rFonts w:ascii="Arial" w:eastAsia="Malgun Gothic" w:hAnsi="Arial" w:cs="Arial"/>
                <w:sz w:val="22"/>
                <w:szCs w:val="22"/>
                <w:lang w:val="en-GB" w:eastAsia="ko-KR"/>
              </w:rPr>
            </w:pPr>
            <w:r w:rsidRPr="00427622">
              <w:rPr>
                <w:rFonts w:ascii="Arial" w:hAnsi="Arial" w:cs="Arial"/>
                <w:sz w:val="22"/>
                <w:szCs w:val="22"/>
                <w:lang w:val="en-GB"/>
              </w:rPr>
              <w:t xml:space="preserve">Encourage States to complement the data gathered on the implementation of the Convention with information provided by </w:t>
            </w:r>
            <w:r w:rsidRPr="00427622">
              <w:rPr>
                <w:rFonts w:ascii="Arial" w:hAnsi="Arial" w:cs="Arial"/>
                <w:sz w:val="22"/>
                <w:szCs w:val="22"/>
                <w:lang w:val="en-GB"/>
              </w:rPr>
              <w:lastRenderedPageBreak/>
              <w:t xml:space="preserve">relevant </w:t>
            </w:r>
            <w:r>
              <w:rPr>
                <w:rFonts w:ascii="Arial" w:hAnsi="Arial" w:cs="Arial"/>
                <w:sz w:val="22"/>
                <w:szCs w:val="22"/>
                <w:lang w:val="en-GB"/>
              </w:rPr>
              <w:t>non-governmental organizations.</w:t>
            </w:r>
          </w:p>
          <w:p w14:paraId="5753B8C1" w14:textId="77777777" w:rsidR="00381916" w:rsidRPr="00953F41" w:rsidRDefault="00381916" w:rsidP="002232C8">
            <w:pPr>
              <w:spacing w:before="120" w:after="120"/>
              <w:ind w:left="113" w:right="57"/>
              <w:rPr>
                <w:rFonts w:ascii="Arial" w:eastAsia="Malgun Gothic" w:hAnsi="Arial" w:cs="Arial"/>
                <w:sz w:val="22"/>
                <w:szCs w:val="22"/>
                <w:lang w:val="en-GB" w:eastAsia="ko-KR"/>
              </w:rPr>
            </w:pPr>
            <w:r w:rsidRPr="00427622">
              <w:rPr>
                <w:rFonts w:ascii="Arial" w:hAnsi="Arial" w:cs="Arial"/>
                <w:sz w:val="22"/>
                <w:szCs w:val="22"/>
                <w:lang w:val="en-GB"/>
              </w:rPr>
              <w:t xml:space="preserve">Revise the forms for </w:t>
            </w:r>
            <w:r>
              <w:rPr>
                <w:rFonts w:ascii="Arial" w:hAnsi="Arial" w:cs="Arial"/>
                <w:sz w:val="22"/>
                <w:szCs w:val="22"/>
                <w:lang w:val="en-GB"/>
              </w:rPr>
              <w:t>periodic reporting accordingly.</w:t>
            </w:r>
          </w:p>
        </w:tc>
        <w:tc>
          <w:tcPr>
            <w:tcW w:w="1986" w:type="dxa"/>
            <w:gridSpan w:val="2"/>
            <w:shd w:val="clear" w:color="auto" w:fill="FFFFFF" w:themeFill="background1"/>
            <w:noWrap/>
            <w:tcMar>
              <w:top w:w="40" w:type="dxa"/>
              <w:left w:w="40" w:type="dxa"/>
              <w:bottom w:w="40" w:type="dxa"/>
              <w:right w:w="40" w:type="dxa"/>
            </w:tcMar>
          </w:tcPr>
          <w:p w14:paraId="41E3BAF3"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lastRenderedPageBreak/>
              <w:t>December 2014</w:t>
            </w:r>
          </w:p>
        </w:tc>
        <w:tc>
          <w:tcPr>
            <w:tcW w:w="7655" w:type="dxa"/>
            <w:shd w:val="clear" w:color="auto" w:fill="FFFFFF" w:themeFill="background1"/>
            <w:noWrap/>
            <w:tcMar>
              <w:top w:w="40" w:type="dxa"/>
              <w:left w:w="40" w:type="dxa"/>
              <w:bottom w:w="40" w:type="dxa"/>
              <w:right w:w="40" w:type="dxa"/>
            </w:tcMar>
          </w:tcPr>
          <w:p w14:paraId="5887D943" w14:textId="77777777" w:rsidR="00381916" w:rsidRPr="00427622" w:rsidRDefault="00381916" w:rsidP="002232C8">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rPr>
            </w:pPr>
            <w:r w:rsidRPr="00427622">
              <w:rPr>
                <w:rFonts w:ascii="Arial" w:hAnsi="Arial" w:cs="Arial"/>
                <w:sz w:val="22"/>
                <w:szCs w:val="22"/>
                <w:lang w:val="en-GB"/>
              </w:rPr>
              <w:t>Form ICH-10 revised in December 2014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09CC9ABE" w14:textId="77777777" w:rsidTr="002232C8">
        <w:tc>
          <w:tcPr>
            <w:tcW w:w="4717" w:type="dxa"/>
            <w:gridSpan w:val="2"/>
            <w:shd w:val="clear" w:color="auto" w:fill="FFFFFF" w:themeFill="background1"/>
            <w:noWrap/>
            <w:tcMar>
              <w:top w:w="40" w:type="dxa"/>
              <w:left w:w="40" w:type="dxa"/>
              <w:bottom w:w="40" w:type="dxa"/>
              <w:right w:w="40" w:type="dxa"/>
            </w:tcMar>
          </w:tcPr>
          <w:p w14:paraId="0F7F2FD7" w14:textId="77777777" w:rsidR="00381916" w:rsidRPr="00427622" w:rsidRDefault="00381916" w:rsidP="002232C8">
            <w:pPr>
              <w:spacing w:before="120" w:after="120"/>
              <w:ind w:left="113" w:right="57"/>
              <w:rPr>
                <w:rFonts w:ascii="Arial" w:hAnsi="Arial" w:cs="Arial"/>
                <w:sz w:val="22"/>
                <w:szCs w:val="22"/>
                <w:lang w:val="en-GB"/>
              </w:rPr>
            </w:pPr>
            <w:r w:rsidRPr="00427622">
              <w:rPr>
                <w:rFonts w:ascii="Arial" w:hAnsi="Arial" w:cs="Arial"/>
                <w:sz w:val="22"/>
                <w:szCs w:val="22"/>
                <w:lang w:val="en-GB"/>
              </w:rPr>
              <w:t>Propose draft Operational Directives in order to encourage States Parties to involve NGOs in the preparation of Periodic Reports.</w:t>
            </w:r>
          </w:p>
        </w:tc>
        <w:tc>
          <w:tcPr>
            <w:tcW w:w="1986" w:type="dxa"/>
            <w:gridSpan w:val="2"/>
            <w:shd w:val="clear" w:color="auto" w:fill="FFFFFF" w:themeFill="background1"/>
            <w:noWrap/>
            <w:tcMar>
              <w:top w:w="40" w:type="dxa"/>
              <w:left w:w="40" w:type="dxa"/>
              <w:bottom w:w="40" w:type="dxa"/>
              <w:right w:w="40" w:type="dxa"/>
            </w:tcMar>
          </w:tcPr>
          <w:p w14:paraId="1D5B02C8" w14:textId="77777777" w:rsidR="00381916" w:rsidRPr="00427622" w:rsidRDefault="00381916" w:rsidP="002232C8">
            <w:pPr>
              <w:spacing w:before="120" w:after="120"/>
              <w:ind w:left="57"/>
              <w:rPr>
                <w:rFonts w:ascii="Arial" w:hAnsi="Arial" w:cs="Arial"/>
                <w:sz w:val="22"/>
                <w:szCs w:val="22"/>
                <w:lang w:val="en-GB"/>
              </w:rPr>
            </w:pPr>
            <w:r w:rsidRPr="00427622">
              <w:rPr>
                <w:rFonts w:ascii="Arial" w:hAnsi="Arial" w:cs="Arial"/>
                <w:sz w:val="22"/>
                <w:szCs w:val="22"/>
                <w:lang w:val="en-GB"/>
              </w:rPr>
              <w:t>June 2016</w:t>
            </w:r>
          </w:p>
        </w:tc>
        <w:tc>
          <w:tcPr>
            <w:tcW w:w="7655" w:type="dxa"/>
            <w:shd w:val="clear" w:color="auto" w:fill="FFFFFF" w:themeFill="background1"/>
            <w:noWrap/>
            <w:tcMar>
              <w:top w:w="40" w:type="dxa"/>
              <w:left w:w="40" w:type="dxa"/>
              <w:bottom w:w="40" w:type="dxa"/>
              <w:right w:w="40" w:type="dxa"/>
            </w:tcMar>
          </w:tcPr>
          <w:p w14:paraId="4786648F" w14:textId="77777777" w:rsidR="00381916" w:rsidRPr="00427622" w:rsidRDefault="00381916" w:rsidP="002232C8">
            <w:pPr>
              <w:pStyle w:val="ListParagraph"/>
              <w:numPr>
                <w:ilvl w:val="0"/>
                <w:numId w:val="9"/>
              </w:numPr>
              <w:spacing w:before="60" w:beforeAutospacing="0" w:after="60" w:afterAutospacing="0"/>
              <w:ind w:left="470" w:hanging="357"/>
              <w:contextualSpacing/>
              <w:rPr>
                <w:rFonts w:ascii="Arial" w:hAnsi="Arial" w:cs="Arial"/>
                <w:sz w:val="22"/>
                <w:szCs w:val="22"/>
                <w:lang w:val="en-GB"/>
              </w:rPr>
            </w:pPr>
            <w:r w:rsidRPr="00427622">
              <w:rPr>
                <w:rFonts w:ascii="Arial" w:hAnsi="Arial" w:cs="Arial"/>
                <w:sz w:val="22"/>
                <w:szCs w:val="22"/>
                <w:lang w:val="en-GB"/>
              </w:rPr>
              <w:t>Amendments to the Operational Directives were approved by the General Assembly at its sixth session in June 2016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381916" w:rsidRPr="00284E2B" w14:paraId="3C5B3602" w14:textId="77777777" w:rsidTr="002232C8">
        <w:tc>
          <w:tcPr>
            <w:tcW w:w="14358" w:type="dxa"/>
            <w:gridSpan w:val="5"/>
            <w:shd w:val="clear" w:color="auto" w:fill="E6E6E6"/>
            <w:noWrap/>
            <w:tcMar>
              <w:top w:w="40" w:type="dxa"/>
              <w:left w:w="40" w:type="dxa"/>
              <w:bottom w:w="40" w:type="dxa"/>
              <w:right w:w="40" w:type="dxa"/>
            </w:tcMar>
          </w:tcPr>
          <w:p w14:paraId="095927DE" w14:textId="77777777" w:rsidR="00381916" w:rsidRPr="0033405D" w:rsidRDefault="00381916" w:rsidP="002232C8">
            <w:pPr>
              <w:tabs>
                <w:tab w:val="left" w:pos="2640"/>
              </w:tabs>
              <w:spacing w:before="120" w:after="120"/>
              <w:ind w:left="113" w:right="113"/>
              <w:jc w:val="both"/>
              <w:rPr>
                <w:rFonts w:ascii="Arial" w:hAnsi="Arial" w:cs="Arial"/>
                <w:b/>
                <w:sz w:val="22"/>
                <w:szCs w:val="22"/>
                <w:lang w:val="en-GB"/>
              </w:rPr>
            </w:pPr>
            <w:r w:rsidRPr="0033405D">
              <w:rPr>
                <w:rFonts w:ascii="Arial" w:hAnsi="Arial" w:cs="Arial"/>
                <w:b/>
                <w:sz w:val="22"/>
                <w:szCs w:val="22"/>
                <w:lang w:val="en-GB"/>
              </w:rPr>
              <w:t>Recommendation 24: Strengthen monitoring and evaluation of the implementation of the Convention at the national level.</w:t>
            </w:r>
          </w:p>
        </w:tc>
      </w:tr>
      <w:tr w:rsidR="00381916" w:rsidRPr="00284E2B" w14:paraId="6481FD72" w14:textId="77777777" w:rsidTr="002232C8">
        <w:tc>
          <w:tcPr>
            <w:tcW w:w="14358" w:type="dxa"/>
            <w:gridSpan w:val="5"/>
            <w:noWrap/>
            <w:tcMar>
              <w:top w:w="40" w:type="dxa"/>
              <w:left w:w="40" w:type="dxa"/>
              <w:bottom w:w="40" w:type="dxa"/>
              <w:right w:w="40" w:type="dxa"/>
            </w:tcMar>
          </w:tcPr>
          <w:p w14:paraId="1233B3B6" w14:textId="77777777" w:rsidR="00381916" w:rsidRPr="0033405D" w:rsidRDefault="00381916" w:rsidP="002232C8">
            <w:pPr>
              <w:spacing w:before="120" w:after="120"/>
              <w:ind w:left="113" w:right="113"/>
              <w:jc w:val="both"/>
              <w:rPr>
                <w:rFonts w:ascii="Arial" w:hAnsi="Arial" w:cs="Arial"/>
                <w:sz w:val="22"/>
                <w:szCs w:val="22"/>
                <w:lang w:val="en-GB"/>
              </w:rPr>
            </w:pPr>
            <w:r w:rsidRPr="0033405D">
              <w:rPr>
                <w:rFonts w:ascii="Arial" w:hAnsi="Arial" w:cs="Arial"/>
                <w:b/>
                <w:sz w:val="22"/>
                <w:szCs w:val="22"/>
                <w:lang w:val="en-GB"/>
              </w:rPr>
              <w:t>Management Response</w:t>
            </w:r>
            <w:r w:rsidRPr="0033405D">
              <w:rPr>
                <w:rFonts w:ascii="Arial" w:hAnsi="Arial" w:cs="Arial"/>
                <w:sz w:val="22"/>
                <w:szCs w:val="22"/>
                <w:lang w:val="en-GB"/>
              </w:rPr>
              <w:t xml:space="preserve">: Although </w:t>
            </w:r>
            <w:r>
              <w:rPr>
                <w:rFonts w:ascii="Arial" w:hAnsi="Arial" w:cs="Arial"/>
                <w:sz w:val="22"/>
                <w:szCs w:val="22"/>
                <w:lang w:val="en-GB"/>
              </w:rPr>
              <w:t xml:space="preserve">it is </w:t>
            </w:r>
            <w:r w:rsidRPr="0033405D">
              <w:rPr>
                <w:rFonts w:ascii="Arial" w:hAnsi="Arial" w:cs="Arial"/>
                <w:sz w:val="22"/>
                <w:szCs w:val="22"/>
                <w:lang w:val="en-GB"/>
              </w:rPr>
              <w:t xml:space="preserve">addressed to States Parties, the Secretariat will address this recommendation and integrate and/or strengthen these aspects in the capacity-building material and training of trainers’ workshops as well as in the </w:t>
            </w:r>
            <w:r w:rsidRPr="0033405D">
              <w:rPr>
                <w:rFonts w:ascii="Arial" w:hAnsi="Arial" w:cs="Arial"/>
                <w:i/>
                <w:sz w:val="22"/>
                <w:szCs w:val="22"/>
                <w:lang w:val="en-GB"/>
              </w:rPr>
              <w:t>aide-mémoire</w:t>
            </w:r>
            <w:r w:rsidRPr="0033405D">
              <w:rPr>
                <w:rFonts w:ascii="Arial" w:hAnsi="Arial" w:cs="Arial"/>
                <w:sz w:val="22"/>
                <w:szCs w:val="22"/>
                <w:lang w:val="en-GB"/>
              </w:rPr>
              <w:t xml:space="preserve"> for </w:t>
            </w:r>
            <w:r>
              <w:rPr>
                <w:rFonts w:ascii="Arial" w:hAnsi="Arial" w:cs="Arial"/>
                <w:sz w:val="22"/>
                <w:szCs w:val="22"/>
                <w:lang w:val="en-GB"/>
              </w:rPr>
              <w:t xml:space="preserve">the </w:t>
            </w:r>
            <w:r w:rsidRPr="0033405D">
              <w:rPr>
                <w:rFonts w:ascii="Arial" w:hAnsi="Arial" w:cs="Arial"/>
                <w:sz w:val="22"/>
                <w:szCs w:val="22"/>
                <w:lang w:val="en-GB"/>
              </w:rPr>
              <w:t>Periodic Reports.</w:t>
            </w:r>
          </w:p>
        </w:tc>
      </w:tr>
      <w:tr w:rsidR="00381916" w:rsidRPr="00427622" w14:paraId="05509D4C" w14:textId="77777777" w:rsidTr="002232C8">
        <w:tc>
          <w:tcPr>
            <w:tcW w:w="4717" w:type="dxa"/>
            <w:gridSpan w:val="2"/>
            <w:noWrap/>
            <w:tcMar>
              <w:top w:w="40" w:type="dxa"/>
              <w:left w:w="40" w:type="dxa"/>
              <w:bottom w:w="40" w:type="dxa"/>
              <w:right w:w="40" w:type="dxa"/>
            </w:tcMar>
          </w:tcPr>
          <w:p w14:paraId="69E4DE52"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0C31DCD0"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6FF0D60D" w14:textId="77777777" w:rsidR="00381916" w:rsidRPr="0033405D" w:rsidRDefault="00381916" w:rsidP="002232C8">
            <w:pPr>
              <w:spacing w:before="120" w:after="120"/>
              <w:jc w:val="center"/>
              <w:rPr>
                <w:rFonts w:ascii="Arial" w:hAnsi="Arial" w:cs="Arial"/>
                <w:b/>
                <w:sz w:val="22"/>
                <w:szCs w:val="22"/>
                <w:lang w:val="en-GB"/>
              </w:rPr>
            </w:pPr>
            <w:r w:rsidRPr="00427622">
              <w:rPr>
                <w:rFonts w:ascii="Arial" w:hAnsi="Arial" w:cs="Arial"/>
                <w:b/>
                <w:sz w:val="22"/>
                <w:szCs w:val="22"/>
                <w:lang w:val="en-GB"/>
              </w:rPr>
              <w:t>Status</w:t>
            </w:r>
          </w:p>
        </w:tc>
      </w:tr>
      <w:tr w:rsidR="00381916" w:rsidRPr="00284E2B" w14:paraId="68C3F695" w14:textId="77777777" w:rsidTr="002232C8">
        <w:tc>
          <w:tcPr>
            <w:tcW w:w="4717" w:type="dxa"/>
            <w:gridSpan w:val="2"/>
            <w:noWrap/>
            <w:tcMar>
              <w:top w:w="40" w:type="dxa"/>
              <w:left w:w="40" w:type="dxa"/>
              <w:bottom w:w="40" w:type="dxa"/>
              <w:right w:w="40" w:type="dxa"/>
            </w:tcMar>
          </w:tcPr>
          <w:p w14:paraId="00AF27BB" w14:textId="77777777" w:rsidR="00381916" w:rsidRPr="00427622" w:rsidRDefault="00381916" w:rsidP="002232C8">
            <w:pPr>
              <w:pStyle w:val="Default"/>
              <w:spacing w:before="120" w:after="120"/>
              <w:ind w:left="113" w:right="57"/>
              <w:contextualSpacing/>
              <w:rPr>
                <w:sz w:val="22"/>
                <w:szCs w:val="22"/>
                <w:lang w:val="en-GB"/>
              </w:rPr>
            </w:pPr>
            <w:r w:rsidRPr="00427622">
              <w:rPr>
                <w:sz w:val="22"/>
                <w:szCs w:val="22"/>
                <w:lang w:val="en-GB"/>
              </w:rPr>
              <w:t>Integrate and/or strengthen these aspects in</w:t>
            </w:r>
            <w:r>
              <w:rPr>
                <w:sz w:val="22"/>
                <w:szCs w:val="22"/>
                <w:lang w:val="en-GB"/>
              </w:rPr>
              <w:t>to</w:t>
            </w:r>
            <w:r w:rsidRPr="00427622">
              <w:rPr>
                <w:sz w:val="22"/>
                <w:szCs w:val="22"/>
                <w:lang w:val="en-GB"/>
              </w:rPr>
              <w:t xml:space="preserve"> the capacity-building material and training of trainers workshops.</w:t>
            </w:r>
          </w:p>
          <w:p w14:paraId="5A93F079" w14:textId="77777777" w:rsidR="00381916" w:rsidRPr="0033405D" w:rsidRDefault="00381916" w:rsidP="002232C8">
            <w:pPr>
              <w:spacing w:before="120" w:after="120"/>
              <w:ind w:left="113" w:right="57"/>
              <w:contextualSpacing/>
              <w:rPr>
                <w:rFonts w:ascii="Arial" w:hAnsi="Arial" w:cs="Arial"/>
                <w:sz w:val="22"/>
                <w:szCs w:val="22"/>
                <w:lang w:val="en-GB"/>
              </w:rPr>
            </w:pPr>
            <w:r w:rsidRPr="00427622">
              <w:rPr>
                <w:rFonts w:ascii="Arial" w:hAnsi="Arial" w:cs="Arial"/>
                <w:sz w:val="22"/>
                <w:szCs w:val="22"/>
                <w:lang w:val="en-GB"/>
              </w:rPr>
              <w:t>Integrate these aspects in</w:t>
            </w:r>
            <w:r>
              <w:rPr>
                <w:rFonts w:ascii="Arial" w:hAnsi="Arial" w:cs="Arial"/>
                <w:sz w:val="22"/>
                <w:szCs w:val="22"/>
                <w:lang w:val="en-GB"/>
              </w:rPr>
              <w:t>to</w:t>
            </w:r>
            <w:r w:rsidRPr="00427622">
              <w:rPr>
                <w:rFonts w:ascii="Arial" w:hAnsi="Arial" w:cs="Arial"/>
                <w:sz w:val="22"/>
                <w:szCs w:val="22"/>
                <w:lang w:val="en-GB"/>
              </w:rPr>
              <w:t xml:space="preserve"> the </w:t>
            </w:r>
            <w:r w:rsidRPr="00427622">
              <w:rPr>
                <w:rFonts w:ascii="Arial" w:hAnsi="Arial" w:cs="Arial"/>
                <w:i/>
                <w:sz w:val="22"/>
                <w:szCs w:val="22"/>
                <w:lang w:val="en-GB"/>
              </w:rPr>
              <w:t>aide-mémoire</w:t>
            </w:r>
            <w:r w:rsidRPr="00427622">
              <w:rPr>
                <w:rFonts w:ascii="Arial" w:hAnsi="Arial" w:cs="Arial"/>
                <w:sz w:val="22"/>
                <w:szCs w:val="22"/>
                <w:lang w:val="en-GB"/>
              </w:rPr>
              <w:t>.</w:t>
            </w:r>
          </w:p>
        </w:tc>
        <w:tc>
          <w:tcPr>
            <w:tcW w:w="1986" w:type="dxa"/>
            <w:gridSpan w:val="2"/>
            <w:noWrap/>
            <w:tcMar>
              <w:top w:w="40" w:type="dxa"/>
              <w:left w:w="40" w:type="dxa"/>
              <w:bottom w:w="40" w:type="dxa"/>
              <w:right w:w="40" w:type="dxa"/>
            </w:tcMar>
          </w:tcPr>
          <w:p w14:paraId="787D2CFE" w14:textId="77777777" w:rsidR="00381916" w:rsidRPr="0033405D" w:rsidRDefault="00381916" w:rsidP="002232C8">
            <w:pPr>
              <w:spacing w:before="120" w:after="120"/>
              <w:ind w:left="57"/>
              <w:rPr>
                <w:rFonts w:ascii="Arial" w:hAnsi="Arial" w:cs="Arial"/>
                <w:sz w:val="22"/>
                <w:szCs w:val="22"/>
                <w:lang w:val="en-GB"/>
              </w:rPr>
            </w:pPr>
            <w:r w:rsidRPr="0033405D">
              <w:rPr>
                <w:rFonts w:ascii="Arial" w:hAnsi="Arial" w:cs="Arial"/>
                <w:sz w:val="22"/>
                <w:szCs w:val="22"/>
                <w:lang w:val="en-GB"/>
              </w:rPr>
              <w:t>2017/2018</w:t>
            </w:r>
          </w:p>
        </w:tc>
        <w:tc>
          <w:tcPr>
            <w:tcW w:w="7655" w:type="dxa"/>
            <w:noWrap/>
            <w:tcMar>
              <w:top w:w="40" w:type="dxa"/>
              <w:left w:w="40" w:type="dxa"/>
              <w:bottom w:w="40" w:type="dxa"/>
              <w:right w:w="40" w:type="dxa"/>
            </w:tcMar>
          </w:tcPr>
          <w:p w14:paraId="75340C2C" w14:textId="77777777" w:rsidR="00381916" w:rsidRPr="0033405D" w:rsidRDefault="00381916" w:rsidP="002232C8">
            <w:pPr>
              <w:pStyle w:val="ListParagraph"/>
              <w:numPr>
                <w:ilvl w:val="0"/>
                <w:numId w:val="9"/>
              </w:numPr>
              <w:spacing w:before="120" w:beforeAutospacing="0" w:after="120" w:afterAutospacing="0"/>
              <w:ind w:left="470" w:hanging="357"/>
              <w:contextualSpacing/>
              <w:rPr>
                <w:rFonts w:ascii="Arial" w:hAnsi="Arial" w:cs="Arial"/>
                <w:sz w:val="22"/>
                <w:szCs w:val="22"/>
                <w:lang w:val="en-GB"/>
              </w:rPr>
            </w:pPr>
            <w:r w:rsidRPr="0033405D">
              <w:rPr>
                <w:rFonts w:ascii="Arial" w:hAnsi="Arial" w:cs="Arial"/>
                <w:sz w:val="22"/>
                <w:szCs w:val="22"/>
                <w:lang w:val="en-GB"/>
              </w:rPr>
              <w:t xml:space="preserve">Training materials to be developed and </w:t>
            </w:r>
            <w:r w:rsidRPr="0033405D">
              <w:rPr>
                <w:rFonts w:ascii="Arial" w:hAnsi="Arial" w:cs="Arial"/>
                <w:i/>
                <w:sz w:val="22"/>
                <w:szCs w:val="22"/>
                <w:lang w:val="en-GB"/>
              </w:rPr>
              <w:t>aide-mémoire</w:t>
            </w:r>
            <w:r w:rsidRPr="0033405D">
              <w:rPr>
                <w:rFonts w:ascii="Arial" w:hAnsi="Arial" w:cs="Arial"/>
                <w:sz w:val="22"/>
                <w:szCs w:val="22"/>
                <w:lang w:val="en-GB"/>
              </w:rPr>
              <w:t xml:space="preserve"> updated once the overall results framework for the Convention is available (see Recommendation 22).</w:t>
            </w:r>
          </w:p>
        </w:tc>
      </w:tr>
    </w:tbl>
    <w:p w14:paraId="01F8ACF0" w14:textId="067911B4" w:rsidR="00FA5645" w:rsidRPr="00BF0E21" w:rsidRDefault="00FA5645" w:rsidP="00FA5645">
      <w:pPr>
        <w:rPr>
          <w:rFonts w:eastAsia="Malgun Gothic"/>
          <w:lang w:val="en-US" w:eastAsia="ko-KR"/>
        </w:rPr>
      </w:pPr>
    </w:p>
    <w:p w14:paraId="1FED6428" w14:textId="77777777" w:rsidR="00FA5645" w:rsidRPr="00427622" w:rsidRDefault="00FA5645" w:rsidP="00FA5645">
      <w:pPr>
        <w:pStyle w:val="GAParaResolution"/>
        <w:ind w:left="0" w:firstLine="0"/>
        <w:rPr>
          <w:u w:val="none"/>
        </w:rPr>
        <w:sectPr w:rsidR="00FA5645" w:rsidRPr="00427622" w:rsidSect="00FA5645">
          <w:headerReference w:type="even" r:id="rId52"/>
          <w:headerReference w:type="default" r:id="rId53"/>
          <w:headerReference w:type="first" r:id="rId54"/>
          <w:pgSz w:w="16838" w:h="11906" w:orient="landscape" w:code="9"/>
          <w:pgMar w:top="1134" w:right="1134" w:bottom="1134" w:left="1418" w:header="397" w:footer="284" w:gutter="0"/>
          <w:cols w:space="708"/>
          <w:titlePg/>
          <w:docGrid w:linePitch="360"/>
        </w:sectPr>
      </w:pP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2"/>
      </w:tblGrid>
      <w:tr w:rsidR="00FA5645" w:rsidRPr="00284E2B" w14:paraId="307B29A8" w14:textId="77777777" w:rsidTr="00FA5645">
        <w:trPr>
          <w:cantSplit/>
          <w:trHeight w:val="1084"/>
        </w:trPr>
        <w:tc>
          <w:tcPr>
            <w:tcW w:w="14358" w:type="dxa"/>
            <w:gridSpan w:val="4"/>
            <w:tcBorders>
              <w:top w:val="nil"/>
              <w:left w:val="nil"/>
              <w:right w:val="nil"/>
            </w:tcBorders>
            <w:shd w:val="clear" w:color="auto" w:fill="auto"/>
            <w:noWrap/>
            <w:tcMar>
              <w:top w:w="40" w:type="dxa"/>
              <w:left w:w="40" w:type="dxa"/>
              <w:bottom w:w="40" w:type="dxa"/>
              <w:right w:w="40" w:type="dxa"/>
            </w:tcMar>
          </w:tcPr>
          <w:p w14:paraId="712803E8" w14:textId="77777777" w:rsidR="00FA5645" w:rsidRPr="00427622" w:rsidRDefault="00FA5645" w:rsidP="00FA5645">
            <w:pPr>
              <w:autoSpaceDE w:val="0"/>
              <w:autoSpaceDN w:val="0"/>
              <w:adjustRightInd w:val="0"/>
              <w:spacing w:before="120" w:after="120"/>
              <w:ind w:left="113" w:right="113"/>
              <w:jc w:val="both"/>
              <w:rPr>
                <w:rFonts w:ascii="Arial" w:hAnsi="Arial" w:cs="Arial"/>
                <w:b/>
                <w:sz w:val="22"/>
                <w:szCs w:val="22"/>
                <w:lang w:val="en-GB" w:bidi="en-US"/>
              </w:rPr>
            </w:pPr>
            <w:r w:rsidRPr="00427622">
              <w:rPr>
                <w:rFonts w:ascii="Arial" w:hAnsi="Arial" w:cs="Arial"/>
                <w:b/>
                <w:sz w:val="22"/>
                <w:szCs w:val="22"/>
                <w:lang w:val="en-GB" w:bidi="en-US"/>
              </w:rPr>
              <w:lastRenderedPageBreak/>
              <w:t>ANNEX II</w:t>
            </w:r>
          </w:p>
          <w:p w14:paraId="272AD005" w14:textId="08E2BEF4" w:rsidR="00FA5645" w:rsidRPr="00427622" w:rsidRDefault="00FA5645" w:rsidP="00FA5645">
            <w:pPr>
              <w:autoSpaceDE w:val="0"/>
              <w:autoSpaceDN w:val="0"/>
              <w:adjustRightInd w:val="0"/>
              <w:spacing w:before="120" w:after="120"/>
              <w:ind w:left="113" w:right="113"/>
              <w:jc w:val="both"/>
              <w:rPr>
                <w:rFonts w:ascii="Arial" w:hAnsi="Arial" w:cs="Arial"/>
                <w:b/>
                <w:sz w:val="22"/>
                <w:szCs w:val="22"/>
                <w:lang w:val="en-GB" w:eastAsia="en-US"/>
              </w:rPr>
            </w:pPr>
            <w:r w:rsidRPr="00427622">
              <w:rPr>
                <w:rFonts w:ascii="Arial" w:hAnsi="Arial" w:cs="Arial"/>
                <w:b/>
                <w:sz w:val="22"/>
                <w:szCs w:val="22"/>
                <w:lang w:val="en-GB" w:bidi="en-US"/>
              </w:rPr>
              <w:t>Progress report on the follow-up on the four recommendations of the audit report of the working methods of all six culture conventions</w:t>
            </w:r>
            <w:r w:rsidR="00D24B38">
              <w:rPr>
                <w:rFonts w:ascii="Arial" w:hAnsi="Arial" w:cs="Arial"/>
                <w:b/>
                <w:sz w:val="22"/>
                <w:szCs w:val="22"/>
                <w:lang w:val="en-GB" w:bidi="en-US"/>
              </w:rPr>
              <w:t>.</w:t>
            </w:r>
          </w:p>
        </w:tc>
      </w:tr>
      <w:tr w:rsidR="00FA5645" w:rsidRPr="00284E2B" w14:paraId="1886478F" w14:textId="77777777" w:rsidTr="00FA5645">
        <w:trPr>
          <w:cantSplit/>
          <w:trHeight w:val="3210"/>
        </w:trPr>
        <w:tc>
          <w:tcPr>
            <w:tcW w:w="14358" w:type="dxa"/>
            <w:gridSpan w:val="4"/>
            <w:shd w:val="clear" w:color="auto" w:fill="E6E6E6"/>
            <w:noWrap/>
            <w:tcMar>
              <w:top w:w="40" w:type="dxa"/>
              <w:left w:w="40" w:type="dxa"/>
              <w:bottom w:w="40" w:type="dxa"/>
              <w:right w:w="40" w:type="dxa"/>
            </w:tcMar>
          </w:tcPr>
          <w:p w14:paraId="7FF9E3B3" w14:textId="2091C3A6" w:rsidR="00FA5645" w:rsidRPr="00381916" w:rsidRDefault="00FA5645" w:rsidP="00FA5645">
            <w:pPr>
              <w:autoSpaceDE w:val="0"/>
              <w:autoSpaceDN w:val="0"/>
              <w:adjustRightInd w:val="0"/>
              <w:spacing w:before="120" w:after="120"/>
              <w:ind w:left="113" w:right="113"/>
              <w:jc w:val="both"/>
              <w:rPr>
                <w:rFonts w:ascii="Arial" w:eastAsia="Malgun Gothic" w:hAnsi="Arial" w:cs="Arial"/>
                <w:b/>
                <w:sz w:val="22"/>
                <w:szCs w:val="22"/>
                <w:lang w:val="en-GB" w:eastAsia="ko-KR"/>
              </w:rPr>
            </w:pPr>
            <w:r w:rsidRPr="0033405D">
              <w:rPr>
                <w:rFonts w:ascii="Arial" w:hAnsi="Arial" w:cs="Arial"/>
                <w:b/>
                <w:sz w:val="22"/>
                <w:szCs w:val="22"/>
                <w:lang w:val="en-GB" w:eastAsia="en-US"/>
              </w:rPr>
              <w:t xml:space="preserve">Recommendation 1: We recommend that the convention secretariats formulate proposals to the Governing Bodies of UNESCO </w:t>
            </w:r>
            <w:r w:rsidR="00381916">
              <w:rPr>
                <w:rFonts w:ascii="Arial" w:hAnsi="Arial" w:cs="Arial"/>
                <w:b/>
                <w:sz w:val="22"/>
                <w:szCs w:val="22"/>
                <w:lang w:val="en-GB" w:eastAsia="en-US"/>
              </w:rPr>
              <w:t>and/or of the Convention(s) to:</w:t>
            </w:r>
          </w:p>
          <w:p w14:paraId="30A149C8" w14:textId="56D24654" w:rsidR="00FA5645" w:rsidRPr="0033405D" w:rsidRDefault="00FA5645" w:rsidP="00BA3A07">
            <w:pPr>
              <w:numPr>
                <w:ilvl w:val="0"/>
                <w:numId w:val="12"/>
              </w:numPr>
              <w:tabs>
                <w:tab w:val="left" w:pos="495"/>
                <w:tab w:val="left" w:pos="2640"/>
              </w:tabs>
              <w:spacing w:before="120" w:after="120"/>
              <w:ind w:left="778" w:right="113"/>
              <w:contextualSpacing/>
              <w:jc w:val="both"/>
              <w:rPr>
                <w:rFonts w:ascii="Arial" w:hAnsi="Arial" w:cs="Arial"/>
                <w:sz w:val="22"/>
                <w:szCs w:val="22"/>
                <w:lang w:val="en-GB" w:eastAsia="en-US"/>
              </w:rPr>
            </w:pPr>
            <w:r w:rsidRPr="0033405D">
              <w:rPr>
                <w:rFonts w:ascii="Arial" w:hAnsi="Arial" w:cs="Arial"/>
                <w:sz w:val="22"/>
                <w:szCs w:val="22"/>
                <w:lang w:val="en-GB" w:eastAsia="en-US"/>
              </w:rPr>
              <w:t>Supplement the current funding structure with General Trust funds formed out of contributions from the Contracting (State) Parties on</w:t>
            </w:r>
            <w:r w:rsidR="00D025AE">
              <w:rPr>
                <w:rFonts w:ascii="Arial" w:hAnsi="Arial" w:cs="Arial"/>
                <w:sz w:val="22"/>
                <w:szCs w:val="22"/>
                <w:lang w:val="en-GB" w:eastAsia="en-US"/>
              </w:rPr>
              <w:t xml:space="preserve"> a</w:t>
            </w:r>
            <w:r w:rsidRPr="0033405D">
              <w:rPr>
                <w:rFonts w:ascii="Arial" w:hAnsi="Arial" w:cs="Arial"/>
                <w:sz w:val="22"/>
                <w:szCs w:val="22"/>
                <w:lang w:val="en-GB" w:eastAsia="en-US"/>
              </w:rPr>
              <w:t xml:space="preserve"> compulsory or voluntary basis to cover the ordinary expenditures of the secretariats, including staffing, administrative costs, </w:t>
            </w:r>
            <w:r w:rsidR="00D025AE">
              <w:rPr>
                <w:rFonts w:ascii="Arial" w:hAnsi="Arial" w:cs="Arial"/>
                <w:sz w:val="22"/>
                <w:szCs w:val="22"/>
                <w:lang w:val="en-GB" w:eastAsia="en-US"/>
              </w:rPr>
              <w:t xml:space="preserve">and the </w:t>
            </w:r>
            <w:r w:rsidRPr="0033405D">
              <w:rPr>
                <w:rFonts w:ascii="Arial" w:hAnsi="Arial" w:cs="Arial"/>
                <w:sz w:val="22"/>
                <w:szCs w:val="22"/>
                <w:lang w:val="en-GB" w:eastAsia="en-US"/>
              </w:rPr>
              <w:t>preparation and translation of documents</w:t>
            </w:r>
            <w:r w:rsidR="00D025AE">
              <w:rPr>
                <w:rFonts w:ascii="Arial" w:hAnsi="Arial" w:cs="Arial"/>
                <w:sz w:val="22"/>
                <w:szCs w:val="22"/>
                <w:lang w:val="en-GB" w:eastAsia="en-US"/>
              </w:rPr>
              <w:t>;</w:t>
            </w:r>
          </w:p>
          <w:p w14:paraId="36984BF5" w14:textId="5D1B9E0D" w:rsidR="00FA5645" w:rsidRPr="0033405D" w:rsidRDefault="00D025AE" w:rsidP="00BA3A07">
            <w:pPr>
              <w:numPr>
                <w:ilvl w:val="0"/>
                <w:numId w:val="12"/>
              </w:numPr>
              <w:tabs>
                <w:tab w:val="left" w:pos="495"/>
                <w:tab w:val="left" w:pos="2640"/>
              </w:tabs>
              <w:spacing w:before="120" w:after="120"/>
              <w:ind w:left="778" w:right="113"/>
              <w:contextualSpacing/>
              <w:jc w:val="both"/>
              <w:rPr>
                <w:rFonts w:ascii="Arial" w:hAnsi="Arial" w:cs="Arial"/>
                <w:sz w:val="22"/>
                <w:szCs w:val="22"/>
                <w:lang w:val="en-GB" w:eastAsia="en-US"/>
              </w:rPr>
            </w:pPr>
            <w:r>
              <w:rPr>
                <w:rFonts w:ascii="Arial" w:hAnsi="Arial" w:cs="Arial"/>
                <w:sz w:val="22"/>
                <w:szCs w:val="22"/>
                <w:lang w:val="en-GB" w:eastAsia="en-US"/>
              </w:rPr>
              <w:t>P</w:t>
            </w:r>
            <w:r w:rsidRPr="0033405D">
              <w:rPr>
                <w:rFonts w:ascii="Arial" w:hAnsi="Arial" w:cs="Arial"/>
                <w:sz w:val="22"/>
                <w:szCs w:val="22"/>
                <w:lang w:val="en-GB" w:eastAsia="en-US"/>
              </w:rPr>
              <w:t xml:space="preserve">rioritize </w:t>
            </w:r>
            <w:r w:rsidR="00FA5645" w:rsidRPr="0033405D">
              <w:rPr>
                <w:rFonts w:ascii="Arial" w:hAnsi="Arial" w:cs="Arial"/>
                <w:sz w:val="22"/>
                <w:szCs w:val="22"/>
                <w:lang w:val="en-GB" w:eastAsia="en-US"/>
              </w:rPr>
              <w:t>the current workload of the convention secretariats to align it with available resources</w:t>
            </w:r>
            <w:r>
              <w:rPr>
                <w:rFonts w:ascii="Arial" w:hAnsi="Arial" w:cs="Arial"/>
                <w:sz w:val="22"/>
                <w:szCs w:val="22"/>
                <w:lang w:val="en-GB" w:eastAsia="en-US"/>
              </w:rPr>
              <w:t>;</w:t>
            </w:r>
          </w:p>
          <w:p w14:paraId="0BA6C8BA" w14:textId="2EED627F" w:rsidR="00FA5645" w:rsidRPr="0033405D" w:rsidRDefault="00D025AE" w:rsidP="00BA3A07">
            <w:pPr>
              <w:numPr>
                <w:ilvl w:val="0"/>
                <w:numId w:val="12"/>
              </w:numPr>
              <w:tabs>
                <w:tab w:val="left" w:pos="495"/>
                <w:tab w:val="left" w:pos="2640"/>
              </w:tabs>
              <w:spacing w:before="120" w:after="120"/>
              <w:ind w:left="778" w:right="113"/>
              <w:contextualSpacing/>
              <w:jc w:val="both"/>
              <w:rPr>
                <w:rFonts w:ascii="Arial" w:hAnsi="Arial" w:cs="Arial"/>
                <w:sz w:val="22"/>
                <w:szCs w:val="22"/>
                <w:lang w:val="en-GB" w:eastAsia="en-US"/>
              </w:rPr>
            </w:pPr>
            <w:r>
              <w:rPr>
                <w:rFonts w:ascii="Arial" w:hAnsi="Arial" w:cs="Arial"/>
                <w:sz w:val="22"/>
                <w:szCs w:val="22"/>
                <w:lang w:val="en-GB" w:eastAsia="en-US"/>
              </w:rPr>
              <w:t>R</w:t>
            </w:r>
            <w:r w:rsidRPr="0033405D">
              <w:rPr>
                <w:rFonts w:ascii="Arial" w:hAnsi="Arial" w:cs="Arial"/>
                <w:sz w:val="22"/>
                <w:szCs w:val="22"/>
                <w:lang w:val="en-GB" w:eastAsia="en-US"/>
              </w:rPr>
              <w:t>educe</w:t>
            </w:r>
            <w:r w:rsidR="0006470B">
              <w:rPr>
                <w:rFonts w:ascii="Arial" w:hAnsi="Arial" w:cs="Arial"/>
                <w:sz w:val="22"/>
                <w:szCs w:val="22"/>
                <w:lang w:val="en-GB" w:eastAsia="en-US"/>
              </w:rPr>
              <w:t xml:space="preserve">, when feasible, </w:t>
            </w:r>
            <w:r w:rsidR="00FA5645" w:rsidRPr="0033405D">
              <w:rPr>
                <w:rFonts w:ascii="Arial" w:hAnsi="Arial" w:cs="Arial"/>
                <w:sz w:val="22"/>
                <w:szCs w:val="22"/>
                <w:lang w:val="en-GB" w:eastAsia="en-US"/>
              </w:rPr>
              <w:t>the frequency, duration and agenda of the meetings of States Parties and that of the Intergovernmental Committees and synchronize the meetings of the States Parties to the conventions, when efficiencies can be achieved</w:t>
            </w:r>
            <w:r>
              <w:rPr>
                <w:rFonts w:ascii="Arial" w:hAnsi="Arial" w:cs="Arial"/>
                <w:sz w:val="22"/>
                <w:szCs w:val="22"/>
                <w:lang w:val="en-GB" w:eastAsia="en-US"/>
              </w:rPr>
              <w:t>;</w:t>
            </w:r>
          </w:p>
          <w:p w14:paraId="186F4F6E" w14:textId="6403AFE0" w:rsidR="00FA5645" w:rsidRPr="0033405D" w:rsidRDefault="00D025AE" w:rsidP="00BA3A07">
            <w:pPr>
              <w:numPr>
                <w:ilvl w:val="0"/>
                <w:numId w:val="12"/>
              </w:numPr>
              <w:tabs>
                <w:tab w:val="left" w:pos="495"/>
                <w:tab w:val="left" w:pos="2640"/>
              </w:tabs>
              <w:spacing w:before="120" w:after="120"/>
              <w:ind w:left="778" w:right="113"/>
              <w:contextualSpacing/>
              <w:jc w:val="both"/>
              <w:rPr>
                <w:rFonts w:ascii="Arial" w:hAnsi="Arial" w:cs="Arial"/>
                <w:sz w:val="22"/>
                <w:szCs w:val="22"/>
                <w:lang w:val="en-GB" w:eastAsia="en-US"/>
              </w:rPr>
            </w:pPr>
            <w:r>
              <w:rPr>
                <w:rFonts w:ascii="Arial" w:hAnsi="Arial" w:cs="Arial"/>
                <w:sz w:val="22"/>
                <w:szCs w:val="22"/>
                <w:lang w:val="en-GB" w:eastAsia="en-US"/>
              </w:rPr>
              <w:t>H</w:t>
            </w:r>
            <w:r w:rsidRPr="0033405D">
              <w:rPr>
                <w:rFonts w:ascii="Arial" w:hAnsi="Arial" w:cs="Arial"/>
                <w:sz w:val="22"/>
                <w:szCs w:val="22"/>
                <w:lang w:val="en-GB" w:eastAsia="en-US"/>
              </w:rPr>
              <w:t xml:space="preserve">armonize </w:t>
            </w:r>
            <w:r w:rsidR="00FA5645" w:rsidRPr="0033405D">
              <w:rPr>
                <w:rFonts w:ascii="Arial" w:hAnsi="Arial" w:cs="Arial"/>
                <w:sz w:val="22"/>
                <w:szCs w:val="22"/>
                <w:lang w:val="en-GB" w:eastAsia="en-US"/>
              </w:rPr>
              <w:t>the translation and interpretation requirements across the convention meetings and seek extrabudgetary funding for additional languages</w:t>
            </w:r>
            <w:r>
              <w:rPr>
                <w:rFonts w:ascii="Arial" w:hAnsi="Arial" w:cs="Arial"/>
                <w:sz w:val="22"/>
                <w:szCs w:val="22"/>
                <w:lang w:val="en-GB" w:eastAsia="en-US"/>
              </w:rPr>
              <w:t xml:space="preserve">; </w:t>
            </w:r>
            <w:r w:rsidR="00FA5645" w:rsidRPr="0033405D">
              <w:rPr>
                <w:rFonts w:ascii="Arial" w:hAnsi="Arial" w:cs="Arial"/>
                <w:sz w:val="22"/>
                <w:szCs w:val="22"/>
                <w:lang w:val="en-GB" w:eastAsia="en-US"/>
              </w:rPr>
              <w:t>and</w:t>
            </w:r>
          </w:p>
          <w:p w14:paraId="0146E9DC" w14:textId="33A85F14" w:rsidR="00FA5645" w:rsidRPr="0033405D" w:rsidRDefault="00D025AE" w:rsidP="00BA3A07">
            <w:pPr>
              <w:numPr>
                <w:ilvl w:val="0"/>
                <w:numId w:val="12"/>
              </w:numPr>
              <w:tabs>
                <w:tab w:val="left" w:pos="495"/>
                <w:tab w:val="left" w:pos="2640"/>
              </w:tabs>
              <w:spacing w:before="120" w:after="120"/>
              <w:ind w:left="778" w:right="113"/>
              <w:contextualSpacing/>
              <w:jc w:val="both"/>
              <w:rPr>
                <w:rFonts w:ascii="Arial" w:hAnsi="Arial" w:cs="Arial"/>
                <w:sz w:val="22"/>
                <w:szCs w:val="22"/>
                <w:lang w:val="en-GB" w:eastAsia="en-US"/>
              </w:rPr>
            </w:pPr>
            <w:r>
              <w:rPr>
                <w:rFonts w:ascii="Arial" w:hAnsi="Arial" w:cs="Arial"/>
                <w:sz w:val="22"/>
                <w:szCs w:val="22"/>
                <w:lang w:val="en-GB" w:eastAsia="en-US"/>
              </w:rPr>
              <w:t>M</w:t>
            </w:r>
            <w:r w:rsidRPr="0033405D">
              <w:rPr>
                <w:rFonts w:ascii="Arial" w:hAnsi="Arial" w:cs="Arial"/>
                <w:sz w:val="22"/>
                <w:szCs w:val="22"/>
                <w:lang w:val="en-GB" w:eastAsia="en-US"/>
              </w:rPr>
              <w:t xml:space="preserve">odify </w:t>
            </w:r>
            <w:r w:rsidR="00FA5645" w:rsidRPr="0033405D">
              <w:rPr>
                <w:rFonts w:ascii="Arial" w:hAnsi="Arial" w:cs="Arial"/>
                <w:sz w:val="22"/>
                <w:szCs w:val="22"/>
                <w:lang w:val="en-GB" w:eastAsia="en-US"/>
              </w:rPr>
              <w:t>the financial rules and regulations</w:t>
            </w:r>
            <w:r>
              <w:rPr>
                <w:rFonts w:ascii="Arial" w:hAnsi="Arial" w:cs="Arial"/>
                <w:sz w:val="22"/>
                <w:szCs w:val="22"/>
                <w:lang w:val="en-GB" w:eastAsia="en-US"/>
              </w:rPr>
              <w:t>,</w:t>
            </w:r>
            <w:r w:rsidR="00FA5645" w:rsidRPr="0033405D">
              <w:rPr>
                <w:rFonts w:ascii="Arial" w:hAnsi="Arial" w:cs="Arial"/>
                <w:sz w:val="22"/>
                <w:szCs w:val="22"/>
                <w:lang w:val="en-GB" w:eastAsia="en-US"/>
              </w:rPr>
              <w:t xml:space="preserve"> if necessary</w:t>
            </w:r>
            <w:r>
              <w:rPr>
                <w:rFonts w:ascii="Arial" w:hAnsi="Arial" w:cs="Arial"/>
                <w:sz w:val="22"/>
                <w:szCs w:val="22"/>
                <w:lang w:val="en-GB" w:eastAsia="en-US"/>
              </w:rPr>
              <w:t>,</w:t>
            </w:r>
            <w:r w:rsidR="00FA5645" w:rsidRPr="0033405D">
              <w:rPr>
                <w:rFonts w:ascii="Arial" w:hAnsi="Arial" w:cs="Arial"/>
                <w:sz w:val="22"/>
                <w:szCs w:val="22"/>
                <w:lang w:val="en-GB" w:eastAsia="en-US"/>
              </w:rPr>
              <w:t xml:space="preserve"> to allow application of cost recovery policy.</w:t>
            </w:r>
          </w:p>
        </w:tc>
      </w:tr>
      <w:tr w:rsidR="00FA5645" w:rsidRPr="00427622" w14:paraId="112E8475" w14:textId="77777777" w:rsidTr="00FA5645">
        <w:trPr>
          <w:cantSplit/>
        </w:trPr>
        <w:tc>
          <w:tcPr>
            <w:tcW w:w="4719" w:type="dxa"/>
            <w:noWrap/>
            <w:tcMar>
              <w:top w:w="40" w:type="dxa"/>
              <w:left w:w="40" w:type="dxa"/>
              <w:bottom w:w="40" w:type="dxa"/>
              <w:right w:w="40" w:type="dxa"/>
            </w:tcMar>
          </w:tcPr>
          <w:p w14:paraId="7273F9FC"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Actions Planned</w:t>
            </w:r>
          </w:p>
        </w:tc>
        <w:tc>
          <w:tcPr>
            <w:tcW w:w="1985" w:type="dxa"/>
            <w:noWrap/>
            <w:tcMar>
              <w:top w:w="40" w:type="dxa"/>
              <w:left w:w="40" w:type="dxa"/>
              <w:bottom w:w="40" w:type="dxa"/>
              <w:right w:w="40" w:type="dxa"/>
            </w:tcMar>
          </w:tcPr>
          <w:p w14:paraId="664A375C"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Expected Date of Implementation</w:t>
            </w:r>
          </w:p>
        </w:tc>
        <w:tc>
          <w:tcPr>
            <w:tcW w:w="7654" w:type="dxa"/>
            <w:gridSpan w:val="2"/>
            <w:noWrap/>
            <w:tcMar>
              <w:top w:w="40" w:type="dxa"/>
              <w:left w:w="40" w:type="dxa"/>
              <w:bottom w:w="40" w:type="dxa"/>
              <w:right w:w="40" w:type="dxa"/>
            </w:tcMar>
          </w:tcPr>
          <w:p w14:paraId="483AC1ED"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Status</w:t>
            </w:r>
          </w:p>
        </w:tc>
      </w:tr>
      <w:tr w:rsidR="00FA5645" w:rsidRPr="00284E2B" w14:paraId="5187364F" w14:textId="77777777" w:rsidTr="00FA5645">
        <w:trPr>
          <w:cantSplit/>
        </w:trPr>
        <w:tc>
          <w:tcPr>
            <w:tcW w:w="4719" w:type="dxa"/>
            <w:noWrap/>
            <w:tcMar>
              <w:top w:w="40" w:type="dxa"/>
              <w:left w:w="40" w:type="dxa"/>
              <w:bottom w:w="40" w:type="dxa"/>
              <w:right w:w="40" w:type="dxa"/>
            </w:tcMar>
          </w:tcPr>
          <w:p w14:paraId="409C2A6F" w14:textId="426CDDAD" w:rsidR="00FA5645" w:rsidRPr="00381916" w:rsidRDefault="00FA5645" w:rsidP="00FA5645">
            <w:pPr>
              <w:spacing w:before="120" w:after="120"/>
              <w:ind w:left="113" w:right="57"/>
              <w:rPr>
                <w:rFonts w:ascii="Arial" w:eastAsia="Malgun Gothic" w:hAnsi="Arial" w:cs="Arial"/>
                <w:bCs/>
                <w:sz w:val="22"/>
                <w:szCs w:val="22"/>
                <w:lang w:val="en-GB" w:eastAsia="ko-KR"/>
              </w:rPr>
            </w:pPr>
            <w:r w:rsidRPr="0033405D">
              <w:rPr>
                <w:rFonts w:ascii="Arial" w:hAnsi="Arial" w:cs="Arial"/>
                <w:bCs/>
                <w:sz w:val="22"/>
                <w:szCs w:val="22"/>
                <w:lang w:val="en-GB"/>
              </w:rPr>
              <w:t>(a) Remind States regularly of the existenc</w:t>
            </w:r>
            <w:r w:rsidR="00381916">
              <w:rPr>
                <w:rFonts w:ascii="Arial" w:hAnsi="Arial" w:cs="Arial"/>
                <w:bCs/>
                <w:sz w:val="22"/>
                <w:szCs w:val="22"/>
                <w:lang w:val="en-GB"/>
              </w:rPr>
              <w:t>e of the Convention’s sub-fund.</w:t>
            </w:r>
          </w:p>
        </w:tc>
        <w:tc>
          <w:tcPr>
            <w:tcW w:w="1985" w:type="dxa"/>
            <w:noWrap/>
            <w:tcMar>
              <w:top w:w="40" w:type="dxa"/>
              <w:left w:w="40" w:type="dxa"/>
              <w:bottom w:w="40" w:type="dxa"/>
              <w:right w:w="40" w:type="dxa"/>
            </w:tcMar>
          </w:tcPr>
          <w:p w14:paraId="4214CB6D" w14:textId="77777777" w:rsidR="00FA5645" w:rsidRPr="0033405D" w:rsidRDefault="00FA5645" w:rsidP="00FA5645">
            <w:pPr>
              <w:spacing w:before="120" w:after="120"/>
              <w:ind w:left="57"/>
              <w:rPr>
                <w:rFonts w:ascii="Arial" w:hAnsi="Arial" w:cs="Arial"/>
                <w:sz w:val="22"/>
                <w:szCs w:val="22"/>
                <w:lang w:val="en-GB" w:eastAsia="en-US"/>
              </w:rPr>
            </w:pPr>
            <w:r w:rsidRPr="0033405D">
              <w:rPr>
                <w:rFonts w:ascii="Arial" w:hAnsi="Arial" w:cs="Arial"/>
                <w:sz w:val="22"/>
                <w:szCs w:val="22"/>
                <w:lang w:val="en-GB" w:eastAsia="en-US"/>
              </w:rPr>
              <w:t>Ongoing</w:t>
            </w:r>
          </w:p>
        </w:tc>
        <w:tc>
          <w:tcPr>
            <w:tcW w:w="7654" w:type="dxa"/>
            <w:gridSpan w:val="2"/>
            <w:noWrap/>
            <w:tcMar>
              <w:top w:w="40" w:type="dxa"/>
              <w:left w:w="40" w:type="dxa"/>
              <w:bottom w:w="40" w:type="dxa"/>
              <w:right w:w="40" w:type="dxa"/>
            </w:tcMar>
          </w:tcPr>
          <w:p w14:paraId="32CCEC0A" w14:textId="0588EC88" w:rsidR="00FA5645" w:rsidRPr="0033405D" w:rsidRDefault="00FA5645" w:rsidP="00BA3A07">
            <w:pPr>
              <w:pStyle w:val="ListParagraph"/>
              <w:numPr>
                <w:ilvl w:val="0"/>
                <w:numId w:val="9"/>
              </w:numPr>
              <w:spacing w:before="120" w:beforeAutospacing="0" w:after="120" w:afterAutospacing="0"/>
              <w:ind w:left="470" w:right="57" w:hanging="357"/>
              <w:rPr>
                <w:rFonts w:ascii="Arial" w:hAnsi="Arial" w:cs="Arial"/>
                <w:b/>
                <w:sz w:val="22"/>
                <w:szCs w:val="22"/>
                <w:u w:val="single"/>
                <w:lang w:val="en-GB" w:eastAsia="en-US"/>
              </w:rPr>
            </w:pPr>
            <w:r w:rsidRPr="0033405D">
              <w:rPr>
                <w:rFonts w:ascii="Arial" w:hAnsi="Arial" w:cs="Arial"/>
                <w:sz w:val="22"/>
                <w:szCs w:val="22"/>
                <w:lang w:val="en-GB"/>
              </w:rPr>
              <w:t>The Committee, at its ninth and tenth sessions, was reminded</w:t>
            </w:r>
            <w:r w:rsidR="00F349C2">
              <w:rPr>
                <w:rFonts w:ascii="Arial" w:hAnsi="Arial" w:cs="Arial"/>
                <w:sz w:val="22"/>
                <w:szCs w:val="22"/>
                <w:lang w:val="en-GB"/>
              </w:rPr>
              <w:t xml:space="preserve"> about the existence of the Convention’s sub-fund</w:t>
            </w:r>
            <w:r w:rsidRPr="0033405D">
              <w:rPr>
                <w:rFonts w:ascii="Arial" w:hAnsi="Arial" w:cs="Arial"/>
                <w:sz w:val="22"/>
                <w:szCs w:val="22"/>
                <w:lang w:val="en-GB"/>
              </w:rPr>
              <w:t xml:space="preserve"> and encouraged </w:t>
            </w:r>
            <w:r w:rsidRPr="0053397A">
              <w:rPr>
                <w:rFonts w:ascii="Arial" w:hAnsi="Arial" w:cs="Arial"/>
                <w:sz w:val="22"/>
                <w:szCs w:val="22"/>
                <w:lang w:val="en-US"/>
              </w:rPr>
              <w:t>States</w:t>
            </w:r>
            <w:r w:rsidRPr="0033405D">
              <w:rPr>
                <w:rFonts w:ascii="Arial" w:hAnsi="Arial" w:cs="Arial"/>
                <w:sz w:val="22"/>
                <w:szCs w:val="22"/>
                <w:lang w:val="en-GB"/>
              </w:rPr>
              <w:t xml:space="preserve"> </w:t>
            </w:r>
            <w:r w:rsidRPr="0039161D">
              <w:rPr>
                <w:rFonts w:ascii="Arial" w:hAnsi="Arial" w:cs="Arial"/>
                <w:sz w:val="22"/>
                <w:szCs w:val="22"/>
                <w:lang w:val="en-US"/>
              </w:rPr>
              <w:t>to</w:t>
            </w:r>
            <w:r w:rsidRPr="0033405D">
              <w:rPr>
                <w:rFonts w:ascii="Arial" w:hAnsi="Arial" w:cs="Arial"/>
                <w:sz w:val="22"/>
                <w:szCs w:val="22"/>
                <w:lang w:val="en-GB"/>
              </w:rPr>
              <w:t xml:space="preserve"> contribute as indicated in </w:t>
            </w:r>
            <w:hyperlink r:id="rId55" w:history="1">
              <w:r w:rsidRPr="0033405D">
                <w:rPr>
                  <w:rStyle w:val="Hyperlink"/>
                  <w:rFonts w:ascii="Arial" w:hAnsi="Arial" w:cs="Arial"/>
                  <w:sz w:val="22"/>
                  <w:szCs w:val="22"/>
                  <w:lang w:val="en-GB"/>
                </w:rPr>
                <w:t>Decision 9.COM 7</w:t>
              </w:r>
            </w:hyperlink>
            <w:r w:rsidRPr="0033405D">
              <w:rPr>
                <w:rFonts w:ascii="Arial" w:hAnsi="Arial" w:cs="Arial"/>
                <w:sz w:val="22"/>
                <w:szCs w:val="22"/>
                <w:lang w:val="en-GB"/>
              </w:rPr>
              <w:t xml:space="preserve"> and </w:t>
            </w:r>
            <w:hyperlink r:id="rId56" w:history="1">
              <w:r w:rsidRPr="0033405D">
                <w:rPr>
                  <w:rStyle w:val="Hyperlink"/>
                  <w:rFonts w:ascii="Arial" w:hAnsi="Arial" w:cs="Arial"/>
                  <w:sz w:val="22"/>
                  <w:szCs w:val="22"/>
                  <w:lang w:val="en-GB"/>
                </w:rPr>
                <w:t>Decision 10.COM 9</w:t>
              </w:r>
            </w:hyperlink>
            <w:r w:rsidRPr="0033405D">
              <w:rPr>
                <w:rFonts w:ascii="Arial" w:hAnsi="Arial" w:cs="Arial"/>
                <w:sz w:val="22"/>
                <w:szCs w:val="22"/>
                <w:lang w:val="en-GB"/>
              </w:rPr>
              <w:t>.</w:t>
            </w:r>
          </w:p>
          <w:p w14:paraId="7A88147F" w14:textId="5D544EEA" w:rsidR="00FA5645" w:rsidRPr="0033405D" w:rsidRDefault="00FA5645" w:rsidP="00BA3A07">
            <w:pPr>
              <w:pStyle w:val="ListParagraph"/>
              <w:numPr>
                <w:ilvl w:val="0"/>
                <w:numId w:val="9"/>
              </w:numPr>
              <w:spacing w:before="120" w:beforeAutospacing="0" w:after="120" w:afterAutospacing="0"/>
              <w:ind w:left="470" w:right="57" w:hanging="357"/>
              <w:contextualSpacing/>
              <w:rPr>
                <w:rFonts w:ascii="Arial" w:hAnsi="Arial" w:cs="Arial"/>
                <w:sz w:val="22"/>
                <w:szCs w:val="22"/>
                <w:lang w:val="en-GB"/>
              </w:rPr>
            </w:pPr>
            <w:r w:rsidRPr="0033405D">
              <w:rPr>
                <w:rFonts w:ascii="Arial" w:hAnsi="Arial" w:cs="Arial"/>
                <w:sz w:val="22"/>
                <w:szCs w:val="22"/>
                <w:lang w:val="en-GB"/>
              </w:rPr>
              <w:t>For the biennium 2014-2015</w:t>
            </w:r>
            <w:r w:rsidR="00D025AE">
              <w:rPr>
                <w:rFonts w:ascii="Arial" w:hAnsi="Arial" w:cs="Arial"/>
                <w:sz w:val="22"/>
                <w:szCs w:val="22"/>
                <w:lang w:val="en-GB"/>
              </w:rPr>
              <w:t>,</w:t>
            </w:r>
            <w:r w:rsidRPr="0033405D">
              <w:rPr>
                <w:rFonts w:ascii="Arial" w:hAnsi="Arial" w:cs="Arial"/>
                <w:sz w:val="22"/>
                <w:szCs w:val="22"/>
                <w:lang w:val="en-GB"/>
              </w:rPr>
              <w:t xml:space="preserve"> the Secretariat received voluntary contributions to the Convention’s sub-fund </w:t>
            </w:r>
            <w:r w:rsidR="00D025AE" w:rsidRPr="0033405D">
              <w:rPr>
                <w:rFonts w:ascii="Arial" w:hAnsi="Arial" w:cs="Arial"/>
                <w:sz w:val="22"/>
                <w:szCs w:val="22"/>
                <w:lang w:val="en-GB"/>
              </w:rPr>
              <w:t>totalling</w:t>
            </w:r>
            <w:r w:rsidRPr="0033405D">
              <w:rPr>
                <w:rFonts w:ascii="Arial" w:hAnsi="Arial" w:cs="Arial"/>
                <w:sz w:val="22"/>
                <w:szCs w:val="22"/>
                <w:lang w:val="en-GB"/>
              </w:rPr>
              <w:t xml:space="preserve"> US$417,345, i.e. less than one fourth of the target of US$2,200,000 per biennium.</w:t>
            </w:r>
          </w:p>
        </w:tc>
      </w:tr>
      <w:tr w:rsidR="00FA5645" w:rsidRPr="00284E2B" w14:paraId="0EFF866D" w14:textId="77777777" w:rsidTr="00FA5645">
        <w:trPr>
          <w:cantSplit/>
          <w:trHeight w:val="1823"/>
        </w:trPr>
        <w:tc>
          <w:tcPr>
            <w:tcW w:w="4719" w:type="dxa"/>
            <w:tcBorders>
              <w:bottom w:val="nil"/>
            </w:tcBorders>
            <w:noWrap/>
            <w:tcMar>
              <w:top w:w="40" w:type="dxa"/>
              <w:left w:w="40" w:type="dxa"/>
              <w:bottom w:w="40" w:type="dxa"/>
              <w:right w:w="40" w:type="dxa"/>
            </w:tcMar>
          </w:tcPr>
          <w:p w14:paraId="4B3B5D60" w14:textId="353F34A3" w:rsidR="00FA5645" w:rsidRPr="00381916" w:rsidRDefault="00FA5645" w:rsidP="00FA5645">
            <w:pPr>
              <w:spacing w:before="120" w:after="120"/>
              <w:ind w:left="113" w:right="57"/>
              <w:rPr>
                <w:rFonts w:ascii="Arial" w:eastAsia="Malgun Gothic" w:hAnsi="Arial" w:cs="Arial"/>
                <w:sz w:val="22"/>
                <w:szCs w:val="22"/>
                <w:lang w:val="en-GB" w:eastAsia="ko-KR"/>
              </w:rPr>
            </w:pPr>
            <w:r w:rsidRPr="0033405D">
              <w:rPr>
                <w:rFonts w:ascii="Arial" w:hAnsi="Arial" w:cs="Arial"/>
                <w:sz w:val="22"/>
                <w:szCs w:val="22"/>
                <w:lang w:val="en-GB" w:eastAsia="en-US"/>
              </w:rPr>
              <w:t xml:space="preserve">(b) Apply the decisions of the Committee to limit the number of files to be treated each year by the Secretariat so as to allocate sufficient resources to address other demands </w:t>
            </w:r>
            <w:r w:rsidR="009A0FDF">
              <w:rPr>
                <w:rFonts w:ascii="Arial" w:hAnsi="Arial" w:cs="Arial"/>
                <w:sz w:val="22"/>
                <w:szCs w:val="22"/>
                <w:lang w:val="en-GB" w:eastAsia="en-US"/>
              </w:rPr>
              <w:t>from States Parties concerning International A</w:t>
            </w:r>
            <w:r w:rsidRPr="0033405D">
              <w:rPr>
                <w:rFonts w:ascii="Arial" w:hAnsi="Arial" w:cs="Arial"/>
                <w:sz w:val="22"/>
                <w:szCs w:val="22"/>
                <w:lang w:val="en-GB" w:eastAsia="en-US"/>
              </w:rPr>
              <w:t>ssistance, capacity-bui</w:t>
            </w:r>
            <w:r w:rsidR="00381916">
              <w:rPr>
                <w:rFonts w:ascii="Arial" w:hAnsi="Arial" w:cs="Arial"/>
                <w:sz w:val="22"/>
                <w:szCs w:val="22"/>
                <w:lang w:val="en-GB" w:eastAsia="en-US"/>
              </w:rPr>
              <w:t>lding and cross-cutting issues.</w:t>
            </w:r>
          </w:p>
        </w:tc>
        <w:tc>
          <w:tcPr>
            <w:tcW w:w="1985" w:type="dxa"/>
            <w:tcBorders>
              <w:bottom w:val="nil"/>
            </w:tcBorders>
            <w:noWrap/>
            <w:tcMar>
              <w:top w:w="40" w:type="dxa"/>
              <w:left w:w="40" w:type="dxa"/>
              <w:bottom w:w="40" w:type="dxa"/>
              <w:right w:w="40" w:type="dxa"/>
            </w:tcMar>
          </w:tcPr>
          <w:p w14:paraId="3F79FC33" w14:textId="77777777" w:rsidR="00FA5645" w:rsidRPr="0033405D" w:rsidRDefault="00FA5645" w:rsidP="00FA5645">
            <w:pPr>
              <w:spacing w:before="120" w:after="120"/>
              <w:ind w:left="57"/>
              <w:rPr>
                <w:rFonts w:ascii="Arial" w:hAnsi="Arial" w:cs="Arial"/>
                <w:sz w:val="22"/>
                <w:szCs w:val="22"/>
                <w:lang w:val="en-GB" w:eastAsia="en-US"/>
              </w:rPr>
            </w:pPr>
            <w:r w:rsidRPr="0033405D">
              <w:rPr>
                <w:rFonts w:ascii="Arial" w:hAnsi="Arial" w:cs="Arial"/>
                <w:sz w:val="22"/>
                <w:szCs w:val="22"/>
                <w:lang w:val="en-GB" w:eastAsia="en-US"/>
              </w:rPr>
              <w:t>Ongoing</w:t>
            </w:r>
          </w:p>
        </w:tc>
        <w:tc>
          <w:tcPr>
            <w:tcW w:w="7654" w:type="dxa"/>
            <w:gridSpan w:val="2"/>
            <w:tcBorders>
              <w:bottom w:val="nil"/>
            </w:tcBorders>
            <w:noWrap/>
            <w:tcMar>
              <w:top w:w="40" w:type="dxa"/>
              <w:left w:w="40" w:type="dxa"/>
              <w:bottom w:w="40" w:type="dxa"/>
              <w:right w:w="40" w:type="dxa"/>
            </w:tcMar>
          </w:tcPr>
          <w:p w14:paraId="45CCFF94" w14:textId="77777777" w:rsidR="00FA5645" w:rsidRPr="00C11A34" w:rsidRDefault="00FA5645" w:rsidP="00BA3A07">
            <w:pPr>
              <w:pStyle w:val="ListParagraph"/>
              <w:numPr>
                <w:ilvl w:val="0"/>
                <w:numId w:val="9"/>
              </w:numPr>
              <w:spacing w:before="120" w:beforeAutospacing="0" w:after="120" w:afterAutospacing="0"/>
              <w:ind w:left="470" w:right="57" w:hanging="357"/>
              <w:rPr>
                <w:rFonts w:ascii="Arial" w:hAnsi="Arial" w:cs="Arial"/>
                <w:sz w:val="22"/>
                <w:szCs w:val="22"/>
                <w:lang w:val="en-GB" w:eastAsia="en-US"/>
              </w:rPr>
            </w:pPr>
            <w:r w:rsidRPr="0033405D">
              <w:rPr>
                <w:rFonts w:ascii="Arial" w:hAnsi="Arial" w:cs="Arial"/>
                <w:sz w:val="22"/>
                <w:szCs w:val="22"/>
                <w:lang w:val="en-GB"/>
              </w:rPr>
              <w:t>The Committee decided on 50 files per cycle for 2016 and 2017 (</w:t>
            </w:r>
            <w:hyperlink r:id="rId57" w:history="1">
              <w:r w:rsidRPr="0033405D">
                <w:rPr>
                  <w:rStyle w:val="Hyperlink"/>
                  <w:rFonts w:ascii="Arial" w:hAnsi="Arial" w:cs="Arial"/>
                  <w:sz w:val="22"/>
                  <w:szCs w:val="22"/>
                  <w:lang w:val="en-GB"/>
                </w:rPr>
                <w:t>Decision 9.COM 12</w:t>
              </w:r>
            </w:hyperlink>
            <w:r w:rsidRPr="0033405D">
              <w:rPr>
                <w:rFonts w:ascii="Arial" w:hAnsi="Arial" w:cs="Arial"/>
                <w:sz w:val="22"/>
                <w:szCs w:val="22"/>
                <w:lang w:val="en-GB"/>
              </w:rPr>
              <w:t xml:space="preserve">) </w:t>
            </w:r>
            <w:r w:rsidRPr="00C11A34">
              <w:rPr>
                <w:rFonts w:ascii="Arial" w:hAnsi="Arial" w:cs="Arial"/>
                <w:sz w:val="22"/>
                <w:szCs w:val="22"/>
                <w:lang w:val="en-US"/>
              </w:rPr>
              <w:t>and</w:t>
            </w:r>
            <w:r w:rsidRPr="0033405D">
              <w:rPr>
                <w:rFonts w:ascii="Arial" w:hAnsi="Arial" w:cs="Arial"/>
                <w:sz w:val="22"/>
                <w:szCs w:val="22"/>
                <w:lang w:val="en-GB"/>
              </w:rPr>
              <w:t xml:space="preserve"> for 2017 and 2018 (</w:t>
            </w:r>
            <w:hyperlink r:id="rId58" w:history="1">
              <w:r w:rsidRPr="0033405D">
                <w:rPr>
                  <w:rStyle w:val="Hyperlink"/>
                  <w:rFonts w:ascii="Arial" w:hAnsi="Arial" w:cs="Arial"/>
                  <w:sz w:val="22"/>
                  <w:szCs w:val="22"/>
                  <w:lang w:val="en-GB"/>
                </w:rPr>
                <w:t>Decision 10.COM 13</w:t>
              </w:r>
            </w:hyperlink>
            <w:r w:rsidRPr="0033405D">
              <w:rPr>
                <w:rFonts w:ascii="Arial" w:hAnsi="Arial" w:cs="Arial"/>
                <w:sz w:val="22"/>
                <w:szCs w:val="22"/>
                <w:lang w:val="en-GB"/>
              </w:rPr>
              <w:t>).</w:t>
            </w:r>
          </w:p>
          <w:p w14:paraId="64759C71" w14:textId="0B118006" w:rsidR="00FA5645" w:rsidRPr="0033405D" w:rsidRDefault="00FA5645" w:rsidP="00BA3A07">
            <w:pPr>
              <w:pStyle w:val="ListParagraph"/>
              <w:numPr>
                <w:ilvl w:val="0"/>
                <w:numId w:val="9"/>
              </w:numPr>
              <w:spacing w:before="120" w:beforeAutospacing="0" w:after="120" w:afterAutospacing="0"/>
              <w:ind w:left="470" w:right="57" w:hanging="357"/>
              <w:rPr>
                <w:rFonts w:ascii="Arial" w:hAnsi="Arial" w:cs="Arial"/>
                <w:sz w:val="22"/>
                <w:szCs w:val="22"/>
                <w:lang w:val="en-GB"/>
              </w:rPr>
            </w:pPr>
            <w:r w:rsidRPr="00C11A34">
              <w:rPr>
                <w:rFonts w:ascii="Arial" w:hAnsi="Arial" w:cs="Arial"/>
                <w:sz w:val="22"/>
                <w:szCs w:val="22"/>
                <w:lang w:val="en-US"/>
              </w:rPr>
              <w:t>No</w:t>
            </w:r>
            <w:r w:rsidRPr="0030468C">
              <w:rPr>
                <w:rFonts w:ascii="Arial" w:hAnsi="Arial" w:cs="Arial"/>
                <w:sz w:val="22"/>
                <w:szCs w:val="22"/>
                <w:lang w:val="en-US"/>
              </w:rPr>
              <w:t xml:space="preserve"> agenda item related to </w:t>
            </w:r>
            <w:r w:rsidR="00D025AE">
              <w:rPr>
                <w:rFonts w:ascii="Arial" w:hAnsi="Arial" w:cs="Arial"/>
                <w:sz w:val="22"/>
                <w:szCs w:val="22"/>
                <w:lang w:val="en-US"/>
              </w:rPr>
              <w:t xml:space="preserve">the </w:t>
            </w:r>
            <w:r w:rsidRPr="00C11A34">
              <w:rPr>
                <w:rFonts w:ascii="Arial" w:hAnsi="Arial" w:cs="Arial"/>
                <w:sz w:val="22"/>
                <w:szCs w:val="22"/>
                <w:lang w:val="en-US"/>
              </w:rPr>
              <w:t xml:space="preserve">accreditation of non-governmental organizations in the </w:t>
            </w:r>
            <w:r w:rsidRPr="0033405D">
              <w:rPr>
                <w:rFonts w:ascii="Arial" w:hAnsi="Arial" w:cs="Arial"/>
                <w:sz w:val="22"/>
                <w:szCs w:val="22"/>
                <w:lang w:val="en-US"/>
              </w:rPr>
              <w:t>ninth</w:t>
            </w:r>
            <w:r w:rsidRPr="00C11A34">
              <w:rPr>
                <w:rFonts w:ascii="Arial" w:hAnsi="Arial" w:cs="Arial"/>
                <w:sz w:val="22"/>
                <w:szCs w:val="22"/>
                <w:lang w:val="en-US"/>
              </w:rPr>
              <w:t xml:space="preserve"> session </w:t>
            </w:r>
            <w:r w:rsidRPr="0033405D">
              <w:rPr>
                <w:rFonts w:ascii="Arial" w:hAnsi="Arial" w:cs="Arial"/>
                <w:sz w:val="22"/>
                <w:szCs w:val="22"/>
                <w:lang w:val="en-US"/>
              </w:rPr>
              <w:t>of the Committee but this item was</w:t>
            </w:r>
            <w:r w:rsidRPr="0030468C">
              <w:rPr>
                <w:rFonts w:ascii="Arial" w:hAnsi="Arial" w:cs="Arial"/>
                <w:sz w:val="22"/>
                <w:szCs w:val="22"/>
                <w:lang w:val="en-US"/>
              </w:rPr>
              <w:t xml:space="preserve"> included </w:t>
            </w:r>
            <w:r w:rsidRPr="00C11A34">
              <w:rPr>
                <w:rFonts w:ascii="Arial" w:hAnsi="Arial" w:cs="Arial"/>
                <w:sz w:val="22"/>
                <w:szCs w:val="22"/>
                <w:lang w:val="en-US"/>
              </w:rPr>
              <w:t xml:space="preserve">in the </w:t>
            </w:r>
            <w:r w:rsidRPr="0033405D">
              <w:rPr>
                <w:rFonts w:ascii="Arial" w:hAnsi="Arial" w:cs="Arial"/>
                <w:sz w:val="22"/>
                <w:szCs w:val="22"/>
                <w:lang w:val="en-US"/>
              </w:rPr>
              <w:t xml:space="preserve">agenda of the tenth </w:t>
            </w:r>
            <w:r w:rsidRPr="00C11A34">
              <w:rPr>
                <w:rFonts w:ascii="Arial" w:hAnsi="Arial" w:cs="Arial"/>
                <w:sz w:val="22"/>
                <w:szCs w:val="22"/>
                <w:lang w:val="en-US"/>
              </w:rPr>
              <w:t>session</w:t>
            </w:r>
            <w:r w:rsidRPr="0033405D">
              <w:rPr>
                <w:rFonts w:ascii="Arial" w:hAnsi="Arial" w:cs="Arial"/>
                <w:sz w:val="22"/>
                <w:szCs w:val="22"/>
                <w:lang w:val="en-US"/>
              </w:rPr>
              <w:t>; the biannual calendar will be followed thereafter</w:t>
            </w:r>
            <w:r w:rsidRPr="0030468C">
              <w:rPr>
                <w:rFonts w:ascii="Arial" w:hAnsi="Arial" w:cs="Arial"/>
                <w:sz w:val="22"/>
                <w:szCs w:val="22"/>
                <w:lang w:val="en-US"/>
              </w:rPr>
              <w:t>.</w:t>
            </w:r>
          </w:p>
        </w:tc>
      </w:tr>
      <w:tr w:rsidR="00FA5645" w:rsidRPr="00284E2B" w14:paraId="2472350E" w14:textId="77777777" w:rsidTr="00FA5645">
        <w:trPr>
          <w:cantSplit/>
        </w:trPr>
        <w:tc>
          <w:tcPr>
            <w:tcW w:w="4719" w:type="dxa"/>
            <w:tcBorders>
              <w:top w:val="nil"/>
            </w:tcBorders>
            <w:noWrap/>
            <w:tcMar>
              <w:top w:w="40" w:type="dxa"/>
              <w:left w:w="40" w:type="dxa"/>
              <w:bottom w:w="40" w:type="dxa"/>
              <w:right w:w="40" w:type="dxa"/>
            </w:tcMar>
          </w:tcPr>
          <w:p w14:paraId="7BD4C23C" w14:textId="77777777" w:rsidR="00FA5645" w:rsidRPr="0033405D" w:rsidRDefault="00FA5645" w:rsidP="00FA5645">
            <w:pPr>
              <w:spacing w:before="120" w:after="120"/>
              <w:ind w:left="113" w:right="57"/>
              <w:rPr>
                <w:rFonts w:ascii="Arial" w:hAnsi="Arial" w:cs="Arial"/>
                <w:sz w:val="22"/>
                <w:szCs w:val="22"/>
                <w:lang w:val="en-GB" w:eastAsia="en-US"/>
              </w:rPr>
            </w:pPr>
            <w:r w:rsidRPr="0033405D">
              <w:rPr>
                <w:rFonts w:ascii="Arial" w:hAnsi="Arial" w:cs="Arial"/>
                <w:sz w:val="22"/>
                <w:szCs w:val="22"/>
                <w:lang w:val="en-GB" w:eastAsia="en-US"/>
              </w:rPr>
              <w:lastRenderedPageBreak/>
              <w:t>Develop mechanisms and tools to facilitate and streamline support provided by Secretariat to States Parties.</w:t>
            </w:r>
          </w:p>
        </w:tc>
        <w:tc>
          <w:tcPr>
            <w:tcW w:w="1985" w:type="dxa"/>
            <w:tcBorders>
              <w:top w:val="nil"/>
            </w:tcBorders>
            <w:noWrap/>
            <w:tcMar>
              <w:top w:w="40" w:type="dxa"/>
              <w:left w:w="40" w:type="dxa"/>
              <w:bottom w:w="40" w:type="dxa"/>
              <w:right w:w="40" w:type="dxa"/>
            </w:tcMar>
          </w:tcPr>
          <w:p w14:paraId="2C2C724E" w14:textId="77777777" w:rsidR="00FA5645" w:rsidRPr="0033405D" w:rsidRDefault="00FA5645" w:rsidP="00FA5645">
            <w:pPr>
              <w:spacing w:before="120" w:after="120"/>
              <w:ind w:left="57"/>
              <w:rPr>
                <w:rFonts w:ascii="Arial" w:hAnsi="Arial" w:cs="Arial"/>
                <w:sz w:val="22"/>
                <w:szCs w:val="22"/>
                <w:lang w:val="en-GB" w:eastAsia="en-US"/>
              </w:rPr>
            </w:pPr>
            <w:r w:rsidRPr="0033405D">
              <w:rPr>
                <w:rFonts w:ascii="Arial" w:hAnsi="Arial" w:cs="Arial"/>
                <w:sz w:val="22"/>
                <w:szCs w:val="22"/>
                <w:lang w:val="en-GB" w:eastAsia="en-US"/>
              </w:rPr>
              <w:t>Ongoing</w:t>
            </w:r>
          </w:p>
        </w:tc>
        <w:tc>
          <w:tcPr>
            <w:tcW w:w="7654" w:type="dxa"/>
            <w:gridSpan w:val="2"/>
            <w:tcBorders>
              <w:top w:val="nil"/>
            </w:tcBorders>
            <w:noWrap/>
            <w:tcMar>
              <w:top w:w="40" w:type="dxa"/>
              <w:left w:w="40" w:type="dxa"/>
              <w:bottom w:w="40" w:type="dxa"/>
              <w:right w:w="40" w:type="dxa"/>
            </w:tcMar>
          </w:tcPr>
          <w:p w14:paraId="4029F393" w14:textId="72079177" w:rsidR="00FA5645" w:rsidRPr="0033405D" w:rsidRDefault="00FA5645" w:rsidP="00BA3A07">
            <w:pPr>
              <w:pStyle w:val="ListParagraph"/>
              <w:numPr>
                <w:ilvl w:val="0"/>
                <w:numId w:val="9"/>
              </w:numPr>
              <w:spacing w:before="120" w:beforeAutospacing="0" w:after="120" w:afterAutospacing="0"/>
              <w:ind w:left="470" w:right="57" w:hanging="357"/>
              <w:contextualSpacing/>
              <w:rPr>
                <w:rFonts w:ascii="Arial" w:hAnsi="Arial" w:cs="Arial"/>
                <w:sz w:val="22"/>
                <w:szCs w:val="22"/>
                <w:lang w:val="en-GB"/>
              </w:rPr>
            </w:pPr>
            <w:r w:rsidRPr="0033405D">
              <w:rPr>
                <w:rFonts w:ascii="Arial" w:hAnsi="Arial" w:cs="Arial"/>
                <w:sz w:val="22"/>
                <w:szCs w:val="22"/>
                <w:lang w:val="en-GB"/>
              </w:rPr>
              <w:t xml:space="preserve">On an experimental basis, technical assistance to States Parties wishing to elaborate </w:t>
            </w:r>
            <w:r w:rsidR="009A0FDF">
              <w:rPr>
                <w:rFonts w:ascii="Arial" w:hAnsi="Arial" w:cs="Arial"/>
                <w:sz w:val="22"/>
                <w:szCs w:val="22"/>
                <w:lang w:val="en-GB"/>
              </w:rPr>
              <w:t>I</w:t>
            </w:r>
            <w:r w:rsidRPr="0033405D">
              <w:rPr>
                <w:rFonts w:ascii="Arial" w:hAnsi="Arial" w:cs="Arial"/>
                <w:sz w:val="22"/>
                <w:szCs w:val="22"/>
                <w:lang w:val="en-GB"/>
              </w:rPr>
              <w:t xml:space="preserve">nternational </w:t>
            </w:r>
            <w:r w:rsidR="009A0FDF">
              <w:rPr>
                <w:rFonts w:ascii="Arial" w:hAnsi="Arial" w:cs="Arial"/>
                <w:sz w:val="22"/>
                <w:szCs w:val="22"/>
                <w:lang w:val="en-GB"/>
              </w:rPr>
              <w:t>A</w:t>
            </w:r>
            <w:r w:rsidRPr="0033405D">
              <w:rPr>
                <w:rFonts w:ascii="Arial" w:hAnsi="Arial" w:cs="Arial"/>
                <w:sz w:val="22"/>
                <w:szCs w:val="22"/>
                <w:lang w:val="en-GB"/>
              </w:rPr>
              <w:t>ssistance requests was introduced (</w:t>
            </w:r>
            <w:hyperlink r:id="rId59" w:history="1">
              <w:r w:rsidRPr="0033405D">
                <w:rPr>
                  <w:rStyle w:val="Hyperlink"/>
                  <w:rFonts w:ascii="Arial" w:hAnsi="Arial" w:cs="Arial"/>
                  <w:sz w:val="22"/>
                  <w:szCs w:val="22"/>
                  <w:lang w:val="en-GB"/>
                </w:rPr>
                <w:t>Decision 8.COM 7.c</w:t>
              </w:r>
            </w:hyperlink>
            <w:r w:rsidRPr="0033405D">
              <w:rPr>
                <w:rFonts w:ascii="Arial" w:hAnsi="Arial" w:cs="Arial"/>
                <w:sz w:val="22"/>
                <w:szCs w:val="22"/>
                <w:lang w:val="en-GB"/>
              </w:rPr>
              <w:t>).</w:t>
            </w:r>
          </w:p>
        </w:tc>
      </w:tr>
      <w:tr w:rsidR="00FA5645" w:rsidRPr="00284E2B" w14:paraId="6140A57F" w14:textId="77777777" w:rsidTr="00FA5645">
        <w:trPr>
          <w:cantSplit/>
        </w:trPr>
        <w:tc>
          <w:tcPr>
            <w:tcW w:w="4719" w:type="dxa"/>
            <w:tcBorders>
              <w:bottom w:val="single" w:sz="4" w:space="0" w:color="auto"/>
            </w:tcBorders>
            <w:noWrap/>
            <w:tcMar>
              <w:top w:w="40" w:type="dxa"/>
              <w:left w:w="40" w:type="dxa"/>
              <w:bottom w:w="40" w:type="dxa"/>
              <w:right w:w="40" w:type="dxa"/>
            </w:tcMar>
          </w:tcPr>
          <w:p w14:paraId="4C6A2E15" w14:textId="148725C2" w:rsidR="00FA5645" w:rsidRPr="0033405D" w:rsidRDefault="00FA5645" w:rsidP="00FA5645">
            <w:pPr>
              <w:spacing w:before="120" w:after="120"/>
              <w:ind w:left="113" w:right="57"/>
              <w:rPr>
                <w:rFonts w:ascii="Arial" w:hAnsi="Arial" w:cs="Arial"/>
                <w:sz w:val="22"/>
                <w:szCs w:val="22"/>
                <w:lang w:val="en-GB" w:eastAsia="en-US"/>
              </w:rPr>
            </w:pPr>
            <w:r w:rsidRPr="0033405D">
              <w:rPr>
                <w:rFonts w:ascii="Arial" w:hAnsi="Arial" w:cs="Arial"/>
                <w:sz w:val="22"/>
                <w:szCs w:val="22"/>
                <w:lang w:val="en-GB" w:eastAsia="en-US"/>
              </w:rPr>
              <w:t>(c) Reduce</w:t>
            </w:r>
            <w:r w:rsidR="00D025AE">
              <w:rPr>
                <w:rFonts w:ascii="Arial" w:hAnsi="Arial" w:cs="Arial"/>
                <w:sz w:val="22"/>
                <w:szCs w:val="22"/>
                <w:lang w:val="en-GB" w:eastAsia="en-US"/>
              </w:rPr>
              <w:t xml:space="preserve"> the</w:t>
            </w:r>
            <w:r w:rsidRPr="0033405D">
              <w:rPr>
                <w:rFonts w:ascii="Arial" w:hAnsi="Arial" w:cs="Arial"/>
                <w:sz w:val="22"/>
                <w:szCs w:val="22"/>
                <w:lang w:val="en-GB" w:eastAsia="en-US"/>
              </w:rPr>
              <w:t xml:space="preserve"> timetable of the sessions of the Committee.</w:t>
            </w:r>
          </w:p>
        </w:tc>
        <w:tc>
          <w:tcPr>
            <w:tcW w:w="1985" w:type="dxa"/>
            <w:tcBorders>
              <w:bottom w:val="single" w:sz="4" w:space="0" w:color="auto"/>
            </w:tcBorders>
            <w:noWrap/>
            <w:tcMar>
              <w:top w:w="40" w:type="dxa"/>
              <w:left w:w="40" w:type="dxa"/>
              <w:bottom w:w="40" w:type="dxa"/>
              <w:right w:w="40" w:type="dxa"/>
            </w:tcMar>
          </w:tcPr>
          <w:p w14:paraId="2076A6DC" w14:textId="77777777" w:rsidR="00FA5645" w:rsidRPr="0033405D" w:rsidRDefault="00FA5645" w:rsidP="00FA5645">
            <w:pPr>
              <w:spacing w:before="120" w:after="120"/>
              <w:ind w:left="57"/>
              <w:rPr>
                <w:rFonts w:ascii="Arial" w:hAnsi="Arial" w:cs="Arial"/>
                <w:sz w:val="22"/>
                <w:szCs w:val="22"/>
                <w:lang w:val="en-GB" w:eastAsia="en-US"/>
              </w:rPr>
            </w:pPr>
            <w:r w:rsidRPr="0033405D">
              <w:rPr>
                <w:rFonts w:ascii="Arial" w:hAnsi="Arial" w:cs="Arial"/>
                <w:sz w:val="22"/>
                <w:szCs w:val="22"/>
                <w:lang w:val="en-GB" w:eastAsia="en-US"/>
              </w:rPr>
              <w:t>Ongoing</w:t>
            </w:r>
          </w:p>
        </w:tc>
        <w:tc>
          <w:tcPr>
            <w:tcW w:w="7654" w:type="dxa"/>
            <w:gridSpan w:val="2"/>
            <w:tcBorders>
              <w:bottom w:val="single" w:sz="4" w:space="0" w:color="auto"/>
            </w:tcBorders>
            <w:noWrap/>
            <w:tcMar>
              <w:top w:w="40" w:type="dxa"/>
              <w:left w:w="40" w:type="dxa"/>
              <w:bottom w:w="40" w:type="dxa"/>
              <w:right w:w="40" w:type="dxa"/>
            </w:tcMar>
          </w:tcPr>
          <w:p w14:paraId="02EC077D" w14:textId="53CD0051" w:rsidR="00FA5645" w:rsidRPr="0033405D" w:rsidRDefault="00FA5645" w:rsidP="00BA3A07">
            <w:pPr>
              <w:pStyle w:val="ListParagraph"/>
              <w:numPr>
                <w:ilvl w:val="0"/>
                <w:numId w:val="9"/>
              </w:numPr>
              <w:spacing w:before="120" w:beforeAutospacing="0" w:after="120" w:afterAutospacing="0"/>
              <w:ind w:left="470" w:right="57" w:hanging="357"/>
              <w:rPr>
                <w:rFonts w:ascii="Arial" w:hAnsi="Arial" w:cs="Arial"/>
                <w:sz w:val="22"/>
                <w:szCs w:val="22"/>
                <w:lang w:val="en-GB"/>
              </w:rPr>
            </w:pPr>
            <w:r w:rsidRPr="0053397A">
              <w:rPr>
                <w:rFonts w:ascii="Arial" w:hAnsi="Arial" w:cs="Arial"/>
                <w:sz w:val="22"/>
                <w:szCs w:val="22"/>
                <w:lang w:val="en-US"/>
              </w:rPr>
              <w:t>The</w:t>
            </w:r>
            <w:r w:rsidRPr="0033405D">
              <w:rPr>
                <w:rFonts w:ascii="Arial" w:hAnsi="Arial" w:cs="Arial"/>
                <w:sz w:val="22"/>
                <w:szCs w:val="22"/>
                <w:lang w:val="en-GB"/>
              </w:rPr>
              <w:t xml:space="preserve"> </w:t>
            </w:r>
            <w:r w:rsidRPr="00565779">
              <w:rPr>
                <w:rFonts w:ascii="Arial" w:hAnsi="Arial" w:cs="Arial"/>
                <w:sz w:val="22"/>
                <w:szCs w:val="22"/>
                <w:lang w:val="en-US"/>
              </w:rPr>
              <w:t>Committee</w:t>
            </w:r>
            <w:r w:rsidRPr="0033405D">
              <w:rPr>
                <w:rFonts w:ascii="Arial" w:hAnsi="Arial" w:cs="Arial"/>
                <w:sz w:val="22"/>
                <w:szCs w:val="22"/>
                <w:lang w:val="en-GB"/>
              </w:rPr>
              <w:t xml:space="preserve">, during its ninth session, by </w:t>
            </w:r>
            <w:hyperlink r:id="rId60" w:history="1">
              <w:r w:rsidRPr="0033405D">
                <w:rPr>
                  <w:rStyle w:val="Hyperlink"/>
                  <w:rFonts w:ascii="Arial" w:hAnsi="Arial" w:cs="Arial"/>
                  <w:sz w:val="22"/>
                  <w:szCs w:val="22"/>
                  <w:lang w:val="en-GB"/>
                </w:rPr>
                <w:t>Decision 9.COM 13.g</w:t>
              </w:r>
            </w:hyperlink>
            <w:r w:rsidRPr="0033405D">
              <w:rPr>
                <w:rFonts w:ascii="Arial" w:hAnsi="Arial" w:cs="Arial"/>
                <w:sz w:val="22"/>
                <w:szCs w:val="22"/>
                <w:lang w:val="en-GB"/>
              </w:rPr>
              <w:t xml:space="preserve"> encouraged the Secretariat to strengthen its efforts </w:t>
            </w:r>
            <w:r w:rsidR="00D025AE">
              <w:rPr>
                <w:rFonts w:ascii="Arial" w:hAnsi="Arial" w:cs="Arial"/>
                <w:sz w:val="22"/>
                <w:szCs w:val="22"/>
                <w:lang w:val="en-GB"/>
              </w:rPr>
              <w:t>to</w:t>
            </w:r>
            <w:r w:rsidR="00D025AE" w:rsidRPr="0033405D">
              <w:rPr>
                <w:rFonts w:ascii="Arial" w:hAnsi="Arial" w:cs="Arial"/>
                <w:sz w:val="22"/>
                <w:szCs w:val="22"/>
                <w:lang w:val="en-GB"/>
              </w:rPr>
              <w:t xml:space="preserve"> coordinat</w:t>
            </w:r>
            <w:r w:rsidR="00D025AE">
              <w:rPr>
                <w:rFonts w:ascii="Arial" w:hAnsi="Arial" w:cs="Arial"/>
                <w:sz w:val="22"/>
                <w:szCs w:val="22"/>
                <w:lang w:val="en-GB"/>
              </w:rPr>
              <w:t xml:space="preserve">e the </w:t>
            </w:r>
            <w:r w:rsidRPr="0033405D">
              <w:rPr>
                <w:rFonts w:ascii="Arial" w:hAnsi="Arial" w:cs="Arial"/>
                <w:sz w:val="22"/>
                <w:szCs w:val="22"/>
                <w:lang w:val="en-GB"/>
              </w:rPr>
              <w:t xml:space="preserve">meetings of the States Parties for the different conventions, taking particular </w:t>
            </w:r>
            <w:r w:rsidRPr="0053397A">
              <w:rPr>
                <w:rFonts w:ascii="Arial" w:hAnsi="Arial" w:cs="Arial"/>
                <w:sz w:val="22"/>
                <w:szCs w:val="22"/>
                <w:lang w:val="en-US"/>
              </w:rPr>
              <w:t>care to schedule them as far ahead as possible and with adequate time between</w:t>
            </w:r>
            <w:r w:rsidRPr="0033405D">
              <w:rPr>
                <w:rFonts w:ascii="Arial" w:hAnsi="Arial" w:cs="Arial"/>
                <w:sz w:val="22"/>
                <w:szCs w:val="22"/>
                <w:lang w:val="en-GB"/>
              </w:rPr>
              <w:t xml:space="preserve"> them</w:t>
            </w:r>
            <w:r>
              <w:rPr>
                <w:rFonts w:ascii="Arial" w:hAnsi="Arial" w:cs="Arial"/>
                <w:sz w:val="22"/>
                <w:szCs w:val="22"/>
                <w:lang w:val="en-GB"/>
              </w:rPr>
              <w:t xml:space="preserve">, </w:t>
            </w:r>
            <w:r w:rsidRPr="00565779">
              <w:rPr>
                <w:rFonts w:ascii="Arial" w:hAnsi="Arial" w:cs="Arial"/>
                <w:sz w:val="22"/>
                <w:szCs w:val="22"/>
                <w:lang w:val="en-GB"/>
              </w:rPr>
              <w:t>contrary to what is recommended by the External Auditor</w:t>
            </w:r>
            <w:r w:rsidRPr="0033405D">
              <w:rPr>
                <w:rFonts w:ascii="Arial" w:hAnsi="Arial" w:cs="Arial"/>
                <w:sz w:val="22"/>
                <w:szCs w:val="22"/>
                <w:lang w:val="en-GB"/>
              </w:rPr>
              <w:t>.</w:t>
            </w:r>
          </w:p>
          <w:p w14:paraId="33E7F76A" w14:textId="7A91FC70" w:rsidR="00FA5645" w:rsidRPr="0053397A" w:rsidRDefault="00FA5645" w:rsidP="00BA3A07">
            <w:pPr>
              <w:pStyle w:val="ListParagraph"/>
              <w:numPr>
                <w:ilvl w:val="0"/>
                <w:numId w:val="9"/>
              </w:numPr>
              <w:spacing w:before="120" w:beforeAutospacing="0" w:after="120" w:afterAutospacing="0"/>
              <w:ind w:left="470" w:right="57" w:hanging="357"/>
              <w:rPr>
                <w:rFonts w:ascii="Arial" w:hAnsi="Arial" w:cs="Arial"/>
                <w:sz w:val="22"/>
                <w:szCs w:val="22"/>
                <w:lang w:val="en-US"/>
              </w:rPr>
            </w:pPr>
            <w:r w:rsidRPr="0053397A">
              <w:rPr>
                <w:rFonts w:ascii="Arial" w:hAnsi="Arial" w:cs="Arial"/>
                <w:sz w:val="22"/>
                <w:szCs w:val="22"/>
                <w:lang w:val="en-US"/>
              </w:rPr>
              <w:t xml:space="preserve">The duration of the ninth and tenth sessions of the Committee was </w:t>
            </w:r>
            <w:r w:rsidR="00D025AE">
              <w:rPr>
                <w:rFonts w:ascii="Arial" w:hAnsi="Arial" w:cs="Arial"/>
                <w:sz w:val="22"/>
                <w:szCs w:val="22"/>
                <w:lang w:val="en-US"/>
              </w:rPr>
              <w:t>five</w:t>
            </w:r>
            <w:r w:rsidR="00D025AE" w:rsidRPr="0053397A">
              <w:rPr>
                <w:rFonts w:ascii="Arial" w:hAnsi="Arial" w:cs="Arial"/>
                <w:sz w:val="22"/>
                <w:szCs w:val="22"/>
                <w:lang w:val="en-US"/>
              </w:rPr>
              <w:t xml:space="preserve"> </w:t>
            </w:r>
            <w:r w:rsidRPr="0053397A">
              <w:rPr>
                <w:rFonts w:ascii="Arial" w:hAnsi="Arial" w:cs="Arial"/>
                <w:sz w:val="22"/>
                <w:szCs w:val="22"/>
                <w:lang w:val="en-US"/>
              </w:rPr>
              <w:t>days</w:t>
            </w:r>
            <w:r w:rsidRPr="0033405D">
              <w:rPr>
                <w:rFonts w:ascii="Arial" w:hAnsi="Arial" w:cs="Arial"/>
                <w:sz w:val="22"/>
                <w:szCs w:val="22"/>
                <w:lang w:val="en-US"/>
              </w:rPr>
              <w:t xml:space="preserve"> respectively</w:t>
            </w:r>
            <w:r w:rsidRPr="0053397A">
              <w:rPr>
                <w:rFonts w:ascii="Arial" w:hAnsi="Arial" w:cs="Arial"/>
                <w:sz w:val="22"/>
                <w:szCs w:val="22"/>
                <w:lang w:val="en-US"/>
              </w:rPr>
              <w:t xml:space="preserve"> (one day less than the </w:t>
            </w:r>
            <w:r w:rsidRPr="0033405D">
              <w:rPr>
                <w:rFonts w:ascii="Arial" w:hAnsi="Arial" w:cs="Arial"/>
                <w:sz w:val="22"/>
                <w:szCs w:val="22"/>
                <w:lang w:val="en-US"/>
              </w:rPr>
              <w:t>eighth</w:t>
            </w:r>
            <w:r w:rsidRPr="0053397A">
              <w:rPr>
                <w:rFonts w:ascii="Arial" w:hAnsi="Arial" w:cs="Arial"/>
                <w:sz w:val="22"/>
                <w:szCs w:val="22"/>
                <w:lang w:val="en-US"/>
              </w:rPr>
              <w:t xml:space="preserve"> session).</w:t>
            </w:r>
          </w:p>
          <w:p w14:paraId="650B6F68" w14:textId="4D8E4CCC" w:rsidR="00FA5645" w:rsidRPr="0053397A" w:rsidRDefault="00FA5645" w:rsidP="00BA3A07">
            <w:pPr>
              <w:pStyle w:val="ListParagraph"/>
              <w:numPr>
                <w:ilvl w:val="0"/>
                <w:numId w:val="9"/>
              </w:numPr>
              <w:spacing w:before="120" w:beforeAutospacing="0" w:after="120" w:afterAutospacing="0"/>
              <w:ind w:left="470" w:right="57" w:hanging="357"/>
              <w:rPr>
                <w:rFonts w:ascii="Arial" w:hAnsi="Arial" w:cs="Arial"/>
                <w:sz w:val="22"/>
                <w:szCs w:val="22"/>
                <w:lang w:val="en-US"/>
              </w:rPr>
            </w:pPr>
            <w:r w:rsidRPr="0053397A">
              <w:rPr>
                <w:rFonts w:ascii="Arial" w:hAnsi="Arial" w:cs="Arial"/>
                <w:sz w:val="22"/>
                <w:szCs w:val="22"/>
                <w:lang w:val="en-US"/>
              </w:rPr>
              <w:t xml:space="preserve">The sixth session of the General Assembly </w:t>
            </w:r>
            <w:r w:rsidRPr="0033405D">
              <w:rPr>
                <w:rFonts w:ascii="Arial" w:hAnsi="Arial" w:cs="Arial"/>
                <w:sz w:val="22"/>
                <w:szCs w:val="22"/>
                <w:lang w:val="en-US"/>
              </w:rPr>
              <w:t>lasted</w:t>
            </w:r>
            <w:r w:rsidRPr="0053397A">
              <w:rPr>
                <w:rFonts w:ascii="Arial" w:hAnsi="Arial" w:cs="Arial"/>
                <w:sz w:val="22"/>
                <w:szCs w:val="22"/>
                <w:lang w:val="en-US"/>
              </w:rPr>
              <w:t xml:space="preserve"> </w:t>
            </w:r>
            <w:r w:rsidR="00D025AE">
              <w:rPr>
                <w:rFonts w:ascii="Arial" w:hAnsi="Arial" w:cs="Arial"/>
                <w:sz w:val="22"/>
                <w:szCs w:val="22"/>
                <w:lang w:val="en-US"/>
              </w:rPr>
              <w:t>three</w:t>
            </w:r>
            <w:r w:rsidR="00D025AE" w:rsidRPr="0053397A">
              <w:rPr>
                <w:rFonts w:ascii="Arial" w:hAnsi="Arial" w:cs="Arial"/>
                <w:sz w:val="22"/>
                <w:szCs w:val="22"/>
                <w:lang w:val="en-US"/>
              </w:rPr>
              <w:t xml:space="preserve"> </w:t>
            </w:r>
            <w:r w:rsidRPr="0053397A">
              <w:rPr>
                <w:rFonts w:ascii="Arial" w:hAnsi="Arial" w:cs="Arial"/>
                <w:sz w:val="22"/>
                <w:szCs w:val="22"/>
                <w:lang w:val="en-US"/>
              </w:rPr>
              <w:t xml:space="preserve">days (one day less than the </w:t>
            </w:r>
            <w:r w:rsidRPr="0033405D">
              <w:rPr>
                <w:rFonts w:ascii="Arial" w:hAnsi="Arial" w:cs="Arial"/>
                <w:sz w:val="22"/>
                <w:szCs w:val="22"/>
                <w:lang w:val="en-US"/>
              </w:rPr>
              <w:t>fifth</w:t>
            </w:r>
            <w:r w:rsidRPr="0053397A">
              <w:rPr>
                <w:rFonts w:ascii="Arial" w:hAnsi="Arial" w:cs="Arial"/>
                <w:sz w:val="22"/>
                <w:szCs w:val="22"/>
                <w:lang w:val="en-US"/>
              </w:rPr>
              <w:t xml:space="preserve"> session</w:t>
            </w:r>
            <w:r w:rsidRPr="0033405D">
              <w:rPr>
                <w:rFonts w:ascii="Arial" w:hAnsi="Arial" w:cs="Arial"/>
                <w:sz w:val="22"/>
                <w:szCs w:val="22"/>
                <w:lang w:val="en-US"/>
              </w:rPr>
              <w:t xml:space="preserve"> and two days less than the fourth session</w:t>
            </w:r>
            <w:r w:rsidRPr="0053397A">
              <w:rPr>
                <w:rFonts w:ascii="Arial" w:hAnsi="Arial" w:cs="Arial"/>
                <w:sz w:val="22"/>
                <w:szCs w:val="22"/>
                <w:lang w:val="en-US"/>
              </w:rPr>
              <w:t>).</w:t>
            </w:r>
          </w:p>
          <w:p w14:paraId="02BDC7B8" w14:textId="1EC06157" w:rsidR="00FA5645" w:rsidRPr="00633FD7" w:rsidRDefault="00FA5645" w:rsidP="00BA3A07">
            <w:pPr>
              <w:pStyle w:val="ListParagraph"/>
              <w:numPr>
                <w:ilvl w:val="0"/>
                <w:numId w:val="9"/>
              </w:numPr>
              <w:spacing w:before="120" w:beforeAutospacing="0" w:after="120" w:afterAutospacing="0"/>
              <w:ind w:left="470" w:right="57" w:hanging="357"/>
              <w:rPr>
                <w:b/>
                <w:bCs/>
                <w:sz w:val="22"/>
                <w:szCs w:val="22"/>
                <w:lang w:val="en-US"/>
              </w:rPr>
            </w:pPr>
            <w:r>
              <w:rPr>
                <w:rFonts w:ascii="Arial" w:hAnsi="Arial" w:cs="Arial"/>
                <w:sz w:val="22"/>
                <w:szCs w:val="22"/>
                <w:lang w:val="en-US"/>
              </w:rPr>
              <w:t>The General Assembly</w:t>
            </w:r>
            <w:r w:rsidR="00D025AE">
              <w:rPr>
                <w:rFonts w:ascii="Arial" w:hAnsi="Arial" w:cs="Arial"/>
                <w:sz w:val="22"/>
                <w:szCs w:val="22"/>
                <w:lang w:val="en-US"/>
              </w:rPr>
              <w:t>,</w:t>
            </w:r>
            <w:r>
              <w:rPr>
                <w:rFonts w:ascii="Arial" w:hAnsi="Arial" w:cs="Arial"/>
                <w:sz w:val="22"/>
                <w:szCs w:val="22"/>
                <w:lang w:val="en-US"/>
              </w:rPr>
              <w:t xml:space="preserve"> during its </w:t>
            </w:r>
            <w:r w:rsidR="00C739C5">
              <w:rPr>
                <w:rFonts w:ascii="Arial" w:hAnsi="Arial" w:cs="Arial"/>
                <w:sz w:val="22"/>
                <w:szCs w:val="22"/>
                <w:lang w:val="en-US"/>
              </w:rPr>
              <w:t xml:space="preserve">sixth </w:t>
            </w:r>
            <w:r>
              <w:rPr>
                <w:rFonts w:ascii="Arial" w:hAnsi="Arial" w:cs="Arial"/>
                <w:sz w:val="22"/>
                <w:szCs w:val="22"/>
                <w:lang w:val="en-US"/>
              </w:rPr>
              <w:t>session</w:t>
            </w:r>
            <w:r w:rsidR="00D025AE">
              <w:rPr>
                <w:rFonts w:ascii="Arial" w:hAnsi="Arial" w:cs="Arial"/>
                <w:sz w:val="22"/>
                <w:szCs w:val="22"/>
                <w:lang w:val="en-US"/>
              </w:rPr>
              <w:t>,</w:t>
            </w:r>
            <w:r>
              <w:rPr>
                <w:rFonts w:ascii="Arial" w:hAnsi="Arial" w:cs="Arial"/>
                <w:sz w:val="22"/>
                <w:szCs w:val="22"/>
                <w:lang w:val="en-US"/>
              </w:rPr>
              <w:t xml:space="preserve"> adopted revisions to the Operational Directives concerning the schedule of accreditation of non-governmental organizations</w:t>
            </w:r>
            <w:r w:rsidRPr="006723C8">
              <w:rPr>
                <w:rFonts w:ascii="Arial" w:hAnsi="Arial" w:cs="Arial"/>
                <w:sz w:val="22"/>
                <w:szCs w:val="22"/>
                <w:lang w:val="en-US"/>
              </w:rPr>
              <w:t>.</w:t>
            </w:r>
            <w:r w:rsidRPr="00FF2342">
              <w:rPr>
                <w:rFonts w:ascii="Arial" w:hAnsi="Arial" w:cs="Arial"/>
                <w:sz w:val="22"/>
                <w:szCs w:val="22"/>
                <w:lang w:val="en-US"/>
              </w:rPr>
              <w:t xml:space="preserve"> </w:t>
            </w:r>
            <w:r>
              <w:rPr>
                <w:rFonts w:ascii="Arial" w:hAnsi="Arial" w:cs="Arial"/>
                <w:sz w:val="22"/>
                <w:szCs w:val="22"/>
                <w:lang w:val="en-US"/>
              </w:rPr>
              <w:t>As a result of these revisions, r</w:t>
            </w:r>
            <w:r w:rsidRPr="00606004">
              <w:rPr>
                <w:rFonts w:ascii="Arial" w:hAnsi="Arial" w:cs="Arial"/>
                <w:sz w:val="22"/>
                <w:szCs w:val="22"/>
                <w:lang w:val="en-US"/>
              </w:rPr>
              <w:t xml:space="preserve">equests shall be received by the Secretariat </w:t>
            </w:r>
            <w:r>
              <w:rPr>
                <w:rFonts w:ascii="Arial" w:hAnsi="Arial" w:cs="Arial"/>
                <w:sz w:val="22"/>
                <w:szCs w:val="22"/>
                <w:lang w:val="en-US"/>
              </w:rPr>
              <w:t xml:space="preserve">and examined by the Committee only in </w:t>
            </w:r>
            <w:r w:rsidRPr="00606004">
              <w:rPr>
                <w:rFonts w:ascii="Arial" w:hAnsi="Arial" w:cs="Arial"/>
                <w:sz w:val="22"/>
                <w:szCs w:val="22"/>
                <w:lang w:val="en-US"/>
              </w:rPr>
              <w:t>odd-numbered years</w:t>
            </w:r>
            <w:r>
              <w:rPr>
                <w:rFonts w:ascii="Arial" w:hAnsi="Arial" w:cs="Arial"/>
                <w:sz w:val="22"/>
                <w:szCs w:val="22"/>
                <w:lang w:val="en-US"/>
              </w:rPr>
              <w:t xml:space="preserve"> instead of every year </w:t>
            </w:r>
            <w:r w:rsidRPr="00132FB1">
              <w:rPr>
                <w:rFonts w:ascii="Arial" w:hAnsi="Arial" w:cs="Arial"/>
                <w:sz w:val="22"/>
                <w:szCs w:val="22"/>
                <w:lang w:val="en-US"/>
              </w:rPr>
              <w:t>(</w:t>
            </w:r>
            <w:hyperlink r:id="rId61" w:history="1">
              <w:r w:rsidRPr="00FF2342">
                <w:rPr>
                  <w:rStyle w:val="Hyperlink"/>
                  <w:rFonts w:ascii="Arial" w:hAnsi="Arial" w:cs="Arial"/>
                  <w:sz w:val="22"/>
                  <w:szCs w:val="22"/>
                  <w:lang w:val="en-US"/>
                </w:rPr>
                <w:t>Resolution 6</w:t>
              </w:r>
              <w:r>
                <w:rPr>
                  <w:rStyle w:val="Hyperlink"/>
                  <w:rFonts w:ascii="Arial" w:hAnsi="Arial" w:cs="Arial"/>
                  <w:sz w:val="22"/>
                  <w:szCs w:val="22"/>
                  <w:lang w:val="en-US"/>
                </w:rPr>
                <w:t>.</w:t>
              </w:r>
              <w:r w:rsidRPr="00FF2342">
                <w:rPr>
                  <w:rStyle w:val="Hyperlink"/>
                  <w:rFonts w:ascii="Arial" w:hAnsi="Arial" w:cs="Arial"/>
                  <w:sz w:val="22"/>
                  <w:szCs w:val="22"/>
                  <w:lang w:val="en-US"/>
                </w:rPr>
                <w:t>GA</w:t>
              </w:r>
              <w:r>
                <w:rPr>
                  <w:rStyle w:val="Hyperlink"/>
                  <w:rFonts w:ascii="Arial" w:hAnsi="Arial" w:cs="Arial"/>
                  <w:sz w:val="22"/>
                  <w:szCs w:val="22"/>
                  <w:lang w:val="en-US"/>
                </w:rPr>
                <w:t> </w:t>
              </w:r>
              <w:r w:rsidRPr="00FF2342">
                <w:rPr>
                  <w:rStyle w:val="Hyperlink"/>
                  <w:rFonts w:ascii="Arial" w:hAnsi="Arial" w:cs="Arial"/>
                  <w:sz w:val="22"/>
                  <w:szCs w:val="22"/>
                  <w:lang w:val="en-US"/>
                </w:rPr>
                <w:t>7</w:t>
              </w:r>
            </w:hyperlink>
            <w:r w:rsidRPr="00132FB1">
              <w:rPr>
                <w:rFonts w:ascii="Arial" w:hAnsi="Arial" w:cs="Arial"/>
                <w:sz w:val="22"/>
                <w:szCs w:val="22"/>
                <w:lang w:val="en-US"/>
              </w:rPr>
              <w:t>).</w:t>
            </w:r>
          </w:p>
          <w:p w14:paraId="45A396A4" w14:textId="10DDEF32" w:rsidR="00FA5645" w:rsidRPr="00633FD7" w:rsidRDefault="00FA5645" w:rsidP="00BA3A07">
            <w:pPr>
              <w:pStyle w:val="ListParagraph"/>
              <w:numPr>
                <w:ilvl w:val="0"/>
                <w:numId w:val="9"/>
              </w:numPr>
              <w:spacing w:before="120" w:beforeAutospacing="0" w:after="120" w:afterAutospacing="0"/>
              <w:ind w:left="470" w:right="57" w:hanging="357"/>
              <w:rPr>
                <w:b/>
                <w:bCs/>
                <w:sz w:val="22"/>
                <w:szCs w:val="22"/>
                <w:lang w:val="en-US"/>
              </w:rPr>
            </w:pPr>
            <w:r>
              <w:rPr>
                <w:rFonts w:ascii="Arial" w:hAnsi="Arial" w:cs="Arial"/>
                <w:sz w:val="22"/>
                <w:szCs w:val="22"/>
                <w:lang w:val="en-US"/>
              </w:rPr>
              <w:t>Furthermore, to allow more time for other agenda items</w:t>
            </w:r>
            <w:r w:rsidR="00D025AE">
              <w:rPr>
                <w:rFonts w:ascii="Arial" w:hAnsi="Arial" w:cs="Arial"/>
                <w:sz w:val="22"/>
                <w:szCs w:val="22"/>
                <w:lang w:val="en-US"/>
              </w:rPr>
              <w:t>,</w:t>
            </w:r>
            <w:r>
              <w:rPr>
                <w:rFonts w:ascii="Arial" w:hAnsi="Arial" w:cs="Arial"/>
                <w:sz w:val="22"/>
                <w:szCs w:val="22"/>
                <w:lang w:val="en-US"/>
              </w:rPr>
              <w:t xml:space="preserve"> the Committee delegates to its Bureau a number </w:t>
            </w:r>
            <w:r w:rsidR="009A0FDF">
              <w:rPr>
                <w:rFonts w:ascii="Arial" w:hAnsi="Arial" w:cs="Arial"/>
                <w:sz w:val="22"/>
                <w:szCs w:val="22"/>
                <w:lang w:val="en-US"/>
              </w:rPr>
              <w:t>of decisions such as approving International A</w:t>
            </w:r>
            <w:r>
              <w:rPr>
                <w:rFonts w:ascii="Arial" w:hAnsi="Arial" w:cs="Arial"/>
                <w:sz w:val="22"/>
                <w:szCs w:val="22"/>
                <w:lang w:val="en-US"/>
              </w:rPr>
              <w:t xml:space="preserve">ssistance requests up to US$100,000 and the use of </w:t>
            </w:r>
            <w:r w:rsidRPr="004C5AD3">
              <w:rPr>
                <w:rFonts w:ascii="Arial" w:hAnsi="Arial" w:cs="Arial"/>
                <w:sz w:val="22"/>
                <w:szCs w:val="22"/>
                <w:lang w:val="en-US"/>
              </w:rPr>
              <w:t xml:space="preserve">20% of the resources </w:t>
            </w:r>
            <w:r>
              <w:rPr>
                <w:rFonts w:ascii="Arial" w:hAnsi="Arial" w:cs="Arial"/>
                <w:sz w:val="22"/>
                <w:szCs w:val="22"/>
                <w:lang w:val="en-US"/>
              </w:rPr>
              <w:t xml:space="preserve">of the Intangible Culture Heritage Fund </w:t>
            </w:r>
            <w:r w:rsidRPr="004C5AD3">
              <w:rPr>
                <w:rFonts w:ascii="Arial" w:hAnsi="Arial" w:cs="Arial"/>
                <w:sz w:val="22"/>
                <w:szCs w:val="22"/>
                <w:lang w:val="en-US"/>
              </w:rPr>
              <w:t>allocated to ‘ot</w:t>
            </w:r>
            <w:r>
              <w:rPr>
                <w:rFonts w:ascii="Arial" w:hAnsi="Arial" w:cs="Arial"/>
                <w:sz w:val="22"/>
                <w:szCs w:val="22"/>
                <w:lang w:val="en-US"/>
              </w:rPr>
              <w:t>her functions of the Committee’.</w:t>
            </w:r>
          </w:p>
          <w:p w14:paraId="2FD6DF48" w14:textId="3E47980C" w:rsidR="00FA5645" w:rsidRPr="0033405D" w:rsidRDefault="00FA5645">
            <w:pPr>
              <w:pStyle w:val="ListParagraph"/>
              <w:keepNext/>
              <w:numPr>
                <w:ilvl w:val="0"/>
                <w:numId w:val="9"/>
              </w:numPr>
              <w:spacing w:before="120" w:beforeAutospacing="0" w:after="120" w:afterAutospacing="0"/>
              <w:ind w:left="470" w:right="57" w:hanging="357"/>
              <w:contextualSpacing/>
              <w:outlineLvl w:val="1"/>
              <w:rPr>
                <w:rFonts w:ascii="Arial" w:hAnsi="Arial" w:cs="Arial"/>
                <w:sz w:val="22"/>
                <w:szCs w:val="22"/>
                <w:lang w:val="en-GB"/>
              </w:rPr>
            </w:pPr>
            <w:r>
              <w:rPr>
                <w:rFonts w:ascii="Arial" w:hAnsi="Arial" w:cs="Arial"/>
                <w:sz w:val="22"/>
                <w:szCs w:val="22"/>
                <w:lang w:val="en-US"/>
              </w:rPr>
              <w:t>During its tenth session, the Committee adopted a new working method by which decisions concerning nominations, proposals and requests are adopted as a whole without debate based on the recommendation of the Evaluation Body, rather than paragraph by paragraph</w:t>
            </w:r>
            <w:r w:rsidR="00D025AE">
              <w:rPr>
                <w:rFonts w:ascii="Arial" w:hAnsi="Arial" w:cs="Arial"/>
                <w:sz w:val="22"/>
                <w:szCs w:val="22"/>
                <w:lang w:val="en-US"/>
              </w:rPr>
              <w:t>. This does not apply</w:t>
            </w:r>
            <w:r>
              <w:rPr>
                <w:rFonts w:ascii="Arial" w:hAnsi="Arial" w:cs="Arial"/>
                <w:sz w:val="22"/>
                <w:szCs w:val="22"/>
                <w:lang w:val="en-US"/>
              </w:rPr>
              <w:t xml:space="preserve"> for those decisions for which a member of the Committee specifically requests to open the floor.</w:t>
            </w:r>
          </w:p>
        </w:tc>
      </w:tr>
      <w:tr w:rsidR="00FA5645" w:rsidRPr="00284E2B" w14:paraId="792E98F2" w14:textId="77777777" w:rsidTr="00FA5645">
        <w:trPr>
          <w:cantSplit/>
        </w:trPr>
        <w:tc>
          <w:tcPr>
            <w:tcW w:w="4719" w:type="dxa"/>
            <w:tcBorders>
              <w:bottom w:val="single" w:sz="4" w:space="0" w:color="auto"/>
            </w:tcBorders>
            <w:noWrap/>
            <w:tcMar>
              <w:top w:w="40" w:type="dxa"/>
              <w:left w:w="40" w:type="dxa"/>
              <w:bottom w:w="40" w:type="dxa"/>
              <w:right w:w="40" w:type="dxa"/>
            </w:tcMar>
          </w:tcPr>
          <w:p w14:paraId="0819D8E6" w14:textId="01BCD8EB" w:rsidR="00FA5645" w:rsidRPr="0033405D" w:rsidRDefault="00FA5645" w:rsidP="00FA5645">
            <w:pPr>
              <w:spacing w:before="120" w:after="120"/>
              <w:ind w:left="113" w:right="57"/>
              <w:rPr>
                <w:rFonts w:ascii="Arial" w:hAnsi="Arial" w:cs="Arial"/>
                <w:sz w:val="22"/>
                <w:szCs w:val="22"/>
                <w:lang w:val="en-GB" w:eastAsia="en-US"/>
              </w:rPr>
            </w:pPr>
            <w:r w:rsidRPr="0033405D">
              <w:rPr>
                <w:rFonts w:ascii="Arial" w:hAnsi="Arial" w:cs="Arial"/>
                <w:sz w:val="22"/>
                <w:szCs w:val="22"/>
                <w:lang w:val="en-GB" w:eastAsia="en-US"/>
              </w:rPr>
              <w:lastRenderedPageBreak/>
              <w:t xml:space="preserve">(d) Remind States that additional languages </w:t>
            </w:r>
            <w:r w:rsidR="00D025AE">
              <w:rPr>
                <w:rFonts w:ascii="Arial" w:hAnsi="Arial" w:cs="Arial"/>
                <w:sz w:val="22"/>
                <w:szCs w:val="22"/>
                <w:lang w:val="en-GB" w:eastAsia="en-US"/>
              </w:rPr>
              <w:t xml:space="preserve">will </w:t>
            </w:r>
            <w:r w:rsidRPr="0033405D">
              <w:rPr>
                <w:rFonts w:ascii="Arial" w:hAnsi="Arial" w:cs="Arial"/>
                <w:sz w:val="22"/>
                <w:szCs w:val="22"/>
                <w:lang w:val="en-GB" w:eastAsia="en-US"/>
              </w:rPr>
              <w:t xml:space="preserve">only </w:t>
            </w:r>
            <w:r w:rsidR="00D025AE">
              <w:rPr>
                <w:rFonts w:ascii="Arial" w:hAnsi="Arial" w:cs="Arial"/>
                <w:sz w:val="22"/>
                <w:szCs w:val="22"/>
                <w:lang w:val="en-GB" w:eastAsia="en-US"/>
              </w:rPr>
              <w:t xml:space="preserve">be </w:t>
            </w:r>
            <w:r w:rsidRPr="0033405D">
              <w:rPr>
                <w:rFonts w:ascii="Arial" w:hAnsi="Arial" w:cs="Arial"/>
                <w:sz w:val="22"/>
                <w:szCs w:val="22"/>
                <w:lang w:val="en-GB" w:eastAsia="en-US"/>
              </w:rPr>
              <w:t xml:space="preserve">offered if extrabudgetary funding </w:t>
            </w:r>
            <w:r w:rsidR="00D025AE">
              <w:rPr>
                <w:rFonts w:ascii="Arial" w:hAnsi="Arial" w:cs="Arial"/>
                <w:sz w:val="22"/>
                <w:szCs w:val="22"/>
                <w:lang w:val="en-GB" w:eastAsia="en-US"/>
              </w:rPr>
              <w:t xml:space="preserve">is </w:t>
            </w:r>
            <w:r w:rsidRPr="0033405D">
              <w:rPr>
                <w:rFonts w:ascii="Arial" w:hAnsi="Arial" w:cs="Arial"/>
                <w:sz w:val="22"/>
                <w:szCs w:val="22"/>
                <w:lang w:val="en-GB" w:eastAsia="en-US"/>
              </w:rPr>
              <w:t>secured.</w:t>
            </w:r>
          </w:p>
        </w:tc>
        <w:tc>
          <w:tcPr>
            <w:tcW w:w="1985" w:type="dxa"/>
            <w:tcBorders>
              <w:bottom w:val="single" w:sz="4" w:space="0" w:color="auto"/>
            </w:tcBorders>
            <w:noWrap/>
            <w:tcMar>
              <w:top w:w="40" w:type="dxa"/>
              <w:left w:w="40" w:type="dxa"/>
              <w:bottom w:w="40" w:type="dxa"/>
              <w:right w:w="40" w:type="dxa"/>
            </w:tcMar>
          </w:tcPr>
          <w:p w14:paraId="62A2A846" w14:textId="77777777" w:rsidR="00FA5645" w:rsidRPr="0033405D" w:rsidRDefault="00FA5645" w:rsidP="00FA5645">
            <w:pPr>
              <w:spacing w:before="120" w:after="120"/>
              <w:ind w:left="57"/>
              <w:rPr>
                <w:rFonts w:ascii="Arial" w:hAnsi="Arial" w:cs="Arial"/>
                <w:sz w:val="22"/>
                <w:szCs w:val="22"/>
                <w:lang w:val="en-GB" w:eastAsia="en-US"/>
              </w:rPr>
            </w:pPr>
            <w:r w:rsidRPr="0033405D">
              <w:rPr>
                <w:rFonts w:ascii="Arial" w:hAnsi="Arial" w:cs="Arial"/>
                <w:sz w:val="22"/>
                <w:szCs w:val="22"/>
                <w:lang w:val="en-GB" w:eastAsia="en-US"/>
              </w:rPr>
              <w:t>Ongoing</w:t>
            </w:r>
          </w:p>
        </w:tc>
        <w:tc>
          <w:tcPr>
            <w:tcW w:w="7654" w:type="dxa"/>
            <w:gridSpan w:val="2"/>
            <w:tcBorders>
              <w:bottom w:val="single" w:sz="4" w:space="0" w:color="auto"/>
            </w:tcBorders>
            <w:noWrap/>
            <w:tcMar>
              <w:top w:w="40" w:type="dxa"/>
              <w:left w:w="40" w:type="dxa"/>
              <w:bottom w:w="40" w:type="dxa"/>
              <w:right w:w="40" w:type="dxa"/>
            </w:tcMar>
          </w:tcPr>
          <w:p w14:paraId="151E7287" w14:textId="5BA0CD30" w:rsidR="00FA5645" w:rsidRPr="0033405D" w:rsidRDefault="00FA5645" w:rsidP="00BA3A07">
            <w:pPr>
              <w:pStyle w:val="ListParagraph"/>
              <w:numPr>
                <w:ilvl w:val="0"/>
                <w:numId w:val="9"/>
              </w:numPr>
              <w:spacing w:before="120" w:beforeAutospacing="0" w:after="120" w:afterAutospacing="0"/>
              <w:ind w:left="470" w:right="57" w:hanging="357"/>
              <w:rPr>
                <w:rFonts w:ascii="Arial" w:hAnsi="Arial" w:cs="Arial"/>
                <w:b/>
                <w:sz w:val="22"/>
                <w:szCs w:val="22"/>
                <w:u w:val="single"/>
                <w:lang w:val="en-GB" w:eastAsia="en-US"/>
              </w:rPr>
            </w:pPr>
            <w:r w:rsidRPr="0033405D">
              <w:rPr>
                <w:rFonts w:ascii="Arial" w:hAnsi="Arial" w:cs="Arial"/>
                <w:sz w:val="22"/>
                <w:szCs w:val="22"/>
                <w:lang w:val="en-GB"/>
              </w:rPr>
              <w:t>Arabic</w:t>
            </w:r>
            <w:r w:rsidR="00D025AE">
              <w:rPr>
                <w:rFonts w:ascii="Arial" w:hAnsi="Arial" w:cs="Arial"/>
                <w:sz w:val="22"/>
                <w:szCs w:val="22"/>
                <w:lang w:val="en-GB"/>
              </w:rPr>
              <w:t>-</w:t>
            </w:r>
            <w:r w:rsidRPr="0033405D">
              <w:rPr>
                <w:rFonts w:ascii="Arial" w:hAnsi="Arial" w:cs="Arial"/>
                <w:sz w:val="22"/>
                <w:szCs w:val="22"/>
                <w:lang w:val="en-GB"/>
              </w:rPr>
              <w:t xml:space="preserve"> and </w:t>
            </w:r>
            <w:r w:rsidR="00D025AE" w:rsidRPr="0033405D">
              <w:rPr>
                <w:rFonts w:ascii="Arial" w:hAnsi="Arial" w:cs="Arial"/>
                <w:sz w:val="22"/>
                <w:szCs w:val="22"/>
                <w:lang w:val="en-GB"/>
              </w:rPr>
              <w:t>Spanish</w:t>
            </w:r>
            <w:r w:rsidR="00D025AE">
              <w:rPr>
                <w:rFonts w:ascii="Arial" w:hAnsi="Arial" w:cs="Arial"/>
                <w:sz w:val="22"/>
                <w:szCs w:val="22"/>
                <w:lang w:val="en-GB"/>
              </w:rPr>
              <w:t>-</w:t>
            </w:r>
            <w:r w:rsidRPr="0033405D">
              <w:rPr>
                <w:rFonts w:ascii="Arial" w:hAnsi="Arial" w:cs="Arial"/>
                <w:sz w:val="22"/>
                <w:szCs w:val="22"/>
                <w:lang w:val="en-GB"/>
              </w:rPr>
              <w:t>speaking States were reminded</w:t>
            </w:r>
            <w:r w:rsidR="00D025AE">
              <w:rPr>
                <w:rFonts w:ascii="Arial" w:hAnsi="Arial" w:cs="Arial"/>
                <w:sz w:val="22"/>
                <w:szCs w:val="22"/>
                <w:lang w:val="en-GB"/>
              </w:rPr>
              <w:t>,</w:t>
            </w:r>
            <w:r w:rsidRPr="0033405D">
              <w:rPr>
                <w:rFonts w:ascii="Arial" w:hAnsi="Arial" w:cs="Arial"/>
                <w:sz w:val="22"/>
                <w:szCs w:val="22"/>
                <w:lang w:val="en-GB"/>
              </w:rPr>
              <w:t xml:space="preserve"> before the ninth and tenth sessions of the Committee</w:t>
            </w:r>
            <w:r w:rsidR="00D025AE">
              <w:rPr>
                <w:rFonts w:ascii="Arial" w:hAnsi="Arial" w:cs="Arial"/>
                <w:sz w:val="22"/>
                <w:szCs w:val="22"/>
                <w:lang w:val="en-GB"/>
              </w:rPr>
              <w:t>,</w:t>
            </w:r>
            <w:r w:rsidRPr="0033405D">
              <w:rPr>
                <w:rFonts w:ascii="Arial" w:hAnsi="Arial" w:cs="Arial"/>
                <w:sz w:val="22"/>
                <w:szCs w:val="22"/>
                <w:lang w:val="en-GB"/>
              </w:rPr>
              <w:t xml:space="preserve"> that interpretation in additional languages would be offered if extrabudgetary funding could be secured.</w:t>
            </w:r>
          </w:p>
          <w:p w14:paraId="4C1C6A80" w14:textId="77777777" w:rsidR="00FA5645" w:rsidRPr="0033405D" w:rsidRDefault="00FA5645" w:rsidP="00BA3A07">
            <w:pPr>
              <w:pStyle w:val="ListParagraph"/>
              <w:numPr>
                <w:ilvl w:val="0"/>
                <w:numId w:val="9"/>
              </w:numPr>
              <w:spacing w:before="120" w:beforeAutospacing="0" w:after="120" w:afterAutospacing="0"/>
              <w:ind w:left="470" w:right="57" w:hanging="357"/>
              <w:contextualSpacing/>
              <w:rPr>
                <w:rFonts w:ascii="Arial" w:hAnsi="Arial" w:cs="Arial"/>
                <w:b/>
                <w:sz w:val="22"/>
                <w:szCs w:val="22"/>
                <w:u w:val="single"/>
                <w:lang w:val="en-GB" w:eastAsia="en-US"/>
              </w:rPr>
            </w:pPr>
            <w:r w:rsidRPr="0033405D">
              <w:rPr>
                <w:rFonts w:ascii="Arial" w:hAnsi="Arial" w:cs="Arial"/>
                <w:sz w:val="22"/>
                <w:szCs w:val="22"/>
                <w:lang w:val="en-GB"/>
              </w:rPr>
              <w:t>Saudi Arabia generously financed Arabic interpretation for the ninth session of the Committee.</w:t>
            </w:r>
          </w:p>
        </w:tc>
      </w:tr>
      <w:tr w:rsidR="00FA5645" w:rsidRPr="00284E2B" w14:paraId="025D3283" w14:textId="77777777" w:rsidTr="00FA5645">
        <w:trPr>
          <w:cantSplit/>
        </w:trPr>
        <w:tc>
          <w:tcPr>
            <w:tcW w:w="4719" w:type="dxa"/>
            <w:shd w:val="clear" w:color="auto" w:fill="FFFFFF" w:themeFill="background1"/>
            <w:noWrap/>
            <w:tcMar>
              <w:top w:w="40" w:type="dxa"/>
              <w:left w:w="40" w:type="dxa"/>
              <w:bottom w:w="40" w:type="dxa"/>
              <w:right w:w="40" w:type="dxa"/>
            </w:tcMar>
          </w:tcPr>
          <w:p w14:paraId="0BAE8410" w14:textId="1D79B887" w:rsidR="00FA5645" w:rsidRPr="0033405D" w:rsidRDefault="00FA5645" w:rsidP="00FA5645">
            <w:pPr>
              <w:spacing w:before="120" w:after="120"/>
              <w:ind w:left="113" w:right="57"/>
              <w:rPr>
                <w:rFonts w:ascii="Arial" w:hAnsi="Arial" w:cs="Arial"/>
                <w:sz w:val="22"/>
                <w:szCs w:val="22"/>
                <w:lang w:val="en-GB" w:eastAsia="en-US"/>
              </w:rPr>
            </w:pPr>
            <w:r w:rsidRPr="0033405D">
              <w:rPr>
                <w:rFonts w:ascii="Arial" w:hAnsi="Arial" w:cs="Arial"/>
                <w:sz w:val="22"/>
                <w:szCs w:val="22"/>
                <w:lang w:val="en-GB" w:eastAsia="en-US"/>
              </w:rPr>
              <w:t xml:space="preserve">(e) </w:t>
            </w:r>
            <w:r w:rsidRPr="0033405D">
              <w:rPr>
                <w:rFonts w:ascii="Arial" w:hAnsi="Arial" w:cs="Arial"/>
                <w:bCs/>
                <w:sz w:val="22"/>
                <w:szCs w:val="22"/>
                <w:lang w:val="en-GB"/>
              </w:rPr>
              <w:t xml:space="preserve">The existing financial rules and regulations of the Organization and of the Intangible Cultural Heritage Fund allow </w:t>
            </w:r>
            <w:r w:rsidR="00D025AE">
              <w:rPr>
                <w:rFonts w:ascii="Arial" w:hAnsi="Arial" w:cs="Arial"/>
                <w:bCs/>
                <w:sz w:val="22"/>
                <w:szCs w:val="22"/>
                <w:lang w:val="en-GB"/>
              </w:rPr>
              <w:t xml:space="preserve">for </w:t>
            </w:r>
            <w:r w:rsidRPr="0033405D">
              <w:rPr>
                <w:rFonts w:ascii="Arial" w:hAnsi="Arial" w:cs="Arial"/>
                <w:bCs/>
                <w:sz w:val="22"/>
                <w:szCs w:val="22"/>
                <w:lang w:val="en-GB"/>
              </w:rPr>
              <w:t>the application of the cost recovery policy.</w:t>
            </w:r>
          </w:p>
        </w:tc>
        <w:tc>
          <w:tcPr>
            <w:tcW w:w="1985" w:type="dxa"/>
            <w:shd w:val="clear" w:color="auto" w:fill="FFFFFF" w:themeFill="background1"/>
            <w:noWrap/>
            <w:tcMar>
              <w:top w:w="40" w:type="dxa"/>
              <w:left w:w="40" w:type="dxa"/>
              <w:bottom w:w="40" w:type="dxa"/>
              <w:right w:w="40" w:type="dxa"/>
            </w:tcMar>
          </w:tcPr>
          <w:p w14:paraId="410D0EF0" w14:textId="77777777" w:rsidR="00FA5645" w:rsidRPr="0033405D" w:rsidRDefault="00FA5645" w:rsidP="00FA5645">
            <w:pPr>
              <w:spacing w:before="120" w:after="120"/>
              <w:rPr>
                <w:rFonts w:ascii="Arial" w:hAnsi="Arial" w:cs="Arial"/>
                <w:sz w:val="22"/>
                <w:szCs w:val="22"/>
                <w:lang w:val="en-GB" w:eastAsia="en-US"/>
              </w:rPr>
            </w:pPr>
          </w:p>
        </w:tc>
        <w:tc>
          <w:tcPr>
            <w:tcW w:w="7654" w:type="dxa"/>
            <w:gridSpan w:val="2"/>
            <w:shd w:val="clear" w:color="auto" w:fill="FFFFFF" w:themeFill="background1"/>
            <w:noWrap/>
            <w:tcMar>
              <w:top w:w="40" w:type="dxa"/>
              <w:left w:w="40" w:type="dxa"/>
              <w:bottom w:w="40" w:type="dxa"/>
              <w:right w:w="40" w:type="dxa"/>
            </w:tcMar>
          </w:tcPr>
          <w:p w14:paraId="2D02DEB6" w14:textId="42EC998E" w:rsidR="00FA5645" w:rsidRPr="0033405D" w:rsidRDefault="00FA5645" w:rsidP="00BA3A07">
            <w:pPr>
              <w:pStyle w:val="ListParagraph"/>
              <w:numPr>
                <w:ilvl w:val="0"/>
                <w:numId w:val="9"/>
              </w:numPr>
              <w:spacing w:before="120" w:beforeAutospacing="0" w:after="120" w:afterAutospacing="0"/>
              <w:ind w:left="470" w:right="57" w:hanging="357"/>
              <w:rPr>
                <w:rFonts w:ascii="Arial" w:hAnsi="Arial" w:cs="Arial"/>
                <w:sz w:val="22"/>
                <w:szCs w:val="22"/>
                <w:lang w:val="en-GB"/>
              </w:rPr>
            </w:pPr>
            <w:r w:rsidRPr="0033405D">
              <w:rPr>
                <w:rFonts w:ascii="Arial" w:hAnsi="Arial" w:cs="Arial"/>
                <w:sz w:val="22"/>
                <w:szCs w:val="22"/>
                <w:lang w:val="en-GB"/>
              </w:rPr>
              <w:t xml:space="preserve">The Committee, during its eight session, took note ‘of the Organization’s cost </w:t>
            </w:r>
            <w:r w:rsidRPr="0053397A">
              <w:rPr>
                <w:rFonts w:ascii="Arial" w:hAnsi="Arial" w:cs="Arial"/>
                <w:sz w:val="22"/>
                <w:szCs w:val="22"/>
                <w:lang w:val="en-US"/>
              </w:rPr>
              <w:t>recovery</w:t>
            </w:r>
            <w:r w:rsidRPr="0033405D">
              <w:rPr>
                <w:rFonts w:ascii="Arial" w:hAnsi="Arial" w:cs="Arial"/>
                <w:sz w:val="22"/>
                <w:szCs w:val="22"/>
                <w:lang w:val="en-GB"/>
              </w:rPr>
              <w:t xml:space="preserve"> policy (Administrative Manual, item 5.9); and request[ed] </w:t>
            </w:r>
            <w:r w:rsidR="00D025AE">
              <w:rPr>
                <w:rFonts w:ascii="Arial" w:hAnsi="Arial" w:cs="Arial"/>
                <w:sz w:val="22"/>
                <w:szCs w:val="22"/>
                <w:lang w:val="en-GB"/>
              </w:rPr>
              <w:t xml:space="preserve">that </w:t>
            </w:r>
            <w:r w:rsidRPr="0033405D">
              <w:rPr>
                <w:rFonts w:ascii="Arial" w:hAnsi="Arial" w:cs="Arial"/>
                <w:sz w:val="22"/>
                <w:szCs w:val="22"/>
                <w:lang w:val="en-GB"/>
              </w:rPr>
              <w:t>the Secretariat apply the policy consistently when using the resources of the [Intangible Cultural Heritage] Fund’ (</w:t>
            </w:r>
            <w:hyperlink r:id="rId62" w:history="1">
              <w:r w:rsidRPr="0033405D">
                <w:rPr>
                  <w:rStyle w:val="Hyperlink"/>
                  <w:rFonts w:ascii="Arial" w:hAnsi="Arial" w:cs="Arial"/>
                  <w:sz w:val="22"/>
                  <w:szCs w:val="22"/>
                  <w:lang w:val="en-GB"/>
                </w:rPr>
                <w:t>Decision 8.COM 11</w:t>
              </w:r>
            </w:hyperlink>
            <w:r w:rsidRPr="0033405D">
              <w:rPr>
                <w:rFonts w:ascii="Arial" w:hAnsi="Arial" w:cs="Arial"/>
                <w:sz w:val="22"/>
                <w:szCs w:val="22"/>
                <w:lang w:val="en-GB"/>
              </w:rPr>
              <w:t>).</w:t>
            </w:r>
          </w:p>
          <w:p w14:paraId="6226B791" w14:textId="09CBC4BD" w:rsidR="00FA5645" w:rsidRPr="0033405D" w:rsidRDefault="00FA5645">
            <w:pPr>
              <w:pStyle w:val="ListParagraph"/>
              <w:numPr>
                <w:ilvl w:val="0"/>
                <w:numId w:val="9"/>
              </w:numPr>
              <w:spacing w:before="120" w:beforeAutospacing="0" w:after="120" w:afterAutospacing="0"/>
              <w:ind w:left="470" w:right="57" w:hanging="357"/>
              <w:contextualSpacing/>
              <w:rPr>
                <w:rFonts w:ascii="Arial" w:hAnsi="Arial" w:cs="Arial"/>
                <w:b/>
                <w:sz w:val="22"/>
                <w:szCs w:val="22"/>
                <w:u w:val="single"/>
                <w:lang w:val="en-GB" w:eastAsia="en-US"/>
              </w:rPr>
            </w:pPr>
            <w:r w:rsidRPr="0033405D">
              <w:rPr>
                <w:rFonts w:ascii="Arial" w:hAnsi="Arial" w:cs="Arial"/>
                <w:sz w:val="22"/>
                <w:szCs w:val="22"/>
                <w:lang w:val="en-GB"/>
              </w:rPr>
              <w:t xml:space="preserve">The Secretariat </w:t>
            </w:r>
            <w:r w:rsidR="00D025AE">
              <w:rPr>
                <w:rFonts w:ascii="Arial" w:hAnsi="Arial" w:cs="Arial"/>
                <w:sz w:val="22"/>
                <w:szCs w:val="22"/>
                <w:lang w:val="en-GB"/>
              </w:rPr>
              <w:t>applies</w:t>
            </w:r>
            <w:r w:rsidRPr="0033405D">
              <w:rPr>
                <w:rFonts w:ascii="Arial" w:hAnsi="Arial" w:cs="Arial"/>
                <w:sz w:val="22"/>
                <w:szCs w:val="22"/>
                <w:lang w:val="en-GB"/>
              </w:rPr>
              <w:t xml:space="preserve"> cost recovery on funds allocated for financial assistance from the Intangible Cultural Heritage Fund</w:t>
            </w:r>
            <w:r>
              <w:rPr>
                <w:rFonts w:ascii="Arial" w:hAnsi="Arial" w:cs="Arial"/>
                <w:sz w:val="22"/>
                <w:szCs w:val="22"/>
                <w:lang w:val="en-GB"/>
              </w:rPr>
              <w:t xml:space="preserve"> </w:t>
            </w:r>
            <w:r w:rsidRPr="00427622">
              <w:rPr>
                <w:rFonts w:ascii="Arial" w:hAnsi="Arial" w:cs="Arial"/>
                <w:sz w:val="22"/>
                <w:szCs w:val="22"/>
                <w:lang w:val="en-GB"/>
              </w:rPr>
              <w:t>(</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FA5645" w:rsidRPr="00284E2B" w14:paraId="37495A75" w14:textId="77777777" w:rsidTr="00FA5645">
        <w:trPr>
          <w:cantSplit/>
        </w:trPr>
        <w:tc>
          <w:tcPr>
            <w:tcW w:w="14358" w:type="dxa"/>
            <w:gridSpan w:val="4"/>
            <w:shd w:val="clear" w:color="auto" w:fill="E6E6E6"/>
            <w:noWrap/>
            <w:tcMar>
              <w:top w:w="40" w:type="dxa"/>
              <w:left w:w="40" w:type="dxa"/>
              <w:bottom w:w="40" w:type="dxa"/>
              <w:right w:w="40" w:type="dxa"/>
            </w:tcMar>
          </w:tcPr>
          <w:p w14:paraId="4C67703B" w14:textId="69474C91" w:rsidR="00FA5645" w:rsidRPr="0033405D" w:rsidRDefault="00FA5645" w:rsidP="004654DC">
            <w:pPr>
              <w:rPr>
                <w:rFonts w:ascii="Arial" w:hAnsi="Arial" w:cs="Arial"/>
                <w:b/>
                <w:sz w:val="22"/>
                <w:szCs w:val="22"/>
                <w:lang w:val="en-GB" w:eastAsia="en-US"/>
              </w:rPr>
            </w:pPr>
            <w:r w:rsidRPr="0033405D">
              <w:rPr>
                <w:rFonts w:ascii="Arial" w:hAnsi="Arial" w:cs="Arial"/>
                <w:b/>
                <w:sz w:val="22"/>
                <w:szCs w:val="22"/>
                <w:lang w:val="en-GB" w:eastAsia="en-US"/>
              </w:rPr>
              <w:t>Recommendation 2: We recommend that the convention secretariats, where applicable, explore more efficient ways of obtaining advisory services and consider potential chargeback mechanisms to the nominating State</w:t>
            </w:r>
            <w:r>
              <w:rPr>
                <w:rFonts w:ascii="Arial" w:hAnsi="Arial" w:cs="Arial"/>
                <w:b/>
                <w:sz w:val="22"/>
                <w:szCs w:val="22"/>
                <w:lang w:val="en-GB" w:eastAsia="en-US"/>
              </w:rPr>
              <w:t>s</w:t>
            </w:r>
            <w:r w:rsidRPr="0033405D">
              <w:rPr>
                <w:rFonts w:ascii="Arial" w:hAnsi="Arial" w:cs="Arial"/>
                <w:b/>
                <w:sz w:val="22"/>
                <w:szCs w:val="22"/>
                <w:lang w:val="en-GB" w:eastAsia="en-US"/>
              </w:rPr>
              <w:t xml:space="preserve"> Parties and/or earmarked fund and formulate proposals to the respective Governing Bodies for possible economies and financial sustainability in the advisory service fees.</w:t>
            </w:r>
          </w:p>
        </w:tc>
      </w:tr>
      <w:tr w:rsidR="00FA5645" w:rsidRPr="00427622" w14:paraId="3E778284" w14:textId="77777777" w:rsidTr="00FA5645">
        <w:trPr>
          <w:cantSplit/>
        </w:trPr>
        <w:tc>
          <w:tcPr>
            <w:tcW w:w="4719" w:type="dxa"/>
            <w:tcBorders>
              <w:bottom w:val="single" w:sz="4" w:space="0" w:color="auto"/>
            </w:tcBorders>
            <w:noWrap/>
            <w:tcMar>
              <w:top w:w="40" w:type="dxa"/>
              <w:left w:w="40" w:type="dxa"/>
              <w:bottom w:w="40" w:type="dxa"/>
              <w:right w:w="40" w:type="dxa"/>
            </w:tcMar>
          </w:tcPr>
          <w:p w14:paraId="14200EE0"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Actions Planned</w:t>
            </w:r>
          </w:p>
        </w:tc>
        <w:tc>
          <w:tcPr>
            <w:tcW w:w="2127" w:type="dxa"/>
            <w:gridSpan w:val="2"/>
            <w:tcBorders>
              <w:bottom w:val="single" w:sz="4" w:space="0" w:color="auto"/>
            </w:tcBorders>
            <w:noWrap/>
            <w:tcMar>
              <w:top w:w="40" w:type="dxa"/>
              <w:left w:w="40" w:type="dxa"/>
              <w:bottom w:w="40" w:type="dxa"/>
              <w:right w:w="40" w:type="dxa"/>
            </w:tcMar>
          </w:tcPr>
          <w:p w14:paraId="2CE76F15"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Expected Date of Implementation</w:t>
            </w:r>
          </w:p>
        </w:tc>
        <w:tc>
          <w:tcPr>
            <w:tcW w:w="7512" w:type="dxa"/>
            <w:tcBorders>
              <w:bottom w:val="single" w:sz="4" w:space="0" w:color="auto"/>
            </w:tcBorders>
            <w:noWrap/>
            <w:tcMar>
              <w:top w:w="40" w:type="dxa"/>
              <w:left w:w="40" w:type="dxa"/>
              <w:bottom w:w="40" w:type="dxa"/>
              <w:right w:w="40" w:type="dxa"/>
            </w:tcMar>
          </w:tcPr>
          <w:p w14:paraId="459D4BF3"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Status</w:t>
            </w:r>
          </w:p>
        </w:tc>
      </w:tr>
      <w:tr w:rsidR="00FA5645" w:rsidRPr="00284E2B" w14:paraId="6F7C4886" w14:textId="77777777" w:rsidTr="00FA5645">
        <w:trPr>
          <w:cantSplit/>
        </w:trPr>
        <w:tc>
          <w:tcPr>
            <w:tcW w:w="4719" w:type="dxa"/>
            <w:shd w:val="clear" w:color="auto" w:fill="FFFFFF" w:themeFill="background1"/>
            <w:noWrap/>
            <w:tcMar>
              <w:top w:w="40" w:type="dxa"/>
              <w:left w:w="40" w:type="dxa"/>
              <w:bottom w:w="40" w:type="dxa"/>
              <w:right w:w="40" w:type="dxa"/>
            </w:tcMar>
          </w:tcPr>
          <w:p w14:paraId="09D6E89C" w14:textId="56D0D7E8" w:rsidR="00FA5645" w:rsidRPr="0033405D" w:rsidRDefault="00FA5645" w:rsidP="00FA5645">
            <w:pPr>
              <w:spacing w:before="120" w:after="120"/>
              <w:ind w:left="113" w:right="57"/>
              <w:rPr>
                <w:rFonts w:ascii="Arial" w:hAnsi="Arial" w:cs="Arial"/>
                <w:sz w:val="22"/>
                <w:szCs w:val="22"/>
                <w:lang w:val="en-GB" w:eastAsia="en-US"/>
              </w:rPr>
            </w:pPr>
            <w:r w:rsidRPr="0033405D">
              <w:rPr>
                <w:rFonts w:ascii="Arial" w:hAnsi="Arial" w:cs="Arial"/>
                <w:sz w:val="22"/>
                <w:szCs w:val="22"/>
                <w:lang w:val="en-GB" w:eastAsia="en-US"/>
              </w:rPr>
              <w:t xml:space="preserve">(e) </w:t>
            </w:r>
            <w:r w:rsidRPr="0033405D">
              <w:rPr>
                <w:rFonts w:ascii="Arial" w:hAnsi="Arial" w:cs="Arial"/>
                <w:bCs/>
                <w:sz w:val="22"/>
                <w:szCs w:val="22"/>
                <w:lang w:val="en-GB"/>
              </w:rPr>
              <w:t>During its sixth session</w:t>
            </w:r>
            <w:r w:rsidR="00225A4C">
              <w:rPr>
                <w:rFonts w:ascii="Arial" w:hAnsi="Arial" w:cs="Arial"/>
                <w:bCs/>
                <w:sz w:val="22"/>
                <w:szCs w:val="22"/>
                <w:lang w:val="en-GB"/>
              </w:rPr>
              <w:t>,</w:t>
            </w:r>
            <w:r w:rsidRPr="0033405D">
              <w:rPr>
                <w:rFonts w:ascii="Arial" w:hAnsi="Arial" w:cs="Arial"/>
                <w:bCs/>
                <w:sz w:val="22"/>
                <w:szCs w:val="22"/>
                <w:lang w:val="en-GB"/>
              </w:rPr>
              <w:t xml:space="preserve"> the Committee took note that ‘the consolidation of evaluation of all nominations within a single body would produce significant economies, while offering other advantages; reaffirm[ed] its recommendation to the General Assembly along those lines (Decision 6.COM 15); and further consider[ed] that potential chargeback mechanisms to the nominating State</w:t>
            </w:r>
            <w:r>
              <w:rPr>
                <w:rFonts w:ascii="Arial" w:hAnsi="Arial" w:cs="Arial"/>
                <w:bCs/>
                <w:sz w:val="22"/>
                <w:szCs w:val="22"/>
                <w:lang w:val="en-GB"/>
              </w:rPr>
              <w:t>s</w:t>
            </w:r>
            <w:r w:rsidRPr="0033405D">
              <w:rPr>
                <w:rFonts w:ascii="Arial" w:hAnsi="Arial" w:cs="Arial"/>
                <w:bCs/>
                <w:sz w:val="22"/>
                <w:szCs w:val="22"/>
                <w:lang w:val="en-GB"/>
              </w:rPr>
              <w:t xml:space="preserve"> Parties and/or earmarked funds, as suggested in Recommendation 2, would not therefore be needed’ (Decision 8.COM 5.c.2).</w:t>
            </w:r>
          </w:p>
        </w:tc>
        <w:tc>
          <w:tcPr>
            <w:tcW w:w="2127" w:type="dxa"/>
            <w:gridSpan w:val="2"/>
            <w:shd w:val="clear" w:color="auto" w:fill="FFFFFF" w:themeFill="background1"/>
            <w:noWrap/>
            <w:tcMar>
              <w:top w:w="40" w:type="dxa"/>
              <w:left w:w="40" w:type="dxa"/>
              <w:bottom w:w="40" w:type="dxa"/>
              <w:right w:w="40" w:type="dxa"/>
            </w:tcMar>
          </w:tcPr>
          <w:p w14:paraId="14A6564E" w14:textId="77777777" w:rsidR="00FA5645" w:rsidRPr="0033405D" w:rsidRDefault="00FA5645" w:rsidP="00FA5645">
            <w:pPr>
              <w:spacing w:before="120" w:after="120"/>
              <w:ind w:left="57"/>
              <w:rPr>
                <w:rFonts w:ascii="Arial" w:hAnsi="Arial" w:cs="Arial"/>
                <w:sz w:val="22"/>
                <w:szCs w:val="22"/>
                <w:lang w:val="en-GB" w:eastAsia="en-US"/>
              </w:rPr>
            </w:pPr>
            <w:r w:rsidRPr="0033405D">
              <w:rPr>
                <w:rFonts w:ascii="Arial" w:hAnsi="Arial" w:cs="Arial"/>
                <w:sz w:val="22"/>
                <w:szCs w:val="22"/>
                <w:lang w:val="en-GB" w:eastAsia="en-US"/>
              </w:rPr>
              <w:t>November 2014</w:t>
            </w:r>
          </w:p>
        </w:tc>
        <w:tc>
          <w:tcPr>
            <w:tcW w:w="7512" w:type="dxa"/>
            <w:shd w:val="clear" w:color="auto" w:fill="FFFFFF" w:themeFill="background1"/>
            <w:noWrap/>
            <w:tcMar>
              <w:top w:w="40" w:type="dxa"/>
              <w:left w:w="40" w:type="dxa"/>
              <w:bottom w:w="40" w:type="dxa"/>
              <w:right w:w="40" w:type="dxa"/>
            </w:tcMar>
          </w:tcPr>
          <w:p w14:paraId="4C49B990" w14:textId="77777777" w:rsidR="00FA5645" w:rsidRPr="0033405D" w:rsidRDefault="00FA5645" w:rsidP="00BA3A07">
            <w:pPr>
              <w:pStyle w:val="ListParagraph"/>
              <w:numPr>
                <w:ilvl w:val="0"/>
                <w:numId w:val="9"/>
              </w:numPr>
              <w:spacing w:before="120" w:beforeAutospacing="0" w:after="120" w:afterAutospacing="0"/>
              <w:ind w:left="470" w:right="57" w:hanging="357"/>
              <w:rPr>
                <w:rFonts w:ascii="Arial" w:hAnsi="Arial" w:cs="Arial"/>
                <w:sz w:val="22"/>
                <w:szCs w:val="22"/>
                <w:lang w:val="en-GB"/>
              </w:rPr>
            </w:pPr>
            <w:r w:rsidRPr="0033405D">
              <w:rPr>
                <w:rFonts w:ascii="Arial" w:hAnsi="Arial" w:cs="Arial"/>
                <w:sz w:val="22"/>
                <w:szCs w:val="22"/>
                <w:lang w:val="en-GB"/>
              </w:rPr>
              <w:t xml:space="preserve">The General Assembly, at its fifth session, </w:t>
            </w:r>
            <w:r w:rsidRPr="0039161D">
              <w:rPr>
                <w:rFonts w:ascii="Arial" w:hAnsi="Arial" w:cs="Arial"/>
                <w:sz w:val="22"/>
                <w:szCs w:val="22"/>
                <w:lang w:val="en-US"/>
              </w:rPr>
              <w:t>adopted</w:t>
            </w:r>
            <w:r w:rsidRPr="0033405D">
              <w:rPr>
                <w:rFonts w:ascii="Arial" w:hAnsi="Arial" w:cs="Arial"/>
                <w:sz w:val="22"/>
                <w:szCs w:val="22"/>
                <w:lang w:val="en-GB"/>
              </w:rPr>
              <w:t xml:space="preserve"> amendments to the Operational Directives to establish a single Evaluation Body (</w:t>
            </w:r>
            <w:hyperlink r:id="rId63" w:history="1">
              <w:r w:rsidRPr="0033405D">
                <w:rPr>
                  <w:rStyle w:val="Hyperlink"/>
                  <w:rFonts w:ascii="Arial" w:hAnsi="Arial" w:cs="Arial"/>
                  <w:sz w:val="22"/>
                  <w:szCs w:val="22"/>
                  <w:lang w:val="en-GB"/>
                </w:rPr>
                <w:t>Resolution 5.GA 5.1</w:t>
              </w:r>
            </w:hyperlink>
            <w:r w:rsidRPr="0033405D">
              <w:rPr>
                <w:rFonts w:ascii="Arial" w:hAnsi="Arial" w:cs="Arial"/>
                <w:sz w:val="22"/>
                <w:szCs w:val="22"/>
                <w:lang w:val="en-GB"/>
              </w:rPr>
              <w:t>).</w:t>
            </w:r>
          </w:p>
          <w:p w14:paraId="4360B13D" w14:textId="77777777" w:rsidR="00FA5645" w:rsidRPr="0033405D" w:rsidRDefault="00FA5645" w:rsidP="00BA3A07">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eastAsia="en-US"/>
              </w:rPr>
            </w:pPr>
            <w:r w:rsidRPr="0033405D">
              <w:rPr>
                <w:rFonts w:ascii="Arial" w:hAnsi="Arial" w:cs="Arial"/>
                <w:sz w:val="22"/>
                <w:szCs w:val="22"/>
                <w:lang w:val="en-GB"/>
              </w:rPr>
              <w:t>The first Evaluation Body was established in November 2014 (</w:t>
            </w:r>
            <w:hyperlink r:id="rId64" w:history="1">
              <w:r w:rsidRPr="0033405D">
                <w:rPr>
                  <w:rStyle w:val="Hyperlink"/>
                  <w:rFonts w:ascii="Arial" w:hAnsi="Arial" w:cs="Arial"/>
                  <w:sz w:val="22"/>
                  <w:szCs w:val="22"/>
                  <w:lang w:val="en-GB"/>
                </w:rPr>
                <w:t>Decision 9.COM 11</w:t>
              </w:r>
            </w:hyperlink>
            <w:r w:rsidRPr="0033405D">
              <w:rPr>
                <w:rFonts w:ascii="Arial" w:hAnsi="Arial" w:cs="Arial"/>
                <w:sz w:val="22"/>
                <w:szCs w:val="22"/>
                <w:lang w:val="en-GB"/>
              </w:rPr>
              <w:t>), which evaluated the files for the 2015 cycle (</w:t>
            </w:r>
            <w:r w:rsidRPr="00427622">
              <w:rPr>
                <w:rFonts w:ascii="Arial" w:hAnsi="Arial" w:cs="Arial"/>
                <w:b/>
                <w:sz w:val="22"/>
                <w:szCs w:val="22"/>
                <w:lang w:val="en-GB"/>
              </w:rPr>
              <w:t>action completed</w:t>
            </w:r>
            <w:r w:rsidRPr="00427622">
              <w:rPr>
                <w:rFonts w:ascii="Arial" w:hAnsi="Arial" w:cs="Arial"/>
                <w:sz w:val="22"/>
                <w:szCs w:val="22"/>
                <w:lang w:val="en-GB"/>
              </w:rPr>
              <w:t>).</w:t>
            </w:r>
          </w:p>
        </w:tc>
      </w:tr>
      <w:tr w:rsidR="00FA5645" w:rsidRPr="00284E2B" w14:paraId="5FB6C98E" w14:textId="77777777" w:rsidTr="00FA5645">
        <w:trPr>
          <w:cantSplit/>
        </w:trPr>
        <w:tc>
          <w:tcPr>
            <w:tcW w:w="14358" w:type="dxa"/>
            <w:gridSpan w:val="4"/>
            <w:shd w:val="clear" w:color="auto" w:fill="E6E6E6"/>
            <w:noWrap/>
            <w:tcMar>
              <w:top w:w="40" w:type="dxa"/>
              <w:left w:w="40" w:type="dxa"/>
              <w:bottom w:w="40" w:type="dxa"/>
              <w:right w:w="40" w:type="dxa"/>
            </w:tcMar>
          </w:tcPr>
          <w:p w14:paraId="0DF734F1" w14:textId="6F514292" w:rsidR="00FA5645" w:rsidRPr="0033405D" w:rsidRDefault="00FA5645" w:rsidP="00F26B05">
            <w:pPr>
              <w:pageBreakBefore/>
              <w:autoSpaceDE w:val="0"/>
              <w:autoSpaceDN w:val="0"/>
              <w:adjustRightInd w:val="0"/>
              <w:spacing w:before="120" w:after="120"/>
              <w:ind w:left="113" w:right="113"/>
              <w:jc w:val="both"/>
              <w:rPr>
                <w:rFonts w:ascii="Arial" w:hAnsi="Arial" w:cs="Arial"/>
                <w:b/>
                <w:sz w:val="22"/>
                <w:szCs w:val="22"/>
                <w:lang w:val="en-GB" w:eastAsia="en-US"/>
              </w:rPr>
            </w:pPr>
            <w:r w:rsidRPr="0033405D">
              <w:rPr>
                <w:rFonts w:ascii="Arial" w:hAnsi="Arial" w:cs="Arial"/>
                <w:b/>
                <w:sz w:val="22"/>
                <w:szCs w:val="22"/>
                <w:lang w:val="en-GB" w:eastAsia="en-US"/>
              </w:rPr>
              <w:lastRenderedPageBreak/>
              <w:t>Recommendation 3: We recommend that the CLT Sector expand its common logistics unit to include additional services that add value and provide cost-effective solutions to support the work of all convention secretariats. The platform can function under the guidance of the Cultural Convention Liaison Group.</w:t>
            </w:r>
          </w:p>
        </w:tc>
      </w:tr>
      <w:tr w:rsidR="00FA5645" w:rsidRPr="00427622" w14:paraId="2BDA8486" w14:textId="77777777" w:rsidTr="00FA5645">
        <w:trPr>
          <w:cantSplit/>
        </w:trPr>
        <w:tc>
          <w:tcPr>
            <w:tcW w:w="4719" w:type="dxa"/>
            <w:tcBorders>
              <w:bottom w:val="single" w:sz="4" w:space="0" w:color="auto"/>
            </w:tcBorders>
            <w:noWrap/>
            <w:tcMar>
              <w:top w:w="40" w:type="dxa"/>
              <w:left w:w="40" w:type="dxa"/>
              <w:bottom w:w="40" w:type="dxa"/>
              <w:right w:w="40" w:type="dxa"/>
            </w:tcMar>
          </w:tcPr>
          <w:p w14:paraId="025F3BC9"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Actions Planned</w:t>
            </w:r>
          </w:p>
        </w:tc>
        <w:tc>
          <w:tcPr>
            <w:tcW w:w="2127" w:type="dxa"/>
            <w:gridSpan w:val="2"/>
            <w:tcBorders>
              <w:bottom w:val="single" w:sz="4" w:space="0" w:color="auto"/>
            </w:tcBorders>
            <w:noWrap/>
            <w:tcMar>
              <w:top w:w="40" w:type="dxa"/>
              <w:left w:w="40" w:type="dxa"/>
              <w:bottom w:w="40" w:type="dxa"/>
              <w:right w:w="40" w:type="dxa"/>
            </w:tcMar>
          </w:tcPr>
          <w:p w14:paraId="1A85306A"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Expected Date of Implementation</w:t>
            </w:r>
          </w:p>
        </w:tc>
        <w:tc>
          <w:tcPr>
            <w:tcW w:w="7512" w:type="dxa"/>
            <w:tcBorders>
              <w:bottom w:val="single" w:sz="4" w:space="0" w:color="auto"/>
            </w:tcBorders>
            <w:noWrap/>
            <w:tcMar>
              <w:top w:w="40" w:type="dxa"/>
              <w:left w:w="40" w:type="dxa"/>
              <w:bottom w:w="40" w:type="dxa"/>
              <w:right w:w="40" w:type="dxa"/>
            </w:tcMar>
          </w:tcPr>
          <w:p w14:paraId="029F144D"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Status</w:t>
            </w:r>
          </w:p>
        </w:tc>
      </w:tr>
      <w:tr w:rsidR="00FA5645" w:rsidRPr="00284E2B" w14:paraId="55E39D04" w14:textId="77777777" w:rsidTr="00FA5645">
        <w:trPr>
          <w:cantSplit/>
        </w:trPr>
        <w:tc>
          <w:tcPr>
            <w:tcW w:w="4719" w:type="dxa"/>
            <w:shd w:val="clear" w:color="auto" w:fill="FFFFFF" w:themeFill="background1"/>
            <w:noWrap/>
            <w:tcMar>
              <w:top w:w="40" w:type="dxa"/>
              <w:left w:w="40" w:type="dxa"/>
              <w:bottom w:w="40" w:type="dxa"/>
              <w:right w:w="40" w:type="dxa"/>
            </w:tcMar>
          </w:tcPr>
          <w:p w14:paraId="791AC525" w14:textId="23429CA2" w:rsidR="00FA5645" w:rsidRPr="00381916" w:rsidRDefault="00FA5645" w:rsidP="00FA5645">
            <w:pPr>
              <w:spacing w:before="120" w:after="120"/>
              <w:rPr>
                <w:rFonts w:ascii="Arial" w:eastAsia="Malgun Gothic" w:hAnsi="Arial" w:cs="Arial"/>
                <w:sz w:val="22"/>
                <w:szCs w:val="22"/>
                <w:lang w:val="en-GB" w:eastAsia="ko-KR"/>
              </w:rPr>
            </w:pPr>
            <w:r w:rsidRPr="0033405D">
              <w:rPr>
                <w:rFonts w:ascii="Arial" w:hAnsi="Arial" w:cs="Arial"/>
                <w:sz w:val="22"/>
                <w:szCs w:val="22"/>
                <w:lang w:val="en-GB" w:eastAsia="en-US"/>
              </w:rPr>
              <w:t>Establish a Culture Conve</w:t>
            </w:r>
            <w:r w:rsidR="00381916">
              <w:rPr>
                <w:rFonts w:ascii="Arial" w:hAnsi="Arial" w:cs="Arial"/>
                <w:sz w:val="22"/>
                <w:szCs w:val="22"/>
                <w:lang w:val="en-GB" w:eastAsia="en-US"/>
              </w:rPr>
              <w:t>ntions Common Service Platform.</w:t>
            </w:r>
          </w:p>
        </w:tc>
        <w:tc>
          <w:tcPr>
            <w:tcW w:w="2127" w:type="dxa"/>
            <w:gridSpan w:val="2"/>
            <w:shd w:val="clear" w:color="auto" w:fill="FFFFFF" w:themeFill="background1"/>
            <w:noWrap/>
            <w:tcMar>
              <w:top w:w="40" w:type="dxa"/>
              <w:left w:w="40" w:type="dxa"/>
              <w:bottom w:w="40" w:type="dxa"/>
              <w:right w:w="40" w:type="dxa"/>
            </w:tcMar>
          </w:tcPr>
          <w:p w14:paraId="130A23B1" w14:textId="77777777" w:rsidR="00FA5645" w:rsidRPr="0033405D" w:rsidRDefault="00FA5645" w:rsidP="00FA5645">
            <w:pPr>
              <w:spacing w:before="120" w:after="120"/>
              <w:rPr>
                <w:rFonts w:ascii="Arial" w:hAnsi="Arial" w:cs="Arial"/>
                <w:sz w:val="22"/>
                <w:szCs w:val="22"/>
                <w:lang w:val="en-GB" w:eastAsia="en-US"/>
              </w:rPr>
            </w:pPr>
            <w:r w:rsidRPr="0033405D">
              <w:rPr>
                <w:rFonts w:ascii="Arial" w:hAnsi="Arial" w:cs="Arial"/>
                <w:sz w:val="22"/>
                <w:szCs w:val="22"/>
                <w:lang w:val="en-GB" w:eastAsia="en-US"/>
              </w:rPr>
              <w:t>July 2014</w:t>
            </w:r>
          </w:p>
        </w:tc>
        <w:tc>
          <w:tcPr>
            <w:tcW w:w="7512" w:type="dxa"/>
            <w:shd w:val="clear" w:color="auto" w:fill="FFFFFF" w:themeFill="background1"/>
            <w:noWrap/>
            <w:tcMar>
              <w:top w:w="40" w:type="dxa"/>
              <w:left w:w="40" w:type="dxa"/>
              <w:bottom w:w="40" w:type="dxa"/>
              <w:right w:w="40" w:type="dxa"/>
            </w:tcMar>
          </w:tcPr>
          <w:p w14:paraId="0707EB89" w14:textId="77777777" w:rsidR="00FA5645" w:rsidRPr="0033405D" w:rsidRDefault="00FA5645" w:rsidP="00BA3A07">
            <w:pPr>
              <w:pStyle w:val="ListParagraph"/>
              <w:numPr>
                <w:ilvl w:val="0"/>
                <w:numId w:val="9"/>
              </w:numPr>
              <w:spacing w:before="120" w:beforeAutospacing="0" w:after="120" w:afterAutospacing="0"/>
              <w:ind w:left="470" w:hanging="357"/>
              <w:contextualSpacing/>
              <w:rPr>
                <w:rFonts w:ascii="Arial" w:hAnsi="Arial" w:cs="Arial"/>
                <w:b/>
                <w:sz w:val="22"/>
                <w:szCs w:val="22"/>
                <w:u w:val="single"/>
                <w:lang w:val="en-GB" w:eastAsia="en-US"/>
              </w:rPr>
            </w:pPr>
            <w:r w:rsidRPr="0033405D">
              <w:rPr>
                <w:rFonts w:ascii="Arial" w:hAnsi="Arial" w:cs="Arial"/>
                <w:sz w:val="22"/>
                <w:szCs w:val="22"/>
                <w:lang w:val="en-GB" w:eastAsia="en-US"/>
              </w:rPr>
              <w:t>Common Services Unit established in July 2014 (</w:t>
            </w:r>
            <w:r w:rsidRPr="0033405D">
              <w:rPr>
                <w:rFonts w:ascii="Arial" w:hAnsi="Arial" w:cs="Arial"/>
                <w:b/>
                <w:sz w:val="22"/>
                <w:szCs w:val="22"/>
                <w:u w:val="single"/>
                <w:lang w:val="en-GB" w:eastAsia="en-US"/>
              </w:rPr>
              <w:t>action completed)</w:t>
            </w:r>
            <w:r w:rsidRPr="004654DC">
              <w:rPr>
                <w:rFonts w:ascii="Arial" w:hAnsi="Arial" w:cs="Arial"/>
                <w:sz w:val="22"/>
                <w:szCs w:val="22"/>
                <w:lang w:val="en-GB" w:eastAsia="en-US"/>
              </w:rPr>
              <w:t>.</w:t>
            </w:r>
          </w:p>
        </w:tc>
      </w:tr>
      <w:tr w:rsidR="00FA5645" w:rsidRPr="00284E2B" w14:paraId="0E97794C" w14:textId="77777777" w:rsidTr="00FA5645">
        <w:trPr>
          <w:cantSplit/>
        </w:trPr>
        <w:tc>
          <w:tcPr>
            <w:tcW w:w="14358" w:type="dxa"/>
            <w:gridSpan w:val="4"/>
            <w:shd w:val="clear" w:color="auto" w:fill="E6E6E6"/>
            <w:noWrap/>
            <w:tcMar>
              <w:top w:w="40" w:type="dxa"/>
              <w:left w:w="40" w:type="dxa"/>
              <w:bottom w:w="40" w:type="dxa"/>
              <w:right w:w="40" w:type="dxa"/>
            </w:tcMar>
          </w:tcPr>
          <w:p w14:paraId="180B8FC7" w14:textId="1B73CA76" w:rsidR="00FA5645" w:rsidRPr="0033405D" w:rsidRDefault="00FA5645" w:rsidP="00FA5645">
            <w:pPr>
              <w:autoSpaceDE w:val="0"/>
              <w:autoSpaceDN w:val="0"/>
              <w:adjustRightInd w:val="0"/>
              <w:spacing w:before="120" w:after="120"/>
              <w:ind w:left="113" w:right="113"/>
              <w:jc w:val="both"/>
              <w:rPr>
                <w:rFonts w:ascii="Arial" w:hAnsi="Arial" w:cs="Arial"/>
                <w:b/>
                <w:sz w:val="22"/>
                <w:szCs w:val="22"/>
                <w:lang w:val="en-GB" w:eastAsia="en-US"/>
              </w:rPr>
            </w:pPr>
            <w:r w:rsidRPr="0033405D">
              <w:rPr>
                <w:rFonts w:ascii="Arial" w:hAnsi="Arial" w:cs="Arial"/>
                <w:b/>
                <w:sz w:val="22"/>
                <w:szCs w:val="22"/>
                <w:lang w:val="en-GB" w:eastAsia="en-US"/>
              </w:rPr>
              <w:t>Recommendation 4: We recommend that the CLT Sector formulate, in consultation with BSP/CFS, a coordinated fund</w:t>
            </w:r>
            <w:r w:rsidR="00225A4C">
              <w:rPr>
                <w:rFonts w:ascii="Arial" w:hAnsi="Arial" w:cs="Arial"/>
                <w:b/>
                <w:sz w:val="22"/>
                <w:szCs w:val="22"/>
                <w:lang w:val="en-GB" w:eastAsia="en-US"/>
              </w:rPr>
              <w:t>-</w:t>
            </w:r>
            <w:r w:rsidRPr="0033405D">
              <w:rPr>
                <w:rFonts w:ascii="Arial" w:hAnsi="Arial" w:cs="Arial"/>
                <w:b/>
                <w:sz w:val="22"/>
                <w:szCs w:val="22"/>
                <w:lang w:val="en-GB" w:eastAsia="en-US"/>
              </w:rPr>
              <w:t>raising strategy for all conventions secretariats and form a common resource mobilization team.</w:t>
            </w:r>
          </w:p>
        </w:tc>
      </w:tr>
      <w:tr w:rsidR="00FA5645" w:rsidRPr="00427622" w14:paraId="1D1B0E1E" w14:textId="77777777" w:rsidTr="00FA5645">
        <w:trPr>
          <w:cantSplit/>
        </w:trPr>
        <w:tc>
          <w:tcPr>
            <w:tcW w:w="4719" w:type="dxa"/>
            <w:noWrap/>
            <w:tcMar>
              <w:top w:w="40" w:type="dxa"/>
              <w:left w:w="40" w:type="dxa"/>
              <w:bottom w:w="40" w:type="dxa"/>
              <w:right w:w="40" w:type="dxa"/>
            </w:tcMar>
          </w:tcPr>
          <w:p w14:paraId="64150E55"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Actions Planned</w:t>
            </w:r>
          </w:p>
        </w:tc>
        <w:tc>
          <w:tcPr>
            <w:tcW w:w="2127" w:type="dxa"/>
            <w:gridSpan w:val="2"/>
            <w:noWrap/>
            <w:tcMar>
              <w:top w:w="40" w:type="dxa"/>
              <w:left w:w="40" w:type="dxa"/>
              <w:bottom w:w="40" w:type="dxa"/>
              <w:right w:w="40" w:type="dxa"/>
            </w:tcMar>
          </w:tcPr>
          <w:p w14:paraId="16D3B5C9" w14:textId="77777777" w:rsidR="00FA5645" w:rsidRPr="0033405D" w:rsidRDefault="00FA5645" w:rsidP="00A75804">
            <w:pPr>
              <w:keepNext/>
              <w:spacing w:before="120" w:after="120"/>
              <w:jc w:val="center"/>
              <w:rPr>
                <w:rFonts w:ascii="Arial" w:hAnsi="Arial" w:cs="Arial"/>
                <w:b/>
                <w:sz w:val="22"/>
                <w:szCs w:val="22"/>
                <w:lang w:val="en-GB" w:eastAsia="en-US"/>
              </w:rPr>
            </w:pPr>
            <w:r w:rsidRPr="00427622">
              <w:rPr>
                <w:rFonts w:ascii="Arial" w:hAnsi="Arial" w:cs="Arial"/>
                <w:b/>
                <w:sz w:val="22"/>
                <w:szCs w:val="22"/>
                <w:lang w:val="en-GB"/>
              </w:rPr>
              <w:t>Expected Date of Implementation</w:t>
            </w:r>
          </w:p>
        </w:tc>
        <w:tc>
          <w:tcPr>
            <w:tcW w:w="7512" w:type="dxa"/>
            <w:noWrap/>
            <w:tcMar>
              <w:top w:w="40" w:type="dxa"/>
              <w:left w:w="40" w:type="dxa"/>
              <w:bottom w:w="40" w:type="dxa"/>
              <w:right w:w="40" w:type="dxa"/>
            </w:tcMar>
          </w:tcPr>
          <w:p w14:paraId="52F1B0DE" w14:textId="77777777" w:rsidR="00FA5645" w:rsidRPr="0033405D" w:rsidRDefault="00FA5645" w:rsidP="00FA5645">
            <w:pPr>
              <w:spacing w:before="120" w:after="120"/>
              <w:jc w:val="center"/>
              <w:rPr>
                <w:rFonts w:ascii="Arial" w:hAnsi="Arial" w:cs="Arial"/>
                <w:b/>
                <w:sz w:val="22"/>
                <w:szCs w:val="22"/>
                <w:lang w:val="en-GB" w:eastAsia="en-US"/>
              </w:rPr>
            </w:pPr>
            <w:r w:rsidRPr="00427622">
              <w:rPr>
                <w:rFonts w:ascii="Arial" w:hAnsi="Arial" w:cs="Arial"/>
                <w:b/>
                <w:sz w:val="22"/>
                <w:szCs w:val="22"/>
                <w:lang w:val="en-GB"/>
              </w:rPr>
              <w:t>Status</w:t>
            </w:r>
          </w:p>
        </w:tc>
      </w:tr>
      <w:tr w:rsidR="00FA5645" w:rsidRPr="00284E2B" w14:paraId="3AC641C2" w14:textId="77777777" w:rsidTr="00A75804">
        <w:tc>
          <w:tcPr>
            <w:tcW w:w="4719" w:type="dxa"/>
            <w:noWrap/>
            <w:tcMar>
              <w:top w:w="40" w:type="dxa"/>
              <w:left w:w="40" w:type="dxa"/>
              <w:bottom w:w="40" w:type="dxa"/>
              <w:right w:w="40" w:type="dxa"/>
            </w:tcMar>
          </w:tcPr>
          <w:p w14:paraId="31F943BB" w14:textId="3850AEEB" w:rsidR="00FA5645" w:rsidRPr="0033405D" w:rsidRDefault="00FA5645">
            <w:pPr>
              <w:spacing w:before="120" w:after="120"/>
              <w:ind w:left="113" w:right="57"/>
              <w:rPr>
                <w:rFonts w:ascii="Arial" w:hAnsi="Arial" w:cs="Arial"/>
                <w:sz w:val="22"/>
                <w:szCs w:val="22"/>
                <w:lang w:val="en-GB" w:eastAsia="en-US"/>
              </w:rPr>
            </w:pPr>
            <w:r w:rsidRPr="0033405D">
              <w:rPr>
                <w:rFonts w:ascii="Arial" w:hAnsi="Arial" w:cs="Arial"/>
                <w:sz w:val="22"/>
                <w:szCs w:val="22"/>
                <w:lang w:val="en-GB"/>
              </w:rPr>
              <w:t xml:space="preserve">The Conventions Common Services Unit will be in charge of developing the </w:t>
            </w:r>
            <w:r w:rsidRPr="0033405D">
              <w:rPr>
                <w:rFonts w:ascii="Arial" w:hAnsi="Arial" w:cs="Arial"/>
                <w:sz w:val="22"/>
                <w:szCs w:val="22"/>
                <w:lang w:val="en-GB" w:eastAsia="en-US"/>
              </w:rPr>
              <w:t xml:space="preserve">coordinated </w:t>
            </w:r>
            <w:r w:rsidR="00225A4C" w:rsidRPr="0033405D">
              <w:rPr>
                <w:rFonts w:ascii="Arial" w:hAnsi="Arial" w:cs="Arial"/>
                <w:sz w:val="22"/>
                <w:szCs w:val="22"/>
                <w:lang w:val="en-GB" w:eastAsia="en-US"/>
              </w:rPr>
              <w:t>fund</w:t>
            </w:r>
            <w:r w:rsidR="00225A4C">
              <w:rPr>
                <w:rFonts w:ascii="Arial" w:hAnsi="Arial" w:cs="Arial"/>
                <w:sz w:val="22"/>
                <w:szCs w:val="22"/>
                <w:lang w:val="en-GB" w:eastAsia="en-US"/>
              </w:rPr>
              <w:t>-</w:t>
            </w:r>
            <w:r w:rsidRPr="0033405D">
              <w:rPr>
                <w:rFonts w:ascii="Arial" w:hAnsi="Arial" w:cs="Arial"/>
                <w:sz w:val="22"/>
                <w:szCs w:val="22"/>
                <w:lang w:val="en-GB" w:eastAsia="en-US"/>
              </w:rPr>
              <w:t>raising strategy for all conventions and resource mobilization.</w:t>
            </w:r>
          </w:p>
        </w:tc>
        <w:tc>
          <w:tcPr>
            <w:tcW w:w="2127" w:type="dxa"/>
            <w:gridSpan w:val="2"/>
            <w:noWrap/>
            <w:tcMar>
              <w:top w:w="40" w:type="dxa"/>
              <w:left w:w="40" w:type="dxa"/>
              <w:bottom w:w="40" w:type="dxa"/>
              <w:right w:w="40" w:type="dxa"/>
            </w:tcMar>
          </w:tcPr>
          <w:p w14:paraId="42A82491" w14:textId="77777777" w:rsidR="00FA5645" w:rsidRPr="0033405D" w:rsidRDefault="00FA5645" w:rsidP="00FA5645">
            <w:pPr>
              <w:spacing w:before="120" w:after="120"/>
              <w:ind w:left="57"/>
              <w:rPr>
                <w:rFonts w:ascii="Arial" w:hAnsi="Arial" w:cs="Arial"/>
                <w:sz w:val="22"/>
                <w:szCs w:val="22"/>
                <w:lang w:val="en-GB" w:eastAsia="en-US"/>
              </w:rPr>
            </w:pPr>
            <w:r w:rsidRPr="0033405D">
              <w:rPr>
                <w:rFonts w:ascii="Arial" w:hAnsi="Arial" w:cs="Arial"/>
                <w:sz w:val="22"/>
                <w:szCs w:val="22"/>
                <w:lang w:val="en-GB" w:eastAsia="en-US"/>
              </w:rPr>
              <w:t>2016-2017</w:t>
            </w:r>
          </w:p>
        </w:tc>
        <w:tc>
          <w:tcPr>
            <w:tcW w:w="7512" w:type="dxa"/>
            <w:noWrap/>
            <w:tcMar>
              <w:top w:w="40" w:type="dxa"/>
              <w:left w:w="40" w:type="dxa"/>
              <w:bottom w:w="40" w:type="dxa"/>
              <w:right w:w="40" w:type="dxa"/>
            </w:tcMar>
          </w:tcPr>
          <w:p w14:paraId="5990BCE4" w14:textId="0A533049" w:rsidR="00A75804" w:rsidRPr="00A75804" w:rsidRDefault="00A75804" w:rsidP="00A75804">
            <w:pPr>
              <w:pStyle w:val="ListParagraph"/>
              <w:widowControl w:val="0"/>
              <w:numPr>
                <w:ilvl w:val="0"/>
                <w:numId w:val="9"/>
              </w:numPr>
              <w:spacing w:before="120" w:beforeAutospacing="0" w:after="120" w:afterAutospacing="0"/>
              <w:ind w:left="470" w:right="57" w:hanging="357"/>
              <w:rPr>
                <w:rFonts w:ascii="Arial" w:hAnsi="Arial" w:cs="Arial"/>
                <w:sz w:val="22"/>
                <w:szCs w:val="22"/>
                <w:lang w:val="en-GB"/>
              </w:rPr>
            </w:pPr>
            <w:r w:rsidRPr="00A75804">
              <w:rPr>
                <w:rFonts w:ascii="Arial" w:hAnsi="Arial" w:cs="Arial"/>
                <w:sz w:val="22"/>
                <w:szCs w:val="22"/>
                <w:lang w:val="en-GB"/>
              </w:rPr>
              <w:t xml:space="preserve">CCS has prepared a document on </w:t>
            </w:r>
            <w:r w:rsidR="00225A4C">
              <w:rPr>
                <w:rFonts w:ascii="Arial" w:hAnsi="Arial" w:cs="Arial"/>
                <w:sz w:val="22"/>
                <w:szCs w:val="22"/>
                <w:lang w:val="en-GB"/>
              </w:rPr>
              <w:t>r</w:t>
            </w:r>
            <w:r w:rsidR="00225A4C" w:rsidRPr="00A75804">
              <w:rPr>
                <w:rFonts w:ascii="Arial" w:hAnsi="Arial" w:cs="Arial"/>
                <w:sz w:val="22"/>
                <w:szCs w:val="22"/>
                <w:lang w:val="en-GB"/>
              </w:rPr>
              <w:t xml:space="preserve">esource </w:t>
            </w:r>
            <w:r w:rsidRPr="00A75804">
              <w:rPr>
                <w:rFonts w:ascii="Arial" w:hAnsi="Arial" w:cs="Arial"/>
                <w:sz w:val="22"/>
                <w:szCs w:val="22"/>
                <w:lang w:val="en-GB"/>
              </w:rPr>
              <w:t xml:space="preserve">mobilization working principles, outlining the basic principles, approaches and tools that would be contained in a common resource mobilization strategy for the Culture Conventions. The document has been shared with the 2005 and 2003 Convention Secretariats for comments and will also be discussed with BSP/CFS prior to finalization. </w:t>
            </w:r>
          </w:p>
          <w:p w14:paraId="697028B4" w14:textId="02B74D1F" w:rsidR="00A75804" w:rsidRPr="00A75804" w:rsidRDefault="00A75804" w:rsidP="00A75804">
            <w:pPr>
              <w:pStyle w:val="ListParagraph"/>
              <w:widowControl w:val="0"/>
              <w:numPr>
                <w:ilvl w:val="0"/>
                <w:numId w:val="9"/>
              </w:numPr>
              <w:spacing w:before="120" w:beforeAutospacing="0" w:after="120" w:afterAutospacing="0"/>
              <w:ind w:left="470" w:right="57" w:hanging="357"/>
              <w:rPr>
                <w:rFonts w:ascii="Arial" w:hAnsi="Arial" w:cs="Arial"/>
                <w:sz w:val="22"/>
                <w:szCs w:val="22"/>
                <w:lang w:val="en-GB"/>
              </w:rPr>
            </w:pPr>
            <w:r w:rsidRPr="00A75804">
              <w:rPr>
                <w:rFonts w:ascii="Arial" w:hAnsi="Arial" w:cs="Arial"/>
                <w:sz w:val="22"/>
                <w:szCs w:val="22"/>
                <w:lang w:val="en-GB"/>
              </w:rPr>
              <w:t>The Panorama table prepared by CCS summarizing the different objectives and obligations of each Convention in terms of resource mobilization, as well as the potential for each Convention to attract funding</w:t>
            </w:r>
            <w:r w:rsidR="00225A4C">
              <w:rPr>
                <w:rFonts w:ascii="Arial" w:hAnsi="Arial" w:cs="Arial"/>
                <w:sz w:val="22"/>
                <w:szCs w:val="22"/>
                <w:lang w:val="en-GB"/>
              </w:rPr>
              <w:t>,</w:t>
            </w:r>
            <w:r w:rsidRPr="00A75804">
              <w:rPr>
                <w:rFonts w:ascii="Arial" w:hAnsi="Arial" w:cs="Arial"/>
                <w:sz w:val="22"/>
                <w:szCs w:val="22"/>
                <w:lang w:val="en-GB"/>
              </w:rPr>
              <w:t xml:space="preserve"> has been updated to include recent developments.</w:t>
            </w:r>
          </w:p>
          <w:p w14:paraId="51512E47" w14:textId="34701BDD" w:rsidR="00A75804" w:rsidRPr="00A75804" w:rsidRDefault="00A75804" w:rsidP="00A75804">
            <w:pPr>
              <w:pStyle w:val="ListParagraph"/>
              <w:widowControl w:val="0"/>
              <w:numPr>
                <w:ilvl w:val="0"/>
                <w:numId w:val="9"/>
              </w:numPr>
              <w:spacing w:before="120" w:beforeAutospacing="0" w:after="120" w:afterAutospacing="0"/>
              <w:ind w:left="470" w:right="57" w:hanging="357"/>
              <w:rPr>
                <w:rFonts w:ascii="Arial" w:hAnsi="Arial" w:cs="Arial"/>
                <w:sz w:val="22"/>
                <w:szCs w:val="22"/>
                <w:lang w:val="en-GB"/>
              </w:rPr>
            </w:pPr>
            <w:r w:rsidRPr="00A75804">
              <w:rPr>
                <w:rFonts w:ascii="Arial" w:hAnsi="Arial" w:cs="Arial"/>
                <w:sz w:val="22"/>
                <w:szCs w:val="22"/>
                <w:lang w:val="en-GB"/>
              </w:rPr>
              <w:t>The workflows proposed by CCS concerning private sector resource mobilization are being revised</w:t>
            </w:r>
            <w:r w:rsidR="00225A4C">
              <w:rPr>
                <w:rFonts w:ascii="Arial" w:hAnsi="Arial" w:cs="Arial"/>
                <w:sz w:val="22"/>
                <w:szCs w:val="22"/>
                <w:lang w:val="en-GB"/>
              </w:rPr>
              <w:t>,</w:t>
            </w:r>
            <w:r w:rsidRPr="00A75804">
              <w:rPr>
                <w:rFonts w:ascii="Arial" w:hAnsi="Arial" w:cs="Arial"/>
                <w:sz w:val="22"/>
                <w:szCs w:val="22"/>
                <w:lang w:val="en-GB"/>
              </w:rPr>
              <w:t xml:space="preserve"> taking into account the experience gathered since the CCS Unit</w:t>
            </w:r>
            <w:r w:rsidR="00225A4C">
              <w:rPr>
                <w:rFonts w:ascii="Arial" w:hAnsi="Arial" w:cs="Arial"/>
                <w:sz w:val="22"/>
                <w:szCs w:val="22"/>
                <w:lang w:val="en-GB"/>
              </w:rPr>
              <w:t xml:space="preserve"> was set up</w:t>
            </w:r>
            <w:r w:rsidRPr="00A75804">
              <w:rPr>
                <w:rFonts w:ascii="Arial" w:hAnsi="Arial" w:cs="Arial"/>
                <w:sz w:val="22"/>
                <w:szCs w:val="22"/>
                <w:lang w:val="en-GB"/>
              </w:rPr>
              <w:t>.</w:t>
            </w:r>
          </w:p>
          <w:p w14:paraId="07EBEB2B" w14:textId="480A2F7B" w:rsidR="00A75804" w:rsidRPr="00A75804" w:rsidRDefault="00A75804" w:rsidP="00A75804">
            <w:pPr>
              <w:pStyle w:val="ListParagraph"/>
              <w:widowControl w:val="0"/>
              <w:numPr>
                <w:ilvl w:val="0"/>
                <w:numId w:val="9"/>
              </w:numPr>
              <w:spacing w:before="120" w:beforeAutospacing="0" w:after="120" w:afterAutospacing="0"/>
              <w:ind w:left="470" w:right="57" w:hanging="357"/>
              <w:rPr>
                <w:rFonts w:ascii="Arial" w:hAnsi="Arial" w:cs="Arial"/>
                <w:sz w:val="22"/>
                <w:szCs w:val="22"/>
                <w:lang w:val="en-GB"/>
              </w:rPr>
            </w:pPr>
            <w:r w:rsidRPr="00A75804">
              <w:rPr>
                <w:rFonts w:ascii="Arial" w:hAnsi="Arial" w:cs="Arial"/>
                <w:sz w:val="22"/>
                <w:szCs w:val="22"/>
                <w:lang w:val="en-GB"/>
              </w:rPr>
              <w:t>CCS collaborates with ITH in the development of a communications and outreach strategy</w:t>
            </w:r>
          </w:p>
          <w:p w14:paraId="5A02DC32" w14:textId="61B9F19B" w:rsidR="00FA5645" w:rsidRPr="0033405D" w:rsidRDefault="00A75804">
            <w:pPr>
              <w:pStyle w:val="ListParagraph"/>
              <w:widowControl w:val="0"/>
              <w:numPr>
                <w:ilvl w:val="0"/>
                <w:numId w:val="9"/>
              </w:numPr>
              <w:spacing w:before="120" w:beforeAutospacing="0" w:after="120" w:afterAutospacing="0"/>
              <w:ind w:left="470" w:right="57" w:hanging="357"/>
              <w:rPr>
                <w:rFonts w:ascii="Arial" w:hAnsi="Arial" w:cs="Arial"/>
                <w:sz w:val="22"/>
                <w:szCs w:val="22"/>
                <w:lang w:val="en-GB" w:eastAsia="en-US"/>
              </w:rPr>
            </w:pPr>
            <w:r w:rsidRPr="00A75804">
              <w:rPr>
                <w:rFonts w:ascii="Arial" w:hAnsi="Arial" w:cs="Arial"/>
                <w:sz w:val="22"/>
                <w:szCs w:val="22"/>
                <w:lang w:val="en-GB"/>
              </w:rPr>
              <w:t xml:space="preserve">CCS prospects for private sector partners with </w:t>
            </w:r>
            <w:r w:rsidR="00225A4C">
              <w:rPr>
                <w:rFonts w:ascii="Arial" w:hAnsi="Arial" w:cs="Arial"/>
                <w:sz w:val="22"/>
                <w:szCs w:val="22"/>
                <w:lang w:val="en-GB"/>
              </w:rPr>
              <w:t xml:space="preserve">a </w:t>
            </w:r>
            <w:r w:rsidRPr="00A75804">
              <w:rPr>
                <w:rFonts w:ascii="Arial" w:hAnsi="Arial" w:cs="Arial"/>
                <w:sz w:val="22"/>
                <w:szCs w:val="22"/>
                <w:lang w:val="en-GB"/>
              </w:rPr>
              <w:t xml:space="preserve">potential interest </w:t>
            </w:r>
            <w:r w:rsidR="00225A4C">
              <w:rPr>
                <w:rFonts w:ascii="Arial" w:hAnsi="Arial" w:cs="Arial"/>
                <w:sz w:val="22"/>
                <w:szCs w:val="22"/>
                <w:lang w:val="en-GB"/>
              </w:rPr>
              <w:t xml:space="preserve">in </w:t>
            </w:r>
            <w:r w:rsidRPr="00A75804">
              <w:rPr>
                <w:rFonts w:ascii="Arial" w:hAnsi="Arial" w:cs="Arial"/>
                <w:sz w:val="22"/>
                <w:szCs w:val="22"/>
                <w:lang w:val="en-GB"/>
              </w:rPr>
              <w:t xml:space="preserve">ITH, with the objective </w:t>
            </w:r>
            <w:r w:rsidR="00225A4C">
              <w:rPr>
                <w:rFonts w:ascii="Arial" w:hAnsi="Arial" w:cs="Arial"/>
                <w:sz w:val="22"/>
                <w:szCs w:val="22"/>
                <w:lang w:val="en-GB"/>
              </w:rPr>
              <w:t xml:space="preserve">of </w:t>
            </w:r>
            <w:r w:rsidRPr="00A75804">
              <w:rPr>
                <w:rFonts w:ascii="Arial" w:hAnsi="Arial" w:cs="Arial"/>
                <w:sz w:val="22"/>
                <w:szCs w:val="22"/>
                <w:lang w:val="en-GB"/>
              </w:rPr>
              <w:t>identify</w:t>
            </w:r>
            <w:r w:rsidR="00225A4C">
              <w:rPr>
                <w:rFonts w:ascii="Arial" w:hAnsi="Arial" w:cs="Arial"/>
                <w:sz w:val="22"/>
                <w:szCs w:val="22"/>
                <w:lang w:val="en-GB"/>
              </w:rPr>
              <w:t>ing</w:t>
            </w:r>
            <w:r w:rsidRPr="00A75804">
              <w:rPr>
                <w:rFonts w:ascii="Arial" w:hAnsi="Arial" w:cs="Arial"/>
                <w:sz w:val="22"/>
                <w:szCs w:val="22"/>
                <w:lang w:val="en-GB"/>
              </w:rPr>
              <w:t xml:space="preserve"> five to seven potential partners during this biennium.</w:t>
            </w:r>
          </w:p>
        </w:tc>
      </w:tr>
    </w:tbl>
    <w:p w14:paraId="411ED2C3" w14:textId="6A204732" w:rsidR="003E5919" w:rsidRPr="00776A37" w:rsidRDefault="003E5919" w:rsidP="002437F6">
      <w:pPr>
        <w:pStyle w:val="COMParaDecision"/>
        <w:numPr>
          <w:ilvl w:val="0"/>
          <w:numId w:val="0"/>
        </w:numPr>
        <w:rPr>
          <w:highlight w:val="yellow"/>
          <w:u w:val="none"/>
        </w:rPr>
      </w:pPr>
    </w:p>
    <w:sectPr w:rsidR="003E5919" w:rsidRPr="00776A37" w:rsidSect="002437F6">
      <w:headerReference w:type="first" r:id="rId65"/>
      <w:pgSz w:w="16838" w:h="11906" w:orient="landscape" w:code="9"/>
      <w:pgMar w:top="709" w:right="1134" w:bottom="709"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4FD6" w14:textId="77777777" w:rsidR="00284E2B" w:rsidRDefault="00284E2B" w:rsidP="00655736">
      <w:r>
        <w:separator/>
      </w:r>
    </w:p>
  </w:endnote>
  <w:endnote w:type="continuationSeparator" w:id="0">
    <w:p w14:paraId="27C018BC" w14:textId="77777777" w:rsidR="00284E2B" w:rsidRDefault="00284E2B" w:rsidP="00655736">
      <w:r>
        <w:continuationSeparator/>
      </w:r>
    </w:p>
  </w:endnote>
  <w:endnote w:type="continuationNotice" w:id="1">
    <w:p w14:paraId="7DE127F9" w14:textId="77777777" w:rsidR="00284E2B" w:rsidRDefault="00284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74B3" w14:textId="77777777" w:rsidR="00284E2B" w:rsidRDefault="00284E2B" w:rsidP="00655736">
      <w:r>
        <w:separator/>
      </w:r>
    </w:p>
  </w:footnote>
  <w:footnote w:type="continuationSeparator" w:id="0">
    <w:p w14:paraId="4713545C" w14:textId="77777777" w:rsidR="00284E2B" w:rsidRDefault="00284E2B" w:rsidP="00655736">
      <w:r>
        <w:continuationSeparator/>
      </w:r>
    </w:p>
  </w:footnote>
  <w:footnote w:type="continuationNotice" w:id="1">
    <w:p w14:paraId="287A37C1" w14:textId="77777777" w:rsidR="00284E2B" w:rsidRDefault="00284E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47DE" w14:textId="70EF85B5" w:rsidR="00284E2B" w:rsidRPr="00C23A97" w:rsidRDefault="00284E2B" w:rsidP="00834CCB">
    <w:pPr>
      <w:pStyle w:val="Header"/>
      <w:jc w:val="right"/>
      <w:rPr>
        <w:rFonts w:ascii="Arial" w:hAnsi="Arial" w:cs="Arial"/>
      </w:rPr>
    </w:pPr>
    <w:r w:rsidRPr="003A2FFA">
      <w:rPr>
        <w:rFonts w:ascii="Arial" w:hAnsi="Arial" w:cs="Arial"/>
      </w:rPr>
      <w:t>ITH/16/11.COM/5</w:t>
    </w:r>
    <w:r w:rsidRPr="00C23A97">
      <w:rPr>
        <w:rFonts w:ascii="Arial" w:hAnsi="Arial" w:cs="Arial"/>
      </w:rPr>
      <w:t xml:space="preserve"> – page </w:t>
    </w:r>
    <w:r w:rsidRPr="00C23A97">
      <w:rPr>
        <w:rStyle w:val="PageNumber"/>
        <w:rFonts w:ascii="Arial" w:hAnsi="Arial" w:cs="Arial"/>
      </w:rPr>
      <w:fldChar w:fldCharType="begin"/>
    </w:r>
    <w:r w:rsidRPr="00C23A97">
      <w:rPr>
        <w:rStyle w:val="PageNumber"/>
        <w:rFonts w:ascii="Arial" w:hAnsi="Arial" w:cs="Arial"/>
      </w:rPr>
      <w:instrText xml:space="preserve"> PAGE </w:instrText>
    </w:r>
    <w:r w:rsidRPr="00C23A97">
      <w:rPr>
        <w:rStyle w:val="PageNumber"/>
        <w:rFonts w:ascii="Arial" w:hAnsi="Arial" w:cs="Arial"/>
      </w:rPr>
      <w:fldChar w:fldCharType="separate"/>
    </w:r>
    <w:r w:rsidR="00EC7F93">
      <w:rPr>
        <w:rStyle w:val="PageNumber"/>
        <w:rFonts w:ascii="Arial" w:hAnsi="Arial" w:cs="Arial"/>
        <w:noProof/>
      </w:rPr>
      <w:t>10</w:t>
    </w:r>
    <w:r w:rsidRPr="00C23A97">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D6FB" w14:textId="55C20C10" w:rsidR="00284E2B" w:rsidRPr="0063300C" w:rsidRDefault="00284E2B" w:rsidP="00834CCB">
    <w:pPr>
      <w:pStyle w:val="Header"/>
      <w:rPr>
        <w:rFonts w:ascii="Arial" w:hAnsi="Arial" w:cs="Arial"/>
      </w:rPr>
    </w:pPr>
    <w:r w:rsidRPr="003A2FFA">
      <w:rPr>
        <w:rFonts w:ascii="Arial" w:hAnsi="Arial" w:cs="Arial"/>
      </w:rPr>
      <w:t>ITH/16/11.COM/5</w:t>
    </w:r>
    <w:r w:rsidRPr="0063300C">
      <w:rPr>
        <w:rFonts w:ascii="Arial" w:hAnsi="Arial" w:cs="Arial"/>
      </w:rPr>
      <w:t xml:space="preserve">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EC7F93">
      <w:rPr>
        <w:rStyle w:val="PageNumber"/>
        <w:rFonts w:ascii="Arial" w:hAnsi="Arial" w:cs="Arial"/>
        <w:noProof/>
      </w:rPr>
      <w:t>11</w:t>
    </w:r>
    <w:r w:rsidRPr="0063300C">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7F93" w14:textId="77777777" w:rsidR="00284E2B" w:rsidRPr="00F32C23" w:rsidRDefault="00284E2B">
    <w:pPr>
      <w:pStyle w:val="Header"/>
    </w:pPr>
    <w:r>
      <w:rPr>
        <w:noProof/>
        <w:lang w:val="fr-FR"/>
      </w:rPr>
      <w:drawing>
        <wp:anchor distT="0" distB="0" distL="114300" distR="114300" simplePos="0" relativeHeight="251660288" behindDoc="0" locked="0" layoutInCell="1" allowOverlap="1" wp14:anchorId="2ADBFD91" wp14:editId="50485273">
          <wp:simplePos x="0" y="0"/>
          <wp:positionH relativeFrom="column">
            <wp:posOffset>-567690</wp:posOffset>
          </wp:positionH>
          <wp:positionV relativeFrom="page">
            <wp:posOffset>255905</wp:posOffset>
          </wp:positionV>
          <wp:extent cx="2228400" cy="136800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400" cy="1368000"/>
                  </a:xfrm>
                  <a:prstGeom prst="rect">
                    <a:avLst/>
                  </a:prstGeom>
                  <a:noFill/>
                </pic:spPr>
              </pic:pic>
            </a:graphicData>
          </a:graphic>
          <wp14:sizeRelH relativeFrom="margin">
            <wp14:pctWidth>0</wp14:pctWidth>
          </wp14:sizeRelH>
          <wp14:sizeRelV relativeFrom="margin">
            <wp14:pctHeight>0</wp14:pctHeight>
          </wp14:sizeRelV>
        </wp:anchor>
      </w:drawing>
    </w:r>
  </w:p>
  <w:p w14:paraId="51241A45" w14:textId="77777777" w:rsidR="00284E2B" w:rsidRPr="00E66C4F" w:rsidRDefault="00284E2B" w:rsidP="00655736">
    <w:pPr>
      <w:pStyle w:val="Header"/>
      <w:spacing w:after="520"/>
      <w:jc w:val="right"/>
      <w:rPr>
        <w:rFonts w:ascii="Arial" w:hAnsi="Arial" w:cs="Arial"/>
        <w:b/>
        <w:sz w:val="44"/>
        <w:szCs w:val="44"/>
        <w:lang w:val="pt-BR"/>
      </w:rPr>
    </w:pPr>
    <w:r w:rsidRPr="00E66C4F">
      <w:rPr>
        <w:rFonts w:ascii="Arial" w:hAnsi="Arial" w:cs="Arial"/>
        <w:b/>
        <w:sz w:val="44"/>
        <w:szCs w:val="44"/>
        <w:lang w:val="pt-BR"/>
      </w:rPr>
      <w:t>11 COM</w:t>
    </w:r>
  </w:p>
  <w:p w14:paraId="7110B8A2" w14:textId="77777777" w:rsidR="00284E2B" w:rsidRPr="00E66C4F" w:rsidRDefault="00284E2B" w:rsidP="00655736">
    <w:pPr>
      <w:jc w:val="right"/>
      <w:rPr>
        <w:rFonts w:ascii="Arial" w:hAnsi="Arial" w:cs="Arial"/>
        <w:b/>
        <w:sz w:val="22"/>
        <w:szCs w:val="22"/>
        <w:lang w:val="pt-BR"/>
      </w:rPr>
    </w:pPr>
    <w:r w:rsidRPr="00E66C4F">
      <w:rPr>
        <w:rFonts w:ascii="Arial" w:hAnsi="Arial" w:cs="Arial"/>
        <w:b/>
        <w:sz w:val="22"/>
        <w:szCs w:val="22"/>
        <w:lang w:val="pt-BR"/>
      </w:rPr>
      <w:t>ITH/16/11.COM/</w:t>
    </w:r>
    <w:r w:rsidRPr="009427FC">
      <w:rPr>
        <w:rFonts w:ascii="Arial" w:hAnsi="Arial" w:cs="Arial"/>
        <w:b/>
        <w:sz w:val="22"/>
        <w:szCs w:val="22"/>
        <w:lang w:val="pt-BR"/>
      </w:rPr>
      <w:t>5</w:t>
    </w:r>
  </w:p>
  <w:p w14:paraId="29880A73" w14:textId="00F7A0EF" w:rsidR="00284E2B" w:rsidRPr="00E66C4F" w:rsidRDefault="00284E2B" w:rsidP="00655736">
    <w:pPr>
      <w:jc w:val="right"/>
      <w:rPr>
        <w:rFonts w:ascii="Arial" w:hAnsi="Arial" w:cs="Arial"/>
        <w:b/>
        <w:sz w:val="22"/>
        <w:szCs w:val="22"/>
        <w:lang w:val="pt-BR"/>
      </w:rPr>
    </w:pPr>
    <w:r w:rsidRPr="00E66C4F">
      <w:rPr>
        <w:rFonts w:ascii="Arial" w:hAnsi="Arial" w:cs="Arial"/>
        <w:b/>
        <w:sz w:val="22"/>
        <w:szCs w:val="22"/>
        <w:lang w:val="pt-BR"/>
      </w:rPr>
      <w:t xml:space="preserve">Paris, </w:t>
    </w:r>
    <w:r>
      <w:rPr>
        <w:rFonts w:ascii="Arial" w:eastAsia="Malgun Gothic" w:hAnsi="Arial" w:cs="Arial" w:hint="eastAsia"/>
        <w:b/>
        <w:sz w:val="22"/>
        <w:szCs w:val="22"/>
        <w:lang w:val="pt-BR" w:eastAsia="ko-KR"/>
      </w:rPr>
      <w:t>31 October</w:t>
    </w:r>
    <w:r w:rsidRPr="00E66C4F">
      <w:rPr>
        <w:rFonts w:ascii="Arial" w:hAnsi="Arial" w:cs="Arial"/>
        <w:b/>
        <w:sz w:val="22"/>
        <w:szCs w:val="22"/>
        <w:lang w:val="pt-BR"/>
      </w:rPr>
      <w:t>2016</w:t>
    </w:r>
  </w:p>
  <w:p w14:paraId="6C7084EE" w14:textId="36E5983D" w:rsidR="00284E2B" w:rsidRPr="001A4F0B" w:rsidRDefault="00284E2B" w:rsidP="001A4F0B">
    <w:pPr>
      <w:jc w:val="right"/>
      <w:rPr>
        <w:rFonts w:ascii="Arial" w:eastAsia="Malgun Gothic" w:hAnsi="Arial" w:cs="Arial"/>
        <w:b/>
        <w:sz w:val="22"/>
        <w:szCs w:val="22"/>
        <w:lang w:val="en-GB" w:eastAsia="ko-KR"/>
      </w:rPr>
    </w:pPr>
    <w:r w:rsidRPr="003A2FFA">
      <w:rPr>
        <w:rFonts w:ascii="Arial" w:hAnsi="Arial" w:cs="Arial"/>
        <w:b/>
        <w:sz w:val="22"/>
        <w:szCs w:val="22"/>
        <w:lang w:val="en-GB"/>
      </w:rPr>
      <w:t>Original: English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19DF" w14:textId="5A1A89C0" w:rsidR="00284E2B" w:rsidRPr="0063300C" w:rsidRDefault="00284E2B" w:rsidP="00FA5645">
    <w:pPr>
      <w:pStyle w:val="Header"/>
      <w:jc w:val="right"/>
      <w:rPr>
        <w:rFonts w:ascii="Arial" w:hAnsi="Arial" w:cs="Arial"/>
      </w:rPr>
    </w:pPr>
    <w:r w:rsidRPr="003A2FFA">
      <w:rPr>
        <w:rFonts w:ascii="Arial" w:hAnsi="Arial" w:cs="Arial"/>
      </w:rPr>
      <w:t>ITH/16/11.COM/5</w:t>
    </w:r>
    <w:r w:rsidRPr="0063300C">
      <w:rPr>
        <w:rFonts w:ascii="Arial" w:hAnsi="Arial" w:cs="Arial"/>
      </w:rPr>
      <w:t xml:space="preserve">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EC7F93">
      <w:rPr>
        <w:rStyle w:val="PageNumber"/>
        <w:rFonts w:ascii="Arial" w:hAnsi="Arial" w:cs="Arial"/>
        <w:noProof/>
      </w:rPr>
      <w:t>22</w:t>
    </w:r>
    <w:r w:rsidRPr="0063300C">
      <w:rPr>
        <w:rStyle w:val="PageNumber"/>
        <w:rFonts w:ascii="Arial" w:hAnsi="Arial" w:cs="Arial"/>
      </w:rPr>
      <w:fldChar w:fldCharType="end"/>
    </w:r>
  </w:p>
  <w:p w14:paraId="62D56FEA" w14:textId="77777777" w:rsidR="00284E2B" w:rsidRPr="00C23A97" w:rsidRDefault="00284E2B">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F18A" w14:textId="500007C6" w:rsidR="00284E2B" w:rsidRPr="0063300C" w:rsidRDefault="00284E2B" w:rsidP="00FA5645">
    <w:pPr>
      <w:pStyle w:val="Header"/>
      <w:rPr>
        <w:rFonts w:ascii="Arial" w:hAnsi="Arial" w:cs="Arial"/>
      </w:rPr>
    </w:pPr>
    <w:r w:rsidRPr="003A2FFA">
      <w:rPr>
        <w:rFonts w:ascii="Arial" w:hAnsi="Arial" w:cs="Arial"/>
      </w:rPr>
      <w:t>ITH/16/11.COM/5</w:t>
    </w:r>
    <w:r w:rsidRPr="0063300C">
      <w:rPr>
        <w:rFonts w:ascii="Arial" w:hAnsi="Arial" w:cs="Arial"/>
      </w:rPr>
      <w:t xml:space="preserve">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EC7F93">
      <w:rPr>
        <w:rStyle w:val="PageNumber"/>
        <w:rFonts w:ascii="Arial" w:hAnsi="Arial" w:cs="Arial"/>
        <w:noProof/>
      </w:rPr>
      <w:t>21</w:t>
    </w:r>
    <w:r w:rsidRPr="0063300C">
      <w:rPr>
        <w:rStyle w:val="PageNumber"/>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06DC" w14:textId="4251E409" w:rsidR="00284E2B" w:rsidRPr="00FA5645" w:rsidRDefault="00284E2B" w:rsidP="00FA5645">
    <w:pPr>
      <w:pStyle w:val="Header"/>
      <w:jc w:val="right"/>
      <w:rPr>
        <w:rFonts w:ascii="Arial" w:hAnsi="Arial" w:cs="Arial"/>
      </w:rPr>
    </w:pPr>
    <w:r w:rsidRPr="003A2FFA">
      <w:rPr>
        <w:rFonts w:ascii="Arial" w:hAnsi="Arial" w:cs="Arial"/>
      </w:rPr>
      <w:t>ITH/16/11.COM/5</w:t>
    </w:r>
    <w:r w:rsidRPr="0063300C">
      <w:rPr>
        <w:rFonts w:ascii="Arial" w:hAnsi="Arial" w:cs="Arial"/>
      </w:rPr>
      <w:t xml:space="preserve"> – page </w:t>
    </w:r>
    <w:r w:rsidRPr="0063300C">
      <w:rPr>
        <w:rStyle w:val="PageNumber"/>
        <w:rFonts w:ascii="Arial" w:hAnsi="Arial" w:cs="Arial"/>
      </w:rPr>
      <w:fldChar w:fldCharType="begin"/>
    </w:r>
    <w:r w:rsidRPr="0063300C">
      <w:rPr>
        <w:rStyle w:val="PageNumber"/>
        <w:rFonts w:ascii="Arial" w:hAnsi="Arial" w:cs="Arial"/>
      </w:rPr>
      <w:instrText xml:space="preserve"> PAGE </w:instrText>
    </w:r>
    <w:r w:rsidRPr="0063300C">
      <w:rPr>
        <w:rStyle w:val="PageNumber"/>
        <w:rFonts w:ascii="Arial" w:hAnsi="Arial" w:cs="Arial"/>
      </w:rPr>
      <w:fldChar w:fldCharType="separate"/>
    </w:r>
    <w:r w:rsidR="00EC7F93">
      <w:rPr>
        <w:rStyle w:val="PageNumber"/>
        <w:rFonts w:ascii="Arial" w:hAnsi="Arial" w:cs="Arial"/>
        <w:noProof/>
      </w:rPr>
      <w:t>12</w:t>
    </w:r>
    <w:r w:rsidRPr="0063300C">
      <w:rPr>
        <w:rStyle w:val="PageNumber"/>
        <w:rFonts w:ascii="Arial" w:hAnsi="Arial"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BA7" w14:textId="18BFE6BB" w:rsidR="00284E2B" w:rsidRPr="00953F41" w:rsidRDefault="00284E2B" w:rsidP="00953F41">
    <w:pPr>
      <w:pStyle w:val="Header"/>
      <w:rPr>
        <w:rFonts w:ascii="Arial" w:eastAsia="Malgun Gothic" w:hAnsi="Arial" w:cs="Arial"/>
        <w:lang w:eastAsia="ko-KR"/>
      </w:rPr>
    </w:pPr>
    <w:r w:rsidRPr="003A2FFA">
      <w:rPr>
        <w:rFonts w:ascii="Arial" w:hAnsi="Arial" w:cs="Arial"/>
      </w:rPr>
      <w:t>ITH/16/11.COM/5</w:t>
    </w:r>
    <w:r w:rsidRPr="00C23A97">
      <w:rPr>
        <w:rFonts w:ascii="Arial" w:hAnsi="Arial" w:cs="Arial"/>
      </w:rPr>
      <w:t xml:space="preserve"> – page </w:t>
    </w:r>
    <w:r w:rsidRPr="00C23A97">
      <w:rPr>
        <w:rStyle w:val="PageNumber"/>
        <w:rFonts w:ascii="Arial" w:hAnsi="Arial" w:cs="Arial"/>
      </w:rPr>
      <w:fldChar w:fldCharType="begin"/>
    </w:r>
    <w:r w:rsidRPr="00C23A97">
      <w:rPr>
        <w:rStyle w:val="PageNumber"/>
        <w:rFonts w:ascii="Arial" w:hAnsi="Arial" w:cs="Arial"/>
      </w:rPr>
      <w:instrText xml:space="preserve"> PAGE </w:instrText>
    </w:r>
    <w:r w:rsidRPr="00C23A97">
      <w:rPr>
        <w:rStyle w:val="PageNumber"/>
        <w:rFonts w:ascii="Arial" w:hAnsi="Arial" w:cs="Arial"/>
      </w:rPr>
      <w:fldChar w:fldCharType="separate"/>
    </w:r>
    <w:r w:rsidR="00EC7F93">
      <w:rPr>
        <w:rStyle w:val="PageNumber"/>
        <w:rFonts w:ascii="Arial" w:hAnsi="Arial" w:cs="Arial"/>
        <w:noProof/>
      </w:rPr>
      <w:t>29</w:t>
    </w:r>
    <w:r w:rsidRPr="00C23A97">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cs="Times New Roman"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232D2344"/>
    <w:multiLevelType w:val="hybridMultilevel"/>
    <w:tmpl w:val="3A9244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2786873"/>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15:restartNumberingAfterBreak="0">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7140D93"/>
    <w:multiLevelType w:val="hybridMultilevel"/>
    <w:tmpl w:val="C34CED34"/>
    <w:lvl w:ilvl="0" w:tplc="8092E936">
      <w:start w:val="1"/>
      <w:numFmt w:val="decimal"/>
      <w:pStyle w:val="5GAparabodytext"/>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11"/>
  </w:num>
  <w:num w:numId="7">
    <w:abstractNumId w:val="2"/>
  </w:num>
  <w:num w:numId="8">
    <w:abstractNumId w:val="4"/>
  </w:num>
  <w:num w:numId="9">
    <w:abstractNumId w:val="13"/>
  </w:num>
  <w:num w:numId="10">
    <w:abstractNumId w:val="0"/>
  </w:num>
  <w:num w:numId="11">
    <w:abstractNumId w:val="1"/>
  </w:num>
  <w:num w:numId="12">
    <w:abstractNumId w:val="5"/>
  </w:num>
  <w:num w:numId="13">
    <w:abstractNumId w:val="12"/>
  </w:num>
  <w:num w:numId="14">
    <w:abstractNumId w:val="10"/>
  </w:num>
  <w:num w:numId="15">
    <w:abstractNumId w:val="6"/>
  </w:num>
  <w:num w:numId="16">
    <w:abstractNumId w:val="6"/>
  </w:num>
  <w:num w:numId="17">
    <w:abstractNumId w:val="6"/>
  </w:num>
  <w:num w:numId="18">
    <w:abstractNumId w:val="6"/>
  </w:num>
  <w:num w:numId="19">
    <w:abstractNumId w:val="6"/>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fr-FR"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2FBA"/>
    <w:rsid w:val="00004141"/>
    <w:rsid w:val="000048ED"/>
    <w:rsid w:val="00006FE9"/>
    <w:rsid w:val="000071B1"/>
    <w:rsid w:val="00014C32"/>
    <w:rsid w:val="00020182"/>
    <w:rsid w:val="0002372D"/>
    <w:rsid w:val="00024C5E"/>
    <w:rsid w:val="00025638"/>
    <w:rsid w:val="00026688"/>
    <w:rsid w:val="0003224C"/>
    <w:rsid w:val="00033546"/>
    <w:rsid w:val="00034739"/>
    <w:rsid w:val="000375D8"/>
    <w:rsid w:val="00041A66"/>
    <w:rsid w:val="00041D15"/>
    <w:rsid w:val="00047CB0"/>
    <w:rsid w:val="0005176E"/>
    <w:rsid w:val="000566B1"/>
    <w:rsid w:val="00057044"/>
    <w:rsid w:val="000576DA"/>
    <w:rsid w:val="0006470B"/>
    <w:rsid w:val="000765F7"/>
    <w:rsid w:val="00077AB7"/>
    <w:rsid w:val="00077DA4"/>
    <w:rsid w:val="00081CD8"/>
    <w:rsid w:val="00082E35"/>
    <w:rsid w:val="00083FF3"/>
    <w:rsid w:val="00086CCD"/>
    <w:rsid w:val="000902F1"/>
    <w:rsid w:val="00091AD4"/>
    <w:rsid w:val="000934AE"/>
    <w:rsid w:val="00094AA2"/>
    <w:rsid w:val="000A1913"/>
    <w:rsid w:val="000A77F0"/>
    <w:rsid w:val="000A7F0E"/>
    <w:rsid w:val="000B0E52"/>
    <w:rsid w:val="000B1C8F"/>
    <w:rsid w:val="000B3B06"/>
    <w:rsid w:val="000B7917"/>
    <w:rsid w:val="000C0D61"/>
    <w:rsid w:val="000C1078"/>
    <w:rsid w:val="000C1223"/>
    <w:rsid w:val="000C4C85"/>
    <w:rsid w:val="000C5465"/>
    <w:rsid w:val="000D7216"/>
    <w:rsid w:val="000E3789"/>
    <w:rsid w:val="000F2E92"/>
    <w:rsid w:val="000F3A3F"/>
    <w:rsid w:val="000F67AC"/>
    <w:rsid w:val="00102557"/>
    <w:rsid w:val="00105FBF"/>
    <w:rsid w:val="001065C6"/>
    <w:rsid w:val="00106A61"/>
    <w:rsid w:val="0011172B"/>
    <w:rsid w:val="00122DB3"/>
    <w:rsid w:val="00124135"/>
    <w:rsid w:val="00130F64"/>
    <w:rsid w:val="00133CD5"/>
    <w:rsid w:val="00137E60"/>
    <w:rsid w:val="0014074F"/>
    <w:rsid w:val="00141C70"/>
    <w:rsid w:val="001437C4"/>
    <w:rsid w:val="0014541F"/>
    <w:rsid w:val="00150310"/>
    <w:rsid w:val="0015751A"/>
    <w:rsid w:val="00163BC7"/>
    <w:rsid w:val="00163DD9"/>
    <w:rsid w:val="00164D56"/>
    <w:rsid w:val="00166C83"/>
    <w:rsid w:val="00167B10"/>
    <w:rsid w:val="001716F4"/>
    <w:rsid w:val="0017402F"/>
    <w:rsid w:val="0017661A"/>
    <w:rsid w:val="00182241"/>
    <w:rsid w:val="0018225F"/>
    <w:rsid w:val="0018484B"/>
    <w:rsid w:val="00193DAA"/>
    <w:rsid w:val="00196C1B"/>
    <w:rsid w:val="001A2C0C"/>
    <w:rsid w:val="001A4F0B"/>
    <w:rsid w:val="001B0F73"/>
    <w:rsid w:val="001B0F79"/>
    <w:rsid w:val="001B516E"/>
    <w:rsid w:val="001B6B7B"/>
    <w:rsid w:val="001C2DB7"/>
    <w:rsid w:val="001C414B"/>
    <w:rsid w:val="001D5C04"/>
    <w:rsid w:val="001D72DE"/>
    <w:rsid w:val="001E11B5"/>
    <w:rsid w:val="001E3B84"/>
    <w:rsid w:val="001E5663"/>
    <w:rsid w:val="001E6E65"/>
    <w:rsid w:val="001E759C"/>
    <w:rsid w:val="001F11B6"/>
    <w:rsid w:val="001F26CF"/>
    <w:rsid w:val="00201B3F"/>
    <w:rsid w:val="00204BDB"/>
    <w:rsid w:val="00210CB9"/>
    <w:rsid w:val="002166EB"/>
    <w:rsid w:val="002167AC"/>
    <w:rsid w:val="002211FC"/>
    <w:rsid w:val="00222A2D"/>
    <w:rsid w:val="00223029"/>
    <w:rsid w:val="002232C8"/>
    <w:rsid w:val="00224E80"/>
    <w:rsid w:val="00225A4C"/>
    <w:rsid w:val="00226FA9"/>
    <w:rsid w:val="00234745"/>
    <w:rsid w:val="002407AF"/>
    <w:rsid w:val="002437F6"/>
    <w:rsid w:val="002455C4"/>
    <w:rsid w:val="00255873"/>
    <w:rsid w:val="00256630"/>
    <w:rsid w:val="00257014"/>
    <w:rsid w:val="00263E84"/>
    <w:rsid w:val="00270925"/>
    <w:rsid w:val="0027466B"/>
    <w:rsid w:val="002838A5"/>
    <w:rsid w:val="00284411"/>
    <w:rsid w:val="00284E2B"/>
    <w:rsid w:val="00285BB4"/>
    <w:rsid w:val="002876DD"/>
    <w:rsid w:val="00293C60"/>
    <w:rsid w:val="00295CA8"/>
    <w:rsid w:val="0029771F"/>
    <w:rsid w:val="002A2A19"/>
    <w:rsid w:val="002A4B80"/>
    <w:rsid w:val="002B32CE"/>
    <w:rsid w:val="002B7714"/>
    <w:rsid w:val="002C09E3"/>
    <w:rsid w:val="002C23B2"/>
    <w:rsid w:val="002C35A5"/>
    <w:rsid w:val="002D3437"/>
    <w:rsid w:val="002E318D"/>
    <w:rsid w:val="002E35E7"/>
    <w:rsid w:val="002F1502"/>
    <w:rsid w:val="002F2B98"/>
    <w:rsid w:val="002F47A3"/>
    <w:rsid w:val="002F7990"/>
    <w:rsid w:val="00300911"/>
    <w:rsid w:val="00303A48"/>
    <w:rsid w:val="00316D7D"/>
    <w:rsid w:val="00317408"/>
    <w:rsid w:val="00320DFD"/>
    <w:rsid w:val="0032331B"/>
    <w:rsid w:val="00324E8E"/>
    <w:rsid w:val="00326112"/>
    <w:rsid w:val="00332B83"/>
    <w:rsid w:val="00336D24"/>
    <w:rsid w:val="00343868"/>
    <w:rsid w:val="00344880"/>
    <w:rsid w:val="00344B58"/>
    <w:rsid w:val="0034539A"/>
    <w:rsid w:val="00345CB4"/>
    <w:rsid w:val="003524FD"/>
    <w:rsid w:val="00366F10"/>
    <w:rsid w:val="00371E8F"/>
    <w:rsid w:val="00374239"/>
    <w:rsid w:val="00375D42"/>
    <w:rsid w:val="00381916"/>
    <w:rsid w:val="0038549B"/>
    <w:rsid w:val="0039147D"/>
    <w:rsid w:val="00392E62"/>
    <w:rsid w:val="00396AC8"/>
    <w:rsid w:val="00397EC9"/>
    <w:rsid w:val="003A2FFA"/>
    <w:rsid w:val="003A594F"/>
    <w:rsid w:val="003A5DBA"/>
    <w:rsid w:val="003A6322"/>
    <w:rsid w:val="003B2791"/>
    <w:rsid w:val="003B42AE"/>
    <w:rsid w:val="003B5C72"/>
    <w:rsid w:val="003C0109"/>
    <w:rsid w:val="003C35C3"/>
    <w:rsid w:val="003D069C"/>
    <w:rsid w:val="003D2320"/>
    <w:rsid w:val="003D46CA"/>
    <w:rsid w:val="003D7646"/>
    <w:rsid w:val="003E5919"/>
    <w:rsid w:val="003F113A"/>
    <w:rsid w:val="003F1ACC"/>
    <w:rsid w:val="003F3E63"/>
    <w:rsid w:val="003F414D"/>
    <w:rsid w:val="003F5802"/>
    <w:rsid w:val="00401070"/>
    <w:rsid w:val="00407480"/>
    <w:rsid w:val="00414643"/>
    <w:rsid w:val="00414680"/>
    <w:rsid w:val="00417A2D"/>
    <w:rsid w:val="004217A2"/>
    <w:rsid w:val="00422ACD"/>
    <w:rsid w:val="004239D6"/>
    <w:rsid w:val="004263FC"/>
    <w:rsid w:val="004304DD"/>
    <w:rsid w:val="00432335"/>
    <w:rsid w:val="00432943"/>
    <w:rsid w:val="00437ED0"/>
    <w:rsid w:val="004421E5"/>
    <w:rsid w:val="00445A78"/>
    <w:rsid w:val="004512A3"/>
    <w:rsid w:val="00452284"/>
    <w:rsid w:val="00457C8E"/>
    <w:rsid w:val="00462563"/>
    <w:rsid w:val="004654DC"/>
    <w:rsid w:val="0047368A"/>
    <w:rsid w:val="00483C0A"/>
    <w:rsid w:val="004856CA"/>
    <w:rsid w:val="00485F3C"/>
    <w:rsid w:val="00487E67"/>
    <w:rsid w:val="0049705E"/>
    <w:rsid w:val="004A34A0"/>
    <w:rsid w:val="004A7242"/>
    <w:rsid w:val="004B0D3E"/>
    <w:rsid w:val="004B3EE3"/>
    <w:rsid w:val="004B45B2"/>
    <w:rsid w:val="004B7F94"/>
    <w:rsid w:val="004C4707"/>
    <w:rsid w:val="004D1524"/>
    <w:rsid w:val="004D32BE"/>
    <w:rsid w:val="004D4E48"/>
    <w:rsid w:val="004D57F2"/>
    <w:rsid w:val="004E10BA"/>
    <w:rsid w:val="004F5F19"/>
    <w:rsid w:val="004F7612"/>
    <w:rsid w:val="004F770F"/>
    <w:rsid w:val="005008A8"/>
    <w:rsid w:val="00505230"/>
    <w:rsid w:val="00515C6A"/>
    <w:rsid w:val="00523303"/>
    <w:rsid w:val="005261AD"/>
    <w:rsid w:val="00526B7B"/>
    <w:rsid w:val="005308CE"/>
    <w:rsid w:val="00531076"/>
    <w:rsid w:val="0053615F"/>
    <w:rsid w:val="00536A74"/>
    <w:rsid w:val="00543205"/>
    <w:rsid w:val="00544CC4"/>
    <w:rsid w:val="005468FB"/>
    <w:rsid w:val="00552D14"/>
    <w:rsid w:val="005541A9"/>
    <w:rsid w:val="0055633B"/>
    <w:rsid w:val="00561F7A"/>
    <w:rsid w:val="00566167"/>
    <w:rsid w:val="0057439C"/>
    <w:rsid w:val="0057570F"/>
    <w:rsid w:val="0057776A"/>
    <w:rsid w:val="00584854"/>
    <w:rsid w:val="005862C7"/>
    <w:rsid w:val="00586B0E"/>
    <w:rsid w:val="00594962"/>
    <w:rsid w:val="00596805"/>
    <w:rsid w:val="0059757F"/>
    <w:rsid w:val="005A4CCB"/>
    <w:rsid w:val="005A5B74"/>
    <w:rsid w:val="005A71D1"/>
    <w:rsid w:val="005B0127"/>
    <w:rsid w:val="005B17FD"/>
    <w:rsid w:val="005B23F8"/>
    <w:rsid w:val="005B7A35"/>
    <w:rsid w:val="005C4B73"/>
    <w:rsid w:val="005C579D"/>
    <w:rsid w:val="005D24B6"/>
    <w:rsid w:val="005D6EFD"/>
    <w:rsid w:val="005E1D2B"/>
    <w:rsid w:val="005E42B1"/>
    <w:rsid w:val="005E7074"/>
    <w:rsid w:val="005F1FA5"/>
    <w:rsid w:val="005F2BAF"/>
    <w:rsid w:val="00600D93"/>
    <w:rsid w:val="00604B4E"/>
    <w:rsid w:val="00605640"/>
    <w:rsid w:val="006059DB"/>
    <w:rsid w:val="006104F3"/>
    <w:rsid w:val="006106BB"/>
    <w:rsid w:val="00611190"/>
    <w:rsid w:val="00617D8F"/>
    <w:rsid w:val="00625B9F"/>
    <w:rsid w:val="00632C1B"/>
    <w:rsid w:val="0063300C"/>
    <w:rsid w:val="00633A04"/>
    <w:rsid w:val="006377B4"/>
    <w:rsid w:val="00637F3F"/>
    <w:rsid w:val="00644160"/>
    <w:rsid w:val="00652D85"/>
    <w:rsid w:val="00654AEA"/>
    <w:rsid w:val="00655736"/>
    <w:rsid w:val="00656E21"/>
    <w:rsid w:val="00663B8D"/>
    <w:rsid w:val="00665171"/>
    <w:rsid w:val="006667EC"/>
    <w:rsid w:val="006679C0"/>
    <w:rsid w:val="00672CA1"/>
    <w:rsid w:val="00680307"/>
    <w:rsid w:val="00680451"/>
    <w:rsid w:val="006949F7"/>
    <w:rsid w:val="00696C8D"/>
    <w:rsid w:val="006A0781"/>
    <w:rsid w:val="006A0F0A"/>
    <w:rsid w:val="006A2AC2"/>
    <w:rsid w:val="006A3617"/>
    <w:rsid w:val="006A6F8A"/>
    <w:rsid w:val="006A70AC"/>
    <w:rsid w:val="006B536D"/>
    <w:rsid w:val="006C1184"/>
    <w:rsid w:val="006D7E28"/>
    <w:rsid w:val="006E0F08"/>
    <w:rsid w:val="006E1C4E"/>
    <w:rsid w:val="006E46E4"/>
    <w:rsid w:val="006E5D8A"/>
    <w:rsid w:val="006E5EC5"/>
    <w:rsid w:val="006E62A0"/>
    <w:rsid w:val="006E62CE"/>
    <w:rsid w:val="006E6956"/>
    <w:rsid w:val="006F5450"/>
    <w:rsid w:val="00700B9E"/>
    <w:rsid w:val="00702851"/>
    <w:rsid w:val="00704DB7"/>
    <w:rsid w:val="00713040"/>
    <w:rsid w:val="00717DA5"/>
    <w:rsid w:val="00723BA8"/>
    <w:rsid w:val="007241E0"/>
    <w:rsid w:val="007311DB"/>
    <w:rsid w:val="00744484"/>
    <w:rsid w:val="00744E32"/>
    <w:rsid w:val="00746C31"/>
    <w:rsid w:val="00747566"/>
    <w:rsid w:val="00752E7F"/>
    <w:rsid w:val="007563AC"/>
    <w:rsid w:val="00757C34"/>
    <w:rsid w:val="007633A2"/>
    <w:rsid w:val="00763BD4"/>
    <w:rsid w:val="00771970"/>
    <w:rsid w:val="00773188"/>
    <w:rsid w:val="00776A37"/>
    <w:rsid w:val="00777DC1"/>
    <w:rsid w:val="00780223"/>
    <w:rsid w:val="00783782"/>
    <w:rsid w:val="00784B8C"/>
    <w:rsid w:val="007879E1"/>
    <w:rsid w:val="00794FB5"/>
    <w:rsid w:val="00797B54"/>
    <w:rsid w:val="007A1B08"/>
    <w:rsid w:val="007A263D"/>
    <w:rsid w:val="007A4C1E"/>
    <w:rsid w:val="007A639C"/>
    <w:rsid w:val="007C173B"/>
    <w:rsid w:val="007C6439"/>
    <w:rsid w:val="007D08BD"/>
    <w:rsid w:val="007D17B2"/>
    <w:rsid w:val="007D712B"/>
    <w:rsid w:val="007E1535"/>
    <w:rsid w:val="007E5BA3"/>
    <w:rsid w:val="007E6BB1"/>
    <w:rsid w:val="007F4607"/>
    <w:rsid w:val="00810DA6"/>
    <w:rsid w:val="00811294"/>
    <w:rsid w:val="008123A6"/>
    <w:rsid w:val="00823A11"/>
    <w:rsid w:val="00824891"/>
    <w:rsid w:val="00825F6F"/>
    <w:rsid w:val="00834CCB"/>
    <w:rsid w:val="008409E5"/>
    <w:rsid w:val="00840E9C"/>
    <w:rsid w:val="00842297"/>
    <w:rsid w:val="00842516"/>
    <w:rsid w:val="00844173"/>
    <w:rsid w:val="008474DB"/>
    <w:rsid w:val="00850186"/>
    <w:rsid w:val="00851B1C"/>
    <w:rsid w:val="0085405E"/>
    <w:rsid w:val="0085414A"/>
    <w:rsid w:val="0086269D"/>
    <w:rsid w:val="0086543A"/>
    <w:rsid w:val="008707CD"/>
    <w:rsid w:val="008724E5"/>
    <w:rsid w:val="0087386D"/>
    <w:rsid w:val="008742C0"/>
    <w:rsid w:val="00881BC7"/>
    <w:rsid w:val="0088218A"/>
    <w:rsid w:val="00884A9D"/>
    <w:rsid w:val="0088512B"/>
    <w:rsid w:val="00885C51"/>
    <w:rsid w:val="0088645B"/>
    <w:rsid w:val="00891783"/>
    <w:rsid w:val="00893C1A"/>
    <w:rsid w:val="008A1948"/>
    <w:rsid w:val="008A2B2D"/>
    <w:rsid w:val="008A4E1E"/>
    <w:rsid w:val="008A7328"/>
    <w:rsid w:val="008B3386"/>
    <w:rsid w:val="008C296C"/>
    <w:rsid w:val="008C3958"/>
    <w:rsid w:val="008D4305"/>
    <w:rsid w:val="008D5F1A"/>
    <w:rsid w:val="008D7A24"/>
    <w:rsid w:val="008E144A"/>
    <w:rsid w:val="008E1A85"/>
    <w:rsid w:val="008E6AA0"/>
    <w:rsid w:val="008F2BFD"/>
    <w:rsid w:val="008F2D6F"/>
    <w:rsid w:val="008F4FC2"/>
    <w:rsid w:val="008F74DE"/>
    <w:rsid w:val="00902B3F"/>
    <w:rsid w:val="00902F43"/>
    <w:rsid w:val="0090435C"/>
    <w:rsid w:val="00912894"/>
    <w:rsid w:val="009163A7"/>
    <w:rsid w:val="0092735F"/>
    <w:rsid w:val="00930D05"/>
    <w:rsid w:val="00933075"/>
    <w:rsid w:val="00934608"/>
    <w:rsid w:val="00937AD9"/>
    <w:rsid w:val="00940998"/>
    <w:rsid w:val="009427FC"/>
    <w:rsid w:val="00944537"/>
    <w:rsid w:val="00946193"/>
    <w:rsid w:val="00946D0B"/>
    <w:rsid w:val="00950085"/>
    <w:rsid w:val="00953F41"/>
    <w:rsid w:val="00955877"/>
    <w:rsid w:val="00955F29"/>
    <w:rsid w:val="00961F80"/>
    <w:rsid w:val="009634FF"/>
    <w:rsid w:val="00964410"/>
    <w:rsid w:val="009650FC"/>
    <w:rsid w:val="0096571E"/>
    <w:rsid w:val="00967026"/>
    <w:rsid w:val="00976BB6"/>
    <w:rsid w:val="009770FB"/>
    <w:rsid w:val="00980D41"/>
    <w:rsid w:val="009833E0"/>
    <w:rsid w:val="00987B4C"/>
    <w:rsid w:val="00990D37"/>
    <w:rsid w:val="0099186A"/>
    <w:rsid w:val="00991D12"/>
    <w:rsid w:val="0099547D"/>
    <w:rsid w:val="009A0FDF"/>
    <w:rsid w:val="009A18CD"/>
    <w:rsid w:val="009A4265"/>
    <w:rsid w:val="009B303D"/>
    <w:rsid w:val="009D1ADE"/>
    <w:rsid w:val="009D5428"/>
    <w:rsid w:val="009E2365"/>
    <w:rsid w:val="009E4DF6"/>
    <w:rsid w:val="009E55CC"/>
    <w:rsid w:val="00A07171"/>
    <w:rsid w:val="00A10105"/>
    <w:rsid w:val="00A109BD"/>
    <w:rsid w:val="00A12558"/>
    <w:rsid w:val="00A13903"/>
    <w:rsid w:val="00A24A9A"/>
    <w:rsid w:val="00A25FBC"/>
    <w:rsid w:val="00A272DA"/>
    <w:rsid w:val="00A32A16"/>
    <w:rsid w:val="00A34ED5"/>
    <w:rsid w:val="00A40DB9"/>
    <w:rsid w:val="00A41A76"/>
    <w:rsid w:val="00A45DBF"/>
    <w:rsid w:val="00A46FE5"/>
    <w:rsid w:val="00A501C2"/>
    <w:rsid w:val="00A519AF"/>
    <w:rsid w:val="00A5241E"/>
    <w:rsid w:val="00A536E9"/>
    <w:rsid w:val="00A60DC2"/>
    <w:rsid w:val="00A61F50"/>
    <w:rsid w:val="00A738D4"/>
    <w:rsid w:val="00A746CB"/>
    <w:rsid w:val="00A755A2"/>
    <w:rsid w:val="00A75804"/>
    <w:rsid w:val="00A75C24"/>
    <w:rsid w:val="00A76D55"/>
    <w:rsid w:val="00A85BBE"/>
    <w:rsid w:val="00A9076B"/>
    <w:rsid w:val="00A9486E"/>
    <w:rsid w:val="00A94A66"/>
    <w:rsid w:val="00A94B30"/>
    <w:rsid w:val="00AA6660"/>
    <w:rsid w:val="00AB0A0F"/>
    <w:rsid w:val="00AB1BD5"/>
    <w:rsid w:val="00AB23CF"/>
    <w:rsid w:val="00AB2C36"/>
    <w:rsid w:val="00AB41C1"/>
    <w:rsid w:val="00AB47A5"/>
    <w:rsid w:val="00AB6DDE"/>
    <w:rsid w:val="00AB70B6"/>
    <w:rsid w:val="00AC0661"/>
    <w:rsid w:val="00AC451E"/>
    <w:rsid w:val="00AC59AE"/>
    <w:rsid w:val="00AD1A86"/>
    <w:rsid w:val="00AD2112"/>
    <w:rsid w:val="00AD5F76"/>
    <w:rsid w:val="00AE05CB"/>
    <w:rsid w:val="00AE103E"/>
    <w:rsid w:val="00AE39A8"/>
    <w:rsid w:val="00AE6609"/>
    <w:rsid w:val="00AF0A07"/>
    <w:rsid w:val="00AF42C6"/>
    <w:rsid w:val="00AF45C9"/>
    <w:rsid w:val="00AF4710"/>
    <w:rsid w:val="00AF4AEC"/>
    <w:rsid w:val="00AF5325"/>
    <w:rsid w:val="00AF625E"/>
    <w:rsid w:val="00B02A93"/>
    <w:rsid w:val="00B02F24"/>
    <w:rsid w:val="00B037F3"/>
    <w:rsid w:val="00B04AAC"/>
    <w:rsid w:val="00B06A32"/>
    <w:rsid w:val="00B24E6A"/>
    <w:rsid w:val="00B350D5"/>
    <w:rsid w:val="00B35A9A"/>
    <w:rsid w:val="00B43AE4"/>
    <w:rsid w:val="00B43F4D"/>
    <w:rsid w:val="00B45FDE"/>
    <w:rsid w:val="00B47EE9"/>
    <w:rsid w:val="00B631A2"/>
    <w:rsid w:val="00B73BAA"/>
    <w:rsid w:val="00B8060D"/>
    <w:rsid w:val="00B86B32"/>
    <w:rsid w:val="00B9565E"/>
    <w:rsid w:val="00BA11DA"/>
    <w:rsid w:val="00BA3A07"/>
    <w:rsid w:val="00BB04AF"/>
    <w:rsid w:val="00BB6E41"/>
    <w:rsid w:val="00BC5FAB"/>
    <w:rsid w:val="00BD0B13"/>
    <w:rsid w:val="00BD14DB"/>
    <w:rsid w:val="00BD1E05"/>
    <w:rsid w:val="00BD3E3A"/>
    <w:rsid w:val="00BD52C9"/>
    <w:rsid w:val="00BE073E"/>
    <w:rsid w:val="00BE22E2"/>
    <w:rsid w:val="00BE6354"/>
    <w:rsid w:val="00BE7D04"/>
    <w:rsid w:val="00BF0E21"/>
    <w:rsid w:val="00C01E78"/>
    <w:rsid w:val="00C039ED"/>
    <w:rsid w:val="00C050EC"/>
    <w:rsid w:val="00C10B54"/>
    <w:rsid w:val="00C138D1"/>
    <w:rsid w:val="00C14030"/>
    <w:rsid w:val="00C14DC4"/>
    <w:rsid w:val="00C1586C"/>
    <w:rsid w:val="00C16C0A"/>
    <w:rsid w:val="00C22585"/>
    <w:rsid w:val="00C23A97"/>
    <w:rsid w:val="00C423F1"/>
    <w:rsid w:val="00C4423B"/>
    <w:rsid w:val="00C444AB"/>
    <w:rsid w:val="00C46DDF"/>
    <w:rsid w:val="00C4744B"/>
    <w:rsid w:val="00C504D5"/>
    <w:rsid w:val="00C542B6"/>
    <w:rsid w:val="00C64855"/>
    <w:rsid w:val="00C70EA7"/>
    <w:rsid w:val="00C739C5"/>
    <w:rsid w:val="00C7516E"/>
    <w:rsid w:val="00C75770"/>
    <w:rsid w:val="00C81C86"/>
    <w:rsid w:val="00C94AEE"/>
    <w:rsid w:val="00C97496"/>
    <w:rsid w:val="00C97923"/>
    <w:rsid w:val="00CA0388"/>
    <w:rsid w:val="00CA16EF"/>
    <w:rsid w:val="00CA56BB"/>
    <w:rsid w:val="00CA5E2E"/>
    <w:rsid w:val="00CB0542"/>
    <w:rsid w:val="00CB1FCF"/>
    <w:rsid w:val="00CB4E79"/>
    <w:rsid w:val="00CB644B"/>
    <w:rsid w:val="00CC6082"/>
    <w:rsid w:val="00CD0EDD"/>
    <w:rsid w:val="00CD1B9F"/>
    <w:rsid w:val="00CD20A4"/>
    <w:rsid w:val="00CD21DB"/>
    <w:rsid w:val="00CD393A"/>
    <w:rsid w:val="00CD3E0E"/>
    <w:rsid w:val="00CD45D9"/>
    <w:rsid w:val="00CD73B3"/>
    <w:rsid w:val="00CE1C2E"/>
    <w:rsid w:val="00CE1D35"/>
    <w:rsid w:val="00CE4270"/>
    <w:rsid w:val="00CF31C8"/>
    <w:rsid w:val="00D00B2B"/>
    <w:rsid w:val="00D025AE"/>
    <w:rsid w:val="00D06711"/>
    <w:rsid w:val="00D12CCE"/>
    <w:rsid w:val="00D14A95"/>
    <w:rsid w:val="00D20269"/>
    <w:rsid w:val="00D22891"/>
    <w:rsid w:val="00D24307"/>
    <w:rsid w:val="00D24877"/>
    <w:rsid w:val="00D24B38"/>
    <w:rsid w:val="00D413FB"/>
    <w:rsid w:val="00D43722"/>
    <w:rsid w:val="00D500E7"/>
    <w:rsid w:val="00D527D0"/>
    <w:rsid w:val="00D57519"/>
    <w:rsid w:val="00D575BF"/>
    <w:rsid w:val="00D6090D"/>
    <w:rsid w:val="00D66F5D"/>
    <w:rsid w:val="00D805F7"/>
    <w:rsid w:val="00D8250F"/>
    <w:rsid w:val="00D91C9B"/>
    <w:rsid w:val="00D922F6"/>
    <w:rsid w:val="00D95013"/>
    <w:rsid w:val="00D95C4C"/>
    <w:rsid w:val="00DA149F"/>
    <w:rsid w:val="00DA152D"/>
    <w:rsid w:val="00DA15BD"/>
    <w:rsid w:val="00DA209F"/>
    <w:rsid w:val="00DA36ED"/>
    <w:rsid w:val="00DA6240"/>
    <w:rsid w:val="00DB0973"/>
    <w:rsid w:val="00DB1AEB"/>
    <w:rsid w:val="00DB42F4"/>
    <w:rsid w:val="00DC6212"/>
    <w:rsid w:val="00DD154E"/>
    <w:rsid w:val="00DD1604"/>
    <w:rsid w:val="00DD42A3"/>
    <w:rsid w:val="00DE3235"/>
    <w:rsid w:val="00DE34F1"/>
    <w:rsid w:val="00DE6160"/>
    <w:rsid w:val="00DF0779"/>
    <w:rsid w:val="00DF4942"/>
    <w:rsid w:val="00DF4FA2"/>
    <w:rsid w:val="00DF517F"/>
    <w:rsid w:val="00DF57DB"/>
    <w:rsid w:val="00E12111"/>
    <w:rsid w:val="00E12852"/>
    <w:rsid w:val="00E202BD"/>
    <w:rsid w:val="00E225CC"/>
    <w:rsid w:val="00E244E1"/>
    <w:rsid w:val="00E264D5"/>
    <w:rsid w:val="00E279BF"/>
    <w:rsid w:val="00E32210"/>
    <w:rsid w:val="00E33277"/>
    <w:rsid w:val="00E33B04"/>
    <w:rsid w:val="00E4048F"/>
    <w:rsid w:val="00E40D9F"/>
    <w:rsid w:val="00E42E32"/>
    <w:rsid w:val="00E458C8"/>
    <w:rsid w:val="00E52226"/>
    <w:rsid w:val="00E556B0"/>
    <w:rsid w:val="00E56179"/>
    <w:rsid w:val="00E61D6D"/>
    <w:rsid w:val="00E627B1"/>
    <w:rsid w:val="00E653FF"/>
    <w:rsid w:val="00E66C4F"/>
    <w:rsid w:val="00E676C4"/>
    <w:rsid w:val="00E70169"/>
    <w:rsid w:val="00E71F61"/>
    <w:rsid w:val="00E7492A"/>
    <w:rsid w:val="00E875BF"/>
    <w:rsid w:val="00E9376C"/>
    <w:rsid w:val="00EA047F"/>
    <w:rsid w:val="00EA335E"/>
    <w:rsid w:val="00EA528C"/>
    <w:rsid w:val="00EA580C"/>
    <w:rsid w:val="00EB1798"/>
    <w:rsid w:val="00EB51D6"/>
    <w:rsid w:val="00EC02A1"/>
    <w:rsid w:val="00EC6F8D"/>
    <w:rsid w:val="00EC7F93"/>
    <w:rsid w:val="00ED1DCE"/>
    <w:rsid w:val="00ED6936"/>
    <w:rsid w:val="00EE1B82"/>
    <w:rsid w:val="00EE1EAD"/>
    <w:rsid w:val="00EE49F4"/>
    <w:rsid w:val="00EE4B4E"/>
    <w:rsid w:val="00EF34E2"/>
    <w:rsid w:val="00EF79B4"/>
    <w:rsid w:val="00F01E27"/>
    <w:rsid w:val="00F02A0F"/>
    <w:rsid w:val="00F02F3D"/>
    <w:rsid w:val="00F05A0F"/>
    <w:rsid w:val="00F15F32"/>
    <w:rsid w:val="00F26B05"/>
    <w:rsid w:val="00F30DC6"/>
    <w:rsid w:val="00F32C23"/>
    <w:rsid w:val="00F349C2"/>
    <w:rsid w:val="00F358A1"/>
    <w:rsid w:val="00F41D50"/>
    <w:rsid w:val="00F50549"/>
    <w:rsid w:val="00F51569"/>
    <w:rsid w:val="00F53DE9"/>
    <w:rsid w:val="00F554E9"/>
    <w:rsid w:val="00F576CB"/>
    <w:rsid w:val="00F7035D"/>
    <w:rsid w:val="00F71A02"/>
    <w:rsid w:val="00F732D0"/>
    <w:rsid w:val="00F77379"/>
    <w:rsid w:val="00F81AEE"/>
    <w:rsid w:val="00F84C4B"/>
    <w:rsid w:val="00F85466"/>
    <w:rsid w:val="00F8691A"/>
    <w:rsid w:val="00F95FC2"/>
    <w:rsid w:val="00F97547"/>
    <w:rsid w:val="00FA0D63"/>
    <w:rsid w:val="00FA0F3A"/>
    <w:rsid w:val="00FA5645"/>
    <w:rsid w:val="00FA721B"/>
    <w:rsid w:val="00FB17B8"/>
    <w:rsid w:val="00FB4613"/>
    <w:rsid w:val="00FB4C0C"/>
    <w:rsid w:val="00FB53D5"/>
    <w:rsid w:val="00FC4C48"/>
    <w:rsid w:val="00FC73DF"/>
    <w:rsid w:val="00FD1226"/>
    <w:rsid w:val="00FD418B"/>
    <w:rsid w:val="00FD4531"/>
    <w:rsid w:val="00FD624F"/>
    <w:rsid w:val="00FE63A0"/>
    <w:rsid w:val="00FF3B86"/>
    <w:rsid w:val="00FF4830"/>
    <w:rsid w:val="00FF6BC2"/>
    <w:rsid w:val="00FF6C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F8E1932"/>
  <w15:docId w15:val="{2AB818F4-A75D-4FE4-A0BD-C70366CD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B4"/>
    <w:rPr>
      <w:rFonts w:ascii="Times New Roman" w:hAnsi="Times New Roman"/>
      <w:sz w:val="24"/>
      <w:szCs w:val="24"/>
    </w:rPr>
  </w:style>
  <w:style w:type="paragraph" w:styleId="Heading2">
    <w:name w:val="heading 2"/>
    <w:basedOn w:val="Normal"/>
    <w:next w:val="Normal"/>
    <w:link w:val="Heading2Char"/>
    <w:uiPriority w:val="9"/>
    <w:qFormat/>
    <w:rsid w:val="0092735F"/>
    <w:pPr>
      <w:keepNext/>
      <w:spacing w:before="240" w:after="60"/>
      <w:outlineLvl w:val="1"/>
    </w:pPr>
    <w:rPr>
      <w:rFonts w:ascii="Cambria" w:hAnsi="Cambria"/>
      <w:b/>
      <w:bCs/>
      <w:i/>
      <w:iCs/>
      <w:sz w:val="28"/>
      <w:szCs w:val="28"/>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2735F"/>
    <w:rPr>
      <w:rFonts w:ascii="Cambria" w:hAnsi="Cambria"/>
      <w:b/>
      <w:i/>
      <w:sz w:val="28"/>
    </w:rPr>
  </w:style>
  <w:style w:type="character" w:customStyle="1" w:styleId="Heading4Char">
    <w:name w:val="Heading 4 Char"/>
    <w:aliases w:val="COM Heading Char,GA Heading Char"/>
    <w:basedOn w:val="DefaultParagraphFont"/>
    <w:link w:val="Heading4"/>
    <w:locked/>
    <w:rsid w:val="00F71A02"/>
    <w:rPr>
      <w:rFonts w:ascii="Arial" w:hAnsi="Arial"/>
      <w:b/>
      <w:bCs/>
      <w:szCs w:val="24"/>
      <w:lang w:eastAsia="en-US"/>
    </w:rPr>
  </w:style>
  <w:style w:type="paragraph" w:styleId="Header">
    <w:name w:val="header"/>
    <w:basedOn w:val="Normal"/>
    <w:link w:val="HeaderChar"/>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locked/>
    <w:rsid w:val="008724E5"/>
    <w:rPr>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sz w:val="16"/>
      <w:lang w:val="en-GB"/>
    </w:rPr>
  </w:style>
  <w:style w:type="paragraph" w:customStyle="1" w:styleId="Sansinterligne2">
    <w:name w:val="Sans interligne2"/>
    <w:uiPriority w:val="1"/>
    <w:rsid w:val="0092735F"/>
    <w:rPr>
      <w:rFonts w:ascii="Times New Roman" w:hAnsi="Times New Roman"/>
      <w:sz w:val="24"/>
      <w:szCs w:val="24"/>
    </w:rPr>
  </w:style>
  <w:style w:type="table" w:styleId="TableGrid">
    <w:name w:val="Table Grid"/>
    <w:basedOn w:val="TableNormal"/>
    <w:uiPriority w:val="59"/>
    <w:rsid w:val="009273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92735F"/>
    <w:rPr>
      <w:rFonts w:cs="Times New Roman"/>
    </w:rPr>
  </w:style>
  <w:style w:type="paragraph" w:customStyle="1" w:styleId="ColorfulList-Accent11">
    <w:name w:val="Colorful List - Accent 11"/>
    <w:basedOn w:val="Normal"/>
    <w:uiPriority w:val="34"/>
    <w:rsid w:val="0092735F"/>
    <w:pPr>
      <w:ind w:left="720"/>
      <w:contextualSpacing/>
    </w:pPr>
  </w:style>
  <w:style w:type="paragraph" w:customStyle="1" w:styleId="b">
    <w:name w:val="(b)"/>
    <w:basedOn w:val="Normal"/>
    <w:rsid w:val="0092735F"/>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rsid w:val="0092735F"/>
    <w:pPr>
      <w:tabs>
        <w:tab w:val="left" w:pos="567"/>
      </w:tabs>
      <w:snapToGrid w:val="0"/>
      <w:spacing w:after="240"/>
      <w:ind w:firstLine="567"/>
      <w:jc w:val="both"/>
    </w:pPr>
    <w:rPr>
      <w:rFonts w:ascii="Arial" w:hAnsi="Arial"/>
      <w:sz w:val="22"/>
      <w:lang w:eastAsia="en-US"/>
    </w:rPr>
  </w:style>
  <w:style w:type="paragraph" w:customStyle="1" w:styleId="Marge">
    <w:name w:val="Marge"/>
    <w:basedOn w:val="Par"/>
    <w:link w:val="MargeChar"/>
    <w:rsid w:val="0092735F"/>
    <w:pPr>
      <w:ind w:firstLine="0"/>
    </w:pPr>
  </w:style>
  <w:style w:type="character" w:customStyle="1" w:styleId="MargeChar">
    <w:name w:val="Marge Char"/>
    <w:basedOn w:val="DefaultParagraphFont"/>
    <w:link w:val="Marge"/>
    <w:rsid w:val="00FA5645"/>
    <w:rPr>
      <w:rFonts w:ascii="Arial" w:hAnsi="Arial"/>
      <w:szCs w:val="24"/>
      <w:lang w:eastAsia="en-US"/>
    </w:rPr>
  </w:style>
  <w:style w:type="paragraph" w:customStyle="1" w:styleId="TIRETbul1cm">
    <w:name w:val="TIRET bul 1cm"/>
    <w:basedOn w:val="Normal"/>
    <w:rsid w:val="0092735F"/>
    <w:pPr>
      <w:numPr>
        <w:numId w:val="1"/>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rsid w:val="0092735F"/>
    <w:rPr>
      <w:rFonts w:cs="Times New Roman"/>
    </w:rPr>
  </w:style>
  <w:style w:type="character" w:customStyle="1" w:styleId="apple-converted-space">
    <w:name w:val="apple-converted-space"/>
    <w:basedOn w:val="DefaultParagraphFont"/>
    <w:rsid w:val="0092735F"/>
    <w:rPr>
      <w:rFonts w:cs="Times New Roman"/>
    </w:rPr>
  </w:style>
  <w:style w:type="paragraph" w:customStyle="1" w:styleId="Sansinterligne1">
    <w:name w:val="Sans interligne1"/>
    <w:uiPriority w:val="1"/>
    <w:rsid w:val="0057439C"/>
    <w:rPr>
      <w:rFonts w:ascii="Times New Roman" w:hAnsi="Times New Roman"/>
      <w:sz w:val="24"/>
      <w:szCs w:val="24"/>
    </w:rPr>
  </w:style>
  <w:style w:type="paragraph" w:customStyle="1" w:styleId="COMPara">
    <w:name w:val="COM Para"/>
    <w:qFormat/>
    <w:rsid w:val="00345CB4"/>
    <w:pPr>
      <w:numPr>
        <w:numId w:val="2"/>
      </w:numPr>
      <w:spacing w:after="120"/>
    </w:pPr>
    <w:rPr>
      <w:rFonts w:ascii="Arial" w:hAnsi="Arial" w:cs="Arial"/>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hAnsi="Arial" w:cs="Arial"/>
      <w:sz w:val="22"/>
      <w:szCs w:val="22"/>
      <w:u w:val="single"/>
      <w:lang w:val="en-GB"/>
    </w:rPr>
  </w:style>
  <w:style w:type="character" w:customStyle="1" w:styleId="textview">
    <w:name w:val="textview"/>
    <w:basedOn w:val="DefaultParagraphFont"/>
    <w:rsid w:val="0003224C"/>
    <w:rPr>
      <w:rFonts w:cs="Times New Roman"/>
    </w:rPr>
  </w:style>
  <w:style w:type="character" w:styleId="Hyperlink">
    <w:name w:val="Hyperlink"/>
    <w:basedOn w:val="DefaultParagraphFont"/>
    <w:uiPriority w:val="99"/>
    <w:rsid w:val="00824891"/>
    <w:rPr>
      <w:rFonts w:cs="Times New Roman"/>
      <w:color w:val="0000FF"/>
      <w:u w:val="single"/>
    </w:rPr>
  </w:style>
  <w:style w:type="character" w:customStyle="1" w:styleId="hps">
    <w:name w:val="hps"/>
    <w:rsid w:val="007563AC"/>
  </w:style>
  <w:style w:type="character" w:styleId="CommentReference">
    <w:name w:val="annotation reference"/>
    <w:basedOn w:val="DefaultParagraphFont"/>
    <w:uiPriority w:val="99"/>
    <w:semiHidden/>
    <w:rsid w:val="007563AC"/>
    <w:rPr>
      <w:rFonts w:cs="Times New Roman"/>
      <w:sz w:val="16"/>
      <w:szCs w:val="16"/>
    </w:rPr>
  </w:style>
  <w:style w:type="paragraph" w:styleId="CommentText">
    <w:name w:val="annotation text"/>
    <w:basedOn w:val="Normal"/>
    <w:link w:val="CommentTextChar"/>
    <w:uiPriority w:val="99"/>
    <w:rsid w:val="007563AC"/>
    <w:rPr>
      <w:sz w:val="20"/>
      <w:szCs w:val="20"/>
    </w:rPr>
  </w:style>
  <w:style w:type="character" w:customStyle="1" w:styleId="CommentTextChar">
    <w:name w:val="Comment Text Char"/>
    <w:basedOn w:val="DefaultParagraphFont"/>
    <w:link w:val="CommentText"/>
    <w:uiPriority w:val="99"/>
    <w:locked/>
    <w:rsid w:val="007563A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563AC"/>
    <w:rPr>
      <w:b/>
      <w:bCs/>
    </w:rPr>
  </w:style>
  <w:style w:type="character" w:customStyle="1" w:styleId="CommentSubjectChar">
    <w:name w:val="Comment Subject Char"/>
    <w:basedOn w:val="CommentTextChar"/>
    <w:link w:val="CommentSubject"/>
    <w:uiPriority w:val="99"/>
    <w:semiHidden/>
    <w:locked/>
    <w:rsid w:val="007563AC"/>
    <w:rPr>
      <w:rFonts w:ascii="Times New Roman" w:hAnsi="Times New Roman" w:cs="Times New Roman"/>
      <w:b/>
      <w:bCs/>
    </w:rPr>
  </w:style>
  <w:style w:type="character" w:styleId="FollowedHyperlink">
    <w:name w:val="FollowedHyperlink"/>
    <w:basedOn w:val="DefaultParagraphFont"/>
    <w:uiPriority w:val="99"/>
    <w:semiHidden/>
    <w:unhideWhenUsed/>
    <w:rsid w:val="00300911"/>
    <w:rPr>
      <w:color w:val="800080" w:themeColor="followedHyperlink"/>
      <w:u w:val="single"/>
    </w:rPr>
  </w:style>
  <w:style w:type="paragraph" w:styleId="ListParagraph">
    <w:name w:val="List Paragraph"/>
    <w:basedOn w:val="Normal"/>
    <w:uiPriority w:val="34"/>
    <w:qFormat/>
    <w:rsid w:val="007D712B"/>
    <w:pPr>
      <w:spacing w:before="100" w:beforeAutospacing="1" w:after="100" w:afterAutospacing="1"/>
    </w:pPr>
    <w:rPr>
      <w:rFonts w:eastAsia="Times New Roman"/>
    </w:rPr>
  </w:style>
  <w:style w:type="paragraph" w:customStyle="1" w:styleId="GAParaResolution">
    <w:name w:val="GA Para Resolution"/>
    <w:basedOn w:val="Normal"/>
    <w:qFormat/>
    <w:rsid w:val="002D3437"/>
    <w:pPr>
      <w:autoSpaceDE w:val="0"/>
      <w:autoSpaceDN w:val="0"/>
      <w:adjustRightInd w:val="0"/>
      <w:spacing w:after="120"/>
      <w:ind w:left="1287" w:hanging="360"/>
      <w:jc w:val="both"/>
    </w:pPr>
    <w:rPr>
      <w:rFonts w:ascii="Arial" w:hAnsi="Arial" w:cs="Arial"/>
      <w:sz w:val="22"/>
      <w:szCs w:val="22"/>
      <w:u w:val="single"/>
      <w:lang w:val="en-GB"/>
    </w:rPr>
  </w:style>
  <w:style w:type="paragraph" w:customStyle="1" w:styleId="5GAparabodytext">
    <w:name w:val="5GA para body text"/>
    <w:basedOn w:val="Marge"/>
    <w:autoRedefine/>
    <w:qFormat/>
    <w:rsid w:val="00E653FF"/>
    <w:pPr>
      <w:numPr>
        <w:numId w:val="6"/>
      </w:numPr>
      <w:spacing w:after="120"/>
      <w:ind w:left="567" w:hanging="567"/>
    </w:pPr>
    <w:rPr>
      <w:rFonts w:eastAsia="Times New Roman" w:cs="Arial"/>
      <w:bCs/>
      <w:snapToGrid w:val="0"/>
      <w:szCs w:val="22"/>
      <w:lang w:val="en-GB"/>
    </w:rPr>
  </w:style>
  <w:style w:type="character" w:styleId="IntenseEmphasis">
    <w:name w:val="Intense Emphasis"/>
    <w:aliases w:val="Texte"/>
    <w:uiPriority w:val="21"/>
    <w:rsid w:val="007F4607"/>
    <w:rPr>
      <w:rFonts w:ascii="Arial" w:hAnsi="Arial" w:cs="Arial"/>
      <w:sz w:val="22"/>
    </w:rPr>
  </w:style>
  <w:style w:type="paragraph" w:styleId="FootnoteText">
    <w:name w:val="footnote text"/>
    <w:basedOn w:val="Normal"/>
    <w:link w:val="FootnoteTextChar"/>
    <w:uiPriority w:val="99"/>
    <w:unhideWhenUsed/>
    <w:rsid w:val="007F4607"/>
    <w:pPr>
      <w:spacing w:before="60" w:after="60"/>
      <w:jc w:val="both"/>
    </w:pPr>
    <w:rPr>
      <w:rFonts w:ascii="Arial" w:eastAsia="Times New Roman" w:hAnsi="Arial"/>
      <w:sz w:val="20"/>
      <w:szCs w:val="20"/>
      <w:lang w:val="en-GB"/>
    </w:rPr>
  </w:style>
  <w:style w:type="character" w:customStyle="1" w:styleId="FootnoteTextChar">
    <w:name w:val="Footnote Text Char"/>
    <w:basedOn w:val="DefaultParagraphFont"/>
    <w:link w:val="FootnoteText"/>
    <w:uiPriority w:val="99"/>
    <w:rsid w:val="007F4607"/>
    <w:rPr>
      <w:rFonts w:ascii="Arial" w:eastAsia="Times New Roman" w:hAnsi="Arial"/>
      <w:sz w:val="20"/>
      <w:szCs w:val="20"/>
      <w:lang w:val="en-GB"/>
    </w:rPr>
  </w:style>
  <w:style w:type="character" w:styleId="FootnoteReference">
    <w:name w:val="footnote reference"/>
    <w:uiPriority w:val="99"/>
    <w:unhideWhenUsed/>
    <w:rsid w:val="007F4607"/>
    <w:rPr>
      <w:vertAlign w:val="superscript"/>
    </w:rPr>
  </w:style>
  <w:style w:type="paragraph" w:customStyle="1" w:styleId="Default">
    <w:name w:val="Default"/>
    <w:link w:val="DefaultChar"/>
    <w:rsid w:val="000566B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4C4707"/>
    <w:rPr>
      <w:rFonts w:ascii="Arial" w:hAnsi="Arial" w:cs="Arial"/>
      <w:color w:val="000000"/>
      <w:sz w:val="24"/>
      <w:szCs w:val="24"/>
    </w:rPr>
  </w:style>
  <w:style w:type="paragraph" w:styleId="Revision">
    <w:name w:val="Revision"/>
    <w:hidden/>
    <w:uiPriority w:val="99"/>
    <w:semiHidden/>
    <w:rsid w:val="0090435C"/>
    <w:rPr>
      <w:rFonts w:ascii="Times New Roman" w:hAnsi="Times New Roman"/>
      <w:sz w:val="24"/>
      <w:szCs w:val="24"/>
    </w:rPr>
  </w:style>
  <w:style w:type="paragraph" w:customStyle="1" w:styleId="GAPara">
    <w:name w:val="GA Para"/>
    <w:qFormat/>
    <w:rsid w:val="00FA5645"/>
    <w:pPr>
      <w:spacing w:after="120"/>
      <w:ind w:left="567" w:hanging="567"/>
    </w:pPr>
    <w:rPr>
      <w:rFonts w:ascii="Arial" w:eastAsia="Times New Roman" w:hAnsi="Arial" w:cs="Arial"/>
      <w:snapToGrid w:val="0"/>
      <w:lang w:val="en-GB" w:eastAsia="en-US"/>
    </w:rPr>
  </w:style>
  <w:style w:type="paragraph" w:customStyle="1" w:styleId="GATitleResolution">
    <w:name w:val="GA Title Resolution"/>
    <w:basedOn w:val="Normal"/>
    <w:qFormat/>
    <w:rsid w:val="00FA5645"/>
    <w:pPr>
      <w:keepNext/>
      <w:spacing w:before="240" w:after="120"/>
      <w:ind w:left="567"/>
      <w:jc w:val="both"/>
    </w:pPr>
    <w:rPr>
      <w:rFonts w:ascii="Arial" w:eastAsia="Times New Roman" w:hAnsi="Arial" w:cs="Arial"/>
      <w:b/>
      <w:sz w:val="22"/>
      <w:szCs w:val="22"/>
      <w:lang w:val="en-GB"/>
    </w:rPr>
  </w:style>
  <w:style w:type="paragraph" w:customStyle="1" w:styleId="GAPreambulaResolution">
    <w:name w:val="GA Preambula Resolution"/>
    <w:basedOn w:val="Normal"/>
    <w:qFormat/>
    <w:rsid w:val="00FA5645"/>
    <w:pPr>
      <w:keepNext/>
      <w:spacing w:after="120"/>
      <w:ind w:left="567"/>
      <w:jc w:val="both"/>
    </w:pPr>
    <w:rPr>
      <w:rFonts w:ascii="Arial" w:eastAsia="Times New Roman" w:hAnsi="Arial" w:cs="Arial"/>
      <w:sz w:val="22"/>
      <w:szCs w:val="22"/>
      <w:lang w:val="en-GB"/>
    </w:rPr>
  </w:style>
  <w:style w:type="character" w:styleId="Strong">
    <w:name w:val="Strong"/>
    <w:basedOn w:val="DefaultParagraphFont"/>
    <w:uiPriority w:val="22"/>
    <w:qFormat/>
    <w:locked/>
    <w:rsid w:val="00FA5645"/>
    <w:rPr>
      <w:b/>
      <w:bCs/>
    </w:rPr>
  </w:style>
  <w:style w:type="paragraph" w:styleId="ListBullet">
    <w:name w:val="List Bullet"/>
    <w:basedOn w:val="Normal"/>
    <w:uiPriority w:val="99"/>
    <w:rsid w:val="00FA5645"/>
    <w:pPr>
      <w:tabs>
        <w:tab w:val="num" w:pos="360"/>
      </w:tabs>
      <w:spacing w:before="120" w:after="120" w:line="240" w:lineRule="exact"/>
      <w:ind w:left="360" w:hanging="360"/>
      <w:contextualSpacing/>
    </w:pPr>
    <w:rPr>
      <w:rFonts w:ascii="Calibri" w:hAnsi="Calibri" w:cs="Arial"/>
      <w:sz w:val="22"/>
      <w:szCs w:val="22"/>
      <w:lang w:val="en-GB" w:eastAsia="en-US"/>
    </w:rPr>
  </w:style>
  <w:style w:type="paragraph" w:customStyle="1" w:styleId="DocMain">
    <w:name w:val="Doc_Main"/>
    <w:basedOn w:val="Normal"/>
    <w:uiPriority w:val="99"/>
    <w:rsid w:val="00FA5645"/>
    <w:pPr>
      <w:spacing w:before="240" w:after="240"/>
      <w:ind w:left="720" w:hanging="360"/>
      <w:jc w:val="both"/>
    </w:pPr>
    <w:rPr>
      <w:rFonts w:ascii="Arial" w:eastAsiaTheme="minorHAnsi" w:hAnsi="Arial" w:cs="Arial"/>
      <w:sz w:val="22"/>
      <w:szCs w:val="22"/>
      <w:lang w:eastAsia="zh-CN"/>
    </w:rPr>
  </w:style>
  <w:style w:type="paragraph" w:customStyle="1" w:styleId="Paragraph">
    <w:name w:val="Paragraph"/>
    <w:basedOn w:val="Normal"/>
    <w:link w:val="ParagraphChar"/>
    <w:qFormat/>
    <w:rsid w:val="00FA5645"/>
    <w:pPr>
      <w:numPr>
        <w:numId w:val="13"/>
      </w:numPr>
      <w:spacing w:before="240"/>
      <w:ind w:left="567" w:hanging="567"/>
      <w:jc w:val="both"/>
    </w:pPr>
    <w:rPr>
      <w:rFonts w:ascii="Arial" w:eastAsia="Times New Roman" w:hAnsi="Arial" w:cs="Arial"/>
      <w:sz w:val="22"/>
      <w:szCs w:val="22"/>
      <w:lang w:val="en-GB"/>
    </w:rPr>
  </w:style>
  <w:style w:type="character" w:customStyle="1" w:styleId="ParagraphChar">
    <w:name w:val="Paragraph Char"/>
    <w:link w:val="Paragraph"/>
    <w:rsid w:val="00FA5645"/>
    <w:rPr>
      <w:rFonts w:ascii="Arial" w:eastAsia="Times New Roman" w:hAnsi="Arial" w:cs="Arial"/>
      <w:lang w:val="en-GB"/>
    </w:rPr>
  </w:style>
  <w:style w:type="paragraph" w:customStyle="1" w:styleId="Para">
    <w:name w:val="Para"/>
    <w:basedOn w:val="Normal"/>
    <w:link w:val="ParaChar"/>
    <w:qFormat/>
    <w:rsid w:val="00FA5645"/>
    <w:pPr>
      <w:numPr>
        <w:numId w:val="14"/>
      </w:numPr>
      <w:spacing w:after="120" w:line="240" w:lineRule="exact"/>
      <w:jc w:val="both"/>
    </w:pPr>
    <w:rPr>
      <w:rFonts w:ascii="Arial" w:hAnsi="Arial"/>
      <w:sz w:val="22"/>
      <w:szCs w:val="22"/>
      <w:lang w:val="en-GB" w:eastAsia="x-none"/>
    </w:rPr>
  </w:style>
  <w:style w:type="character" w:customStyle="1" w:styleId="ParaChar">
    <w:name w:val="Para Char"/>
    <w:link w:val="Para"/>
    <w:rsid w:val="00FA5645"/>
    <w:rPr>
      <w:rFonts w:ascii="Arial" w:hAnsi="Arial"/>
      <w:lang w:val="en-GB" w:eastAsia="x-none"/>
    </w:rPr>
  </w:style>
  <w:style w:type="character" w:customStyle="1" w:styleId="EndnoteTextChar">
    <w:name w:val="Endnote Text Char"/>
    <w:basedOn w:val="DefaultParagraphFont"/>
    <w:link w:val="EndnoteText"/>
    <w:uiPriority w:val="99"/>
    <w:semiHidden/>
    <w:rsid w:val="00FA5645"/>
    <w:rPr>
      <w:rFonts w:ascii="Times New Roman" w:eastAsia="Times New Roman" w:hAnsi="Times New Roman"/>
      <w:sz w:val="20"/>
      <w:szCs w:val="20"/>
    </w:rPr>
  </w:style>
  <w:style w:type="paragraph" w:styleId="EndnoteText">
    <w:name w:val="endnote text"/>
    <w:basedOn w:val="Normal"/>
    <w:link w:val="EndnoteTextChar"/>
    <w:uiPriority w:val="99"/>
    <w:semiHidden/>
    <w:unhideWhenUsed/>
    <w:rsid w:val="00FA5645"/>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1508">
      <w:bodyDiv w:val="1"/>
      <w:marLeft w:val="0"/>
      <w:marRight w:val="0"/>
      <w:marTop w:val="0"/>
      <w:marBottom w:val="0"/>
      <w:divBdr>
        <w:top w:val="none" w:sz="0" w:space="0" w:color="auto"/>
        <w:left w:val="none" w:sz="0" w:space="0" w:color="auto"/>
        <w:bottom w:val="none" w:sz="0" w:space="0" w:color="auto"/>
        <w:right w:val="none" w:sz="0" w:space="0" w:color="auto"/>
      </w:divBdr>
    </w:div>
    <w:div w:id="312680953">
      <w:marLeft w:val="0"/>
      <w:marRight w:val="0"/>
      <w:marTop w:val="0"/>
      <w:marBottom w:val="0"/>
      <w:divBdr>
        <w:top w:val="none" w:sz="0" w:space="0" w:color="auto"/>
        <w:left w:val="none" w:sz="0" w:space="0" w:color="auto"/>
        <w:bottom w:val="none" w:sz="0" w:space="0" w:color="auto"/>
        <w:right w:val="none" w:sz="0" w:space="0" w:color="auto"/>
      </w:divBdr>
    </w:div>
    <w:div w:id="312680954">
      <w:marLeft w:val="0"/>
      <w:marRight w:val="0"/>
      <w:marTop w:val="0"/>
      <w:marBottom w:val="0"/>
      <w:divBdr>
        <w:top w:val="none" w:sz="0" w:space="0" w:color="auto"/>
        <w:left w:val="none" w:sz="0" w:space="0" w:color="auto"/>
        <w:bottom w:val="none" w:sz="0" w:space="0" w:color="auto"/>
        <w:right w:val="none" w:sz="0" w:space="0" w:color="auto"/>
      </w:divBdr>
    </w:div>
    <w:div w:id="312680955">
      <w:marLeft w:val="0"/>
      <w:marRight w:val="0"/>
      <w:marTop w:val="0"/>
      <w:marBottom w:val="0"/>
      <w:divBdr>
        <w:top w:val="none" w:sz="0" w:space="0" w:color="auto"/>
        <w:left w:val="none" w:sz="0" w:space="0" w:color="auto"/>
        <w:bottom w:val="none" w:sz="0" w:space="0" w:color="auto"/>
        <w:right w:val="none" w:sz="0" w:space="0" w:color="auto"/>
      </w:divBdr>
    </w:div>
    <w:div w:id="312680956">
      <w:marLeft w:val="0"/>
      <w:marRight w:val="0"/>
      <w:marTop w:val="0"/>
      <w:marBottom w:val="0"/>
      <w:divBdr>
        <w:top w:val="none" w:sz="0" w:space="0" w:color="auto"/>
        <w:left w:val="none" w:sz="0" w:space="0" w:color="auto"/>
        <w:bottom w:val="none" w:sz="0" w:space="0" w:color="auto"/>
        <w:right w:val="none" w:sz="0" w:space="0" w:color="auto"/>
      </w:divBdr>
    </w:div>
    <w:div w:id="312680957">
      <w:marLeft w:val="0"/>
      <w:marRight w:val="0"/>
      <w:marTop w:val="0"/>
      <w:marBottom w:val="0"/>
      <w:divBdr>
        <w:top w:val="none" w:sz="0" w:space="0" w:color="auto"/>
        <w:left w:val="none" w:sz="0" w:space="0" w:color="auto"/>
        <w:bottom w:val="none" w:sz="0" w:space="0" w:color="auto"/>
        <w:right w:val="none" w:sz="0" w:space="0" w:color="auto"/>
      </w:divBdr>
    </w:div>
    <w:div w:id="312680958">
      <w:marLeft w:val="0"/>
      <w:marRight w:val="0"/>
      <w:marTop w:val="0"/>
      <w:marBottom w:val="0"/>
      <w:divBdr>
        <w:top w:val="none" w:sz="0" w:space="0" w:color="auto"/>
        <w:left w:val="none" w:sz="0" w:space="0" w:color="auto"/>
        <w:bottom w:val="none" w:sz="0" w:space="0" w:color="auto"/>
        <w:right w:val="none" w:sz="0" w:space="0" w:color="auto"/>
      </w:divBdr>
    </w:div>
    <w:div w:id="522742655">
      <w:bodyDiv w:val="1"/>
      <w:marLeft w:val="0"/>
      <w:marRight w:val="0"/>
      <w:marTop w:val="0"/>
      <w:marBottom w:val="0"/>
      <w:divBdr>
        <w:top w:val="none" w:sz="0" w:space="0" w:color="auto"/>
        <w:left w:val="none" w:sz="0" w:space="0" w:color="auto"/>
        <w:bottom w:val="none" w:sz="0" w:space="0" w:color="auto"/>
        <w:right w:val="none" w:sz="0" w:space="0" w:color="auto"/>
      </w:divBdr>
    </w:div>
    <w:div w:id="523637518">
      <w:bodyDiv w:val="1"/>
      <w:marLeft w:val="0"/>
      <w:marRight w:val="0"/>
      <w:marTop w:val="0"/>
      <w:marBottom w:val="0"/>
      <w:divBdr>
        <w:top w:val="none" w:sz="0" w:space="0" w:color="auto"/>
        <w:left w:val="none" w:sz="0" w:space="0" w:color="auto"/>
        <w:bottom w:val="none" w:sz="0" w:space="0" w:color="auto"/>
        <w:right w:val="none" w:sz="0" w:space="0" w:color="auto"/>
      </w:divBdr>
    </w:div>
    <w:div w:id="560798228">
      <w:bodyDiv w:val="1"/>
      <w:marLeft w:val="0"/>
      <w:marRight w:val="0"/>
      <w:marTop w:val="0"/>
      <w:marBottom w:val="0"/>
      <w:divBdr>
        <w:top w:val="none" w:sz="0" w:space="0" w:color="auto"/>
        <w:left w:val="none" w:sz="0" w:space="0" w:color="auto"/>
        <w:bottom w:val="none" w:sz="0" w:space="0" w:color="auto"/>
        <w:right w:val="none" w:sz="0" w:space="0" w:color="auto"/>
      </w:divBdr>
    </w:div>
    <w:div w:id="658267473">
      <w:bodyDiv w:val="1"/>
      <w:marLeft w:val="0"/>
      <w:marRight w:val="0"/>
      <w:marTop w:val="0"/>
      <w:marBottom w:val="0"/>
      <w:divBdr>
        <w:top w:val="none" w:sz="0" w:space="0" w:color="auto"/>
        <w:left w:val="none" w:sz="0" w:space="0" w:color="auto"/>
        <w:bottom w:val="none" w:sz="0" w:space="0" w:color="auto"/>
        <w:right w:val="none" w:sz="0" w:space="0" w:color="auto"/>
      </w:divBdr>
    </w:div>
    <w:div w:id="775057982">
      <w:bodyDiv w:val="1"/>
      <w:marLeft w:val="0"/>
      <w:marRight w:val="0"/>
      <w:marTop w:val="0"/>
      <w:marBottom w:val="0"/>
      <w:divBdr>
        <w:top w:val="none" w:sz="0" w:space="0" w:color="auto"/>
        <w:left w:val="none" w:sz="0" w:space="0" w:color="auto"/>
        <w:bottom w:val="none" w:sz="0" w:space="0" w:color="auto"/>
        <w:right w:val="none" w:sz="0" w:space="0" w:color="auto"/>
      </w:divBdr>
    </w:div>
    <w:div w:id="1066798699">
      <w:bodyDiv w:val="1"/>
      <w:marLeft w:val="0"/>
      <w:marRight w:val="0"/>
      <w:marTop w:val="0"/>
      <w:marBottom w:val="0"/>
      <w:divBdr>
        <w:top w:val="none" w:sz="0" w:space="0" w:color="auto"/>
        <w:left w:val="none" w:sz="0" w:space="0" w:color="auto"/>
        <w:bottom w:val="none" w:sz="0" w:space="0" w:color="auto"/>
        <w:right w:val="none" w:sz="0" w:space="0" w:color="auto"/>
      </w:divBdr>
    </w:div>
    <w:div w:id="12108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en/Category2/" TargetMode="External"/><Relationship Id="rId18" Type="http://schemas.openxmlformats.org/officeDocument/2006/relationships/hyperlink" Target="http://www.unesco.org/culture/ich/doc/src/ITH-14-9.COM-7_Rev.-EN.doc" TargetMode="External"/><Relationship Id="rId26" Type="http://schemas.openxmlformats.org/officeDocument/2006/relationships/hyperlink" Target="http://www.unesco.org/culture/ich/doc/src/ITH-14-9.COM-6-EN_.doc" TargetMode="External"/><Relationship Id="rId39" Type="http://schemas.openxmlformats.org/officeDocument/2006/relationships/hyperlink" Target="http://www.unesco.org/culture/ich/en/Resolutions/6.GA/7" TargetMode="External"/><Relationship Id="rId21" Type="http://schemas.openxmlformats.org/officeDocument/2006/relationships/hyperlink" Target="http://www.unesco.org/culture/ich/doc/src/ITH-16-11.COM_2.BUR-1_EN.docx" TargetMode="External"/><Relationship Id="rId34" Type="http://schemas.openxmlformats.org/officeDocument/2006/relationships/hyperlink" Target="http://www.unesco.org/culture/ich/en/Resolutions/6.GA/7" TargetMode="External"/><Relationship Id="rId42" Type="http://schemas.openxmlformats.org/officeDocument/2006/relationships/hyperlink" Target="http://www.unesco.org/culture/ich/en/Decisions/10.COM/8" TargetMode="External"/><Relationship Id="rId47" Type="http://schemas.openxmlformats.org/officeDocument/2006/relationships/hyperlink" Target="http://www.unesco.org/culture/ich/doc/src/ITH-14-5.GA-5.1-EN.doc" TargetMode="External"/><Relationship Id="rId50" Type="http://schemas.openxmlformats.org/officeDocument/2006/relationships/hyperlink" Target="http://www.unesco.org/culture/ich/en/Decisions/9.COM/13.e" TargetMode="External"/><Relationship Id="rId55" Type="http://schemas.openxmlformats.org/officeDocument/2006/relationships/hyperlink" Target="http://www.unesco.org/culture/ich/en/Decisions/9.COM/7" TargetMode="External"/><Relationship Id="rId63" Type="http://schemas.openxmlformats.org/officeDocument/2006/relationships/hyperlink" Target="http://www.unesco.org/culture/ich/en/Resolutions/5.GA/5.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sco.org/culture/ich/doc/src/ITH-16-11.COM-14-EN.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Resolutions/6.GA/9" TargetMode="External"/><Relationship Id="rId24" Type="http://schemas.openxmlformats.org/officeDocument/2006/relationships/hyperlink" Target="http://www.unesco.org/culture/ich/doc/src/ITH-15-10.COM-7.b_EN.docx" TargetMode="External"/><Relationship Id="rId32" Type="http://schemas.openxmlformats.org/officeDocument/2006/relationships/hyperlink" Target="http://www.unesco.org/culture/ich/en/Resolutions/6.GA/7" TargetMode="External"/><Relationship Id="rId37" Type="http://schemas.openxmlformats.org/officeDocument/2006/relationships/hyperlink" Target="http://www.unesco.org/culture/ich/doc/src/ITH-13-8.COM-5.c-EN.doc" TargetMode="External"/><Relationship Id="rId40" Type="http://schemas.openxmlformats.org/officeDocument/2006/relationships/hyperlink" Target="http://www.unesco.org/culture/ich/en/Decisions/8.COM/7.c" TargetMode="External"/><Relationship Id="rId45" Type="http://schemas.openxmlformats.org/officeDocument/2006/relationships/hyperlink" Target="http://www.unesco.org/culture/ich/doc/src/ITH-14-9.COM-13.h-EN.doc" TargetMode="External"/><Relationship Id="rId53" Type="http://schemas.openxmlformats.org/officeDocument/2006/relationships/header" Target="header5.xml"/><Relationship Id="rId58" Type="http://schemas.openxmlformats.org/officeDocument/2006/relationships/hyperlink" Target="http://www.unesco.org/culture/ich/en/Decisions/10.COM/1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en/Decisions/8.COM/5.c.1" TargetMode="External"/><Relationship Id="rId23" Type="http://schemas.openxmlformats.org/officeDocument/2006/relationships/hyperlink" Target="http://www.unesco.org/culture/ich/en/submissions-and-deadlines-00861" TargetMode="External"/><Relationship Id="rId28" Type="http://schemas.openxmlformats.org/officeDocument/2006/relationships/header" Target="header2.xml"/><Relationship Id="rId36" Type="http://schemas.openxmlformats.org/officeDocument/2006/relationships/hyperlink" Target="http://www.unesco.org/culture/ich/en/Resolutions/5.GA/5.1" TargetMode="External"/><Relationship Id="rId49" Type="http://schemas.openxmlformats.org/officeDocument/2006/relationships/hyperlink" Target="http://www.unesco.org/culture/ich/en/Resolutions/6.GA/7" TargetMode="External"/><Relationship Id="rId57" Type="http://schemas.openxmlformats.org/officeDocument/2006/relationships/hyperlink" Target="http://www.unesco.org/culture/ich/en/Decisions/9.COM/12" TargetMode="External"/><Relationship Id="rId61" Type="http://schemas.openxmlformats.org/officeDocument/2006/relationships/hyperlink" Target="http://www.unesco.org/culture/ich/en/Resolutions/6.GA/7" TargetMode="External"/><Relationship Id="rId10" Type="http://schemas.openxmlformats.org/officeDocument/2006/relationships/hyperlink" Target="http://unesdoc.unesco.org/images/0024/002443/244305e.pdf" TargetMode="External"/><Relationship Id="rId19" Type="http://schemas.openxmlformats.org/officeDocument/2006/relationships/hyperlink" Target="http://www.unesco.org/culture/ich/en/Decisions/9.COM/7" TargetMode="External"/><Relationship Id="rId31" Type="http://schemas.openxmlformats.org/officeDocument/2006/relationships/hyperlink" Target="http://www.unesco.org/culture/ich/en/Resolutions/6.GA/7" TargetMode="External"/><Relationship Id="rId44" Type="http://schemas.openxmlformats.org/officeDocument/2006/relationships/hyperlink" Target="http://www.unesco.org/culture/ich/en/Decisions/9.COM/13.h" TargetMode="External"/><Relationship Id="rId52" Type="http://schemas.openxmlformats.org/officeDocument/2006/relationships/header" Target="header4.xml"/><Relationship Id="rId60" Type="http://schemas.openxmlformats.org/officeDocument/2006/relationships/hyperlink" Target="http://www.unesco.org/culture/ich/en/Decisions/9.COM/13.g" TargetMode="Externa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nesco.org/culture/ich/doc/src/ITH-16-6.GA-6-EN.docx" TargetMode="External"/><Relationship Id="rId14" Type="http://schemas.openxmlformats.org/officeDocument/2006/relationships/hyperlink" Target="http://www.unesco.org/culture/ich/en/project" TargetMode="External"/><Relationship Id="rId22" Type="http://schemas.openxmlformats.org/officeDocument/2006/relationships/hyperlink" Target="http://www.unesco.org/culture/ich/en/Resolutions/6.GA/9" TargetMode="External"/><Relationship Id="rId27" Type="http://schemas.openxmlformats.org/officeDocument/2006/relationships/header" Target="header1.xml"/><Relationship Id="rId30" Type="http://schemas.openxmlformats.org/officeDocument/2006/relationships/hyperlink" Target="http://www.unesco.org/culture/ich/en/Decisions/10.COM/14.a" TargetMode="External"/><Relationship Id="rId35" Type="http://schemas.openxmlformats.org/officeDocument/2006/relationships/hyperlink" Target="http://www.unesco.org/culture/ich/doc/src/ITH-14-9.COM-13.d-EN.doc" TargetMode="External"/><Relationship Id="rId43" Type="http://schemas.openxmlformats.org/officeDocument/2006/relationships/hyperlink" Target="http://www.unesco.org/culture/ich/doc/src/ITH-14-9.COM-13.h-EN.doc" TargetMode="External"/><Relationship Id="rId48" Type="http://schemas.openxmlformats.org/officeDocument/2006/relationships/hyperlink" Target="http://www.unesco.org/culture/ich/en/Decisions/9.COM/13.a" TargetMode="External"/><Relationship Id="rId56" Type="http://schemas.openxmlformats.org/officeDocument/2006/relationships/hyperlink" Target="http://www.unesco.org/culture/ich/en/Decisions/10.COM/9" TargetMode="External"/><Relationship Id="rId64" Type="http://schemas.openxmlformats.org/officeDocument/2006/relationships/hyperlink" Target="http://www.unesco.org/culture/ich/en/Decisions/9.COM/11" TargetMode="External"/><Relationship Id="rId8" Type="http://schemas.openxmlformats.org/officeDocument/2006/relationships/hyperlink" Target="http://www.unesco.org/culture/ich/doc/src/ITH-16-11.COM-INF.5-EN.docx" TargetMode="External"/><Relationship Id="rId51" Type="http://schemas.openxmlformats.org/officeDocument/2006/relationships/hyperlink" Target="http://www.unesco.org/culture/ich/en/Decisions/10.COM/9" TargetMode="External"/><Relationship Id="rId3" Type="http://schemas.openxmlformats.org/officeDocument/2006/relationships/styles" Target="styles.xml"/><Relationship Id="rId12" Type="http://schemas.openxmlformats.org/officeDocument/2006/relationships/hyperlink" Target="http://www.unesco.org/culture/ich/en/submissions-and-deadlines-00861" TargetMode="External"/><Relationship Id="rId17" Type="http://schemas.openxmlformats.org/officeDocument/2006/relationships/hyperlink" Target="http://www.unesco.org/culture/ich/doc/src/ITH-16-11.COM-15-EN.docx" TargetMode="External"/><Relationship Id="rId25" Type="http://schemas.openxmlformats.org/officeDocument/2006/relationships/hyperlink" Target="http://www.unesco.org/culture/ich/doc/src/ITH-16-6.GA-6-EN.docx" TargetMode="External"/><Relationship Id="rId33" Type="http://schemas.openxmlformats.org/officeDocument/2006/relationships/hyperlink" Target="http://www.unesco.org/culture/ich/en/Decisions/10.COM/14.a" TargetMode="External"/><Relationship Id="rId38" Type="http://schemas.openxmlformats.org/officeDocument/2006/relationships/hyperlink" Target="http://www.unesco.org/culture/ich/en/Decisions/10.COM/15.c" TargetMode="External"/><Relationship Id="rId46" Type="http://schemas.openxmlformats.org/officeDocument/2006/relationships/hyperlink" Target="http://www.unesco.org/culture/ich/en/Decisions/9.COM/13.h" TargetMode="External"/><Relationship Id="rId59" Type="http://schemas.openxmlformats.org/officeDocument/2006/relationships/hyperlink" Target="http://www.unesco.org/culture/ich/en/Decisions/8.COM/7.c" TargetMode="External"/><Relationship Id="rId67" Type="http://schemas.openxmlformats.org/officeDocument/2006/relationships/theme" Target="theme/theme1.xml"/><Relationship Id="rId20" Type="http://schemas.openxmlformats.org/officeDocument/2006/relationships/hyperlink" Target="http://www.unesco.org/culture/ich/doc/src/ITH-16-11.COM-9.c-EN.docx" TargetMode="External"/><Relationship Id="rId41" Type="http://schemas.openxmlformats.org/officeDocument/2006/relationships/hyperlink" Target="http://www.unesco.org/culture/ich/doc/src/ITH-15-10.COM-8_EN.docx" TargetMode="External"/><Relationship Id="rId54" Type="http://schemas.openxmlformats.org/officeDocument/2006/relationships/header" Target="header6.xml"/><Relationship Id="rId62" Type="http://schemas.openxmlformats.org/officeDocument/2006/relationships/hyperlink" Target="http://www.unesco.org/culture/ich/en/Decisions/8.COM/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6B06-9F64-49BC-8547-F124492B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266</TotalTime>
  <Pages>32</Pages>
  <Words>12769</Words>
  <Characters>70235</Characters>
  <Application>Microsoft Office Word</Application>
  <DocSecurity>0</DocSecurity>
  <Lines>585</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Chief ITH ________________</vt:lpstr>
      <vt:lpstr>Chief ITH ________________</vt:lpstr>
    </vt:vector>
  </TitlesOfParts>
  <Company>UNESCO</Company>
  <LinksUpToDate>false</LinksUpToDate>
  <CharactersWithSpaces>82839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 ________________</dc:title>
  <dc:creator>Delsol, Christine</dc:creator>
  <cp:lastModifiedBy>Constantinou, Elena</cp:lastModifiedBy>
  <cp:revision>114</cp:revision>
  <cp:lastPrinted>2016-10-20T15:28:00Z</cp:lastPrinted>
  <dcterms:created xsi:type="dcterms:W3CDTF">2016-10-26T13:32:00Z</dcterms:created>
  <dcterms:modified xsi:type="dcterms:W3CDTF">2016-10-31T15:29:00Z</dcterms:modified>
</cp:coreProperties>
</file>