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0320" w14:textId="77777777" w:rsidR="00B9709E" w:rsidRPr="00194DFA" w:rsidRDefault="00402839" w:rsidP="00406030">
      <w:pPr>
        <w:pStyle w:val="Chapitre"/>
      </w:pPr>
      <w:bookmarkStart w:id="0" w:name="_Toc301443396"/>
      <w:bookmarkStart w:id="1" w:name="_Toc321407039"/>
      <w:bookmarkStart w:id="2" w:name="_Toc354486663"/>
      <w:bookmarkStart w:id="3" w:name="_Toc354486969"/>
      <w:bookmarkStart w:id="4" w:name="_Toc238963303"/>
      <w:bookmarkStart w:id="5" w:name="_Toc241065189"/>
      <w:bookmarkStart w:id="6" w:name="_Toc247360268"/>
      <w:r w:rsidRPr="00194DFA">
        <w:t xml:space="preserve">UnitÉ </w:t>
      </w:r>
      <w:r w:rsidR="006F42B3" w:rsidRPr="00194DFA">
        <w:t>11</w:t>
      </w:r>
    </w:p>
    <w:p w14:paraId="31C79D5F" w14:textId="77777777" w:rsidR="0046535D" w:rsidRPr="001E278E" w:rsidRDefault="0046535D" w:rsidP="009C214A">
      <w:pPr>
        <w:pStyle w:val="UPlan"/>
        <w:rPr>
          <w:lang w:val="fr-FR"/>
        </w:rPr>
      </w:pPr>
      <w:r w:rsidRPr="001E278E">
        <w:rPr>
          <w:lang w:val="fr-FR"/>
        </w:rPr>
        <w:t>Candidatures : aperçu</w:t>
      </w:r>
    </w:p>
    <w:p w14:paraId="51ED0892" w14:textId="77777777" w:rsidR="0046535D" w:rsidRPr="001E278E" w:rsidRDefault="00FE384B" w:rsidP="001E278E">
      <w:pPr>
        <w:pStyle w:val="Titcoul"/>
        <w:rPr>
          <w:sz w:val="32"/>
          <w:szCs w:val="32"/>
        </w:rPr>
      </w:pPr>
      <w:r>
        <w:rPr>
          <w:sz w:val="32"/>
          <w:szCs w:val="32"/>
        </w:rPr>
        <w:t>texte du participant</w:t>
      </w:r>
    </w:p>
    <w:bookmarkEnd w:id="0"/>
    <w:bookmarkEnd w:id="1"/>
    <w:bookmarkEnd w:id="2"/>
    <w:bookmarkEnd w:id="3"/>
    <w:bookmarkEnd w:id="4"/>
    <w:bookmarkEnd w:id="5"/>
    <w:bookmarkEnd w:id="6"/>
    <w:p w14:paraId="0D6EB8B0" w14:textId="28EDA70B" w:rsidR="004325DC" w:rsidRPr="00194DFA" w:rsidRDefault="00C10A1F" w:rsidP="009C214A">
      <w:pPr>
        <w:pStyle w:val="Sschap"/>
      </w:pPr>
      <w:r w:rsidRPr="00194DFA">
        <w:rPr>
          <w:rFonts w:hint="eastAsia"/>
        </w:rPr>
        <w:t xml:space="preserve">Les États parties peuvent proposer la candidature </w:t>
      </w:r>
      <w:r w:rsidR="00D32C21" w:rsidRPr="00194DFA">
        <w:t>d</w:t>
      </w:r>
      <w:r w:rsidR="00A61E6D" w:rsidRPr="00194DFA">
        <w:t>’</w:t>
      </w:r>
      <w:r w:rsidR="00D32C21" w:rsidRPr="00194DFA">
        <w:t>élé</w:t>
      </w:r>
      <w:r w:rsidR="00D32C21" w:rsidRPr="00194DFA">
        <w:rPr>
          <w:rFonts w:hint="eastAsia"/>
        </w:rPr>
        <w:t xml:space="preserve">ments </w:t>
      </w:r>
      <w:r w:rsidRPr="00194DFA">
        <w:rPr>
          <w:rFonts w:hint="eastAsia"/>
        </w:rPr>
        <w:t xml:space="preserve">du </w:t>
      </w:r>
      <w:r w:rsidR="00A85270" w:rsidRPr="00194DFA">
        <w:t xml:space="preserve">patrimoine culturel immatériel (PCI) </w:t>
      </w:r>
      <w:r w:rsidR="00472E0F" w:rsidRPr="00194DFA">
        <w:rPr>
          <w:rFonts w:hint="eastAsia"/>
        </w:rPr>
        <w:t>pr</w:t>
      </w:r>
      <w:r w:rsidR="00472E0F" w:rsidRPr="00194DFA">
        <w:t>é</w:t>
      </w:r>
      <w:r w:rsidR="00140116" w:rsidRPr="00194DFA">
        <w:rPr>
          <w:rFonts w:hint="eastAsia"/>
        </w:rPr>
        <w:t>sent</w:t>
      </w:r>
      <w:r w:rsidR="00472E0F" w:rsidRPr="00194DFA">
        <w:rPr>
          <w:rFonts w:hint="eastAsia"/>
        </w:rPr>
        <w:t xml:space="preserve"> </w:t>
      </w:r>
      <w:r w:rsidRPr="00194DFA">
        <w:rPr>
          <w:rFonts w:hint="eastAsia"/>
        </w:rPr>
        <w:t xml:space="preserve">sur leur territoire </w:t>
      </w:r>
      <w:r w:rsidR="00140116" w:rsidRPr="00194DFA">
        <w:t>en vue de leur</w:t>
      </w:r>
      <w:r w:rsidRPr="00194DFA">
        <w:rPr>
          <w:rFonts w:hint="eastAsia"/>
        </w:rPr>
        <w:t xml:space="preserve"> inscription sur les Listes de la Convention</w:t>
      </w:r>
      <w:r w:rsidR="00AC47B8" w:rsidRPr="00194DFA">
        <w:t xml:space="preserve"> pour la sauvegarde du patrimoine culturel immatériel</w:t>
      </w:r>
      <w:r w:rsidR="00FE384B">
        <w:t>.</w:t>
      </w:r>
      <w:r w:rsidR="00AC47B8" w:rsidRPr="00194DFA">
        <w:rPr>
          <w:rStyle w:val="FootnoteReference"/>
          <w:sz w:val="24"/>
        </w:rPr>
        <w:footnoteReference w:id="1"/>
      </w:r>
      <w:r w:rsidRPr="00194DFA">
        <w:rPr>
          <w:rFonts w:hint="eastAsia"/>
        </w:rPr>
        <w:t xml:space="preserve"> </w:t>
      </w:r>
      <w:r w:rsidR="00D65E8C" w:rsidRPr="00194DFA">
        <w:t>La présente unité</w:t>
      </w:r>
      <w:r w:rsidRPr="00194DFA">
        <w:t xml:space="preserve"> </w:t>
      </w:r>
      <w:r w:rsidR="00807D26">
        <w:t xml:space="preserve">aborde les </w:t>
      </w:r>
      <w:r w:rsidRPr="00194DFA">
        <w:t>sujets suivants</w:t>
      </w:r>
      <w:r w:rsidR="00EA1FE1" w:rsidRPr="00194DFA">
        <w:t> :</w:t>
      </w:r>
    </w:p>
    <w:p w14:paraId="6BAFDDC6" w14:textId="77777777" w:rsidR="004325DC" w:rsidRPr="00194DFA" w:rsidRDefault="00C1515E" w:rsidP="00150FFB">
      <w:pPr>
        <w:pStyle w:val="Txtchap"/>
      </w:pPr>
      <w:r w:rsidRPr="00194DFA">
        <w:t xml:space="preserve">Les </w:t>
      </w:r>
      <w:r w:rsidR="00C10A1F" w:rsidRPr="00194DFA">
        <w:t>deux Li</w:t>
      </w:r>
      <w:r w:rsidR="009C214A" w:rsidRPr="00AD244C">
        <w:rPr>
          <w:noProof/>
          <w:lang w:eastAsia="zh-TW"/>
        </w:rPr>
        <w:drawing>
          <wp:anchor distT="0" distB="0" distL="114300" distR="114300" simplePos="0" relativeHeight="252164608" behindDoc="1" locked="0" layoutInCell="1" allowOverlap="0" wp14:anchorId="5B80D877" wp14:editId="78FD2186">
            <wp:simplePos x="0" y="0"/>
            <wp:positionH relativeFrom="margin">
              <wp:posOffset>512445</wp:posOffset>
            </wp:positionH>
            <wp:positionV relativeFrom="margin">
              <wp:posOffset>1952625</wp:posOffset>
            </wp:positionV>
            <wp:extent cx="4870411" cy="4498145"/>
            <wp:effectExtent l="0" t="0" r="6985" b="0"/>
            <wp:wrapNone/>
            <wp:docPr id="1"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C10A1F" w:rsidRPr="00194DFA">
        <w:t xml:space="preserve">stes de la </w:t>
      </w:r>
      <w:r w:rsidR="00A85270" w:rsidRPr="00194DFA">
        <w:t>Convention :</w:t>
      </w:r>
      <w:r w:rsidR="00C10A1F" w:rsidRPr="00194DFA">
        <w:t xml:space="preserve"> la Liste de sauvegarde urgente (LSU) et la Liste représentative (LR)</w:t>
      </w:r>
      <w:r w:rsidRPr="00194DFA">
        <w:t>.</w:t>
      </w:r>
    </w:p>
    <w:p w14:paraId="54DBEAB7" w14:textId="77777777" w:rsidR="004325DC" w:rsidRPr="00194DFA" w:rsidRDefault="00C1515E" w:rsidP="00150FFB">
      <w:pPr>
        <w:pStyle w:val="Txtchap"/>
      </w:pPr>
      <w:r w:rsidRPr="00194DFA">
        <w:t xml:space="preserve">Le </w:t>
      </w:r>
      <w:r w:rsidR="00C10A1F" w:rsidRPr="00194DFA">
        <w:t>Registre de</w:t>
      </w:r>
      <w:r w:rsidR="0046535D" w:rsidRPr="00194DFA">
        <w:t>s</w:t>
      </w:r>
      <w:r w:rsidR="00C10A1F" w:rsidRPr="00194DFA">
        <w:t xml:space="preserve"> </w:t>
      </w:r>
      <w:r w:rsidR="00FE384B">
        <w:t xml:space="preserve">bonnes </w:t>
      </w:r>
      <w:r w:rsidR="00461004" w:rsidRPr="00194DFA">
        <w:t>pratiques de sauvegarde</w:t>
      </w:r>
      <w:r w:rsidR="00C10A1F" w:rsidRPr="00194DFA">
        <w:t xml:space="preserve"> (</w:t>
      </w:r>
      <w:r w:rsidR="00043DFF" w:rsidRPr="00194DFA">
        <w:t>article </w:t>
      </w:r>
      <w:r w:rsidR="00C10A1F" w:rsidRPr="00194DFA">
        <w:t>18)</w:t>
      </w:r>
      <w:r w:rsidRPr="00194DFA">
        <w:t>.</w:t>
      </w:r>
    </w:p>
    <w:p w14:paraId="13C85D01" w14:textId="49324736" w:rsidR="004325DC" w:rsidRDefault="00C1515E" w:rsidP="00150FFB">
      <w:pPr>
        <w:pStyle w:val="Txtchap"/>
      </w:pPr>
      <w:r w:rsidRPr="00194DFA">
        <w:t>Le</w:t>
      </w:r>
      <w:r w:rsidR="0046535D" w:rsidRPr="00194DFA">
        <w:t xml:space="preserve"> nombre de dossiers traités chaque année, les</w:t>
      </w:r>
      <w:r w:rsidRPr="00194DFA">
        <w:t xml:space="preserve"> </w:t>
      </w:r>
      <w:r w:rsidR="00C10A1F" w:rsidRPr="00194DFA">
        <w:t xml:space="preserve">procédures, calendriers et critères de soumission, </w:t>
      </w:r>
      <w:r w:rsidR="0046535D" w:rsidRPr="00194DFA">
        <w:t>l’</w:t>
      </w:r>
      <w:r w:rsidR="00C10A1F" w:rsidRPr="00194DFA">
        <w:t xml:space="preserve">évaluation </w:t>
      </w:r>
      <w:r w:rsidR="005B1C14" w:rsidRPr="00194DFA">
        <w:t xml:space="preserve">et </w:t>
      </w:r>
      <w:r w:rsidR="0046535D" w:rsidRPr="00194DFA">
        <w:t>l’</w:t>
      </w:r>
      <w:r w:rsidR="005B1C14" w:rsidRPr="00194DFA">
        <w:t xml:space="preserve">examen </w:t>
      </w:r>
      <w:r w:rsidR="00C10A1F" w:rsidRPr="00194DFA">
        <w:t xml:space="preserve">des candidatures </w:t>
      </w:r>
      <w:r w:rsidR="00785D4E">
        <w:t xml:space="preserve">à </w:t>
      </w:r>
      <w:r w:rsidR="0046535D" w:rsidRPr="00194DFA">
        <w:t xml:space="preserve">ces </w:t>
      </w:r>
      <w:r w:rsidR="00C10A1F" w:rsidRPr="00194DFA">
        <w:t xml:space="preserve">Listes et </w:t>
      </w:r>
      <w:r w:rsidR="005B1C14" w:rsidRPr="00194DFA">
        <w:t xml:space="preserve">des propositions pour </w:t>
      </w:r>
      <w:r w:rsidR="00C10A1F" w:rsidRPr="00194DFA">
        <w:t>le Registre.</w:t>
      </w:r>
    </w:p>
    <w:p w14:paraId="08A49FC5" w14:textId="77777777" w:rsidR="00FE384B" w:rsidRPr="00194DFA" w:rsidRDefault="00FE384B" w:rsidP="00150FFB">
      <w:pPr>
        <w:pStyle w:val="Txtchap"/>
      </w:pPr>
      <w:r>
        <w:t>Les effets de l’inscription d’éléments sur les Listes (LSU et LR) de la Convention.</w:t>
      </w:r>
    </w:p>
    <w:p w14:paraId="2E920915" w14:textId="77777777" w:rsidR="00DC1DA8" w:rsidRPr="00194DFA" w:rsidRDefault="00FE384B">
      <w:pPr>
        <w:pStyle w:val="Chapinfo"/>
      </w:pPr>
      <w:r>
        <w:t xml:space="preserve">Les sujets suivants traités dans le </w:t>
      </w:r>
      <w:r w:rsidR="00646D3D" w:rsidRPr="00194DFA">
        <w:t>Texte du participant</w:t>
      </w:r>
      <w:r w:rsidR="006F42B3" w:rsidRPr="00194DFA">
        <w:t xml:space="preserve"> </w:t>
      </w:r>
      <w:r w:rsidR="00D039D1" w:rsidRPr="00194DFA">
        <w:t>de l’</w:t>
      </w:r>
      <w:r w:rsidR="006F42B3" w:rsidRPr="00194DFA">
        <w:t>Unité 3</w:t>
      </w:r>
      <w:r>
        <w:t xml:space="preserve"> sont pertinents</w:t>
      </w:r>
      <w:r w:rsidR="006F42B3" w:rsidRPr="00194DFA">
        <w:t> </w:t>
      </w:r>
      <w:r w:rsidR="00EA1FE1" w:rsidRPr="00194DFA">
        <w:t>:</w:t>
      </w:r>
      <w:r w:rsidR="00043DFF" w:rsidRPr="00194DFA">
        <w:t xml:space="preserve"> </w:t>
      </w:r>
      <w:r w:rsidR="0046535D" w:rsidRPr="00194DFA">
        <w:t xml:space="preserve">« Éléments du PCI », </w:t>
      </w:r>
      <w:r w:rsidR="00043DFF" w:rsidRPr="00194DFA">
        <w:t>« </w:t>
      </w:r>
      <w:r w:rsidR="00C10A1F" w:rsidRPr="00194DFA">
        <w:t>Organe consultatif</w:t>
      </w:r>
      <w:r w:rsidR="0046535D" w:rsidRPr="00194DFA">
        <w:t> » et</w:t>
      </w:r>
      <w:r w:rsidR="00461004" w:rsidRPr="00194DFA">
        <w:t xml:space="preserve"> </w:t>
      </w:r>
      <w:r w:rsidR="00043DFF" w:rsidRPr="00194DFA">
        <w:t>« </w:t>
      </w:r>
      <w:r w:rsidR="00C10A1F" w:rsidRPr="00194DFA">
        <w:t>Patrimoine partagé ou transfrontalier</w:t>
      </w:r>
      <w:r w:rsidR="0046535D" w:rsidRPr="00194DFA">
        <w:t> »</w:t>
      </w:r>
      <w:r w:rsidR="00461004" w:rsidRPr="00194DFA">
        <w:t>.</w:t>
      </w:r>
    </w:p>
    <w:p w14:paraId="33732D2B" w14:textId="77777777" w:rsidR="00DC1DA8" w:rsidRPr="00194DFA" w:rsidRDefault="00DC1DA8">
      <w:pPr>
        <w:keepNext w:val="0"/>
        <w:tabs>
          <w:tab w:val="clear" w:pos="567"/>
        </w:tabs>
        <w:snapToGrid/>
        <w:spacing w:line="240" w:lineRule="auto"/>
        <w:ind w:left="0"/>
        <w:jc w:val="left"/>
        <w:rPr>
          <w:i/>
          <w:iCs/>
          <w:color w:val="3366FF"/>
          <w:sz w:val="24"/>
          <w:szCs w:val="24"/>
        </w:rPr>
      </w:pPr>
      <w:r w:rsidRPr="00194DFA">
        <w:br w:type="page"/>
      </w:r>
    </w:p>
    <w:p w14:paraId="6B2313E6" w14:textId="77777777" w:rsidR="00545F00" w:rsidRDefault="00545F00" w:rsidP="00545F00">
      <w:pPr>
        <w:tabs>
          <w:tab w:val="clear" w:pos="567"/>
        </w:tabs>
        <w:snapToGrid/>
        <w:spacing w:before="480"/>
        <w:ind w:left="0"/>
        <w:jc w:val="left"/>
        <w:rPr>
          <w:rFonts w:eastAsia="Times New Roman"/>
          <w:szCs w:val="22"/>
          <w:lang w:eastAsia="pt-BR"/>
        </w:rPr>
      </w:pPr>
      <w:bookmarkStart w:id="7" w:name="_Toc238963304"/>
      <w:bookmarkStart w:id="8" w:name="_Toc241065190"/>
      <w:bookmarkStart w:id="9" w:name="_Toc301443397"/>
      <w:bookmarkStart w:id="10" w:name="_Toc321407040"/>
      <w:bookmarkStart w:id="11" w:name="_Toc354486664"/>
      <w:bookmarkStart w:id="12" w:name="_Toc354486970"/>
      <w:bookmarkStart w:id="13" w:name="_Toc247360269"/>
    </w:p>
    <w:p w14:paraId="5C5D3957" w14:textId="43252846" w:rsidR="00545F00" w:rsidRPr="00545F00" w:rsidRDefault="00545F00" w:rsidP="00545F00">
      <w:pPr>
        <w:tabs>
          <w:tab w:val="clear" w:pos="567"/>
        </w:tabs>
        <w:snapToGrid/>
        <w:spacing w:before="480"/>
        <w:ind w:left="0"/>
        <w:jc w:val="left"/>
        <w:rPr>
          <w:rFonts w:eastAsia="Times New Roman"/>
          <w:sz w:val="22"/>
          <w:szCs w:val="22"/>
          <w:lang w:eastAsia="pt-BR"/>
        </w:rPr>
      </w:pPr>
      <w:r w:rsidRPr="00545F00">
        <w:rPr>
          <w:rFonts w:eastAsia="Times New Roman"/>
          <w:sz w:val="22"/>
          <w:szCs w:val="22"/>
          <w:lang w:eastAsia="pt-BR"/>
        </w:rPr>
        <w:t xml:space="preserve">Publié en </w:t>
      </w:r>
      <w:r w:rsidR="00EE46F8">
        <w:rPr>
          <w:rFonts w:eastAsia="Times New Roman"/>
          <w:sz w:val="22"/>
          <w:szCs w:val="22"/>
          <w:lang w:eastAsia="pt-BR"/>
        </w:rPr>
        <w:t>2016</w:t>
      </w:r>
      <w:r w:rsidRPr="00545F00">
        <w:rPr>
          <w:rFonts w:eastAsia="Times New Roman"/>
          <w:sz w:val="22"/>
          <w:szCs w:val="22"/>
          <w:lang w:eastAsia="pt-BR"/>
        </w:rPr>
        <w:t xml:space="preserve"> par l’Organisation des Nations Unies pour l’éducation, la science et la culture </w:t>
      </w:r>
    </w:p>
    <w:p w14:paraId="7F6DA494" w14:textId="77777777" w:rsidR="00545F00" w:rsidRPr="00545F00" w:rsidRDefault="00545F00" w:rsidP="00545F00">
      <w:pPr>
        <w:autoSpaceDE w:val="0"/>
        <w:autoSpaceDN w:val="0"/>
        <w:adjustRightInd w:val="0"/>
        <w:ind w:left="0"/>
        <w:rPr>
          <w:sz w:val="22"/>
          <w:szCs w:val="22"/>
        </w:rPr>
      </w:pPr>
      <w:r w:rsidRPr="00545F00">
        <w:rPr>
          <w:sz w:val="22"/>
          <w:szCs w:val="22"/>
        </w:rPr>
        <w:t>7, place de Fontenoy, 75352 Paris 07 SP, France</w:t>
      </w:r>
    </w:p>
    <w:p w14:paraId="2C4FCA23" w14:textId="77777777" w:rsidR="00545F00" w:rsidRPr="00545F00" w:rsidRDefault="00545F00" w:rsidP="00545F00">
      <w:pPr>
        <w:autoSpaceDE w:val="0"/>
        <w:autoSpaceDN w:val="0"/>
        <w:adjustRightInd w:val="0"/>
        <w:rPr>
          <w:sz w:val="22"/>
          <w:szCs w:val="22"/>
        </w:rPr>
      </w:pPr>
    </w:p>
    <w:p w14:paraId="0C0A6AAC" w14:textId="0E6F880C" w:rsidR="00545F00" w:rsidRPr="00545F00" w:rsidRDefault="00545F00" w:rsidP="00545F00">
      <w:pPr>
        <w:autoSpaceDE w:val="0"/>
        <w:autoSpaceDN w:val="0"/>
        <w:adjustRightInd w:val="0"/>
        <w:ind w:left="0"/>
        <w:rPr>
          <w:sz w:val="22"/>
          <w:szCs w:val="22"/>
        </w:rPr>
      </w:pPr>
      <w:r w:rsidRPr="00545F00">
        <w:rPr>
          <w:sz w:val="22"/>
          <w:szCs w:val="22"/>
        </w:rPr>
        <w:t xml:space="preserve">© UNESCO </w:t>
      </w:r>
      <w:r w:rsidR="00EE46F8">
        <w:rPr>
          <w:sz w:val="22"/>
          <w:szCs w:val="22"/>
        </w:rPr>
        <w:t>2016</w:t>
      </w:r>
    </w:p>
    <w:p w14:paraId="1D3E9A1D" w14:textId="77777777" w:rsidR="00545F00" w:rsidRPr="00545F00" w:rsidRDefault="00545F00" w:rsidP="00545F00">
      <w:pPr>
        <w:autoSpaceDE w:val="0"/>
        <w:autoSpaceDN w:val="0"/>
        <w:adjustRightInd w:val="0"/>
        <w:ind w:left="0"/>
        <w:rPr>
          <w:sz w:val="22"/>
          <w:szCs w:val="22"/>
        </w:rPr>
      </w:pPr>
    </w:p>
    <w:p w14:paraId="32A3E3D9" w14:textId="6F056A45" w:rsidR="00545F00" w:rsidRPr="00545F00" w:rsidRDefault="00545F00" w:rsidP="00545F00">
      <w:pPr>
        <w:autoSpaceDE w:val="0"/>
        <w:autoSpaceDN w:val="0"/>
        <w:adjustRightInd w:val="0"/>
        <w:rPr>
          <w:sz w:val="22"/>
          <w:szCs w:val="22"/>
        </w:rPr>
      </w:pPr>
      <w:r w:rsidRPr="00545F00">
        <w:rPr>
          <w:noProof/>
          <w:sz w:val="22"/>
          <w:szCs w:val="22"/>
          <w:lang w:eastAsia="zh-TW"/>
        </w:rPr>
        <w:drawing>
          <wp:anchor distT="0" distB="0" distL="114300" distR="114300" simplePos="0" relativeHeight="252183040" behindDoc="0" locked="0" layoutInCell="1" allowOverlap="1" wp14:anchorId="7D88065D" wp14:editId="147887FB">
            <wp:simplePos x="0" y="0"/>
            <wp:positionH relativeFrom="column">
              <wp:posOffset>-3810</wp:posOffset>
            </wp:positionH>
            <wp:positionV relativeFrom="paragraph">
              <wp:posOffset>50165</wp:posOffset>
            </wp:positionV>
            <wp:extent cx="756285" cy="265430"/>
            <wp:effectExtent l="0" t="0" r="571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5468DB97" w14:textId="77777777" w:rsidR="00545F00" w:rsidRPr="00545F00" w:rsidRDefault="00545F00" w:rsidP="00545F00">
      <w:pPr>
        <w:autoSpaceDE w:val="0"/>
        <w:autoSpaceDN w:val="0"/>
        <w:adjustRightInd w:val="0"/>
        <w:ind w:left="0"/>
        <w:rPr>
          <w:sz w:val="22"/>
          <w:szCs w:val="22"/>
        </w:rPr>
      </w:pPr>
    </w:p>
    <w:p w14:paraId="31F82563" w14:textId="77777777" w:rsidR="00545F00" w:rsidRPr="00545F00" w:rsidRDefault="00545F00" w:rsidP="00545F00">
      <w:pPr>
        <w:autoSpaceDE w:val="0"/>
        <w:autoSpaceDN w:val="0"/>
        <w:adjustRightInd w:val="0"/>
        <w:ind w:left="0"/>
        <w:rPr>
          <w:sz w:val="22"/>
          <w:szCs w:val="22"/>
        </w:rPr>
      </w:pPr>
      <w:r w:rsidRPr="00545F00">
        <w:rPr>
          <w:sz w:val="22"/>
          <w:szCs w:val="22"/>
        </w:rPr>
        <w:t>Œuvre publiée en libre accès sous la licence Attribution-ShareAlike 3.0 IGO (CC-BY-SA 3.0 IGO) (</w:t>
      </w:r>
      <w:hyperlink r:id="rId10" w:history="1">
        <w:r w:rsidRPr="00545F00">
          <w:rPr>
            <w:sz w:val="22"/>
            <w:szCs w:val="22"/>
          </w:rPr>
          <w:t>http://creativecommons.org/licenses/by-sa/3.0/igo/</w:t>
        </w:r>
      </w:hyperlink>
      <w:r w:rsidRPr="00545F00">
        <w:rPr>
          <w:sz w:val="22"/>
          <w:szCs w:val="22"/>
        </w:rPr>
        <w:t>). Les utilisateurs du contenu de la présente publication acceptent les termes d’utilisation de l’Archive ouverte de libre accès UNESCO (</w:t>
      </w:r>
      <w:hyperlink r:id="rId11" w:history="1">
        <w:r w:rsidRPr="00545F00">
          <w:rPr>
            <w:sz w:val="22"/>
            <w:szCs w:val="22"/>
          </w:rPr>
          <w:t>www.unesco.org/open-access/terms-use-ccbysa-fr</w:t>
        </w:r>
      </w:hyperlink>
      <w:r w:rsidRPr="00545F00">
        <w:rPr>
          <w:sz w:val="22"/>
          <w:szCs w:val="22"/>
        </w:rPr>
        <w:t>).</w:t>
      </w:r>
    </w:p>
    <w:p w14:paraId="17BF2467" w14:textId="77777777" w:rsidR="00545F00" w:rsidRPr="00545F00" w:rsidRDefault="00545F00" w:rsidP="00545F00">
      <w:pPr>
        <w:autoSpaceDE w:val="0"/>
        <w:autoSpaceDN w:val="0"/>
        <w:adjustRightInd w:val="0"/>
        <w:ind w:left="0"/>
        <w:rPr>
          <w:sz w:val="22"/>
          <w:szCs w:val="22"/>
        </w:rPr>
      </w:pPr>
      <w:r w:rsidRPr="00545F00">
        <w:rPr>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1AE44A4D" w14:textId="77777777" w:rsidR="00545F00" w:rsidRPr="00545F00" w:rsidRDefault="00545F00" w:rsidP="00545F00">
      <w:pPr>
        <w:autoSpaceDE w:val="0"/>
        <w:autoSpaceDN w:val="0"/>
        <w:adjustRightInd w:val="0"/>
        <w:ind w:left="0"/>
        <w:rPr>
          <w:sz w:val="22"/>
          <w:szCs w:val="22"/>
        </w:rPr>
      </w:pPr>
    </w:p>
    <w:p w14:paraId="43033F5E" w14:textId="77777777" w:rsidR="00545F00" w:rsidRPr="00545F00" w:rsidRDefault="00545F00" w:rsidP="00545F00">
      <w:pPr>
        <w:autoSpaceDE w:val="0"/>
        <w:autoSpaceDN w:val="0"/>
        <w:adjustRightInd w:val="0"/>
        <w:ind w:left="0"/>
        <w:rPr>
          <w:sz w:val="22"/>
          <w:szCs w:val="22"/>
        </w:rPr>
      </w:pPr>
      <w:r w:rsidRPr="00545F00">
        <w:rPr>
          <w:sz w:val="22"/>
          <w:szCs w:val="22"/>
        </w:rPr>
        <w:t>Titre original : Nominations: overvie</w:t>
      </w:r>
      <w:bookmarkStart w:id="14" w:name="_GoBack"/>
      <w:bookmarkEnd w:id="14"/>
      <w:r w:rsidRPr="00545F00">
        <w:rPr>
          <w:sz w:val="22"/>
          <w:szCs w:val="22"/>
        </w:rPr>
        <w:t>w</w:t>
      </w:r>
    </w:p>
    <w:p w14:paraId="6EA2D95B" w14:textId="3E24AD4F" w:rsidR="00545F00" w:rsidRPr="00545F00" w:rsidRDefault="00545F00" w:rsidP="00545F00">
      <w:pPr>
        <w:autoSpaceDE w:val="0"/>
        <w:autoSpaceDN w:val="0"/>
        <w:adjustRightInd w:val="0"/>
        <w:ind w:left="0"/>
        <w:rPr>
          <w:sz w:val="22"/>
          <w:szCs w:val="22"/>
        </w:rPr>
      </w:pPr>
      <w:r w:rsidRPr="00545F00">
        <w:rPr>
          <w:sz w:val="22"/>
          <w:szCs w:val="22"/>
        </w:rPr>
        <w:t xml:space="preserve">Publié en </w:t>
      </w:r>
      <w:r w:rsidR="00EE46F8">
        <w:rPr>
          <w:sz w:val="22"/>
          <w:szCs w:val="22"/>
        </w:rPr>
        <w:t>2016</w:t>
      </w:r>
      <w:r w:rsidRPr="00545F00">
        <w:rPr>
          <w:sz w:val="22"/>
          <w:szCs w:val="22"/>
        </w:rPr>
        <w:t xml:space="preserve"> par l’Organisation des Nations Unies pour l’éducation, la science et la culture </w:t>
      </w:r>
    </w:p>
    <w:p w14:paraId="78795A96" w14:textId="77777777" w:rsidR="00545F00" w:rsidRPr="00545F00" w:rsidRDefault="00545F00" w:rsidP="00545F00">
      <w:pPr>
        <w:autoSpaceDE w:val="0"/>
        <w:autoSpaceDN w:val="0"/>
        <w:adjustRightInd w:val="0"/>
        <w:ind w:left="0"/>
        <w:rPr>
          <w:sz w:val="22"/>
          <w:szCs w:val="22"/>
        </w:rPr>
      </w:pPr>
    </w:p>
    <w:p w14:paraId="6295274C" w14:textId="77777777" w:rsidR="00545F00" w:rsidRPr="00545F00" w:rsidRDefault="00545F00" w:rsidP="00545F00">
      <w:pPr>
        <w:autoSpaceDE w:val="0"/>
        <w:autoSpaceDN w:val="0"/>
        <w:adjustRightInd w:val="0"/>
        <w:ind w:left="0"/>
        <w:rPr>
          <w:sz w:val="22"/>
          <w:szCs w:val="22"/>
        </w:rPr>
      </w:pPr>
      <w:r w:rsidRPr="00545F00">
        <w:rPr>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0F1183BA" w14:textId="77777777" w:rsidR="00545F00" w:rsidRPr="00545F00" w:rsidRDefault="00545F00" w:rsidP="00545F00">
      <w:pPr>
        <w:autoSpaceDE w:val="0"/>
        <w:autoSpaceDN w:val="0"/>
        <w:adjustRightInd w:val="0"/>
        <w:ind w:left="0"/>
        <w:rPr>
          <w:sz w:val="22"/>
          <w:szCs w:val="22"/>
        </w:rPr>
      </w:pPr>
    </w:p>
    <w:p w14:paraId="2DF72660" w14:textId="77777777" w:rsidR="00545F00" w:rsidRPr="00545F00" w:rsidRDefault="00545F00" w:rsidP="00545F00">
      <w:pPr>
        <w:autoSpaceDE w:val="0"/>
        <w:autoSpaceDN w:val="0"/>
        <w:adjustRightInd w:val="0"/>
        <w:ind w:left="0"/>
        <w:rPr>
          <w:sz w:val="22"/>
          <w:szCs w:val="22"/>
        </w:rPr>
      </w:pPr>
      <w:r w:rsidRPr="00545F00">
        <w:rPr>
          <w:sz w:val="22"/>
          <w:szCs w:val="22"/>
        </w:rPr>
        <w:t>Les idées et les opinions exprimées dans cette publication sont celles des auteurs ; elles ne reflètent pas nécessairement les points de vue de l’UNESCO et n’engagent en aucune façon l’Organisation.</w:t>
      </w:r>
    </w:p>
    <w:p w14:paraId="1424DCA6" w14:textId="10745600" w:rsidR="00545F00" w:rsidRPr="00545F00" w:rsidRDefault="00545F00" w:rsidP="00BE0A25">
      <w:pPr>
        <w:tabs>
          <w:tab w:val="clear" w:pos="567"/>
        </w:tabs>
        <w:snapToGrid/>
        <w:spacing w:before="480"/>
        <w:ind w:left="0"/>
        <w:jc w:val="left"/>
        <w:rPr>
          <w:rFonts w:eastAsia="Times New Roman"/>
          <w:sz w:val="22"/>
          <w:szCs w:val="22"/>
          <w:lang w:eastAsia="pt-BR"/>
        </w:rPr>
      </w:pPr>
      <w:r w:rsidRPr="00545F00">
        <w:rPr>
          <w:rFonts w:eastAsia="Times New Roman"/>
          <w:sz w:val="22"/>
          <w:szCs w:val="22"/>
          <w:lang w:eastAsia="pt-BR"/>
        </w:rPr>
        <w:br w:type="page"/>
      </w:r>
    </w:p>
    <w:p w14:paraId="6498897C" w14:textId="77777777" w:rsidR="004325DC" w:rsidRPr="00194DFA" w:rsidRDefault="00C10A1F" w:rsidP="004A78E2">
      <w:pPr>
        <w:pStyle w:val="Titcoul"/>
        <w:spacing w:before="0"/>
      </w:pPr>
      <w:r w:rsidRPr="00194DFA">
        <w:lastRenderedPageBreak/>
        <w:t>1</w:t>
      </w:r>
      <w:r w:rsidR="006F42B3" w:rsidRPr="00194DFA">
        <w:t>1</w:t>
      </w:r>
      <w:r w:rsidRPr="00194DFA">
        <w:t>.1</w:t>
      </w:r>
      <w:bookmarkEnd w:id="7"/>
      <w:bookmarkEnd w:id="8"/>
      <w:r w:rsidR="00664974" w:rsidRPr="00194DFA">
        <w:tab/>
      </w:r>
      <w:bookmarkStart w:id="15" w:name="_Toc238963305"/>
      <w:bookmarkStart w:id="16" w:name="_Toc241065191"/>
      <w:r w:rsidR="00775C56" w:rsidRPr="00194DFA">
        <w:t xml:space="preserve">Candidatures </w:t>
      </w:r>
      <w:r w:rsidR="00F14962" w:rsidRPr="00194DFA">
        <w:t>aux</w:t>
      </w:r>
      <w:r w:rsidRPr="00194DFA">
        <w:t xml:space="preserve"> Listes de la Convention</w:t>
      </w:r>
      <w:bookmarkEnd w:id="9"/>
      <w:bookmarkEnd w:id="10"/>
      <w:bookmarkEnd w:id="11"/>
      <w:bookmarkEnd w:id="12"/>
      <w:bookmarkEnd w:id="13"/>
      <w:bookmarkEnd w:id="15"/>
      <w:bookmarkEnd w:id="16"/>
    </w:p>
    <w:p w14:paraId="4ADF4319" w14:textId="77777777" w:rsidR="004325DC" w:rsidRPr="00194DFA" w:rsidRDefault="00FE384B" w:rsidP="00914287">
      <w:pPr>
        <w:pStyle w:val="Texte1"/>
      </w:pPr>
      <w:r>
        <w:t xml:space="preserve">Les deux Listes de la Convention, </w:t>
      </w:r>
      <w:r w:rsidR="00C10A1F" w:rsidRPr="00194DFA">
        <w:t xml:space="preserve">déjà brièvement </w:t>
      </w:r>
      <w:r>
        <w:t xml:space="preserve">présentées </w:t>
      </w:r>
      <w:r w:rsidR="00C10A1F" w:rsidRPr="00194DFA">
        <w:t xml:space="preserve">dans </w:t>
      </w:r>
      <w:r w:rsidR="00B72F39" w:rsidRPr="00194DFA">
        <w:t xml:space="preserve">le </w:t>
      </w:r>
      <w:r w:rsidR="00646D3D" w:rsidRPr="00194DFA">
        <w:t>Texte du participant</w:t>
      </w:r>
      <w:r w:rsidR="008B14CC" w:rsidRPr="00194DFA">
        <w:t xml:space="preserve"> </w:t>
      </w:r>
      <w:r w:rsidR="00D039D1" w:rsidRPr="00194DFA">
        <w:t>de l’</w:t>
      </w:r>
      <w:r w:rsidR="00B72F39" w:rsidRPr="00194DFA">
        <w:t xml:space="preserve">Unité </w:t>
      </w:r>
      <w:r w:rsidR="00C10A1F" w:rsidRPr="00194DFA">
        <w:t>2</w:t>
      </w:r>
      <w:r>
        <w:t>, sont</w:t>
      </w:r>
      <w:r w:rsidR="00EA1FE1" w:rsidRPr="00194DFA">
        <w:t> :</w:t>
      </w:r>
    </w:p>
    <w:p w14:paraId="721DE2E1" w14:textId="77777777" w:rsidR="004325DC" w:rsidRPr="00194DFA" w:rsidRDefault="00C1515E" w:rsidP="009C214A">
      <w:pPr>
        <w:pStyle w:val="Txtpucegras"/>
        <w:ind w:left="1134"/>
      </w:pPr>
      <w:r w:rsidRPr="00194DFA">
        <w:t xml:space="preserve">La </w:t>
      </w:r>
      <w:r w:rsidR="00C10A1F" w:rsidRPr="00194DFA">
        <w:t>Liste de sauvegarde urgente (LSU) (titre complet</w:t>
      </w:r>
      <w:r w:rsidR="00EA1FE1" w:rsidRPr="00194DFA">
        <w:t> :</w:t>
      </w:r>
      <w:r w:rsidR="00C10A1F" w:rsidRPr="00194DFA">
        <w:t xml:space="preserve"> Liste du patrimoine culturel immatériel nécessitant une sauvegarde urgente)</w:t>
      </w:r>
      <w:r w:rsidRPr="00194DFA">
        <w:t>.</w:t>
      </w:r>
    </w:p>
    <w:p w14:paraId="7F95D8E8" w14:textId="77777777" w:rsidR="004325DC" w:rsidRPr="00194DFA" w:rsidRDefault="00C1515E" w:rsidP="009C214A">
      <w:pPr>
        <w:pStyle w:val="Txtpucegras"/>
        <w:ind w:left="1134"/>
      </w:pPr>
      <w:r w:rsidRPr="00194DFA">
        <w:t xml:space="preserve">La </w:t>
      </w:r>
      <w:r w:rsidR="00C10A1F" w:rsidRPr="00194DFA">
        <w:t>Liste représentative (LR) (titre complet</w:t>
      </w:r>
      <w:r w:rsidR="00EA1FE1" w:rsidRPr="00194DFA">
        <w:t> :</w:t>
      </w:r>
      <w:r w:rsidR="00C10A1F" w:rsidRPr="00194DFA">
        <w:t xml:space="preserve"> Liste représentative du patrimoine culturel immatériel de l</w:t>
      </w:r>
      <w:r w:rsidR="00A61E6D" w:rsidRPr="00194DFA">
        <w:t>’</w:t>
      </w:r>
      <w:r w:rsidR="00C10A1F" w:rsidRPr="00194DFA">
        <w:t>humanité).</w:t>
      </w:r>
    </w:p>
    <w:p w14:paraId="32AF3032" w14:textId="77777777" w:rsidR="004325DC" w:rsidRPr="00194DFA" w:rsidRDefault="00C10A1F" w:rsidP="00914287">
      <w:pPr>
        <w:pStyle w:val="Texte1"/>
      </w:pPr>
      <w:r w:rsidRPr="00194DFA">
        <w:t xml:space="preserve">En règle générale, les </w:t>
      </w:r>
      <w:r w:rsidR="00F14962" w:rsidRPr="00194DFA">
        <w:t>propositions d’inscription sur les</w:t>
      </w:r>
      <w:r w:rsidRPr="00194DFA">
        <w:t xml:space="preserve"> Listes de la Convention sont présentées par les États parties concernés. </w:t>
      </w:r>
      <w:r w:rsidR="00F14962" w:rsidRPr="00194DFA">
        <w:t>Elles</w:t>
      </w:r>
      <w:r w:rsidRPr="00194DFA">
        <w:t xml:space="preserve"> doivent être préparé</w:t>
      </w:r>
      <w:r w:rsidR="00F14962" w:rsidRPr="00194DFA">
        <w:t>e</w:t>
      </w:r>
      <w:r w:rsidRPr="00194DFA">
        <w:t>s avec l</w:t>
      </w:r>
      <w:r w:rsidR="00A61E6D" w:rsidRPr="00194DFA">
        <w:t>’</w:t>
      </w:r>
      <w:r w:rsidRPr="00194DFA">
        <w:t>entière participation des communautés intéressées et soumis</w:t>
      </w:r>
      <w:r w:rsidR="00F14962" w:rsidRPr="00194DFA">
        <w:t>es</w:t>
      </w:r>
      <w:r w:rsidRPr="00194DFA">
        <w:t xml:space="preserve"> </w:t>
      </w:r>
      <w:r w:rsidR="00F14962" w:rsidRPr="00194DFA">
        <w:t>avec leur consentement</w:t>
      </w:r>
      <w:r w:rsidRPr="00194DFA">
        <w:t>. Seuls les éléments du PCI, c</w:t>
      </w:r>
      <w:r w:rsidR="00A61E6D" w:rsidRPr="00194DFA">
        <w:t>’</w:t>
      </w:r>
      <w:r w:rsidRPr="00194DFA">
        <w:t>est-à-dire les pratiques, expressions, savoirs et savoir-faire conformes à la définition du PCI donnée dans la Convention, peuvent être pr</w:t>
      </w:r>
      <w:r w:rsidR="00F14962" w:rsidRPr="00194DFA">
        <w:t>opos</w:t>
      </w:r>
      <w:r w:rsidRPr="00194DFA">
        <w:t xml:space="preserve">és pour inscription sur les Listes. Les objets ou </w:t>
      </w:r>
      <w:r w:rsidR="00140116" w:rsidRPr="00194DFA">
        <w:t xml:space="preserve">les </w:t>
      </w:r>
      <w:r w:rsidRPr="00194DFA">
        <w:t xml:space="preserve">espaces et les détenteurs de traditions individuels </w:t>
      </w:r>
      <w:r w:rsidR="00D117BD" w:rsidRPr="00194DFA">
        <w:t xml:space="preserve">qui y sont associés </w:t>
      </w:r>
      <w:r w:rsidRPr="00194DFA">
        <w:t>peuvent être mentionné</w:t>
      </w:r>
      <w:r w:rsidR="00D117BD" w:rsidRPr="00194DFA">
        <w:t>s dans un dossier</w:t>
      </w:r>
      <w:r w:rsidRPr="00194DFA">
        <w:t xml:space="preserve">, mais </w:t>
      </w:r>
      <w:r w:rsidR="00D117BD" w:rsidRPr="00194DFA">
        <w:t>sans en être</w:t>
      </w:r>
      <w:r w:rsidR="00140116" w:rsidRPr="00194DFA">
        <w:t xml:space="preserve"> pour autant</w:t>
      </w:r>
      <w:r w:rsidRPr="00194DFA">
        <w:t xml:space="preserve"> l</w:t>
      </w:r>
      <w:r w:rsidR="00D117BD" w:rsidRPr="00194DFA">
        <w:t>e point</w:t>
      </w:r>
      <w:r w:rsidRPr="00194DFA">
        <w:t xml:space="preserve"> focal.</w:t>
      </w:r>
    </w:p>
    <w:p w14:paraId="05D8C802" w14:textId="77777777" w:rsidR="004325DC" w:rsidRPr="00194DFA" w:rsidRDefault="00DE4D04" w:rsidP="00914287">
      <w:pPr>
        <w:pStyle w:val="Texte1"/>
      </w:pPr>
      <w:r w:rsidRPr="00194DFA">
        <w:t>Une candidature</w:t>
      </w:r>
      <w:r w:rsidR="00C10A1F" w:rsidRPr="00194DFA">
        <w:t xml:space="preserve"> peu</w:t>
      </w:r>
      <w:r w:rsidRPr="00194DFA">
        <w:t>t être présentée</w:t>
      </w:r>
      <w:r w:rsidR="00C10A1F" w:rsidRPr="00194DFA">
        <w:t xml:space="preserve"> indifféremment sur les deux Listes de la Conven</w:t>
      </w:r>
      <w:r w:rsidR="00140116" w:rsidRPr="00194DFA">
        <w:t>tion. Un élément du PCI ne peut être inscrit</w:t>
      </w:r>
      <w:r w:rsidR="002B2B78" w:rsidRPr="00194DFA">
        <w:t xml:space="preserve"> que sur une</w:t>
      </w:r>
      <w:r w:rsidR="00C10A1F" w:rsidRPr="00194DFA">
        <w:t xml:space="preserve"> Liste </w:t>
      </w:r>
      <w:r w:rsidRPr="00194DFA">
        <w:t>à la fois</w:t>
      </w:r>
      <w:r w:rsidR="00DE6AA3">
        <w:t>.</w:t>
      </w:r>
    </w:p>
    <w:p w14:paraId="687DA008" w14:textId="77777777" w:rsidR="004325DC" w:rsidRPr="00194DFA" w:rsidRDefault="00C10A1F" w:rsidP="00914287">
      <w:pPr>
        <w:pStyle w:val="Texte1"/>
      </w:pPr>
      <w:r w:rsidRPr="00194DFA">
        <w:t>Le Secrétariat de la Convention diffuse des informations sur le site Web d</w:t>
      </w:r>
      <w:r w:rsidR="00DE4D04" w:rsidRPr="00194DFA">
        <w:t>u PCI</w:t>
      </w:r>
      <w:r w:rsidRPr="00194DFA">
        <w:t xml:space="preserve"> </w:t>
      </w:r>
      <w:r w:rsidR="00D81B70" w:rsidRPr="00194DFA">
        <w:t xml:space="preserve">à propos de </w:t>
      </w:r>
      <w:r w:rsidR="00762057" w:rsidRPr="00194DFA">
        <w:t>tous l</w:t>
      </w:r>
      <w:r w:rsidRPr="00194DFA">
        <w:t xml:space="preserve">es éléments </w:t>
      </w:r>
      <w:r w:rsidR="00D81B70" w:rsidRPr="00194DFA">
        <w:t>inscrits sur</w:t>
      </w:r>
      <w:r w:rsidRPr="00194DFA">
        <w:t xml:space="preserve"> les deux Listes</w:t>
      </w:r>
      <w:r w:rsidR="00983634" w:rsidRPr="00194DFA">
        <w:t xml:space="preserve">, </w:t>
      </w:r>
      <w:r w:rsidR="002B2B78" w:rsidRPr="00194DFA">
        <w:t>accompagné</w:t>
      </w:r>
      <w:r w:rsidR="00983634" w:rsidRPr="00194DFA">
        <w:t>s</w:t>
      </w:r>
      <w:r w:rsidR="002B2B78" w:rsidRPr="00194DFA">
        <w:t xml:space="preserve"> d’</w:t>
      </w:r>
      <w:r w:rsidRPr="00194DFA">
        <w:t xml:space="preserve">une brève description, </w:t>
      </w:r>
      <w:r w:rsidR="002B2B78" w:rsidRPr="00194DFA">
        <w:t>du</w:t>
      </w:r>
      <w:r w:rsidRPr="00194DFA">
        <w:t xml:space="preserve"> f</w:t>
      </w:r>
      <w:r w:rsidR="002B2B78" w:rsidRPr="00194DFA">
        <w:t>ormulaire de candidature</w:t>
      </w:r>
      <w:r w:rsidR="00983634" w:rsidRPr="00194DFA">
        <w:t xml:space="preserve"> entièrement complété</w:t>
      </w:r>
      <w:r w:rsidRPr="00194DFA">
        <w:t xml:space="preserve">, </w:t>
      </w:r>
      <w:r w:rsidR="00983634" w:rsidRPr="00194DFA">
        <w:t>d</w:t>
      </w:r>
      <w:r w:rsidR="00DE4D04" w:rsidRPr="00194DFA">
        <w:t>es lettres de consentemen</w:t>
      </w:r>
      <w:r w:rsidR="00983634" w:rsidRPr="00194DFA">
        <w:t>t des communautés, des pièces d’inventaire</w:t>
      </w:r>
      <w:r w:rsidR="00DE4D04" w:rsidRPr="00194DFA">
        <w:t xml:space="preserve">, </w:t>
      </w:r>
      <w:r w:rsidR="00983634" w:rsidRPr="00194DFA">
        <w:t>des photos et</w:t>
      </w:r>
      <w:r w:rsidRPr="00194DFA">
        <w:t xml:space="preserve"> vidéos</w:t>
      </w:r>
      <w:r w:rsidR="00983634" w:rsidRPr="00194DFA">
        <w:t xml:space="preserve"> propres à chacun</w:t>
      </w:r>
      <w:r w:rsidRPr="00194DFA">
        <w:t>.</w:t>
      </w:r>
    </w:p>
    <w:p w14:paraId="367152A9" w14:textId="77777777" w:rsidR="004325DC" w:rsidRPr="00552D9D" w:rsidRDefault="009C214A" w:rsidP="009C214A">
      <w:pPr>
        <w:pStyle w:val="Informations"/>
        <w:rPr>
          <w:i w:val="0"/>
        </w:rPr>
      </w:pPr>
      <w:r w:rsidRPr="00552D9D">
        <w:rPr>
          <w:i w:val="0"/>
          <w:noProof/>
          <w:lang w:eastAsia="zh-TW"/>
        </w:rPr>
        <w:drawing>
          <wp:anchor distT="0" distB="0" distL="114300" distR="114300" simplePos="0" relativeHeight="252166656" behindDoc="0" locked="1" layoutInCell="1" allowOverlap="0" wp14:anchorId="21FBF8C8" wp14:editId="5A83E819">
            <wp:simplePos x="0" y="0"/>
            <wp:positionH relativeFrom="margin">
              <wp:align>left</wp:align>
            </wp:positionH>
            <wp:positionV relativeFrom="paragraph">
              <wp:posOffset>-65405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0A1F" w:rsidRPr="00552D9D">
        <w:rPr>
          <w:i w:val="0"/>
        </w:rPr>
        <w:t>Voir</w:t>
      </w:r>
      <w:r w:rsidR="00EA1FE1" w:rsidRPr="00552D9D">
        <w:rPr>
          <w:i w:val="0"/>
        </w:rPr>
        <w:t> :</w:t>
      </w:r>
      <w:r w:rsidR="00C10A1F" w:rsidRPr="00552D9D">
        <w:rPr>
          <w:i w:val="0"/>
        </w:rPr>
        <w:t xml:space="preserve"> </w:t>
      </w:r>
      <w:hyperlink r:id="rId13" w:history="1">
        <w:r w:rsidR="00B54D98" w:rsidRPr="00552D9D">
          <w:rPr>
            <w:i w:val="0"/>
          </w:rPr>
          <w:t>http://www.unesco.org/culture/ich/fr/listes/</w:t>
        </w:r>
      </w:hyperlink>
      <w:hyperlink w:history="1"/>
    </w:p>
    <w:p w14:paraId="347CEB9F" w14:textId="77777777" w:rsidR="00664974" w:rsidRPr="00194DFA" w:rsidRDefault="006F42B3" w:rsidP="00150FFB">
      <w:pPr>
        <w:pStyle w:val="Titcoul"/>
      </w:pPr>
      <w:bookmarkStart w:id="17" w:name="_Toc241065192"/>
      <w:bookmarkStart w:id="18" w:name="_Toc247360270"/>
      <w:r w:rsidRPr="00194DFA">
        <w:t>11</w:t>
      </w:r>
      <w:r w:rsidR="00664974" w:rsidRPr="00194DFA">
        <w:t>.2</w:t>
      </w:r>
      <w:r w:rsidR="00664974" w:rsidRPr="00194DFA">
        <w:tab/>
        <w:t>La liste de sauvegarde urgente</w:t>
      </w:r>
      <w:bookmarkEnd w:id="17"/>
      <w:bookmarkEnd w:id="18"/>
    </w:p>
    <w:p w14:paraId="3767FE84" w14:textId="77777777" w:rsidR="004325DC" w:rsidRPr="00194DFA" w:rsidRDefault="001C5BA9" w:rsidP="00914287">
      <w:pPr>
        <w:pStyle w:val="Texte1"/>
      </w:pPr>
      <w:r w:rsidRPr="00194DFA">
        <w:t>La LSU</w:t>
      </w:r>
      <w:r w:rsidR="00C10A1F" w:rsidRPr="00194DFA">
        <w:t xml:space="preserve"> est établie </w:t>
      </w:r>
      <w:r w:rsidR="00BD6ECB" w:rsidRPr="00194DFA">
        <w:t>en vertu de</w:t>
      </w:r>
      <w:r w:rsidR="00C10A1F" w:rsidRPr="00194DFA">
        <w:t xml:space="preserve"> l</w:t>
      </w:r>
      <w:r w:rsidR="00A61E6D" w:rsidRPr="00194DFA">
        <w:t>’</w:t>
      </w:r>
      <w:r w:rsidR="00043DFF" w:rsidRPr="00194DFA">
        <w:t>article </w:t>
      </w:r>
      <w:r w:rsidR="00C10A1F" w:rsidRPr="00194DFA">
        <w:t>17 de la Convention. Les six critères d</w:t>
      </w:r>
      <w:r w:rsidR="00A61E6D" w:rsidRPr="00194DFA">
        <w:t>’</w:t>
      </w:r>
      <w:r w:rsidR="00C10A1F" w:rsidRPr="00194DFA">
        <w:t xml:space="preserve">inscription sur cette Liste sont énoncés </w:t>
      </w:r>
      <w:r w:rsidRPr="00194DFA">
        <w:t xml:space="preserve">au paragraphe 1 </w:t>
      </w:r>
      <w:r w:rsidR="00C10A1F" w:rsidRPr="00194DFA">
        <w:t>d</w:t>
      </w:r>
      <w:r w:rsidRPr="00194DFA">
        <w:t>es Directives opérationnelles</w:t>
      </w:r>
      <w:r w:rsidR="00C10A1F" w:rsidRPr="00194DFA">
        <w:t xml:space="preserve"> </w:t>
      </w:r>
      <w:r w:rsidRPr="00194DFA">
        <w:t>(DO) et discutés aux paragraphes 11.7 et 11.8 du</w:t>
      </w:r>
      <w:r w:rsidR="006F42B3" w:rsidRPr="00194DFA">
        <w:t xml:space="preserve"> </w:t>
      </w:r>
      <w:r w:rsidR="00646D3D" w:rsidRPr="00194DFA">
        <w:t>Texte du participant</w:t>
      </w:r>
      <w:r w:rsidR="00C10A1F" w:rsidRPr="00194DFA">
        <w:t xml:space="preserve"> ci-dessous.</w:t>
      </w:r>
    </w:p>
    <w:p w14:paraId="2B9BD9EF" w14:textId="77777777" w:rsidR="004325DC" w:rsidRPr="00194DFA" w:rsidRDefault="00C10A1F" w:rsidP="00914287">
      <w:pPr>
        <w:pStyle w:val="Texte1"/>
      </w:pPr>
      <w:r w:rsidRPr="00194DFA">
        <w:t>L</w:t>
      </w:r>
      <w:r w:rsidR="009705B1" w:rsidRPr="00194DFA">
        <w:t>’inscription sur l</w:t>
      </w:r>
      <w:r w:rsidRPr="00194DFA">
        <w:t xml:space="preserve">a LSU </w:t>
      </w:r>
      <w:r w:rsidR="009705B1" w:rsidRPr="00194DFA">
        <w:t>témoigne que la viabilité de l’élément concerné est en péril et que l</w:t>
      </w:r>
      <w:r w:rsidRPr="00194DFA">
        <w:t xml:space="preserve">es mesures de sauvegarde </w:t>
      </w:r>
      <w:r w:rsidR="009705B1" w:rsidRPr="00194DFA">
        <w:t xml:space="preserve">sont élaborées afin d’en perpétuer la pratique et la transmission par </w:t>
      </w:r>
      <w:r w:rsidRPr="00194DFA">
        <w:t>les communautés concernées.</w:t>
      </w:r>
    </w:p>
    <w:p w14:paraId="15046059" w14:textId="77777777" w:rsidR="00C10A1F" w:rsidRPr="00194DFA" w:rsidRDefault="00C10A1F">
      <w:pPr>
        <w:pStyle w:val="Heading4"/>
        <w:rPr>
          <w:color w:val="FF0000"/>
        </w:rPr>
      </w:pPr>
      <w:bookmarkStart w:id="19" w:name="_Toc247360271"/>
      <w:r w:rsidRPr="00194DFA">
        <w:t>Inscriptions sur la Liste</w:t>
      </w:r>
      <w:bookmarkEnd w:id="19"/>
    </w:p>
    <w:p w14:paraId="63F0E47C" w14:textId="0EE7569E" w:rsidR="00191B71" w:rsidRPr="00807D26" w:rsidRDefault="00C10A1F" w:rsidP="00B50F0B">
      <w:pPr>
        <w:pStyle w:val="Texte1"/>
        <w:rPr>
          <w:rFonts w:eastAsia="Calibri"/>
          <w:szCs w:val="22"/>
        </w:rPr>
      </w:pPr>
      <w:r w:rsidRPr="00807D26">
        <w:t>La présentation d</w:t>
      </w:r>
      <w:r w:rsidR="00A61E6D" w:rsidRPr="00807D26">
        <w:t>’</w:t>
      </w:r>
      <w:r w:rsidR="00BC155D" w:rsidRPr="00807D26">
        <w:t xml:space="preserve">une candidature </w:t>
      </w:r>
      <w:r w:rsidR="00BD6ECB" w:rsidRPr="00807D26">
        <w:t>à</w:t>
      </w:r>
      <w:r w:rsidRPr="00807D26">
        <w:t xml:space="preserve"> la </w:t>
      </w:r>
      <w:r w:rsidR="00CC5381" w:rsidRPr="00807D26">
        <w:t>L</w:t>
      </w:r>
      <w:r w:rsidR="00D40BB1" w:rsidRPr="00807D26">
        <w:t>SU</w:t>
      </w:r>
      <w:r w:rsidRPr="00807D26">
        <w:t xml:space="preserve"> signifie que l</w:t>
      </w:r>
      <w:r w:rsidR="00A61E6D" w:rsidRPr="00807D26">
        <w:t>’</w:t>
      </w:r>
      <w:r w:rsidRPr="00807D26">
        <w:t>État soumissionnaire reconnaît qu</w:t>
      </w:r>
      <w:r w:rsidR="00B42E8E" w:rsidRPr="00807D26">
        <w:t>e</w:t>
      </w:r>
      <w:r w:rsidRPr="00807D26">
        <w:t xml:space="preserve"> la communauté concernée </w:t>
      </w:r>
      <w:r w:rsidR="00B42E8E" w:rsidRPr="00807D26">
        <w:t>s’intéresse à la préservation de</w:t>
      </w:r>
      <w:r w:rsidRPr="00807D26">
        <w:t xml:space="preserve"> l</w:t>
      </w:r>
      <w:r w:rsidR="00A61E6D" w:rsidRPr="00807D26">
        <w:t>’</w:t>
      </w:r>
      <w:r w:rsidRPr="00807D26">
        <w:t>élément et qu</w:t>
      </w:r>
      <w:r w:rsidR="00A61E6D" w:rsidRPr="00807D26">
        <w:t>’</w:t>
      </w:r>
      <w:r w:rsidRPr="00807D26">
        <w:t>il prendra des mesures pour l</w:t>
      </w:r>
      <w:r w:rsidR="00A61E6D" w:rsidRPr="00807D26">
        <w:t>’</w:t>
      </w:r>
      <w:r w:rsidRPr="00807D26">
        <w:t xml:space="preserve">aider </w:t>
      </w:r>
      <w:r w:rsidR="00BC155D" w:rsidRPr="00807D26">
        <w:t>à en assurer l</w:t>
      </w:r>
      <w:r w:rsidRPr="00807D26">
        <w:t>a sauvegarde. L</w:t>
      </w:r>
      <w:r w:rsidR="00A61E6D" w:rsidRPr="00807D26">
        <w:t>’</w:t>
      </w:r>
      <w:r w:rsidRPr="00807D26">
        <w:t>inscription suppose que l</w:t>
      </w:r>
      <w:r w:rsidR="00A61E6D" w:rsidRPr="00807D26">
        <w:t>’</w:t>
      </w:r>
      <w:r w:rsidRPr="00807D26">
        <w:t>État partie concerné peut bénéficier de la coopération internationale pour les efforts de sauvegarde, y compris l</w:t>
      </w:r>
      <w:r w:rsidR="00A61E6D" w:rsidRPr="00807D26">
        <w:t>’</w:t>
      </w:r>
      <w:r w:rsidRPr="00807D26">
        <w:t>accès prioritaire à l</w:t>
      </w:r>
      <w:r w:rsidR="00A61E6D" w:rsidRPr="00807D26">
        <w:t>’</w:t>
      </w:r>
      <w:r w:rsidRPr="00807D26">
        <w:t>assistance internationale (</w:t>
      </w:r>
      <w:r w:rsidR="00461004" w:rsidRPr="00807D26">
        <w:t>DO </w:t>
      </w:r>
      <w:r w:rsidRPr="00807D26">
        <w:t>9(a)).</w:t>
      </w:r>
      <w:r w:rsidRPr="00807D26">
        <w:rPr>
          <w:rFonts w:eastAsia="Calibri"/>
          <w:szCs w:val="22"/>
        </w:rPr>
        <w:t xml:space="preserve"> </w:t>
      </w:r>
      <w:r w:rsidR="00B50F0B" w:rsidRPr="00807D26">
        <w:rPr>
          <w:rFonts w:eastAsia="Calibri"/>
          <w:szCs w:val="22"/>
        </w:rPr>
        <w:t>Les États peuvent également faire une</w:t>
      </w:r>
      <w:r w:rsidRPr="00807D26">
        <w:rPr>
          <w:rFonts w:eastAsia="Calibri"/>
          <w:szCs w:val="22"/>
        </w:rPr>
        <w:t xml:space="preserve"> demande d</w:t>
      </w:r>
      <w:r w:rsidR="00A61E6D" w:rsidRPr="00807D26">
        <w:rPr>
          <w:rFonts w:eastAsia="Calibri"/>
          <w:szCs w:val="22"/>
        </w:rPr>
        <w:t>’</w:t>
      </w:r>
      <w:r w:rsidRPr="00807D26">
        <w:rPr>
          <w:rFonts w:eastAsia="Calibri"/>
          <w:szCs w:val="22"/>
        </w:rPr>
        <w:t>assistance internationale auprès du Fonds d</w:t>
      </w:r>
      <w:r w:rsidR="00BC155D" w:rsidRPr="00807D26">
        <w:rPr>
          <w:rFonts w:eastAsia="Calibri"/>
          <w:szCs w:val="22"/>
        </w:rPr>
        <w:t>u PCI</w:t>
      </w:r>
      <w:r w:rsidRPr="00807D26">
        <w:rPr>
          <w:rFonts w:eastAsia="Calibri"/>
          <w:szCs w:val="22"/>
        </w:rPr>
        <w:t xml:space="preserve"> pour </w:t>
      </w:r>
      <w:r w:rsidR="00B42E8E" w:rsidRPr="00807D26">
        <w:rPr>
          <w:rFonts w:eastAsia="Calibri"/>
          <w:szCs w:val="22"/>
        </w:rPr>
        <w:t>l’</w:t>
      </w:r>
      <w:r w:rsidR="005B1C14" w:rsidRPr="00807D26">
        <w:rPr>
          <w:rFonts w:eastAsia="Calibri"/>
          <w:szCs w:val="22"/>
        </w:rPr>
        <w:t>élabor</w:t>
      </w:r>
      <w:r w:rsidR="00B42E8E" w:rsidRPr="00807D26">
        <w:rPr>
          <w:rFonts w:eastAsia="Calibri"/>
          <w:szCs w:val="22"/>
        </w:rPr>
        <w:t>ation de</w:t>
      </w:r>
      <w:r w:rsidRPr="00807D26">
        <w:rPr>
          <w:rFonts w:eastAsia="Calibri"/>
          <w:szCs w:val="22"/>
        </w:rPr>
        <w:t xml:space="preserve"> candidatures à la </w:t>
      </w:r>
      <w:r w:rsidR="00CC5381" w:rsidRPr="00807D26">
        <w:rPr>
          <w:rFonts w:eastAsia="Calibri"/>
          <w:szCs w:val="22"/>
        </w:rPr>
        <w:t>L</w:t>
      </w:r>
      <w:r w:rsidR="00BC155D" w:rsidRPr="00807D26">
        <w:rPr>
          <w:rFonts w:eastAsia="Calibri"/>
          <w:szCs w:val="22"/>
        </w:rPr>
        <w:t>SU. Pour plus d’information sur</w:t>
      </w:r>
      <w:r w:rsidRPr="00807D26">
        <w:t xml:space="preserve"> l</w:t>
      </w:r>
      <w:r w:rsidR="00A61E6D" w:rsidRPr="00807D26">
        <w:t>’</w:t>
      </w:r>
      <w:r w:rsidR="00BC155D" w:rsidRPr="00807D26">
        <w:t>a</w:t>
      </w:r>
      <w:r w:rsidRPr="00807D26">
        <w:t xml:space="preserve">ssistance internationale, voir </w:t>
      </w:r>
      <w:r w:rsidR="006F42B3" w:rsidRPr="00807D26">
        <w:t xml:space="preserve">le </w:t>
      </w:r>
      <w:r w:rsidR="00646D3D" w:rsidRPr="00807D26">
        <w:t>Texte du participant</w:t>
      </w:r>
      <w:r w:rsidR="006F42B3" w:rsidRPr="00807D26">
        <w:t xml:space="preserve"> </w:t>
      </w:r>
      <w:r w:rsidR="00D039D1" w:rsidRPr="00807D26">
        <w:t>de l’</w:t>
      </w:r>
      <w:r w:rsidR="006F42B3" w:rsidRPr="00807D26">
        <w:t>Unité 12</w:t>
      </w:r>
      <w:r w:rsidRPr="00807D26">
        <w:rPr>
          <w:rFonts w:eastAsia="Calibri"/>
          <w:szCs w:val="22"/>
        </w:rPr>
        <w:t>.</w:t>
      </w:r>
    </w:p>
    <w:p w14:paraId="78EA5AE0" w14:textId="49D73B75" w:rsidR="00B50F0B" w:rsidRDefault="009C214A" w:rsidP="00B50F0B">
      <w:pPr>
        <w:pStyle w:val="Informations"/>
        <w:jc w:val="left"/>
        <w:rPr>
          <w:i w:val="0"/>
        </w:rPr>
      </w:pPr>
      <w:r w:rsidRPr="00B50F0B">
        <w:rPr>
          <w:i w:val="0"/>
          <w:noProof/>
          <w:lang w:eastAsia="zh-TW"/>
        </w:rPr>
        <w:lastRenderedPageBreak/>
        <w:drawing>
          <wp:anchor distT="0" distB="0" distL="114300" distR="114300" simplePos="0" relativeHeight="252168704" behindDoc="0" locked="1" layoutInCell="1" allowOverlap="0" wp14:anchorId="7B170197" wp14:editId="3CA4ED93">
            <wp:simplePos x="0" y="0"/>
            <wp:positionH relativeFrom="margin">
              <wp:posOffset>152400</wp:posOffset>
            </wp:positionH>
            <wp:positionV relativeFrom="paragraph">
              <wp:posOffset>-29845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C155D" w:rsidRPr="00B50F0B">
        <w:rPr>
          <w:i w:val="0"/>
        </w:rPr>
        <w:t xml:space="preserve">Pour </w:t>
      </w:r>
      <w:r w:rsidR="00B50F0B">
        <w:rPr>
          <w:i w:val="0"/>
        </w:rPr>
        <w:t xml:space="preserve">connaitre </w:t>
      </w:r>
      <w:r w:rsidR="00BC155D" w:rsidRPr="00B50F0B">
        <w:rPr>
          <w:i w:val="0"/>
        </w:rPr>
        <w:t>tous l</w:t>
      </w:r>
      <w:r w:rsidR="00187C35" w:rsidRPr="00B50F0B">
        <w:rPr>
          <w:i w:val="0"/>
        </w:rPr>
        <w:t xml:space="preserve">es éléments inscrits sur </w:t>
      </w:r>
      <w:r w:rsidR="00B50F0B">
        <w:rPr>
          <w:i w:val="0"/>
        </w:rPr>
        <w:t>la LSU, cf.</w:t>
      </w:r>
      <w:r w:rsidR="00187C35" w:rsidRPr="00B50F0B">
        <w:rPr>
          <w:i w:val="0"/>
        </w:rPr>
        <w:t xml:space="preserve"> </w:t>
      </w:r>
      <w:hyperlink r:id="rId14" w:history="1">
        <w:r w:rsidR="00187C35" w:rsidRPr="00B50F0B">
          <w:rPr>
            <w:i w:val="0"/>
          </w:rPr>
          <w:t>http://www.unesco.org/culture/ich/fr/listes/</w:t>
        </w:r>
      </w:hyperlink>
    </w:p>
    <w:p w14:paraId="75CDF2D9" w14:textId="77777777" w:rsidR="00B50F0B" w:rsidRPr="00B50F0B" w:rsidRDefault="00B50F0B" w:rsidP="00B50F0B">
      <w:pPr>
        <w:pStyle w:val="Informations"/>
        <w:ind w:left="0"/>
        <w:rPr>
          <w:i w:val="0"/>
        </w:rPr>
      </w:pPr>
    </w:p>
    <w:p w14:paraId="1183952B" w14:textId="01A89305" w:rsidR="00C10A1F" w:rsidRPr="00194DFA" w:rsidRDefault="00C10A1F">
      <w:pPr>
        <w:pStyle w:val="Heading4"/>
      </w:pPr>
      <w:bookmarkStart w:id="20" w:name="_Toc247360272"/>
      <w:r w:rsidRPr="00194DFA">
        <w:t xml:space="preserve">Listes </w:t>
      </w:r>
      <w:bookmarkEnd w:id="20"/>
      <w:r w:rsidR="00187C35" w:rsidRPr="00194DFA">
        <w:t>indÉpendantes</w:t>
      </w:r>
      <w:r w:rsidR="00807D26">
        <w:t xml:space="preserve"> l’une de l’autre</w:t>
      </w:r>
    </w:p>
    <w:p w14:paraId="7FFE463E" w14:textId="09047D0D" w:rsidR="004325DC" w:rsidRPr="00194DFA" w:rsidRDefault="00C10A1F" w:rsidP="00914287">
      <w:pPr>
        <w:pStyle w:val="Texte1"/>
      </w:pPr>
      <w:r w:rsidRPr="00194DFA">
        <w:t xml:space="preserve">La </w:t>
      </w:r>
      <w:r w:rsidR="00CC5381" w:rsidRPr="00194DFA">
        <w:t>L</w:t>
      </w:r>
      <w:r w:rsidR="00033F01" w:rsidRPr="00194DFA">
        <w:t>SU</w:t>
      </w:r>
      <w:r w:rsidRPr="00194DFA">
        <w:t xml:space="preserve"> est indépendante de la </w:t>
      </w:r>
      <w:r w:rsidR="00F75E79" w:rsidRPr="00194DFA">
        <w:t>L</w:t>
      </w:r>
      <w:r w:rsidR="00033F01" w:rsidRPr="00194DFA">
        <w:t>R</w:t>
      </w:r>
      <w:r w:rsidRPr="00194DFA">
        <w:t xml:space="preserve"> et ne doit pas être confondue avec la Liste du patrimoine mondial en péril. Aux termes de la Convention du patrimoine mondial, toutes les propositions d</w:t>
      </w:r>
      <w:r w:rsidR="00A61E6D" w:rsidRPr="00194DFA">
        <w:t>’</w:t>
      </w:r>
      <w:r w:rsidRPr="00194DFA">
        <w:t xml:space="preserve">inscription sont faites sur la Liste du patrimoine mondial et les biens </w:t>
      </w:r>
      <w:r w:rsidR="00B50F0B">
        <w:t>peuvent être transférés sur sa l</w:t>
      </w:r>
      <w:r w:rsidRPr="00194DFA">
        <w:t>iste subsidiaire</w:t>
      </w:r>
      <w:r w:rsidR="00B50F0B">
        <w:t>, la Liste</w:t>
      </w:r>
      <w:r w:rsidRPr="00194DFA">
        <w:t xml:space="preserve"> du patrimoine mondial en péril</w:t>
      </w:r>
      <w:r w:rsidR="00B50F0B">
        <w:t>,</w:t>
      </w:r>
      <w:r w:rsidRPr="00194DFA">
        <w:t xml:space="preserve"> si le Comité du patrimoine mondial considère qu</w:t>
      </w:r>
      <w:r w:rsidR="00A61E6D" w:rsidRPr="00194DFA">
        <w:t>’</w:t>
      </w:r>
      <w:r w:rsidR="00033F01" w:rsidRPr="00194DFA">
        <w:t>ils sont en péril</w:t>
      </w:r>
      <w:r w:rsidRPr="00194DFA">
        <w:t xml:space="preserve"> (</w:t>
      </w:r>
      <w:r w:rsidR="00033F01" w:rsidRPr="00194DFA">
        <w:t>voir</w:t>
      </w:r>
      <w:r w:rsidR="006F42B3" w:rsidRPr="00194DFA">
        <w:t xml:space="preserve"> </w:t>
      </w:r>
      <w:r w:rsidR="00646D3D" w:rsidRPr="00194DFA">
        <w:t>Texte du participant</w:t>
      </w:r>
      <w:r w:rsidR="006F42B3" w:rsidRPr="00194DFA">
        <w:t xml:space="preserve"> </w:t>
      </w:r>
      <w:r w:rsidR="00D039D1" w:rsidRPr="00194DFA">
        <w:t>de l’</w:t>
      </w:r>
      <w:r w:rsidR="006F42B3" w:rsidRPr="00194DFA">
        <w:t>Unité 13</w:t>
      </w:r>
      <w:r w:rsidRPr="00194DFA">
        <w:t>)</w:t>
      </w:r>
      <w:r w:rsidR="00033F01" w:rsidRPr="00194DFA">
        <w:t>.</w:t>
      </w:r>
    </w:p>
    <w:p w14:paraId="58D9BE7E" w14:textId="5A895ABC" w:rsidR="004325DC" w:rsidRPr="00807D26" w:rsidRDefault="00C10A1F" w:rsidP="00914287">
      <w:pPr>
        <w:pStyle w:val="Texte1"/>
      </w:pPr>
      <w:r w:rsidRPr="00807D26">
        <w:t>L</w:t>
      </w:r>
      <w:r w:rsidR="00A61E6D" w:rsidRPr="00807D26">
        <w:t>’</w:t>
      </w:r>
      <w:r w:rsidRPr="00807D26">
        <w:t xml:space="preserve">inscription sur la </w:t>
      </w:r>
      <w:r w:rsidR="00033F01" w:rsidRPr="00807D26">
        <w:t>LSU</w:t>
      </w:r>
      <w:r w:rsidRPr="00807D26">
        <w:t xml:space="preserve"> ne doit en aucun cas passer pour un signe d</w:t>
      </w:r>
      <w:r w:rsidR="00A61E6D" w:rsidRPr="00807D26">
        <w:t>’</w:t>
      </w:r>
      <w:r w:rsidRPr="00807D26">
        <w:t>échec ou une action punitive</w:t>
      </w:r>
      <w:r w:rsidR="00EA1FE1" w:rsidRPr="00807D26">
        <w:t> :</w:t>
      </w:r>
      <w:r w:rsidRPr="00807D26">
        <w:t xml:space="preserve"> la Convention reconnaît qu</w:t>
      </w:r>
      <w:r w:rsidR="00A61E6D" w:rsidRPr="00807D26">
        <w:t>’</w:t>
      </w:r>
      <w:r w:rsidRPr="00807D26">
        <w:t>il y a beaucoup d</w:t>
      </w:r>
      <w:r w:rsidR="00A61E6D" w:rsidRPr="00807D26">
        <w:t>’</w:t>
      </w:r>
      <w:r w:rsidRPr="00807D26">
        <w:t>éléments du PCI e</w:t>
      </w:r>
      <w:r w:rsidR="00033F01" w:rsidRPr="00807D26">
        <w:t xml:space="preserve">n </w:t>
      </w:r>
      <w:r w:rsidR="00A34BE8" w:rsidRPr="00807D26">
        <w:t>péril</w:t>
      </w:r>
      <w:r w:rsidR="00033F01" w:rsidRPr="00807D26">
        <w:t>, partout dans le monde</w:t>
      </w:r>
      <w:r w:rsidRPr="00807D26">
        <w:t xml:space="preserve"> et l</w:t>
      </w:r>
      <w:r w:rsidR="00A61E6D" w:rsidRPr="00807D26">
        <w:t>’</w:t>
      </w:r>
      <w:r w:rsidRPr="00807D26">
        <w:t xml:space="preserve">inscription </w:t>
      </w:r>
      <w:r w:rsidR="00033F01" w:rsidRPr="00807D26">
        <w:t>vise</w:t>
      </w:r>
      <w:r w:rsidRPr="00807D26">
        <w:t xml:space="preserve"> à </w:t>
      </w:r>
      <w:r w:rsidR="00033F01" w:rsidRPr="00807D26">
        <w:t>atténu</w:t>
      </w:r>
      <w:r w:rsidRPr="00807D26">
        <w:t xml:space="preserve">er les menaces </w:t>
      </w:r>
      <w:r w:rsidR="00A34BE8" w:rsidRPr="00807D26">
        <w:t>qui pèsent sur</w:t>
      </w:r>
      <w:r w:rsidRPr="00807D26">
        <w:t xml:space="preserve"> les éléments inscrits. </w:t>
      </w:r>
      <w:r w:rsidR="00A34BE8" w:rsidRPr="00807D26">
        <w:t>Ainsi l</w:t>
      </w:r>
      <w:r w:rsidRPr="00807D26">
        <w:t>e Fonds d</w:t>
      </w:r>
      <w:r w:rsidR="00033F01" w:rsidRPr="00807D26">
        <w:t>u PCI</w:t>
      </w:r>
      <w:r w:rsidRPr="00807D26">
        <w:t xml:space="preserve"> est à utiliser en premier lieu pour </w:t>
      </w:r>
      <w:r w:rsidR="00A34BE8" w:rsidRPr="00807D26">
        <w:t>l</w:t>
      </w:r>
      <w:r w:rsidR="00A61E6D" w:rsidRPr="00807D26">
        <w:t>’</w:t>
      </w:r>
      <w:r w:rsidR="00A34BE8" w:rsidRPr="00807D26">
        <w:t>assistance en faveur des</w:t>
      </w:r>
      <w:r w:rsidRPr="00807D26">
        <w:t xml:space="preserve"> mesures de sauvegarde </w:t>
      </w:r>
      <w:r w:rsidR="00B50F0B" w:rsidRPr="00807D26">
        <w:t xml:space="preserve">destinées </w:t>
      </w:r>
      <w:r w:rsidR="00A34BE8" w:rsidRPr="00807D26">
        <w:t>aux</w:t>
      </w:r>
      <w:r w:rsidRPr="00807D26">
        <w:t xml:space="preserve"> éléments inscrits sur cette Liste, la priorité étant accordée aux demandes des pays en développement.</w:t>
      </w:r>
    </w:p>
    <w:p w14:paraId="346DDF49" w14:textId="77777777" w:rsidR="004325DC" w:rsidRPr="00194DFA" w:rsidRDefault="006F42B3">
      <w:pPr>
        <w:pStyle w:val="Titcoul"/>
      </w:pPr>
      <w:bookmarkStart w:id="21" w:name="_Toc238963308"/>
      <w:bookmarkStart w:id="22" w:name="_Toc241065193"/>
      <w:bookmarkStart w:id="23" w:name="_Toc301443399"/>
      <w:bookmarkStart w:id="24" w:name="_Toc321407042"/>
      <w:bookmarkStart w:id="25" w:name="_Toc354486666"/>
      <w:bookmarkStart w:id="26" w:name="_Toc354486972"/>
      <w:bookmarkStart w:id="27" w:name="_Toc247360273"/>
      <w:r w:rsidRPr="00194DFA">
        <w:t>11</w:t>
      </w:r>
      <w:r w:rsidR="00C10A1F" w:rsidRPr="00194DFA">
        <w:t>.3</w:t>
      </w:r>
      <w:bookmarkEnd w:id="21"/>
      <w:bookmarkEnd w:id="22"/>
      <w:r w:rsidR="00664974" w:rsidRPr="00194DFA">
        <w:tab/>
      </w:r>
      <w:bookmarkStart w:id="28" w:name="_Toc238963309"/>
      <w:bookmarkStart w:id="29" w:name="_Toc241065194"/>
      <w:r w:rsidR="008B0D35" w:rsidRPr="00194DFA">
        <w:t xml:space="preserve">La </w:t>
      </w:r>
      <w:r w:rsidR="00C10A1F" w:rsidRPr="00194DFA">
        <w:t>Liste représentative</w:t>
      </w:r>
      <w:bookmarkEnd w:id="23"/>
      <w:bookmarkEnd w:id="24"/>
      <w:bookmarkEnd w:id="25"/>
      <w:bookmarkEnd w:id="26"/>
      <w:bookmarkEnd w:id="27"/>
      <w:bookmarkEnd w:id="28"/>
      <w:bookmarkEnd w:id="29"/>
    </w:p>
    <w:p w14:paraId="220146D9" w14:textId="68C2295F" w:rsidR="00AA30A5" w:rsidRPr="00194DFA" w:rsidRDefault="00C10A1F" w:rsidP="00B50F0B">
      <w:pPr>
        <w:pStyle w:val="Texte1"/>
      </w:pPr>
      <w:r w:rsidRPr="00194DFA">
        <w:t>La Liste représentative (LR) est établie par l</w:t>
      </w:r>
      <w:r w:rsidR="00A61E6D" w:rsidRPr="00194DFA">
        <w:t>’</w:t>
      </w:r>
      <w:r w:rsidR="00043DFF" w:rsidRPr="00194DFA">
        <w:t>article </w:t>
      </w:r>
      <w:r w:rsidRPr="00194DFA">
        <w:t>16 de la Convention. Les cinq critères d</w:t>
      </w:r>
      <w:r w:rsidR="00A61E6D" w:rsidRPr="00194DFA">
        <w:t>’</w:t>
      </w:r>
      <w:r w:rsidRPr="00194DFA">
        <w:t xml:space="preserve">inscription sur cette Liste sont énoncés dans la </w:t>
      </w:r>
      <w:r w:rsidR="00461004" w:rsidRPr="00194DFA">
        <w:t>DO </w:t>
      </w:r>
      <w:r w:rsidRPr="00194DFA">
        <w:t xml:space="preserve">2 et </w:t>
      </w:r>
      <w:r w:rsidR="003A7641" w:rsidRPr="00194DFA">
        <w:t>examin</w:t>
      </w:r>
      <w:r w:rsidRPr="00194DFA">
        <w:t xml:space="preserve">és </w:t>
      </w:r>
      <w:r w:rsidR="00033F01" w:rsidRPr="00194DFA">
        <w:t>aux paragraphes</w:t>
      </w:r>
      <w:r w:rsidRPr="00194DFA">
        <w:t xml:space="preserve"> </w:t>
      </w:r>
      <w:r w:rsidR="00033F01" w:rsidRPr="00194DFA">
        <w:t>11.7 et 11.9 du</w:t>
      </w:r>
      <w:r w:rsidR="00B72F39" w:rsidRPr="00194DFA">
        <w:t xml:space="preserve"> Texte d</w:t>
      </w:r>
      <w:r w:rsidR="00033F01" w:rsidRPr="00194DFA">
        <w:t>u</w:t>
      </w:r>
      <w:r w:rsidR="00B72F39" w:rsidRPr="00194DFA">
        <w:t xml:space="preserve"> </w:t>
      </w:r>
      <w:r w:rsidR="00033F01" w:rsidRPr="00194DFA">
        <w:t>participant</w:t>
      </w:r>
      <w:r w:rsidRPr="00194DFA">
        <w:t xml:space="preserve"> ci-dessous.</w:t>
      </w:r>
      <w:r w:rsidR="00B50F0B">
        <w:t xml:space="preserve"> </w:t>
      </w:r>
      <w:r w:rsidRPr="00194DFA">
        <w:t xml:space="preserve">La LR cherche à promouvoir la visibilité du PCI en général et à </w:t>
      </w:r>
      <w:r w:rsidR="007457B3" w:rsidRPr="00194DFA">
        <w:t xml:space="preserve">mieux </w:t>
      </w:r>
      <w:r w:rsidR="00033F01" w:rsidRPr="00194DFA">
        <w:t>e</w:t>
      </w:r>
      <w:r w:rsidRPr="00194DFA">
        <w:t>n prendre conscience. En principe, les éléments inscrits sur cette Liste jouissent d</w:t>
      </w:r>
      <w:r w:rsidR="00A61E6D" w:rsidRPr="00194DFA">
        <w:t>’</w:t>
      </w:r>
      <w:r w:rsidRPr="00194DFA">
        <w:t>une bonne viabilité.</w:t>
      </w:r>
    </w:p>
    <w:p w14:paraId="2607BC0A" w14:textId="3562A7EA" w:rsidR="004325DC" w:rsidRPr="00B50F0B" w:rsidRDefault="00D235C5" w:rsidP="00B50F0B">
      <w:pPr>
        <w:pStyle w:val="Informations"/>
        <w:jc w:val="left"/>
        <w:rPr>
          <w:i w:val="0"/>
        </w:rPr>
      </w:pPr>
      <w:r w:rsidRPr="00B50F0B">
        <w:rPr>
          <w:i w:val="0"/>
          <w:noProof/>
          <w:lang w:eastAsia="zh-TW"/>
        </w:rPr>
        <w:drawing>
          <wp:anchor distT="0" distB="0" distL="114300" distR="114300" simplePos="0" relativeHeight="252172800" behindDoc="0" locked="1" layoutInCell="1" allowOverlap="0" wp14:anchorId="789F84D7" wp14:editId="1AB828A4">
            <wp:simplePos x="0" y="0"/>
            <wp:positionH relativeFrom="margin">
              <wp:align>left</wp:align>
            </wp:positionH>
            <wp:positionV relativeFrom="paragraph">
              <wp:posOffset>-65405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AA30A5" w:rsidRPr="00B50F0B">
        <w:rPr>
          <w:i w:val="0"/>
        </w:rPr>
        <w:t xml:space="preserve">Pour </w:t>
      </w:r>
      <w:r w:rsidR="007457B3" w:rsidRPr="00B50F0B">
        <w:rPr>
          <w:i w:val="0"/>
        </w:rPr>
        <w:t>connaître</w:t>
      </w:r>
      <w:r w:rsidR="007004AC" w:rsidRPr="00B50F0B">
        <w:rPr>
          <w:i w:val="0"/>
        </w:rPr>
        <w:t xml:space="preserve"> </w:t>
      </w:r>
      <w:r w:rsidR="00B50F0B">
        <w:rPr>
          <w:i w:val="0"/>
        </w:rPr>
        <w:t xml:space="preserve">tous éléments inscrits sur la LR, cf. </w:t>
      </w:r>
      <w:hyperlink r:id="rId15" w:history="1">
        <w:r w:rsidR="00AA30A5" w:rsidRPr="00B50F0B">
          <w:rPr>
            <w:i w:val="0"/>
          </w:rPr>
          <w:t>http://www.unesco.org/culture/ich/fr/listes</w:t>
        </w:r>
      </w:hyperlink>
    </w:p>
    <w:p w14:paraId="11C590DF" w14:textId="77777777" w:rsidR="00C10A1F" w:rsidRPr="00194DFA" w:rsidRDefault="00C10A1F">
      <w:pPr>
        <w:pStyle w:val="Heading4"/>
      </w:pPr>
      <w:bookmarkStart w:id="30" w:name="_Toc247360275"/>
      <w:r w:rsidRPr="00194DFA">
        <w:t>Représentative de quoi</w:t>
      </w:r>
      <w:r w:rsidR="008B0D35" w:rsidRPr="00194DFA">
        <w:t> </w:t>
      </w:r>
      <w:r w:rsidRPr="00194DFA">
        <w:t>?</w:t>
      </w:r>
      <w:bookmarkEnd w:id="30"/>
    </w:p>
    <w:p w14:paraId="63536831" w14:textId="77777777" w:rsidR="0030150F" w:rsidRPr="00194DFA" w:rsidRDefault="00C10A1F" w:rsidP="00914287">
      <w:pPr>
        <w:pStyle w:val="Texte1"/>
        <w:rPr>
          <w:lang w:eastAsia="fr-FR"/>
        </w:rPr>
      </w:pPr>
      <w:r w:rsidRPr="00194DFA">
        <w:rPr>
          <w:lang w:eastAsia="fr-FR"/>
        </w:rPr>
        <w:t>Le terme</w:t>
      </w:r>
      <w:r w:rsidR="00043DFF" w:rsidRPr="00194DFA">
        <w:rPr>
          <w:lang w:eastAsia="fr-FR"/>
        </w:rPr>
        <w:t xml:space="preserve"> « </w:t>
      </w:r>
      <w:r w:rsidRPr="00194DFA">
        <w:rPr>
          <w:lang w:eastAsia="fr-FR"/>
        </w:rPr>
        <w:t>représentative</w:t>
      </w:r>
      <w:r w:rsidR="00043DFF" w:rsidRPr="00194DFA">
        <w:rPr>
          <w:lang w:eastAsia="fr-FR"/>
        </w:rPr>
        <w:t xml:space="preserve"> » </w:t>
      </w:r>
      <w:r w:rsidRPr="00194DFA">
        <w:rPr>
          <w:lang w:eastAsia="fr-FR"/>
        </w:rPr>
        <w:t>n</w:t>
      </w:r>
      <w:r w:rsidR="00A61E6D" w:rsidRPr="00194DFA">
        <w:rPr>
          <w:lang w:eastAsia="fr-FR"/>
        </w:rPr>
        <w:t>’</w:t>
      </w:r>
      <w:r w:rsidRPr="00194DFA">
        <w:rPr>
          <w:lang w:eastAsia="fr-FR"/>
        </w:rPr>
        <w:t>est pas défini dans la Convention ni dans les D</w:t>
      </w:r>
      <w:r w:rsidR="007457B3" w:rsidRPr="00194DFA">
        <w:rPr>
          <w:lang w:eastAsia="fr-FR"/>
        </w:rPr>
        <w:t>O</w:t>
      </w:r>
      <w:r w:rsidRPr="00194DFA">
        <w:rPr>
          <w:lang w:eastAsia="fr-FR"/>
        </w:rPr>
        <w:t>. Il est différemment interprété comme étant représentatif du PCI de communautés, d</w:t>
      </w:r>
      <w:r w:rsidR="00A61E6D" w:rsidRPr="00194DFA">
        <w:rPr>
          <w:lang w:eastAsia="fr-FR"/>
        </w:rPr>
        <w:t>’</w:t>
      </w:r>
      <w:r w:rsidRPr="00194DFA">
        <w:rPr>
          <w:lang w:eastAsia="fr-FR"/>
        </w:rPr>
        <w:t>États ou de régions, de divers domaines du P</w:t>
      </w:r>
      <w:r w:rsidR="00DE6AA3">
        <w:rPr>
          <w:lang w:eastAsia="fr-FR"/>
        </w:rPr>
        <w:t>CI ou de la créativité humaine.</w:t>
      </w:r>
    </w:p>
    <w:p w14:paraId="11D10DF3" w14:textId="77777777" w:rsidR="004325DC" w:rsidRPr="00194DFA" w:rsidRDefault="00C10A1F" w:rsidP="00914287">
      <w:pPr>
        <w:pStyle w:val="Texte1"/>
        <w:rPr>
          <w:lang w:eastAsia="fr-FR"/>
        </w:rPr>
      </w:pPr>
      <w:r w:rsidRPr="00194DFA">
        <w:rPr>
          <w:lang w:eastAsia="fr-FR"/>
        </w:rPr>
        <w:t>Le terme</w:t>
      </w:r>
      <w:r w:rsidR="00043DFF" w:rsidRPr="00194DFA">
        <w:rPr>
          <w:lang w:eastAsia="fr-FR"/>
        </w:rPr>
        <w:t xml:space="preserve"> « </w:t>
      </w:r>
      <w:r w:rsidRPr="00194DFA">
        <w:rPr>
          <w:lang w:eastAsia="fr-FR"/>
        </w:rPr>
        <w:t>Liste représentative</w:t>
      </w:r>
      <w:r w:rsidR="00043DFF" w:rsidRPr="00194DFA">
        <w:rPr>
          <w:lang w:eastAsia="fr-FR"/>
        </w:rPr>
        <w:t xml:space="preserve"> » </w:t>
      </w:r>
      <w:r w:rsidRPr="00194DFA">
        <w:rPr>
          <w:lang w:eastAsia="fr-FR"/>
        </w:rPr>
        <w:t>a été préféré à plusieurs autres qui ont été discutés durant la préparation de la Convention</w:t>
      </w:r>
      <w:r w:rsidR="007457B3" w:rsidRPr="00194DFA">
        <w:rPr>
          <w:lang w:eastAsia="fr-FR"/>
        </w:rPr>
        <w:t>, car celle-ci</w:t>
      </w:r>
      <w:r w:rsidRPr="00194DFA">
        <w:rPr>
          <w:lang w:eastAsia="fr-FR"/>
        </w:rPr>
        <w:t xml:space="preserve"> ne s</w:t>
      </w:r>
      <w:r w:rsidR="007457B3" w:rsidRPr="00194DFA">
        <w:rPr>
          <w:lang w:eastAsia="fr-FR"/>
        </w:rPr>
        <w:t>ouhaite pas créer de hiérarchies</w:t>
      </w:r>
      <w:r w:rsidRPr="00194DFA">
        <w:rPr>
          <w:lang w:eastAsia="fr-FR"/>
        </w:rPr>
        <w:t xml:space="preserve"> entre les éléments en suggérant que certains d</w:t>
      </w:r>
      <w:r w:rsidR="00A61E6D" w:rsidRPr="00194DFA">
        <w:rPr>
          <w:lang w:eastAsia="fr-FR"/>
        </w:rPr>
        <w:t>’</w:t>
      </w:r>
      <w:r w:rsidRPr="00194DFA">
        <w:rPr>
          <w:lang w:eastAsia="fr-FR"/>
        </w:rPr>
        <w:t xml:space="preserve">entre eux </w:t>
      </w:r>
      <w:r w:rsidR="00BB70F2" w:rsidRPr="00194DFA">
        <w:rPr>
          <w:lang w:eastAsia="fr-FR"/>
        </w:rPr>
        <w:t>– </w:t>
      </w:r>
      <w:r w:rsidRPr="00194DFA">
        <w:rPr>
          <w:lang w:eastAsia="fr-FR"/>
        </w:rPr>
        <w:t>par exemple, ceux qui figurent sur l</w:t>
      </w:r>
      <w:r w:rsidR="00A61E6D" w:rsidRPr="00194DFA">
        <w:rPr>
          <w:lang w:eastAsia="fr-FR"/>
        </w:rPr>
        <w:t>’</w:t>
      </w:r>
      <w:r w:rsidRPr="00194DFA">
        <w:rPr>
          <w:lang w:eastAsia="fr-FR"/>
        </w:rPr>
        <w:t>une ou l</w:t>
      </w:r>
      <w:r w:rsidR="00A61E6D" w:rsidRPr="00194DFA">
        <w:rPr>
          <w:lang w:eastAsia="fr-FR"/>
        </w:rPr>
        <w:t>’</w:t>
      </w:r>
      <w:r w:rsidRPr="00194DFA">
        <w:rPr>
          <w:lang w:eastAsia="fr-FR"/>
        </w:rPr>
        <w:t>autre Liste de la Convention</w:t>
      </w:r>
      <w:r w:rsidR="00BB70F2" w:rsidRPr="00194DFA">
        <w:rPr>
          <w:lang w:eastAsia="fr-FR"/>
        </w:rPr>
        <w:t> –</w:t>
      </w:r>
      <w:r w:rsidRPr="00194DFA">
        <w:rPr>
          <w:lang w:eastAsia="fr-FR"/>
        </w:rPr>
        <w:t xml:space="preserve"> sont plus importants que d</w:t>
      </w:r>
      <w:r w:rsidR="00A61E6D" w:rsidRPr="00194DFA">
        <w:rPr>
          <w:lang w:eastAsia="fr-FR"/>
        </w:rPr>
        <w:t>’</w:t>
      </w:r>
      <w:r w:rsidRPr="00194DFA">
        <w:rPr>
          <w:lang w:eastAsia="fr-FR"/>
        </w:rPr>
        <w:t xml:space="preserve">autres éléments </w:t>
      </w:r>
      <w:r w:rsidR="003E5AF4" w:rsidRPr="00194DFA">
        <w:rPr>
          <w:lang w:eastAsia="fr-FR"/>
        </w:rPr>
        <w:t xml:space="preserve">non </w:t>
      </w:r>
      <w:r w:rsidR="00DF5F13" w:rsidRPr="00194DFA">
        <w:rPr>
          <w:lang w:eastAsia="fr-FR"/>
        </w:rPr>
        <w:t>inscrits</w:t>
      </w:r>
      <w:r w:rsidRPr="00194DFA">
        <w:rPr>
          <w:lang w:eastAsia="fr-FR"/>
        </w:rPr>
        <w:t>.</w:t>
      </w:r>
    </w:p>
    <w:p w14:paraId="1C10D735" w14:textId="77777777" w:rsidR="004325DC" w:rsidRPr="00194DFA" w:rsidRDefault="00C10A1F" w:rsidP="00914287">
      <w:pPr>
        <w:pStyle w:val="Texte1"/>
      </w:pPr>
      <w:r w:rsidRPr="00194DFA">
        <w:t xml:space="preserve">Cette approche </w:t>
      </w:r>
      <w:r w:rsidR="00BB70F2" w:rsidRPr="00194DFA">
        <w:t>– </w:t>
      </w:r>
      <w:r w:rsidR="007457B3" w:rsidRPr="00194DFA">
        <w:t>le fait de n</w:t>
      </w:r>
      <w:r w:rsidR="00D36406">
        <w:t>e pas établi</w:t>
      </w:r>
      <w:r w:rsidR="007457B3" w:rsidRPr="00194DFA">
        <w:t xml:space="preserve">r </w:t>
      </w:r>
      <w:r w:rsidR="00D36406">
        <w:t>de</w:t>
      </w:r>
      <w:r w:rsidR="007457B3" w:rsidRPr="00194DFA">
        <w:t xml:space="preserve"> hiérarchie</w:t>
      </w:r>
      <w:r w:rsidRPr="00194DFA">
        <w:t xml:space="preserve"> entre les éléments</w:t>
      </w:r>
      <w:r w:rsidR="00BB70F2" w:rsidRPr="00194DFA">
        <w:t> –</w:t>
      </w:r>
      <w:r w:rsidRPr="00194DFA">
        <w:t xml:space="preserve"> distingue l</w:t>
      </w:r>
      <w:r w:rsidR="00A61E6D" w:rsidRPr="00194DFA">
        <w:t>’</w:t>
      </w:r>
      <w:r w:rsidRPr="00194DFA">
        <w:t xml:space="preserve">inscription sur la Liste au titre de la Convention du </w:t>
      </w:r>
      <w:r w:rsidR="007457B3" w:rsidRPr="00194DFA">
        <w:t xml:space="preserve">patrimoine </w:t>
      </w:r>
      <w:r w:rsidR="00BB2FF5" w:rsidRPr="00194DFA">
        <w:t>immatériel</w:t>
      </w:r>
      <w:r w:rsidRPr="00194DFA">
        <w:t xml:space="preserve"> de celle de la Liste du patrimoine mondial où la sélection est fondée sur le critère de la</w:t>
      </w:r>
      <w:r w:rsidR="00043DFF" w:rsidRPr="00194DFA">
        <w:t xml:space="preserve"> « </w:t>
      </w:r>
      <w:r w:rsidRPr="00194DFA">
        <w:t>valeur universelle exceptionnelle</w:t>
      </w:r>
      <w:r w:rsidR="00461004" w:rsidRPr="00194DFA">
        <w:t xml:space="preserve"> ». </w:t>
      </w:r>
      <w:r w:rsidRPr="00194DFA">
        <w:t xml:space="preserve">Les éléments inscrits sur la </w:t>
      </w:r>
      <w:r w:rsidR="00CC5381" w:rsidRPr="00194DFA">
        <w:t>L</w:t>
      </w:r>
      <w:r w:rsidR="003E5AF4" w:rsidRPr="00194DFA">
        <w:t>R et</w:t>
      </w:r>
      <w:r w:rsidRPr="00194DFA">
        <w:t xml:space="preserve"> la </w:t>
      </w:r>
      <w:r w:rsidR="00CC5381" w:rsidRPr="00194DFA">
        <w:t>L</w:t>
      </w:r>
      <w:r w:rsidR="003E5AF4" w:rsidRPr="00194DFA">
        <w:t>SU</w:t>
      </w:r>
      <w:r w:rsidRPr="00194DFA">
        <w:t xml:space="preserve"> ont avant tout une valeur pour les communautés qui les créent, les représentent et les transmettent.</w:t>
      </w:r>
    </w:p>
    <w:p w14:paraId="4D1CBB02" w14:textId="759186B0" w:rsidR="004325DC" w:rsidRPr="00B50F0B" w:rsidRDefault="00C10A1F" w:rsidP="00150FFB">
      <w:pPr>
        <w:pStyle w:val="Informations"/>
        <w:rPr>
          <w:i w:val="0"/>
          <w:color w:val="auto"/>
        </w:rPr>
      </w:pPr>
      <w:r w:rsidRPr="00B50F0B">
        <w:rPr>
          <w:i w:val="0"/>
          <w:color w:val="auto"/>
        </w:rPr>
        <w:lastRenderedPageBreak/>
        <w:t xml:space="preserve">La comparaison entre la Convention du </w:t>
      </w:r>
      <w:r w:rsidR="003E5AF4" w:rsidRPr="00B50F0B">
        <w:rPr>
          <w:i w:val="0"/>
          <w:color w:val="auto"/>
        </w:rPr>
        <w:t>patrimoine</w:t>
      </w:r>
      <w:r w:rsidR="00BB2FF5" w:rsidRPr="00B50F0B">
        <w:rPr>
          <w:i w:val="0"/>
          <w:color w:val="auto"/>
        </w:rPr>
        <w:t xml:space="preserve"> immatériel</w:t>
      </w:r>
      <w:r w:rsidRPr="00B50F0B">
        <w:rPr>
          <w:i w:val="0"/>
          <w:color w:val="auto"/>
        </w:rPr>
        <w:t xml:space="preserve"> et la Convention du patrimoine mondial </w:t>
      </w:r>
      <w:r w:rsidR="00B50F0B">
        <w:rPr>
          <w:i w:val="0"/>
          <w:color w:val="auto"/>
        </w:rPr>
        <w:t xml:space="preserve">figure au </w:t>
      </w:r>
      <w:r w:rsidR="00B50F0B" w:rsidRPr="00B50F0B">
        <w:rPr>
          <w:i w:val="0"/>
          <w:color w:val="auto"/>
        </w:rPr>
        <w:t>paragraphe</w:t>
      </w:r>
      <w:r w:rsidR="00B50F0B">
        <w:rPr>
          <w:i w:val="0"/>
          <w:color w:val="auto"/>
        </w:rPr>
        <w:t xml:space="preserve"> </w:t>
      </w:r>
      <w:r w:rsidR="00D039D1" w:rsidRPr="00B50F0B">
        <w:rPr>
          <w:i w:val="0"/>
          <w:color w:val="auto"/>
        </w:rPr>
        <w:t xml:space="preserve">2.4 du </w:t>
      </w:r>
      <w:r w:rsidR="00646D3D" w:rsidRPr="00B50F0B">
        <w:rPr>
          <w:i w:val="0"/>
          <w:color w:val="auto"/>
        </w:rPr>
        <w:t>Texte du participant</w:t>
      </w:r>
      <w:r w:rsidR="00B50F0B">
        <w:rPr>
          <w:i w:val="0"/>
          <w:color w:val="auto"/>
        </w:rPr>
        <w:t xml:space="preserve"> de l’Unité 2</w:t>
      </w:r>
      <w:r w:rsidRPr="00B50F0B">
        <w:rPr>
          <w:i w:val="0"/>
          <w:color w:val="auto"/>
        </w:rPr>
        <w:t>. Le contraste entre les systèmes d</w:t>
      </w:r>
      <w:r w:rsidR="00A61E6D" w:rsidRPr="00B50F0B">
        <w:rPr>
          <w:i w:val="0"/>
          <w:color w:val="auto"/>
        </w:rPr>
        <w:t>’</w:t>
      </w:r>
      <w:r w:rsidR="00DF5F13" w:rsidRPr="00B50F0B">
        <w:rPr>
          <w:i w:val="0"/>
          <w:color w:val="auto"/>
        </w:rPr>
        <w:t xml:space="preserve">inscription </w:t>
      </w:r>
      <w:r w:rsidRPr="00B50F0B">
        <w:rPr>
          <w:i w:val="0"/>
          <w:color w:val="auto"/>
        </w:rPr>
        <w:t xml:space="preserve">de ces deux Conventions est </w:t>
      </w:r>
      <w:r w:rsidR="00AB2C13" w:rsidRPr="00B50F0B">
        <w:rPr>
          <w:i w:val="0"/>
          <w:color w:val="auto"/>
        </w:rPr>
        <w:t>abord</w:t>
      </w:r>
      <w:r w:rsidRPr="00B50F0B">
        <w:rPr>
          <w:i w:val="0"/>
          <w:color w:val="auto"/>
        </w:rPr>
        <w:t xml:space="preserve">é de manière plus approfondie dans </w:t>
      </w:r>
      <w:r w:rsidR="006F42B3" w:rsidRPr="00B50F0B">
        <w:rPr>
          <w:i w:val="0"/>
          <w:color w:val="auto"/>
        </w:rPr>
        <w:t xml:space="preserve">le </w:t>
      </w:r>
      <w:r w:rsidR="00D039D1" w:rsidRPr="00B50F0B">
        <w:rPr>
          <w:i w:val="0"/>
          <w:color w:val="auto"/>
        </w:rPr>
        <w:t>Texte du participant de l’</w:t>
      </w:r>
      <w:r w:rsidR="006F42B3" w:rsidRPr="00B50F0B">
        <w:rPr>
          <w:i w:val="0"/>
          <w:color w:val="auto"/>
        </w:rPr>
        <w:t>Unité 13</w:t>
      </w:r>
      <w:r w:rsidRPr="00B50F0B">
        <w:rPr>
          <w:i w:val="0"/>
          <w:color w:val="auto"/>
        </w:rPr>
        <w:t>.</w:t>
      </w:r>
    </w:p>
    <w:p w14:paraId="623F22C0" w14:textId="77777777" w:rsidR="004325DC" w:rsidRPr="00194DFA" w:rsidRDefault="006F42B3" w:rsidP="004F5CF8">
      <w:pPr>
        <w:pStyle w:val="Titcoul"/>
      </w:pPr>
      <w:bookmarkStart w:id="31" w:name="_Toc238963310"/>
      <w:bookmarkStart w:id="32" w:name="_Toc241065195"/>
      <w:bookmarkStart w:id="33" w:name="_Toc301443400"/>
      <w:bookmarkStart w:id="34" w:name="_Toc321407043"/>
      <w:bookmarkStart w:id="35" w:name="_Toc354486667"/>
      <w:bookmarkStart w:id="36" w:name="_Toc354486973"/>
      <w:bookmarkStart w:id="37" w:name="_Toc247360276"/>
      <w:r w:rsidRPr="00194DFA">
        <w:t>11</w:t>
      </w:r>
      <w:r w:rsidR="00C10A1F" w:rsidRPr="00194DFA">
        <w:t>.4</w:t>
      </w:r>
      <w:bookmarkEnd w:id="31"/>
      <w:bookmarkEnd w:id="32"/>
      <w:r w:rsidR="00664974" w:rsidRPr="00194DFA">
        <w:tab/>
      </w:r>
      <w:bookmarkStart w:id="38" w:name="_Toc238963311"/>
      <w:bookmarkStart w:id="39" w:name="_Toc241065196"/>
      <w:r w:rsidR="00C10A1F" w:rsidRPr="00194DFA">
        <w:t>Quelle Liste</w:t>
      </w:r>
      <w:bookmarkEnd w:id="33"/>
      <w:bookmarkEnd w:id="34"/>
      <w:bookmarkEnd w:id="35"/>
      <w:bookmarkEnd w:id="36"/>
      <w:r w:rsidR="00953DB9" w:rsidRPr="00194DFA">
        <w:t> ?</w:t>
      </w:r>
      <w:bookmarkEnd w:id="37"/>
      <w:bookmarkEnd w:id="38"/>
      <w:bookmarkEnd w:id="39"/>
    </w:p>
    <w:p w14:paraId="2B251696" w14:textId="1314F364" w:rsidR="004325DC" w:rsidRPr="00807D26" w:rsidRDefault="00C10A1F" w:rsidP="00914287">
      <w:pPr>
        <w:pStyle w:val="Texte1"/>
      </w:pPr>
      <w:r w:rsidRPr="00807D26">
        <w:t>Lorsqu</w:t>
      </w:r>
      <w:r w:rsidR="00A61E6D" w:rsidRPr="00807D26">
        <w:t>’</w:t>
      </w:r>
      <w:r w:rsidRPr="00807D26">
        <w:t xml:space="preserve">on décide de </w:t>
      </w:r>
      <w:r w:rsidR="00C739E8" w:rsidRPr="00807D26">
        <w:t>propos</w:t>
      </w:r>
      <w:r w:rsidRPr="00807D26">
        <w:t>er l</w:t>
      </w:r>
      <w:r w:rsidR="00A61E6D" w:rsidRPr="00807D26">
        <w:t>’</w:t>
      </w:r>
      <w:r w:rsidRPr="00807D26">
        <w:t>inscription d</w:t>
      </w:r>
      <w:r w:rsidR="00A61E6D" w:rsidRPr="00807D26">
        <w:t>’</w:t>
      </w:r>
      <w:r w:rsidRPr="00807D26">
        <w:t>éléments sur les Listes de la Convention, il est important de réfléchir à la Liste (</w:t>
      </w:r>
      <w:r w:rsidR="00CC5381" w:rsidRPr="00807D26">
        <w:t>L</w:t>
      </w:r>
      <w:r w:rsidR="00C739E8" w:rsidRPr="00807D26">
        <w:t>SU</w:t>
      </w:r>
      <w:r w:rsidRPr="00807D26">
        <w:t xml:space="preserve"> ou </w:t>
      </w:r>
      <w:r w:rsidR="00CC5381" w:rsidRPr="00807D26">
        <w:t>L</w:t>
      </w:r>
      <w:r w:rsidR="00C739E8" w:rsidRPr="00807D26">
        <w:t>R</w:t>
      </w:r>
      <w:r w:rsidRPr="00807D26">
        <w:t xml:space="preserve">) </w:t>
      </w:r>
      <w:r w:rsidR="00456D21" w:rsidRPr="00807D26">
        <w:t>la plus appropriée</w:t>
      </w:r>
      <w:r w:rsidRPr="00807D26">
        <w:t>. Le principal critère pour le déterminer, c</w:t>
      </w:r>
      <w:r w:rsidR="00A61E6D" w:rsidRPr="00807D26">
        <w:t>’</w:t>
      </w:r>
      <w:r w:rsidRPr="00807D26">
        <w:t>est la viabilité de l</w:t>
      </w:r>
      <w:r w:rsidR="00A61E6D" w:rsidRPr="00807D26">
        <w:t>’</w:t>
      </w:r>
      <w:r w:rsidRPr="00807D26">
        <w:t>élément concerné. Les éléments qui répondent aux conditions d</w:t>
      </w:r>
      <w:r w:rsidR="00A61E6D" w:rsidRPr="00807D26">
        <w:t>’</w:t>
      </w:r>
      <w:r w:rsidRPr="00807D26">
        <w:t xml:space="preserve">inscription sur la LR doivent </w:t>
      </w:r>
      <w:r w:rsidR="002440CE" w:rsidRPr="00807D26">
        <w:t>faire preuve de vitalité et de viabilité</w:t>
      </w:r>
      <w:r w:rsidRPr="00807D26">
        <w:t>,</w:t>
      </w:r>
      <w:r w:rsidR="00456D21" w:rsidRPr="00807D26">
        <w:t xml:space="preserve"> tandis que ceux proposés pour </w:t>
      </w:r>
      <w:r w:rsidRPr="00807D26">
        <w:t xml:space="preserve">inscription sur la </w:t>
      </w:r>
      <w:r w:rsidR="00B50F0B" w:rsidRPr="00807D26">
        <w:t xml:space="preserve">Liste de sauvegarde urgente sont confrontés à </w:t>
      </w:r>
      <w:r w:rsidRPr="00807D26">
        <w:t>des menaces et des risques sérieux pour leur viabilité. Le choix entre les deux Listes n</w:t>
      </w:r>
      <w:r w:rsidR="00A61E6D" w:rsidRPr="00807D26">
        <w:t>’</w:t>
      </w:r>
      <w:r w:rsidRPr="00807D26">
        <w:t xml:space="preserve">est souvent pas facile à faire. Il y a, bien sûr, une échelle progressive entre un PCI éclatant de santé et celui qui est presque moribond, et le même élément peut être tout à fait viable </w:t>
      </w:r>
      <w:r w:rsidR="00456D21" w:rsidRPr="00807D26">
        <w:t>par endroits</w:t>
      </w:r>
      <w:r w:rsidRPr="00807D26">
        <w:t xml:space="preserve">, mais </w:t>
      </w:r>
      <w:r w:rsidR="00456D21" w:rsidRPr="00807D26">
        <w:t xml:space="preserve">être </w:t>
      </w:r>
      <w:r w:rsidRPr="00807D26">
        <w:t>ailleurs en péril. Cela signifie que les États ont un certain degré de choix dans la sélection de la Liste appropriée.</w:t>
      </w:r>
    </w:p>
    <w:p w14:paraId="48E0557A" w14:textId="1A0094BD" w:rsidR="004325DC" w:rsidRPr="00807D26" w:rsidRDefault="00B50F0B" w:rsidP="00914287">
      <w:pPr>
        <w:pStyle w:val="Texte1"/>
      </w:pPr>
      <w:r w:rsidRPr="00807D26">
        <w:t>Les candidatures aux deux Listes exigent u</w:t>
      </w:r>
      <w:r w:rsidR="00C10A1F" w:rsidRPr="00807D26">
        <w:t>ne estimation détaillée et actualisée de la viabilité de l</w:t>
      </w:r>
      <w:r w:rsidR="00A61E6D" w:rsidRPr="00807D26">
        <w:t>’</w:t>
      </w:r>
      <w:r w:rsidR="00C10A1F" w:rsidRPr="00807D26">
        <w:t xml:space="preserve">élément concerné. Les éléments </w:t>
      </w:r>
      <w:r w:rsidR="00807D26">
        <w:t xml:space="preserve">aptes à </w:t>
      </w:r>
      <w:r w:rsidR="00C10A1F" w:rsidRPr="00807D26">
        <w:t xml:space="preserve">une candidature doivent déjà être </w:t>
      </w:r>
      <w:r w:rsidR="00807D26">
        <w:t xml:space="preserve">inscrits à </w:t>
      </w:r>
      <w:r w:rsidR="00C10A1F" w:rsidRPr="00807D26">
        <w:t xml:space="preserve">un inventaire </w:t>
      </w:r>
      <w:r w:rsidRPr="00807D26">
        <w:t xml:space="preserve">dressé </w:t>
      </w:r>
      <w:r w:rsidR="00C10A1F" w:rsidRPr="00807D26">
        <w:t>sous la responsabilité de l</w:t>
      </w:r>
      <w:r w:rsidR="00A61E6D" w:rsidRPr="00807D26">
        <w:t>’</w:t>
      </w:r>
      <w:r w:rsidR="00C10A1F" w:rsidRPr="00807D26">
        <w:t>État partie (</w:t>
      </w:r>
      <w:r w:rsidR="005B703B" w:rsidRPr="00807D26">
        <w:t>critère </w:t>
      </w:r>
      <w:r w:rsidR="00C10A1F" w:rsidRPr="00807D26">
        <w:t>5 pour les deux Listes), de sorte qu</w:t>
      </w:r>
      <w:r w:rsidR="00A61E6D" w:rsidRPr="00807D26">
        <w:t>’</w:t>
      </w:r>
      <w:r w:rsidR="00C10A1F" w:rsidRPr="00807D26">
        <w:t>il faut déjà disposer d</w:t>
      </w:r>
      <w:r w:rsidR="00A61E6D" w:rsidRPr="00807D26">
        <w:t>’</w:t>
      </w:r>
      <w:r w:rsidR="00BB5B61" w:rsidRPr="00807D26">
        <w:t>informations sur leur viabilité</w:t>
      </w:r>
      <w:r w:rsidR="00C10A1F" w:rsidRPr="00807D26">
        <w:t>. Malgré tout, il est important de confirmer le degré actuel de viabilité de l</w:t>
      </w:r>
      <w:r w:rsidR="00A61E6D" w:rsidRPr="00807D26">
        <w:t>’</w:t>
      </w:r>
      <w:r w:rsidR="00C10A1F" w:rsidRPr="00807D26">
        <w:t>élément avec les membres de la communauté et/ou les praticiens, ne serait-ce que parce que la situation peut avoir évolué depuis que les informations ont été recueillies aux fins d</w:t>
      </w:r>
      <w:r w:rsidR="00A61E6D" w:rsidRPr="00807D26">
        <w:t>’</w:t>
      </w:r>
      <w:r w:rsidR="00C10A1F" w:rsidRPr="00807D26">
        <w:t>inventaire. Il y a souvent une diversité d</w:t>
      </w:r>
      <w:r w:rsidR="00A61E6D" w:rsidRPr="00807D26">
        <w:t>’</w:t>
      </w:r>
      <w:r w:rsidR="00C10A1F" w:rsidRPr="00807D26">
        <w:t xml:space="preserve">opinions </w:t>
      </w:r>
      <w:r w:rsidR="00BB5B61" w:rsidRPr="00807D26">
        <w:t>à c</w:t>
      </w:r>
      <w:r w:rsidR="00C10A1F" w:rsidRPr="00807D26">
        <w:t>e sujet au sein de la communauté.</w:t>
      </w:r>
    </w:p>
    <w:p w14:paraId="613C131E" w14:textId="77777777" w:rsidR="00C10A1F" w:rsidRPr="00194DFA" w:rsidRDefault="00C10A1F">
      <w:pPr>
        <w:pStyle w:val="Heading4"/>
      </w:pPr>
      <w:bookmarkStart w:id="40" w:name="_Toc247360277"/>
      <w:r w:rsidRPr="00194DFA">
        <w:t>Transfert ou retrait des Listes</w:t>
      </w:r>
      <w:bookmarkEnd w:id="40"/>
    </w:p>
    <w:p w14:paraId="58B65205" w14:textId="4DB4BF95" w:rsidR="004325DC" w:rsidRPr="00194DFA" w:rsidRDefault="00C10A1F" w:rsidP="00914287">
      <w:pPr>
        <w:pStyle w:val="Texte1"/>
      </w:pPr>
      <w:r w:rsidRPr="00194DFA">
        <w:t xml:space="preserve">Les États parties concernés peuvent </w:t>
      </w:r>
      <w:r w:rsidR="004A66F4" w:rsidRPr="00194DFA">
        <w:t xml:space="preserve">demander </w:t>
      </w:r>
      <w:r w:rsidRPr="00194DFA">
        <w:t>le transfert d</w:t>
      </w:r>
      <w:r w:rsidR="00A61E6D" w:rsidRPr="00194DFA">
        <w:t>’</w:t>
      </w:r>
      <w:r w:rsidR="00AF57CA">
        <w:t xml:space="preserve">un </w:t>
      </w:r>
      <w:r w:rsidRPr="00194DFA">
        <w:t>élément d</w:t>
      </w:r>
      <w:r w:rsidR="00A61E6D" w:rsidRPr="00194DFA">
        <w:t>’</w:t>
      </w:r>
      <w:r w:rsidRPr="00194DFA">
        <w:t xml:space="preserve">une Liste </w:t>
      </w:r>
      <w:r w:rsidR="00755472" w:rsidRPr="00194DFA">
        <w:t>à l’</w:t>
      </w:r>
      <w:r w:rsidRPr="00194DFA">
        <w:t>autre s</w:t>
      </w:r>
      <w:r w:rsidR="00A61E6D" w:rsidRPr="00194DFA">
        <w:t>’</w:t>
      </w:r>
      <w:r w:rsidRPr="00194DFA">
        <w:t xml:space="preserve">il </w:t>
      </w:r>
      <w:r w:rsidR="00755472" w:rsidRPr="00194DFA">
        <w:t>se trouv</w:t>
      </w:r>
      <w:r w:rsidRPr="00194DFA">
        <w:t xml:space="preserve">e moins menacé ou </w:t>
      </w:r>
      <w:r w:rsidR="00755472" w:rsidRPr="00194DFA">
        <w:t>l’inverse</w:t>
      </w:r>
      <w:r w:rsidRPr="00194DFA">
        <w:t xml:space="preserve"> (</w:t>
      </w:r>
      <w:r w:rsidR="00461004" w:rsidRPr="00194DFA">
        <w:t>DO </w:t>
      </w:r>
      <w:r w:rsidRPr="00194DFA">
        <w:t xml:space="preserve">38). </w:t>
      </w:r>
      <w:r w:rsidR="00AF57CA">
        <w:t>Un</w:t>
      </w:r>
      <w:r w:rsidRPr="00194DFA">
        <w:t xml:space="preserve"> élém</w:t>
      </w:r>
      <w:r w:rsidR="00B50F0B">
        <w:t>ent peut aussi être retiré d’une</w:t>
      </w:r>
      <w:r w:rsidRPr="00194DFA">
        <w:t xml:space="preserve"> Liste</w:t>
      </w:r>
      <w:r w:rsidR="00C739E8" w:rsidRPr="00194DFA">
        <w:t xml:space="preserve"> (DO 39-40)</w:t>
      </w:r>
      <w:r w:rsidRPr="00194DFA">
        <w:t>. Le Comité peut décider de retirer un élément de la Liste s</w:t>
      </w:r>
      <w:r w:rsidR="00A61E6D" w:rsidRPr="00194DFA">
        <w:t>’</w:t>
      </w:r>
      <w:r w:rsidRPr="00194DFA">
        <w:t>il estime qu</w:t>
      </w:r>
      <w:r w:rsidR="00A61E6D" w:rsidRPr="00194DFA">
        <w:t>’</w:t>
      </w:r>
      <w:r w:rsidRPr="00194DFA">
        <w:t xml:space="preserve">il ne </w:t>
      </w:r>
      <w:r w:rsidR="00755472" w:rsidRPr="00194DFA">
        <w:t>satisfait</w:t>
      </w:r>
      <w:r w:rsidRPr="00194DFA">
        <w:t xml:space="preserve"> plus </w:t>
      </w:r>
      <w:r w:rsidR="00755472" w:rsidRPr="00194DFA">
        <w:t>aux</w:t>
      </w:r>
      <w:r w:rsidRPr="00194DFA">
        <w:t xml:space="preserve"> critères de la Liste </w:t>
      </w:r>
      <w:r w:rsidR="00AF57CA">
        <w:t>sur laquelle il a été inscrit</w:t>
      </w:r>
      <w:r w:rsidRPr="00194DFA">
        <w:t>.</w:t>
      </w:r>
    </w:p>
    <w:p w14:paraId="657567C6" w14:textId="77777777" w:rsidR="004325DC" w:rsidRPr="00194DFA" w:rsidRDefault="00C10A1F" w:rsidP="00914287">
      <w:pPr>
        <w:pStyle w:val="Texte1"/>
      </w:pPr>
      <w:r w:rsidRPr="00194DFA">
        <w:t>Le retrait d</w:t>
      </w:r>
      <w:r w:rsidR="00A61E6D" w:rsidRPr="00194DFA">
        <w:t>’</w:t>
      </w:r>
      <w:r w:rsidRPr="00194DFA">
        <w:t xml:space="preserve">un élément de la </w:t>
      </w:r>
      <w:r w:rsidR="00CC5381" w:rsidRPr="00194DFA">
        <w:t>L</w:t>
      </w:r>
      <w:r w:rsidR="00C739E8" w:rsidRPr="00194DFA">
        <w:t>SU</w:t>
      </w:r>
      <w:r w:rsidRPr="00194DFA">
        <w:t>, par exemple, peut être justifié</w:t>
      </w:r>
      <w:r w:rsidR="009B2A0D" w:rsidRPr="00194DFA">
        <w:t>,</w:t>
      </w:r>
      <w:r w:rsidRPr="00194DFA">
        <w:t xml:space="preserve"> soit parce qu</w:t>
      </w:r>
      <w:r w:rsidR="00A61E6D" w:rsidRPr="00194DFA">
        <w:t>’</w:t>
      </w:r>
      <w:r w:rsidRPr="00194DFA">
        <w:t>il n</w:t>
      </w:r>
      <w:r w:rsidR="00A61E6D" w:rsidRPr="00194DFA">
        <w:t>’</w:t>
      </w:r>
      <w:r w:rsidRPr="00194DFA">
        <w:t xml:space="preserve">est plus gravement menacé (et que son transfert peut ensuite être proposé sur la </w:t>
      </w:r>
      <w:r w:rsidR="00CC5381" w:rsidRPr="00194DFA">
        <w:t>L</w:t>
      </w:r>
      <w:r w:rsidR="00C739E8" w:rsidRPr="00194DFA">
        <w:t>R</w:t>
      </w:r>
      <w:r w:rsidRPr="00194DFA">
        <w:t>) ou que, malgré toutes les bonnes intentions, il a cessé d</w:t>
      </w:r>
      <w:r w:rsidR="00A61E6D" w:rsidRPr="00194DFA">
        <w:t>’</w:t>
      </w:r>
      <w:r w:rsidRPr="00194DFA">
        <w:t>être pratiqué et transmis par la communauté concernée.</w:t>
      </w:r>
    </w:p>
    <w:p w14:paraId="641B0E97" w14:textId="77777777" w:rsidR="004325DC" w:rsidRPr="00194DFA" w:rsidRDefault="00C10A1F" w:rsidP="00914287">
      <w:pPr>
        <w:pStyle w:val="Texte1"/>
      </w:pPr>
      <w:r w:rsidRPr="00194DFA">
        <w:t xml:space="preserve">La </w:t>
      </w:r>
      <w:r w:rsidR="00461004" w:rsidRPr="00194DFA">
        <w:t>DO </w:t>
      </w:r>
      <w:r w:rsidRPr="00194DFA">
        <w:t>80(e) encourage les États parties à impliquer les communautés concernées, ainsi que les experts et leurs institutions, dans les décisions précédant le retrait d</w:t>
      </w:r>
      <w:r w:rsidR="00A61E6D" w:rsidRPr="00194DFA">
        <w:t>’</w:t>
      </w:r>
      <w:r w:rsidRPr="00194DFA">
        <w:t>un élément d</w:t>
      </w:r>
      <w:r w:rsidR="00A61E6D" w:rsidRPr="00194DFA">
        <w:t>’</w:t>
      </w:r>
      <w:r w:rsidRPr="00194DFA">
        <w:t>une Liste ou son transfert d</w:t>
      </w:r>
      <w:r w:rsidR="00A61E6D" w:rsidRPr="00194DFA">
        <w:t>’</w:t>
      </w:r>
      <w:r w:rsidRPr="00194DFA">
        <w:t>une Liste à l</w:t>
      </w:r>
      <w:r w:rsidR="00A61E6D" w:rsidRPr="00194DFA">
        <w:t>’</w:t>
      </w:r>
      <w:r w:rsidRPr="00194DFA">
        <w:t>autre.</w:t>
      </w:r>
    </w:p>
    <w:p w14:paraId="7D0B93C3" w14:textId="77777777" w:rsidR="00ED40DD" w:rsidRPr="00194DFA" w:rsidRDefault="00ED40DD" w:rsidP="00B50F0B">
      <w:pPr>
        <w:pStyle w:val="Titcoul"/>
        <w:ind w:left="1531" w:hanging="1531"/>
        <w:rPr>
          <w:color w:val="auto"/>
          <w:sz w:val="20"/>
        </w:rPr>
      </w:pPr>
      <w:bookmarkStart w:id="41" w:name="_Toc238963312"/>
      <w:bookmarkStart w:id="42" w:name="_Toc241065197"/>
      <w:bookmarkStart w:id="43" w:name="_Toc301443401"/>
      <w:bookmarkStart w:id="44" w:name="_Toc321407044"/>
      <w:bookmarkStart w:id="45" w:name="_Toc354486668"/>
      <w:bookmarkStart w:id="46" w:name="_Toc354486974"/>
      <w:bookmarkStart w:id="47" w:name="_Toc247360278"/>
      <w:r w:rsidRPr="00194DFA">
        <w:rPr>
          <w:color w:val="auto"/>
          <w:sz w:val="20"/>
        </w:rPr>
        <w:t>inscription sur une base élargie ou réduite</w:t>
      </w:r>
    </w:p>
    <w:p w14:paraId="4030A909" w14:textId="77777777" w:rsidR="00373236" w:rsidRDefault="00ED40DD" w:rsidP="00B50F0B">
      <w:pPr>
        <w:pStyle w:val="Titcoul"/>
        <w:spacing w:before="0" w:after="60" w:line="280" w:lineRule="exact"/>
        <w:ind w:firstLine="0"/>
        <w:jc w:val="both"/>
        <w:rPr>
          <w:b w:val="0"/>
          <w:caps w:val="0"/>
          <w:color w:val="auto"/>
          <w:sz w:val="20"/>
        </w:rPr>
      </w:pPr>
      <w:r w:rsidRPr="00194DFA">
        <w:rPr>
          <w:b w:val="0"/>
          <w:color w:val="auto"/>
          <w:sz w:val="20"/>
        </w:rPr>
        <w:t>L’</w:t>
      </w:r>
      <w:r w:rsidRPr="00194DFA">
        <w:rPr>
          <w:b w:val="0"/>
          <w:caps w:val="0"/>
          <w:color w:val="auto"/>
          <w:sz w:val="20"/>
        </w:rPr>
        <w:t>inscription d’un élément sur les Liste</w:t>
      </w:r>
      <w:r w:rsidR="00130FB9" w:rsidRPr="00194DFA">
        <w:rPr>
          <w:b w:val="0"/>
          <w:caps w:val="0"/>
          <w:color w:val="auto"/>
          <w:sz w:val="20"/>
        </w:rPr>
        <w:t>s</w:t>
      </w:r>
      <w:r w:rsidRPr="00194DFA">
        <w:rPr>
          <w:b w:val="0"/>
          <w:caps w:val="0"/>
          <w:color w:val="auto"/>
          <w:sz w:val="20"/>
        </w:rPr>
        <w:t xml:space="preserve"> peut être é</w:t>
      </w:r>
      <w:r w:rsidR="00EA2DC5" w:rsidRPr="00194DFA">
        <w:rPr>
          <w:b w:val="0"/>
          <w:caps w:val="0"/>
          <w:color w:val="auto"/>
          <w:sz w:val="20"/>
        </w:rPr>
        <w:t>largi</w:t>
      </w:r>
      <w:r w:rsidRPr="00194DFA">
        <w:rPr>
          <w:b w:val="0"/>
          <w:caps w:val="0"/>
          <w:color w:val="auto"/>
          <w:sz w:val="20"/>
        </w:rPr>
        <w:t xml:space="preserve">e à d’autres communautés ou </w:t>
      </w:r>
      <w:r w:rsidRPr="00194DFA">
        <w:rPr>
          <w:b w:val="0"/>
          <w:caps w:val="0"/>
          <w:color w:val="auto"/>
          <w:sz w:val="20"/>
        </w:rPr>
        <w:lastRenderedPageBreak/>
        <w:t xml:space="preserve">réduite au niveau national et/ou international à la demande des </w:t>
      </w:r>
      <w:r w:rsidR="00140116" w:rsidRPr="00194DFA">
        <w:rPr>
          <w:b w:val="0"/>
          <w:caps w:val="0"/>
          <w:color w:val="auto"/>
          <w:sz w:val="20"/>
        </w:rPr>
        <w:t>États</w:t>
      </w:r>
      <w:r w:rsidR="00EA2DC5" w:rsidRPr="00194DFA">
        <w:rPr>
          <w:b w:val="0"/>
          <w:caps w:val="0"/>
          <w:color w:val="auto"/>
          <w:sz w:val="20"/>
        </w:rPr>
        <w:t xml:space="preserve"> parties sur le territoire des</w:t>
      </w:r>
      <w:r w:rsidR="00A64D80" w:rsidRPr="00194DFA">
        <w:rPr>
          <w:b w:val="0"/>
          <w:caps w:val="0"/>
          <w:color w:val="auto"/>
          <w:sz w:val="20"/>
        </w:rPr>
        <w:t>quel</w:t>
      </w:r>
      <w:r w:rsidR="00EA2DC5" w:rsidRPr="00194DFA">
        <w:rPr>
          <w:b w:val="0"/>
          <w:caps w:val="0"/>
          <w:color w:val="auto"/>
          <w:sz w:val="20"/>
        </w:rPr>
        <w:t>s</w:t>
      </w:r>
      <w:r w:rsidR="00A64D80" w:rsidRPr="00194DFA">
        <w:rPr>
          <w:b w:val="0"/>
          <w:caps w:val="0"/>
          <w:color w:val="auto"/>
          <w:sz w:val="20"/>
        </w:rPr>
        <w:t xml:space="preserve"> </w:t>
      </w:r>
      <w:r w:rsidR="00EA2DC5" w:rsidRPr="00194DFA">
        <w:rPr>
          <w:b w:val="0"/>
          <w:caps w:val="0"/>
          <w:color w:val="auto"/>
          <w:sz w:val="20"/>
        </w:rPr>
        <w:t xml:space="preserve">l’élément </w:t>
      </w:r>
      <w:r w:rsidR="00A64D80" w:rsidRPr="00194DFA">
        <w:rPr>
          <w:b w:val="0"/>
          <w:caps w:val="0"/>
          <w:color w:val="auto"/>
          <w:sz w:val="20"/>
        </w:rPr>
        <w:t>est présent, avec le consentement de ces communautés.</w:t>
      </w:r>
    </w:p>
    <w:p w14:paraId="25D1883A" w14:textId="77777777" w:rsidR="00373236" w:rsidRDefault="00A64D80" w:rsidP="00B50F0B">
      <w:pPr>
        <w:pStyle w:val="Titcoul"/>
        <w:spacing w:before="0" w:after="60" w:line="280" w:lineRule="exact"/>
        <w:ind w:firstLine="0"/>
        <w:jc w:val="both"/>
        <w:rPr>
          <w:b w:val="0"/>
          <w:caps w:val="0"/>
          <w:color w:val="auto"/>
          <w:sz w:val="20"/>
        </w:rPr>
      </w:pPr>
      <w:r w:rsidRPr="00194DFA">
        <w:rPr>
          <w:b w:val="0"/>
          <w:caps w:val="0"/>
          <w:color w:val="auto"/>
          <w:sz w:val="20"/>
        </w:rPr>
        <w:t xml:space="preserve">Pour ce faire, les </w:t>
      </w:r>
      <w:r w:rsidR="00140116" w:rsidRPr="00194DFA">
        <w:rPr>
          <w:b w:val="0"/>
          <w:caps w:val="0"/>
          <w:color w:val="auto"/>
          <w:sz w:val="20"/>
        </w:rPr>
        <w:t>États</w:t>
      </w:r>
      <w:r w:rsidRPr="00194DFA">
        <w:rPr>
          <w:b w:val="0"/>
          <w:caps w:val="0"/>
          <w:color w:val="auto"/>
          <w:sz w:val="20"/>
        </w:rPr>
        <w:t xml:space="preserve"> parties concernés soumettent une nouvelle proposition d’inscription montrant que la candidature, telle qu’élargie ou réduite, satisfait</w:t>
      </w:r>
      <w:r w:rsidR="00130FB9" w:rsidRPr="00194DFA">
        <w:rPr>
          <w:b w:val="0"/>
          <w:caps w:val="0"/>
          <w:color w:val="auto"/>
          <w:sz w:val="20"/>
        </w:rPr>
        <w:t xml:space="preserve"> à</w:t>
      </w:r>
      <w:r w:rsidRPr="00194DFA">
        <w:rPr>
          <w:b w:val="0"/>
          <w:caps w:val="0"/>
          <w:color w:val="auto"/>
          <w:sz w:val="20"/>
        </w:rPr>
        <w:t xml:space="preserve"> </w:t>
      </w:r>
      <w:r w:rsidR="00130FB9" w:rsidRPr="00194DFA">
        <w:rPr>
          <w:b w:val="0"/>
          <w:caps w:val="0"/>
          <w:color w:val="auto"/>
          <w:sz w:val="20"/>
        </w:rPr>
        <w:t>tous les</w:t>
      </w:r>
      <w:r w:rsidRPr="00194DFA">
        <w:rPr>
          <w:b w:val="0"/>
          <w:caps w:val="0"/>
          <w:color w:val="auto"/>
          <w:sz w:val="20"/>
        </w:rPr>
        <w:t xml:space="preserve"> cr</w:t>
      </w:r>
      <w:r w:rsidR="00130FB9" w:rsidRPr="00194DFA">
        <w:rPr>
          <w:b w:val="0"/>
          <w:caps w:val="0"/>
          <w:color w:val="auto"/>
          <w:sz w:val="20"/>
        </w:rPr>
        <w:t>itères requi</w:t>
      </w:r>
      <w:r w:rsidR="00373236">
        <w:rPr>
          <w:b w:val="0"/>
          <w:caps w:val="0"/>
          <w:color w:val="auto"/>
          <w:sz w:val="20"/>
        </w:rPr>
        <w:t>s.</w:t>
      </w:r>
    </w:p>
    <w:p w14:paraId="7263D742" w14:textId="77777777" w:rsidR="00ED40DD" w:rsidRPr="00194DFA" w:rsidRDefault="00B7071D" w:rsidP="00B50F0B">
      <w:pPr>
        <w:pStyle w:val="Titcoul"/>
        <w:spacing w:before="0" w:after="60" w:line="280" w:lineRule="exact"/>
        <w:ind w:firstLine="0"/>
        <w:jc w:val="both"/>
        <w:rPr>
          <w:b w:val="0"/>
          <w:caps w:val="0"/>
          <w:color w:val="auto"/>
          <w:sz w:val="20"/>
        </w:rPr>
      </w:pPr>
      <w:r>
        <w:rPr>
          <w:b w:val="0"/>
          <w:caps w:val="0"/>
          <w:color w:val="auto"/>
          <w:sz w:val="20"/>
        </w:rPr>
        <w:t>Si</w:t>
      </w:r>
      <w:r w:rsidR="00A64D80" w:rsidRPr="00194DFA">
        <w:rPr>
          <w:b w:val="0"/>
          <w:caps w:val="0"/>
          <w:color w:val="auto"/>
          <w:sz w:val="20"/>
        </w:rPr>
        <w:t xml:space="preserve"> le Comité décide d’inscrire l’élément </w:t>
      </w:r>
      <w:r w:rsidR="00130FB9" w:rsidRPr="00194DFA">
        <w:rPr>
          <w:b w:val="0"/>
          <w:caps w:val="0"/>
          <w:color w:val="auto"/>
          <w:sz w:val="20"/>
        </w:rPr>
        <w:t>sur la base du</w:t>
      </w:r>
      <w:r w:rsidR="00A64D80" w:rsidRPr="00194DFA">
        <w:rPr>
          <w:b w:val="0"/>
          <w:caps w:val="0"/>
          <w:color w:val="auto"/>
          <w:sz w:val="20"/>
        </w:rPr>
        <w:t xml:space="preserve"> nouveau dossier de candidature, la nouvelle inscription remplace l’</w:t>
      </w:r>
      <w:r w:rsidR="00130FB9" w:rsidRPr="00194DFA">
        <w:rPr>
          <w:b w:val="0"/>
          <w:caps w:val="0"/>
          <w:color w:val="auto"/>
          <w:sz w:val="20"/>
        </w:rPr>
        <w:t>inscription d’</w:t>
      </w:r>
      <w:r w:rsidR="00A64D80" w:rsidRPr="00194DFA">
        <w:rPr>
          <w:b w:val="0"/>
          <w:caps w:val="0"/>
          <w:color w:val="auto"/>
          <w:sz w:val="20"/>
        </w:rPr>
        <w:t xml:space="preserve">origine. Sinon, </w:t>
      </w:r>
      <w:r w:rsidR="00235120" w:rsidRPr="00194DFA">
        <w:rPr>
          <w:b w:val="0"/>
          <w:caps w:val="0"/>
          <w:color w:val="auto"/>
          <w:sz w:val="20"/>
        </w:rPr>
        <w:t>au cas où l’élément n’est pas inscrit sur la base du nouveau dossier</w:t>
      </w:r>
      <w:r w:rsidR="00A64D80" w:rsidRPr="00194DFA">
        <w:rPr>
          <w:b w:val="0"/>
          <w:caps w:val="0"/>
          <w:color w:val="auto"/>
          <w:sz w:val="20"/>
        </w:rPr>
        <w:t>, l</w:t>
      </w:r>
      <w:r w:rsidR="00235120" w:rsidRPr="00194DFA">
        <w:rPr>
          <w:b w:val="0"/>
          <w:caps w:val="0"/>
          <w:color w:val="auto"/>
          <w:sz w:val="20"/>
        </w:rPr>
        <w:t>’inscription</w:t>
      </w:r>
      <w:r w:rsidR="00A64D80" w:rsidRPr="00194DFA">
        <w:rPr>
          <w:b w:val="0"/>
          <w:caps w:val="0"/>
          <w:color w:val="auto"/>
          <w:sz w:val="20"/>
        </w:rPr>
        <w:t xml:space="preserve"> original</w:t>
      </w:r>
      <w:r w:rsidR="00235120" w:rsidRPr="00194DFA">
        <w:rPr>
          <w:b w:val="0"/>
          <w:caps w:val="0"/>
          <w:color w:val="auto"/>
          <w:sz w:val="20"/>
        </w:rPr>
        <w:t>e</w:t>
      </w:r>
      <w:r w:rsidR="00A64D80" w:rsidRPr="00194DFA">
        <w:rPr>
          <w:b w:val="0"/>
          <w:caps w:val="0"/>
          <w:color w:val="auto"/>
          <w:sz w:val="20"/>
        </w:rPr>
        <w:t xml:space="preserve"> reste in</w:t>
      </w:r>
      <w:r w:rsidR="00235120" w:rsidRPr="00194DFA">
        <w:rPr>
          <w:b w:val="0"/>
          <w:caps w:val="0"/>
          <w:color w:val="auto"/>
          <w:sz w:val="20"/>
        </w:rPr>
        <w:t>changée</w:t>
      </w:r>
      <w:r w:rsidR="00A64D80" w:rsidRPr="00194DFA">
        <w:rPr>
          <w:b w:val="0"/>
          <w:caps w:val="0"/>
          <w:color w:val="auto"/>
          <w:sz w:val="20"/>
        </w:rPr>
        <w:t xml:space="preserve"> (DO 16-19).</w:t>
      </w:r>
    </w:p>
    <w:p w14:paraId="7B45F609" w14:textId="77777777" w:rsidR="004325DC" w:rsidRPr="00194DFA" w:rsidRDefault="006F42B3" w:rsidP="004F5CF8">
      <w:pPr>
        <w:pStyle w:val="Titcoul"/>
      </w:pPr>
      <w:r w:rsidRPr="00194DFA">
        <w:t>11</w:t>
      </w:r>
      <w:r w:rsidR="00C10A1F" w:rsidRPr="00194DFA">
        <w:t>.5</w:t>
      </w:r>
      <w:bookmarkEnd w:id="41"/>
      <w:bookmarkEnd w:id="42"/>
      <w:r w:rsidR="00664974" w:rsidRPr="00194DFA">
        <w:tab/>
      </w:r>
      <w:bookmarkStart w:id="48" w:name="_Toc238963313"/>
      <w:bookmarkStart w:id="49" w:name="_Toc241065198"/>
      <w:r w:rsidR="00C10A1F" w:rsidRPr="00194DFA">
        <w:t xml:space="preserve">Participation et consentement de la </w:t>
      </w:r>
      <w:bookmarkEnd w:id="43"/>
      <w:bookmarkEnd w:id="44"/>
      <w:bookmarkEnd w:id="45"/>
      <w:bookmarkEnd w:id="46"/>
      <w:bookmarkEnd w:id="47"/>
      <w:bookmarkEnd w:id="48"/>
      <w:bookmarkEnd w:id="49"/>
      <w:r w:rsidR="00062885" w:rsidRPr="00194DFA">
        <w:t>communautÉ</w:t>
      </w:r>
    </w:p>
    <w:p w14:paraId="45FCA93C" w14:textId="77777777" w:rsidR="004325DC" w:rsidRPr="00194DFA" w:rsidRDefault="00C10A1F" w:rsidP="00914287">
      <w:pPr>
        <w:pStyle w:val="Texte1"/>
      </w:pPr>
      <w:r w:rsidRPr="00194DFA">
        <w:t>Pour les deux Listes de la Convention, les formulaires de candidature (</w:t>
      </w:r>
      <w:r w:rsidR="004A66F4" w:rsidRPr="00194DFA">
        <w:t>ICH-</w:t>
      </w:r>
      <w:r w:rsidRPr="00194DFA">
        <w:t xml:space="preserve">01 et </w:t>
      </w:r>
      <w:r w:rsidR="004A66F4" w:rsidRPr="00194DFA">
        <w:t>ICH-</w:t>
      </w:r>
      <w:r w:rsidRPr="00194DFA">
        <w:t>02) exigent d</w:t>
      </w:r>
      <w:r w:rsidR="00A61E6D" w:rsidRPr="00194DFA">
        <w:t>’</w:t>
      </w:r>
      <w:r w:rsidRPr="00194DFA">
        <w:t>apporter la preuve que les communautés, groupes et/ou individus concernés</w:t>
      </w:r>
      <w:r w:rsidR="00EA1FE1" w:rsidRPr="00194DFA">
        <w:t> :</w:t>
      </w:r>
    </w:p>
    <w:p w14:paraId="08F54748" w14:textId="3E41BB16" w:rsidR="004325DC" w:rsidRPr="00194DFA" w:rsidRDefault="00C10A1F" w:rsidP="00150FFB">
      <w:pPr>
        <w:pStyle w:val="Enutiret"/>
      </w:pPr>
      <w:r w:rsidRPr="00194DFA">
        <w:t>ont reconnu l</w:t>
      </w:r>
      <w:r w:rsidR="00A61E6D" w:rsidRPr="00194DFA">
        <w:t>’</w:t>
      </w:r>
      <w:r w:rsidR="00C51F99" w:rsidRPr="00194DFA">
        <w:t>élément proposé comme</w:t>
      </w:r>
      <w:r w:rsidRPr="00194DFA">
        <w:t xml:space="preserve"> </w:t>
      </w:r>
      <w:r w:rsidR="00B50F0B">
        <w:t xml:space="preserve">faisant </w:t>
      </w:r>
      <w:r w:rsidRPr="00194DFA">
        <w:t>partie</w:t>
      </w:r>
      <w:r w:rsidR="00C51F99" w:rsidRPr="00194DFA">
        <w:t xml:space="preserve"> intégrante</w:t>
      </w:r>
      <w:r w:rsidRPr="00194DFA">
        <w:t xml:space="preserve"> de leur patrimoine culturel</w:t>
      </w:r>
      <w:r w:rsidR="00EA1FE1" w:rsidRPr="00194DFA">
        <w:t> ;</w:t>
      </w:r>
    </w:p>
    <w:p w14:paraId="44BC3886" w14:textId="77777777" w:rsidR="00241C55" w:rsidRPr="00194DFA" w:rsidRDefault="00C10A1F" w:rsidP="00150FFB">
      <w:pPr>
        <w:pStyle w:val="Enutiret"/>
      </w:pPr>
      <w:r w:rsidRPr="00194DFA">
        <w:t>ont participé à l</w:t>
      </w:r>
      <w:r w:rsidR="00A61E6D" w:rsidRPr="00194DFA">
        <w:t>’</w:t>
      </w:r>
      <w:r w:rsidRPr="00194DFA">
        <w:t>identification et à la définition de l</w:t>
      </w:r>
      <w:r w:rsidR="00A61E6D" w:rsidRPr="00194DFA">
        <w:t>’</w:t>
      </w:r>
      <w:r w:rsidRPr="00194DFA">
        <w:t>élément</w:t>
      </w:r>
      <w:r w:rsidR="00EA1FE1" w:rsidRPr="00194DFA">
        <w:t> ;</w:t>
      </w:r>
    </w:p>
    <w:p w14:paraId="03D13C55" w14:textId="77777777" w:rsidR="004325DC" w:rsidRPr="00194DFA" w:rsidRDefault="00241C55" w:rsidP="00150FFB">
      <w:pPr>
        <w:pStyle w:val="Enutiret"/>
      </w:pPr>
      <w:r w:rsidRPr="00194DFA">
        <w:t>ont participé à l’inventaire de l’élément ;</w:t>
      </w:r>
    </w:p>
    <w:p w14:paraId="0D043F94" w14:textId="77777777" w:rsidR="004325DC" w:rsidRPr="00194DFA" w:rsidRDefault="00C10A1F" w:rsidP="00150FFB">
      <w:pPr>
        <w:pStyle w:val="Enutiret"/>
      </w:pPr>
      <w:r w:rsidRPr="00194DFA">
        <w:t>ont participé le plus largement possible à l</w:t>
      </w:r>
      <w:r w:rsidR="00A61E6D" w:rsidRPr="00194DFA">
        <w:t>’</w:t>
      </w:r>
      <w:r w:rsidRPr="00194DFA">
        <w:t>établissement du dossier de candidature (et de toutes les mesures de sauvegarde ou de gestion qui y sont présentées)</w:t>
      </w:r>
      <w:r w:rsidR="00EA1FE1" w:rsidRPr="00194DFA">
        <w:t> ;</w:t>
      </w:r>
    </w:p>
    <w:p w14:paraId="7707DB2B" w14:textId="77777777" w:rsidR="004325DC" w:rsidRPr="00194DFA" w:rsidRDefault="00C10A1F" w:rsidP="00150FFB">
      <w:pPr>
        <w:pStyle w:val="Enutiret"/>
      </w:pPr>
      <w:r w:rsidRPr="00194DFA">
        <w:t>ont donné leur consentement libre, préalable et éclairé à la soumission de la candidature</w:t>
      </w:r>
      <w:r w:rsidR="00EA1FE1" w:rsidRPr="00194DFA">
        <w:t> ;</w:t>
      </w:r>
      <w:r w:rsidR="00241C55" w:rsidRPr="00194DFA">
        <w:t xml:space="preserve"> et</w:t>
      </w:r>
    </w:p>
    <w:p w14:paraId="036FE8A0" w14:textId="77777777" w:rsidR="004325DC" w:rsidRPr="00194DFA" w:rsidRDefault="00C10A1F" w:rsidP="00150FFB">
      <w:pPr>
        <w:pStyle w:val="Enutiret"/>
      </w:pPr>
      <w:r w:rsidRPr="00194DFA">
        <w:t>seront impliqués dans la mise en œuvre des mesures proposées, ont la volonté et ont pris l</w:t>
      </w:r>
      <w:r w:rsidR="00A61E6D" w:rsidRPr="00194DFA">
        <w:t>’</w:t>
      </w:r>
      <w:r w:rsidRPr="00194DFA">
        <w:t>engagement de sauvegarder l</w:t>
      </w:r>
      <w:r w:rsidR="00A61E6D" w:rsidRPr="00194DFA">
        <w:t>’</w:t>
      </w:r>
      <w:r w:rsidRPr="00194DFA">
        <w:t>élément</w:t>
      </w:r>
      <w:r w:rsidR="00C51F99" w:rsidRPr="00194DFA">
        <w:t xml:space="preserve"> le cas échéant</w:t>
      </w:r>
      <w:r w:rsidRPr="00194DFA">
        <w:t xml:space="preserve"> et si les conditions s</w:t>
      </w:r>
      <w:r w:rsidR="00A61E6D" w:rsidRPr="00194DFA">
        <w:t>’</w:t>
      </w:r>
      <w:r w:rsidRPr="00194DFA">
        <w:t>y prêtent.</w:t>
      </w:r>
    </w:p>
    <w:p w14:paraId="773BFA18" w14:textId="77777777" w:rsidR="004325DC" w:rsidRPr="00194DFA" w:rsidRDefault="00C10A1F" w:rsidP="00914287">
      <w:pPr>
        <w:pStyle w:val="Texte1"/>
      </w:pPr>
      <w:r w:rsidRPr="00194DFA">
        <w:t>Les mécanismes permettant d</w:t>
      </w:r>
      <w:r w:rsidR="00A61E6D" w:rsidRPr="00194DFA">
        <w:t>’</w:t>
      </w:r>
      <w:r w:rsidRPr="00194DFA">
        <w:t xml:space="preserve">assurer la participation </w:t>
      </w:r>
      <w:r w:rsidR="009867A4" w:rsidRPr="00194DFA">
        <w:t>des communautés</w:t>
      </w:r>
      <w:r w:rsidRPr="00194DFA">
        <w:t xml:space="preserve"> à ces activités diff</w:t>
      </w:r>
      <w:r w:rsidR="00194DFA" w:rsidRPr="00194DFA">
        <w:t>è</w:t>
      </w:r>
      <w:r w:rsidR="00C51F99" w:rsidRPr="00194DFA">
        <w:t>re</w:t>
      </w:r>
      <w:r w:rsidRPr="00194DFA">
        <w:t xml:space="preserve">nt selon les caractéristiques des communautés et les éléments du PCI </w:t>
      </w:r>
      <w:r w:rsidR="00194DFA" w:rsidRPr="00194DFA">
        <w:t>concern</w:t>
      </w:r>
      <w:r w:rsidRPr="00194DFA">
        <w:t>és.</w:t>
      </w:r>
    </w:p>
    <w:p w14:paraId="52F65EDB" w14:textId="3CFAF89B" w:rsidR="004325DC" w:rsidRPr="00194DFA" w:rsidRDefault="00C10A1F" w:rsidP="004F5CF8">
      <w:pPr>
        <w:pStyle w:val="Titcoul"/>
      </w:pPr>
      <w:bookmarkStart w:id="50" w:name="_Toc238963314"/>
      <w:bookmarkStart w:id="51" w:name="_Toc241065199"/>
      <w:bookmarkStart w:id="52" w:name="_Toc301443402"/>
      <w:bookmarkStart w:id="53" w:name="_Toc321407045"/>
      <w:bookmarkStart w:id="54" w:name="_Toc354486669"/>
      <w:bookmarkStart w:id="55" w:name="_Toc354486975"/>
      <w:bookmarkStart w:id="56" w:name="_Toc247360279"/>
      <w:r w:rsidRPr="00194DFA">
        <w:t>1</w:t>
      </w:r>
      <w:r w:rsidR="006F42B3" w:rsidRPr="00194DFA">
        <w:t>1</w:t>
      </w:r>
      <w:r w:rsidRPr="00194DFA">
        <w:t>.6</w:t>
      </w:r>
      <w:bookmarkEnd w:id="50"/>
      <w:bookmarkEnd w:id="51"/>
      <w:r w:rsidR="00664974" w:rsidRPr="00194DFA">
        <w:tab/>
      </w:r>
      <w:bookmarkStart w:id="57" w:name="_Toc238963315"/>
      <w:bookmarkStart w:id="58" w:name="_Toc241065200"/>
      <w:r w:rsidR="007A7CB3" w:rsidRPr="00194DFA">
        <w:rPr>
          <w:szCs w:val="28"/>
        </w:rPr>
        <w:t>Pr</w:t>
      </w:r>
      <w:r w:rsidR="007A7CB3" w:rsidRPr="00194DFA">
        <w:rPr>
          <w:rFonts w:hint="eastAsia"/>
        </w:rPr>
        <w:t>É</w:t>
      </w:r>
      <w:r w:rsidR="007A7CB3" w:rsidRPr="00194DFA">
        <w:rPr>
          <w:szCs w:val="28"/>
        </w:rPr>
        <w:t xml:space="preserve">senter </w:t>
      </w:r>
      <w:r w:rsidR="00807D26">
        <w:rPr>
          <w:szCs w:val="28"/>
        </w:rPr>
        <w:t>une candidature aux</w:t>
      </w:r>
      <w:r w:rsidRPr="00194DFA">
        <w:rPr>
          <w:szCs w:val="28"/>
        </w:rPr>
        <w:t xml:space="preserve"> Listes de la Convention</w:t>
      </w:r>
      <w:bookmarkEnd w:id="52"/>
      <w:bookmarkEnd w:id="53"/>
      <w:bookmarkEnd w:id="54"/>
      <w:bookmarkEnd w:id="55"/>
      <w:bookmarkEnd w:id="56"/>
      <w:bookmarkEnd w:id="57"/>
      <w:bookmarkEnd w:id="58"/>
    </w:p>
    <w:p w14:paraId="50A1E660" w14:textId="3705AE4B" w:rsidR="00C10A1F" w:rsidRPr="00194DFA" w:rsidRDefault="00C10A1F">
      <w:pPr>
        <w:pStyle w:val="Heading4"/>
      </w:pPr>
      <w:bookmarkStart w:id="59" w:name="_Toc247360280"/>
      <w:r w:rsidRPr="00194DFA">
        <w:t>Qui peut soumettre une candidature</w:t>
      </w:r>
      <w:r w:rsidRPr="00194DFA">
        <w:rPr>
          <w:kern w:val="28"/>
        </w:rPr>
        <w:t xml:space="preserve"> </w:t>
      </w:r>
      <w:r w:rsidR="00807D26">
        <w:rPr>
          <w:kern w:val="28"/>
        </w:rPr>
        <w:t>aux</w:t>
      </w:r>
      <w:r w:rsidRPr="00194DFA">
        <w:rPr>
          <w:kern w:val="28"/>
        </w:rPr>
        <w:t xml:space="preserve"> Listes de la Convention</w:t>
      </w:r>
      <w:r w:rsidR="00953DB9" w:rsidRPr="00194DFA">
        <w:rPr>
          <w:rFonts w:hint="eastAsia"/>
        </w:rPr>
        <w:t> </w:t>
      </w:r>
      <w:r w:rsidR="00953DB9" w:rsidRPr="00194DFA">
        <w:t>?</w:t>
      </w:r>
      <w:bookmarkEnd w:id="59"/>
    </w:p>
    <w:p w14:paraId="6E0FE383" w14:textId="77777777" w:rsidR="004325DC" w:rsidRPr="00194DFA" w:rsidRDefault="00C10A1F" w:rsidP="00914287">
      <w:pPr>
        <w:pStyle w:val="Texte1"/>
      </w:pPr>
      <w:r w:rsidRPr="00194DFA">
        <w:t>L</w:t>
      </w:r>
      <w:r w:rsidR="00A61E6D" w:rsidRPr="00194DFA">
        <w:t>’</w:t>
      </w:r>
      <w:r w:rsidRPr="00194DFA">
        <w:t>initiative de la préparation d</w:t>
      </w:r>
      <w:r w:rsidR="00A61E6D" w:rsidRPr="00194DFA">
        <w:t>’</w:t>
      </w:r>
      <w:r w:rsidRPr="00194DFA">
        <w:t>un dossier de candidature peut émaner de plusieurs acteurs, mais quel que soit celui qui en est à l</w:t>
      </w:r>
      <w:r w:rsidR="00A61E6D" w:rsidRPr="00194DFA">
        <w:t>’</w:t>
      </w:r>
      <w:r w:rsidRPr="00194DFA">
        <w:t>origine, l</w:t>
      </w:r>
      <w:r w:rsidR="00A61E6D" w:rsidRPr="00194DFA">
        <w:t>’</w:t>
      </w:r>
      <w:r w:rsidRPr="00194DFA">
        <w:t xml:space="preserve">État concerné doit soumettre la demande (ou approuver la démarche) et la communauté concernée doit être </w:t>
      </w:r>
      <w:r w:rsidR="00194DFA">
        <w:t>consult</w:t>
      </w:r>
      <w:r w:rsidRPr="00194DFA">
        <w:t xml:space="preserve">ée </w:t>
      </w:r>
      <w:r w:rsidR="009716C6" w:rsidRPr="00194DFA">
        <w:t xml:space="preserve">à cet égard </w:t>
      </w:r>
      <w:r w:rsidRPr="00194DFA">
        <w:t>(et donner) son consentement libre, préalable et éclairé.</w:t>
      </w:r>
    </w:p>
    <w:p w14:paraId="72981558" w14:textId="77777777" w:rsidR="004325DC" w:rsidRDefault="00C10A1F" w:rsidP="00914287">
      <w:pPr>
        <w:pStyle w:val="Texte1"/>
      </w:pPr>
      <w:r w:rsidRPr="00194DFA">
        <w:t>Les différentes parties prenantes, y compris les États parties concernés, peuvent porter à l</w:t>
      </w:r>
      <w:r w:rsidR="00A61E6D" w:rsidRPr="00194DFA">
        <w:t>’</w:t>
      </w:r>
      <w:r w:rsidRPr="00194DFA">
        <w:t>attention du Comité des cas d</w:t>
      </w:r>
      <w:r w:rsidR="00A61E6D" w:rsidRPr="00194DFA">
        <w:t>’</w:t>
      </w:r>
      <w:r w:rsidRPr="00194DFA">
        <w:t xml:space="preserve">extrême urgence pour inscription sur la </w:t>
      </w:r>
      <w:r w:rsidR="00CC5381" w:rsidRPr="00194DFA">
        <w:t>L</w:t>
      </w:r>
      <w:r w:rsidR="00F1205C" w:rsidRPr="00194DFA">
        <w:t>SU</w:t>
      </w:r>
      <w:r w:rsidR="00EA1FE1" w:rsidRPr="00194DFA">
        <w:t> ;</w:t>
      </w:r>
      <w:r w:rsidRPr="00194DFA">
        <w:t xml:space="preserve"> ces derniers seront pris en compte s</w:t>
      </w:r>
      <w:r w:rsidR="009E478F" w:rsidRPr="00194DFA">
        <w:t>uivant</w:t>
      </w:r>
      <w:r w:rsidRPr="00194DFA">
        <w:t xml:space="preserve"> un calendrier accéléré et </w:t>
      </w:r>
      <w:r w:rsidR="009E478F" w:rsidRPr="00194DFA">
        <w:t>examin</w:t>
      </w:r>
      <w:r w:rsidRPr="00194DFA">
        <w:t>és en consultation avec les États parties concernés (</w:t>
      </w:r>
      <w:r w:rsidR="00461004" w:rsidRPr="00194DFA">
        <w:t>DO </w:t>
      </w:r>
      <w:r w:rsidRPr="00194DFA">
        <w:t>1 (U.6)</w:t>
      </w:r>
      <w:r w:rsidR="00913F6A" w:rsidRPr="00194DFA">
        <w:t xml:space="preserve"> et</w:t>
      </w:r>
      <w:r w:rsidRPr="00194DFA">
        <w:t xml:space="preserve"> 3</w:t>
      </w:r>
      <w:r w:rsidR="00913F6A" w:rsidRPr="00194DFA">
        <w:t>2</w:t>
      </w:r>
      <w:r w:rsidRPr="00194DFA">
        <w:t>).</w:t>
      </w:r>
    </w:p>
    <w:p w14:paraId="4F77BB71" w14:textId="30ACE103" w:rsidR="00D76725" w:rsidRPr="001C168D" w:rsidRDefault="00D76725" w:rsidP="001C168D">
      <w:pPr>
        <w:pStyle w:val="Niveau2tabledesmatires"/>
        <w:outlineLvl w:val="1"/>
        <w:rPr>
          <w:color w:val="auto"/>
          <w:sz w:val="20"/>
          <w:szCs w:val="20"/>
        </w:rPr>
      </w:pPr>
      <w:bookmarkStart w:id="60" w:name="_Toc391401274"/>
      <w:r w:rsidRPr="00D76725">
        <w:rPr>
          <w:color w:val="auto"/>
          <w:sz w:val="20"/>
          <w:szCs w:val="20"/>
        </w:rPr>
        <w:lastRenderedPageBreak/>
        <w:t>Patrimoine p</w:t>
      </w:r>
      <w:r w:rsidR="00B50F0B">
        <w:rPr>
          <w:color w:val="auto"/>
          <w:sz w:val="20"/>
          <w:szCs w:val="20"/>
        </w:rPr>
        <w:t>artagé : candidature</w:t>
      </w:r>
      <w:r w:rsidRPr="00D76725">
        <w:rPr>
          <w:color w:val="auto"/>
          <w:sz w:val="20"/>
          <w:szCs w:val="20"/>
        </w:rPr>
        <w:t xml:space="preserve"> multinationale</w:t>
      </w:r>
      <w:bookmarkEnd w:id="60"/>
    </w:p>
    <w:p w14:paraId="3F5EBC3C" w14:textId="362864CF" w:rsidR="00CA523C" w:rsidRDefault="00B50F0B" w:rsidP="00914287">
      <w:pPr>
        <w:pStyle w:val="Texte1"/>
        <w:rPr>
          <w:lang w:val="fr-CA"/>
        </w:rPr>
      </w:pPr>
      <w:r>
        <w:rPr>
          <w:lang w:val="fr-CA"/>
        </w:rPr>
        <w:t>Le Comité encourage</w:t>
      </w:r>
      <w:r w:rsidR="00A528E5">
        <w:rPr>
          <w:lang w:val="fr-CA"/>
        </w:rPr>
        <w:t xml:space="preserve"> les États parties </w:t>
      </w:r>
      <w:r w:rsidR="00A528E5" w:rsidRPr="00DA5AD2">
        <w:rPr>
          <w:lang w:val="fr-CA"/>
        </w:rPr>
        <w:t xml:space="preserve">à soumettre des candidatures multinationales portant sur des éléments partagés par </w:t>
      </w:r>
      <w:r w:rsidR="00A528E5">
        <w:rPr>
          <w:lang w:val="fr-CA"/>
        </w:rPr>
        <w:t>différentes</w:t>
      </w:r>
      <w:r w:rsidR="00A528E5" w:rsidRPr="00DA5AD2">
        <w:rPr>
          <w:lang w:val="fr-CA"/>
        </w:rPr>
        <w:t xml:space="preserve"> communautés afin de favoriser le dialogue</w:t>
      </w:r>
      <w:r w:rsidR="00A528E5">
        <w:rPr>
          <w:lang w:val="fr-CA"/>
        </w:rPr>
        <w:t xml:space="preserve">. </w:t>
      </w:r>
      <w:r w:rsidR="00A528E5" w:rsidRPr="00DA5AD2">
        <w:rPr>
          <w:lang w:val="fr-CA"/>
        </w:rPr>
        <w:t xml:space="preserve">Pour ce qui est des éléments déjà inscrits, </w:t>
      </w:r>
      <w:r w:rsidR="00A528E5">
        <w:rPr>
          <w:lang w:val="fr-CA"/>
        </w:rPr>
        <w:t>les États parties sont encouragés</w:t>
      </w:r>
      <w:r w:rsidR="00A528E5" w:rsidRPr="00DA5AD2">
        <w:rPr>
          <w:lang w:val="fr-CA"/>
        </w:rPr>
        <w:t xml:space="preserve"> à envisager de soumettre à nouveau leur candidature sur une base multinationale</w:t>
      </w:r>
      <w:r w:rsidR="00A528E5">
        <w:rPr>
          <w:lang w:val="fr-CA"/>
        </w:rPr>
        <w:t xml:space="preserve"> lorsqu’un</w:t>
      </w:r>
      <w:r w:rsidR="00A528E5" w:rsidRPr="00DA5AD2">
        <w:rPr>
          <w:lang w:val="fr-CA"/>
        </w:rPr>
        <w:t xml:space="preserve"> </w:t>
      </w:r>
      <w:r w:rsidR="00A528E5">
        <w:rPr>
          <w:lang w:val="fr-CA"/>
        </w:rPr>
        <w:t>élément</w:t>
      </w:r>
      <w:r w:rsidR="00A528E5" w:rsidRPr="00DA5AD2">
        <w:rPr>
          <w:lang w:val="fr-CA"/>
        </w:rPr>
        <w:t xml:space="preserve"> </w:t>
      </w:r>
      <w:r w:rsidR="00A528E5">
        <w:rPr>
          <w:lang w:val="fr-CA"/>
        </w:rPr>
        <w:t>est pratiqué</w:t>
      </w:r>
      <w:r w:rsidR="00A528E5" w:rsidRPr="00DA5AD2">
        <w:rPr>
          <w:lang w:val="fr-CA"/>
        </w:rPr>
        <w:t xml:space="preserve"> par des communautés ét</w:t>
      </w:r>
      <w:r w:rsidR="00A528E5">
        <w:rPr>
          <w:lang w:val="fr-CA"/>
        </w:rPr>
        <w:t>ablies hors de leurs frontières</w:t>
      </w:r>
      <w:r w:rsidR="00CA523C">
        <w:rPr>
          <w:lang w:val="fr-CA"/>
        </w:rPr>
        <w:t>.</w:t>
      </w:r>
    </w:p>
    <w:p w14:paraId="30683000" w14:textId="77777777" w:rsidR="00CA523C" w:rsidRDefault="00A528E5" w:rsidP="00914287">
      <w:pPr>
        <w:pStyle w:val="Texte1"/>
        <w:rPr>
          <w:lang w:val="fr-CA"/>
        </w:rPr>
      </w:pPr>
      <w:r w:rsidRPr="00DA5AD2">
        <w:rPr>
          <w:lang w:val="fr-CA"/>
        </w:rPr>
        <w:t>L</w:t>
      </w:r>
      <w:r>
        <w:rPr>
          <w:lang w:val="fr-CA"/>
        </w:rPr>
        <w:t>es</w:t>
      </w:r>
      <w:r w:rsidRPr="00DA5AD2">
        <w:rPr>
          <w:lang w:val="fr-CA"/>
        </w:rPr>
        <w:t xml:space="preserve"> candidatures multinationales </w:t>
      </w:r>
      <w:r>
        <w:rPr>
          <w:lang w:val="fr-CA"/>
        </w:rPr>
        <w:t>sont</w:t>
      </w:r>
      <w:r w:rsidRPr="00DA5AD2">
        <w:rPr>
          <w:lang w:val="fr-CA"/>
        </w:rPr>
        <w:t xml:space="preserve"> plus compliquées que les candidatures préparées par un seul État partie, du fait qu’elles exigent une coordination étroite entre les États concernés et la participation active de leurs communautés respectives.</w:t>
      </w:r>
      <w:r w:rsidR="001C168D">
        <w:rPr>
          <w:lang w:val="fr-CA"/>
        </w:rPr>
        <w:t xml:space="preserve"> Dans ce cas, les pays concernés désignent généralement un pays coordinateur chargé de l’élaboration et de la finalisation de la candidature multinationale. </w:t>
      </w:r>
      <w:r w:rsidR="00902774">
        <w:rPr>
          <w:lang w:val="fr-CA"/>
        </w:rPr>
        <w:t>Les pays concernés font</w:t>
      </w:r>
      <w:r w:rsidR="00902774" w:rsidRPr="00DA5AD2">
        <w:rPr>
          <w:lang w:val="fr-CA"/>
        </w:rPr>
        <w:t xml:space="preserve"> de leur mieux pour parvenir à un juste équilibre des informations, notamment entre le </w:t>
      </w:r>
      <w:r w:rsidR="00902774" w:rsidRPr="00902774">
        <w:rPr>
          <w:lang w:val="fr-CA"/>
        </w:rPr>
        <w:t>pays coordinateur</w:t>
      </w:r>
      <w:r w:rsidR="00902774" w:rsidRPr="00DA5AD2">
        <w:rPr>
          <w:lang w:val="fr-CA"/>
        </w:rPr>
        <w:t xml:space="preserve"> </w:t>
      </w:r>
      <w:r w:rsidR="00902774">
        <w:rPr>
          <w:lang w:val="fr-CA"/>
        </w:rPr>
        <w:t>et les autres pays participants.</w:t>
      </w:r>
    </w:p>
    <w:p w14:paraId="2806408D" w14:textId="77777777" w:rsidR="0000793F" w:rsidRDefault="00902774" w:rsidP="00914287">
      <w:pPr>
        <w:pStyle w:val="Texte1"/>
        <w:rPr>
          <w:lang w:val="fr-CA"/>
        </w:rPr>
      </w:pPr>
      <w:r>
        <w:rPr>
          <w:lang w:val="fr-CA"/>
        </w:rPr>
        <w:t xml:space="preserve">Bien que les candidatures multinationales soient encouragées lorsque des éléments du PCI sont présents sur le territoire de plusieurs États, chaque État partie a le droit de soumettre une candidature pour des éléments présents sur son territoire sans tenir compte du fait que ces éléments puissent exister dans d’autres États. Ces candidatures </w:t>
      </w:r>
      <w:r w:rsidR="00CA38FD">
        <w:rPr>
          <w:lang w:val="fr-CA"/>
        </w:rPr>
        <w:t xml:space="preserve">peuvent </w:t>
      </w:r>
      <w:r w:rsidR="00112B69">
        <w:rPr>
          <w:lang w:val="fr-CA"/>
        </w:rPr>
        <w:t xml:space="preserve">créer des tensions et </w:t>
      </w:r>
      <w:r w:rsidR="009E3AC8">
        <w:rPr>
          <w:lang w:val="fr-CA"/>
        </w:rPr>
        <w:t>donner lieu, bien qu’</w:t>
      </w:r>
      <w:r w:rsidR="00112B69">
        <w:rPr>
          <w:lang w:val="fr-CA"/>
        </w:rPr>
        <w:t>involontairement</w:t>
      </w:r>
      <w:r w:rsidR="009E3AC8">
        <w:rPr>
          <w:lang w:val="fr-CA"/>
        </w:rPr>
        <w:t>, à</w:t>
      </w:r>
      <w:r w:rsidR="00E46DBB">
        <w:rPr>
          <w:lang w:val="fr-CA"/>
        </w:rPr>
        <w:t xml:space="preserve"> une incompréhension au lieu d’une coopération entre les pays.</w:t>
      </w:r>
    </w:p>
    <w:p w14:paraId="5F3ACBA8" w14:textId="03201CDE" w:rsidR="00501A31" w:rsidRPr="00B50F0B" w:rsidRDefault="00B50F0B" w:rsidP="00B50F0B">
      <w:pPr>
        <w:pStyle w:val="Informations"/>
        <w:rPr>
          <w:i w:val="0"/>
          <w:lang w:val="fr-CA"/>
        </w:rPr>
      </w:pPr>
      <w:r>
        <w:rPr>
          <w:i w:val="0"/>
          <w:lang w:val="fr-CA"/>
        </w:rPr>
        <w:t xml:space="preserve">Cf. DO </w:t>
      </w:r>
      <w:r w:rsidR="0000793F" w:rsidRPr="00B50F0B">
        <w:rPr>
          <w:i w:val="0"/>
          <w:lang w:val="fr-CA"/>
        </w:rPr>
        <w:t xml:space="preserve">13 à 15 et les </w:t>
      </w:r>
      <w:r>
        <w:rPr>
          <w:i w:val="0"/>
          <w:lang w:val="fr-CA"/>
        </w:rPr>
        <w:t xml:space="preserve">points </w:t>
      </w:r>
      <w:r w:rsidR="0000793F" w:rsidRPr="00B50F0B">
        <w:rPr>
          <w:i w:val="0"/>
          <w:lang w:val="fr-CA"/>
        </w:rPr>
        <w:t xml:space="preserve">correspondant au patrimoine partagé </w:t>
      </w:r>
      <w:r w:rsidR="009E3AC8" w:rsidRPr="00B50F0B">
        <w:rPr>
          <w:i w:val="0"/>
          <w:lang w:val="fr-CA"/>
        </w:rPr>
        <w:t>dans les</w:t>
      </w:r>
      <w:r w:rsidR="00501A31" w:rsidRPr="00B50F0B">
        <w:rPr>
          <w:i w:val="0"/>
          <w:lang w:val="fr-CA"/>
        </w:rPr>
        <w:t xml:space="preserve"> </w:t>
      </w:r>
      <w:r w:rsidR="0000793F" w:rsidRPr="00B50F0B">
        <w:rPr>
          <w:i w:val="0"/>
          <w:lang w:val="fr-CA"/>
        </w:rPr>
        <w:t>Aide-</w:t>
      </w:r>
      <w:r w:rsidRPr="00AD244C">
        <w:rPr>
          <w:i w:val="0"/>
          <w:iCs/>
          <w:noProof/>
          <w:lang w:eastAsia="zh-TW"/>
        </w:rPr>
        <w:drawing>
          <wp:anchor distT="0" distB="0" distL="114300" distR="114300" simplePos="0" relativeHeight="252180992" behindDoc="0" locked="1" layoutInCell="1" allowOverlap="0" wp14:anchorId="3ACC8E8E" wp14:editId="06D99334">
            <wp:simplePos x="0" y="0"/>
            <wp:positionH relativeFrom="margin">
              <wp:posOffset>-54610</wp:posOffset>
            </wp:positionH>
            <wp:positionV relativeFrom="paragraph">
              <wp:posOffset>85725</wp:posOffset>
            </wp:positionV>
            <wp:extent cx="283210" cy="358775"/>
            <wp:effectExtent l="0" t="0" r="0" b="0"/>
            <wp:wrapThrough wrapText="bothSides">
              <wp:wrapPolygon edited="0">
                <wp:start x="0" y="0"/>
                <wp:lineTo x="0" y="19880"/>
                <wp:lineTo x="19372" y="19880"/>
                <wp:lineTo x="19372" y="0"/>
                <wp:lineTo x="0" y="0"/>
              </wp:wrapPolygon>
            </wp:wrapThrough>
            <wp:docPr id="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00793F" w:rsidRPr="00B50F0B">
        <w:rPr>
          <w:i w:val="0"/>
          <w:lang w:val="fr-CA"/>
        </w:rPr>
        <w:t>Mémoire</w:t>
      </w:r>
      <w:r w:rsidR="00807D26">
        <w:rPr>
          <w:i w:val="0"/>
          <w:lang w:val="fr-CA"/>
        </w:rPr>
        <w:t>s</w:t>
      </w:r>
      <w:r w:rsidR="0000793F" w:rsidRPr="00B50F0B">
        <w:rPr>
          <w:i w:val="0"/>
          <w:lang w:val="fr-CA"/>
        </w:rPr>
        <w:t xml:space="preserve"> pour l’élaboration d’un dossier de candi</w:t>
      </w:r>
      <w:r>
        <w:rPr>
          <w:i w:val="0"/>
          <w:lang w:val="fr-CA"/>
        </w:rPr>
        <w:t>dature pour la LR</w:t>
      </w:r>
      <w:r w:rsidR="0000793F" w:rsidRPr="00B50F0B">
        <w:rPr>
          <w:i w:val="0"/>
          <w:lang w:val="fr-CA"/>
        </w:rPr>
        <w:t xml:space="preserve"> et </w:t>
      </w:r>
      <w:r>
        <w:rPr>
          <w:i w:val="0"/>
          <w:lang w:val="fr-CA"/>
        </w:rPr>
        <w:t>pour</w:t>
      </w:r>
      <w:r w:rsidR="00501A31" w:rsidRPr="00B50F0B">
        <w:rPr>
          <w:i w:val="0"/>
          <w:lang w:val="fr-CA"/>
        </w:rPr>
        <w:t xml:space="preserve"> </w:t>
      </w:r>
      <w:r w:rsidR="0000793F" w:rsidRPr="00B50F0B">
        <w:rPr>
          <w:i w:val="0"/>
          <w:lang w:val="fr-CA"/>
        </w:rPr>
        <w:t>la</w:t>
      </w:r>
      <w:r>
        <w:rPr>
          <w:i w:val="0"/>
          <w:lang w:val="fr-CA"/>
        </w:rPr>
        <w:t xml:space="preserve"> LSU</w:t>
      </w:r>
      <w:r w:rsidR="0000793F" w:rsidRPr="00B50F0B">
        <w:rPr>
          <w:i w:val="0"/>
          <w:lang w:val="fr-CA"/>
        </w:rPr>
        <w:t>.</w:t>
      </w:r>
      <w:r>
        <w:rPr>
          <w:i w:val="0"/>
          <w:lang w:val="fr-CA"/>
        </w:rPr>
        <w:t xml:space="preserve"> </w:t>
      </w:r>
      <w:r w:rsidR="00501A31" w:rsidRPr="00B50F0B">
        <w:rPr>
          <w:i w:val="0"/>
        </w:rPr>
        <w:t>(</w:t>
      </w:r>
      <w:hyperlink r:id="rId17" w:history="1">
        <w:r w:rsidR="00501A31" w:rsidRPr="00B50F0B">
          <w:rPr>
            <w:i w:val="0"/>
          </w:rPr>
          <w:t>http://www.unesco.org/culture/ich/index.php?lg=fr&amp;pg=00184</w:t>
        </w:r>
      </w:hyperlink>
      <w:r w:rsidR="00501A31" w:rsidRPr="00B50F0B">
        <w:rPr>
          <w:i w:val="0"/>
        </w:rPr>
        <w:t>)</w:t>
      </w:r>
    </w:p>
    <w:p w14:paraId="6DA3C678" w14:textId="77777777" w:rsidR="00C10A1F" w:rsidRPr="00194DFA" w:rsidRDefault="00C10A1F">
      <w:pPr>
        <w:pStyle w:val="Heading4"/>
      </w:pPr>
      <w:bookmarkStart w:id="61" w:name="_Toc247360281"/>
      <w:r w:rsidRPr="00194DFA">
        <w:t>Quels formulaires utiliser pour déposer une candidature</w:t>
      </w:r>
      <w:r w:rsidR="00953DB9" w:rsidRPr="00194DFA">
        <w:t> ?</w:t>
      </w:r>
      <w:bookmarkEnd w:id="61"/>
    </w:p>
    <w:p w14:paraId="3F01CCA6" w14:textId="7FCD8BB0" w:rsidR="004325DC" w:rsidRPr="00194DFA" w:rsidRDefault="00C10A1F" w:rsidP="00914287">
      <w:pPr>
        <w:pStyle w:val="Texte1"/>
      </w:pPr>
      <w:r w:rsidRPr="00194DFA">
        <w:t xml:space="preserve">Il y a des formulaires </w:t>
      </w:r>
      <w:r w:rsidR="004A51F7" w:rsidRPr="00194DFA">
        <w:t>propres à chaque</w:t>
      </w:r>
      <w:r w:rsidRPr="00194DFA">
        <w:t xml:space="preserve"> demande d</w:t>
      </w:r>
      <w:r w:rsidR="00A61E6D" w:rsidRPr="00194DFA">
        <w:t>’</w:t>
      </w:r>
      <w:r w:rsidRPr="00194DFA">
        <w:t>inscription d</w:t>
      </w:r>
      <w:r w:rsidR="00A61E6D" w:rsidRPr="00194DFA">
        <w:t>’</w:t>
      </w:r>
      <w:r w:rsidR="0082131F" w:rsidRPr="00194DFA">
        <w:t xml:space="preserve">un </w:t>
      </w:r>
      <w:r w:rsidR="004A51F7" w:rsidRPr="00194DFA">
        <w:t>élément</w:t>
      </w:r>
      <w:r w:rsidRPr="00194DFA">
        <w:t xml:space="preserve"> sur les Listes de la Convention </w:t>
      </w:r>
      <w:r w:rsidR="00EA1FE1" w:rsidRPr="00194DFA">
        <w:t>:</w:t>
      </w:r>
      <w:r w:rsidRPr="00194DFA">
        <w:t xml:space="preserve"> </w:t>
      </w:r>
      <w:r w:rsidR="004A66F4" w:rsidRPr="00194DFA">
        <w:t>ICH-01</w:t>
      </w:r>
      <w:r w:rsidRPr="00194DFA">
        <w:t xml:space="preserve"> pour la LSU et </w:t>
      </w:r>
      <w:r w:rsidR="004A66F4" w:rsidRPr="00194DFA">
        <w:t>ICH-02</w:t>
      </w:r>
      <w:r w:rsidRPr="00194DFA">
        <w:t xml:space="preserve"> pour la </w:t>
      </w:r>
      <w:r w:rsidR="00CC5381" w:rsidRPr="00194DFA">
        <w:t>LR</w:t>
      </w:r>
      <w:r w:rsidRPr="00194DFA">
        <w:t>.</w:t>
      </w:r>
      <w:r w:rsidRPr="00194DFA">
        <w:rPr>
          <w:b/>
        </w:rPr>
        <w:t xml:space="preserve"> </w:t>
      </w:r>
      <w:r w:rsidRPr="00194DFA">
        <w:t>Les</w:t>
      </w:r>
      <w:r w:rsidRPr="00194DFA">
        <w:rPr>
          <w:b/>
        </w:rPr>
        <w:t xml:space="preserve"> </w:t>
      </w:r>
      <w:r w:rsidRPr="00194DFA">
        <w:t>États parties peuvent demander l</w:t>
      </w:r>
      <w:r w:rsidR="00A61E6D" w:rsidRPr="00194DFA">
        <w:t>’</w:t>
      </w:r>
      <w:r w:rsidRPr="00194DFA">
        <w:t xml:space="preserve">assistance du Fonds du PCI pour </w:t>
      </w:r>
      <w:r w:rsidR="005A4868" w:rsidRPr="00194DFA">
        <w:t>l’</w:t>
      </w:r>
      <w:r w:rsidR="0082131F" w:rsidRPr="00194DFA">
        <w:t>élabor</w:t>
      </w:r>
      <w:r w:rsidR="005A4868" w:rsidRPr="00194DFA">
        <w:t>ation d</w:t>
      </w:r>
      <w:r w:rsidRPr="00194DFA">
        <w:t xml:space="preserve">e </w:t>
      </w:r>
      <w:r w:rsidR="005A4868" w:rsidRPr="00194DFA">
        <w:t xml:space="preserve">dossiers de </w:t>
      </w:r>
      <w:r w:rsidRPr="00194DFA">
        <w:t xml:space="preserve">candidature à la </w:t>
      </w:r>
      <w:r w:rsidR="00CC5381" w:rsidRPr="00194DFA">
        <w:t>L</w:t>
      </w:r>
      <w:r w:rsidR="00710F64" w:rsidRPr="00194DFA">
        <w:t>SU (f</w:t>
      </w:r>
      <w:r w:rsidRPr="00194DFA">
        <w:t xml:space="preserve">ormulaire </w:t>
      </w:r>
      <w:r w:rsidR="004A66F4" w:rsidRPr="00194DFA">
        <w:t>ICH-05</w:t>
      </w:r>
      <w:r w:rsidRPr="00194DFA">
        <w:t xml:space="preserve">), mais pas pour les candidatures à la </w:t>
      </w:r>
      <w:r w:rsidR="00CC5381" w:rsidRPr="00194DFA">
        <w:t>L</w:t>
      </w:r>
      <w:r w:rsidR="0082131F" w:rsidRPr="00194DFA">
        <w:t>R</w:t>
      </w:r>
      <w:r w:rsidRPr="00194DFA">
        <w:t>.</w:t>
      </w:r>
      <w:r w:rsidR="005A4868" w:rsidRPr="00194DFA">
        <w:t xml:space="preserve"> De plus, le formulaire ICH-01bis a été </w:t>
      </w:r>
      <w:r w:rsidR="009906EA">
        <w:t xml:space="preserve">conçu </w:t>
      </w:r>
      <w:r w:rsidR="005A4868" w:rsidRPr="00194DFA">
        <w:t xml:space="preserve">pour les candidatures à la LSU </w:t>
      </w:r>
      <w:r w:rsidR="009906EA">
        <w:t>assorties d’</w:t>
      </w:r>
      <w:r w:rsidR="005A4868" w:rsidRPr="00194DFA">
        <w:t>une demande d’assistance internationale.</w:t>
      </w:r>
    </w:p>
    <w:p w14:paraId="12CDF5FB" w14:textId="02624EBE" w:rsidR="00807D26" w:rsidRPr="00807D26" w:rsidRDefault="009906EA" w:rsidP="00807D26">
      <w:pPr>
        <w:pStyle w:val="Informations"/>
        <w:rPr>
          <w:i w:val="0"/>
          <w:color w:val="auto"/>
        </w:rPr>
      </w:pPr>
      <w:r w:rsidRPr="00807D26">
        <w:rPr>
          <w:i w:val="0"/>
          <w:color w:val="auto"/>
        </w:rPr>
        <w:t>Les formulaires doivent être remplis</w:t>
      </w:r>
      <w:r w:rsidR="00C10A1F" w:rsidRPr="00807D26">
        <w:rPr>
          <w:i w:val="0"/>
          <w:color w:val="auto"/>
        </w:rPr>
        <w:t xml:space="preserve"> en anglais ou en français qui sont les langues de travail du Comité. Ces formulaires </w:t>
      </w:r>
      <w:r w:rsidR="006F2551" w:rsidRPr="00807D26">
        <w:rPr>
          <w:i w:val="0"/>
          <w:color w:val="auto"/>
        </w:rPr>
        <w:t xml:space="preserve">et les instructions qui les accompagnent </w:t>
      </w:r>
      <w:r w:rsidR="00710F64" w:rsidRPr="00807D26">
        <w:rPr>
          <w:i w:val="0"/>
          <w:color w:val="auto"/>
        </w:rPr>
        <w:t>s</w:t>
      </w:r>
      <w:r w:rsidR="00194DFA" w:rsidRPr="00807D26">
        <w:rPr>
          <w:i w:val="0"/>
          <w:color w:val="auto"/>
        </w:rPr>
        <w:t>ont accessibles</w:t>
      </w:r>
      <w:r w:rsidR="00710F64" w:rsidRPr="00807D26">
        <w:rPr>
          <w:i w:val="0"/>
          <w:color w:val="auto"/>
        </w:rPr>
        <w:t xml:space="preserve"> </w:t>
      </w:r>
      <w:r w:rsidR="00C10A1F" w:rsidRPr="00807D26">
        <w:rPr>
          <w:i w:val="0"/>
          <w:color w:val="auto"/>
        </w:rPr>
        <w:t>sur le</w:t>
      </w:r>
      <w:r w:rsidR="00891073" w:rsidRPr="00807D26">
        <w:rPr>
          <w:i w:val="0"/>
          <w:color w:val="auto"/>
        </w:rPr>
        <w:t xml:space="preserve"> lien du</w:t>
      </w:r>
      <w:r w:rsidR="00C10A1F" w:rsidRPr="00807D26">
        <w:rPr>
          <w:i w:val="0"/>
          <w:color w:val="auto"/>
        </w:rPr>
        <w:t xml:space="preserve"> </w:t>
      </w:r>
      <w:r w:rsidRPr="00807D26">
        <w:rPr>
          <w:i w:val="0"/>
          <w:color w:val="auto"/>
        </w:rPr>
        <w:t xml:space="preserve">site </w:t>
      </w:r>
      <w:r w:rsidR="00C10A1F" w:rsidRPr="00807D26">
        <w:rPr>
          <w:i w:val="0"/>
          <w:color w:val="auto"/>
        </w:rPr>
        <w:t>d</w:t>
      </w:r>
      <w:r w:rsidR="005A4868" w:rsidRPr="00807D26">
        <w:rPr>
          <w:i w:val="0"/>
          <w:color w:val="auto"/>
        </w:rPr>
        <w:t>u PCI</w:t>
      </w:r>
      <w:r w:rsidR="00EA1FE1" w:rsidRPr="00807D26">
        <w:rPr>
          <w:i w:val="0"/>
          <w:color w:val="auto"/>
        </w:rPr>
        <w:t> </w:t>
      </w:r>
      <w:r w:rsidR="004F5CF8" w:rsidRPr="00807D26">
        <w:rPr>
          <w:i w:val="0"/>
          <w:color w:val="auto"/>
        </w:rPr>
        <w:t>:</w:t>
      </w:r>
      <w:r w:rsidRPr="00807D26">
        <w:rPr>
          <w:i w:val="0"/>
          <w:color w:val="auto"/>
        </w:rPr>
        <w:t xml:space="preserve"> </w:t>
      </w:r>
      <w:hyperlink r:id="rId18" w:history="1">
        <w:r w:rsidR="007E0DC4" w:rsidRPr="00807D26">
          <w:rPr>
            <w:i w:val="0"/>
            <w:color w:val="auto"/>
          </w:rPr>
          <w:t>http://www.unesco.org/culture/ich/fr/formulaires/</w:t>
        </w:r>
      </w:hyperlink>
    </w:p>
    <w:p w14:paraId="122B9252" w14:textId="77777777" w:rsidR="004325DC" w:rsidRPr="00194DFA" w:rsidRDefault="00C10A1F" w:rsidP="00914287">
      <w:pPr>
        <w:pStyle w:val="Texte1"/>
      </w:pPr>
      <w:r w:rsidRPr="00194DFA">
        <w:t xml:space="preserve">Les formulaires autorisent en principe un nombre de mots limité pour </w:t>
      </w:r>
      <w:r w:rsidR="00DE6AA3">
        <w:t>les réponses à chaque question.</w:t>
      </w:r>
    </w:p>
    <w:p w14:paraId="2C99217E" w14:textId="1A1E3305" w:rsidR="004325DC" w:rsidRPr="00194DFA" w:rsidRDefault="00C10A1F" w:rsidP="00914287">
      <w:pPr>
        <w:pStyle w:val="Texte1"/>
      </w:pPr>
      <w:r w:rsidRPr="00194DFA">
        <w:t>Dix photos récentes (ni plus, ni moins) sont requises pour chaque dossier</w:t>
      </w:r>
      <w:r w:rsidR="00EA1FE1" w:rsidRPr="00194DFA">
        <w:t> ;</w:t>
      </w:r>
      <w:r w:rsidRPr="00194DFA">
        <w:t xml:space="preserve"> une vidéo (de dix minutes maximum) est obligatoire pour les candidatures à la </w:t>
      </w:r>
      <w:r w:rsidR="00CC5381" w:rsidRPr="00194DFA">
        <w:t>L</w:t>
      </w:r>
      <w:r w:rsidR="00891073" w:rsidRPr="00194DFA">
        <w:t>SU</w:t>
      </w:r>
      <w:r w:rsidRPr="00194DFA">
        <w:t xml:space="preserve"> </w:t>
      </w:r>
      <w:r w:rsidR="007E0DC4" w:rsidRPr="00194DFA">
        <w:t xml:space="preserve">et </w:t>
      </w:r>
      <w:r w:rsidRPr="00194DFA">
        <w:t xml:space="preserve">à la </w:t>
      </w:r>
      <w:r w:rsidR="00CC5381" w:rsidRPr="00194DFA">
        <w:t>L</w:t>
      </w:r>
      <w:r w:rsidR="00891073" w:rsidRPr="00194DFA">
        <w:t>R</w:t>
      </w:r>
      <w:r w:rsidRPr="00194DFA">
        <w:t>. Des formulaires de</w:t>
      </w:r>
      <w:r w:rsidR="00043DFF" w:rsidRPr="00194DFA">
        <w:t xml:space="preserve"> « </w:t>
      </w:r>
      <w:r w:rsidRPr="00194DFA">
        <w:t>Cession de droits</w:t>
      </w:r>
      <w:r w:rsidR="00043DFF" w:rsidRPr="00194DFA">
        <w:t xml:space="preserve"> » </w:t>
      </w:r>
      <w:r w:rsidRPr="00194DFA">
        <w:t xml:space="preserve">sont également à remplir pour </w:t>
      </w:r>
      <w:r w:rsidR="009906EA">
        <w:t xml:space="preserve">tous </w:t>
      </w:r>
      <w:r w:rsidRPr="00194DFA">
        <w:t>le</w:t>
      </w:r>
      <w:r w:rsidR="009906EA">
        <w:t>s</w:t>
      </w:r>
      <w:r w:rsidRPr="00194DFA">
        <w:t xml:space="preserve"> matériel</w:t>
      </w:r>
      <w:r w:rsidR="009906EA">
        <w:t>s</w:t>
      </w:r>
      <w:r w:rsidRPr="00194DFA">
        <w:t xml:space="preserve"> audiovisuel</w:t>
      </w:r>
      <w:r w:rsidR="009906EA">
        <w:t>s soumis</w:t>
      </w:r>
      <w:r w:rsidRPr="00194DFA">
        <w:t>.</w:t>
      </w:r>
    </w:p>
    <w:p w14:paraId="09A6A01D" w14:textId="599D788F" w:rsidR="004325DC" w:rsidRPr="00807D26" w:rsidRDefault="009940E0" w:rsidP="009906EA">
      <w:pPr>
        <w:pStyle w:val="Texte1"/>
        <w:rPr>
          <w:spacing w:val="-2"/>
          <w:szCs w:val="22"/>
        </w:rPr>
      </w:pPr>
      <w:r w:rsidRPr="00807D26">
        <w:rPr>
          <w:spacing w:val="-2"/>
          <w:szCs w:val="22"/>
        </w:rPr>
        <w:t>Le Secrét</w:t>
      </w:r>
      <w:r w:rsidR="0064478C" w:rsidRPr="00807D26">
        <w:rPr>
          <w:spacing w:val="-2"/>
          <w:szCs w:val="22"/>
        </w:rPr>
        <w:t>ariat met en ligne sur le site Web de la Convention</w:t>
      </w:r>
      <w:r w:rsidRPr="00807D26">
        <w:rPr>
          <w:spacing w:val="-2"/>
          <w:szCs w:val="22"/>
        </w:rPr>
        <w:t xml:space="preserve"> les candidatures </w:t>
      </w:r>
      <w:r w:rsidR="0064478C" w:rsidRPr="00807D26">
        <w:rPr>
          <w:spacing w:val="-2"/>
          <w:szCs w:val="22"/>
        </w:rPr>
        <w:t xml:space="preserve">dans leur langue originale, </w:t>
      </w:r>
      <w:r w:rsidRPr="00807D26">
        <w:rPr>
          <w:spacing w:val="-2"/>
          <w:szCs w:val="22"/>
        </w:rPr>
        <w:t>telles que reçues pour le cycle en</w:t>
      </w:r>
      <w:r w:rsidR="00085543" w:rsidRPr="00807D26">
        <w:rPr>
          <w:spacing w:val="-2"/>
          <w:szCs w:val="22"/>
        </w:rPr>
        <w:t xml:space="preserve"> cours. </w:t>
      </w:r>
      <w:r w:rsidR="009906EA" w:rsidRPr="00807D26">
        <w:rPr>
          <w:spacing w:val="-2"/>
          <w:szCs w:val="22"/>
        </w:rPr>
        <w:t xml:space="preserve">Après un examen technique, si des informations complémentaires sont nécessaires, le Secrétariat demande aux États de soumettre une version révisée du dossier de candidature. Une fois reçues les versions </w:t>
      </w:r>
      <w:r w:rsidR="009906EA" w:rsidRPr="00807D26">
        <w:rPr>
          <w:spacing w:val="-2"/>
          <w:szCs w:val="22"/>
        </w:rPr>
        <w:lastRenderedPageBreak/>
        <w:t xml:space="preserve">révisées, </w:t>
      </w:r>
      <w:r w:rsidRPr="00807D26">
        <w:rPr>
          <w:spacing w:val="-2"/>
          <w:szCs w:val="22"/>
        </w:rPr>
        <w:t xml:space="preserve">elles sont </w:t>
      </w:r>
      <w:r w:rsidR="00D7049C" w:rsidRPr="00807D26">
        <w:rPr>
          <w:spacing w:val="-2"/>
          <w:szCs w:val="22"/>
        </w:rPr>
        <w:t>re</w:t>
      </w:r>
      <w:r w:rsidRPr="00807D26">
        <w:rPr>
          <w:spacing w:val="-2"/>
          <w:szCs w:val="22"/>
        </w:rPr>
        <w:t>mises en ligne et remplacent les candida</w:t>
      </w:r>
      <w:r w:rsidR="009906EA" w:rsidRPr="00807D26">
        <w:rPr>
          <w:spacing w:val="-2"/>
          <w:szCs w:val="22"/>
        </w:rPr>
        <w:t>tures initialement reçues. Les</w:t>
      </w:r>
      <w:r w:rsidR="00085543" w:rsidRPr="00807D26">
        <w:rPr>
          <w:spacing w:val="-2"/>
          <w:szCs w:val="22"/>
        </w:rPr>
        <w:t xml:space="preserve"> traductions</w:t>
      </w:r>
      <w:r w:rsidRPr="00807D26">
        <w:rPr>
          <w:spacing w:val="-2"/>
          <w:szCs w:val="22"/>
        </w:rPr>
        <w:t xml:space="preserve"> en anglais ou en français </w:t>
      </w:r>
      <w:r w:rsidR="009906EA" w:rsidRPr="00807D26">
        <w:rPr>
          <w:spacing w:val="-2"/>
          <w:szCs w:val="22"/>
        </w:rPr>
        <w:t xml:space="preserve">des dossiers de candidature </w:t>
      </w:r>
      <w:r w:rsidRPr="00807D26">
        <w:rPr>
          <w:spacing w:val="-2"/>
          <w:szCs w:val="22"/>
        </w:rPr>
        <w:t xml:space="preserve">sont également mises en ligne </w:t>
      </w:r>
      <w:r w:rsidR="00085543" w:rsidRPr="00807D26">
        <w:rPr>
          <w:spacing w:val="-2"/>
          <w:szCs w:val="22"/>
        </w:rPr>
        <w:t>dès qu’elles sont</w:t>
      </w:r>
      <w:r w:rsidRPr="00807D26">
        <w:rPr>
          <w:spacing w:val="-2"/>
          <w:szCs w:val="22"/>
        </w:rPr>
        <w:t xml:space="preserve"> disponib</w:t>
      </w:r>
      <w:r w:rsidR="00085543" w:rsidRPr="00807D26">
        <w:rPr>
          <w:spacing w:val="-2"/>
          <w:szCs w:val="22"/>
        </w:rPr>
        <w:t>les</w:t>
      </w:r>
      <w:r w:rsidRPr="00807D26">
        <w:rPr>
          <w:spacing w:val="-2"/>
          <w:szCs w:val="22"/>
        </w:rPr>
        <w:t xml:space="preserve">. </w:t>
      </w:r>
      <w:r w:rsidR="00C10A1F" w:rsidRPr="00807D26">
        <w:rPr>
          <w:bCs/>
        </w:rPr>
        <w:t xml:space="preserve">Les dossiers peuvent être retirés </w:t>
      </w:r>
      <w:r w:rsidR="00577FDF" w:rsidRPr="00807D26">
        <w:rPr>
          <w:bCs/>
        </w:rPr>
        <w:t xml:space="preserve">du processus de soumission </w:t>
      </w:r>
      <w:r w:rsidR="00C10A1F" w:rsidRPr="00807D26">
        <w:rPr>
          <w:bCs/>
        </w:rPr>
        <w:t xml:space="preserve">par les États parties soumissionnaires à tout moment avant </w:t>
      </w:r>
      <w:r w:rsidR="009906EA" w:rsidRPr="00807D26">
        <w:rPr>
          <w:bCs/>
        </w:rPr>
        <w:t xml:space="preserve">que </w:t>
      </w:r>
      <w:r w:rsidR="00C10A1F" w:rsidRPr="00807D26">
        <w:rPr>
          <w:bCs/>
        </w:rPr>
        <w:t>le Comité</w:t>
      </w:r>
      <w:r w:rsidR="009906EA" w:rsidRPr="00807D26">
        <w:rPr>
          <w:bCs/>
        </w:rPr>
        <w:t xml:space="preserve"> ne prenne une décision</w:t>
      </w:r>
      <w:r w:rsidR="00C10A1F" w:rsidRPr="00807D26">
        <w:rPr>
          <w:bCs/>
        </w:rPr>
        <w:t xml:space="preserve"> (</w:t>
      </w:r>
      <w:r w:rsidR="00461004" w:rsidRPr="00807D26">
        <w:rPr>
          <w:bCs/>
        </w:rPr>
        <w:t>DO </w:t>
      </w:r>
      <w:r w:rsidR="00085543" w:rsidRPr="00807D26">
        <w:rPr>
          <w:bCs/>
        </w:rPr>
        <w:t>25</w:t>
      </w:r>
      <w:r w:rsidR="00C10A1F" w:rsidRPr="00807D26">
        <w:rPr>
          <w:bCs/>
        </w:rPr>
        <w:t>).</w:t>
      </w:r>
    </w:p>
    <w:p w14:paraId="58593AFF" w14:textId="77777777" w:rsidR="004325DC" w:rsidRPr="00194DFA" w:rsidRDefault="00700755" w:rsidP="004F5CF8">
      <w:pPr>
        <w:pStyle w:val="Titcoul"/>
      </w:pPr>
      <w:bookmarkStart w:id="62" w:name="_Toc238963316"/>
      <w:bookmarkStart w:id="63" w:name="_Toc241065201"/>
      <w:bookmarkStart w:id="64" w:name="_Toc301443403"/>
      <w:bookmarkStart w:id="65" w:name="_Toc321407046"/>
      <w:bookmarkStart w:id="66" w:name="_Toc354486670"/>
      <w:bookmarkStart w:id="67" w:name="_Toc354486976"/>
      <w:bookmarkStart w:id="68" w:name="_Toc247360282"/>
      <w:r w:rsidRPr="00194DFA">
        <w:t>11</w:t>
      </w:r>
      <w:r w:rsidR="00C10A1F" w:rsidRPr="00194DFA">
        <w:t>.7</w:t>
      </w:r>
      <w:bookmarkEnd w:id="62"/>
      <w:bookmarkEnd w:id="63"/>
      <w:r w:rsidR="00664974" w:rsidRPr="00194DFA">
        <w:tab/>
      </w:r>
      <w:bookmarkStart w:id="69" w:name="_Toc238963317"/>
      <w:bookmarkStart w:id="70" w:name="_Toc241065202"/>
      <w:r w:rsidR="00C10A1F" w:rsidRPr="00194DFA">
        <w:t>Crit</w:t>
      </w:r>
      <w:r w:rsidR="006F2551" w:rsidRPr="00194DFA">
        <w:t>È</w:t>
      </w:r>
      <w:r w:rsidR="00C10A1F" w:rsidRPr="00194DFA">
        <w:t xml:space="preserve">res </w:t>
      </w:r>
      <w:r w:rsidR="009940E0" w:rsidRPr="00194DFA">
        <w:t>d</w:t>
      </w:r>
      <w:r w:rsidR="00A61E6D" w:rsidRPr="00194DFA">
        <w:t>’</w:t>
      </w:r>
      <w:r w:rsidR="009940E0" w:rsidRPr="00194DFA">
        <w:t>inscription</w:t>
      </w:r>
      <w:r w:rsidR="00EA1FE1" w:rsidRPr="00194DFA">
        <w:t> :</w:t>
      </w:r>
      <w:r w:rsidR="00C10A1F" w:rsidRPr="00194DFA">
        <w:t xml:space="preserve"> crit</w:t>
      </w:r>
      <w:r w:rsidR="006F2551" w:rsidRPr="00194DFA">
        <w:t>È</w:t>
      </w:r>
      <w:r w:rsidR="00C10A1F" w:rsidRPr="00194DFA">
        <w:t>res communs</w:t>
      </w:r>
      <w:bookmarkEnd w:id="64"/>
      <w:bookmarkEnd w:id="65"/>
      <w:bookmarkEnd w:id="66"/>
      <w:bookmarkEnd w:id="67"/>
      <w:bookmarkEnd w:id="68"/>
      <w:bookmarkEnd w:id="69"/>
      <w:bookmarkEnd w:id="70"/>
    </w:p>
    <w:p w14:paraId="723926E5" w14:textId="77777777" w:rsidR="004325DC" w:rsidRPr="00194DFA" w:rsidRDefault="00C10A1F" w:rsidP="00914287">
      <w:pPr>
        <w:pStyle w:val="Texte1"/>
      </w:pPr>
      <w:r w:rsidRPr="00194DFA">
        <w:t xml:space="preserve">Les formulaires de candidature à la </w:t>
      </w:r>
      <w:r w:rsidR="00CC5381" w:rsidRPr="00194DFA">
        <w:t>L</w:t>
      </w:r>
      <w:r w:rsidR="00F1205C" w:rsidRPr="00194DFA">
        <w:t>SU</w:t>
      </w:r>
      <w:r w:rsidRPr="00194DFA">
        <w:t xml:space="preserve"> et la </w:t>
      </w:r>
      <w:r w:rsidR="00CC5381" w:rsidRPr="00194DFA">
        <w:t>L</w:t>
      </w:r>
      <w:r w:rsidR="00F1205C" w:rsidRPr="00194DFA">
        <w:t>R</w:t>
      </w:r>
      <w:r w:rsidRPr="00194DFA">
        <w:t xml:space="preserve"> </w:t>
      </w:r>
      <w:r w:rsidR="001A48C3" w:rsidRPr="00194DFA">
        <w:t>pose</w:t>
      </w:r>
      <w:r w:rsidRPr="00194DFA">
        <w:t xml:space="preserve">nt des questions afin de permettre au Comité de déterminer si les éléments proposés satisfont ou non aux critères </w:t>
      </w:r>
      <w:r w:rsidR="001A48C3" w:rsidRPr="00194DFA">
        <w:t>requis</w:t>
      </w:r>
      <w:r w:rsidRPr="00194DFA">
        <w:t xml:space="preserve">. Les éléments proposés </w:t>
      </w:r>
      <w:r w:rsidR="001A48C3" w:rsidRPr="00194DFA">
        <w:t xml:space="preserve">pour inscription </w:t>
      </w:r>
      <w:r w:rsidRPr="00194DFA">
        <w:t>doivent remplir tous les critères énoncés dans les Directives opérationnelles (</w:t>
      </w:r>
      <w:r w:rsidR="00461004" w:rsidRPr="00194DFA">
        <w:t>DO </w:t>
      </w:r>
      <w:r w:rsidRPr="00194DFA">
        <w:t>1</w:t>
      </w:r>
      <w:r w:rsidR="00BB70F2" w:rsidRPr="00194DFA">
        <w:t>-</w:t>
      </w:r>
      <w:r w:rsidR="00DE6AA3">
        <w:t>2).</w:t>
      </w:r>
    </w:p>
    <w:p w14:paraId="15960C5D" w14:textId="77777777" w:rsidR="004325DC" w:rsidRPr="00194DFA" w:rsidRDefault="00C10A1F" w:rsidP="00D235C5">
      <w:pPr>
        <w:pStyle w:val="Txtpucegras"/>
        <w:ind w:left="1134"/>
      </w:pPr>
      <w:r w:rsidRPr="00194DFA">
        <w:t>Il y a six critères pour l</w:t>
      </w:r>
      <w:r w:rsidR="00A61E6D" w:rsidRPr="00194DFA">
        <w:t>’</w:t>
      </w:r>
      <w:r w:rsidRPr="00194DFA">
        <w:t>inscription à la LSU (</w:t>
      </w:r>
      <w:r w:rsidR="00461004" w:rsidRPr="00194DFA">
        <w:t>DO </w:t>
      </w:r>
      <w:r w:rsidR="001A48C3" w:rsidRPr="00194DFA">
        <w:t xml:space="preserve">1), </w:t>
      </w:r>
      <w:r w:rsidRPr="00194DFA">
        <w:t>U.1 à U.6.</w:t>
      </w:r>
    </w:p>
    <w:p w14:paraId="3865184A" w14:textId="77777777" w:rsidR="004325DC" w:rsidRPr="00194DFA" w:rsidRDefault="00C10A1F" w:rsidP="00D235C5">
      <w:pPr>
        <w:pStyle w:val="Txtpucegras"/>
        <w:ind w:left="1134"/>
      </w:pPr>
      <w:r w:rsidRPr="00194DFA">
        <w:t>Il y a cinq critères pour l</w:t>
      </w:r>
      <w:r w:rsidR="00A61E6D" w:rsidRPr="00194DFA">
        <w:t>’</w:t>
      </w:r>
      <w:r w:rsidRPr="00194DFA">
        <w:t>inscription à la LR (</w:t>
      </w:r>
      <w:r w:rsidR="00461004" w:rsidRPr="00194DFA">
        <w:t>DO </w:t>
      </w:r>
      <w:r w:rsidR="001A48C3" w:rsidRPr="00194DFA">
        <w:t xml:space="preserve">2), </w:t>
      </w:r>
      <w:r w:rsidRPr="00194DFA">
        <w:t>R.1 à R.5.</w:t>
      </w:r>
    </w:p>
    <w:p w14:paraId="196193D2" w14:textId="77777777" w:rsidR="004325DC" w:rsidRPr="00194DFA" w:rsidRDefault="00C10A1F" w:rsidP="00914287">
      <w:pPr>
        <w:pStyle w:val="Texte1"/>
      </w:pPr>
      <w:r w:rsidRPr="00194DFA">
        <w:t xml:space="preserve">Les critères des deux Listes coïncident </w:t>
      </w:r>
      <w:r w:rsidR="00300B86" w:rsidRPr="00194DFA">
        <w:t>en grande partie</w:t>
      </w:r>
      <w:r w:rsidR="00EA1FE1" w:rsidRPr="00194DFA">
        <w:t> ;</w:t>
      </w:r>
      <w:r w:rsidRPr="00194DFA">
        <w:t xml:space="preserve"> les différences entre eux reflètent les différents objectifs des deux Listes.</w:t>
      </w:r>
    </w:p>
    <w:p w14:paraId="4F7096F6" w14:textId="77777777" w:rsidR="004325DC" w:rsidRPr="00194DFA" w:rsidRDefault="00C10A1F" w:rsidP="00914287">
      <w:pPr>
        <w:pStyle w:val="Texte1"/>
      </w:pPr>
      <w:r w:rsidRPr="00194DFA">
        <w:t>Les critères suivants sont communs aux deux Listes</w:t>
      </w:r>
      <w:r w:rsidR="00EA1FE1" w:rsidRPr="00194DFA">
        <w:t> :</w:t>
      </w:r>
    </w:p>
    <w:p w14:paraId="2D5C33A2" w14:textId="77777777" w:rsidR="004325DC" w:rsidRPr="00194DFA" w:rsidRDefault="00C10A1F" w:rsidP="00914287">
      <w:pPr>
        <w:pStyle w:val="Enutiret"/>
      </w:pPr>
      <w:r w:rsidRPr="00194DFA">
        <w:t>U.1 et R.1</w:t>
      </w:r>
      <w:r w:rsidR="00EA1FE1" w:rsidRPr="00194DFA">
        <w:t> :</w:t>
      </w:r>
      <w:r w:rsidRPr="00194DFA">
        <w:t xml:space="preserve"> L</w:t>
      </w:r>
      <w:r w:rsidR="00A61E6D" w:rsidRPr="00194DFA">
        <w:t>’</w:t>
      </w:r>
      <w:r w:rsidRPr="00194DFA">
        <w:t>élément est constitutif du PCI tel que défini à l</w:t>
      </w:r>
      <w:r w:rsidR="00A61E6D" w:rsidRPr="00194DFA">
        <w:t>’</w:t>
      </w:r>
      <w:r w:rsidR="00043DFF" w:rsidRPr="00194DFA">
        <w:t>article </w:t>
      </w:r>
      <w:r w:rsidRPr="00194DFA">
        <w:t>2 de la Convention.</w:t>
      </w:r>
    </w:p>
    <w:p w14:paraId="4535A6A4" w14:textId="77777777" w:rsidR="004325DC" w:rsidRPr="00194DFA" w:rsidRDefault="00C10A1F" w:rsidP="00914287">
      <w:pPr>
        <w:pStyle w:val="Enutiret"/>
      </w:pPr>
      <w:r w:rsidRPr="00194DFA">
        <w:t>U.4 et R.4</w:t>
      </w:r>
      <w:r w:rsidR="00EA1FE1" w:rsidRPr="00194DFA">
        <w:t> :</w:t>
      </w:r>
      <w:r w:rsidRPr="00194DFA">
        <w:t xml:space="preserve"> L</w:t>
      </w:r>
      <w:r w:rsidR="00A61E6D" w:rsidRPr="00194DFA">
        <w:t>’</w:t>
      </w:r>
      <w:r w:rsidRPr="00194DFA">
        <w:t>élément a été soumis à l</w:t>
      </w:r>
      <w:r w:rsidR="00A61E6D" w:rsidRPr="00194DFA">
        <w:t>’</w:t>
      </w:r>
      <w:r w:rsidRPr="00194DFA">
        <w:t>issue de la plus large participation possible de la communauté, du groupe ou, le cas échéant, des individus concernés et avec leur consentement libre, préalable et éclairé.</w:t>
      </w:r>
    </w:p>
    <w:p w14:paraId="3646C4C9" w14:textId="77777777" w:rsidR="004325DC" w:rsidRPr="00194DFA" w:rsidRDefault="00C10A1F" w:rsidP="00914287">
      <w:pPr>
        <w:pStyle w:val="Enutiret"/>
      </w:pPr>
      <w:r w:rsidRPr="00194DFA">
        <w:t>U.5 et R.5</w:t>
      </w:r>
      <w:r w:rsidR="00EA1FE1" w:rsidRPr="00194DFA">
        <w:t> :</w:t>
      </w:r>
      <w:r w:rsidRPr="00194DFA">
        <w:t xml:space="preserve"> L</w:t>
      </w:r>
      <w:r w:rsidR="00A61E6D" w:rsidRPr="00194DFA">
        <w:t>’</w:t>
      </w:r>
      <w:r w:rsidRPr="00194DFA">
        <w:t>élément figure dans un inventaire du PCI présent sur le(s) territoire(s) de(s) l</w:t>
      </w:r>
      <w:r w:rsidR="00A61E6D" w:rsidRPr="00194DFA">
        <w:t>’</w:t>
      </w:r>
      <w:r w:rsidRPr="00194DFA">
        <w:t>État(s) partie(s) soumissionnaire(s) préparé par l</w:t>
      </w:r>
      <w:r w:rsidR="00A61E6D" w:rsidRPr="00194DFA">
        <w:t>’</w:t>
      </w:r>
      <w:r w:rsidRPr="00194DFA">
        <w:t xml:space="preserve">(les) État(s) partie(s), tel que défini dans les </w:t>
      </w:r>
      <w:r w:rsidR="00043DFF" w:rsidRPr="00194DFA">
        <w:t>articles </w:t>
      </w:r>
      <w:r w:rsidRPr="00194DFA">
        <w:t>11 et</w:t>
      </w:r>
      <w:r w:rsidR="00953DB9" w:rsidRPr="00194DFA">
        <w:t> </w:t>
      </w:r>
      <w:r w:rsidRPr="00194DFA">
        <w:t>12 de la Convention.</w:t>
      </w:r>
    </w:p>
    <w:p w14:paraId="53F81960" w14:textId="2543FFA3" w:rsidR="00F61C8F" w:rsidRPr="00194DFA" w:rsidRDefault="00C10A1F" w:rsidP="00914287">
      <w:pPr>
        <w:pStyle w:val="Texte1"/>
      </w:pPr>
      <w:r w:rsidRPr="00194DFA">
        <w:t>L</w:t>
      </w:r>
      <w:r w:rsidR="00A61E6D" w:rsidRPr="00194DFA">
        <w:t>’</w:t>
      </w:r>
      <w:r w:rsidRPr="00194DFA">
        <w:t>explication donnée sur le formulaire indique que l</w:t>
      </w:r>
      <w:r w:rsidR="00A61E6D" w:rsidRPr="00194DFA">
        <w:t>’</w:t>
      </w:r>
      <w:r w:rsidRPr="00194DFA">
        <w:t>inventaire en question p</w:t>
      </w:r>
      <w:r w:rsidR="00604FCF" w:rsidRPr="00194DFA">
        <w:t>eut être en cours</w:t>
      </w:r>
      <w:r w:rsidRPr="00194DFA">
        <w:t xml:space="preserve">. Des renseignements pratiques </w:t>
      </w:r>
      <w:r w:rsidR="00604FCF" w:rsidRPr="00194DFA">
        <w:t>à ce sujet sont</w:t>
      </w:r>
      <w:r w:rsidRPr="00194DFA">
        <w:t xml:space="preserve"> </w:t>
      </w:r>
      <w:r w:rsidR="00604FCF" w:rsidRPr="00194DFA">
        <w:t>demandé</w:t>
      </w:r>
      <w:r w:rsidRPr="00194DFA">
        <w:t xml:space="preserve">s </w:t>
      </w:r>
      <w:r w:rsidR="00604FCF" w:rsidRPr="00194DFA">
        <w:t>dans</w:t>
      </w:r>
      <w:r w:rsidRPr="00194DFA">
        <w:t xml:space="preserve"> le formulaire</w:t>
      </w:r>
      <w:r w:rsidR="00EA1FE1" w:rsidRPr="00194DFA">
        <w:t> :</w:t>
      </w:r>
      <w:r w:rsidRPr="00194DFA">
        <w:t xml:space="preserve"> </w:t>
      </w:r>
      <w:r w:rsidR="00604FCF" w:rsidRPr="00194DFA">
        <w:t>où</w:t>
      </w:r>
      <w:r w:rsidRPr="00194DFA">
        <w:t xml:space="preserve"> ou comment </w:t>
      </w:r>
      <w:r w:rsidR="00D7049C" w:rsidRPr="00194DFA">
        <w:t>peut-on</w:t>
      </w:r>
      <w:r w:rsidR="00604FCF" w:rsidRPr="00194DFA">
        <w:t xml:space="preserve"> </w:t>
      </w:r>
      <w:r w:rsidRPr="00194DFA">
        <w:t>consulter</w:t>
      </w:r>
      <w:r w:rsidR="00604FCF" w:rsidRPr="00194DFA">
        <w:t xml:space="preserve"> cet inventaire</w:t>
      </w:r>
      <w:r w:rsidRPr="00194DFA">
        <w:t>, quel organisme en est responsable, le numéro d</w:t>
      </w:r>
      <w:r w:rsidR="00A61E6D" w:rsidRPr="00194DFA">
        <w:t>’</w:t>
      </w:r>
      <w:r w:rsidR="00577FDF">
        <w:t>enregistrement</w:t>
      </w:r>
      <w:r w:rsidRPr="00194DFA">
        <w:t xml:space="preserve"> </w:t>
      </w:r>
      <w:r w:rsidR="00377F74" w:rsidRPr="00194DFA">
        <w:t xml:space="preserve">à l’inventaire </w:t>
      </w:r>
      <w:r w:rsidRPr="00194DFA">
        <w:t>de l</w:t>
      </w:r>
      <w:r w:rsidR="00A61E6D" w:rsidRPr="00194DFA">
        <w:t>’</w:t>
      </w:r>
      <w:r w:rsidRPr="00194DFA">
        <w:t>élément en question, etc.</w:t>
      </w:r>
    </w:p>
    <w:p w14:paraId="6FF26737" w14:textId="77777777" w:rsidR="00F61C8F" w:rsidRPr="00194DFA" w:rsidRDefault="00F61C8F" w:rsidP="00E34B09">
      <w:pPr>
        <w:pStyle w:val="Texte1"/>
      </w:pPr>
      <w:r w:rsidRPr="00194DFA">
        <w:t>Doivent également être fournies en annexe les preuves documentaires faisant état de l’inclusion de l’élément dans un inventaire du patrimoine culturel immatériel présent sur le(s) territoire(s) de l’(des) État(s) soumissionnaire(s), tel que défini dans les articles</w:t>
      </w:r>
      <w:r w:rsidR="00FC01AC" w:rsidRPr="00194DFA">
        <w:t> </w:t>
      </w:r>
      <w:r w:rsidRPr="00194DFA">
        <w:t>11 et 12 de la Convention. Ces preuves doivent inclure un extrait pertinent de</w:t>
      </w:r>
      <w:r w:rsidR="00F1205C" w:rsidRPr="00194DFA">
        <w:t xml:space="preserve"> l’(des)</w:t>
      </w:r>
      <w:r w:rsidRPr="00194DFA">
        <w:t xml:space="preserve"> inventaire</w:t>
      </w:r>
      <w:r w:rsidR="00F1205C" w:rsidRPr="00194DFA">
        <w:t>(</w:t>
      </w:r>
      <w:r w:rsidRPr="00194DFA">
        <w:t>s</w:t>
      </w:r>
      <w:r w:rsidR="00F1205C" w:rsidRPr="00194DFA">
        <w:t>)</w:t>
      </w:r>
      <w:r w:rsidRPr="00194DFA">
        <w:t xml:space="preserve"> en anglais ou en français</w:t>
      </w:r>
      <w:r w:rsidR="008136F0" w:rsidRPr="00194DFA">
        <w:t>,</w:t>
      </w:r>
      <w:r w:rsidRPr="00194DFA">
        <w:t xml:space="preserve"> ainsi que dans la langue </w:t>
      </w:r>
      <w:r w:rsidR="00D7049C" w:rsidRPr="00194DFA">
        <w:t>d’origine</w:t>
      </w:r>
      <w:r w:rsidRPr="00194DFA">
        <w:t xml:space="preserve"> si elle est différente. Elles peuvent être complétées par </w:t>
      </w:r>
      <w:r w:rsidR="00FC01AC" w:rsidRPr="00194DFA">
        <w:t>une référence à</w:t>
      </w:r>
      <w:r w:rsidRPr="00194DFA">
        <w:t xml:space="preserve"> un lien hypertexte </w:t>
      </w:r>
      <w:r w:rsidR="008136F0" w:rsidRPr="00194DFA">
        <w:t xml:space="preserve">qui permet d’accéder à </w:t>
      </w:r>
      <w:r w:rsidRPr="00194DFA">
        <w:t>un tel i</w:t>
      </w:r>
      <w:r w:rsidR="008136F0" w:rsidRPr="00194DFA">
        <w:t>nventaire</w:t>
      </w:r>
      <w:r w:rsidRPr="00194DFA">
        <w:t xml:space="preserve">, </w:t>
      </w:r>
      <w:r w:rsidR="008136F0" w:rsidRPr="00194DFA">
        <w:t>mais le</w:t>
      </w:r>
      <w:r w:rsidRPr="00194DFA">
        <w:t xml:space="preserve"> lien </w:t>
      </w:r>
      <w:r w:rsidR="00FC01AC" w:rsidRPr="00194DFA">
        <w:t xml:space="preserve">à lui seul </w:t>
      </w:r>
      <w:r w:rsidR="008136F0" w:rsidRPr="00194DFA">
        <w:t xml:space="preserve">n’est pas </w:t>
      </w:r>
      <w:r w:rsidRPr="00194DFA">
        <w:t>suffisant.</w:t>
      </w:r>
    </w:p>
    <w:p w14:paraId="416EA609" w14:textId="77777777" w:rsidR="004325DC" w:rsidRPr="00194DFA" w:rsidRDefault="00700755" w:rsidP="004F5CF8">
      <w:pPr>
        <w:pStyle w:val="Titcoul"/>
      </w:pPr>
      <w:bookmarkStart w:id="71" w:name="_Toc238963318"/>
      <w:bookmarkStart w:id="72" w:name="_Toc241065203"/>
      <w:bookmarkStart w:id="73" w:name="_Toc301443404"/>
      <w:bookmarkStart w:id="74" w:name="_Toc321407047"/>
      <w:bookmarkStart w:id="75" w:name="_Toc354486671"/>
      <w:bookmarkStart w:id="76" w:name="_Toc354486977"/>
      <w:bookmarkStart w:id="77" w:name="_Toc247360283"/>
      <w:r w:rsidRPr="00194DFA">
        <w:t>11</w:t>
      </w:r>
      <w:r w:rsidR="00C10A1F" w:rsidRPr="00194DFA">
        <w:t>.8</w:t>
      </w:r>
      <w:bookmarkEnd w:id="71"/>
      <w:bookmarkEnd w:id="72"/>
      <w:r w:rsidR="00664974" w:rsidRPr="00194DFA">
        <w:tab/>
      </w:r>
      <w:bookmarkStart w:id="78" w:name="_Toc238963319"/>
      <w:bookmarkStart w:id="79" w:name="_Toc241065204"/>
      <w:r w:rsidR="00C10A1F" w:rsidRPr="00194DFA">
        <w:t>Crit</w:t>
      </w:r>
      <w:r w:rsidR="00026DC2" w:rsidRPr="00194DFA">
        <w:t>È</w:t>
      </w:r>
      <w:r w:rsidR="00C10A1F" w:rsidRPr="00194DFA">
        <w:t xml:space="preserve">res propres </w:t>
      </w:r>
      <w:r w:rsidR="00026DC2" w:rsidRPr="00194DFA">
        <w:t>À</w:t>
      </w:r>
      <w:r w:rsidR="00C10A1F" w:rsidRPr="00194DFA">
        <w:t xml:space="preserve"> la Liste de sauvegarde urgente</w:t>
      </w:r>
      <w:bookmarkEnd w:id="73"/>
      <w:bookmarkEnd w:id="74"/>
      <w:bookmarkEnd w:id="75"/>
      <w:bookmarkEnd w:id="76"/>
      <w:bookmarkEnd w:id="77"/>
      <w:bookmarkEnd w:id="78"/>
      <w:bookmarkEnd w:id="79"/>
    </w:p>
    <w:p w14:paraId="4CE48741" w14:textId="77777777" w:rsidR="004325DC" w:rsidRPr="00194DFA" w:rsidRDefault="00C10A1F" w:rsidP="00914287">
      <w:pPr>
        <w:pStyle w:val="Texte1"/>
      </w:pPr>
      <w:r w:rsidRPr="00194DFA">
        <w:t>Il y a trois critères qui sont propres à la LSU, à savoir</w:t>
      </w:r>
      <w:r w:rsidR="00EA1FE1" w:rsidRPr="00194DFA">
        <w:t> :</w:t>
      </w:r>
    </w:p>
    <w:p w14:paraId="7625963C" w14:textId="77777777" w:rsidR="004325DC" w:rsidRPr="00194DFA" w:rsidRDefault="00C10A1F" w:rsidP="00914287">
      <w:pPr>
        <w:pStyle w:val="Enutiret"/>
      </w:pPr>
      <w:r w:rsidRPr="00194DFA">
        <w:t>U.2(a)</w:t>
      </w:r>
      <w:r w:rsidR="00EA1FE1" w:rsidRPr="00194DFA">
        <w:t> :</w:t>
      </w:r>
      <w:r w:rsidRPr="00194DFA">
        <w:t xml:space="preserve"> L</w:t>
      </w:r>
      <w:r w:rsidR="00A61E6D" w:rsidRPr="00194DFA">
        <w:t>’</w:t>
      </w:r>
      <w:r w:rsidRPr="00194DFA">
        <w:t>élément nécessite une sauvegarde urgente parce que sa viabilité est en péril, en dépit des efforts déployés par la communauté, le groupe ou, le cas échéant, les individus et l</w:t>
      </w:r>
      <w:r w:rsidR="00A61E6D" w:rsidRPr="00194DFA">
        <w:t>’</w:t>
      </w:r>
      <w:r w:rsidRPr="00194DFA">
        <w:t>(les)État(s) partie(s) concerné(s)</w:t>
      </w:r>
      <w:r w:rsidR="00EA1FE1" w:rsidRPr="00194DFA">
        <w:t> ;</w:t>
      </w:r>
      <w:r w:rsidRPr="00194DFA">
        <w:t xml:space="preserve"> ou</w:t>
      </w:r>
    </w:p>
    <w:p w14:paraId="1B0182E5" w14:textId="77777777" w:rsidR="004325DC" w:rsidRPr="00194DFA" w:rsidRDefault="00C10A1F" w:rsidP="00914287">
      <w:pPr>
        <w:pStyle w:val="Enutiret"/>
      </w:pPr>
      <w:r w:rsidRPr="00194DFA">
        <w:lastRenderedPageBreak/>
        <w:t>U.2(b)</w:t>
      </w:r>
      <w:r w:rsidR="00EA1FE1" w:rsidRPr="00194DFA">
        <w:t> :</w:t>
      </w:r>
      <w:r w:rsidRPr="00194DFA">
        <w:t xml:space="preserve"> L</w:t>
      </w:r>
      <w:r w:rsidR="00A61E6D" w:rsidRPr="00194DFA">
        <w:t>’</w:t>
      </w:r>
      <w:r w:rsidRPr="00194DFA">
        <w:t>élément se trouve dans une nécessité extrêmement urgente de sauvegarde parce qu</w:t>
      </w:r>
      <w:r w:rsidR="00A61E6D" w:rsidRPr="00194DFA">
        <w:t>’</w:t>
      </w:r>
      <w:r w:rsidRPr="00194DFA">
        <w:t>il fait l</w:t>
      </w:r>
      <w:r w:rsidR="00A61E6D" w:rsidRPr="00194DFA">
        <w:t>’</w:t>
      </w:r>
      <w:r w:rsidRPr="00194DFA">
        <w:t>objet de menaces sérieuses auxquelles il ne pourrait pas survivre sans sauvegarde immédiate.</w:t>
      </w:r>
    </w:p>
    <w:p w14:paraId="240751DA" w14:textId="77777777" w:rsidR="004325DC" w:rsidRPr="00194DFA" w:rsidRDefault="00C10A1F" w:rsidP="00914287">
      <w:pPr>
        <w:pStyle w:val="Texte1"/>
      </w:pPr>
      <w:r w:rsidRPr="00194DFA">
        <w:t xml:space="preserve">Ce critère exige que les menaces et les risques pour la viabilité </w:t>
      </w:r>
      <w:r w:rsidR="00BB70F2" w:rsidRPr="00194DFA">
        <w:t>– </w:t>
      </w:r>
      <w:r w:rsidRPr="00194DFA">
        <w:t>et leur gravité</w:t>
      </w:r>
      <w:r w:rsidR="00BB70F2" w:rsidRPr="00194DFA">
        <w:t> –</w:t>
      </w:r>
      <w:r w:rsidRPr="00194DFA">
        <w:t xml:space="preserve"> soient clairement indiqués.</w:t>
      </w:r>
    </w:p>
    <w:p w14:paraId="47DBD6AF" w14:textId="77777777" w:rsidR="004325DC" w:rsidRPr="00194DFA" w:rsidRDefault="00C10A1F" w:rsidP="00914287">
      <w:pPr>
        <w:pStyle w:val="Enutiret"/>
      </w:pPr>
      <w:r w:rsidRPr="00194DFA">
        <w:t>U.3</w:t>
      </w:r>
      <w:r w:rsidR="00EA1FE1" w:rsidRPr="00194DFA">
        <w:t> :</w:t>
      </w:r>
      <w:r w:rsidRPr="00194DFA">
        <w:t xml:space="preserve"> </w:t>
      </w:r>
      <w:r w:rsidR="00496818" w:rsidRPr="00194DFA">
        <w:t>Un plan</w:t>
      </w:r>
      <w:r w:rsidRPr="00194DFA">
        <w:t xml:space="preserve"> de sauvegarde </w:t>
      </w:r>
      <w:r w:rsidR="00496818" w:rsidRPr="00194DFA">
        <w:t>e</w:t>
      </w:r>
      <w:r w:rsidRPr="00194DFA">
        <w:t>s</w:t>
      </w:r>
      <w:r w:rsidR="00496818" w:rsidRPr="00194DFA">
        <w:t>t élaboré</w:t>
      </w:r>
      <w:r w:rsidRPr="00194DFA">
        <w:t xml:space="preserve"> pour qu</w:t>
      </w:r>
      <w:r w:rsidR="00A61E6D" w:rsidRPr="00194DFA">
        <w:t>’</w:t>
      </w:r>
      <w:r w:rsidR="00496818" w:rsidRPr="00194DFA">
        <w:t>il puisse</w:t>
      </w:r>
      <w:r w:rsidRPr="00194DFA">
        <w:t xml:space="preserve"> permettre à la communauté, au groupe ou, le cas échéant, aux individus concernés de poursuivre la pratique et la transmission de l</w:t>
      </w:r>
      <w:r w:rsidR="00A61E6D" w:rsidRPr="00194DFA">
        <w:t>’</w:t>
      </w:r>
      <w:r w:rsidRPr="00194DFA">
        <w:t>élément.</w:t>
      </w:r>
    </w:p>
    <w:p w14:paraId="57C7E425" w14:textId="77777777" w:rsidR="004325DC" w:rsidRPr="00194DFA" w:rsidRDefault="00C10A1F" w:rsidP="00914287">
      <w:pPr>
        <w:pStyle w:val="Texte1"/>
      </w:pPr>
      <w:r w:rsidRPr="00194DFA">
        <w:t>Ce critère exige que des mesures de sauvegarde détaillées et réalistes so</w:t>
      </w:r>
      <w:r w:rsidR="00496818" w:rsidRPr="00194DFA">
        <w:t>ient élaborées</w:t>
      </w:r>
      <w:r w:rsidR="00C33C63" w:rsidRPr="00194DFA">
        <w:t xml:space="preserve"> </w:t>
      </w:r>
      <w:r w:rsidRPr="00194DFA">
        <w:t xml:space="preserve">avec la communauté concernée </w:t>
      </w:r>
      <w:r w:rsidR="00496818" w:rsidRPr="00194DFA">
        <w:t>en vue de réduire</w:t>
      </w:r>
      <w:r w:rsidRPr="00194DFA">
        <w:t xml:space="preserve"> les menaces </w:t>
      </w:r>
      <w:r w:rsidR="00496818" w:rsidRPr="00194DFA">
        <w:t>sur l</w:t>
      </w:r>
      <w:r w:rsidRPr="00194DFA">
        <w:t>a viabilité</w:t>
      </w:r>
      <w:r w:rsidR="00496818" w:rsidRPr="00194DFA">
        <w:t xml:space="preserve"> de l’élément</w:t>
      </w:r>
      <w:r w:rsidRPr="00194DFA">
        <w:t xml:space="preserve"> qui ont été identifiées sous le critère U.2.</w:t>
      </w:r>
    </w:p>
    <w:p w14:paraId="2A8840DA" w14:textId="77777777" w:rsidR="004325DC" w:rsidRPr="00194DFA" w:rsidRDefault="00C10A1F" w:rsidP="00914287">
      <w:pPr>
        <w:pStyle w:val="Enutiret"/>
      </w:pPr>
      <w:r w:rsidRPr="00194DFA">
        <w:t>U.6</w:t>
      </w:r>
      <w:r w:rsidR="00EA1FE1" w:rsidRPr="00194DFA">
        <w:t> :</w:t>
      </w:r>
      <w:r w:rsidRPr="00194DFA">
        <w:t xml:space="preserve"> Dans des cas d</w:t>
      </w:r>
      <w:r w:rsidR="00A61E6D" w:rsidRPr="00194DFA">
        <w:t>’</w:t>
      </w:r>
      <w:r w:rsidRPr="00194DFA">
        <w:t>extrême urgence, l</w:t>
      </w:r>
      <w:r w:rsidR="00A61E6D" w:rsidRPr="00194DFA">
        <w:t>’</w:t>
      </w:r>
      <w:r w:rsidRPr="00194DFA">
        <w:t>(les) État(s) partie(s) concerné(s) a (ont) été dûment consulté(s) sur la question de l</w:t>
      </w:r>
      <w:r w:rsidR="00A61E6D" w:rsidRPr="00194DFA">
        <w:t>’</w:t>
      </w:r>
      <w:r w:rsidRPr="00194DFA">
        <w:t>inscription de l</w:t>
      </w:r>
      <w:r w:rsidR="00A61E6D" w:rsidRPr="00194DFA">
        <w:t>’</w:t>
      </w:r>
      <w:r w:rsidRPr="00194DFA">
        <w:t>élément conformément à l</w:t>
      </w:r>
      <w:r w:rsidR="00A61E6D" w:rsidRPr="00194DFA">
        <w:t>’</w:t>
      </w:r>
      <w:r w:rsidR="00043DFF" w:rsidRPr="00194DFA">
        <w:t>article </w:t>
      </w:r>
      <w:r w:rsidRPr="00194DFA">
        <w:t>17.3 de la Convention.</w:t>
      </w:r>
    </w:p>
    <w:p w14:paraId="482CA3C4" w14:textId="3188A949" w:rsidR="004325DC" w:rsidRPr="00194DFA" w:rsidRDefault="00C10A1F" w:rsidP="00914287">
      <w:pPr>
        <w:pStyle w:val="Texte1"/>
      </w:pPr>
      <w:r w:rsidRPr="00194DFA">
        <w:t>Le critère U.6 ne s</w:t>
      </w:r>
      <w:r w:rsidR="00A61E6D" w:rsidRPr="00194DFA">
        <w:t>’</w:t>
      </w:r>
      <w:r w:rsidRPr="00194DFA">
        <w:t>applique que si l</w:t>
      </w:r>
      <w:r w:rsidR="00A61E6D" w:rsidRPr="00194DFA">
        <w:t>’</w:t>
      </w:r>
      <w:r w:rsidRPr="00194DFA">
        <w:t>élément nécessite une sauvegarde d</w:t>
      </w:r>
      <w:r w:rsidR="00A61E6D" w:rsidRPr="00194DFA">
        <w:t>’</w:t>
      </w:r>
      <w:r w:rsidRPr="00194DFA">
        <w:t>extrême urgence. Les cas d</w:t>
      </w:r>
      <w:r w:rsidR="00A61E6D" w:rsidRPr="00194DFA">
        <w:t>’</w:t>
      </w:r>
      <w:r w:rsidRPr="00194DFA">
        <w:t>extrême urgence peuvent être portés à l</w:t>
      </w:r>
      <w:r w:rsidR="00A61E6D" w:rsidRPr="00194DFA">
        <w:t>’</w:t>
      </w:r>
      <w:r w:rsidR="00657E89" w:rsidRPr="00194DFA">
        <w:t>attention du Comité par les</w:t>
      </w:r>
      <w:r w:rsidRPr="00194DFA">
        <w:t xml:space="preserve"> différents acteurs, y compris l</w:t>
      </w:r>
      <w:r w:rsidR="00A61E6D" w:rsidRPr="00194DFA">
        <w:t>’</w:t>
      </w:r>
      <w:r w:rsidRPr="00194DFA">
        <w:t>État partie ou la communauté concernée. Le Bureau du Comité peut inviter l</w:t>
      </w:r>
      <w:r w:rsidR="00A61E6D" w:rsidRPr="00194DFA">
        <w:t>’</w:t>
      </w:r>
      <w:r w:rsidRPr="00194DFA">
        <w:t>État partie concerné à soumettre un dossier pour inscription à la LSU, qui sera ensuite pris en compte selon un calendrier accéléré (</w:t>
      </w:r>
      <w:r w:rsidR="00461004" w:rsidRPr="00194DFA">
        <w:t>DO </w:t>
      </w:r>
      <w:r w:rsidR="00657E89" w:rsidRPr="00194DFA">
        <w:t>1 </w:t>
      </w:r>
      <w:r w:rsidRPr="00194DFA">
        <w:t>(U.6)</w:t>
      </w:r>
      <w:r w:rsidR="00577FDF">
        <w:t xml:space="preserve"> et</w:t>
      </w:r>
      <w:r w:rsidR="00E24688" w:rsidRPr="00194DFA">
        <w:t xml:space="preserve"> </w:t>
      </w:r>
      <w:r w:rsidR="00740702" w:rsidRPr="00194DFA">
        <w:t>32</w:t>
      </w:r>
      <w:r w:rsidRPr="00194DFA">
        <w:t>). Aucun dossier de la sorte n</w:t>
      </w:r>
      <w:r w:rsidR="00A61E6D" w:rsidRPr="00194DFA">
        <w:t>’</w:t>
      </w:r>
      <w:r w:rsidRPr="00194DFA">
        <w:t>a encore été examiné par le Comité.</w:t>
      </w:r>
    </w:p>
    <w:p w14:paraId="7393755C" w14:textId="77777777" w:rsidR="004325DC" w:rsidRPr="00194DFA" w:rsidRDefault="00700755" w:rsidP="004F5CF8">
      <w:pPr>
        <w:pStyle w:val="Titcoul"/>
      </w:pPr>
      <w:bookmarkStart w:id="80" w:name="_Toc238963320"/>
      <w:bookmarkStart w:id="81" w:name="_Toc241065205"/>
      <w:bookmarkStart w:id="82" w:name="_Toc301443405"/>
      <w:bookmarkStart w:id="83" w:name="_Toc321407048"/>
      <w:bookmarkStart w:id="84" w:name="_Toc354486672"/>
      <w:bookmarkStart w:id="85" w:name="_Toc354486978"/>
      <w:bookmarkStart w:id="86" w:name="_Toc247360284"/>
      <w:r w:rsidRPr="00194DFA">
        <w:t>11</w:t>
      </w:r>
      <w:r w:rsidR="00C10A1F" w:rsidRPr="00194DFA">
        <w:t>.9</w:t>
      </w:r>
      <w:bookmarkEnd w:id="80"/>
      <w:bookmarkEnd w:id="81"/>
      <w:r w:rsidR="00664974" w:rsidRPr="00194DFA">
        <w:tab/>
      </w:r>
      <w:bookmarkStart w:id="87" w:name="_Toc238963321"/>
      <w:bookmarkStart w:id="88" w:name="_Toc241065206"/>
      <w:r w:rsidR="00C10A1F" w:rsidRPr="00194DFA">
        <w:t>Crit</w:t>
      </w:r>
      <w:r w:rsidR="00026DC2" w:rsidRPr="00194DFA">
        <w:t>È</w:t>
      </w:r>
      <w:r w:rsidR="00C10A1F" w:rsidRPr="00194DFA">
        <w:t xml:space="preserve">res propres </w:t>
      </w:r>
      <w:r w:rsidR="00026DC2" w:rsidRPr="00194DFA">
        <w:t>À</w:t>
      </w:r>
      <w:r w:rsidR="00C10A1F" w:rsidRPr="00194DFA">
        <w:t xml:space="preserve"> la Liste </w:t>
      </w:r>
      <w:bookmarkEnd w:id="82"/>
      <w:bookmarkEnd w:id="83"/>
      <w:bookmarkEnd w:id="84"/>
      <w:bookmarkEnd w:id="85"/>
      <w:bookmarkEnd w:id="86"/>
      <w:bookmarkEnd w:id="87"/>
      <w:bookmarkEnd w:id="88"/>
      <w:r w:rsidR="00026DC2" w:rsidRPr="00194DFA">
        <w:t>reprÉsentative</w:t>
      </w:r>
    </w:p>
    <w:p w14:paraId="7B0A3E7C" w14:textId="77777777" w:rsidR="004325DC" w:rsidRPr="00194DFA" w:rsidRDefault="00C10A1F" w:rsidP="00914287">
      <w:pPr>
        <w:pStyle w:val="Texte1"/>
      </w:pPr>
      <w:r w:rsidRPr="00194DFA">
        <w:t>Les deux critè</w:t>
      </w:r>
      <w:r w:rsidR="00374E73" w:rsidRPr="00194DFA">
        <w:t>res R.2 et R.3 sont spécifiques à la LR</w:t>
      </w:r>
      <w:r w:rsidR="00EA1FE1" w:rsidRPr="00194DFA">
        <w:t> :</w:t>
      </w:r>
    </w:p>
    <w:p w14:paraId="530C02D2" w14:textId="77777777" w:rsidR="004325DC" w:rsidRPr="00194DFA" w:rsidRDefault="00C10A1F" w:rsidP="00914287">
      <w:pPr>
        <w:pStyle w:val="Enutiret"/>
      </w:pPr>
      <w:r w:rsidRPr="00194DFA">
        <w:t>R.2</w:t>
      </w:r>
      <w:r w:rsidR="00EA1FE1" w:rsidRPr="00194DFA">
        <w:t> :</w:t>
      </w:r>
      <w:r w:rsidRPr="00194DFA">
        <w:t xml:space="preserve"> L</w:t>
      </w:r>
      <w:r w:rsidR="00A61E6D" w:rsidRPr="00194DFA">
        <w:t>’</w:t>
      </w:r>
      <w:r w:rsidRPr="00194DFA">
        <w:t>inscription de l</w:t>
      </w:r>
      <w:r w:rsidR="00A61E6D" w:rsidRPr="00194DFA">
        <w:t>’</w:t>
      </w:r>
      <w:r w:rsidRPr="00194DFA">
        <w:t>élément contribuera à assurer la visibilité, la prise de conscience de l</w:t>
      </w:r>
      <w:r w:rsidR="00A61E6D" w:rsidRPr="00194DFA">
        <w:t>’</w:t>
      </w:r>
      <w:r w:rsidRPr="00194DFA">
        <w:t>importance du PCI et à favoriser le dialogue, reflétant ainsi la diversité culturelle du monde entier et témoignant de la créativité humaine.</w:t>
      </w:r>
    </w:p>
    <w:p w14:paraId="0ED52229" w14:textId="77777777" w:rsidR="004325DC" w:rsidRPr="00194DFA" w:rsidRDefault="00C10A1F" w:rsidP="00914287">
      <w:pPr>
        <w:pStyle w:val="Texte1"/>
      </w:pPr>
      <w:r w:rsidRPr="00194DFA">
        <w:t xml:space="preserve">Cela </w:t>
      </w:r>
      <w:r w:rsidR="00165EED" w:rsidRPr="00194DFA">
        <w:t>veut dire</w:t>
      </w:r>
      <w:r w:rsidRPr="00194DFA">
        <w:t xml:space="preserve"> que les États</w:t>
      </w:r>
      <w:r w:rsidR="00165EED" w:rsidRPr="00194DFA">
        <w:t xml:space="preserve"> qui soumettent un élément sur</w:t>
      </w:r>
      <w:r w:rsidRPr="00194DFA">
        <w:t xml:space="preserve"> la </w:t>
      </w:r>
      <w:r w:rsidR="00CC5381" w:rsidRPr="00194DFA">
        <w:t>L</w:t>
      </w:r>
      <w:r w:rsidR="00165EED" w:rsidRPr="00194DFA">
        <w:t>R</w:t>
      </w:r>
      <w:r w:rsidRPr="00194DFA">
        <w:t xml:space="preserve"> doivent prouver que </w:t>
      </w:r>
      <w:r w:rsidR="00165EED" w:rsidRPr="00194DFA">
        <w:t>celui-ci</w:t>
      </w:r>
      <w:r w:rsidRPr="00194DFA">
        <w:t xml:space="preserve">, une fois inscrit, peut servir à élever la visibilité du PCI et la prise de conscience de son importance dans </w:t>
      </w:r>
      <w:r w:rsidR="00165EED" w:rsidRPr="00194DFA">
        <w:t>le</w:t>
      </w:r>
      <w:r w:rsidRPr="00194DFA">
        <w:t xml:space="preserve"> cadre </w:t>
      </w:r>
      <w:r w:rsidR="00165EED" w:rsidRPr="00194DFA">
        <w:t>élargi</w:t>
      </w:r>
      <w:r w:rsidR="00A667F7" w:rsidRPr="00194DFA">
        <w:t xml:space="preserve"> </w:t>
      </w:r>
      <w:r w:rsidRPr="00194DFA">
        <w:t xml:space="preserve">de la promotion et de la protection de la diversité culturelle et </w:t>
      </w:r>
      <w:r w:rsidR="00165EED" w:rsidRPr="00194DFA">
        <w:t xml:space="preserve">de </w:t>
      </w:r>
      <w:r w:rsidR="00DE6AA3">
        <w:t>la créativité humaine.</w:t>
      </w:r>
    </w:p>
    <w:p w14:paraId="218C39A4" w14:textId="77777777" w:rsidR="00026DC2" w:rsidRPr="00194DFA" w:rsidRDefault="00026DC2" w:rsidP="00E34B09">
      <w:pPr>
        <w:pStyle w:val="Enutiret"/>
      </w:pPr>
      <w:r w:rsidRPr="00194DFA">
        <w:t>R.3 Des mesures de sauvegarde qui pourraient permettre de protéger et de promouvoir l’élément</w:t>
      </w:r>
      <w:r w:rsidR="00FA57DD" w:rsidRPr="00194DFA">
        <w:t xml:space="preserve"> sont élaborées</w:t>
      </w:r>
      <w:r w:rsidR="00FC01AC" w:rsidRPr="00194DFA">
        <w:t>.</w:t>
      </w:r>
    </w:p>
    <w:p w14:paraId="1B8C0BA4" w14:textId="239C5EF4" w:rsidR="004325DC" w:rsidRPr="00807D26" w:rsidRDefault="00C10A1F" w:rsidP="00E34B09">
      <w:pPr>
        <w:pStyle w:val="Enutiret"/>
        <w:numPr>
          <w:ilvl w:val="0"/>
          <w:numId w:val="0"/>
        </w:numPr>
        <w:ind w:left="851"/>
      </w:pPr>
      <w:r w:rsidRPr="00807D26">
        <w:t>On notera que la formulation du R.3 est différente de celle de l</w:t>
      </w:r>
      <w:r w:rsidR="00A61E6D" w:rsidRPr="00807D26">
        <w:t>’</w:t>
      </w:r>
      <w:r w:rsidRPr="00807D26">
        <w:t>U.3</w:t>
      </w:r>
      <w:r w:rsidR="00577FDF" w:rsidRPr="00807D26">
        <w:t> : la premiè</w:t>
      </w:r>
      <w:r w:rsidR="005E1584" w:rsidRPr="00807D26">
        <w:t>r</w:t>
      </w:r>
      <w:r w:rsidR="00577FDF" w:rsidRPr="00807D26">
        <w:t>e différence réside dans l</w:t>
      </w:r>
      <w:r w:rsidRPr="00807D26">
        <w:t xml:space="preserve">es différents degrés de viabilité des éléments proposés </w:t>
      </w:r>
      <w:r w:rsidR="005E1584" w:rsidRPr="00807D26">
        <w:t>po</w:t>
      </w:r>
      <w:r w:rsidRPr="00807D26">
        <w:t>ur les deux Listes</w:t>
      </w:r>
      <w:r w:rsidR="00577FDF" w:rsidRPr="00807D26">
        <w:t xml:space="preserve"> et la</w:t>
      </w:r>
      <w:r w:rsidR="005E1584" w:rsidRPr="00807D26">
        <w:t xml:space="preserve"> second</w:t>
      </w:r>
      <w:r w:rsidR="00577FDF" w:rsidRPr="00807D26">
        <w:t>e</w:t>
      </w:r>
      <w:r w:rsidR="005E1584" w:rsidRPr="00807D26">
        <w:t xml:space="preserve"> </w:t>
      </w:r>
      <w:r w:rsidR="00077353" w:rsidRPr="00807D26">
        <w:t>dans la nécessité, pour la LR, de</w:t>
      </w:r>
      <w:r w:rsidR="005E1584" w:rsidRPr="00807D26">
        <w:t xml:space="preserve"> « mesures</w:t>
      </w:r>
      <w:r w:rsidR="00077353" w:rsidRPr="00807D26">
        <w:t xml:space="preserve"> de sauvegarde</w:t>
      </w:r>
      <w:r w:rsidR="005E1584" w:rsidRPr="00807D26">
        <w:t xml:space="preserve"> » </w:t>
      </w:r>
      <w:r w:rsidR="00077353" w:rsidRPr="00807D26">
        <w:t xml:space="preserve">alors </w:t>
      </w:r>
      <w:r w:rsidR="005E1584" w:rsidRPr="00807D26">
        <w:t xml:space="preserve">que la LSU </w:t>
      </w:r>
      <w:r w:rsidR="00077353" w:rsidRPr="00807D26">
        <w:t xml:space="preserve">requiert </w:t>
      </w:r>
      <w:r w:rsidR="005E1584" w:rsidRPr="00807D26">
        <w:t>un « plan</w:t>
      </w:r>
      <w:r w:rsidR="00077353" w:rsidRPr="00807D26">
        <w:t xml:space="preserve"> de sauvegarde</w:t>
      </w:r>
      <w:r w:rsidR="005E1584" w:rsidRPr="00807D26">
        <w:t> »</w:t>
      </w:r>
      <w:r w:rsidRPr="00807D26">
        <w:t>. Ce critère</w:t>
      </w:r>
      <w:r w:rsidR="004D2AA2" w:rsidRPr="00807D26">
        <w:t xml:space="preserve"> (R.3)</w:t>
      </w:r>
      <w:r w:rsidRPr="00807D26">
        <w:t xml:space="preserve">, compte tenu du bon état général des éléments inscrits sur la </w:t>
      </w:r>
      <w:r w:rsidR="00CC5381" w:rsidRPr="00807D26">
        <w:t>L</w:t>
      </w:r>
      <w:r w:rsidR="004D2AA2" w:rsidRPr="00807D26">
        <w:t>R</w:t>
      </w:r>
      <w:r w:rsidRPr="00807D26">
        <w:t xml:space="preserve">, prête davantage attention aux mesures visant à promouvoir la pratique et la transmission permanentes des éléments </w:t>
      </w:r>
      <w:r w:rsidR="005E1584" w:rsidRPr="00807D26">
        <w:t xml:space="preserve">concernés </w:t>
      </w:r>
      <w:r w:rsidRPr="00807D26">
        <w:t>du PCI (surtout après l</w:t>
      </w:r>
      <w:r w:rsidR="00A61E6D" w:rsidRPr="00807D26">
        <w:t>’</w:t>
      </w:r>
      <w:r w:rsidRPr="00807D26">
        <w:t>inscription) qu</w:t>
      </w:r>
      <w:r w:rsidR="00A61E6D" w:rsidRPr="00807D26">
        <w:t>’</w:t>
      </w:r>
      <w:r w:rsidRPr="00807D26">
        <w:t xml:space="preserve">à celles qui cherchent à </w:t>
      </w:r>
      <w:r w:rsidR="001F60E0" w:rsidRPr="00807D26">
        <w:t>atténuer les menaces sérieuses pour</w:t>
      </w:r>
      <w:r w:rsidRPr="00807D26">
        <w:t xml:space="preserve"> leur viabilité.</w:t>
      </w:r>
    </w:p>
    <w:p w14:paraId="66A75BDB" w14:textId="77777777" w:rsidR="004325DC" w:rsidRPr="00194DFA" w:rsidRDefault="00C10A1F" w:rsidP="00914287">
      <w:pPr>
        <w:pStyle w:val="Texte1"/>
      </w:pPr>
      <w:r w:rsidRPr="00194DFA">
        <w:t xml:space="preserve">Dans ces deux types de candidatures, il est important de réfléchir aux éventuelles </w:t>
      </w:r>
      <w:r w:rsidR="001F60E0" w:rsidRPr="00194DFA">
        <w:t>conséquence</w:t>
      </w:r>
      <w:r w:rsidRPr="00194DFA">
        <w:t>s négatives de l</w:t>
      </w:r>
      <w:r w:rsidR="00A61E6D" w:rsidRPr="00194DFA">
        <w:t>’</w:t>
      </w:r>
      <w:r w:rsidRPr="00194DFA">
        <w:t>inscription sur l</w:t>
      </w:r>
      <w:r w:rsidR="00A61E6D" w:rsidRPr="00194DFA">
        <w:t>’</w:t>
      </w:r>
      <w:r w:rsidRPr="00194DFA">
        <w:t xml:space="preserve">élément concerné et </w:t>
      </w:r>
      <w:r w:rsidR="001F60E0" w:rsidRPr="00194DFA">
        <w:t>d’envisager d</w:t>
      </w:r>
      <w:r w:rsidRPr="00194DFA">
        <w:t>es mesures susceptibles de contribuer à atténuer ces effets.</w:t>
      </w:r>
    </w:p>
    <w:p w14:paraId="3D7BD320" w14:textId="5A76564E" w:rsidR="004325DC" w:rsidRPr="00194DFA" w:rsidRDefault="00C10A1F" w:rsidP="004F5CF8">
      <w:pPr>
        <w:pStyle w:val="Titcoul"/>
      </w:pPr>
      <w:bookmarkStart w:id="89" w:name="_Toc238963322"/>
      <w:bookmarkStart w:id="90" w:name="_Toc241065207"/>
      <w:bookmarkStart w:id="91" w:name="_Toc301443406"/>
      <w:bookmarkStart w:id="92" w:name="_Toc321407049"/>
      <w:bookmarkStart w:id="93" w:name="_Toc354486673"/>
      <w:bookmarkStart w:id="94" w:name="_Toc354486979"/>
      <w:bookmarkStart w:id="95" w:name="_Toc247360285"/>
      <w:r w:rsidRPr="00194DFA">
        <w:lastRenderedPageBreak/>
        <w:t>1</w:t>
      </w:r>
      <w:r w:rsidR="00F07B6D" w:rsidRPr="00194DFA">
        <w:t>1</w:t>
      </w:r>
      <w:r w:rsidRPr="00194DFA">
        <w:t>.10</w:t>
      </w:r>
      <w:bookmarkEnd w:id="89"/>
      <w:bookmarkEnd w:id="90"/>
      <w:r w:rsidR="00664974" w:rsidRPr="00194DFA">
        <w:tab/>
      </w:r>
      <w:bookmarkStart w:id="96" w:name="_Toc238963323"/>
      <w:bookmarkStart w:id="97" w:name="_Toc241065208"/>
      <w:r w:rsidRPr="00194DFA">
        <w:t>Registre de</w:t>
      </w:r>
      <w:r w:rsidR="001F60E0" w:rsidRPr="00194DFA">
        <w:t>s</w:t>
      </w:r>
      <w:r w:rsidRPr="00194DFA">
        <w:t xml:space="preserve"> </w:t>
      </w:r>
      <w:bookmarkEnd w:id="91"/>
      <w:bookmarkEnd w:id="92"/>
      <w:r w:rsidR="00077353">
        <w:t xml:space="preserve">bonnes </w:t>
      </w:r>
      <w:r w:rsidR="00461004" w:rsidRPr="00194DFA">
        <w:t>pratiques de sauvegarde</w:t>
      </w:r>
      <w:bookmarkEnd w:id="93"/>
      <w:bookmarkEnd w:id="94"/>
      <w:bookmarkEnd w:id="95"/>
      <w:bookmarkEnd w:id="96"/>
      <w:bookmarkEnd w:id="97"/>
    </w:p>
    <w:p w14:paraId="525F420C" w14:textId="77777777" w:rsidR="004325DC" w:rsidRPr="00194DFA" w:rsidRDefault="00C10A1F" w:rsidP="00150FFB">
      <w:pPr>
        <w:pStyle w:val="Informations"/>
        <w:rPr>
          <w:i w:val="0"/>
          <w:color w:val="auto"/>
        </w:rPr>
      </w:pPr>
      <w:r w:rsidRPr="00194DFA">
        <w:rPr>
          <w:i w:val="0"/>
          <w:color w:val="auto"/>
        </w:rPr>
        <w:t xml:space="preserve">Le Registre </w:t>
      </w:r>
      <w:r w:rsidR="001F60E0" w:rsidRPr="00194DFA">
        <w:rPr>
          <w:i w:val="0"/>
          <w:color w:val="auto"/>
        </w:rPr>
        <w:t>fait l’objet d’une</w:t>
      </w:r>
      <w:r w:rsidRPr="00194DFA">
        <w:rPr>
          <w:i w:val="0"/>
          <w:color w:val="auto"/>
        </w:rPr>
        <w:t xml:space="preserve"> br</w:t>
      </w:r>
      <w:r w:rsidR="001F60E0" w:rsidRPr="00194DFA">
        <w:rPr>
          <w:i w:val="0"/>
          <w:color w:val="auto"/>
        </w:rPr>
        <w:t xml:space="preserve">ève introduction </w:t>
      </w:r>
      <w:r w:rsidRPr="00194DFA">
        <w:rPr>
          <w:i w:val="0"/>
          <w:color w:val="auto"/>
        </w:rPr>
        <w:t xml:space="preserve">dans </w:t>
      </w:r>
      <w:r w:rsidR="00700755" w:rsidRPr="00194DFA">
        <w:rPr>
          <w:i w:val="0"/>
          <w:color w:val="auto"/>
        </w:rPr>
        <w:t xml:space="preserve">le </w:t>
      </w:r>
      <w:r w:rsidR="00646D3D" w:rsidRPr="00194DFA">
        <w:rPr>
          <w:i w:val="0"/>
          <w:color w:val="auto"/>
        </w:rPr>
        <w:t>Texte du participant</w:t>
      </w:r>
      <w:r w:rsidR="00D039D1" w:rsidRPr="00194DFA">
        <w:rPr>
          <w:i w:val="0"/>
          <w:color w:val="auto"/>
        </w:rPr>
        <w:t xml:space="preserve"> de l’</w:t>
      </w:r>
      <w:r w:rsidR="00700755" w:rsidRPr="00194DFA">
        <w:rPr>
          <w:i w:val="0"/>
          <w:color w:val="auto"/>
        </w:rPr>
        <w:t>Unité 2</w:t>
      </w:r>
      <w:r w:rsidRPr="00194DFA">
        <w:rPr>
          <w:i w:val="0"/>
          <w:color w:val="auto"/>
        </w:rPr>
        <w:t>.</w:t>
      </w:r>
    </w:p>
    <w:p w14:paraId="2B75B4E1" w14:textId="28F20F94" w:rsidR="004325DC" w:rsidRPr="00194DFA" w:rsidRDefault="00C10A1F" w:rsidP="00914287">
      <w:pPr>
        <w:pStyle w:val="Texte1"/>
      </w:pPr>
      <w:r w:rsidRPr="00194DFA">
        <w:t>L</w:t>
      </w:r>
      <w:r w:rsidR="00A61E6D" w:rsidRPr="00194DFA">
        <w:t>’</w:t>
      </w:r>
      <w:r w:rsidR="00043DFF" w:rsidRPr="00194DFA">
        <w:t>article </w:t>
      </w:r>
      <w:r w:rsidRPr="00194DFA">
        <w:t>18 de la Convention (</w:t>
      </w:r>
      <w:r w:rsidR="001F60E0" w:rsidRPr="00194DFA">
        <w:t>examin</w:t>
      </w:r>
      <w:r w:rsidRPr="00194DFA">
        <w:t xml:space="preserve">é </w:t>
      </w:r>
      <w:r w:rsidR="00077353">
        <w:t>au paragraphe</w:t>
      </w:r>
      <w:r w:rsidR="00D039D1" w:rsidRPr="00194DFA">
        <w:t xml:space="preserve"> 2.9 du </w:t>
      </w:r>
      <w:r w:rsidR="00646D3D" w:rsidRPr="00194DFA">
        <w:t>Texte du participant</w:t>
      </w:r>
      <w:r w:rsidR="00077353">
        <w:t xml:space="preserve"> de l’Unité 2</w:t>
      </w:r>
      <w:r w:rsidRPr="00194DFA">
        <w:t>) demande au Comité de sélectionner les programmes, projets et activités destinés à la sauvegarde du PCI, proposés par les États parties, et qui reflètent le mieux les principes et objectifs de la Convention. Les D</w:t>
      </w:r>
      <w:r w:rsidR="001F60E0" w:rsidRPr="00194DFA">
        <w:t>O</w:t>
      </w:r>
      <w:r w:rsidRPr="00194DFA">
        <w:t xml:space="preserve"> expliquent que</w:t>
      </w:r>
      <w:r w:rsidRPr="00194DFA" w:rsidDel="00487933">
        <w:t xml:space="preserve"> </w:t>
      </w:r>
      <w:r w:rsidRPr="00194DFA">
        <w:t xml:space="preserve">le Comité communiquera les programmes </w:t>
      </w:r>
      <w:r w:rsidR="000D4A82" w:rsidRPr="00194DFA">
        <w:t>sélectionnés du Registre</w:t>
      </w:r>
      <w:r w:rsidRPr="00194DFA">
        <w:t xml:space="preserve"> des </w:t>
      </w:r>
      <w:r w:rsidR="00077353">
        <w:t xml:space="preserve">bonnes </w:t>
      </w:r>
      <w:r w:rsidR="000D4A82" w:rsidRPr="00194DFA">
        <w:t>pratiques de sauvegarde</w:t>
      </w:r>
      <w:r w:rsidRPr="00194DFA">
        <w:t xml:space="preserve"> et qu</w:t>
      </w:r>
      <w:r w:rsidR="00A61E6D" w:rsidRPr="00194DFA">
        <w:t>’</w:t>
      </w:r>
      <w:r w:rsidRPr="00194DFA">
        <w:t>il</w:t>
      </w:r>
      <w:r w:rsidR="00461004" w:rsidRPr="00194DFA">
        <w:t xml:space="preserve"> </w:t>
      </w:r>
      <w:r w:rsidRPr="00194DFA">
        <w:t>poursuivra la recherc</w:t>
      </w:r>
      <w:r w:rsidR="000D4A82" w:rsidRPr="00194DFA">
        <w:t>he des programmes sélectionnés</w:t>
      </w:r>
      <w:r w:rsidR="00423B9A" w:rsidRPr="00194DFA">
        <w:t xml:space="preserve"> et</w:t>
      </w:r>
      <w:r w:rsidRPr="00194DFA">
        <w:t xml:space="preserve"> de leur efficacité (</w:t>
      </w:r>
      <w:r w:rsidR="00461004" w:rsidRPr="00194DFA">
        <w:t>DO </w:t>
      </w:r>
      <w:r w:rsidR="00423B9A" w:rsidRPr="00194DFA">
        <w:t>42</w:t>
      </w:r>
      <w:r w:rsidR="000D4A82" w:rsidRPr="00194DFA">
        <w:t>, 44, 45, 46</w:t>
      </w:r>
      <w:r w:rsidRPr="00194DFA">
        <w:t>).</w:t>
      </w:r>
    </w:p>
    <w:p w14:paraId="5DA8F281" w14:textId="77777777" w:rsidR="004325DC" w:rsidRPr="00194DFA" w:rsidRDefault="00C10A1F" w:rsidP="00914287">
      <w:pPr>
        <w:pStyle w:val="Texte1"/>
      </w:pPr>
      <w:r w:rsidRPr="00194DFA">
        <w:t xml:space="preserve">Les </w:t>
      </w:r>
      <w:r w:rsidR="00740702" w:rsidRPr="00194DFA">
        <w:t xml:space="preserve">propositions </w:t>
      </w:r>
      <w:r w:rsidR="00BE31E4" w:rsidRPr="00194DFA">
        <w:t xml:space="preserve">d’inscription au </w:t>
      </w:r>
      <w:r w:rsidRPr="00194DFA">
        <w:t xml:space="preserve">Registre </w:t>
      </w:r>
      <w:r w:rsidR="00BE31E4" w:rsidRPr="00194DFA">
        <w:t>so</w:t>
      </w:r>
      <w:r w:rsidR="00740702" w:rsidRPr="00194DFA">
        <w:t xml:space="preserve">nt </w:t>
      </w:r>
      <w:r w:rsidR="00BE31E4" w:rsidRPr="00194DFA">
        <w:t>à</w:t>
      </w:r>
      <w:r w:rsidR="00740702" w:rsidRPr="00194DFA">
        <w:t xml:space="preserve"> présent</w:t>
      </w:r>
      <w:r w:rsidR="00BE31E4" w:rsidRPr="00194DFA">
        <w:t>er sur</w:t>
      </w:r>
      <w:r w:rsidR="00740702" w:rsidRPr="00194DFA">
        <w:t xml:space="preserve"> </w:t>
      </w:r>
      <w:r w:rsidRPr="00194DFA">
        <w:t xml:space="preserve">le formulaire </w:t>
      </w:r>
      <w:r w:rsidR="004A66F4" w:rsidRPr="00194DFA">
        <w:t>ICH-03</w:t>
      </w:r>
      <w:r w:rsidRPr="00194DFA">
        <w:t xml:space="preserve">. </w:t>
      </w:r>
      <w:r w:rsidR="00BE31E4" w:rsidRPr="00194DFA">
        <w:t>Il est possible de demander u</w:t>
      </w:r>
      <w:r w:rsidRPr="00194DFA">
        <w:t xml:space="preserve">ne assistance préparatoire pour une </w:t>
      </w:r>
      <w:r w:rsidR="00740702" w:rsidRPr="00194DFA">
        <w:t xml:space="preserve">proposition </w:t>
      </w:r>
      <w:r w:rsidR="00BE31E4" w:rsidRPr="00194DFA">
        <w:t>d’inclusion dans</w:t>
      </w:r>
      <w:r w:rsidR="00740702" w:rsidRPr="00194DFA">
        <w:t xml:space="preserve"> </w:t>
      </w:r>
      <w:r w:rsidR="00BE31E4" w:rsidRPr="00194DFA">
        <w:t>l</w:t>
      </w:r>
      <w:r w:rsidRPr="00194DFA">
        <w:t>e Registre à l</w:t>
      </w:r>
      <w:r w:rsidR="00A61E6D" w:rsidRPr="00194DFA">
        <w:t>’</w:t>
      </w:r>
      <w:r w:rsidR="007749A0" w:rsidRPr="00194DFA">
        <w:t>aide du f</w:t>
      </w:r>
      <w:r w:rsidRPr="00194DFA">
        <w:t xml:space="preserve">ormulaire </w:t>
      </w:r>
      <w:r w:rsidR="004A66F4" w:rsidRPr="00194DFA">
        <w:t>ICH-06</w:t>
      </w:r>
      <w:r w:rsidRPr="00194DFA">
        <w:t>.</w:t>
      </w:r>
    </w:p>
    <w:p w14:paraId="356C25BE" w14:textId="77777777" w:rsidR="004325DC" w:rsidRPr="00194DFA" w:rsidRDefault="00C10A1F" w:rsidP="00914287">
      <w:pPr>
        <w:pStyle w:val="Texte1"/>
      </w:pPr>
      <w:r w:rsidRPr="00194DFA">
        <w:t>Les critères retenus pour l</w:t>
      </w:r>
      <w:r w:rsidR="00A61E6D" w:rsidRPr="00194DFA">
        <w:t>’</w:t>
      </w:r>
      <w:r w:rsidRPr="00194DFA">
        <w:t xml:space="preserve">évaluation de ces </w:t>
      </w:r>
      <w:r w:rsidR="007749A0" w:rsidRPr="00194DFA">
        <w:t>candidatures</w:t>
      </w:r>
      <w:r w:rsidRPr="00194DFA">
        <w:t xml:space="preserve"> </w:t>
      </w:r>
      <w:r w:rsidR="007749A0" w:rsidRPr="00194DFA">
        <w:t>figurent</w:t>
      </w:r>
      <w:r w:rsidRPr="00194DFA">
        <w:t xml:space="preserve"> dans la </w:t>
      </w:r>
      <w:r w:rsidR="00461004" w:rsidRPr="00194DFA">
        <w:t>DO </w:t>
      </w:r>
      <w:r w:rsidRPr="00194DFA">
        <w:t>7. D</w:t>
      </w:r>
      <w:r w:rsidR="00A61E6D" w:rsidRPr="00194DFA">
        <w:t>’</w:t>
      </w:r>
      <w:r w:rsidRPr="00194DFA">
        <w:t xml:space="preserve">autres </w:t>
      </w:r>
      <w:r w:rsidR="00461004" w:rsidRPr="00194DFA">
        <w:t>DO </w:t>
      </w:r>
      <w:r w:rsidRPr="00194DFA">
        <w:t>informent les États parties que le Comité accueille en particulier les propositions concernant des programmes en cours ou terminés (</w:t>
      </w:r>
      <w:r w:rsidR="00461004" w:rsidRPr="00194DFA">
        <w:t>DO </w:t>
      </w:r>
      <w:r w:rsidR="007749A0" w:rsidRPr="00194DFA">
        <w:t>5)</w:t>
      </w:r>
      <w:r w:rsidRPr="00194DFA">
        <w:t xml:space="preserve"> qui font appel à la coopération internationale (</w:t>
      </w:r>
      <w:r w:rsidR="00461004" w:rsidRPr="00194DFA">
        <w:t>DO </w:t>
      </w:r>
      <w:r w:rsidRPr="00194DFA">
        <w:t>4) et qui portent une attention particulière aux besoins des pays en développement (</w:t>
      </w:r>
      <w:r w:rsidR="00461004" w:rsidRPr="00194DFA">
        <w:t>DO </w:t>
      </w:r>
      <w:r w:rsidRPr="00194DFA">
        <w:t>6).</w:t>
      </w:r>
    </w:p>
    <w:p w14:paraId="10F0AC90" w14:textId="77777777" w:rsidR="004F5CF8" w:rsidRPr="00194DFA" w:rsidRDefault="00C10A1F" w:rsidP="004F5CF8">
      <w:pPr>
        <w:pStyle w:val="Texte1"/>
      </w:pPr>
      <w:r w:rsidRPr="00194DFA">
        <w:t>Après l</w:t>
      </w:r>
      <w:r w:rsidR="007749A0" w:rsidRPr="00194DFA">
        <w:t>’</w:t>
      </w:r>
      <w:r w:rsidRPr="00194DFA">
        <w:t>inclusion</w:t>
      </w:r>
      <w:r w:rsidR="007749A0" w:rsidRPr="00194DFA">
        <w:t xml:space="preserve"> des programmes, projets et activités</w:t>
      </w:r>
      <w:r w:rsidRPr="00194DFA">
        <w:t xml:space="preserve"> dans le Registre, le Comité et</w:t>
      </w:r>
      <w:r w:rsidR="007749A0" w:rsidRPr="00194DFA">
        <w:t xml:space="preserve"> le</w:t>
      </w:r>
      <w:r w:rsidRPr="00194DFA">
        <w:t xml:space="preserve"> Secrétariat en font la promotion de manière à ce que les autres pays et les personnes qui travaillent dans </w:t>
      </w:r>
      <w:r w:rsidR="007749A0" w:rsidRPr="00194DFA">
        <w:t>ce domaine</w:t>
      </w:r>
      <w:r w:rsidR="0007005C" w:rsidRPr="00194DFA">
        <w:t xml:space="preserve"> puissent tirer les leçons des </w:t>
      </w:r>
      <w:r w:rsidRPr="00194DFA">
        <w:t>expérience</w:t>
      </w:r>
      <w:r w:rsidR="0007005C" w:rsidRPr="00194DFA">
        <w:t>s</w:t>
      </w:r>
      <w:r w:rsidR="00DE6AA3">
        <w:t>.</w:t>
      </w:r>
    </w:p>
    <w:p w14:paraId="7C18CF2D" w14:textId="77777777" w:rsidR="004325DC" w:rsidRPr="00194DFA" w:rsidRDefault="00F07B6D" w:rsidP="00150FFB">
      <w:pPr>
        <w:pStyle w:val="Informations"/>
      </w:pPr>
      <w:r w:rsidRPr="00194DFA">
        <w:rPr>
          <w:i w:val="0"/>
          <w:noProof/>
          <w:color w:val="auto"/>
          <w:lang w:eastAsia="zh-TW"/>
        </w:rPr>
        <w:drawing>
          <wp:anchor distT="0" distB="0" distL="114300" distR="114300" simplePos="0" relativeHeight="251950592" behindDoc="0" locked="1" layoutInCell="1" allowOverlap="0" wp14:anchorId="476197F7" wp14:editId="060FA7DD">
            <wp:simplePos x="0" y="0"/>
            <wp:positionH relativeFrom="column">
              <wp:posOffset>0</wp:posOffset>
            </wp:positionH>
            <wp:positionV relativeFrom="paragraph">
              <wp:posOffset>80010</wp:posOffset>
            </wp:positionV>
            <wp:extent cx="283210" cy="358775"/>
            <wp:effectExtent l="0" t="0" r="2540" b="3175"/>
            <wp:wrapThrough wrapText="bothSides">
              <wp:wrapPolygon edited="0">
                <wp:start x="0" y="0"/>
                <wp:lineTo x="0" y="20644"/>
                <wp:lineTo x="20341" y="20644"/>
                <wp:lineTo x="20341" y="0"/>
                <wp:lineTo x="0" y="0"/>
              </wp:wrapPolygon>
            </wp:wrapThrough>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07005C" w:rsidRPr="00194DFA">
        <w:rPr>
          <w:i w:val="0"/>
          <w:color w:val="auto"/>
        </w:rPr>
        <w:t>On trouvera d</w:t>
      </w:r>
      <w:r w:rsidR="00740702" w:rsidRPr="00194DFA">
        <w:rPr>
          <w:i w:val="0"/>
          <w:color w:val="auto"/>
        </w:rPr>
        <w:t>es exem</w:t>
      </w:r>
      <w:r w:rsidR="00AD474D" w:rsidRPr="00194DFA">
        <w:rPr>
          <w:i w:val="0"/>
          <w:color w:val="auto"/>
        </w:rPr>
        <w:t>ples</w:t>
      </w:r>
      <w:r w:rsidR="00740702" w:rsidRPr="00194DFA">
        <w:rPr>
          <w:i w:val="0"/>
          <w:color w:val="auto"/>
        </w:rPr>
        <w:t xml:space="preserve"> </w:t>
      </w:r>
      <w:r w:rsidR="00AD474D" w:rsidRPr="00194DFA">
        <w:rPr>
          <w:i w:val="0"/>
          <w:color w:val="auto"/>
        </w:rPr>
        <w:t xml:space="preserve">sur le </w:t>
      </w:r>
      <w:r w:rsidR="00E24688" w:rsidRPr="00194DFA">
        <w:rPr>
          <w:i w:val="0"/>
          <w:color w:val="auto"/>
        </w:rPr>
        <w:t>site</w:t>
      </w:r>
      <w:r w:rsidR="00AD474D" w:rsidRPr="00194DFA">
        <w:rPr>
          <w:i w:val="0"/>
          <w:color w:val="auto"/>
        </w:rPr>
        <w:t xml:space="preserve"> Web du PCI</w:t>
      </w:r>
      <w:r w:rsidR="0007005C" w:rsidRPr="00194DFA">
        <w:rPr>
          <w:i w:val="0"/>
          <w:color w:val="auto"/>
        </w:rPr>
        <w:t>.</w:t>
      </w:r>
      <w:r w:rsidR="004F5CF8" w:rsidRPr="00194DFA">
        <w:rPr>
          <w:i w:val="0"/>
          <w:color w:val="auto"/>
        </w:rPr>
        <w:tab/>
      </w:r>
      <w:r w:rsidR="004F5CF8" w:rsidRPr="00194DFA">
        <w:br/>
      </w:r>
      <w:r w:rsidR="0007005C" w:rsidRPr="00077353">
        <w:rPr>
          <w:i w:val="0"/>
          <w:szCs w:val="22"/>
        </w:rPr>
        <w:t xml:space="preserve">Voir : </w:t>
      </w:r>
      <w:hyperlink r:id="rId19" w:history="1">
        <w:r w:rsidR="004406B6" w:rsidRPr="00077353">
          <w:rPr>
            <w:i w:val="0"/>
          </w:rPr>
          <w:t>http://www.unesco.org/culture/ich/fr/Registre</w:t>
        </w:r>
      </w:hyperlink>
    </w:p>
    <w:p w14:paraId="5ED0DA65" w14:textId="77777777" w:rsidR="004325DC" w:rsidRPr="00194DFA" w:rsidRDefault="00F07B6D" w:rsidP="004F5CF8">
      <w:pPr>
        <w:pStyle w:val="Titcoul"/>
      </w:pPr>
      <w:bookmarkStart w:id="98" w:name="_Toc238963324"/>
      <w:bookmarkStart w:id="99" w:name="_Toc241065209"/>
      <w:bookmarkStart w:id="100" w:name="_Toc301443407"/>
      <w:bookmarkStart w:id="101" w:name="_Toc321407050"/>
      <w:bookmarkStart w:id="102" w:name="_Toc354486674"/>
      <w:bookmarkStart w:id="103" w:name="_Toc354486980"/>
      <w:bookmarkStart w:id="104" w:name="_Toc247360286"/>
      <w:r w:rsidRPr="00194DFA">
        <w:t>11</w:t>
      </w:r>
      <w:r w:rsidR="00C10A1F" w:rsidRPr="00194DFA">
        <w:t>.11</w:t>
      </w:r>
      <w:bookmarkEnd w:id="98"/>
      <w:bookmarkEnd w:id="99"/>
      <w:r w:rsidR="00664974" w:rsidRPr="00194DFA">
        <w:tab/>
      </w:r>
      <w:bookmarkStart w:id="105" w:name="_Toc238963325"/>
      <w:bookmarkStart w:id="106" w:name="_Toc241065210"/>
      <w:r w:rsidR="00740702" w:rsidRPr="00194DFA">
        <w:t>Évaluation et examen</w:t>
      </w:r>
      <w:r w:rsidR="00C10A1F" w:rsidRPr="00194DFA">
        <w:t xml:space="preserve"> des dossiers de candidature</w:t>
      </w:r>
      <w:bookmarkEnd w:id="100"/>
      <w:bookmarkEnd w:id="101"/>
      <w:bookmarkEnd w:id="102"/>
      <w:bookmarkEnd w:id="103"/>
      <w:bookmarkEnd w:id="104"/>
      <w:bookmarkEnd w:id="105"/>
      <w:bookmarkEnd w:id="106"/>
      <w:r w:rsidR="0007005C" w:rsidRPr="00194DFA">
        <w:t>s</w:t>
      </w:r>
    </w:p>
    <w:p w14:paraId="0D574802" w14:textId="0E175A9F" w:rsidR="004325DC" w:rsidRPr="00194DFA" w:rsidRDefault="00D235C5" w:rsidP="00914287">
      <w:pPr>
        <w:pStyle w:val="Texte1"/>
      </w:pPr>
      <w:r w:rsidRPr="00AD244C">
        <w:rPr>
          <w:noProof/>
          <w:lang w:eastAsia="zh-TW"/>
        </w:rPr>
        <w:drawing>
          <wp:anchor distT="0" distB="0" distL="114300" distR="114300" simplePos="0" relativeHeight="252176896" behindDoc="0" locked="0" layoutInCell="1" allowOverlap="1" wp14:anchorId="21A7878E" wp14:editId="330803E4">
            <wp:simplePos x="0" y="0"/>
            <wp:positionH relativeFrom="margin">
              <wp:align>left</wp:align>
            </wp:positionH>
            <wp:positionV relativeFrom="paragraph">
              <wp:posOffset>642620</wp:posOffset>
            </wp:positionV>
            <wp:extent cx="283210" cy="358775"/>
            <wp:effectExtent l="0" t="0" r="2540" b="3175"/>
            <wp:wrapThrough wrapText="bothSides">
              <wp:wrapPolygon edited="0">
                <wp:start x="0" y="0"/>
                <wp:lineTo x="0" y="20644"/>
                <wp:lineTo x="20341" y="20644"/>
                <wp:lineTo x="20341" y="0"/>
                <wp:lineTo x="0" y="0"/>
              </wp:wrapPolygon>
            </wp:wrapThrough>
            <wp:docPr id="7"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194DFA">
        <w:t xml:space="preserve">Un Organe </w:t>
      </w:r>
      <w:r w:rsidR="00467BA1" w:rsidRPr="00194DFA">
        <w:t>d’évaluation</w:t>
      </w:r>
      <w:r w:rsidR="00C10A1F" w:rsidRPr="00194DFA">
        <w:t xml:space="preserve"> composé de </w:t>
      </w:r>
      <w:r w:rsidR="002758D6" w:rsidRPr="00194DFA">
        <w:t>six experts</w:t>
      </w:r>
      <w:r w:rsidR="00590126" w:rsidRPr="00194DFA">
        <w:t xml:space="preserve"> qualifiés dans </w:t>
      </w:r>
      <w:r w:rsidR="0007005C" w:rsidRPr="00194DFA">
        <w:t xml:space="preserve">les </w:t>
      </w:r>
      <w:r w:rsidR="00590126" w:rsidRPr="00194DFA">
        <w:t>divers domaines du PCI (représentants d’</w:t>
      </w:r>
      <w:r w:rsidR="00140116" w:rsidRPr="00194DFA">
        <w:t>États</w:t>
      </w:r>
      <w:r w:rsidR="00590126" w:rsidRPr="00194DFA">
        <w:t xml:space="preserve"> parties non membres du Comité) et de représentants de six ONG accréditées (DO 27)</w:t>
      </w:r>
      <w:r w:rsidR="00C10A1F" w:rsidRPr="00194DFA">
        <w:t xml:space="preserve">, </w:t>
      </w:r>
      <w:r w:rsidR="005322A5" w:rsidRPr="00194DFA">
        <w:t xml:space="preserve">évalue </w:t>
      </w:r>
      <w:r w:rsidR="00C10A1F" w:rsidRPr="00194DFA">
        <w:t xml:space="preserve">les candidatures à la </w:t>
      </w:r>
      <w:r w:rsidR="00CC5381" w:rsidRPr="00194DFA">
        <w:t>L</w:t>
      </w:r>
      <w:r w:rsidR="00467BA1" w:rsidRPr="00194DFA">
        <w:t>SU</w:t>
      </w:r>
      <w:r w:rsidR="002758D6" w:rsidRPr="00194DFA">
        <w:t>,</w:t>
      </w:r>
      <w:r w:rsidR="00C10A1F" w:rsidRPr="00194DFA">
        <w:t xml:space="preserve"> </w:t>
      </w:r>
      <w:r w:rsidR="00590126" w:rsidRPr="00194DFA">
        <w:t>la LR</w:t>
      </w:r>
      <w:r w:rsidR="002758D6" w:rsidRPr="00194DFA">
        <w:t xml:space="preserve">, </w:t>
      </w:r>
      <w:r w:rsidR="005322A5" w:rsidRPr="00194DFA">
        <w:t xml:space="preserve">les propositions pour le </w:t>
      </w:r>
      <w:r w:rsidR="00C10A1F" w:rsidRPr="00194DFA">
        <w:t>Registre</w:t>
      </w:r>
      <w:r w:rsidR="002758D6" w:rsidRPr="00194DFA">
        <w:t xml:space="preserve"> et les demandes d’assistance</w:t>
      </w:r>
      <w:r w:rsidR="004B345E">
        <w:t xml:space="preserve"> internationale supérieures à 100</w:t>
      </w:r>
      <w:r w:rsidR="002758D6" w:rsidRPr="00194DFA">
        <w:t> 000 dollars EU</w:t>
      </w:r>
      <w:r w:rsidR="00DE6AA3">
        <w:t>.</w:t>
      </w:r>
    </w:p>
    <w:p w14:paraId="68723D1B" w14:textId="77777777" w:rsidR="004325DC" w:rsidRPr="004B345E" w:rsidRDefault="00C10A1F" w:rsidP="00914287">
      <w:pPr>
        <w:pStyle w:val="Informations"/>
        <w:rPr>
          <w:i w:val="0"/>
        </w:rPr>
      </w:pPr>
      <w:r w:rsidRPr="004B345E">
        <w:rPr>
          <w:i w:val="0"/>
        </w:rPr>
        <w:t xml:space="preserve">Pour </w:t>
      </w:r>
      <w:r w:rsidR="0007005C" w:rsidRPr="004B345E">
        <w:rPr>
          <w:i w:val="0"/>
        </w:rPr>
        <w:t xml:space="preserve">en savoir </w:t>
      </w:r>
      <w:r w:rsidRPr="004B345E">
        <w:rPr>
          <w:i w:val="0"/>
        </w:rPr>
        <w:t xml:space="preserve">plus sur </w:t>
      </w:r>
      <w:r w:rsidR="00467BA1" w:rsidRPr="004B345E">
        <w:rPr>
          <w:i w:val="0"/>
        </w:rPr>
        <w:t>l’Organe d’évaluation</w:t>
      </w:r>
      <w:r w:rsidR="0007005C" w:rsidRPr="004B345E">
        <w:rPr>
          <w:i w:val="0"/>
        </w:rPr>
        <w:t>,</w:t>
      </w:r>
      <w:r w:rsidRPr="004B345E">
        <w:rPr>
          <w:i w:val="0"/>
        </w:rPr>
        <w:t xml:space="preserve"> voir</w:t>
      </w:r>
      <w:r w:rsidR="00F07B6D" w:rsidRPr="004B345E">
        <w:rPr>
          <w:i w:val="0"/>
        </w:rPr>
        <w:t xml:space="preserve"> le </w:t>
      </w:r>
      <w:r w:rsidR="00D039D1" w:rsidRPr="004B345E">
        <w:rPr>
          <w:i w:val="0"/>
        </w:rPr>
        <w:t>Texte du participant de l’</w:t>
      </w:r>
      <w:r w:rsidR="00F07B6D" w:rsidRPr="004B345E">
        <w:rPr>
          <w:i w:val="0"/>
        </w:rPr>
        <w:t>Unité 3</w:t>
      </w:r>
      <w:r w:rsidRPr="004B345E">
        <w:rPr>
          <w:i w:val="0"/>
        </w:rPr>
        <w:t>.</w:t>
      </w:r>
    </w:p>
    <w:p w14:paraId="019F207C" w14:textId="77777777" w:rsidR="00C10A1F" w:rsidRPr="00194DFA" w:rsidRDefault="00C10A1F">
      <w:pPr>
        <w:pStyle w:val="Heading4"/>
      </w:pPr>
      <w:bookmarkStart w:id="107" w:name="_Toc247360287"/>
      <w:r w:rsidRPr="00194DFA">
        <w:t xml:space="preserve">Soumission des dossiers de candidature et </w:t>
      </w:r>
      <w:r w:rsidR="004406B6" w:rsidRPr="00194DFA">
        <w:t xml:space="preserve">Évaluation </w:t>
      </w:r>
      <w:r w:rsidRPr="00194DFA">
        <w:t>technique</w:t>
      </w:r>
      <w:bookmarkEnd w:id="107"/>
    </w:p>
    <w:p w14:paraId="50ADE932" w14:textId="2670DA86" w:rsidR="004325DC" w:rsidRPr="00194DFA" w:rsidRDefault="00C10A1F" w:rsidP="00914287">
      <w:pPr>
        <w:pStyle w:val="Texte1"/>
      </w:pPr>
      <w:r w:rsidRPr="00194DFA">
        <w:t xml:space="preserve">Les candidatures </w:t>
      </w:r>
      <w:r w:rsidR="00626846" w:rsidRPr="00194DFA">
        <w:t>aux</w:t>
      </w:r>
      <w:r w:rsidRPr="00194DFA">
        <w:t xml:space="preserve"> deux Listes</w:t>
      </w:r>
      <w:r w:rsidR="00D00B3C" w:rsidRPr="00194DFA">
        <w:t>,</w:t>
      </w:r>
      <w:r w:rsidRPr="00194DFA">
        <w:t xml:space="preserve"> le</w:t>
      </w:r>
      <w:r w:rsidR="00795C6B" w:rsidRPr="00194DFA">
        <w:t>s propositions pour le</w:t>
      </w:r>
      <w:r w:rsidRPr="00194DFA">
        <w:t xml:space="preserve"> Registre</w:t>
      </w:r>
      <w:r w:rsidR="00D00B3C" w:rsidRPr="00194DFA">
        <w:t xml:space="preserve"> et les demandes d’assistance</w:t>
      </w:r>
      <w:r w:rsidR="004B345E">
        <w:t xml:space="preserve"> internationale supérieures à 100</w:t>
      </w:r>
      <w:r w:rsidR="00D00B3C" w:rsidRPr="00194DFA">
        <w:t> 000 dollars EU</w:t>
      </w:r>
      <w:r w:rsidRPr="00194DFA">
        <w:t xml:space="preserve"> doivent être </w:t>
      </w:r>
      <w:r w:rsidR="00626846" w:rsidRPr="00194DFA">
        <w:t>soumis</w:t>
      </w:r>
      <w:r w:rsidRPr="00194DFA">
        <w:t>es au Secrétariat de l</w:t>
      </w:r>
      <w:r w:rsidR="00A61E6D" w:rsidRPr="00194DFA">
        <w:t>’</w:t>
      </w:r>
      <w:r w:rsidRPr="00194DFA">
        <w:t>UNESCO au plus tard le 31</w:t>
      </w:r>
      <w:r w:rsidR="00227E50" w:rsidRPr="00194DFA">
        <w:t> </w:t>
      </w:r>
      <w:r w:rsidRPr="00194DFA">
        <w:t>mars de l</w:t>
      </w:r>
      <w:r w:rsidR="00A61E6D" w:rsidRPr="00194DFA">
        <w:t>’</w:t>
      </w:r>
      <w:r w:rsidRPr="00194DFA">
        <w:t xml:space="preserve">année en cours. </w:t>
      </w:r>
      <w:r w:rsidR="00626846" w:rsidRPr="00194DFA">
        <w:t>Les processus d’évaluation technique et d’examen des dossiers prennent deux ans. Au cours de la première année,</w:t>
      </w:r>
      <w:r w:rsidRPr="00194DFA">
        <w:t xml:space="preserve"> le Secrétariat reçoit le</w:t>
      </w:r>
      <w:r w:rsidR="00795C6B" w:rsidRPr="00194DFA">
        <w:t>s</w:t>
      </w:r>
      <w:r w:rsidRPr="00194DFA">
        <w:t xml:space="preserve"> dossier</w:t>
      </w:r>
      <w:r w:rsidR="00795C6B" w:rsidRPr="00194DFA">
        <w:t>s</w:t>
      </w:r>
      <w:r w:rsidRPr="00194DFA">
        <w:t xml:space="preserve">, il en accuse réception et </w:t>
      </w:r>
      <w:r w:rsidR="00626846" w:rsidRPr="00194DFA">
        <w:t>évalue</w:t>
      </w:r>
      <w:r w:rsidR="00795C6B" w:rsidRPr="00194DFA">
        <w:t xml:space="preserve"> les exigence</w:t>
      </w:r>
      <w:r w:rsidR="00575C38" w:rsidRPr="00194DFA">
        <w:t>s techniques</w:t>
      </w:r>
      <w:r w:rsidRPr="00194DFA">
        <w:t xml:space="preserve">. Si </w:t>
      </w:r>
      <w:r w:rsidR="00A31C22" w:rsidRPr="00194DFA">
        <w:t>un</w:t>
      </w:r>
      <w:r w:rsidRPr="00194DFA">
        <w:t xml:space="preserve"> dossier</w:t>
      </w:r>
      <w:r w:rsidR="00A31C22" w:rsidRPr="00194DFA">
        <w:t xml:space="preserve"> e</w:t>
      </w:r>
      <w:r w:rsidRPr="00194DFA">
        <w:t>s</w:t>
      </w:r>
      <w:r w:rsidR="00A31C22" w:rsidRPr="00194DFA">
        <w:t>t incomplet</w:t>
      </w:r>
      <w:r w:rsidRPr="00194DFA">
        <w:t>, le Secrétariat</w:t>
      </w:r>
      <w:r w:rsidR="00795C6B" w:rsidRPr="00194DFA">
        <w:t xml:space="preserve"> invite l</w:t>
      </w:r>
      <w:r w:rsidR="00A61E6D" w:rsidRPr="00194DFA">
        <w:t>’</w:t>
      </w:r>
      <w:r w:rsidR="00A31C22" w:rsidRPr="00194DFA">
        <w:t>État partie à le</w:t>
      </w:r>
      <w:r w:rsidR="00795C6B" w:rsidRPr="00194DFA">
        <w:t xml:space="preserve"> compléter</w:t>
      </w:r>
      <w:r w:rsidR="00A31C22" w:rsidRPr="00194DFA">
        <w:t xml:space="preserve"> avant le 30 juin</w:t>
      </w:r>
      <w:r w:rsidRPr="00194DFA">
        <w:t>. Les États parties ont jusqu</w:t>
      </w:r>
      <w:r w:rsidR="00A61E6D" w:rsidRPr="00194DFA">
        <w:t>’</w:t>
      </w:r>
      <w:r w:rsidRPr="00194DFA">
        <w:t>au 30</w:t>
      </w:r>
      <w:r w:rsidR="005B703B" w:rsidRPr="00194DFA">
        <w:t> </w:t>
      </w:r>
      <w:r w:rsidRPr="00194DFA">
        <w:t>septembre pour compléter leurs dossiers avant qu</w:t>
      </w:r>
      <w:r w:rsidR="00A61E6D" w:rsidRPr="00194DFA">
        <w:t>’</w:t>
      </w:r>
      <w:r w:rsidRPr="00194DFA">
        <w:t xml:space="preserve">ils </w:t>
      </w:r>
      <w:r w:rsidR="004B345E">
        <w:t xml:space="preserve">ne </w:t>
      </w:r>
      <w:r w:rsidRPr="00194DFA">
        <w:t xml:space="preserve">soient </w:t>
      </w:r>
      <w:r w:rsidR="007D3099" w:rsidRPr="00194DFA">
        <w:t>examiné</w:t>
      </w:r>
      <w:r w:rsidR="00A31C22" w:rsidRPr="00194DFA">
        <w:t xml:space="preserve">s par </w:t>
      </w:r>
      <w:r w:rsidRPr="00194DFA">
        <w:t>l</w:t>
      </w:r>
      <w:r w:rsidR="00A61E6D" w:rsidRPr="00194DFA">
        <w:t>’</w:t>
      </w:r>
      <w:r w:rsidRPr="00194DFA">
        <w:t xml:space="preserve">Organe </w:t>
      </w:r>
      <w:r w:rsidR="00A31C22" w:rsidRPr="00194DFA">
        <w:t>d’évaluation</w:t>
      </w:r>
      <w:r w:rsidRPr="00194DFA">
        <w:t xml:space="preserve"> (</w:t>
      </w:r>
      <w:r w:rsidR="00461004" w:rsidRPr="00194DFA">
        <w:t>DO </w:t>
      </w:r>
      <w:r w:rsidR="007D3099" w:rsidRPr="00194DFA">
        <w:t>54), puis</w:t>
      </w:r>
      <w:r w:rsidRPr="00194DFA">
        <w:t xml:space="preserve"> traduits, s</w:t>
      </w:r>
      <w:r w:rsidR="00A61E6D" w:rsidRPr="00194DFA">
        <w:t>’</w:t>
      </w:r>
      <w:r w:rsidRPr="00194DFA">
        <w:t>il y a lieu, de sorte qu</w:t>
      </w:r>
      <w:r w:rsidR="00A61E6D" w:rsidRPr="00194DFA">
        <w:t>’</w:t>
      </w:r>
      <w:r w:rsidRPr="00194DFA">
        <w:t>ils soient tous disponibles en anglais et en français.</w:t>
      </w:r>
    </w:p>
    <w:p w14:paraId="3AD80D30" w14:textId="77777777" w:rsidR="00C10A1F" w:rsidRPr="00194DFA" w:rsidRDefault="00D00B3C">
      <w:pPr>
        <w:pStyle w:val="Heading4"/>
      </w:pPr>
      <w:bookmarkStart w:id="108" w:name="_Toc247360288"/>
      <w:r w:rsidRPr="00194DFA">
        <w:lastRenderedPageBreak/>
        <w:t>le processus d’</w:t>
      </w:r>
      <w:r w:rsidR="008B0D35" w:rsidRPr="00194DFA">
        <w:t>Évaluation</w:t>
      </w:r>
      <w:bookmarkEnd w:id="108"/>
    </w:p>
    <w:p w14:paraId="0D7ED091" w14:textId="527C1880" w:rsidR="00BC0558" w:rsidRPr="00194DFA" w:rsidRDefault="00C10A1F" w:rsidP="00914287">
      <w:pPr>
        <w:pStyle w:val="Texte1"/>
      </w:pPr>
      <w:r w:rsidRPr="00194DFA">
        <w:t>Entre décembre de la première année et mai de l</w:t>
      </w:r>
      <w:r w:rsidR="00A61E6D" w:rsidRPr="00194DFA">
        <w:t>’</w:t>
      </w:r>
      <w:r w:rsidRPr="00194DFA">
        <w:t>année suivante, l</w:t>
      </w:r>
      <w:r w:rsidR="00A61E6D" w:rsidRPr="00194DFA">
        <w:t>’</w:t>
      </w:r>
      <w:r w:rsidRPr="00194DFA">
        <w:t xml:space="preserve">Organe </w:t>
      </w:r>
      <w:r w:rsidR="00D00B3C" w:rsidRPr="00194DFA">
        <w:t>d’évaluation</w:t>
      </w:r>
      <w:r w:rsidRPr="00194DFA">
        <w:t xml:space="preserve"> </w:t>
      </w:r>
      <w:r w:rsidR="00D00B3C" w:rsidRPr="00194DFA">
        <w:t>examin</w:t>
      </w:r>
      <w:r w:rsidR="00D31866" w:rsidRPr="00194DFA">
        <w:t xml:space="preserve">e </w:t>
      </w:r>
      <w:r w:rsidRPr="00194DFA">
        <w:t xml:space="preserve">les </w:t>
      </w:r>
      <w:r w:rsidR="00227AF5" w:rsidRPr="00194DFA">
        <w:t>propositions d’inscription sur</w:t>
      </w:r>
      <w:r w:rsidRPr="00194DFA">
        <w:t xml:space="preserve"> l</w:t>
      </w:r>
      <w:r w:rsidR="00D00B3C" w:rsidRPr="00194DFA">
        <w:t>es</w:t>
      </w:r>
      <w:r w:rsidRPr="00194DFA">
        <w:t xml:space="preserve"> </w:t>
      </w:r>
      <w:r w:rsidR="00CC5381" w:rsidRPr="00194DFA">
        <w:t>Liste</w:t>
      </w:r>
      <w:r w:rsidR="00D00B3C" w:rsidRPr="00194DFA">
        <w:t>s, le Registre et les demandes d’assistance internationale</w:t>
      </w:r>
      <w:r w:rsidRPr="00194DFA">
        <w:t xml:space="preserve"> (</w:t>
      </w:r>
      <w:r w:rsidR="00461004" w:rsidRPr="00194DFA">
        <w:t>DO </w:t>
      </w:r>
      <w:r w:rsidR="00802B64" w:rsidRPr="00194DFA">
        <w:t>27</w:t>
      </w:r>
      <w:r w:rsidR="004B345E">
        <w:t xml:space="preserve"> et 54</w:t>
      </w:r>
      <w:r w:rsidRPr="00194DFA">
        <w:t>)</w:t>
      </w:r>
      <w:r w:rsidR="00C1604F" w:rsidRPr="00194DFA">
        <w:t>. En juin, il finalise se</w:t>
      </w:r>
      <w:r w:rsidRPr="00194DFA">
        <w:t>s recommandations au Comité intergouvernemental. Les rapports qu</w:t>
      </w:r>
      <w:r w:rsidR="00A61E6D" w:rsidRPr="00194DFA">
        <w:t>’</w:t>
      </w:r>
      <w:r w:rsidR="00C1604F" w:rsidRPr="00194DFA">
        <w:t>il prépare résument également ses d</w:t>
      </w:r>
      <w:r w:rsidR="00376B16" w:rsidRPr="00194DFA">
        <w:t>iscussion</w:t>
      </w:r>
      <w:r w:rsidR="00C1604F" w:rsidRPr="00194DFA">
        <w:t>s et se</w:t>
      </w:r>
      <w:r w:rsidRPr="00194DFA">
        <w:t>s conc</w:t>
      </w:r>
      <w:r w:rsidR="00C1604F" w:rsidRPr="00194DFA">
        <w:t>lusions</w:t>
      </w:r>
      <w:r w:rsidR="00BC0558" w:rsidRPr="00194DFA">
        <w:t>.</w:t>
      </w:r>
    </w:p>
    <w:p w14:paraId="55141441" w14:textId="77777777" w:rsidR="004406B6" w:rsidRPr="004B345E" w:rsidRDefault="00D235C5" w:rsidP="00D235C5">
      <w:pPr>
        <w:pStyle w:val="Informations"/>
        <w:rPr>
          <w:i w:val="0"/>
        </w:rPr>
      </w:pPr>
      <w:r w:rsidRPr="004B345E">
        <w:rPr>
          <w:i w:val="0"/>
          <w:noProof/>
          <w:lang w:eastAsia="zh-TW"/>
        </w:rPr>
        <w:drawing>
          <wp:anchor distT="0" distB="0" distL="114300" distR="114300" simplePos="0" relativeHeight="252178944" behindDoc="0" locked="1" layoutInCell="1" allowOverlap="0" wp14:anchorId="558A093C" wp14:editId="2B91209C">
            <wp:simplePos x="0" y="0"/>
            <wp:positionH relativeFrom="margin">
              <wp:align>left</wp:align>
            </wp:positionH>
            <wp:positionV relativeFrom="paragraph">
              <wp:posOffset>-2540</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C0558" w:rsidRPr="004B345E">
        <w:rPr>
          <w:i w:val="0"/>
        </w:rPr>
        <w:t>V</w:t>
      </w:r>
      <w:r w:rsidR="00C10A1F" w:rsidRPr="004B345E">
        <w:rPr>
          <w:i w:val="0"/>
        </w:rPr>
        <w:t>oir les documents de travail des sessions du Comité intergouvernemental de</w:t>
      </w:r>
      <w:r w:rsidR="00376B16" w:rsidRPr="004B345E">
        <w:rPr>
          <w:i w:val="0"/>
        </w:rPr>
        <w:t>puis 2009 à</w:t>
      </w:r>
      <w:r w:rsidR="00EA1FE1" w:rsidRPr="004B345E">
        <w:rPr>
          <w:i w:val="0"/>
        </w:rPr>
        <w:t> </w:t>
      </w:r>
      <w:r w:rsidR="00BC0558" w:rsidRPr="004B345E">
        <w:rPr>
          <w:i w:val="0"/>
        </w:rPr>
        <w:t>:</w:t>
      </w:r>
      <w:r w:rsidR="004406B6" w:rsidRPr="004B345E">
        <w:rPr>
          <w:i w:val="0"/>
        </w:rPr>
        <w:t xml:space="preserve"> </w:t>
      </w:r>
      <w:hyperlink r:id="rId20" w:history="1">
        <w:r w:rsidR="004406B6" w:rsidRPr="004B345E">
          <w:rPr>
            <w:i w:val="0"/>
          </w:rPr>
          <w:t>http://www.unesco</w:t>
        </w:r>
        <w:r w:rsidR="00D039D1" w:rsidRPr="004B345E">
          <w:rPr>
            <w:i w:val="0"/>
          </w:rPr>
          <w:t>.org/culture/ich/index.php?lg=fr</w:t>
        </w:r>
        <w:r w:rsidR="004406B6" w:rsidRPr="004B345E">
          <w:rPr>
            <w:i w:val="0"/>
          </w:rPr>
          <w:t>&amp;pg=00009</w:t>
        </w:r>
      </w:hyperlink>
    </w:p>
    <w:p w14:paraId="7E59E9AF" w14:textId="38AD4DD5" w:rsidR="004325DC" w:rsidRPr="00194DFA" w:rsidRDefault="00807D26" w:rsidP="00914287">
      <w:pPr>
        <w:pStyle w:val="Texte1"/>
      </w:pPr>
      <w:r>
        <w:t xml:space="preserve">Plus tard, </w:t>
      </w:r>
      <w:r w:rsidR="00C10A1F" w:rsidRPr="00194DFA">
        <w:t xml:space="preserve">au cours de </w:t>
      </w:r>
      <w:r w:rsidR="00376B16" w:rsidRPr="00194DFA">
        <w:t>la</w:t>
      </w:r>
      <w:r w:rsidR="00C10A1F" w:rsidRPr="00194DFA">
        <w:t xml:space="preserve"> </w:t>
      </w:r>
      <w:r w:rsidR="00376B16" w:rsidRPr="00194DFA">
        <w:t xml:space="preserve">deuxième </w:t>
      </w:r>
      <w:r w:rsidR="00C10A1F" w:rsidRPr="00194DFA">
        <w:t>année, les membres du Comité reçoivent le</w:t>
      </w:r>
      <w:r w:rsidR="00376B16" w:rsidRPr="00194DFA">
        <w:t>s</w:t>
      </w:r>
      <w:r w:rsidR="00C10A1F" w:rsidRPr="00194DFA">
        <w:t xml:space="preserve"> rapp</w:t>
      </w:r>
      <w:r w:rsidR="00C1604F" w:rsidRPr="00194DFA">
        <w:t>ort</w:t>
      </w:r>
      <w:r w:rsidR="00376B16" w:rsidRPr="00194DFA">
        <w:t>s</w:t>
      </w:r>
      <w:r w:rsidR="00C1604F" w:rsidRPr="00194DFA">
        <w:t xml:space="preserve"> et les recommandations de</w:t>
      </w:r>
      <w:r w:rsidR="00C10A1F" w:rsidRPr="00194DFA">
        <w:t xml:space="preserve"> </w:t>
      </w:r>
      <w:r w:rsidR="00376B16" w:rsidRPr="00194DFA">
        <w:t>l’O</w:t>
      </w:r>
      <w:r w:rsidR="00C1604F" w:rsidRPr="00194DFA">
        <w:t>rgane</w:t>
      </w:r>
      <w:r w:rsidR="00C10A1F" w:rsidRPr="00194DFA">
        <w:t>, au moins quatre semaines avant leur session ordinaire qui se tient généralement en novembre. Les États parties soumissionnaires reçoivent également le rapp</w:t>
      </w:r>
      <w:r w:rsidR="00376B16" w:rsidRPr="00194DFA">
        <w:t>ort et les avis concernant leurs</w:t>
      </w:r>
      <w:r w:rsidR="00C10A1F" w:rsidRPr="00194DFA">
        <w:t xml:space="preserve"> dossiers</w:t>
      </w:r>
      <w:r w:rsidR="001A69CA" w:rsidRPr="00194DFA">
        <w:t xml:space="preserve"> et peuvent les retirer à tout moment avant </w:t>
      </w:r>
      <w:r w:rsidR="00376B16" w:rsidRPr="00194DFA">
        <w:t xml:space="preserve">leur </w:t>
      </w:r>
      <w:r w:rsidR="001A69CA" w:rsidRPr="00194DFA">
        <w:t xml:space="preserve">examen par le Comité </w:t>
      </w:r>
      <w:r w:rsidR="00C10A1F" w:rsidRPr="00194DFA">
        <w:t>(</w:t>
      </w:r>
      <w:r w:rsidR="00461004" w:rsidRPr="00194DFA">
        <w:t>DO </w:t>
      </w:r>
      <w:r w:rsidR="00C1604F" w:rsidRPr="00194DFA">
        <w:t>25</w:t>
      </w:r>
      <w:r w:rsidR="00C10A1F" w:rsidRPr="00194DFA">
        <w:t>).</w:t>
      </w:r>
    </w:p>
    <w:p w14:paraId="5A66EA3D" w14:textId="77777777" w:rsidR="00C10A1F" w:rsidRPr="00194DFA" w:rsidRDefault="008B0D35">
      <w:pPr>
        <w:pStyle w:val="Heading4"/>
      </w:pPr>
      <w:bookmarkStart w:id="109" w:name="_Toc247360289"/>
      <w:r w:rsidRPr="00194DFA">
        <w:t xml:space="preserve">Examen </w:t>
      </w:r>
      <w:r w:rsidR="00C10A1F" w:rsidRPr="00194DFA">
        <w:t xml:space="preserve">et </w:t>
      </w:r>
      <w:r w:rsidR="00946729" w:rsidRPr="00194DFA">
        <w:t xml:space="preserve">dÉcision </w:t>
      </w:r>
      <w:r w:rsidR="00C10A1F" w:rsidRPr="00194DFA">
        <w:t xml:space="preserve">par le </w:t>
      </w:r>
      <w:bookmarkEnd w:id="109"/>
      <w:r w:rsidR="00946729" w:rsidRPr="00194DFA">
        <w:t>ComitÉ</w:t>
      </w:r>
    </w:p>
    <w:p w14:paraId="3935162E" w14:textId="77777777" w:rsidR="004325DC" w:rsidRPr="00194DFA" w:rsidRDefault="00C10A1F" w:rsidP="00914287">
      <w:pPr>
        <w:pStyle w:val="Texte1"/>
      </w:pPr>
      <w:r w:rsidRPr="00194DFA">
        <w:t xml:space="preserve">Au cours de sa session, le Comité </w:t>
      </w:r>
      <w:r w:rsidR="00376B16" w:rsidRPr="00194DFA">
        <w:t>examin</w:t>
      </w:r>
      <w:r w:rsidRPr="00194DFA">
        <w:t>e et décide de l</w:t>
      </w:r>
      <w:r w:rsidR="00A61E6D" w:rsidRPr="00194DFA">
        <w:t>’</w:t>
      </w:r>
      <w:r w:rsidRPr="00194DFA">
        <w:t>inscription (</w:t>
      </w:r>
      <w:r w:rsidR="00461004" w:rsidRPr="00194DFA">
        <w:t>DO </w:t>
      </w:r>
      <w:r w:rsidRPr="00194DFA">
        <w:t>35).</w:t>
      </w:r>
    </w:p>
    <w:p w14:paraId="44A0AB64" w14:textId="77777777" w:rsidR="002934E6" w:rsidRPr="00194DFA" w:rsidRDefault="00A667F7" w:rsidP="002934E6">
      <w:pPr>
        <w:pStyle w:val="Texte1"/>
      </w:pPr>
      <w:r w:rsidRPr="00194DFA">
        <w:rPr>
          <w:rStyle w:val="hps"/>
        </w:rPr>
        <w:t>Il est arrivé que</w:t>
      </w:r>
      <w:r w:rsidRPr="00194DFA">
        <w:t xml:space="preserve"> </w:t>
      </w:r>
      <w:r w:rsidRPr="00194DFA">
        <w:rPr>
          <w:rStyle w:val="hps"/>
        </w:rPr>
        <w:t>la décision du Comité</w:t>
      </w:r>
      <w:r w:rsidRPr="00194DFA">
        <w:t xml:space="preserve"> </w:t>
      </w:r>
      <w:r w:rsidRPr="00194DFA">
        <w:rPr>
          <w:rStyle w:val="hps"/>
        </w:rPr>
        <w:t>s</w:t>
      </w:r>
      <w:r w:rsidR="00A61E6D" w:rsidRPr="00194DFA">
        <w:rPr>
          <w:rStyle w:val="hps"/>
        </w:rPr>
        <w:t>’</w:t>
      </w:r>
      <w:r w:rsidRPr="00194DFA">
        <w:rPr>
          <w:rStyle w:val="hps"/>
        </w:rPr>
        <w:t>écarte de</w:t>
      </w:r>
      <w:r w:rsidRPr="00194DFA">
        <w:t xml:space="preserve"> </w:t>
      </w:r>
      <w:r w:rsidRPr="00194DFA">
        <w:rPr>
          <w:rStyle w:val="hps"/>
        </w:rPr>
        <w:t xml:space="preserve">la recommandation </w:t>
      </w:r>
      <w:r w:rsidR="00376B16" w:rsidRPr="00194DFA">
        <w:rPr>
          <w:rStyle w:val="hps"/>
        </w:rPr>
        <w:t>de</w:t>
      </w:r>
      <w:r w:rsidRPr="00194DFA">
        <w:rPr>
          <w:rStyle w:val="hps"/>
        </w:rPr>
        <w:t xml:space="preserve"> l</w:t>
      </w:r>
      <w:r w:rsidR="00376B16" w:rsidRPr="00194DFA">
        <w:rPr>
          <w:rStyle w:val="hps"/>
        </w:rPr>
        <w:t>’</w:t>
      </w:r>
      <w:r w:rsidR="00065255" w:rsidRPr="00194DFA">
        <w:rPr>
          <w:rStyle w:val="hps"/>
        </w:rPr>
        <w:t>O</w:t>
      </w:r>
      <w:r w:rsidRPr="00194DFA">
        <w:rPr>
          <w:rStyle w:val="hps"/>
        </w:rPr>
        <w:t>rgane</w:t>
      </w:r>
      <w:r w:rsidRPr="00194DFA">
        <w:t xml:space="preserve">, en particulier </w:t>
      </w:r>
      <w:r w:rsidRPr="00194DFA">
        <w:rPr>
          <w:rStyle w:val="hps"/>
        </w:rPr>
        <w:t>dans les cas où</w:t>
      </w:r>
      <w:r w:rsidRPr="00194DFA">
        <w:t xml:space="preserve"> </w:t>
      </w:r>
      <w:r w:rsidRPr="00194DFA">
        <w:rPr>
          <w:rStyle w:val="hps"/>
        </w:rPr>
        <w:t>un renvoi</w:t>
      </w:r>
      <w:r w:rsidRPr="00194DFA">
        <w:t xml:space="preserve"> </w:t>
      </w:r>
      <w:r w:rsidRPr="00194DFA">
        <w:rPr>
          <w:rStyle w:val="hps"/>
        </w:rPr>
        <w:t>a été recommandé</w:t>
      </w:r>
      <w:r w:rsidRPr="00194DFA">
        <w:t xml:space="preserve">. </w:t>
      </w:r>
      <w:r w:rsidRPr="00194DFA">
        <w:rPr>
          <w:rStyle w:val="hps"/>
        </w:rPr>
        <w:t xml:space="preserve">Il est </w:t>
      </w:r>
      <w:r w:rsidR="00065255" w:rsidRPr="00194DFA">
        <w:rPr>
          <w:rStyle w:val="hps"/>
        </w:rPr>
        <w:t>intéressant de signal</w:t>
      </w:r>
      <w:r w:rsidRPr="00194DFA">
        <w:rPr>
          <w:rStyle w:val="hps"/>
        </w:rPr>
        <w:t>er</w:t>
      </w:r>
      <w:r w:rsidRPr="00194DFA">
        <w:t xml:space="preserve"> </w:t>
      </w:r>
      <w:r w:rsidRPr="00194DFA">
        <w:rPr>
          <w:rStyle w:val="hps"/>
        </w:rPr>
        <w:t>que les</w:t>
      </w:r>
      <w:r w:rsidRPr="00194DFA">
        <w:t xml:space="preserve"> </w:t>
      </w:r>
      <w:r w:rsidR="00C1604F" w:rsidRPr="00194DFA">
        <w:rPr>
          <w:rStyle w:val="hps"/>
        </w:rPr>
        <w:t>débats et les décisions</w:t>
      </w:r>
      <w:r w:rsidRPr="00194DFA">
        <w:rPr>
          <w:rStyle w:val="hps"/>
        </w:rPr>
        <w:t xml:space="preserve"> d</w:t>
      </w:r>
      <w:r w:rsidR="00C1604F" w:rsidRPr="00194DFA">
        <w:rPr>
          <w:rStyle w:val="hps"/>
        </w:rPr>
        <w:t>u Comité</w:t>
      </w:r>
      <w:r w:rsidRPr="00194DFA">
        <w:t xml:space="preserve"> </w:t>
      </w:r>
      <w:r w:rsidR="00C1604F" w:rsidRPr="00194DFA">
        <w:rPr>
          <w:rStyle w:val="hps"/>
        </w:rPr>
        <w:t>peuvent être suivi</w:t>
      </w:r>
      <w:r w:rsidRPr="00194DFA">
        <w:rPr>
          <w:rStyle w:val="hps"/>
        </w:rPr>
        <w:t>s</w:t>
      </w:r>
      <w:r w:rsidRPr="00194DFA">
        <w:t xml:space="preserve"> </w:t>
      </w:r>
      <w:r w:rsidR="00C1604F" w:rsidRPr="00194DFA">
        <w:t xml:space="preserve">en direct </w:t>
      </w:r>
      <w:r w:rsidRPr="00194DFA">
        <w:rPr>
          <w:rStyle w:val="hps"/>
        </w:rPr>
        <w:t>en ligne</w:t>
      </w:r>
      <w:r w:rsidRPr="00194DFA">
        <w:t xml:space="preserve"> </w:t>
      </w:r>
      <w:r w:rsidRPr="00194DFA">
        <w:rPr>
          <w:rStyle w:val="hps"/>
        </w:rPr>
        <w:t>et</w:t>
      </w:r>
      <w:r w:rsidRPr="00194DFA">
        <w:t xml:space="preserve"> </w:t>
      </w:r>
      <w:r w:rsidRPr="00194DFA">
        <w:rPr>
          <w:rStyle w:val="hps"/>
        </w:rPr>
        <w:t>sont disponibles</w:t>
      </w:r>
      <w:r w:rsidRPr="00194DFA">
        <w:t xml:space="preserve"> même </w:t>
      </w:r>
      <w:r w:rsidRPr="00194DFA">
        <w:rPr>
          <w:rStyle w:val="hps"/>
        </w:rPr>
        <w:t xml:space="preserve">après </w:t>
      </w:r>
      <w:r w:rsidR="000D7964" w:rsidRPr="00194DFA">
        <w:rPr>
          <w:rStyle w:val="hps"/>
        </w:rPr>
        <w:t xml:space="preserve">la </w:t>
      </w:r>
      <w:r w:rsidR="00C1604F" w:rsidRPr="00194DFA">
        <w:rPr>
          <w:rStyle w:val="hps"/>
        </w:rPr>
        <w:t>réunion</w:t>
      </w:r>
      <w:r w:rsidR="000D7964" w:rsidRPr="00194DFA">
        <w:rPr>
          <w:rStyle w:val="hps"/>
        </w:rPr>
        <w:t xml:space="preserve"> du </w:t>
      </w:r>
      <w:r w:rsidRPr="00194DFA">
        <w:rPr>
          <w:rStyle w:val="hps"/>
        </w:rPr>
        <w:t>Comité</w:t>
      </w:r>
      <w:r w:rsidR="00C1604F" w:rsidRPr="00194DFA">
        <w:rPr>
          <w:rStyle w:val="hps"/>
        </w:rPr>
        <w:t xml:space="preserve"> sur le site Web du PCI</w:t>
      </w:r>
      <w:r w:rsidR="00DE6AA3">
        <w:t>.</w:t>
      </w:r>
    </w:p>
    <w:p w14:paraId="2C72F79F" w14:textId="5B5CAFED" w:rsidR="004325DC" w:rsidRPr="00194DFA" w:rsidRDefault="004B345E" w:rsidP="00914287">
      <w:pPr>
        <w:pStyle w:val="Texte1"/>
      </w:pPr>
      <w:r>
        <w:t>Pour toutes des candidatures</w:t>
      </w:r>
      <w:r w:rsidR="00C10A1F" w:rsidRPr="00194DFA">
        <w:t>, le Comité peut décider</w:t>
      </w:r>
      <w:r w:rsidR="00EA1FE1" w:rsidRPr="00194DFA">
        <w:t> :</w:t>
      </w:r>
    </w:p>
    <w:p w14:paraId="519253EB" w14:textId="603F136F" w:rsidR="006C3387" w:rsidRPr="00807D26" w:rsidRDefault="00C10A1F" w:rsidP="00150FFB">
      <w:pPr>
        <w:pStyle w:val="Enutiret"/>
      </w:pPr>
      <w:r w:rsidRPr="00807D26">
        <w:t>d</w:t>
      </w:r>
      <w:r w:rsidR="00A61E6D" w:rsidRPr="00807D26">
        <w:t>’</w:t>
      </w:r>
      <w:r w:rsidRPr="00807D26">
        <w:t>inscrire les élé</w:t>
      </w:r>
      <w:r w:rsidR="00204B86" w:rsidRPr="00807D26">
        <w:t>ments proposés</w:t>
      </w:r>
      <w:r w:rsidR="00EA1FE1" w:rsidRPr="00807D26">
        <w:t> </w:t>
      </w:r>
      <w:r w:rsidR="004B345E" w:rsidRPr="00807D26">
        <w:t>sur la LSU et la LR ou de choisir un programme/un projet/une activité pour le Registre des bonnes pratiques de sauvegarde ;</w:t>
      </w:r>
    </w:p>
    <w:p w14:paraId="75AA514F" w14:textId="6B8FBAFE" w:rsidR="006C3387" w:rsidRPr="00194DFA" w:rsidRDefault="00C10A1F" w:rsidP="00150FFB">
      <w:pPr>
        <w:pStyle w:val="Enutiret"/>
      </w:pPr>
      <w:r w:rsidRPr="00194DFA">
        <w:t>de les renvoyer aux États parties concernés pour complément d</w:t>
      </w:r>
      <w:r w:rsidR="00A61E6D" w:rsidRPr="00194DFA">
        <w:t>’</w:t>
      </w:r>
      <w:r w:rsidRPr="00194DFA">
        <w:t>information (les dossiers peuvent êtr</w:t>
      </w:r>
      <w:r w:rsidR="00204B86" w:rsidRPr="00194DFA">
        <w:t xml:space="preserve">e </w:t>
      </w:r>
      <w:r w:rsidRPr="00194DFA">
        <w:t>soumis</w:t>
      </w:r>
      <w:r w:rsidR="00204B86" w:rsidRPr="00194DFA">
        <w:t xml:space="preserve"> de nouveau</w:t>
      </w:r>
      <w:r w:rsidRPr="00194DFA">
        <w:t xml:space="preserve"> l</w:t>
      </w:r>
      <w:r w:rsidR="00A61E6D" w:rsidRPr="00194DFA">
        <w:t>’</w:t>
      </w:r>
      <w:r w:rsidRPr="00194DFA">
        <w:t>année suivante</w:t>
      </w:r>
      <w:r w:rsidR="00EA1FE1" w:rsidRPr="00194DFA">
        <w:t> :</w:t>
      </w:r>
      <w:r w:rsidRPr="00194DFA">
        <w:t xml:space="preserve"> </w:t>
      </w:r>
      <w:r w:rsidR="00461004" w:rsidRPr="00194DFA">
        <w:t>DO </w:t>
      </w:r>
      <w:r w:rsidR="00E70A86" w:rsidRPr="00194DFA">
        <w:t>35</w:t>
      </w:r>
      <w:r w:rsidRPr="00194DFA">
        <w:t>)</w:t>
      </w:r>
      <w:r w:rsidR="00EA1FE1" w:rsidRPr="00194DFA">
        <w:t> ;</w:t>
      </w:r>
      <w:r w:rsidRPr="00194DFA">
        <w:t xml:space="preserve"> ou</w:t>
      </w:r>
    </w:p>
    <w:p w14:paraId="21FE35F8" w14:textId="08E7913D" w:rsidR="006C3387" w:rsidRPr="00194DFA" w:rsidRDefault="00C10A1F" w:rsidP="00150FFB">
      <w:pPr>
        <w:pStyle w:val="Enutiret"/>
      </w:pPr>
      <w:r w:rsidRPr="00194DFA">
        <w:t xml:space="preserve">de </w:t>
      </w:r>
      <w:r w:rsidR="00E70A86" w:rsidRPr="00194DFA">
        <w:t>ne pas les inscrire</w:t>
      </w:r>
      <w:r w:rsidR="004B345E">
        <w:t xml:space="preserve"> (sur les Listes) ou les choisir (pour le Registre)</w:t>
      </w:r>
      <w:r w:rsidRPr="00194DFA">
        <w:t xml:space="preserve">, auquel cas </w:t>
      </w:r>
      <w:r w:rsidR="00204B86" w:rsidRPr="00194DFA">
        <w:t xml:space="preserve">elles ne peuvent être </w:t>
      </w:r>
      <w:r w:rsidRPr="00194DFA">
        <w:t>soumis</w:t>
      </w:r>
      <w:r w:rsidR="00204B86" w:rsidRPr="00194DFA">
        <w:t>es de nouveau</w:t>
      </w:r>
      <w:r w:rsidRPr="00194DFA">
        <w:t xml:space="preserve"> qu</w:t>
      </w:r>
      <w:r w:rsidR="00A61E6D" w:rsidRPr="00194DFA">
        <w:t>’</w:t>
      </w:r>
      <w:r w:rsidRPr="00194DFA">
        <w:t>après un délai de quatre ans (</w:t>
      </w:r>
      <w:r w:rsidR="00461004" w:rsidRPr="00194DFA">
        <w:t>DO </w:t>
      </w:r>
      <w:r w:rsidR="004B345E">
        <w:t>36</w:t>
      </w:r>
      <w:r w:rsidRPr="00194DFA">
        <w:t>).</w:t>
      </w:r>
    </w:p>
    <w:p w14:paraId="30691EB8" w14:textId="77777777" w:rsidR="004325DC" w:rsidRPr="00194DFA" w:rsidRDefault="00F07B6D" w:rsidP="00BC0558">
      <w:pPr>
        <w:pStyle w:val="Titcoul"/>
      </w:pPr>
      <w:bookmarkStart w:id="110" w:name="_Toc238963326"/>
      <w:bookmarkStart w:id="111" w:name="_Toc241065211"/>
      <w:bookmarkStart w:id="112" w:name="_Toc301443408"/>
      <w:bookmarkStart w:id="113" w:name="_Toc321407051"/>
      <w:bookmarkStart w:id="114" w:name="_Toc354486675"/>
      <w:bookmarkStart w:id="115" w:name="_Toc354486981"/>
      <w:bookmarkStart w:id="116" w:name="_Toc247360290"/>
      <w:r w:rsidRPr="00194DFA">
        <w:t>11</w:t>
      </w:r>
      <w:r w:rsidR="00C10A1F" w:rsidRPr="00194DFA">
        <w:t>.12</w:t>
      </w:r>
      <w:bookmarkEnd w:id="110"/>
      <w:bookmarkEnd w:id="111"/>
      <w:r w:rsidR="00664974" w:rsidRPr="00194DFA">
        <w:tab/>
      </w:r>
      <w:bookmarkStart w:id="117" w:name="_Toc238963327"/>
      <w:bookmarkStart w:id="118" w:name="_Toc241065212"/>
      <w:r w:rsidR="00C10A1F" w:rsidRPr="00194DFA">
        <w:t xml:space="preserve">Faire </w:t>
      </w:r>
      <w:r w:rsidR="00BB70F2" w:rsidRPr="00194DFA">
        <w:t xml:space="preserve">un </w:t>
      </w:r>
      <w:r w:rsidR="00C10A1F" w:rsidRPr="00194DFA">
        <w:t xml:space="preserve">rapport sur les </w:t>
      </w:r>
      <w:r w:rsidR="00946729" w:rsidRPr="00194DFA">
        <w:t xml:space="preserve">ÉlÉments </w:t>
      </w:r>
      <w:r w:rsidR="00C10A1F" w:rsidRPr="00194DFA">
        <w:t>inscrits</w:t>
      </w:r>
      <w:bookmarkEnd w:id="112"/>
      <w:bookmarkEnd w:id="113"/>
      <w:bookmarkEnd w:id="114"/>
      <w:bookmarkEnd w:id="115"/>
      <w:bookmarkEnd w:id="116"/>
      <w:bookmarkEnd w:id="117"/>
      <w:bookmarkEnd w:id="118"/>
    </w:p>
    <w:p w14:paraId="4BCC5874" w14:textId="77777777" w:rsidR="00C10A1F" w:rsidRPr="00194DFA" w:rsidRDefault="00C10A1F">
      <w:pPr>
        <w:pStyle w:val="Heading4"/>
      </w:pPr>
      <w:bookmarkStart w:id="119" w:name="_Toc247360291"/>
      <w:r w:rsidRPr="00194DFA">
        <w:t xml:space="preserve">Rapports sur les </w:t>
      </w:r>
      <w:r w:rsidR="00946729" w:rsidRPr="00194DFA">
        <w:t xml:space="preserve">ÉlÉments </w:t>
      </w:r>
      <w:r w:rsidR="00FC01AC" w:rsidRPr="00194DFA">
        <w:t>de</w:t>
      </w:r>
      <w:r w:rsidRPr="00194DFA">
        <w:t xml:space="preserve"> la LSU</w:t>
      </w:r>
      <w:bookmarkEnd w:id="119"/>
    </w:p>
    <w:p w14:paraId="796A2B49" w14:textId="77777777" w:rsidR="004325DC" w:rsidRPr="00194DFA" w:rsidRDefault="00C10A1F" w:rsidP="00914287">
      <w:pPr>
        <w:pStyle w:val="Texte1"/>
      </w:pPr>
      <w:r w:rsidRPr="00194DFA">
        <w:t xml:space="preserve">Tous les quatre ans, les États parties sont obligés de soumettre </w:t>
      </w:r>
      <w:r w:rsidR="00215C29" w:rsidRPr="00194DFA">
        <w:t>des</w:t>
      </w:r>
      <w:r w:rsidRPr="00194DFA">
        <w:t xml:space="preserve"> rapport</w:t>
      </w:r>
      <w:r w:rsidR="00215C29" w:rsidRPr="00194DFA">
        <w:t>s périodiques</w:t>
      </w:r>
      <w:r w:rsidRPr="00194DFA">
        <w:t xml:space="preserve"> au</w:t>
      </w:r>
      <w:r w:rsidRPr="00194DFA">
        <w:rPr>
          <w:kern w:val="28"/>
        </w:rPr>
        <w:t xml:space="preserve"> Comité</w:t>
      </w:r>
      <w:r w:rsidRPr="00194DFA">
        <w:t xml:space="preserve"> concernant les éléments inscrits sur la LSU (</w:t>
      </w:r>
      <w:r w:rsidR="00461004" w:rsidRPr="00194DFA">
        <w:t>DO </w:t>
      </w:r>
      <w:r w:rsidRPr="00194DFA">
        <w:t>160). Ce</w:t>
      </w:r>
      <w:r w:rsidR="00215C29" w:rsidRPr="00194DFA">
        <w:t>s</w:t>
      </w:r>
      <w:r w:rsidRPr="00194DFA">
        <w:t xml:space="preserve"> rapport</w:t>
      </w:r>
      <w:r w:rsidR="00215C29" w:rsidRPr="00194DFA">
        <w:t>s</w:t>
      </w:r>
      <w:r w:rsidRPr="00194DFA">
        <w:t xml:space="preserve"> doi</w:t>
      </w:r>
      <w:r w:rsidR="00215C29" w:rsidRPr="00194DFA">
        <w:t>ven</w:t>
      </w:r>
      <w:r w:rsidRPr="00194DFA">
        <w:t xml:space="preserve">t </w:t>
      </w:r>
      <w:r w:rsidR="009373AE" w:rsidRPr="00194DFA">
        <w:t>inclure</w:t>
      </w:r>
      <w:r w:rsidR="00EA1FE1" w:rsidRPr="00194DFA">
        <w:t> :</w:t>
      </w:r>
      <w:r w:rsidRPr="00194DFA">
        <w:t xml:space="preserve"> (a) </w:t>
      </w:r>
      <w:r w:rsidR="000A385A" w:rsidRPr="00194DFA">
        <w:t>une évaluation de</w:t>
      </w:r>
      <w:r w:rsidRPr="00194DFA">
        <w:t xml:space="preserve"> l</w:t>
      </w:r>
      <w:r w:rsidR="00A61E6D" w:rsidRPr="00194DFA">
        <w:t>’</w:t>
      </w:r>
      <w:r w:rsidRPr="00194DFA">
        <w:t xml:space="preserve">élément, </w:t>
      </w:r>
      <w:r w:rsidR="000A385A" w:rsidRPr="00194DFA">
        <w:t>y compris</w:t>
      </w:r>
      <w:r w:rsidRPr="00194DFA">
        <w:t xml:space="preserve"> les impacts des plans de sauvegarde et la participation des communautés à</w:t>
      </w:r>
      <w:r w:rsidRPr="00194DFA">
        <w:rPr>
          <w:kern w:val="28"/>
        </w:rPr>
        <w:t xml:space="preserve"> leur exécution (</w:t>
      </w:r>
      <w:r w:rsidR="00461004" w:rsidRPr="00194DFA">
        <w:rPr>
          <w:kern w:val="28"/>
        </w:rPr>
        <w:t>DO </w:t>
      </w:r>
      <w:r w:rsidRPr="00194DFA">
        <w:rPr>
          <w:kern w:val="28"/>
        </w:rPr>
        <w:t>162)</w:t>
      </w:r>
      <w:r w:rsidR="00EA1FE1" w:rsidRPr="00194DFA">
        <w:rPr>
          <w:kern w:val="28"/>
        </w:rPr>
        <w:t> ;</w:t>
      </w:r>
      <w:r w:rsidRPr="00194DFA">
        <w:rPr>
          <w:kern w:val="28"/>
        </w:rPr>
        <w:t xml:space="preserve"> </w:t>
      </w:r>
      <w:r w:rsidRPr="00194DFA">
        <w:t>et (b) des informations sur les institutions et les organisations de la communauté impliqué</w:t>
      </w:r>
      <w:r w:rsidR="000A385A" w:rsidRPr="00194DFA">
        <w:t>e</w:t>
      </w:r>
      <w:r w:rsidRPr="00194DFA">
        <w:t>s dans l</w:t>
      </w:r>
      <w:r w:rsidR="00A61E6D" w:rsidRPr="00194DFA">
        <w:t>’</w:t>
      </w:r>
      <w:r w:rsidR="000A385A" w:rsidRPr="00194DFA">
        <w:t>action</w:t>
      </w:r>
      <w:r w:rsidRPr="00194DFA">
        <w:rPr>
          <w:kern w:val="28"/>
        </w:rPr>
        <w:t xml:space="preserve"> de sauvegarde (</w:t>
      </w:r>
      <w:r w:rsidR="00461004" w:rsidRPr="00194DFA">
        <w:rPr>
          <w:kern w:val="28"/>
        </w:rPr>
        <w:t>DO </w:t>
      </w:r>
      <w:r w:rsidRPr="00194DFA">
        <w:rPr>
          <w:kern w:val="28"/>
        </w:rPr>
        <w:t>163)</w:t>
      </w:r>
      <w:r w:rsidRPr="00194DFA">
        <w:t xml:space="preserve">. </w:t>
      </w:r>
      <w:r w:rsidRPr="00194DFA">
        <w:rPr>
          <w:kern w:val="28"/>
        </w:rPr>
        <w:t>Un rapport sur chaque élément doit être remis au plus tard le 15</w:t>
      </w:r>
      <w:r w:rsidR="00227E50" w:rsidRPr="00194DFA">
        <w:rPr>
          <w:kern w:val="28"/>
        </w:rPr>
        <w:t> </w:t>
      </w:r>
      <w:r w:rsidRPr="00194DFA">
        <w:rPr>
          <w:kern w:val="28"/>
        </w:rPr>
        <w:t>décembre de la quatrième année qui suit l</w:t>
      </w:r>
      <w:r w:rsidR="00A61E6D" w:rsidRPr="00194DFA">
        <w:rPr>
          <w:kern w:val="28"/>
        </w:rPr>
        <w:t>’</w:t>
      </w:r>
      <w:r w:rsidRPr="00194DFA">
        <w:rPr>
          <w:kern w:val="28"/>
        </w:rPr>
        <w:t>inscription de l</w:t>
      </w:r>
      <w:r w:rsidR="00A61E6D" w:rsidRPr="00194DFA">
        <w:rPr>
          <w:kern w:val="28"/>
        </w:rPr>
        <w:t>’</w:t>
      </w:r>
      <w:r w:rsidRPr="00194DFA">
        <w:rPr>
          <w:kern w:val="28"/>
        </w:rPr>
        <w:t>élément sur la LSU jusqu</w:t>
      </w:r>
      <w:r w:rsidR="00A61E6D" w:rsidRPr="00194DFA">
        <w:rPr>
          <w:kern w:val="28"/>
        </w:rPr>
        <w:t>’</w:t>
      </w:r>
      <w:r w:rsidR="000A385A" w:rsidRPr="00194DFA">
        <w:rPr>
          <w:kern w:val="28"/>
        </w:rPr>
        <w:t>à son</w:t>
      </w:r>
      <w:r w:rsidR="009373AE" w:rsidRPr="00194DFA">
        <w:rPr>
          <w:kern w:val="28"/>
        </w:rPr>
        <w:t xml:space="preserve"> </w:t>
      </w:r>
      <w:r w:rsidRPr="00194DFA">
        <w:rPr>
          <w:kern w:val="28"/>
        </w:rPr>
        <w:t>retrait</w:t>
      </w:r>
      <w:r w:rsidR="000A385A" w:rsidRPr="00194DFA">
        <w:rPr>
          <w:kern w:val="28"/>
        </w:rPr>
        <w:t xml:space="preserve"> définitif</w:t>
      </w:r>
      <w:r w:rsidRPr="00194DFA">
        <w:rPr>
          <w:kern w:val="28"/>
        </w:rPr>
        <w:t xml:space="preserve"> de la Liste.</w:t>
      </w:r>
    </w:p>
    <w:p w14:paraId="790B84DB" w14:textId="16F119D9" w:rsidR="00C10A1F" w:rsidRPr="00807D26" w:rsidRDefault="00C10A1F">
      <w:pPr>
        <w:pStyle w:val="Heading4"/>
      </w:pPr>
      <w:bookmarkStart w:id="120" w:name="_Toc247360292"/>
      <w:r w:rsidRPr="00807D26">
        <w:lastRenderedPageBreak/>
        <w:t>Rapports périodiques généraux</w:t>
      </w:r>
      <w:bookmarkEnd w:id="120"/>
      <w:r w:rsidR="004B345E" w:rsidRPr="00807D26">
        <w:t xml:space="preserve"> et procédure de rapports pour les éléments in</w:t>
      </w:r>
      <w:r w:rsidR="00807D26">
        <w:t xml:space="preserve">scrits sur la </w:t>
      </w:r>
      <w:r w:rsidR="004B345E" w:rsidRPr="00807D26">
        <w:t>l</w:t>
      </w:r>
      <w:r w:rsidR="00807D26">
        <w:t>R</w:t>
      </w:r>
    </w:p>
    <w:p w14:paraId="49F4B0C8" w14:textId="5CA09BB6" w:rsidR="004325DC" w:rsidRPr="00194DFA" w:rsidRDefault="00C10A1F" w:rsidP="00914287">
      <w:pPr>
        <w:pStyle w:val="Texte1"/>
      </w:pPr>
      <w:r w:rsidRPr="00194DFA">
        <w:t xml:space="preserve">Aucun rapport </w:t>
      </w:r>
      <w:r w:rsidR="004C1C00">
        <w:t xml:space="preserve">individuel </w:t>
      </w:r>
      <w:r w:rsidRPr="00194DFA">
        <w:t>n</w:t>
      </w:r>
      <w:r w:rsidR="00A61E6D" w:rsidRPr="00194DFA">
        <w:t>’</w:t>
      </w:r>
      <w:r w:rsidR="004C1C00">
        <w:t>est exigé pour chaque élément inscrit</w:t>
      </w:r>
      <w:r w:rsidRPr="00194DFA">
        <w:t xml:space="preserve"> sur la L</w:t>
      </w:r>
      <w:r w:rsidR="007629FA" w:rsidRPr="00194DFA">
        <w:t>R</w:t>
      </w:r>
      <w:r w:rsidR="009373AE" w:rsidRPr="00194DFA">
        <w:t>. Cependant</w:t>
      </w:r>
      <w:r w:rsidR="00C15616" w:rsidRPr="00194DFA">
        <w:t>,</w:t>
      </w:r>
      <w:r w:rsidR="009373AE" w:rsidRPr="00194DFA">
        <w:t xml:space="preserve"> les</w:t>
      </w:r>
      <w:r w:rsidRPr="00194DFA">
        <w:t xml:space="preserve"> États parties</w:t>
      </w:r>
      <w:r w:rsidR="009373AE" w:rsidRPr="00194DFA">
        <w:t xml:space="preserve"> doivent présenter</w:t>
      </w:r>
      <w:r w:rsidRPr="00194DFA">
        <w:t xml:space="preserve"> au Comité</w:t>
      </w:r>
      <w:r w:rsidR="00C15616" w:rsidRPr="00194DFA">
        <w:t xml:space="preserve"> intergouvernemental</w:t>
      </w:r>
      <w:r w:rsidRPr="00194DFA">
        <w:t xml:space="preserve"> </w:t>
      </w:r>
      <w:r w:rsidR="00C15616" w:rsidRPr="00194DFA">
        <w:t>un rapport périodique</w:t>
      </w:r>
      <w:r w:rsidR="009373AE" w:rsidRPr="00194DFA">
        <w:t xml:space="preserve"> </w:t>
      </w:r>
      <w:r w:rsidRPr="00194DFA">
        <w:t xml:space="preserve">sur les mesures prises pour la mise en œuvre de la Convention, </w:t>
      </w:r>
      <w:r w:rsidR="00C15616" w:rsidRPr="00194DFA">
        <w:t>dans lequel</w:t>
      </w:r>
      <w:r w:rsidR="009373AE" w:rsidRPr="00194DFA">
        <w:t xml:space="preserve"> </w:t>
      </w:r>
      <w:r w:rsidRPr="00194DFA">
        <w:t xml:space="preserve">ils doivent </w:t>
      </w:r>
      <w:r w:rsidR="00C15616" w:rsidRPr="00194DFA">
        <w:t xml:space="preserve">aussi </w:t>
      </w:r>
      <w:r w:rsidRPr="00194DFA">
        <w:t>rendre compte de</w:t>
      </w:r>
      <w:r w:rsidR="009373AE" w:rsidRPr="00194DFA">
        <w:t xml:space="preserve"> l</w:t>
      </w:r>
      <w:r w:rsidR="00A61E6D" w:rsidRPr="00194DFA">
        <w:t>’</w:t>
      </w:r>
      <w:r w:rsidR="009373AE" w:rsidRPr="00194DFA">
        <w:t>état actuel de</w:t>
      </w:r>
      <w:r w:rsidRPr="00194DFA">
        <w:t xml:space="preserve"> tous les éléments présents sur leur territ</w:t>
      </w:r>
      <w:r w:rsidR="004C1C00">
        <w:t>oire et inscrits sur la LR</w:t>
      </w:r>
      <w:r w:rsidRPr="00194DFA">
        <w:t xml:space="preserve"> (</w:t>
      </w:r>
      <w:r w:rsidR="00043DFF" w:rsidRPr="00194DFA">
        <w:t>article </w:t>
      </w:r>
      <w:r w:rsidRPr="00194DFA">
        <w:t>29</w:t>
      </w:r>
      <w:r w:rsidR="00EA1FE1" w:rsidRPr="00194DFA">
        <w:t> ;</w:t>
      </w:r>
      <w:r w:rsidRPr="00194DFA">
        <w:t xml:space="preserve"> </w:t>
      </w:r>
      <w:r w:rsidR="00461004" w:rsidRPr="00194DFA">
        <w:t>DO </w:t>
      </w:r>
      <w:r w:rsidRPr="00194DFA">
        <w:t>157</w:t>
      </w:r>
      <w:r w:rsidR="009373AE" w:rsidRPr="00194DFA">
        <w:t>-</w:t>
      </w:r>
      <w:r w:rsidR="006A70E2" w:rsidRPr="00194DFA">
        <w:t>159). Ce rapport périodique détaillé doi</w:t>
      </w:r>
      <w:r w:rsidRPr="00194DFA">
        <w:t xml:space="preserve">t contenir des informations sur la viabilité et </w:t>
      </w:r>
      <w:r w:rsidR="009373AE" w:rsidRPr="00194DFA">
        <w:t>les activités mises en œuvre pour la sauvegarde</w:t>
      </w:r>
      <w:r w:rsidRPr="00194DFA">
        <w:t xml:space="preserve"> des éléments inscrits sur la </w:t>
      </w:r>
      <w:r w:rsidR="00CC5381" w:rsidRPr="00194DFA">
        <w:t>L</w:t>
      </w:r>
      <w:r w:rsidR="007629FA" w:rsidRPr="00194DFA">
        <w:t>R</w:t>
      </w:r>
      <w:r w:rsidRPr="00194DFA">
        <w:t xml:space="preserve"> (</w:t>
      </w:r>
      <w:r w:rsidR="00461004" w:rsidRPr="00194DFA">
        <w:t>DO </w:t>
      </w:r>
      <w:r w:rsidR="006A70E2" w:rsidRPr="00194DFA">
        <w:t>157). Le rapport</w:t>
      </w:r>
      <w:r w:rsidRPr="00194DFA">
        <w:t xml:space="preserve"> </w:t>
      </w:r>
      <w:r w:rsidR="006A70E2" w:rsidRPr="00194DFA">
        <w:t>périodique</w:t>
      </w:r>
      <w:r w:rsidR="007629FA" w:rsidRPr="00194DFA">
        <w:t xml:space="preserve"> </w:t>
      </w:r>
      <w:r w:rsidR="006A70E2" w:rsidRPr="00194DFA">
        <w:t>doi</w:t>
      </w:r>
      <w:r w:rsidRPr="00194DFA">
        <w:t>t être remis au plus tard le 15</w:t>
      </w:r>
      <w:r w:rsidR="00227E50" w:rsidRPr="00194DFA">
        <w:t> </w:t>
      </w:r>
      <w:r w:rsidRPr="00194DFA">
        <w:t>décembre de la sixième année qui suit l</w:t>
      </w:r>
      <w:r w:rsidR="00A61E6D" w:rsidRPr="00194DFA">
        <w:t>’</w:t>
      </w:r>
      <w:r w:rsidRPr="00194DFA">
        <w:t>année de ratification, d</w:t>
      </w:r>
      <w:r w:rsidR="00A61E6D" w:rsidRPr="00194DFA">
        <w:t>’</w:t>
      </w:r>
      <w:r w:rsidRPr="00194DFA">
        <w:t>acceptation ou d</w:t>
      </w:r>
      <w:r w:rsidR="00A61E6D" w:rsidRPr="00194DFA">
        <w:t>’</w:t>
      </w:r>
      <w:r w:rsidRPr="00194DFA">
        <w:t>approbation de la Convention</w:t>
      </w:r>
      <w:r w:rsidR="006A70E2" w:rsidRPr="00194DFA">
        <w:t>,</w:t>
      </w:r>
      <w:r w:rsidRPr="00194DFA">
        <w:t xml:space="preserve"> et ensuite tous les six ans (</w:t>
      </w:r>
      <w:r w:rsidR="00461004" w:rsidRPr="00194DFA">
        <w:t>DO </w:t>
      </w:r>
      <w:r w:rsidRPr="00194DFA">
        <w:t>152).</w:t>
      </w:r>
    </w:p>
    <w:p w14:paraId="4B2EBFCC" w14:textId="767F5340" w:rsidR="004325DC" w:rsidRDefault="004C1C00" w:rsidP="00F41D11">
      <w:pPr>
        <w:pStyle w:val="Texte1"/>
      </w:pPr>
      <w:r>
        <w:t>Q</w:t>
      </w:r>
      <w:r w:rsidR="00C10A1F" w:rsidRPr="00194DFA">
        <w:t xml:space="preserve">uelques États </w:t>
      </w:r>
      <w:r w:rsidR="00C10A1F" w:rsidRPr="00194DFA">
        <w:rPr>
          <w:i/>
        </w:rPr>
        <w:t>non</w:t>
      </w:r>
      <w:r w:rsidR="00C10A1F" w:rsidRPr="00194DFA">
        <w:t xml:space="preserve"> parties à la Convention ont sur leur t</w:t>
      </w:r>
      <w:r w:rsidR="00226255" w:rsidRPr="00194DFA">
        <w:t>erritoire des</w:t>
      </w:r>
      <w:r w:rsidR="00C10A1F" w:rsidRPr="00194DFA">
        <w:t xml:space="preserve"> élément</w:t>
      </w:r>
      <w:r w:rsidR="00226255" w:rsidRPr="00194DFA">
        <w:t>s</w:t>
      </w:r>
      <w:r w:rsidR="00C10A1F" w:rsidRPr="00194DFA">
        <w:t xml:space="preserve"> </w:t>
      </w:r>
      <w:r w:rsidR="00D235C5">
        <w:t>–</w:t>
      </w:r>
      <w:r w:rsidR="00226255" w:rsidRPr="00194DFA">
        <w:t xml:space="preserve">anciennement proclamés </w:t>
      </w:r>
      <w:r w:rsidR="00C10A1F" w:rsidRPr="00194DFA">
        <w:t>Chef</w:t>
      </w:r>
      <w:r w:rsidR="00226255" w:rsidRPr="00194DFA">
        <w:t>s</w:t>
      </w:r>
      <w:r w:rsidR="00C10A1F" w:rsidRPr="00194DFA">
        <w:t>-d</w:t>
      </w:r>
      <w:r w:rsidR="00A61E6D" w:rsidRPr="00194DFA">
        <w:t>’</w:t>
      </w:r>
      <w:r w:rsidR="00226255" w:rsidRPr="00194DFA">
        <w:t>œuvre</w:t>
      </w:r>
      <w:r w:rsidR="00BB70F2" w:rsidRPr="00194DFA">
        <w:t>–</w:t>
      </w:r>
      <w:r w:rsidR="00C10A1F" w:rsidRPr="00194DFA">
        <w:t xml:space="preserve"> </w:t>
      </w:r>
      <w:r w:rsidR="009373AE" w:rsidRPr="00194DFA">
        <w:t>intégré</w:t>
      </w:r>
      <w:r w:rsidR="00226255" w:rsidRPr="00194DFA">
        <w:t>s</w:t>
      </w:r>
      <w:r w:rsidR="009373AE" w:rsidRPr="00194DFA">
        <w:t xml:space="preserve"> </w:t>
      </w:r>
      <w:r w:rsidR="00C10A1F" w:rsidRPr="00194DFA">
        <w:t xml:space="preserve">dans la </w:t>
      </w:r>
      <w:r w:rsidR="00CC5381" w:rsidRPr="00194DFA">
        <w:t>L</w:t>
      </w:r>
      <w:r w:rsidR="007629FA" w:rsidRPr="00194DFA">
        <w:t>R</w:t>
      </w:r>
      <w:r w:rsidR="00C10A1F" w:rsidRPr="00194DFA">
        <w:t>. Ils ont, eux aussi, l</w:t>
      </w:r>
      <w:r w:rsidR="00A61E6D" w:rsidRPr="00194DFA">
        <w:t>’</w:t>
      </w:r>
      <w:r w:rsidR="00C10A1F" w:rsidRPr="00194DFA">
        <w:t>obligation d</w:t>
      </w:r>
      <w:r w:rsidR="00A61E6D" w:rsidRPr="00194DFA">
        <w:t>’</w:t>
      </w:r>
      <w:r w:rsidR="00C10A1F" w:rsidRPr="00194DFA">
        <w:t xml:space="preserve">informer le Comité </w:t>
      </w:r>
      <w:r w:rsidR="0040444F" w:rsidRPr="00194DFA">
        <w:t>de</w:t>
      </w:r>
      <w:r w:rsidR="009373AE" w:rsidRPr="00194DFA">
        <w:t xml:space="preserve"> </w:t>
      </w:r>
      <w:r w:rsidR="00C10A1F" w:rsidRPr="00194DFA">
        <w:t>l</w:t>
      </w:r>
      <w:r w:rsidR="00A61E6D" w:rsidRPr="00194DFA">
        <w:t>’</w:t>
      </w:r>
      <w:r w:rsidR="00C10A1F" w:rsidRPr="00194DFA">
        <w:t>état de viabilité de ces éléments (</w:t>
      </w:r>
      <w:r w:rsidR="00461004" w:rsidRPr="00194DFA">
        <w:t>DO </w:t>
      </w:r>
      <w:r w:rsidR="00C10A1F" w:rsidRPr="00194DFA">
        <w:t>60</w:t>
      </w:r>
      <w:r w:rsidR="009373AE" w:rsidRPr="00194DFA">
        <w:t xml:space="preserve">, </w:t>
      </w:r>
      <w:r w:rsidR="00C10A1F" w:rsidRPr="00194DFA">
        <w:t>168</w:t>
      </w:r>
      <w:r w:rsidR="009373AE" w:rsidRPr="00194DFA">
        <w:t xml:space="preserve"> et 169</w:t>
      </w:r>
      <w:r w:rsidR="00C10A1F" w:rsidRPr="00194DFA">
        <w:t>).</w:t>
      </w:r>
      <w:bookmarkStart w:id="121" w:name="3"/>
      <w:bookmarkEnd w:id="121"/>
    </w:p>
    <w:p w14:paraId="6BC82A7E" w14:textId="4477CDC9" w:rsidR="00EA2CDE" w:rsidRPr="00807D26" w:rsidRDefault="004C1C00" w:rsidP="00EA2CDE">
      <w:pPr>
        <w:pStyle w:val="Texte1"/>
      </w:pPr>
      <w:r w:rsidRPr="00807D26">
        <w:t xml:space="preserve">La principale différence </w:t>
      </w:r>
      <w:r w:rsidR="00EA2CDE" w:rsidRPr="00807D26">
        <w:t xml:space="preserve">entre les rapports sur </w:t>
      </w:r>
      <w:r w:rsidRPr="00807D26">
        <w:t xml:space="preserve">les éléments </w:t>
      </w:r>
      <w:r w:rsidR="00EA2CDE" w:rsidRPr="00807D26">
        <w:t xml:space="preserve">inscrits sur la LSU et ceux sur les éléments inscrits sur la LR </w:t>
      </w:r>
      <w:r w:rsidRPr="00807D26">
        <w:t xml:space="preserve">réside </w:t>
      </w:r>
      <w:r w:rsidR="00EA2CDE" w:rsidRPr="00807D26">
        <w:t>dans l’hypothèse que pour la LSU</w:t>
      </w:r>
      <w:r w:rsidRPr="00807D26">
        <w:t xml:space="preserve">, l’inscription doit </w:t>
      </w:r>
      <w:r w:rsidR="00EA2CDE" w:rsidRPr="00807D26">
        <w:t xml:space="preserve">permettre à la communauté concernée de renforcer sa capacité à sauvegarder et améliorer la viabilité de l’élément du PCI en péril. En ce qui concerne la LR, l’inscription doit améliorer la visibilité non seulement de l’élément inscrit mais également du PCI en général aux niveaux local, national et international, et encourager le dialogue entre les communautés. </w:t>
      </w:r>
    </w:p>
    <w:sectPr w:rsidR="00EA2CDE" w:rsidRPr="00807D26" w:rsidSect="00A41931">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B2360" w14:textId="77777777" w:rsidR="00807D26" w:rsidRDefault="00807D26" w:rsidP="000F4C6A">
      <w:r>
        <w:separator/>
      </w:r>
    </w:p>
    <w:p w14:paraId="18C8C82F" w14:textId="77777777" w:rsidR="00807D26" w:rsidRDefault="00807D26"/>
    <w:p w14:paraId="69B4704A" w14:textId="77777777" w:rsidR="00807D26" w:rsidRDefault="00807D26"/>
  </w:endnote>
  <w:endnote w:type="continuationSeparator" w:id="0">
    <w:p w14:paraId="4823F05E" w14:textId="77777777" w:rsidR="00807D26" w:rsidRDefault="00807D26" w:rsidP="000F4C6A">
      <w:r>
        <w:continuationSeparator/>
      </w:r>
    </w:p>
    <w:p w14:paraId="25C91EB7" w14:textId="77777777" w:rsidR="00807D26" w:rsidRDefault="00807D26"/>
    <w:p w14:paraId="2FAC20C8" w14:textId="77777777" w:rsidR="00807D26" w:rsidRDefault="00807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ECD1" w14:textId="7705CBD5" w:rsidR="00107C3B" w:rsidRDefault="00107C3B" w:rsidP="00A31863">
    <w:pPr>
      <w:pStyle w:val="Footer"/>
      <w:rPr>
        <w:noProof/>
        <w:lang w:eastAsia="fr-FR"/>
      </w:rPr>
    </w:pPr>
  </w:p>
  <w:p w14:paraId="0F10B4AC" w14:textId="34699CB8" w:rsidR="00807D26" w:rsidRDefault="00BE0A25" w:rsidP="00A31863">
    <w:pPr>
      <w:pStyle w:val="Footer"/>
    </w:pPr>
    <w:r w:rsidRPr="006021AD">
      <w:rPr>
        <w:noProof/>
        <w:sz w:val="22"/>
        <w:lang w:eastAsia="zh-TW"/>
      </w:rPr>
      <w:drawing>
        <wp:anchor distT="0" distB="0" distL="114300" distR="114300" simplePos="0" relativeHeight="252011520" behindDoc="0" locked="0" layoutInCell="1" allowOverlap="1" wp14:anchorId="5AFA06B2" wp14:editId="52AE1FE0">
          <wp:simplePos x="0" y="0"/>
          <wp:positionH relativeFrom="column">
            <wp:posOffset>2342515</wp:posOffset>
          </wp:positionH>
          <wp:positionV relativeFrom="paragraph">
            <wp:posOffset>7620</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07D26">
      <w:rPr>
        <w:noProof/>
        <w:snapToGrid/>
        <w:lang w:eastAsia="zh-TW"/>
      </w:rPr>
      <w:drawing>
        <wp:anchor distT="0" distB="0" distL="114300" distR="114300" simplePos="0" relativeHeight="251999232" behindDoc="0" locked="0" layoutInCell="1" allowOverlap="1" wp14:anchorId="422F7D6F" wp14:editId="32EBEB75">
          <wp:simplePos x="0" y="0"/>
          <wp:positionH relativeFrom="margin">
            <wp:align>left</wp:align>
          </wp:positionH>
          <wp:positionV relativeFrom="paragraph">
            <wp:posOffset>-288925</wp:posOffset>
          </wp:positionV>
          <wp:extent cx="839478" cy="63024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807D26">
      <w:tab/>
    </w:r>
    <w:r w:rsidR="00807D26">
      <w:tab/>
      <w:t>U011-v2.0-PT-FR</w:t>
    </w:r>
    <w:r w:rsidR="00807D26"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DA0A" w14:textId="7E1881EF" w:rsidR="00807D26" w:rsidRPr="00A21469" w:rsidRDefault="00BE0A25" w:rsidP="00A21469">
    <w:pPr>
      <w:pStyle w:val="Footer"/>
      <w:tabs>
        <w:tab w:val="left" w:pos="2600"/>
      </w:tabs>
      <w:rPr>
        <w:sz w:val="20"/>
      </w:rPr>
    </w:pPr>
    <w:r w:rsidRPr="006021AD">
      <w:rPr>
        <w:noProof/>
        <w:sz w:val="22"/>
        <w:lang w:eastAsia="zh-TW"/>
      </w:rPr>
      <w:drawing>
        <wp:anchor distT="0" distB="0" distL="114300" distR="114300" simplePos="0" relativeHeight="252013568" behindDoc="0" locked="0" layoutInCell="1" allowOverlap="1" wp14:anchorId="0D3DB3CD" wp14:editId="0A10395A">
          <wp:simplePos x="0" y="0"/>
          <wp:positionH relativeFrom="column">
            <wp:posOffset>2475865</wp:posOffset>
          </wp:positionH>
          <wp:positionV relativeFrom="paragraph">
            <wp:posOffset>55245</wp:posOffset>
          </wp:positionV>
          <wp:extent cx="542925" cy="190500"/>
          <wp:effectExtent l="0" t="0" r="9525" b="0"/>
          <wp:wrapThrough wrapText="bothSides">
            <wp:wrapPolygon edited="0">
              <wp:start x="0" y="0"/>
              <wp:lineTo x="0" y="19440"/>
              <wp:lineTo x="21221" y="19440"/>
              <wp:lineTo x="2122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07D26">
      <w:rPr>
        <w:noProof/>
        <w:snapToGrid/>
        <w:lang w:eastAsia="zh-TW"/>
      </w:rPr>
      <w:drawing>
        <wp:anchor distT="0" distB="0" distL="114300" distR="114300" simplePos="0" relativeHeight="252001280" behindDoc="0" locked="0" layoutInCell="1" allowOverlap="1" wp14:anchorId="1FB4C312" wp14:editId="3FB7828F">
          <wp:simplePos x="0" y="0"/>
          <wp:positionH relativeFrom="margin">
            <wp:align>right</wp:align>
          </wp:positionH>
          <wp:positionV relativeFrom="paragraph">
            <wp:posOffset>-288925</wp:posOffset>
          </wp:positionV>
          <wp:extent cx="839470" cy="629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07D26">
      <w:t>U011-v2.0-PT-FR</w:t>
    </w:r>
    <w:r w:rsidR="00807D26">
      <w:tab/>
    </w:r>
    <w:r w:rsidR="00107C3B">
      <w:tab/>
    </w:r>
    <w:r w:rsidR="00807D2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BC1E" w14:textId="79B294FA" w:rsidR="00807D26" w:rsidRPr="00150FFB" w:rsidRDefault="00BE0A25" w:rsidP="009633A3">
    <w:pPr>
      <w:pStyle w:val="Footer"/>
      <w:tabs>
        <w:tab w:val="left" w:pos="2600"/>
      </w:tabs>
      <w:rPr>
        <w:sz w:val="20"/>
      </w:rPr>
    </w:pPr>
    <w:r w:rsidRPr="006021AD">
      <w:rPr>
        <w:noProof/>
        <w:sz w:val="22"/>
        <w:lang w:eastAsia="zh-TW"/>
      </w:rPr>
      <w:drawing>
        <wp:anchor distT="0" distB="0" distL="114300" distR="114300" simplePos="0" relativeHeight="252009472" behindDoc="0" locked="0" layoutInCell="1" allowOverlap="1" wp14:anchorId="530A3A1F" wp14:editId="0716B60E">
          <wp:simplePos x="0" y="0"/>
          <wp:positionH relativeFrom="column">
            <wp:posOffset>2571115</wp:posOffset>
          </wp:positionH>
          <wp:positionV relativeFrom="paragraph">
            <wp:posOffset>36195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07D26">
      <w:rPr>
        <w:noProof/>
        <w:snapToGrid/>
        <w:lang w:eastAsia="zh-TW"/>
      </w:rPr>
      <w:drawing>
        <wp:anchor distT="0" distB="0" distL="114300" distR="114300" simplePos="0" relativeHeight="251997184" behindDoc="0" locked="0" layoutInCell="1" allowOverlap="1" wp14:anchorId="0E79D675" wp14:editId="20B27801">
          <wp:simplePos x="0" y="0"/>
          <wp:positionH relativeFrom="margin">
            <wp:align>right</wp:align>
          </wp:positionH>
          <wp:positionV relativeFrom="paragraph">
            <wp:posOffset>-288925</wp:posOffset>
          </wp:positionV>
          <wp:extent cx="839470" cy="6299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07D26">
      <w:t>U011-v2.0-PT-FR</w:t>
    </w:r>
    <w:r w:rsidR="00807D26">
      <w:tab/>
    </w:r>
    <w:r w:rsidR="00107C3B">
      <w:tab/>
    </w:r>
    <w:r w:rsidR="00807D2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CC407" w14:textId="77777777" w:rsidR="00807D26" w:rsidRDefault="00807D26" w:rsidP="00150FFB">
      <w:pPr>
        <w:spacing w:after="60"/>
        <w:ind w:left="0"/>
      </w:pPr>
      <w:r>
        <w:separator/>
      </w:r>
    </w:p>
  </w:footnote>
  <w:footnote w:type="continuationSeparator" w:id="0">
    <w:p w14:paraId="7B87BDAD" w14:textId="77777777" w:rsidR="00807D26" w:rsidRDefault="00807D26" w:rsidP="000F4C6A">
      <w:r>
        <w:continuationSeparator/>
      </w:r>
    </w:p>
    <w:p w14:paraId="21849B13" w14:textId="77777777" w:rsidR="00807D26" w:rsidRDefault="00807D26"/>
    <w:p w14:paraId="773DD9E0" w14:textId="77777777" w:rsidR="00807D26" w:rsidRDefault="00807D26"/>
  </w:footnote>
  <w:footnote w:id="1">
    <w:p w14:paraId="6C23E907" w14:textId="77777777" w:rsidR="00807D26" w:rsidRDefault="00807D26" w:rsidP="00AC47B8">
      <w:pPr>
        <w:pStyle w:val="FootnoteText"/>
      </w:pPr>
      <w:r w:rsidRPr="005D1F45">
        <w:rPr>
          <w:rStyle w:val="FootnoteReference"/>
          <w:sz w:val="16"/>
          <w:szCs w:val="16"/>
          <w:vertAlign w:val="baseline"/>
        </w:rPr>
        <w:footnoteRef/>
      </w:r>
      <w:r>
        <w:rPr>
          <w:rStyle w:val="hps"/>
        </w:rPr>
        <w:t>.</w:t>
      </w:r>
      <w:r>
        <w:rPr>
          <w:rStyle w:val="hps"/>
        </w:rPr>
        <w:tab/>
        <w:t>Fréquemment appelée « Convention du patrimoine</w:t>
      </w:r>
      <w:r>
        <w:t xml:space="preserve"> </w:t>
      </w:r>
      <w:r>
        <w:rPr>
          <w:rStyle w:val="hps"/>
        </w:rPr>
        <w:t>immatériel », « Convention de 2003 » et</w:t>
      </w:r>
      <w:r>
        <w:t xml:space="preserve">, aux fins </w:t>
      </w:r>
      <w:r>
        <w:rPr>
          <w:rStyle w:val="hps"/>
        </w:rPr>
        <w:t>de la présente unité</w:t>
      </w:r>
      <w:r>
        <w:t>, dite</w:t>
      </w:r>
      <w:r>
        <w:rPr>
          <w:rStyle w:val="hps"/>
        </w:rPr>
        <w:t xml:space="preserve"> simplement</w:t>
      </w:r>
      <w:r>
        <w:t xml:space="preserve"> « </w:t>
      </w:r>
      <w:r>
        <w:rPr>
          <w:rStyle w:val="hps"/>
        </w:rPr>
        <w:t>la Convention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3018" w14:textId="7D443FB3" w:rsidR="00807D26" w:rsidRPr="00603A8C" w:rsidRDefault="00807D26"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EE46F8">
      <w:rPr>
        <w:rStyle w:val="PageNumber"/>
        <w:noProof/>
        <w:lang w:val="fr-FR"/>
      </w:rPr>
      <w:t>2</w:t>
    </w:r>
    <w:r>
      <w:rPr>
        <w:rStyle w:val="PageNumber"/>
      </w:rPr>
      <w:fldChar w:fldCharType="end"/>
    </w:r>
    <w:r w:rsidRPr="00603A8C">
      <w:rPr>
        <w:lang w:val="fr-FR"/>
      </w:rPr>
      <w:tab/>
    </w:r>
    <w:r w:rsidRPr="00BA29D3">
      <w:rPr>
        <w:lang w:val="fr-FR"/>
      </w:rPr>
      <w:t>Unité 11 : Candidatures</w:t>
    </w:r>
    <w:r>
      <w:rPr>
        <w:lang w:val="fr-FR"/>
      </w:rPr>
      <w:t> :</w:t>
    </w:r>
    <w:r w:rsidRPr="009B745A">
      <w:rPr>
        <w:lang w:val="fr-FR"/>
      </w:rPr>
      <w:t xml:space="preserve"> aperçu</w:t>
    </w:r>
    <w:r>
      <w:rPr>
        <w:lang w:val="fr-FR"/>
      </w:rPr>
      <w:tab/>
    </w:r>
    <w:r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CCB0" w14:textId="7F2FFB5A" w:rsidR="00807D26" w:rsidRPr="00603A8C" w:rsidRDefault="00807D26" w:rsidP="00150FFB">
    <w:pPr>
      <w:pStyle w:val="Header"/>
      <w:rPr>
        <w:lang w:val="fr-FR"/>
      </w:rPr>
    </w:pPr>
    <w:r w:rsidRPr="00603A8C">
      <w:rPr>
        <w:lang w:val="fr-FR"/>
      </w:rPr>
      <w:t>Texte du participant</w:t>
    </w:r>
    <w:r w:rsidRPr="00603A8C">
      <w:rPr>
        <w:lang w:val="fr-FR"/>
      </w:rPr>
      <w:tab/>
    </w:r>
    <w:r w:rsidRPr="00BA29D3">
      <w:rPr>
        <w:lang w:val="fr-FR"/>
      </w:rPr>
      <w:t>Unité 11 : Candidatures</w:t>
    </w:r>
    <w:r>
      <w:rPr>
        <w:lang w:val="fr-FR"/>
      </w:rPr>
      <w:t> :</w:t>
    </w:r>
    <w:r w:rsidRPr="009B745A">
      <w:rPr>
        <w:lang w:val="fr-FR"/>
      </w:rPr>
      <w:t xml:space="preserve"> aperçu</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EE46F8">
      <w:rPr>
        <w:rStyle w:val="PageNumber"/>
        <w:noProof/>
        <w:lang w:val="fr-FR"/>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7071" w14:textId="77777777" w:rsidR="00807D26" w:rsidRPr="00FE384B" w:rsidRDefault="00807D26" w:rsidP="00A41931">
    <w:pPr>
      <w:pStyle w:val="Header"/>
      <w:ind w:right="360"/>
      <w:rPr>
        <w:lang w:val="fr-FR"/>
      </w:rPr>
    </w:pPr>
    <w:r w:rsidRPr="00FE384B">
      <w:rPr>
        <w:rStyle w:val="PageNumber"/>
        <w:lang w:val="fr-FR"/>
      </w:rPr>
      <w:tab/>
      <w:t>Texte du participant</w:t>
    </w:r>
    <w:r w:rsidRPr="00FE384B">
      <w:rPr>
        <w:rStyle w:val="PageNumbe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4"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D194B"/>
    <w:multiLevelType w:val="hybridMultilevel"/>
    <w:tmpl w:val="4B349D9E"/>
    <w:lvl w:ilvl="0" w:tplc="B04E0E06">
      <w:start w:val="1"/>
      <w:numFmt w:val="bullet"/>
      <w:pStyle w:val="Txtpucegras"/>
      <w:lvlText w:val=""/>
      <w:lvlJc w:val="left"/>
      <w:pPr>
        <w:tabs>
          <w:tab w:val="num" w:pos="906"/>
        </w:tabs>
        <w:ind w:left="906" w:hanging="283"/>
      </w:pPr>
      <w:rPr>
        <w:rFonts w:ascii="Symbol" w:hAnsi="Symbol" w:hint="default"/>
      </w:rPr>
    </w:lvl>
    <w:lvl w:ilvl="1" w:tplc="1C090003">
      <w:start w:val="1"/>
      <w:numFmt w:val="decimal"/>
      <w:lvlText w:val="%2."/>
      <w:lvlJc w:val="left"/>
      <w:pPr>
        <w:tabs>
          <w:tab w:val="num" w:pos="1212"/>
        </w:tabs>
        <w:ind w:left="1212" w:hanging="360"/>
      </w:pPr>
    </w:lvl>
    <w:lvl w:ilvl="2" w:tplc="1C090005">
      <w:start w:val="1"/>
      <w:numFmt w:val="decimal"/>
      <w:lvlText w:val="%3."/>
      <w:lvlJc w:val="left"/>
      <w:pPr>
        <w:tabs>
          <w:tab w:val="num" w:pos="1932"/>
        </w:tabs>
        <w:ind w:left="1932" w:hanging="360"/>
      </w:pPr>
    </w:lvl>
    <w:lvl w:ilvl="3" w:tplc="1C090001">
      <w:start w:val="1"/>
      <w:numFmt w:val="decimal"/>
      <w:lvlText w:val="%4."/>
      <w:lvlJc w:val="left"/>
      <w:pPr>
        <w:tabs>
          <w:tab w:val="num" w:pos="2652"/>
        </w:tabs>
        <w:ind w:left="2652" w:hanging="360"/>
      </w:pPr>
    </w:lvl>
    <w:lvl w:ilvl="4" w:tplc="1C090003">
      <w:start w:val="1"/>
      <w:numFmt w:val="decimal"/>
      <w:lvlText w:val="%5."/>
      <w:lvlJc w:val="left"/>
      <w:pPr>
        <w:tabs>
          <w:tab w:val="num" w:pos="3372"/>
        </w:tabs>
        <w:ind w:left="3372" w:hanging="360"/>
      </w:pPr>
    </w:lvl>
    <w:lvl w:ilvl="5" w:tplc="1C090005">
      <w:start w:val="1"/>
      <w:numFmt w:val="decimal"/>
      <w:lvlText w:val="%6."/>
      <w:lvlJc w:val="left"/>
      <w:pPr>
        <w:tabs>
          <w:tab w:val="num" w:pos="4092"/>
        </w:tabs>
        <w:ind w:left="4092" w:hanging="360"/>
      </w:pPr>
    </w:lvl>
    <w:lvl w:ilvl="6" w:tplc="1C090001">
      <w:start w:val="1"/>
      <w:numFmt w:val="decimal"/>
      <w:lvlText w:val="%7."/>
      <w:lvlJc w:val="left"/>
      <w:pPr>
        <w:tabs>
          <w:tab w:val="num" w:pos="4812"/>
        </w:tabs>
        <w:ind w:left="4812" w:hanging="360"/>
      </w:pPr>
    </w:lvl>
    <w:lvl w:ilvl="7" w:tplc="1C090003">
      <w:start w:val="1"/>
      <w:numFmt w:val="decimal"/>
      <w:lvlText w:val="%8."/>
      <w:lvlJc w:val="left"/>
      <w:pPr>
        <w:tabs>
          <w:tab w:val="num" w:pos="5532"/>
        </w:tabs>
        <w:ind w:left="5532" w:hanging="360"/>
      </w:pPr>
    </w:lvl>
    <w:lvl w:ilvl="8" w:tplc="1C090005">
      <w:start w:val="1"/>
      <w:numFmt w:val="decimal"/>
      <w:lvlText w:val="%9."/>
      <w:lvlJc w:val="left"/>
      <w:pPr>
        <w:tabs>
          <w:tab w:val="num" w:pos="6252"/>
        </w:tabs>
        <w:ind w:left="6252" w:hanging="360"/>
      </w:pPr>
    </w:lvl>
  </w:abstractNum>
  <w:abstractNum w:abstractNumId="6"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8"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8"/>
  </w:num>
  <w:num w:numId="6">
    <w:abstractNumId w:val="3"/>
  </w:num>
  <w:num w:numId="7">
    <w:abstractNumId w:val="0"/>
  </w:num>
  <w:num w:numId="8">
    <w:abstractNumId w:val="6"/>
  </w:num>
  <w:num w:numId="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0793F"/>
    <w:rsid w:val="00014873"/>
    <w:rsid w:val="0001493B"/>
    <w:rsid w:val="000151E5"/>
    <w:rsid w:val="0001741F"/>
    <w:rsid w:val="00017D71"/>
    <w:rsid w:val="000213A8"/>
    <w:rsid w:val="00022302"/>
    <w:rsid w:val="0002511C"/>
    <w:rsid w:val="00026DC2"/>
    <w:rsid w:val="00027DD9"/>
    <w:rsid w:val="00033F01"/>
    <w:rsid w:val="000349C0"/>
    <w:rsid w:val="00040131"/>
    <w:rsid w:val="00041EBF"/>
    <w:rsid w:val="000424D8"/>
    <w:rsid w:val="00043DFF"/>
    <w:rsid w:val="00044417"/>
    <w:rsid w:val="00047780"/>
    <w:rsid w:val="00050E12"/>
    <w:rsid w:val="00053368"/>
    <w:rsid w:val="00054243"/>
    <w:rsid w:val="000542FD"/>
    <w:rsid w:val="00054EE0"/>
    <w:rsid w:val="00062885"/>
    <w:rsid w:val="000651E6"/>
    <w:rsid w:val="00065255"/>
    <w:rsid w:val="00066E72"/>
    <w:rsid w:val="0007005C"/>
    <w:rsid w:val="0007094A"/>
    <w:rsid w:val="00073751"/>
    <w:rsid w:val="00074FFC"/>
    <w:rsid w:val="00075D7D"/>
    <w:rsid w:val="00076221"/>
    <w:rsid w:val="00077353"/>
    <w:rsid w:val="000800C0"/>
    <w:rsid w:val="00080DAF"/>
    <w:rsid w:val="000819F8"/>
    <w:rsid w:val="000826E1"/>
    <w:rsid w:val="0008417E"/>
    <w:rsid w:val="00085406"/>
    <w:rsid w:val="00085543"/>
    <w:rsid w:val="0008620C"/>
    <w:rsid w:val="00086C3C"/>
    <w:rsid w:val="00094E6C"/>
    <w:rsid w:val="000A137F"/>
    <w:rsid w:val="000A13AA"/>
    <w:rsid w:val="000A385A"/>
    <w:rsid w:val="000A7857"/>
    <w:rsid w:val="000B0472"/>
    <w:rsid w:val="000B1EB7"/>
    <w:rsid w:val="000B2122"/>
    <w:rsid w:val="000B3E37"/>
    <w:rsid w:val="000B710C"/>
    <w:rsid w:val="000C0E6A"/>
    <w:rsid w:val="000C41FA"/>
    <w:rsid w:val="000C7105"/>
    <w:rsid w:val="000D0602"/>
    <w:rsid w:val="000D176D"/>
    <w:rsid w:val="000D4A82"/>
    <w:rsid w:val="000D6D71"/>
    <w:rsid w:val="000D7317"/>
    <w:rsid w:val="000D7666"/>
    <w:rsid w:val="000D7964"/>
    <w:rsid w:val="000E0530"/>
    <w:rsid w:val="000E4179"/>
    <w:rsid w:val="000E794C"/>
    <w:rsid w:val="000F4C6A"/>
    <w:rsid w:val="00103657"/>
    <w:rsid w:val="001060CE"/>
    <w:rsid w:val="00107C3B"/>
    <w:rsid w:val="00107DB1"/>
    <w:rsid w:val="00112B69"/>
    <w:rsid w:val="00117B78"/>
    <w:rsid w:val="00123B89"/>
    <w:rsid w:val="00130FB9"/>
    <w:rsid w:val="00132CAD"/>
    <w:rsid w:val="00133E1B"/>
    <w:rsid w:val="00140116"/>
    <w:rsid w:val="0014199A"/>
    <w:rsid w:val="0014251F"/>
    <w:rsid w:val="00145A5C"/>
    <w:rsid w:val="00146D1E"/>
    <w:rsid w:val="00147F5C"/>
    <w:rsid w:val="00150FFB"/>
    <w:rsid w:val="00152FA0"/>
    <w:rsid w:val="001533D4"/>
    <w:rsid w:val="0015366F"/>
    <w:rsid w:val="00154EA2"/>
    <w:rsid w:val="00164F5F"/>
    <w:rsid w:val="00165EED"/>
    <w:rsid w:val="00166843"/>
    <w:rsid w:val="00167480"/>
    <w:rsid w:val="0017028D"/>
    <w:rsid w:val="00170BFE"/>
    <w:rsid w:val="001757F9"/>
    <w:rsid w:val="00177621"/>
    <w:rsid w:val="00180896"/>
    <w:rsid w:val="001843B4"/>
    <w:rsid w:val="00186060"/>
    <w:rsid w:val="00186D10"/>
    <w:rsid w:val="0018741A"/>
    <w:rsid w:val="00187C35"/>
    <w:rsid w:val="00187C60"/>
    <w:rsid w:val="00191322"/>
    <w:rsid w:val="00191B71"/>
    <w:rsid w:val="0019481E"/>
    <w:rsid w:val="00194DFA"/>
    <w:rsid w:val="0019585B"/>
    <w:rsid w:val="00195959"/>
    <w:rsid w:val="001A171D"/>
    <w:rsid w:val="001A2B13"/>
    <w:rsid w:val="001A48C3"/>
    <w:rsid w:val="001A5977"/>
    <w:rsid w:val="001A69CA"/>
    <w:rsid w:val="001B04F6"/>
    <w:rsid w:val="001B0F2D"/>
    <w:rsid w:val="001B3C85"/>
    <w:rsid w:val="001B586D"/>
    <w:rsid w:val="001C168D"/>
    <w:rsid w:val="001C2F9D"/>
    <w:rsid w:val="001C5BA9"/>
    <w:rsid w:val="001C5D26"/>
    <w:rsid w:val="001D13FF"/>
    <w:rsid w:val="001D39F7"/>
    <w:rsid w:val="001D5A7D"/>
    <w:rsid w:val="001D70CD"/>
    <w:rsid w:val="001E0C39"/>
    <w:rsid w:val="001E1505"/>
    <w:rsid w:val="001E278E"/>
    <w:rsid w:val="001E4B93"/>
    <w:rsid w:val="001E517D"/>
    <w:rsid w:val="001E7E3A"/>
    <w:rsid w:val="001F43D8"/>
    <w:rsid w:val="001F506C"/>
    <w:rsid w:val="001F5D28"/>
    <w:rsid w:val="001F60E0"/>
    <w:rsid w:val="002032E2"/>
    <w:rsid w:val="00204B86"/>
    <w:rsid w:val="00206C1F"/>
    <w:rsid w:val="00210D69"/>
    <w:rsid w:val="00211D8B"/>
    <w:rsid w:val="002132D2"/>
    <w:rsid w:val="00215C29"/>
    <w:rsid w:val="00216A23"/>
    <w:rsid w:val="002171D7"/>
    <w:rsid w:val="002207C3"/>
    <w:rsid w:val="00221195"/>
    <w:rsid w:val="002216BA"/>
    <w:rsid w:val="00221F26"/>
    <w:rsid w:val="0022235D"/>
    <w:rsid w:val="00226255"/>
    <w:rsid w:val="0022656C"/>
    <w:rsid w:val="00227AF5"/>
    <w:rsid w:val="00227E50"/>
    <w:rsid w:val="00231010"/>
    <w:rsid w:val="00231A87"/>
    <w:rsid w:val="00233749"/>
    <w:rsid w:val="0023454D"/>
    <w:rsid w:val="00234B2D"/>
    <w:rsid w:val="00235024"/>
    <w:rsid w:val="00235120"/>
    <w:rsid w:val="0023521F"/>
    <w:rsid w:val="00236B5B"/>
    <w:rsid w:val="0023733F"/>
    <w:rsid w:val="00241C55"/>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40FF"/>
    <w:rsid w:val="00265203"/>
    <w:rsid w:val="002712FD"/>
    <w:rsid w:val="00275601"/>
    <w:rsid w:val="002758D6"/>
    <w:rsid w:val="002758DA"/>
    <w:rsid w:val="00277EB4"/>
    <w:rsid w:val="002800D8"/>
    <w:rsid w:val="002832A1"/>
    <w:rsid w:val="00284539"/>
    <w:rsid w:val="00285F80"/>
    <w:rsid w:val="002869EB"/>
    <w:rsid w:val="00290880"/>
    <w:rsid w:val="00291E2F"/>
    <w:rsid w:val="002934E6"/>
    <w:rsid w:val="00294972"/>
    <w:rsid w:val="00294FD3"/>
    <w:rsid w:val="00296070"/>
    <w:rsid w:val="002A025C"/>
    <w:rsid w:val="002A2F7A"/>
    <w:rsid w:val="002A447B"/>
    <w:rsid w:val="002A4ED4"/>
    <w:rsid w:val="002A5E66"/>
    <w:rsid w:val="002A6D5B"/>
    <w:rsid w:val="002A7352"/>
    <w:rsid w:val="002B1505"/>
    <w:rsid w:val="002B2B78"/>
    <w:rsid w:val="002B33DC"/>
    <w:rsid w:val="002B6A2C"/>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2551"/>
    <w:rsid w:val="002F67A4"/>
    <w:rsid w:val="002F739D"/>
    <w:rsid w:val="00300B86"/>
    <w:rsid w:val="0030150F"/>
    <w:rsid w:val="0030168E"/>
    <w:rsid w:val="00307D34"/>
    <w:rsid w:val="00310CD0"/>
    <w:rsid w:val="00312970"/>
    <w:rsid w:val="00316B5B"/>
    <w:rsid w:val="003238D3"/>
    <w:rsid w:val="003259DC"/>
    <w:rsid w:val="0032659F"/>
    <w:rsid w:val="00330A6B"/>
    <w:rsid w:val="00330E2D"/>
    <w:rsid w:val="003356E3"/>
    <w:rsid w:val="003370CB"/>
    <w:rsid w:val="003372C9"/>
    <w:rsid w:val="00340932"/>
    <w:rsid w:val="003422E3"/>
    <w:rsid w:val="00344D75"/>
    <w:rsid w:val="00347851"/>
    <w:rsid w:val="00354854"/>
    <w:rsid w:val="00356218"/>
    <w:rsid w:val="00360416"/>
    <w:rsid w:val="003677D8"/>
    <w:rsid w:val="00370391"/>
    <w:rsid w:val="00370EBE"/>
    <w:rsid w:val="00373236"/>
    <w:rsid w:val="00373B5D"/>
    <w:rsid w:val="00374529"/>
    <w:rsid w:val="00374E73"/>
    <w:rsid w:val="00374E95"/>
    <w:rsid w:val="00375BFE"/>
    <w:rsid w:val="00376B16"/>
    <w:rsid w:val="00377639"/>
    <w:rsid w:val="00377F74"/>
    <w:rsid w:val="00384E33"/>
    <w:rsid w:val="00387787"/>
    <w:rsid w:val="0039446A"/>
    <w:rsid w:val="00396190"/>
    <w:rsid w:val="00396571"/>
    <w:rsid w:val="0039745B"/>
    <w:rsid w:val="00397491"/>
    <w:rsid w:val="003A1010"/>
    <w:rsid w:val="003A524E"/>
    <w:rsid w:val="003A7641"/>
    <w:rsid w:val="003B09E7"/>
    <w:rsid w:val="003B1901"/>
    <w:rsid w:val="003B2A6E"/>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5AF4"/>
    <w:rsid w:val="003E5E70"/>
    <w:rsid w:val="003F104E"/>
    <w:rsid w:val="003F1597"/>
    <w:rsid w:val="003F3288"/>
    <w:rsid w:val="003F50EC"/>
    <w:rsid w:val="003F5CA8"/>
    <w:rsid w:val="003F6B5C"/>
    <w:rsid w:val="00402839"/>
    <w:rsid w:val="0040373D"/>
    <w:rsid w:val="00403A1B"/>
    <w:rsid w:val="0040444F"/>
    <w:rsid w:val="00404EAE"/>
    <w:rsid w:val="00406030"/>
    <w:rsid w:val="00411833"/>
    <w:rsid w:val="004120B8"/>
    <w:rsid w:val="004124FE"/>
    <w:rsid w:val="00412910"/>
    <w:rsid w:val="004139B2"/>
    <w:rsid w:val="0042393B"/>
    <w:rsid w:val="00423B9A"/>
    <w:rsid w:val="004272A4"/>
    <w:rsid w:val="00430B70"/>
    <w:rsid w:val="004315D8"/>
    <w:rsid w:val="004325DC"/>
    <w:rsid w:val="00433FAD"/>
    <w:rsid w:val="00434788"/>
    <w:rsid w:val="00434BA5"/>
    <w:rsid w:val="00434CAC"/>
    <w:rsid w:val="00436ECC"/>
    <w:rsid w:val="0043725F"/>
    <w:rsid w:val="004406B6"/>
    <w:rsid w:val="004449EE"/>
    <w:rsid w:val="004468CE"/>
    <w:rsid w:val="00447076"/>
    <w:rsid w:val="00447861"/>
    <w:rsid w:val="00447F1C"/>
    <w:rsid w:val="00450EF9"/>
    <w:rsid w:val="00451EB6"/>
    <w:rsid w:val="00455CF9"/>
    <w:rsid w:val="00456D21"/>
    <w:rsid w:val="00460771"/>
    <w:rsid w:val="00461004"/>
    <w:rsid w:val="00461C5C"/>
    <w:rsid w:val="00464E9D"/>
    <w:rsid w:val="0046535D"/>
    <w:rsid w:val="00467BA1"/>
    <w:rsid w:val="00472E0F"/>
    <w:rsid w:val="00475B87"/>
    <w:rsid w:val="00477C3F"/>
    <w:rsid w:val="0048121B"/>
    <w:rsid w:val="00481229"/>
    <w:rsid w:val="00483E5F"/>
    <w:rsid w:val="00485AA9"/>
    <w:rsid w:val="00490881"/>
    <w:rsid w:val="00495197"/>
    <w:rsid w:val="00496818"/>
    <w:rsid w:val="00496C7F"/>
    <w:rsid w:val="004A3569"/>
    <w:rsid w:val="004A3A76"/>
    <w:rsid w:val="004A4557"/>
    <w:rsid w:val="004A51F7"/>
    <w:rsid w:val="004A60E9"/>
    <w:rsid w:val="004A66F4"/>
    <w:rsid w:val="004A6AB4"/>
    <w:rsid w:val="004A7115"/>
    <w:rsid w:val="004A78E2"/>
    <w:rsid w:val="004A7ED8"/>
    <w:rsid w:val="004B04B3"/>
    <w:rsid w:val="004B1D4C"/>
    <w:rsid w:val="004B345E"/>
    <w:rsid w:val="004B45C3"/>
    <w:rsid w:val="004C0123"/>
    <w:rsid w:val="004C0416"/>
    <w:rsid w:val="004C1C00"/>
    <w:rsid w:val="004C5C50"/>
    <w:rsid w:val="004D2AA2"/>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1A31"/>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768F"/>
    <w:rsid w:val="0054590D"/>
    <w:rsid w:val="00545F00"/>
    <w:rsid w:val="00547581"/>
    <w:rsid w:val="00550074"/>
    <w:rsid w:val="00552D9D"/>
    <w:rsid w:val="0055379C"/>
    <w:rsid w:val="00554DE9"/>
    <w:rsid w:val="00555900"/>
    <w:rsid w:val="00556D69"/>
    <w:rsid w:val="0056051F"/>
    <w:rsid w:val="0056138E"/>
    <w:rsid w:val="0056329E"/>
    <w:rsid w:val="00565F12"/>
    <w:rsid w:val="005666D2"/>
    <w:rsid w:val="00567F81"/>
    <w:rsid w:val="00573B3D"/>
    <w:rsid w:val="0057532F"/>
    <w:rsid w:val="00575BF8"/>
    <w:rsid w:val="00575C38"/>
    <w:rsid w:val="00577621"/>
    <w:rsid w:val="00577FDF"/>
    <w:rsid w:val="00581F97"/>
    <w:rsid w:val="00584506"/>
    <w:rsid w:val="00590126"/>
    <w:rsid w:val="00590B2E"/>
    <w:rsid w:val="00595ECC"/>
    <w:rsid w:val="0059714B"/>
    <w:rsid w:val="005A0707"/>
    <w:rsid w:val="005A0AB6"/>
    <w:rsid w:val="005A207D"/>
    <w:rsid w:val="005A4868"/>
    <w:rsid w:val="005A69B3"/>
    <w:rsid w:val="005B0DA6"/>
    <w:rsid w:val="005B1C14"/>
    <w:rsid w:val="005B5D26"/>
    <w:rsid w:val="005B5EC6"/>
    <w:rsid w:val="005B703B"/>
    <w:rsid w:val="005B79DB"/>
    <w:rsid w:val="005C10EB"/>
    <w:rsid w:val="005C21E7"/>
    <w:rsid w:val="005C7ACF"/>
    <w:rsid w:val="005D01EF"/>
    <w:rsid w:val="005D1F45"/>
    <w:rsid w:val="005D5337"/>
    <w:rsid w:val="005D65C8"/>
    <w:rsid w:val="005D6A14"/>
    <w:rsid w:val="005D72E2"/>
    <w:rsid w:val="005E1584"/>
    <w:rsid w:val="005E17CB"/>
    <w:rsid w:val="005E221C"/>
    <w:rsid w:val="005E39EF"/>
    <w:rsid w:val="005E4961"/>
    <w:rsid w:val="005E4F57"/>
    <w:rsid w:val="005E7EEB"/>
    <w:rsid w:val="005F2FEC"/>
    <w:rsid w:val="005F3D8C"/>
    <w:rsid w:val="005F5631"/>
    <w:rsid w:val="006004EC"/>
    <w:rsid w:val="00600B60"/>
    <w:rsid w:val="00603A8C"/>
    <w:rsid w:val="0060489A"/>
    <w:rsid w:val="00604FCF"/>
    <w:rsid w:val="006073FB"/>
    <w:rsid w:val="0061203C"/>
    <w:rsid w:val="006173A9"/>
    <w:rsid w:val="006206CE"/>
    <w:rsid w:val="00625277"/>
    <w:rsid w:val="0062637E"/>
    <w:rsid w:val="00626846"/>
    <w:rsid w:val="00630AC3"/>
    <w:rsid w:val="00631706"/>
    <w:rsid w:val="006346F4"/>
    <w:rsid w:val="006358F9"/>
    <w:rsid w:val="00640A46"/>
    <w:rsid w:val="00641EC7"/>
    <w:rsid w:val="00641FC4"/>
    <w:rsid w:val="0064362E"/>
    <w:rsid w:val="0064478C"/>
    <w:rsid w:val="00645717"/>
    <w:rsid w:val="00645EA9"/>
    <w:rsid w:val="00646C0C"/>
    <w:rsid w:val="00646D3D"/>
    <w:rsid w:val="0065068A"/>
    <w:rsid w:val="00651766"/>
    <w:rsid w:val="00652F82"/>
    <w:rsid w:val="00653FD6"/>
    <w:rsid w:val="00655040"/>
    <w:rsid w:val="00657072"/>
    <w:rsid w:val="00657E89"/>
    <w:rsid w:val="00660FC7"/>
    <w:rsid w:val="0066356D"/>
    <w:rsid w:val="00664974"/>
    <w:rsid w:val="00665D0F"/>
    <w:rsid w:val="0067217E"/>
    <w:rsid w:val="006733E3"/>
    <w:rsid w:val="00674799"/>
    <w:rsid w:val="006757EA"/>
    <w:rsid w:val="00682587"/>
    <w:rsid w:val="00682B52"/>
    <w:rsid w:val="00684202"/>
    <w:rsid w:val="006858F6"/>
    <w:rsid w:val="0069346B"/>
    <w:rsid w:val="006A208F"/>
    <w:rsid w:val="006A70E2"/>
    <w:rsid w:val="006B1B3A"/>
    <w:rsid w:val="006C20E9"/>
    <w:rsid w:val="006C3387"/>
    <w:rsid w:val="006C362F"/>
    <w:rsid w:val="006C6F2C"/>
    <w:rsid w:val="006D283B"/>
    <w:rsid w:val="006D313C"/>
    <w:rsid w:val="006E0048"/>
    <w:rsid w:val="006E147C"/>
    <w:rsid w:val="006E38CC"/>
    <w:rsid w:val="006E4984"/>
    <w:rsid w:val="006E6DDC"/>
    <w:rsid w:val="006F2551"/>
    <w:rsid w:val="006F42AA"/>
    <w:rsid w:val="006F42B3"/>
    <w:rsid w:val="006F4396"/>
    <w:rsid w:val="006F61A0"/>
    <w:rsid w:val="006F64E6"/>
    <w:rsid w:val="007004AC"/>
    <w:rsid w:val="00700755"/>
    <w:rsid w:val="00701EE2"/>
    <w:rsid w:val="00702EB3"/>
    <w:rsid w:val="007102EC"/>
    <w:rsid w:val="00710F64"/>
    <w:rsid w:val="00712B1C"/>
    <w:rsid w:val="00713917"/>
    <w:rsid w:val="00713A6D"/>
    <w:rsid w:val="0071539A"/>
    <w:rsid w:val="00722302"/>
    <w:rsid w:val="00726F77"/>
    <w:rsid w:val="007278A8"/>
    <w:rsid w:val="007342F5"/>
    <w:rsid w:val="00734A13"/>
    <w:rsid w:val="00740702"/>
    <w:rsid w:val="00744425"/>
    <w:rsid w:val="007457B3"/>
    <w:rsid w:val="00746321"/>
    <w:rsid w:val="00750512"/>
    <w:rsid w:val="00751114"/>
    <w:rsid w:val="007521EC"/>
    <w:rsid w:val="00752A0F"/>
    <w:rsid w:val="00755472"/>
    <w:rsid w:val="0075609B"/>
    <w:rsid w:val="00756390"/>
    <w:rsid w:val="0075652A"/>
    <w:rsid w:val="00757DCB"/>
    <w:rsid w:val="00761C46"/>
    <w:rsid w:val="00762057"/>
    <w:rsid w:val="007629FA"/>
    <w:rsid w:val="00765959"/>
    <w:rsid w:val="00765B7E"/>
    <w:rsid w:val="0077206E"/>
    <w:rsid w:val="00772169"/>
    <w:rsid w:val="007728F8"/>
    <w:rsid w:val="007729B5"/>
    <w:rsid w:val="00772D1E"/>
    <w:rsid w:val="00773186"/>
    <w:rsid w:val="007749A0"/>
    <w:rsid w:val="00775C56"/>
    <w:rsid w:val="00775F40"/>
    <w:rsid w:val="007800DA"/>
    <w:rsid w:val="007808BE"/>
    <w:rsid w:val="007814F9"/>
    <w:rsid w:val="00785367"/>
    <w:rsid w:val="00785D4E"/>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5C15"/>
    <w:rsid w:val="007C70FB"/>
    <w:rsid w:val="007D1DA1"/>
    <w:rsid w:val="007D222B"/>
    <w:rsid w:val="007D3099"/>
    <w:rsid w:val="007E03FC"/>
    <w:rsid w:val="007E04EC"/>
    <w:rsid w:val="007E0DC4"/>
    <w:rsid w:val="007E60D0"/>
    <w:rsid w:val="007E6695"/>
    <w:rsid w:val="007E6806"/>
    <w:rsid w:val="007F3170"/>
    <w:rsid w:val="007F577A"/>
    <w:rsid w:val="00801003"/>
    <w:rsid w:val="0080154D"/>
    <w:rsid w:val="00801CFC"/>
    <w:rsid w:val="00802B64"/>
    <w:rsid w:val="00803BA6"/>
    <w:rsid w:val="008043B8"/>
    <w:rsid w:val="0080530D"/>
    <w:rsid w:val="00807D26"/>
    <w:rsid w:val="00807F0C"/>
    <w:rsid w:val="008130C5"/>
    <w:rsid w:val="0081317D"/>
    <w:rsid w:val="008136F0"/>
    <w:rsid w:val="00813717"/>
    <w:rsid w:val="00816623"/>
    <w:rsid w:val="00816DE1"/>
    <w:rsid w:val="008177E6"/>
    <w:rsid w:val="00817F26"/>
    <w:rsid w:val="0082004C"/>
    <w:rsid w:val="008207E0"/>
    <w:rsid w:val="0082131F"/>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ED1"/>
    <w:rsid w:val="00883EB9"/>
    <w:rsid w:val="00891073"/>
    <w:rsid w:val="008A7E01"/>
    <w:rsid w:val="008B0D35"/>
    <w:rsid w:val="008B14CC"/>
    <w:rsid w:val="008B4150"/>
    <w:rsid w:val="008B6993"/>
    <w:rsid w:val="008B6C89"/>
    <w:rsid w:val="008C61FB"/>
    <w:rsid w:val="008C739C"/>
    <w:rsid w:val="008C7B0E"/>
    <w:rsid w:val="008D0008"/>
    <w:rsid w:val="008D07D5"/>
    <w:rsid w:val="008D07E3"/>
    <w:rsid w:val="008D59A2"/>
    <w:rsid w:val="008D5B4A"/>
    <w:rsid w:val="008D60AA"/>
    <w:rsid w:val="008D7E7E"/>
    <w:rsid w:val="008E0ADF"/>
    <w:rsid w:val="008E5022"/>
    <w:rsid w:val="008F1F90"/>
    <w:rsid w:val="008F50F6"/>
    <w:rsid w:val="008F5CBB"/>
    <w:rsid w:val="008F6F29"/>
    <w:rsid w:val="008F743C"/>
    <w:rsid w:val="008F7BC2"/>
    <w:rsid w:val="00901A6A"/>
    <w:rsid w:val="00902774"/>
    <w:rsid w:val="00903EAE"/>
    <w:rsid w:val="00906C0A"/>
    <w:rsid w:val="0091201E"/>
    <w:rsid w:val="00913F6A"/>
    <w:rsid w:val="00914287"/>
    <w:rsid w:val="0091635C"/>
    <w:rsid w:val="009169F6"/>
    <w:rsid w:val="00916B13"/>
    <w:rsid w:val="00924A7C"/>
    <w:rsid w:val="009270A5"/>
    <w:rsid w:val="00927AD4"/>
    <w:rsid w:val="0093206D"/>
    <w:rsid w:val="009373AE"/>
    <w:rsid w:val="00946729"/>
    <w:rsid w:val="00953DB9"/>
    <w:rsid w:val="00954D9A"/>
    <w:rsid w:val="00957A73"/>
    <w:rsid w:val="00960EC7"/>
    <w:rsid w:val="009633A3"/>
    <w:rsid w:val="009643FB"/>
    <w:rsid w:val="00965850"/>
    <w:rsid w:val="0096685C"/>
    <w:rsid w:val="009705B1"/>
    <w:rsid w:val="009716C6"/>
    <w:rsid w:val="0097251E"/>
    <w:rsid w:val="00972FD9"/>
    <w:rsid w:val="00975132"/>
    <w:rsid w:val="009760C0"/>
    <w:rsid w:val="0098041F"/>
    <w:rsid w:val="00980A8F"/>
    <w:rsid w:val="009815DB"/>
    <w:rsid w:val="00983634"/>
    <w:rsid w:val="00983C57"/>
    <w:rsid w:val="009867A4"/>
    <w:rsid w:val="009877B9"/>
    <w:rsid w:val="009906EA"/>
    <w:rsid w:val="00990912"/>
    <w:rsid w:val="00991578"/>
    <w:rsid w:val="00992155"/>
    <w:rsid w:val="00992359"/>
    <w:rsid w:val="00993722"/>
    <w:rsid w:val="009940E0"/>
    <w:rsid w:val="0099702B"/>
    <w:rsid w:val="009A001E"/>
    <w:rsid w:val="009A05B3"/>
    <w:rsid w:val="009A1ED4"/>
    <w:rsid w:val="009A2E34"/>
    <w:rsid w:val="009A36C2"/>
    <w:rsid w:val="009A45EE"/>
    <w:rsid w:val="009B1865"/>
    <w:rsid w:val="009B2A0D"/>
    <w:rsid w:val="009B3F88"/>
    <w:rsid w:val="009C214A"/>
    <w:rsid w:val="009C7D5E"/>
    <w:rsid w:val="009D7E32"/>
    <w:rsid w:val="009E080E"/>
    <w:rsid w:val="009E3AC8"/>
    <w:rsid w:val="009E3ADA"/>
    <w:rsid w:val="009E3CFB"/>
    <w:rsid w:val="009E478F"/>
    <w:rsid w:val="009E47DA"/>
    <w:rsid w:val="009E59B1"/>
    <w:rsid w:val="009E788F"/>
    <w:rsid w:val="009F3192"/>
    <w:rsid w:val="009F3A1F"/>
    <w:rsid w:val="009F5434"/>
    <w:rsid w:val="009F6C90"/>
    <w:rsid w:val="009F7A02"/>
    <w:rsid w:val="00A03989"/>
    <w:rsid w:val="00A0403A"/>
    <w:rsid w:val="00A0517A"/>
    <w:rsid w:val="00A129FC"/>
    <w:rsid w:val="00A1335D"/>
    <w:rsid w:val="00A14E17"/>
    <w:rsid w:val="00A1544C"/>
    <w:rsid w:val="00A16235"/>
    <w:rsid w:val="00A162F3"/>
    <w:rsid w:val="00A16ADB"/>
    <w:rsid w:val="00A201D9"/>
    <w:rsid w:val="00A202A2"/>
    <w:rsid w:val="00A21469"/>
    <w:rsid w:val="00A228F7"/>
    <w:rsid w:val="00A27F81"/>
    <w:rsid w:val="00A31863"/>
    <w:rsid w:val="00A31C22"/>
    <w:rsid w:val="00A326D2"/>
    <w:rsid w:val="00A3457B"/>
    <w:rsid w:val="00A34BE8"/>
    <w:rsid w:val="00A36C3F"/>
    <w:rsid w:val="00A371A3"/>
    <w:rsid w:val="00A41931"/>
    <w:rsid w:val="00A45603"/>
    <w:rsid w:val="00A4618E"/>
    <w:rsid w:val="00A507FB"/>
    <w:rsid w:val="00A516C3"/>
    <w:rsid w:val="00A528E5"/>
    <w:rsid w:val="00A556BF"/>
    <w:rsid w:val="00A5684F"/>
    <w:rsid w:val="00A56F37"/>
    <w:rsid w:val="00A570C0"/>
    <w:rsid w:val="00A60D82"/>
    <w:rsid w:val="00A61E6D"/>
    <w:rsid w:val="00A64D80"/>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4586"/>
    <w:rsid w:val="00A84F89"/>
    <w:rsid w:val="00A85270"/>
    <w:rsid w:val="00A85E99"/>
    <w:rsid w:val="00A90FD6"/>
    <w:rsid w:val="00A9799B"/>
    <w:rsid w:val="00AA0D95"/>
    <w:rsid w:val="00AA30A5"/>
    <w:rsid w:val="00AA43B4"/>
    <w:rsid w:val="00AA6AD3"/>
    <w:rsid w:val="00AA72B4"/>
    <w:rsid w:val="00AB28D2"/>
    <w:rsid w:val="00AB2C13"/>
    <w:rsid w:val="00AB3F98"/>
    <w:rsid w:val="00AB434F"/>
    <w:rsid w:val="00AB54CF"/>
    <w:rsid w:val="00AC0706"/>
    <w:rsid w:val="00AC1382"/>
    <w:rsid w:val="00AC2953"/>
    <w:rsid w:val="00AC47B8"/>
    <w:rsid w:val="00AC4CF8"/>
    <w:rsid w:val="00AC63A5"/>
    <w:rsid w:val="00AC69F4"/>
    <w:rsid w:val="00AC733B"/>
    <w:rsid w:val="00AC798B"/>
    <w:rsid w:val="00AD1B89"/>
    <w:rsid w:val="00AD474D"/>
    <w:rsid w:val="00AE0451"/>
    <w:rsid w:val="00AE129F"/>
    <w:rsid w:val="00AE399F"/>
    <w:rsid w:val="00AE6787"/>
    <w:rsid w:val="00AF57CA"/>
    <w:rsid w:val="00AF6608"/>
    <w:rsid w:val="00AF711D"/>
    <w:rsid w:val="00AF7C55"/>
    <w:rsid w:val="00B001B1"/>
    <w:rsid w:val="00B0030C"/>
    <w:rsid w:val="00B01BD4"/>
    <w:rsid w:val="00B01E6B"/>
    <w:rsid w:val="00B02977"/>
    <w:rsid w:val="00B042E9"/>
    <w:rsid w:val="00B0489C"/>
    <w:rsid w:val="00B11970"/>
    <w:rsid w:val="00B121E6"/>
    <w:rsid w:val="00B139E0"/>
    <w:rsid w:val="00B16DDE"/>
    <w:rsid w:val="00B24530"/>
    <w:rsid w:val="00B26124"/>
    <w:rsid w:val="00B305BD"/>
    <w:rsid w:val="00B32948"/>
    <w:rsid w:val="00B3365B"/>
    <w:rsid w:val="00B33D50"/>
    <w:rsid w:val="00B3433C"/>
    <w:rsid w:val="00B36CC3"/>
    <w:rsid w:val="00B407F2"/>
    <w:rsid w:val="00B4292D"/>
    <w:rsid w:val="00B42E8E"/>
    <w:rsid w:val="00B42F77"/>
    <w:rsid w:val="00B50F0B"/>
    <w:rsid w:val="00B53DDB"/>
    <w:rsid w:val="00B545FC"/>
    <w:rsid w:val="00B54D98"/>
    <w:rsid w:val="00B554D7"/>
    <w:rsid w:val="00B55B6D"/>
    <w:rsid w:val="00B64FC0"/>
    <w:rsid w:val="00B7011E"/>
    <w:rsid w:val="00B7071D"/>
    <w:rsid w:val="00B72F39"/>
    <w:rsid w:val="00B7470A"/>
    <w:rsid w:val="00B7724F"/>
    <w:rsid w:val="00B804E1"/>
    <w:rsid w:val="00B81E78"/>
    <w:rsid w:val="00B81F8F"/>
    <w:rsid w:val="00B82578"/>
    <w:rsid w:val="00B828E6"/>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B61"/>
    <w:rsid w:val="00BB5F18"/>
    <w:rsid w:val="00BB680F"/>
    <w:rsid w:val="00BB70F2"/>
    <w:rsid w:val="00BC0558"/>
    <w:rsid w:val="00BC155D"/>
    <w:rsid w:val="00BC1988"/>
    <w:rsid w:val="00BC19B9"/>
    <w:rsid w:val="00BC3A82"/>
    <w:rsid w:val="00BC3B18"/>
    <w:rsid w:val="00BC4742"/>
    <w:rsid w:val="00BD3762"/>
    <w:rsid w:val="00BD56B6"/>
    <w:rsid w:val="00BD6ECB"/>
    <w:rsid w:val="00BE0A25"/>
    <w:rsid w:val="00BE17CC"/>
    <w:rsid w:val="00BE31E4"/>
    <w:rsid w:val="00BE4DA3"/>
    <w:rsid w:val="00BE6789"/>
    <w:rsid w:val="00BE693E"/>
    <w:rsid w:val="00BF2A19"/>
    <w:rsid w:val="00BF2BD1"/>
    <w:rsid w:val="00BF300D"/>
    <w:rsid w:val="00BF4B81"/>
    <w:rsid w:val="00BF4F33"/>
    <w:rsid w:val="00C02EE8"/>
    <w:rsid w:val="00C049EB"/>
    <w:rsid w:val="00C05A18"/>
    <w:rsid w:val="00C06182"/>
    <w:rsid w:val="00C1027D"/>
    <w:rsid w:val="00C10A1F"/>
    <w:rsid w:val="00C1515E"/>
    <w:rsid w:val="00C153F4"/>
    <w:rsid w:val="00C15616"/>
    <w:rsid w:val="00C1604F"/>
    <w:rsid w:val="00C16C54"/>
    <w:rsid w:val="00C17136"/>
    <w:rsid w:val="00C1743B"/>
    <w:rsid w:val="00C17588"/>
    <w:rsid w:val="00C209BC"/>
    <w:rsid w:val="00C22D41"/>
    <w:rsid w:val="00C243AB"/>
    <w:rsid w:val="00C24C96"/>
    <w:rsid w:val="00C26AEB"/>
    <w:rsid w:val="00C312F9"/>
    <w:rsid w:val="00C31DD4"/>
    <w:rsid w:val="00C31E6E"/>
    <w:rsid w:val="00C334A4"/>
    <w:rsid w:val="00C33C63"/>
    <w:rsid w:val="00C34622"/>
    <w:rsid w:val="00C349F9"/>
    <w:rsid w:val="00C35139"/>
    <w:rsid w:val="00C35191"/>
    <w:rsid w:val="00C40C54"/>
    <w:rsid w:val="00C4116A"/>
    <w:rsid w:val="00C420E9"/>
    <w:rsid w:val="00C430F5"/>
    <w:rsid w:val="00C44811"/>
    <w:rsid w:val="00C457EB"/>
    <w:rsid w:val="00C476D5"/>
    <w:rsid w:val="00C50F42"/>
    <w:rsid w:val="00C51F99"/>
    <w:rsid w:val="00C525E8"/>
    <w:rsid w:val="00C52844"/>
    <w:rsid w:val="00C558BD"/>
    <w:rsid w:val="00C55AA0"/>
    <w:rsid w:val="00C654E8"/>
    <w:rsid w:val="00C6634A"/>
    <w:rsid w:val="00C66927"/>
    <w:rsid w:val="00C736DB"/>
    <w:rsid w:val="00C739E8"/>
    <w:rsid w:val="00C748C9"/>
    <w:rsid w:val="00C74BC2"/>
    <w:rsid w:val="00C752EC"/>
    <w:rsid w:val="00C7655A"/>
    <w:rsid w:val="00C77B75"/>
    <w:rsid w:val="00C83ADA"/>
    <w:rsid w:val="00C867D7"/>
    <w:rsid w:val="00C86D17"/>
    <w:rsid w:val="00C87165"/>
    <w:rsid w:val="00C976FF"/>
    <w:rsid w:val="00CA12A3"/>
    <w:rsid w:val="00CA1C08"/>
    <w:rsid w:val="00CA38FD"/>
    <w:rsid w:val="00CA4EBB"/>
    <w:rsid w:val="00CA523C"/>
    <w:rsid w:val="00CA73D6"/>
    <w:rsid w:val="00CB1DC1"/>
    <w:rsid w:val="00CB61D9"/>
    <w:rsid w:val="00CB743E"/>
    <w:rsid w:val="00CC2817"/>
    <w:rsid w:val="00CC5381"/>
    <w:rsid w:val="00CC6610"/>
    <w:rsid w:val="00CC7911"/>
    <w:rsid w:val="00CD1F3D"/>
    <w:rsid w:val="00CF2C59"/>
    <w:rsid w:val="00CF307D"/>
    <w:rsid w:val="00CF36AB"/>
    <w:rsid w:val="00CF51AF"/>
    <w:rsid w:val="00CF6884"/>
    <w:rsid w:val="00D003D1"/>
    <w:rsid w:val="00D00B3C"/>
    <w:rsid w:val="00D02AFE"/>
    <w:rsid w:val="00D03555"/>
    <w:rsid w:val="00D039D1"/>
    <w:rsid w:val="00D056C2"/>
    <w:rsid w:val="00D0612E"/>
    <w:rsid w:val="00D07828"/>
    <w:rsid w:val="00D10237"/>
    <w:rsid w:val="00D103B9"/>
    <w:rsid w:val="00D117BD"/>
    <w:rsid w:val="00D11A58"/>
    <w:rsid w:val="00D14D4A"/>
    <w:rsid w:val="00D20673"/>
    <w:rsid w:val="00D20766"/>
    <w:rsid w:val="00D22ADD"/>
    <w:rsid w:val="00D235C5"/>
    <w:rsid w:val="00D23759"/>
    <w:rsid w:val="00D2523A"/>
    <w:rsid w:val="00D261A5"/>
    <w:rsid w:val="00D279E8"/>
    <w:rsid w:val="00D314A0"/>
    <w:rsid w:val="00D31866"/>
    <w:rsid w:val="00D32C21"/>
    <w:rsid w:val="00D36406"/>
    <w:rsid w:val="00D371C9"/>
    <w:rsid w:val="00D40709"/>
    <w:rsid w:val="00D40BB1"/>
    <w:rsid w:val="00D43E06"/>
    <w:rsid w:val="00D50863"/>
    <w:rsid w:val="00D53AD7"/>
    <w:rsid w:val="00D55935"/>
    <w:rsid w:val="00D56549"/>
    <w:rsid w:val="00D57EC4"/>
    <w:rsid w:val="00D6399E"/>
    <w:rsid w:val="00D639A1"/>
    <w:rsid w:val="00D65E8C"/>
    <w:rsid w:val="00D66C2C"/>
    <w:rsid w:val="00D7049C"/>
    <w:rsid w:val="00D727EE"/>
    <w:rsid w:val="00D74536"/>
    <w:rsid w:val="00D758ED"/>
    <w:rsid w:val="00D762C8"/>
    <w:rsid w:val="00D76725"/>
    <w:rsid w:val="00D8057F"/>
    <w:rsid w:val="00D80F71"/>
    <w:rsid w:val="00D816A5"/>
    <w:rsid w:val="00D81B70"/>
    <w:rsid w:val="00D84651"/>
    <w:rsid w:val="00D85449"/>
    <w:rsid w:val="00D857B6"/>
    <w:rsid w:val="00D906B5"/>
    <w:rsid w:val="00D90C20"/>
    <w:rsid w:val="00D915D7"/>
    <w:rsid w:val="00D91F3A"/>
    <w:rsid w:val="00D926D0"/>
    <w:rsid w:val="00D93B77"/>
    <w:rsid w:val="00D9524B"/>
    <w:rsid w:val="00DA27FA"/>
    <w:rsid w:val="00DA3996"/>
    <w:rsid w:val="00DA5D47"/>
    <w:rsid w:val="00DA5E10"/>
    <w:rsid w:val="00DA65C2"/>
    <w:rsid w:val="00DB037E"/>
    <w:rsid w:val="00DB2C83"/>
    <w:rsid w:val="00DB401E"/>
    <w:rsid w:val="00DB5E57"/>
    <w:rsid w:val="00DB6DE5"/>
    <w:rsid w:val="00DC1DA8"/>
    <w:rsid w:val="00DC2C8F"/>
    <w:rsid w:val="00DC4B45"/>
    <w:rsid w:val="00DC58B1"/>
    <w:rsid w:val="00DC5FF4"/>
    <w:rsid w:val="00DD24F5"/>
    <w:rsid w:val="00DD2F61"/>
    <w:rsid w:val="00DD501A"/>
    <w:rsid w:val="00DD5438"/>
    <w:rsid w:val="00DD675B"/>
    <w:rsid w:val="00DD78E7"/>
    <w:rsid w:val="00DE1867"/>
    <w:rsid w:val="00DE36C4"/>
    <w:rsid w:val="00DE4D04"/>
    <w:rsid w:val="00DE4E32"/>
    <w:rsid w:val="00DE57EC"/>
    <w:rsid w:val="00DE6AA3"/>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24688"/>
    <w:rsid w:val="00E251C3"/>
    <w:rsid w:val="00E25329"/>
    <w:rsid w:val="00E302F4"/>
    <w:rsid w:val="00E33B74"/>
    <w:rsid w:val="00E3474D"/>
    <w:rsid w:val="00E34B09"/>
    <w:rsid w:val="00E363FB"/>
    <w:rsid w:val="00E41C39"/>
    <w:rsid w:val="00E45A7D"/>
    <w:rsid w:val="00E46DBB"/>
    <w:rsid w:val="00E52727"/>
    <w:rsid w:val="00E5533D"/>
    <w:rsid w:val="00E60684"/>
    <w:rsid w:val="00E61FAB"/>
    <w:rsid w:val="00E62F35"/>
    <w:rsid w:val="00E6591E"/>
    <w:rsid w:val="00E66191"/>
    <w:rsid w:val="00E70A86"/>
    <w:rsid w:val="00E720C2"/>
    <w:rsid w:val="00E821BF"/>
    <w:rsid w:val="00E82F06"/>
    <w:rsid w:val="00E82FF1"/>
    <w:rsid w:val="00E86257"/>
    <w:rsid w:val="00E90CD6"/>
    <w:rsid w:val="00E91BF9"/>
    <w:rsid w:val="00E92B87"/>
    <w:rsid w:val="00E9441D"/>
    <w:rsid w:val="00E94B5D"/>
    <w:rsid w:val="00E969E6"/>
    <w:rsid w:val="00E9723C"/>
    <w:rsid w:val="00EA0AC0"/>
    <w:rsid w:val="00EA1FE1"/>
    <w:rsid w:val="00EA2CDE"/>
    <w:rsid w:val="00EA2DC5"/>
    <w:rsid w:val="00EA316C"/>
    <w:rsid w:val="00EA331F"/>
    <w:rsid w:val="00EA3B75"/>
    <w:rsid w:val="00EB2F19"/>
    <w:rsid w:val="00EB4F91"/>
    <w:rsid w:val="00EB66C5"/>
    <w:rsid w:val="00EB6DF4"/>
    <w:rsid w:val="00EC358A"/>
    <w:rsid w:val="00EC6AAF"/>
    <w:rsid w:val="00ED1093"/>
    <w:rsid w:val="00ED27F2"/>
    <w:rsid w:val="00ED40DD"/>
    <w:rsid w:val="00ED4698"/>
    <w:rsid w:val="00ED5080"/>
    <w:rsid w:val="00EE0085"/>
    <w:rsid w:val="00EE00FD"/>
    <w:rsid w:val="00EE0760"/>
    <w:rsid w:val="00EE1902"/>
    <w:rsid w:val="00EE26DE"/>
    <w:rsid w:val="00EE46F8"/>
    <w:rsid w:val="00EE53FB"/>
    <w:rsid w:val="00EF6DBD"/>
    <w:rsid w:val="00EF7621"/>
    <w:rsid w:val="00F01719"/>
    <w:rsid w:val="00F02484"/>
    <w:rsid w:val="00F0629B"/>
    <w:rsid w:val="00F062B5"/>
    <w:rsid w:val="00F07B6D"/>
    <w:rsid w:val="00F10FF2"/>
    <w:rsid w:val="00F114B4"/>
    <w:rsid w:val="00F1205C"/>
    <w:rsid w:val="00F12863"/>
    <w:rsid w:val="00F13199"/>
    <w:rsid w:val="00F13D41"/>
    <w:rsid w:val="00F14962"/>
    <w:rsid w:val="00F15C08"/>
    <w:rsid w:val="00F16CE1"/>
    <w:rsid w:val="00F17A82"/>
    <w:rsid w:val="00F22996"/>
    <w:rsid w:val="00F265C9"/>
    <w:rsid w:val="00F26DCC"/>
    <w:rsid w:val="00F27E3A"/>
    <w:rsid w:val="00F31468"/>
    <w:rsid w:val="00F317CF"/>
    <w:rsid w:val="00F32FEC"/>
    <w:rsid w:val="00F35B62"/>
    <w:rsid w:val="00F37F65"/>
    <w:rsid w:val="00F41D11"/>
    <w:rsid w:val="00F47762"/>
    <w:rsid w:val="00F545F0"/>
    <w:rsid w:val="00F549E5"/>
    <w:rsid w:val="00F5757A"/>
    <w:rsid w:val="00F61C8F"/>
    <w:rsid w:val="00F64D90"/>
    <w:rsid w:val="00F67023"/>
    <w:rsid w:val="00F70AFB"/>
    <w:rsid w:val="00F74B2E"/>
    <w:rsid w:val="00F75E79"/>
    <w:rsid w:val="00F764DC"/>
    <w:rsid w:val="00F76AC7"/>
    <w:rsid w:val="00F8143B"/>
    <w:rsid w:val="00F8334E"/>
    <w:rsid w:val="00F847AD"/>
    <w:rsid w:val="00F87796"/>
    <w:rsid w:val="00F904CC"/>
    <w:rsid w:val="00F91D5E"/>
    <w:rsid w:val="00F9349F"/>
    <w:rsid w:val="00F93546"/>
    <w:rsid w:val="00F948EA"/>
    <w:rsid w:val="00F94A0E"/>
    <w:rsid w:val="00F94F36"/>
    <w:rsid w:val="00FA2700"/>
    <w:rsid w:val="00FA45E4"/>
    <w:rsid w:val="00FA57DD"/>
    <w:rsid w:val="00FA6F2B"/>
    <w:rsid w:val="00FB11E9"/>
    <w:rsid w:val="00FB1DF7"/>
    <w:rsid w:val="00FB255B"/>
    <w:rsid w:val="00FB3B65"/>
    <w:rsid w:val="00FB5823"/>
    <w:rsid w:val="00FB605B"/>
    <w:rsid w:val="00FB659C"/>
    <w:rsid w:val="00FC01AC"/>
    <w:rsid w:val="00FC0627"/>
    <w:rsid w:val="00FC7191"/>
    <w:rsid w:val="00FD2A81"/>
    <w:rsid w:val="00FD2BBC"/>
    <w:rsid w:val="00FE099C"/>
    <w:rsid w:val="00FE120E"/>
    <w:rsid w:val="00FE2223"/>
    <w:rsid w:val="00FE384B"/>
    <w:rsid w:val="00FE65D5"/>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666E83"/>
  <w15:docId w15:val="{E27D97DA-9157-4E48-BDFC-29187B2A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8"/>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9"/>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9C214A"/>
    <w:pPr>
      <w:widowControl w:val="0"/>
      <w:spacing w:before="12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9C214A"/>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9C214A"/>
    <w:rPr>
      <w:rFonts w:ascii="Arial" w:eastAsia="Times New Roman" w:hAnsi="Arial" w:cs="Arial"/>
      <w:b/>
      <w:bCs/>
      <w:caps/>
      <w:noProof/>
      <w:snapToGrid w:val="0"/>
      <w:color w:val="3366FF"/>
      <w:kern w:val="28"/>
      <w:sz w:val="48"/>
      <w:szCs w:val="48"/>
      <w:lang w:val="en-GB" w:eastAsia="zh-CN"/>
    </w:rPr>
  </w:style>
  <w:style w:type="character" w:customStyle="1" w:styleId="Niveau2tabledesmatiresChar">
    <w:name w:val="Niveau 2 table des matières Char"/>
    <w:link w:val="Niveau2tabledesmatires"/>
    <w:rsid w:val="00D76725"/>
    <w:rPr>
      <w:rFonts w:ascii="Arial" w:eastAsia="SimSun" w:hAnsi="Arial" w:cs="Arial"/>
      <w:b/>
      <w:bCs/>
      <w:caps/>
      <w:color w:val="3366FF"/>
      <w:sz w:val="24"/>
      <w:szCs w:val="24"/>
      <w:lang w:eastAsia="zh-CN"/>
    </w:rPr>
  </w:style>
  <w:style w:type="paragraph" w:customStyle="1" w:styleId="Niveau2tabledesmatires">
    <w:name w:val="Niveau 2 table des matières"/>
    <w:basedOn w:val="Normal"/>
    <w:link w:val="Niveau2tabledesmatiresChar"/>
    <w:qFormat/>
    <w:rsid w:val="00D76725"/>
    <w:pPr>
      <w:tabs>
        <w:tab w:val="clear" w:pos="567"/>
        <w:tab w:val="left" w:pos="851"/>
      </w:tabs>
      <w:spacing w:before="720" w:after="240" w:line="320" w:lineRule="exact"/>
      <w:ind w:hanging="851"/>
      <w:jc w:val="left"/>
      <w:outlineLvl w:val="0"/>
    </w:pPr>
    <w:rPr>
      <w:b/>
      <w:bCs/>
      <w:caps/>
      <w:color w:val="3366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esco.org/culture/ich/fr/listes/" TargetMode="External"/><Relationship Id="rId18" Type="http://schemas.openxmlformats.org/officeDocument/2006/relationships/hyperlink" Target="http://www.unesco.org/culture/ich/fr/formulair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unesco.org/culture/ich/index.php?lg=fr&amp;pg=0018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unesco.org/culture/ich/index.php?lg=fr&amp;pg=00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esco.org/culture/ich/fr/list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hyperlink" Target="http://www.unesco.org/culture/ich/fr/Regist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fr/liste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C49E-AFDA-4DEF-BC27-37748C05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4650</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U011-v1.0-PT-FRA.docx</vt:lpstr>
    </vt:vector>
  </TitlesOfParts>
  <Company/>
  <LinksUpToDate>false</LinksUpToDate>
  <CharactersWithSpaces>30169</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U011-v1.0-PT-FRA.docx</dc:title>
  <dc:creator>FLUFFY</dc:creator>
  <cp:lastModifiedBy>Kim, Dain</cp:lastModifiedBy>
  <cp:revision>22</cp:revision>
  <cp:lastPrinted>2014-04-20T10:57:00Z</cp:lastPrinted>
  <dcterms:created xsi:type="dcterms:W3CDTF">2015-09-24T08:27:00Z</dcterms:created>
  <dcterms:modified xsi:type="dcterms:W3CDTF">2018-04-20T14:14:00Z</dcterms:modified>
</cp:coreProperties>
</file>