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26" w:rsidRPr="00FC27EC" w:rsidRDefault="00D34919" w:rsidP="00264950">
      <w:pPr>
        <w:pStyle w:val="Chapitre"/>
        <w:rPr>
          <w:noProof w:val="0"/>
          <w:kern w:val="0"/>
          <w:lang w:val="fr-FR"/>
        </w:rPr>
      </w:pPr>
      <w:bookmarkStart w:id="0" w:name="_Toc238982314"/>
      <w:bookmarkStart w:id="1" w:name="_GoBack"/>
      <w:bookmarkEnd w:id="1"/>
      <w:r w:rsidRPr="00FC27EC">
        <w:rPr>
          <w:noProof w:val="0"/>
          <w:kern w:val="0"/>
          <w:lang w:val="fr-FR"/>
        </w:rPr>
        <w:t>Unité</w:t>
      </w:r>
      <w:r w:rsidR="00264950" w:rsidRPr="00FC27EC">
        <w:rPr>
          <w:noProof w:val="0"/>
          <w:kern w:val="0"/>
          <w:lang w:val="fr-FR"/>
        </w:rPr>
        <w:t xml:space="preserve"> 47</w:t>
      </w:r>
    </w:p>
    <w:p w:rsidR="00836F49" w:rsidRPr="00FC27EC" w:rsidRDefault="00D34919" w:rsidP="00836F49">
      <w:pPr>
        <w:pStyle w:val="HO1"/>
        <w:rPr>
          <w:noProof w:val="0"/>
          <w:lang w:val="fr-FR"/>
        </w:rPr>
      </w:pPr>
      <w:r w:rsidRPr="00FC27EC">
        <w:rPr>
          <w:noProof w:val="0"/>
          <w:lang w:val="fr-FR"/>
        </w:rPr>
        <w:t>Imprimé</w:t>
      </w:r>
      <w:r w:rsidR="00836F49" w:rsidRPr="00FC27EC">
        <w:rPr>
          <w:noProof w:val="0"/>
          <w:lang w:val="fr-FR"/>
        </w:rPr>
        <w:t xml:space="preserve"> 1</w:t>
      </w:r>
      <w:r w:rsidR="00E27BED" w:rsidRPr="00FC27EC">
        <w:rPr>
          <w:noProof w:val="0"/>
          <w:lang w:val="fr-FR"/>
        </w:rPr>
        <w:t> </w:t>
      </w:r>
      <w:r w:rsidR="00836F49" w:rsidRPr="00FC27EC">
        <w:rPr>
          <w:noProof w:val="0"/>
          <w:lang w:val="fr-FR"/>
        </w:rPr>
        <w:t>:</w:t>
      </w:r>
    </w:p>
    <w:p w:rsidR="00836D26" w:rsidRPr="00FC27EC" w:rsidRDefault="00836F49" w:rsidP="00836F49">
      <w:pPr>
        <w:pStyle w:val="HO2"/>
        <w:rPr>
          <w:noProof w:val="0"/>
          <w:lang w:val="fr-FR"/>
        </w:rPr>
      </w:pPr>
      <w:r w:rsidRPr="00FC27EC">
        <w:rPr>
          <w:noProof w:val="0"/>
          <w:lang w:val="fr-FR"/>
        </w:rPr>
        <w:t>Questions</w:t>
      </w:r>
    </w:p>
    <w:p w:rsidR="00836D26" w:rsidRPr="00FC27EC" w:rsidRDefault="002425C7" w:rsidP="00F2028F">
      <w:pPr>
        <w:pStyle w:val="Texte1"/>
      </w:pPr>
      <w:bookmarkStart w:id="2" w:name="_Toc238982315"/>
      <w:bookmarkEnd w:id="0"/>
      <w:r>
        <w:t xml:space="preserve">À </w:t>
      </w:r>
      <w:r w:rsidR="00D34919" w:rsidRPr="00FC27EC">
        <w:t>l</w:t>
      </w:r>
      <w:r w:rsidR="003E6192" w:rsidRPr="00FC27EC">
        <w:t>’avant-dernière</w:t>
      </w:r>
      <w:r w:rsidR="00836D26" w:rsidRPr="00FC27EC">
        <w:t xml:space="preserve"> session </w:t>
      </w:r>
      <w:r w:rsidR="00D34919" w:rsidRPr="00FC27EC">
        <w:t>d</w:t>
      </w:r>
      <w:r w:rsidR="003E6192" w:rsidRPr="00FC27EC">
        <w:t>e</w:t>
      </w:r>
      <w:r w:rsidR="00836D26" w:rsidRPr="00FC27EC">
        <w:t xml:space="preserve"> </w:t>
      </w:r>
      <w:r w:rsidR="00D34919" w:rsidRPr="00FC27EC">
        <w:t>l</w:t>
      </w:r>
      <w:r w:rsidR="003E6192" w:rsidRPr="00FC27EC">
        <w:t>’</w:t>
      </w:r>
      <w:r w:rsidR="00D34919" w:rsidRPr="00FC27EC">
        <w:t>atelier</w:t>
      </w:r>
      <w:r w:rsidR="00E27BED" w:rsidRPr="00FC27EC">
        <w:t>,</w:t>
      </w:r>
      <w:r w:rsidR="00836D26" w:rsidRPr="00FC27EC">
        <w:t xml:space="preserve"> </w:t>
      </w:r>
      <w:r w:rsidR="003E6192" w:rsidRPr="00FC27EC">
        <w:t xml:space="preserve">on </w:t>
      </w:r>
      <w:r w:rsidR="00D34919" w:rsidRPr="00FC27EC">
        <w:t>vous</w:t>
      </w:r>
      <w:r w:rsidR="00836D26" w:rsidRPr="00FC27EC">
        <w:t xml:space="preserve"> </w:t>
      </w:r>
      <w:r w:rsidR="003E6192" w:rsidRPr="00FC27EC">
        <w:t>demandera de</w:t>
      </w:r>
      <w:r w:rsidR="00836D26" w:rsidRPr="00FC27EC">
        <w:t xml:space="preserve"> discu</w:t>
      </w:r>
      <w:r w:rsidR="003E6192" w:rsidRPr="00FC27EC">
        <w:t>ter en petits</w:t>
      </w:r>
      <w:r w:rsidR="00836D26" w:rsidRPr="00FC27EC">
        <w:t xml:space="preserve"> </w:t>
      </w:r>
      <w:r w:rsidR="001E789D" w:rsidRPr="00FC27EC">
        <w:t>groupes</w:t>
      </w:r>
      <w:r w:rsidR="00836D26" w:rsidRPr="00FC27EC">
        <w:t xml:space="preserve"> </w:t>
      </w:r>
      <w:r w:rsidR="003E6192" w:rsidRPr="00FC27EC">
        <w:t xml:space="preserve">de </w:t>
      </w:r>
      <w:r w:rsidR="00E27BED" w:rsidRPr="00FC27EC">
        <w:t>quelques-unes</w:t>
      </w:r>
      <w:r w:rsidR="003E6192" w:rsidRPr="00FC27EC">
        <w:t xml:space="preserve"> </w:t>
      </w:r>
      <w:r w:rsidR="00D34919" w:rsidRPr="00FC27EC">
        <w:t>d</w:t>
      </w:r>
      <w:r w:rsidR="003E6192" w:rsidRPr="00FC27EC">
        <w:t>es</w:t>
      </w:r>
      <w:r>
        <w:t xml:space="preserve"> questions</w:t>
      </w:r>
      <w:r w:rsidR="003E6192" w:rsidRPr="00FC27EC">
        <w:t xml:space="preserve"> </w:t>
      </w:r>
      <w:r w:rsidR="00E27BED" w:rsidRPr="00FC27EC">
        <w:t>pos</w:t>
      </w:r>
      <w:r w:rsidR="003E6192" w:rsidRPr="00FC27EC">
        <w:t>ées ci-dessous</w:t>
      </w:r>
      <w:r w:rsidR="00836D26" w:rsidRPr="00FC27EC">
        <w:t xml:space="preserve">. </w:t>
      </w:r>
      <w:r w:rsidR="00226BBE" w:rsidRPr="00FC27EC">
        <w:t>Dans certains cas</w:t>
      </w:r>
      <w:r w:rsidR="00836D26" w:rsidRPr="00FC27EC">
        <w:t xml:space="preserve"> </w:t>
      </w:r>
      <w:r w:rsidR="00D34919" w:rsidRPr="00FC27EC">
        <w:t xml:space="preserve">il </w:t>
      </w:r>
      <w:r w:rsidR="00226BBE" w:rsidRPr="00FC27EC">
        <w:t>n’</w:t>
      </w:r>
      <w:r w:rsidR="00D34919" w:rsidRPr="00FC27EC">
        <w:t xml:space="preserve">y </w:t>
      </w:r>
      <w:r>
        <w:t xml:space="preserve">a </w:t>
      </w:r>
      <w:r w:rsidR="00226BBE" w:rsidRPr="00FC27EC">
        <w:t>qu’une</w:t>
      </w:r>
      <w:r w:rsidR="003E6192" w:rsidRPr="00FC27EC">
        <w:t xml:space="preserve"> </w:t>
      </w:r>
      <w:r w:rsidR="00C54E2F" w:rsidRPr="00FC27EC">
        <w:t xml:space="preserve">bonne </w:t>
      </w:r>
      <w:r w:rsidR="003E6192" w:rsidRPr="00FC27EC">
        <w:t>réponse</w:t>
      </w:r>
      <w:r w:rsidR="00226BBE" w:rsidRPr="00FC27EC">
        <w:t xml:space="preserve"> à la question</w:t>
      </w:r>
      <w:r w:rsidR="00836D26" w:rsidRPr="00FC27EC">
        <w:t xml:space="preserve">. </w:t>
      </w:r>
      <w:r w:rsidR="00226BBE" w:rsidRPr="00FC27EC">
        <w:t xml:space="preserve">Dans </w:t>
      </w:r>
      <w:r w:rsidR="00D81412" w:rsidRPr="00FC27EC">
        <w:t>l</w:t>
      </w:r>
      <w:r w:rsidR="003E6192" w:rsidRPr="00FC27EC">
        <w:t>a plupart des</w:t>
      </w:r>
      <w:r w:rsidR="00836D26" w:rsidRPr="00FC27EC">
        <w:t xml:space="preserve"> </w:t>
      </w:r>
      <w:r w:rsidR="00226BBE" w:rsidRPr="00FC27EC">
        <w:t>cas</w:t>
      </w:r>
      <w:r>
        <w:t>,</w:t>
      </w:r>
      <w:r w:rsidR="00226BBE" w:rsidRPr="00FC27EC">
        <w:t xml:space="preserve"> </w:t>
      </w:r>
      <w:r w:rsidR="00D34919" w:rsidRPr="00FC27EC">
        <w:t>l</w:t>
      </w:r>
      <w:r w:rsidR="003E6192" w:rsidRPr="00FC27EC">
        <w:t>a situation est diffé</w:t>
      </w:r>
      <w:r w:rsidR="00836D26" w:rsidRPr="00FC27EC">
        <w:t>rent</w:t>
      </w:r>
      <w:r w:rsidR="003E6192" w:rsidRPr="00FC27EC">
        <w:t>e </w:t>
      </w:r>
      <w:r w:rsidR="00836D26" w:rsidRPr="00FC27EC">
        <w:t xml:space="preserve">; </w:t>
      </w:r>
      <w:r w:rsidR="00226BBE" w:rsidRPr="00FC27EC">
        <w:t xml:space="preserve">le plus souvent </w:t>
      </w:r>
      <w:r w:rsidR="00C54E2F" w:rsidRPr="00FC27EC">
        <w:t>t</w:t>
      </w:r>
      <w:r w:rsidR="00D81412" w:rsidRPr="00FC27EC">
        <w:t>outes</w:t>
      </w:r>
      <w:r w:rsidR="00226BBE" w:rsidRPr="00FC27EC">
        <w:t>, ou même plusieurs d</w:t>
      </w:r>
      <w:r w:rsidR="00D81412" w:rsidRPr="00FC27EC">
        <w:t>es</w:t>
      </w:r>
      <w:r w:rsidR="00836D26" w:rsidRPr="00FC27EC">
        <w:t xml:space="preserve"> </w:t>
      </w:r>
      <w:r w:rsidR="003E6192" w:rsidRPr="00FC27EC">
        <w:t>réponse</w:t>
      </w:r>
      <w:r w:rsidR="00836D26" w:rsidRPr="00FC27EC">
        <w:t xml:space="preserve">s </w:t>
      </w:r>
      <w:r w:rsidR="00226BBE" w:rsidRPr="00FC27EC">
        <w:t xml:space="preserve">fournies </w:t>
      </w:r>
      <w:r w:rsidR="00D81412" w:rsidRPr="00FC27EC">
        <w:t>peuvent être</w:t>
      </w:r>
      <w:r w:rsidR="00836D26" w:rsidRPr="00FC27EC">
        <w:t xml:space="preserve"> </w:t>
      </w:r>
      <w:r w:rsidR="00226BBE" w:rsidRPr="00FC27EC">
        <w:t>bonn</w:t>
      </w:r>
      <w:r w:rsidR="00D81412" w:rsidRPr="00FC27EC">
        <w:t>es</w:t>
      </w:r>
      <w:r w:rsidR="00836D26" w:rsidRPr="00FC27EC">
        <w:t xml:space="preserve">, </w:t>
      </w:r>
      <w:r w:rsidR="00D81412" w:rsidRPr="00FC27EC">
        <w:t>plus o</w:t>
      </w:r>
      <w:r w:rsidR="00AA38C8" w:rsidRPr="00FC27EC">
        <w:t>u</w:t>
      </w:r>
      <w:r w:rsidR="00836D26" w:rsidRPr="00FC27EC">
        <w:t xml:space="preserve"> </w:t>
      </w:r>
      <w:r w:rsidR="00D81412" w:rsidRPr="00FC27EC">
        <w:t>moin</w:t>
      </w:r>
      <w:r w:rsidR="00836D26" w:rsidRPr="00FC27EC">
        <w:t xml:space="preserve">s </w:t>
      </w:r>
      <w:r w:rsidR="00226BBE" w:rsidRPr="00FC27EC">
        <w:t>bonn</w:t>
      </w:r>
      <w:r w:rsidR="00D81412" w:rsidRPr="00FC27EC">
        <w:t>es</w:t>
      </w:r>
      <w:r w:rsidR="00226BBE" w:rsidRPr="00FC27EC">
        <w:t>,</w:t>
      </w:r>
      <w:r w:rsidR="00836D26" w:rsidRPr="00FC27EC">
        <w:t xml:space="preserve"> </w:t>
      </w:r>
      <w:r w:rsidR="00AA38C8" w:rsidRPr="00FC27EC">
        <w:t>ou</w:t>
      </w:r>
      <w:r w:rsidR="00836D26" w:rsidRPr="00FC27EC">
        <w:t xml:space="preserve"> </w:t>
      </w:r>
      <w:r w:rsidR="00D81412" w:rsidRPr="00FC27EC">
        <w:t>mauvaises</w:t>
      </w:r>
      <w:r w:rsidR="00836D26" w:rsidRPr="00FC27EC">
        <w:t xml:space="preserve">. </w:t>
      </w:r>
      <w:r w:rsidR="00FF5917" w:rsidRPr="00FC27EC">
        <w:t>Essayez de vous f</w:t>
      </w:r>
      <w:r w:rsidR="00226BBE" w:rsidRPr="00FC27EC">
        <w:t>orger</w:t>
      </w:r>
      <w:r w:rsidR="00FF5917" w:rsidRPr="00FC27EC">
        <w:t xml:space="preserve"> votre propre</w:t>
      </w:r>
      <w:r w:rsidR="00836D26" w:rsidRPr="00FC27EC">
        <w:t xml:space="preserve"> opinion </w:t>
      </w:r>
      <w:r w:rsidR="00FF5917" w:rsidRPr="00FC27EC">
        <w:t>sur toutes les</w:t>
      </w:r>
      <w:r w:rsidR="00836D26" w:rsidRPr="00FC27EC">
        <w:t xml:space="preserve"> op</w:t>
      </w:r>
      <w:r w:rsidR="00264950" w:rsidRPr="00FC27EC">
        <w:t xml:space="preserve">tions </w:t>
      </w:r>
      <w:r w:rsidR="00226BBE" w:rsidRPr="00FC27EC">
        <w:t>envisag</w:t>
      </w:r>
      <w:r w:rsidR="00FF5917" w:rsidRPr="00FC27EC">
        <w:t>ées</w:t>
      </w:r>
      <w:r w:rsidR="00264950" w:rsidRPr="00FC27EC">
        <w:t xml:space="preserve"> </w:t>
      </w:r>
      <w:r>
        <w:t>pour répondr</w:t>
      </w:r>
      <w:r w:rsidR="00226BBE" w:rsidRPr="00FC27EC">
        <w:t>e à</w:t>
      </w:r>
      <w:r w:rsidR="00D7628D" w:rsidRPr="00FC27EC">
        <w:t xml:space="preserve"> chaque</w:t>
      </w:r>
      <w:r w:rsidR="00264950" w:rsidRPr="00FC27EC">
        <w:t xml:space="preserve"> question.</w:t>
      </w:r>
    </w:p>
    <w:p w:rsidR="0013616E" w:rsidRPr="00FC27EC" w:rsidRDefault="00CC109C" w:rsidP="00836F49">
      <w:pPr>
        <w:pStyle w:val="Heading4"/>
        <w:rPr>
          <w:lang w:val="fr-FR"/>
        </w:rPr>
      </w:pPr>
      <w:r w:rsidRPr="00FC27EC">
        <w:rPr>
          <w:lang w:val="fr-FR"/>
        </w:rPr>
        <w:t>Série</w:t>
      </w:r>
      <w:r w:rsidR="0013616E" w:rsidRPr="00FC27EC">
        <w:rPr>
          <w:lang w:val="fr-FR"/>
        </w:rPr>
        <w:t xml:space="preserve"> A</w:t>
      </w:r>
    </w:p>
    <w:bookmarkEnd w:id="2"/>
    <w:p w:rsidR="007F3090" w:rsidRPr="00FC27EC" w:rsidRDefault="007F3090" w:rsidP="00836F49">
      <w:pPr>
        <w:pStyle w:val="Heading3"/>
        <w:rPr>
          <w:lang w:val="fr-FR"/>
        </w:rPr>
      </w:pPr>
      <w:r w:rsidRPr="00FC27EC">
        <w:rPr>
          <w:lang w:val="fr-FR"/>
        </w:rPr>
        <w:t>Question A.1</w:t>
      </w:r>
    </w:p>
    <w:p w:rsidR="007F3090" w:rsidRPr="00FC27EC" w:rsidRDefault="00A80433" w:rsidP="008F0A81">
      <w:pPr>
        <w:pStyle w:val="Texte1"/>
      </w:pPr>
      <w:r w:rsidRPr="00FC27EC">
        <w:t>En ratif</w:t>
      </w:r>
      <w:r w:rsidR="007F3090" w:rsidRPr="00FC27EC">
        <w:t>i</w:t>
      </w:r>
      <w:r w:rsidRPr="00FC27EC">
        <w:t>a</w:t>
      </w:r>
      <w:r w:rsidR="007F3090" w:rsidRPr="00FC27EC">
        <w:t>n</w:t>
      </w:r>
      <w:r w:rsidRPr="00FC27EC">
        <w:t>t</w:t>
      </w:r>
      <w:r w:rsidR="007F3090" w:rsidRPr="00FC27EC">
        <w:t xml:space="preserve"> </w:t>
      </w:r>
      <w:r w:rsidR="00D34919" w:rsidRPr="00FC27EC">
        <w:t>l</w:t>
      </w:r>
      <w:r w:rsidRPr="00FC27EC">
        <w:t>a</w:t>
      </w:r>
      <w:r w:rsidR="007F3090" w:rsidRPr="00FC27EC">
        <w:t xml:space="preserve"> Convention, </w:t>
      </w:r>
      <w:r w:rsidRPr="00FC27EC">
        <w:t xml:space="preserve">les </w:t>
      </w:r>
      <w:r w:rsidR="00D34919" w:rsidRPr="00FC27EC">
        <w:t>États</w:t>
      </w:r>
      <w:r w:rsidR="007F3090" w:rsidRPr="00FC27EC">
        <w:t xml:space="preserve"> </w:t>
      </w:r>
      <w:r w:rsidR="008F0A81" w:rsidRPr="00FC27EC">
        <w:t>accept</w:t>
      </w:r>
      <w:r w:rsidRPr="00FC27EC">
        <w:t>ent</w:t>
      </w:r>
      <w:r w:rsidR="007F3090" w:rsidRPr="00FC27EC">
        <w:t xml:space="preserve"> </w:t>
      </w:r>
      <w:r w:rsidR="00467965" w:rsidRPr="00FC27EC">
        <w:t>un</w:t>
      </w:r>
      <w:r w:rsidRPr="00FC27EC">
        <w:t xml:space="preserve"> certain</w:t>
      </w:r>
      <w:r w:rsidR="00467965" w:rsidRPr="00FC27EC">
        <w:t xml:space="preserve"> </w:t>
      </w:r>
      <w:r w:rsidRPr="00FC27EC">
        <w:t>nombre</w:t>
      </w:r>
      <w:r w:rsidR="007F3090" w:rsidRPr="00FC27EC">
        <w:t xml:space="preserve"> </w:t>
      </w:r>
      <w:r w:rsidR="00D34919" w:rsidRPr="00FC27EC">
        <w:t>d</w:t>
      </w:r>
      <w:r w:rsidRPr="00FC27EC">
        <w:t>’</w:t>
      </w:r>
      <w:r w:rsidR="007F3090" w:rsidRPr="00FC27EC">
        <w:t xml:space="preserve">obligations. </w:t>
      </w:r>
      <w:r w:rsidR="000C746E" w:rsidRPr="00FC27EC">
        <w:t xml:space="preserve">Lesquelles des obligations suivantes incombent, le cas échéant, aux États parties en vertu de la </w:t>
      </w:r>
      <w:r w:rsidR="007F3090" w:rsidRPr="00FC27EC">
        <w:t>Convention?</w:t>
      </w:r>
    </w:p>
    <w:p w:rsidR="000C746E" w:rsidRPr="00FC27EC" w:rsidRDefault="00D13B76" w:rsidP="000C746E">
      <w:pPr>
        <w:tabs>
          <w:tab w:val="left" w:pos="567"/>
        </w:tabs>
        <w:spacing w:after="60" w:line="280" w:lineRule="exact"/>
        <w:ind w:left="1191" w:hanging="340"/>
        <w:jc w:val="both"/>
        <w:rPr>
          <w:rFonts w:ascii="Arial" w:eastAsia="SimSun" w:hAnsi="Arial" w:cs="Arial"/>
          <w:sz w:val="20"/>
          <w:lang w:val="fr-FR" w:eastAsia="zh-CN"/>
        </w:rPr>
      </w:pPr>
      <w:r>
        <w:rPr>
          <w:rFonts w:ascii="Arial" w:eastAsia="SimSun" w:hAnsi="Arial" w:cs="Arial"/>
          <w:sz w:val="20"/>
          <w:lang w:val="fr-FR" w:eastAsia="zh-CN"/>
        </w:rPr>
        <w:t xml:space="preserve">(a) </w:t>
      </w:r>
      <w:r w:rsidR="000C746E" w:rsidRPr="00FC27EC">
        <w:rPr>
          <w:rFonts w:ascii="Arial" w:eastAsia="SimSun" w:hAnsi="Arial" w:cs="Arial"/>
          <w:sz w:val="20"/>
          <w:lang w:val="fr-FR" w:eastAsia="zh-CN"/>
        </w:rPr>
        <w:t>Il appartient à chaque État partie de prendre les mesures nécessaires pour assurer la sauvegarde du PCI présent sur son territoire.</w:t>
      </w:r>
    </w:p>
    <w:p w:rsidR="000C746E" w:rsidRPr="00FC27EC" w:rsidRDefault="000C746E" w:rsidP="000C746E">
      <w:pPr>
        <w:tabs>
          <w:tab w:val="left" w:pos="567"/>
        </w:tabs>
        <w:spacing w:after="60" w:line="280" w:lineRule="exact"/>
        <w:ind w:left="1191" w:hanging="340"/>
        <w:jc w:val="both"/>
        <w:rPr>
          <w:rFonts w:ascii="Arial" w:eastAsia="SimSun" w:hAnsi="Arial" w:cs="Arial"/>
          <w:sz w:val="20"/>
          <w:lang w:val="fr-FR" w:eastAsia="zh-CN"/>
        </w:rPr>
      </w:pPr>
      <w:r w:rsidRPr="00FC27EC">
        <w:rPr>
          <w:rFonts w:ascii="Arial" w:eastAsia="SimSun" w:hAnsi="Arial" w:cs="Arial"/>
          <w:sz w:val="20"/>
          <w:lang w:val="fr-FR" w:eastAsia="zh-CN"/>
        </w:rPr>
        <w:t>(b)</w:t>
      </w:r>
      <w:r w:rsidRPr="00FC27EC">
        <w:rPr>
          <w:rFonts w:ascii="Arial" w:eastAsia="SimSun" w:hAnsi="Arial" w:cs="Arial"/>
          <w:sz w:val="20"/>
          <w:lang w:val="fr-FR" w:eastAsia="zh-CN"/>
        </w:rPr>
        <w:tab/>
        <w:t>Il appartient à chaque État partie de contribuer, avec les communautés concernées, à la sauvegarde de tous les éléments du PCI présents sur son territoire.</w:t>
      </w:r>
    </w:p>
    <w:p w:rsidR="000C746E" w:rsidRPr="00443A4A" w:rsidRDefault="00443A4A" w:rsidP="00443A4A">
      <w:pPr>
        <w:tabs>
          <w:tab w:val="left" w:pos="567"/>
        </w:tabs>
        <w:spacing w:after="60" w:line="280" w:lineRule="exact"/>
        <w:ind w:left="1191" w:hanging="340"/>
        <w:jc w:val="both"/>
        <w:rPr>
          <w:rFonts w:ascii="Arial" w:eastAsia="SimSun" w:hAnsi="Arial" w:cs="Arial"/>
          <w:sz w:val="20"/>
          <w:lang w:val="fr-FR" w:eastAsia="zh-CN"/>
        </w:rPr>
      </w:pPr>
      <w:r>
        <w:rPr>
          <w:rFonts w:ascii="Arial" w:eastAsia="SimSun" w:hAnsi="Arial" w:cs="Arial"/>
          <w:sz w:val="20"/>
          <w:lang w:val="fr-FR" w:eastAsia="zh-CN"/>
        </w:rPr>
        <w:t>(c)</w:t>
      </w:r>
      <w:r>
        <w:rPr>
          <w:rFonts w:ascii="Arial" w:eastAsia="SimSun" w:hAnsi="Arial" w:cs="Arial"/>
          <w:sz w:val="20"/>
          <w:lang w:val="fr-FR" w:eastAsia="zh-CN"/>
        </w:rPr>
        <w:tab/>
      </w:r>
      <w:r w:rsidR="000C746E" w:rsidRPr="00443A4A">
        <w:rPr>
          <w:rFonts w:ascii="Arial" w:eastAsia="SimSun" w:hAnsi="Arial" w:cs="Arial"/>
          <w:sz w:val="20"/>
          <w:lang w:val="fr-FR" w:eastAsia="zh-CN"/>
        </w:rPr>
        <w:t>Il appartient à chaque État partie de prendre des mesures pour assurer le renforcement des capacités des communautés, des groupes et, le cas échéant, des individus.</w:t>
      </w:r>
    </w:p>
    <w:p w:rsidR="007F3090" w:rsidRPr="00FC27EC" w:rsidRDefault="007F3090" w:rsidP="00836F49">
      <w:pPr>
        <w:pStyle w:val="Heading3"/>
        <w:rPr>
          <w:lang w:val="fr-FR"/>
        </w:rPr>
      </w:pPr>
      <w:r w:rsidRPr="00FC27EC">
        <w:rPr>
          <w:lang w:val="fr-FR"/>
        </w:rPr>
        <w:t>Question A.2</w:t>
      </w:r>
    </w:p>
    <w:p w:rsidR="007F3090" w:rsidRPr="00FC27EC" w:rsidRDefault="004F0652" w:rsidP="00836F49">
      <w:pPr>
        <w:pStyle w:val="Texte1"/>
      </w:pPr>
      <w:r w:rsidRPr="00FC27EC">
        <w:t xml:space="preserve">Les </w:t>
      </w:r>
      <w:r w:rsidR="00D34919" w:rsidRPr="00FC27EC">
        <w:t>États parties</w:t>
      </w:r>
      <w:r w:rsidR="007F3090" w:rsidRPr="00FC27EC">
        <w:t xml:space="preserve"> </w:t>
      </w:r>
      <w:r w:rsidRPr="00FC27EC">
        <w:t>peuvent-ils coopé</w:t>
      </w:r>
      <w:r w:rsidR="007F3090" w:rsidRPr="00FC27EC">
        <w:t>r</w:t>
      </w:r>
      <w:r w:rsidRPr="00FC27EC">
        <w:t>er avec des</w:t>
      </w:r>
      <w:r w:rsidR="007F3090" w:rsidRPr="00FC27EC">
        <w:t xml:space="preserve"> </w:t>
      </w:r>
      <w:r w:rsidR="00D34919" w:rsidRPr="00FC27EC">
        <w:t>États</w:t>
      </w:r>
      <w:r w:rsidR="007F3090" w:rsidRPr="00FC27EC">
        <w:t xml:space="preserve"> </w:t>
      </w:r>
      <w:r w:rsidRPr="00FC27EC">
        <w:t>qui ne sont pas parties à</w:t>
      </w:r>
      <w:r w:rsidR="007F3090" w:rsidRPr="00FC27EC">
        <w:t xml:space="preserve"> </w:t>
      </w:r>
      <w:r w:rsidR="00D34919" w:rsidRPr="00FC27EC">
        <w:t>l</w:t>
      </w:r>
      <w:r w:rsidRPr="00FC27EC">
        <w:t>a</w:t>
      </w:r>
      <w:r w:rsidR="007F3090" w:rsidRPr="00FC27EC">
        <w:t xml:space="preserve"> Convention</w:t>
      </w:r>
      <w:r w:rsidR="00A92EDC" w:rsidRPr="00FC27EC">
        <w:t xml:space="preserve"> pour les aider à</w:t>
      </w:r>
      <w:r w:rsidR="007F3090" w:rsidRPr="00FC27EC">
        <w:t xml:space="preserve"> </w:t>
      </w:r>
      <w:r w:rsidR="00D3463D" w:rsidRPr="00FC27EC">
        <w:t>sauvegarde</w:t>
      </w:r>
      <w:r w:rsidR="00A92EDC" w:rsidRPr="00FC27EC">
        <w:t>r</w:t>
      </w:r>
      <w:r w:rsidR="007F3090" w:rsidRPr="00FC27EC">
        <w:t xml:space="preserve"> </w:t>
      </w:r>
      <w:r w:rsidR="00612084" w:rsidRPr="00FC27EC">
        <w:t xml:space="preserve">un </w:t>
      </w:r>
      <w:r w:rsidR="00ED33FF" w:rsidRPr="00FC27EC">
        <w:t>PCI</w:t>
      </w:r>
      <w:r w:rsidR="00612084" w:rsidRPr="00FC27EC">
        <w:t xml:space="preserve"> commun</w:t>
      </w:r>
      <w:r w:rsidR="00D13B76">
        <w:t> </w:t>
      </w:r>
      <w:r w:rsidR="007F3090" w:rsidRPr="00FC27EC">
        <w:t>?</w:t>
      </w:r>
    </w:p>
    <w:p w:rsidR="007F3090" w:rsidRPr="00FC27EC" w:rsidRDefault="007F3090" w:rsidP="00836F49">
      <w:pPr>
        <w:pStyle w:val="numrationa"/>
      </w:pPr>
      <w:r w:rsidRPr="00FC27EC">
        <w:t>(a)</w:t>
      </w:r>
      <w:r w:rsidRPr="00FC27EC">
        <w:tab/>
      </w:r>
      <w:r w:rsidR="00466B84" w:rsidRPr="00FC27EC">
        <w:t>Oui</w:t>
      </w:r>
      <w:r w:rsidR="007922C2" w:rsidRPr="00FC27EC">
        <w:t>, à</w:t>
      </w:r>
      <w:r w:rsidRPr="00FC27EC">
        <w:t xml:space="preserve"> condition </w:t>
      </w:r>
      <w:r w:rsidR="004F0652" w:rsidRPr="00FC27EC">
        <w:t>que</w:t>
      </w:r>
      <w:r w:rsidRPr="00FC27EC">
        <w:t xml:space="preserve"> </w:t>
      </w:r>
      <w:r w:rsidR="00D34919" w:rsidRPr="00FC27EC">
        <w:t>l</w:t>
      </w:r>
      <w:r w:rsidR="004F0652" w:rsidRPr="00FC27EC">
        <w:t>e</w:t>
      </w:r>
      <w:r w:rsidRPr="00FC27EC">
        <w:t xml:space="preserve"> </w:t>
      </w:r>
      <w:r w:rsidR="00AA38C8" w:rsidRPr="00FC27EC">
        <w:t>Comité</w:t>
      </w:r>
      <w:r w:rsidRPr="00FC27EC">
        <w:t xml:space="preserve"> </w:t>
      </w:r>
      <w:r w:rsidR="007922C2" w:rsidRPr="00FC27EC">
        <w:t xml:space="preserve">intergouvernemental </w:t>
      </w:r>
      <w:r w:rsidR="00A92EDC" w:rsidRPr="00FC27EC">
        <w:t xml:space="preserve">en </w:t>
      </w:r>
      <w:r w:rsidR="004F0652" w:rsidRPr="00FC27EC">
        <w:t xml:space="preserve">donne </w:t>
      </w:r>
      <w:r w:rsidR="00A92EDC" w:rsidRPr="00FC27EC">
        <w:t>l’</w:t>
      </w:r>
      <w:r w:rsidR="004F0652" w:rsidRPr="00FC27EC">
        <w:t>autorisat</w:t>
      </w:r>
      <w:r w:rsidRPr="00FC27EC">
        <w:t>ion.</w:t>
      </w:r>
    </w:p>
    <w:p w:rsidR="007F3090" w:rsidRPr="00FC27EC" w:rsidRDefault="007F3090" w:rsidP="00836F49">
      <w:pPr>
        <w:pStyle w:val="numrationa"/>
      </w:pPr>
      <w:r w:rsidRPr="00FC27EC">
        <w:t>(b)</w:t>
      </w:r>
      <w:r w:rsidRPr="00FC27EC">
        <w:tab/>
      </w:r>
      <w:r w:rsidR="001E789D" w:rsidRPr="00FC27EC">
        <w:t>Non,</w:t>
      </w:r>
      <w:r w:rsidRPr="00FC27EC">
        <w:t xml:space="preserve"> </w:t>
      </w:r>
      <w:r w:rsidR="004F0652" w:rsidRPr="00FC27EC">
        <w:t xml:space="preserve">pas </w:t>
      </w:r>
      <w:r w:rsidR="00A92EDC" w:rsidRPr="00FC27EC">
        <w:t>avant qu’ils soient tous</w:t>
      </w:r>
      <w:r w:rsidRPr="00FC27EC">
        <w:t xml:space="preserve"> </w:t>
      </w:r>
      <w:r w:rsidR="00D34919" w:rsidRPr="00FC27EC">
        <w:t>États parties</w:t>
      </w:r>
      <w:r w:rsidRPr="00FC27EC">
        <w:t>.</w:t>
      </w:r>
    </w:p>
    <w:p w:rsidR="005D0EE3" w:rsidRPr="00FC27EC" w:rsidRDefault="007F3090" w:rsidP="00836F49">
      <w:pPr>
        <w:pStyle w:val="numrationa"/>
      </w:pPr>
      <w:r w:rsidRPr="00FC27EC">
        <w:t>(c)</w:t>
      </w:r>
      <w:r w:rsidRPr="00FC27EC">
        <w:tab/>
      </w:r>
      <w:r w:rsidR="00466B84" w:rsidRPr="00FC27EC">
        <w:t>Oui</w:t>
      </w:r>
      <w:r w:rsidRPr="00FC27EC">
        <w:t xml:space="preserve">, </w:t>
      </w:r>
      <w:r w:rsidR="00D62001" w:rsidRPr="00FC27EC">
        <w:t>si</w:t>
      </w:r>
      <w:r w:rsidRPr="00FC27EC">
        <w:t xml:space="preserve"> </w:t>
      </w:r>
      <w:r w:rsidR="00D34919" w:rsidRPr="00FC27EC">
        <w:t>l</w:t>
      </w:r>
      <w:r w:rsidR="004F0652" w:rsidRPr="00FC27EC">
        <w:t>es</w:t>
      </w:r>
      <w:r w:rsidRPr="00FC27EC">
        <w:t xml:space="preserve"> </w:t>
      </w:r>
      <w:r w:rsidR="00ED33FF" w:rsidRPr="00FC27EC">
        <w:t>communautés</w:t>
      </w:r>
      <w:r w:rsidRPr="00FC27EC">
        <w:t xml:space="preserve"> </w:t>
      </w:r>
      <w:r w:rsidR="001C2BA6" w:rsidRPr="00FC27EC">
        <w:t>concernées</w:t>
      </w:r>
      <w:r w:rsidRPr="00FC27EC">
        <w:t xml:space="preserve"> a</w:t>
      </w:r>
      <w:r w:rsidR="004F0652" w:rsidRPr="00FC27EC">
        <w:t xml:space="preserve">cceptent de </w:t>
      </w:r>
      <w:r w:rsidR="00A92EDC" w:rsidRPr="00FC27EC">
        <w:t xml:space="preserve">mener des </w:t>
      </w:r>
      <w:r w:rsidR="007922C2" w:rsidRPr="00FC27EC">
        <w:t>activités</w:t>
      </w:r>
      <w:r w:rsidR="004F0652" w:rsidRPr="00FC27EC">
        <w:t xml:space="preserve"> de</w:t>
      </w:r>
      <w:r w:rsidR="007922C2" w:rsidRPr="00FC27EC">
        <w:t xml:space="preserve"> </w:t>
      </w:r>
      <w:r w:rsidR="00D3463D" w:rsidRPr="00FC27EC">
        <w:t>sauvegarde</w:t>
      </w:r>
      <w:r w:rsidR="00A92EDC" w:rsidRPr="00FC27EC">
        <w:t xml:space="preserve"> conjointes</w:t>
      </w:r>
      <w:r w:rsidRPr="00FC27EC">
        <w:t>.</w:t>
      </w:r>
    </w:p>
    <w:p w:rsidR="007F3090" w:rsidRPr="00FC27EC" w:rsidRDefault="007F3090" w:rsidP="00836F49">
      <w:pPr>
        <w:pStyle w:val="Heading3"/>
        <w:rPr>
          <w:lang w:val="fr-FR"/>
        </w:rPr>
      </w:pPr>
      <w:r w:rsidRPr="00FC27EC">
        <w:rPr>
          <w:lang w:val="fr-FR"/>
        </w:rPr>
        <w:t>Question A.3</w:t>
      </w:r>
    </w:p>
    <w:p w:rsidR="00217FA7" w:rsidRPr="00FC27EC" w:rsidRDefault="00A954D3" w:rsidP="00217FA7">
      <w:pPr>
        <w:pStyle w:val="Texte1"/>
      </w:pPr>
      <w:r w:rsidRPr="00FC27EC">
        <w:t>Dans</w:t>
      </w:r>
      <w:r w:rsidR="007F3090" w:rsidRPr="00FC27EC">
        <w:t xml:space="preserve"> </w:t>
      </w:r>
      <w:r w:rsidR="00467965" w:rsidRPr="00FC27EC">
        <w:t xml:space="preserve">un </w:t>
      </w:r>
      <w:r w:rsidRPr="00FC27EC">
        <w:t xml:space="preserve">service de médiation de la communauté Y, les femmes ne peuvent pas faire office de médiatrices, pas même entre femmes. La pratique de la médiation qui nécessite d’être sauvegardée, a été incluse dans l’Inventaire provincial du PCI. Les représentants de la communauté Y ont élaboré un plan de sauvegarde de la tradition et ont demandé l’aide du ministère de la Culture. Le </w:t>
      </w:r>
      <w:r w:rsidR="00AA38C8" w:rsidRPr="00FC27EC">
        <w:t>ministère</w:t>
      </w:r>
      <w:r w:rsidR="007F3090" w:rsidRPr="00FC27EC">
        <w:t xml:space="preserve">, </w:t>
      </w:r>
      <w:r w:rsidRPr="00FC27EC">
        <w:t>qui est chargé de</w:t>
      </w:r>
      <w:r w:rsidR="007F3090" w:rsidRPr="00FC27EC">
        <w:t xml:space="preserve"> promo</w:t>
      </w:r>
      <w:r w:rsidRPr="00FC27EC">
        <w:t>uvoir l’égalité des sexes</w:t>
      </w:r>
      <w:r w:rsidR="007F3090" w:rsidRPr="00FC27EC">
        <w:t xml:space="preserve"> </w:t>
      </w:r>
      <w:r w:rsidR="00217FA7" w:rsidRPr="00FC27EC">
        <w:lastRenderedPageBreak/>
        <w:t>conformément au droit national, a identifié trois options. Parmi les stratégies suivantes veuillez leur indiquer celles qui pourraient être adoptées et pourquoi elles conviendraient :</w:t>
      </w:r>
    </w:p>
    <w:p w:rsidR="00217FA7" w:rsidRPr="00FC27EC" w:rsidRDefault="00217FA7" w:rsidP="00217FA7">
      <w:pPr>
        <w:pStyle w:val="numrationa"/>
      </w:pPr>
      <w:r w:rsidRPr="00FC27EC">
        <w:t>(a)</w:t>
      </w:r>
      <w:r w:rsidRPr="00FC27EC">
        <w:tab/>
        <w:t xml:space="preserve">Aucune assistance ne devrait être prodiguée du fait que le PCI qui favorise l’inégalité des sexes ne devrait pas être soutenu par cet État, mais l’élément peut </w:t>
      </w:r>
      <w:r w:rsidR="0006568D">
        <w:t xml:space="preserve">toujours faire partie de </w:t>
      </w:r>
      <w:r w:rsidRPr="00FC27EC">
        <w:t>l’inventaire puisqu’il a été reconnu comme faisant partie de son patrimoine culturel par la communauté Y.</w:t>
      </w:r>
    </w:p>
    <w:p w:rsidR="00217FA7" w:rsidRPr="00FC27EC" w:rsidRDefault="00217FA7" w:rsidP="00217FA7">
      <w:pPr>
        <w:pStyle w:val="numrationa"/>
      </w:pPr>
      <w:r w:rsidRPr="00FC27EC">
        <w:t>(b)</w:t>
      </w:r>
      <w:r w:rsidRPr="00FC27EC">
        <w:tab/>
        <w:t>Entamer des pourparlers avec la communauté Y pour voir si la communauté souhaiterait adapter la pratique à l’évolution des interprétations dans la société et s’il serait possible d’élaborer un nouveau plan de sauvegarde dans la mesure où la pratique de la médiation fait bien la promotion de l’égalité entre les sexes.</w:t>
      </w:r>
    </w:p>
    <w:p w:rsidR="005D0EE3" w:rsidRPr="00FC27EC" w:rsidRDefault="00217FA7" w:rsidP="00217FA7">
      <w:pPr>
        <w:pStyle w:val="Texte1"/>
      </w:pPr>
      <w:r w:rsidRPr="00FC27EC">
        <w:t>(c)  Retirer l’élément de l’inventaire et attendre cinq à dix ans pour voir ce qui arrive</w:t>
      </w:r>
      <w:r w:rsidR="007F3090" w:rsidRPr="00FC27EC">
        <w:t>.</w:t>
      </w:r>
    </w:p>
    <w:p w:rsidR="007F3090" w:rsidRPr="00FC27EC" w:rsidRDefault="007F3090" w:rsidP="00836F49">
      <w:pPr>
        <w:pStyle w:val="Heading3"/>
        <w:rPr>
          <w:lang w:val="fr-FR"/>
        </w:rPr>
      </w:pPr>
      <w:r w:rsidRPr="00FC27EC">
        <w:rPr>
          <w:lang w:val="fr-FR"/>
        </w:rPr>
        <w:t>Question A.4</w:t>
      </w:r>
    </w:p>
    <w:p w:rsidR="006E0B6A" w:rsidRPr="00FC27EC" w:rsidRDefault="006E0B6A" w:rsidP="006E0B6A">
      <w:pPr>
        <w:pStyle w:val="Texte1"/>
      </w:pPr>
      <w:r w:rsidRPr="00FC27EC">
        <w:t>Les langu</w:t>
      </w:r>
      <w:r w:rsidR="007F3090" w:rsidRPr="00FC27EC">
        <w:t xml:space="preserve">es </w:t>
      </w:r>
      <w:r w:rsidRPr="00FC27EC">
        <w:t>peuvent-elles être sauvegardées dans le cadre de la mise en œuvre de la Convention à l’échelle nationale ?</w:t>
      </w:r>
    </w:p>
    <w:p w:rsidR="006E0B6A" w:rsidRPr="00FC27EC" w:rsidRDefault="006E0B6A" w:rsidP="006E0B6A">
      <w:pPr>
        <w:tabs>
          <w:tab w:val="left" w:pos="567"/>
        </w:tabs>
        <w:spacing w:after="60" w:line="280" w:lineRule="exact"/>
        <w:ind w:left="1191" w:hanging="340"/>
        <w:jc w:val="both"/>
        <w:rPr>
          <w:rFonts w:ascii="Arial" w:eastAsia="SimSun" w:hAnsi="Arial" w:cs="Arial"/>
          <w:sz w:val="20"/>
          <w:lang w:val="fr-FR" w:eastAsia="zh-CN"/>
        </w:rPr>
      </w:pPr>
      <w:r w:rsidRPr="00FC27EC">
        <w:rPr>
          <w:rFonts w:ascii="Arial" w:eastAsia="SimSun" w:hAnsi="Arial" w:cs="Arial"/>
          <w:sz w:val="20"/>
          <w:lang w:val="fr-FR" w:eastAsia="zh-CN"/>
        </w:rPr>
        <w:t>(a)</w:t>
      </w:r>
      <w:r w:rsidRPr="00FC27EC">
        <w:rPr>
          <w:rFonts w:ascii="Arial" w:eastAsia="SimSun" w:hAnsi="Arial" w:cs="Arial"/>
          <w:sz w:val="20"/>
          <w:lang w:val="fr-FR" w:eastAsia="zh-CN"/>
        </w:rPr>
        <w:tab/>
        <w:t>Non, car les langues en tant que telles ne figurent pas parmi les domaines du PCI énoncés à l’article 2.2 de la Convention (la langue est seulement considérée comme vecteur du PCI).</w:t>
      </w:r>
    </w:p>
    <w:p w:rsidR="006E0B6A" w:rsidRPr="00FC27EC" w:rsidRDefault="006E0B6A" w:rsidP="006E0B6A">
      <w:pPr>
        <w:tabs>
          <w:tab w:val="left" w:pos="567"/>
        </w:tabs>
        <w:spacing w:after="60" w:line="280" w:lineRule="exact"/>
        <w:ind w:left="1191" w:hanging="340"/>
        <w:jc w:val="both"/>
        <w:rPr>
          <w:rFonts w:ascii="Arial" w:eastAsia="SimSun" w:hAnsi="Arial" w:cs="Arial"/>
          <w:sz w:val="20"/>
          <w:lang w:val="fr-FR" w:eastAsia="zh-CN"/>
        </w:rPr>
      </w:pPr>
      <w:r w:rsidRPr="00FC27EC">
        <w:rPr>
          <w:rFonts w:ascii="Arial" w:eastAsia="SimSun" w:hAnsi="Arial" w:cs="Arial"/>
          <w:sz w:val="20"/>
          <w:lang w:val="fr-FR" w:eastAsia="zh-CN"/>
        </w:rPr>
        <w:t>(b)</w:t>
      </w:r>
      <w:r w:rsidRPr="00FC27EC">
        <w:rPr>
          <w:rFonts w:ascii="Arial" w:eastAsia="SimSun" w:hAnsi="Arial" w:cs="Arial"/>
          <w:sz w:val="20"/>
          <w:lang w:val="fr-FR" w:eastAsia="zh-CN"/>
        </w:rPr>
        <w:tab/>
        <w:t>Oui, elles sont intrinsèques au PCI et méritent toujours d’être sauvegardées à la fois comme vecteur du PCI et en tant que telles.</w:t>
      </w:r>
    </w:p>
    <w:p w:rsidR="00992FFB" w:rsidRPr="00443A4A" w:rsidRDefault="00443A4A" w:rsidP="00443A4A">
      <w:pPr>
        <w:tabs>
          <w:tab w:val="left" w:pos="567"/>
        </w:tabs>
        <w:spacing w:after="60" w:line="280" w:lineRule="exact"/>
        <w:ind w:left="1191" w:hanging="340"/>
        <w:jc w:val="both"/>
        <w:rPr>
          <w:rFonts w:ascii="Arial" w:eastAsia="SimSun" w:hAnsi="Arial" w:cs="Arial"/>
          <w:sz w:val="20"/>
          <w:lang w:val="fr-FR" w:eastAsia="zh-CN"/>
        </w:rPr>
      </w:pPr>
      <w:r>
        <w:rPr>
          <w:rFonts w:ascii="Arial" w:eastAsia="SimSun" w:hAnsi="Arial" w:cs="Arial"/>
          <w:sz w:val="20"/>
          <w:lang w:val="fr-FR" w:eastAsia="zh-CN"/>
        </w:rPr>
        <w:t>(c)</w:t>
      </w:r>
      <w:r>
        <w:rPr>
          <w:rFonts w:ascii="Arial" w:eastAsia="SimSun" w:hAnsi="Arial" w:cs="Arial"/>
          <w:sz w:val="20"/>
          <w:lang w:val="fr-FR" w:eastAsia="zh-CN"/>
        </w:rPr>
        <w:tab/>
      </w:r>
      <w:r w:rsidR="006E0B6A" w:rsidRPr="00443A4A">
        <w:rPr>
          <w:rFonts w:ascii="Arial" w:eastAsia="SimSun" w:hAnsi="Arial" w:cs="Arial"/>
          <w:sz w:val="20"/>
          <w:lang w:val="fr-FR" w:eastAsia="zh-CN"/>
        </w:rPr>
        <w:t>Une langue en soi peut être sauvegardée dans le cadre de la mise en œuvre de la Convention à l’échelle nationale si elle est incluse par l’État partie concerné dans sa définition du PCI</w:t>
      </w:r>
      <w:r w:rsidR="007F3090" w:rsidRPr="00443A4A">
        <w:rPr>
          <w:rFonts w:ascii="Arial" w:eastAsia="SimSun" w:hAnsi="Arial" w:cs="Arial"/>
          <w:sz w:val="20"/>
          <w:lang w:val="fr-FR" w:eastAsia="zh-CN"/>
        </w:rPr>
        <w:t>.</w:t>
      </w:r>
    </w:p>
    <w:p w:rsidR="007F3090" w:rsidRPr="00FC27EC" w:rsidRDefault="007F3090" w:rsidP="00836F49">
      <w:pPr>
        <w:pStyle w:val="Heading3"/>
        <w:rPr>
          <w:lang w:val="fr-FR"/>
        </w:rPr>
      </w:pPr>
      <w:r w:rsidRPr="00FC27EC">
        <w:rPr>
          <w:lang w:val="fr-FR"/>
        </w:rPr>
        <w:t>Question A.5</w:t>
      </w:r>
    </w:p>
    <w:p w:rsidR="007F3090" w:rsidRPr="00FC27EC" w:rsidRDefault="00D34919" w:rsidP="008F0A81">
      <w:pPr>
        <w:pStyle w:val="Texte1"/>
      </w:pPr>
      <w:r w:rsidRPr="00FC27EC">
        <w:t>L</w:t>
      </w:r>
      <w:r w:rsidR="00D37724" w:rsidRPr="00FC27EC">
        <w:t>a</w:t>
      </w:r>
      <w:r w:rsidR="007F3090" w:rsidRPr="00FC27EC">
        <w:t xml:space="preserve"> population </w:t>
      </w:r>
      <w:r w:rsidR="00D37724" w:rsidRPr="00FC27EC">
        <w:t>de la zone rurale Y a considérablement diminué au cours des 20 dernières années</w:t>
      </w:r>
      <w:r w:rsidR="0006568D">
        <w:t xml:space="preserve">, </w:t>
      </w:r>
      <w:r w:rsidR="00D37724" w:rsidRPr="00FC27EC">
        <w:t xml:space="preserve">les jeunes </w:t>
      </w:r>
      <w:r w:rsidR="0006568D">
        <w:t xml:space="preserve">étant allés </w:t>
      </w:r>
      <w:r w:rsidR="00D37724" w:rsidRPr="00FC27EC">
        <w:t>chercher du travail et des loisirs ailleurs. Une grande partie du PCI de la région est menacée, notamment les pratiques de chants et de danses. Des experts du Centre de recherche ethnomusicologique de la capitale ont élaboré un plan de sauvegarde pour quelques-unes de ces traditions qu’ils considèrent uniques. Le consentement au projet de la communauté concernée lui sera demandé dès que possible. Recommanderiez-vous au ministère de financer le plan qui vise à étendre le répertoire de la génération actuelle de chanteurs et de danseurs, au moyen de la documentation ? Si non, quelles raisons invoqueriez-vous ?</w:t>
      </w:r>
    </w:p>
    <w:p w:rsidR="00D37724" w:rsidRPr="00FC27EC" w:rsidRDefault="007F3090" w:rsidP="00D37724">
      <w:pPr>
        <w:pStyle w:val="numrationa"/>
      </w:pPr>
      <w:r w:rsidRPr="00FC27EC">
        <w:t>(a)</w:t>
      </w:r>
      <w:r w:rsidRPr="00FC27EC">
        <w:tab/>
      </w:r>
      <w:r w:rsidR="001E789D" w:rsidRPr="00FC27EC">
        <w:t>Non,</w:t>
      </w:r>
      <w:r w:rsidRPr="00FC27EC">
        <w:t xml:space="preserve"> </w:t>
      </w:r>
      <w:r w:rsidR="00D37724" w:rsidRPr="00FC27EC">
        <w:t>la mise en œuvre de la Convention ne doit pas satisfaire en premier lieu le programme de recherche des experts, mais répondre aux besoins des communautés concernées.</w:t>
      </w:r>
    </w:p>
    <w:p w:rsidR="00D37724" w:rsidRPr="00FC27EC" w:rsidRDefault="00D37724" w:rsidP="00D37724">
      <w:pPr>
        <w:pStyle w:val="numrationa"/>
      </w:pPr>
      <w:r w:rsidRPr="00FC27EC">
        <w:t>(b)</w:t>
      </w:r>
      <w:r w:rsidRPr="00FC27EC">
        <w:tab/>
        <w:t>Non, le plan doit être rejeté d’emblée car il a été établi sans la participation de la communauté concernée.</w:t>
      </w:r>
    </w:p>
    <w:p w:rsidR="00992FFB" w:rsidRPr="00FC27EC" w:rsidRDefault="00D37724" w:rsidP="00D37724">
      <w:pPr>
        <w:pStyle w:val="numrationa"/>
      </w:pPr>
      <w:r w:rsidRPr="00FC27EC">
        <w:t>(c)</w:t>
      </w:r>
      <w:r w:rsidRPr="00FC27EC">
        <w:tab/>
        <w:t>Non, la communauté concernée a d’autres problèmes sérieux ; un plan de sauvegarde de son PCI devrait également tenir compte de ces problèmes</w:t>
      </w:r>
      <w:r w:rsidR="007F3090" w:rsidRPr="00FC27EC">
        <w:t>.</w:t>
      </w:r>
    </w:p>
    <w:p w:rsidR="007F3090" w:rsidRPr="00FC27EC" w:rsidRDefault="007F3090" w:rsidP="00836F49">
      <w:pPr>
        <w:pStyle w:val="Heading3"/>
        <w:rPr>
          <w:lang w:val="fr-FR"/>
        </w:rPr>
      </w:pPr>
      <w:r w:rsidRPr="00FC27EC">
        <w:rPr>
          <w:lang w:val="fr-FR"/>
        </w:rPr>
        <w:t>Question A.6</w:t>
      </w:r>
    </w:p>
    <w:p w:rsidR="00251F44" w:rsidRPr="00FC27EC" w:rsidRDefault="00251F44" w:rsidP="00251F44">
      <w:pPr>
        <w:pStyle w:val="Texte1"/>
      </w:pPr>
      <w:r w:rsidRPr="00FC27EC">
        <w:t>Une forme de danse qui se pratiquait beaucoup autrefois dans la ville B et qui était bien documentée dans les années 1960, a disparu depuis les années 1980. Parmi les mesures indiquées ci-après, y en aurait-il une ou plusieurs qui seraient aptes à ‘revitaliser’ la pratique de cette danse ?</w:t>
      </w:r>
    </w:p>
    <w:p w:rsidR="00251F44" w:rsidRPr="00FC27EC" w:rsidRDefault="00251F44" w:rsidP="00251F44">
      <w:pPr>
        <w:pStyle w:val="numrationa"/>
      </w:pPr>
      <w:r w:rsidRPr="00FC27EC">
        <w:lastRenderedPageBreak/>
        <w:t>(a)</w:t>
      </w:r>
      <w:r w:rsidRPr="00FC27EC">
        <w:tab/>
        <w:t>Reconstruction de la danse par des chercheurs à l’aide d’enregistrements des années 1960 et réintroduction de l’élément dans la communauté concernée grâce à des stages de formation organisés avec l’aide de membres de la communauté qui se souviennent de la danse et des occasions où elle était parfaitement exécutée.</w:t>
      </w:r>
    </w:p>
    <w:p w:rsidR="007F3090" w:rsidRPr="00FC27EC" w:rsidRDefault="00251F44" w:rsidP="00251F44">
      <w:pPr>
        <w:pStyle w:val="Texte1"/>
      </w:pPr>
      <w:r w:rsidRPr="00FC27EC">
        <w:t>(b)  Formation des membres d’une association folklorique de la capitale du pays à pratiquer la danse à l’aide d’enregistrements des années 1960 et des conseils de membres de la communauté qui en gardent encore le souvenir</w:t>
      </w:r>
      <w:r w:rsidR="007F3090" w:rsidRPr="00FC27EC">
        <w:t>.</w:t>
      </w:r>
    </w:p>
    <w:p w:rsidR="005C0C2F" w:rsidRPr="00FC27EC" w:rsidRDefault="00CC109C" w:rsidP="00836F49">
      <w:pPr>
        <w:pStyle w:val="Heading4"/>
        <w:rPr>
          <w:lang w:val="fr-FR"/>
        </w:rPr>
      </w:pPr>
      <w:r w:rsidRPr="00FC27EC">
        <w:rPr>
          <w:lang w:val="fr-FR"/>
        </w:rPr>
        <w:t>SÉRIE</w:t>
      </w:r>
      <w:r w:rsidR="0013616E" w:rsidRPr="00FC27EC">
        <w:rPr>
          <w:lang w:val="fr-FR"/>
        </w:rPr>
        <w:t xml:space="preserve"> B</w:t>
      </w:r>
    </w:p>
    <w:p w:rsidR="007F3090" w:rsidRPr="00FC27EC" w:rsidRDefault="007F3090" w:rsidP="00836F49">
      <w:pPr>
        <w:pStyle w:val="Heading3"/>
        <w:rPr>
          <w:lang w:val="fr-FR"/>
        </w:rPr>
      </w:pPr>
      <w:r w:rsidRPr="00FC27EC">
        <w:rPr>
          <w:lang w:val="fr-FR"/>
        </w:rPr>
        <w:t>Question B.1</w:t>
      </w:r>
    </w:p>
    <w:p w:rsidR="00126C95" w:rsidRPr="00FC27EC" w:rsidRDefault="00A95DB5" w:rsidP="00126C95">
      <w:pPr>
        <w:pStyle w:val="Texte1"/>
      </w:pPr>
      <w:r w:rsidRPr="00FC27EC">
        <w:t xml:space="preserve">Parmi </w:t>
      </w:r>
      <w:r w:rsidR="00126C95" w:rsidRPr="00FC27EC">
        <w:t xml:space="preserve">les mesures mentionnées ci-après, y en </w:t>
      </w:r>
      <w:proofErr w:type="spellStart"/>
      <w:r w:rsidR="00126C95" w:rsidRPr="00FC27EC">
        <w:t>a-t-il</w:t>
      </w:r>
      <w:proofErr w:type="spellEnd"/>
      <w:r w:rsidR="00126C95" w:rsidRPr="00FC27EC">
        <w:t xml:space="preserve"> éventuellement que les États parties sont obligés de prendre avant de pouvoir commencer à aider une communauté à sauvegarder un PCI spécifique ?</w:t>
      </w:r>
    </w:p>
    <w:p w:rsidR="00126C95" w:rsidRPr="00FC27EC" w:rsidRDefault="00126C95" w:rsidP="00126C95">
      <w:pPr>
        <w:pStyle w:val="numrationa"/>
      </w:pPr>
      <w:r w:rsidRPr="00FC27EC">
        <w:t>(a)</w:t>
      </w:r>
      <w:r w:rsidRPr="00FC27EC">
        <w:tab/>
        <w:t>Inclure le PCI concerné dans un inventaire du PCI présent sur leur territoire.</w:t>
      </w:r>
    </w:p>
    <w:p w:rsidR="00126C95" w:rsidRPr="00FC27EC" w:rsidRDefault="00126C95" w:rsidP="00126C95">
      <w:pPr>
        <w:pStyle w:val="numrationa"/>
      </w:pPr>
      <w:r w:rsidRPr="00FC27EC">
        <w:t>(b)</w:t>
      </w:r>
      <w:r w:rsidRPr="00FC27EC">
        <w:tab/>
        <w:t>Obtenir le consentement des communautés, groupes et individus concernés.</w:t>
      </w:r>
    </w:p>
    <w:p w:rsidR="0013616E" w:rsidRPr="00FC27EC" w:rsidRDefault="00126C95" w:rsidP="00126C95">
      <w:pPr>
        <w:pStyle w:val="Texte1"/>
      </w:pPr>
      <w:r w:rsidRPr="00FC27EC">
        <w:t>(c)  Adapter la législation nationale pour créer un cadre juridique pour la sauvegarde du PCI</w:t>
      </w:r>
      <w:r w:rsidR="007F3090" w:rsidRPr="00FC27EC">
        <w:t>.</w:t>
      </w:r>
    </w:p>
    <w:p w:rsidR="007F3090" w:rsidRPr="00FC27EC" w:rsidRDefault="007F3090" w:rsidP="00836F49">
      <w:pPr>
        <w:pStyle w:val="Heading3"/>
        <w:rPr>
          <w:lang w:val="fr-FR"/>
        </w:rPr>
      </w:pPr>
      <w:r w:rsidRPr="00FC27EC">
        <w:rPr>
          <w:lang w:val="fr-FR"/>
        </w:rPr>
        <w:t>Question B.2</w:t>
      </w:r>
    </w:p>
    <w:p w:rsidR="00126C95" w:rsidRPr="00FC27EC" w:rsidRDefault="00126C95" w:rsidP="00126C95">
      <w:pPr>
        <w:pStyle w:val="Texte1"/>
      </w:pPr>
      <w:r w:rsidRPr="00FC27EC">
        <w:t>Certaines</w:t>
      </w:r>
      <w:r w:rsidR="007F3090" w:rsidRPr="00FC27EC">
        <w:t xml:space="preserve"> </w:t>
      </w:r>
      <w:r w:rsidRPr="00FC27EC">
        <w:t>pratiques du PCI semblent nécessiter des mesures de sauvegarde ainsi qu’une protection de la propriété intellectuelle. Laquelle des affirmations suivantes est vraie, si toutefois il y en a une ?</w:t>
      </w:r>
    </w:p>
    <w:p w:rsidR="00126C95" w:rsidRPr="00FC27EC" w:rsidRDefault="00126C95" w:rsidP="00126C95">
      <w:pPr>
        <w:pStyle w:val="numrationa"/>
        <w:numPr>
          <w:ilvl w:val="0"/>
          <w:numId w:val="1"/>
        </w:numPr>
        <w:ind w:left="1191" w:hanging="340"/>
      </w:pPr>
      <w:r w:rsidRPr="00FC27EC">
        <w:t>La protection de la propriété intellectuelle peut aider à sauvegarder le PCI dans certains cas.</w:t>
      </w:r>
    </w:p>
    <w:p w:rsidR="00126C95" w:rsidRPr="00FC27EC" w:rsidRDefault="00126C95" w:rsidP="00126C95">
      <w:pPr>
        <w:pStyle w:val="numrationa"/>
        <w:numPr>
          <w:ilvl w:val="0"/>
          <w:numId w:val="1"/>
        </w:numPr>
        <w:ind w:left="1191" w:hanging="340"/>
      </w:pPr>
      <w:r w:rsidRPr="00FC27EC">
        <w:t>La Convention de 2003 ne compte pas la protection de la propriété intellectuelle parmi les mesures de sauvegarde visées à l’article 2.3, d’où le caractère inapproprié de ces mesures de sauvegarde.</w:t>
      </w:r>
    </w:p>
    <w:p w:rsidR="007F3090" w:rsidRPr="00FC27EC" w:rsidRDefault="00126C95" w:rsidP="00126C95">
      <w:pPr>
        <w:pStyle w:val="numrationa"/>
        <w:numPr>
          <w:ilvl w:val="0"/>
          <w:numId w:val="1"/>
        </w:numPr>
        <w:spacing w:line="240" w:lineRule="auto"/>
        <w:ind w:left="1208" w:hanging="357"/>
        <w:rPr>
          <w:sz w:val="22"/>
          <w:lang w:eastAsia="en-US"/>
        </w:rPr>
      </w:pPr>
      <w:r w:rsidRPr="00FC27EC">
        <w:t xml:space="preserve">La sauvegarde du PCI est incompatible avec la protection de la propriété intellectuelle – cf. article 3(b) de la </w:t>
      </w:r>
      <w:r w:rsidR="007F3090" w:rsidRPr="00FC27EC">
        <w:t>Convention.</w:t>
      </w:r>
    </w:p>
    <w:p w:rsidR="004E4053" w:rsidRPr="00FC27EC" w:rsidRDefault="004E4053" w:rsidP="00836F49">
      <w:pPr>
        <w:pStyle w:val="Heading3"/>
        <w:rPr>
          <w:lang w:val="fr-FR"/>
        </w:rPr>
      </w:pPr>
      <w:r w:rsidRPr="00FC27EC">
        <w:rPr>
          <w:lang w:val="fr-FR"/>
        </w:rPr>
        <w:t>Question B.3</w:t>
      </w:r>
    </w:p>
    <w:p w:rsidR="00C64E65" w:rsidRPr="00FC27EC" w:rsidRDefault="00C64E65" w:rsidP="00C64E65">
      <w:pPr>
        <w:pStyle w:val="Texte1"/>
      </w:pPr>
      <w:r w:rsidRPr="00FC27EC">
        <w:t>Selon</w:t>
      </w:r>
      <w:r w:rsidR="004E4053" w:rsidRPr="00FC27EC">
        <w:t xml:space="preserve"> </w:t>
      </w:r>
      <w:r w:rsidR="00D34919" w:rsidRPr="00FC27EC">
        <w:t>l</w:t>
      </w:r>
      <w:r w:rsidRPr="00FC27EC">
        <w:t xml:space="preserve">a Convention, </w:t>
      </w:r>
      <w:r w:rsidR="00467965" w:rsidRPr="00FC27EC">
        <w:t xml:space="preserve">un </w:t>
      </w:r>
      <w:r w:rsidR="00D34919" w:rsidRPr="00FC27EC">
        <w:t>État partie</w:t>
      </w:r>
      <w:r w:rsidR="004E4053" w:rsidRPr="00FC27EC">
        <w:t xml:space="preserve"> </w:t>
      </w:r>
      <w:r w:rsidRPr="00FC27EC">
        <w:t>est-il libre de venir en aide à des communautés récentes d’immigrants dans la sauvegarde de leur PCI ?</w:t>
      </w:r>
    </w:p>
    <w:p w:rsidR="00C64E65" w:rsidRPr="00FC27EC" w:rsidRDefault="00C64E65" w:rsidP="00C64E65">
      <w:pPr>
        <w:pStyle w:val="numrationa"/>
      </w:pPr>
      <w:r w:rsidRPr="00FC27EC">
        <w:t>(a)</w:t>
      </w:r>
      <w:r w:rsidRPr="00FC27EC">
        <w:tab/>
        <w:t>Oui, mais seulement si les communautés concernées ont transmis ce PCI depuis quelques générations dans leur nouvelle patrie.</w:t>
      </w:r>
    </w:p>
    <w:p w:rsidR="00C64E65" w:rsidRPr="00FC27EC" w:rsidRDefault="00C64E65" w:rsidP="00C64E65">
      <w:pPr>
        <w:pStyle w:val="numrationa"/>
      </w:pPr>
      <w:r w:rsidRPr="00FC27EC">
        <w:t>(b)</w:t>
      </w:r>
      <w:r w:rsidRPr="00FC27EC">
        <w:tab/>
        <w:t>Oui, mais seulement si leur pays d’origine est d’accord.</w:t>
      </w:r>
    </w:p>
    <w:p w:rsidR="00C64E65" w:rsidRPr="00FC27EC" w:rsidRDefault="00C64E65" w:rsidP="00C64E65">
      <w:pPr>
        <w:pStyle w:val="numrationa"/>
      </w:pPr>
      <w:r w:rsidRPr="00FC27EC">
        <w:t>(c)</w:t>
      </w:r>
      <w:r w:rsidRPr="00FC27EC">
        <w:tab/>
        <w:t>Oui, un État peut décider de venir en aide à toute communauté présente sur son territoire dans la sauvegarde de son PCI.</w:t>
      </w:r>
    </w:p>
    <w:p w:rsidR="00952173" w:rsidRPr="00FC27EC" w:rsidRDefault="00C64E65" w:rsidP="00C64E65">
      <w:pPr>
        <w:pStyle w:val="Texte1"/>
      </w:pPr>
      <w:r w:rsidRPr="00FC27EC">
        <w:t>(d) Non, les éléments du PCI devraient être sauvegardés autant que possible dans leur contexte original</w:t>
      </w:r>
      <w:r w:rsidR="004E4053" w:rsidRPr="00FC27EC">
        <w:t>.</w:t>
      </w:r>
    </w:p>
    <w:p w:rsidR="004E4053" w:rsidRPr="00FC27EC" w:rsidRDefault="004E4053" w:rsidP="00836F49">
      <w:pPr>
        <w:pStyle w:val="Heading3"/>
        <w:rPr>
          <w:lang w:val="fr-FR"/>
        </w:rPr>
      </w:pPr>
      <w:r w:rsidRPr="00FC27EC">
        <w:rPr>
          <w:lang w:val="fr-FR"/>
        </w:rPr>
        <w:t>Question B.4</w:t>
      </w:r>
    </w:p>
    <w:p w:rsidR="00C64E65" w:rsidRPr="00FC27EC" w:rsidRDefault="00C64E65" w:rsidP="00C64E65">
      <w:pPr>
        <w:pStyle w:val="Texte1"/>
      </w:pPr>
      <w:r w:rsidRPr="00FC27EC">
        <w:t>Laquelle</w:t>
      </w:r>
      <w:r w:rsidR="004E4053" w:rsidRPr="00FC27EC">
        <w:t xml:space="preserve"> </w:t>
      </w:r>
      <w:r w:rsidR="00D34919" w:rsidRPr="00FC27EC">
        <w:t>d</w:t>
      </w:r>
      <w:r w:rsidRPr="00FC27EC">
        <w:t>es</w:t>
      </w:r>
      <w:r w:rsidR="004E4053" w:rsidRPr="00FC27EC">
        <w:t xml:space="preserve"> </w:t>
      </w:r>
      <w:r w:rsidRPr="00FC27EC">
        <w:t>affirmations suivantes est vraie, si toutefois il y en a une ?</w:t>
      </w:r>
    </w:p>
    <w:p w:rsidR="00C64E65" w:rsidRPr="00FC27EC" w:rsidRDefault="00C64E65" w:rsidP="00C64E65">
      <w:pPr>
        <w:pStyle w:val="numrationa"/>
      </w:pPr>
      <w:r w:rsidRPr="00FC27EC">
        <w:t>(a)</w:t>
      </w:r>
      <w:r w:rsidRPr="00FC27EC">
        <w:tab/>
        <w:t>Les États parties ont l’obligation d’aider à sauvegarder tous les éléments inclus dans leurs inventaires officiels.</w:t>
      </w:r>
    </w:p>
    <w:p w:rsidR="00C64E65" w:rsidRPr="00FC27EC" w:rsidRDefault="00C64E65" w:rsidP="00C64E65">
      <w:pPr>
        <w:pStyle w:val="numrationa"/>
      </w:pPr>
      <w:r w:rsidRPr="00FC27EC">
        <w:lastRenderedPageBreak/>
        <w:t>(b)</w:t>
      </w:r>
      <w:r w:rsidRPr="00FC27EC">
        <w:tab/>
        <w:t>Les États parties ont l’obligation d’aider à sauvegarder tous les éléments inclus à leur demande dans la Liste représentative.</w:t>
      </w:r>
    </w:p>
    <w:p w:rsidR="004E4053" w:rsidRPr="00FC27EC" w:rsidRDefault="00C64E65" w:rsidP="00C64E65">
      <w:pPr>
        <w:pStyle w:val="Texte1"/>
      </w:pPr>
      <w:r w:rsidRPr="00FC27EC">
        <w:t>(c) Les États parties ont l’obligation d’aider à sauvegarder tous les éléments inclus à leur demande dans la Liste de sauvegarde urgente</w:t>
      </w:r>
      <w:r w:rsidR="004E4053" w:rsidRPr="00FC27EC">
        <w:t>.</w:t>
      </w:r>
    </w:p>
    <w:p w:rsidR="004E4053" w:rsidRPr="00FC27EC" w:rsidRDefault="004E4053" w:rsidP="00836F49">
      <w:pPr>
        <w:pStyle w:val="Heading3"/>
        <w:rPr>
          <w:lang w:val="fr-FR"/>
        </w:rPr>
      </w:pPr>
      <w:r w:rsidRPr="00FC27EC">
        <w:rPr>
          <w:lang w:val="fr-FR"/>
        </w:rPr>
        <w:t>Question B.5</w:t>
      </w:r>
    </w:p>
    <w:p w:rsidR="004E4053" w:rsidRPr="00FC27EC" w:rsidRDefault="00D34919" w:rsidP="00836F49">
      <w:pPr>
        <w:pStyle w:val="Texte1"/>
      </w:pPr>
      <w:r w:rsidRPr="00FC27EC">
        <w:t>L</w:t>
      </w:r>
      <w:r w:rsidR="00510C5E" w:rsidRPr="00FC27EC">
        <w:t>’Organe</w:t>
      </w:r>
      <w:r w:rsidR="004E4053" w:rsidRPr="00FC27EC">
        <w:t xml:space="preserve"> </w:t>
      </w:r>
      <w:r w:rsidR="00510C5E" w:rsidRPr="00FC27EC">
        <w:t xml:space="preserve">consultatif du ministère pour le PCI de l’État partie A </w:t>
      </w:r>
      <w:proofErr w:type="spellStart"/>
      <w:r w:rsidR="00510C5E" w:rsidRPr="00FC27EC">
        <w:t>a</w:t>
      </w:r>
      <w:proofErr w:type="spellEnd"/>
      <w:r w:rsidR="00510C5E" w:rsidRPr="00FC27EC">
        <w:t xml:space="preserve"> donné son accord de principe pour aider financièrement la communauté B à sauvegarder la pratique musicale C. Le plan de sauvegarde proposé qui a été préparé avec la participation des praticiens et autres représentants de la communauté concernée, porte sur la transmission des connaissances et savoir-faire à une nouvelle génération de joueurs et de chanteurs. Il est prévu d’utiliser des instruments de musique ‘modernes’ puisqu’il n’est plus possible de fabriquer des instruments traditionnels. Il y a débat entre les experts au sein de l’Organe consultatif du ministère sur ce point auquel la communauté concernée semble attacher peu d’importance. Que conseilleriez-vous de faire ?</w:t>
      </w:r>
    </w:p>
    <w:p w:rsidR="00DA70DF" w:rsidRPr="00FC27EC" w:rsidRDefault="004E4053" w:rsidP="00DA70DF">
      <w:pPr>
        <w:pStyle w:val="numrationa"/>
      </w:pPr>
      <w:r w:rsidRPr="00FC27EC">
        <w:t>(a)</w:t>
      </w:r>
      <w:r w:rsidR="00DA70DF" w:rsidRPr="00FC27EC">
        <w:tab/>
        <w:t>Utiliser les</w:t>
      </w:r>
      <w:r w:rsidRPr="00FC27EC">
        <w:t xml:space="preserve"> instruments </w:t>
      </w:r>
      <w:r w:rsidR="00DA70DF" w:rsidRPr="00FC27EC">
        <w:t>‘modernes’, comme le propose la communauté dans le plan de sauvegarde.</w:t>
      </w:r>
    </w:p>
    <w:p w:rsidR="00DA70DF" w:rsidRPr="00FC27EC" w:rsidRDefault="00DA70DF" w:rsidP="00DA70DF">
      <w:pPr>
        <w:pStyle w:val="numrationa"/>
      </w:pPr>
      <w:r w:rsidRPr="00FC27EC">
        <w:t>(b)</w:t>
      </w:r>
      <w:r w:rsidRPr="00FC27EC">
        <w:tab/>
        <w:t>Arrêter l’élaboration du plan de sauvegarde de la tradition musicale C – les instruments traditionnels devraient en faire partie.</w:t>
      </w:r>
    </w:p>
    <w:p w:rsidR="004E4053" w:rsidRPr="00FC27EC" w:rsidRDefault="00DA70DF" w:rsidP="00DA70DF">
      <w:pPr>
        <w:pStyle w:val="numrationa"/>
      </w:pPr>
      <w:r w:rsidRPr="00FC27EC">
        <w:t>(c)</w:t>
      </w:r>
      <w:r w:rsidRPr="00FC27EC">
        <w:tab/>
        <w:t>Ne pas financer la sauvegarde</w:t>
      </w:r>
      <w:r w:rsidR="00AE2FBB" w:rsidRPr="00FC27EC">
        <w:t>.</w:t>
      </w:r>
    </w:p>
    <w:p w:rsidR="004E4053" w:rsidRPr="00FC27EC" w:rsidRDefault="004E4053" w:rsidP="00836F49">
      <w:pPr>
        <w:pStyle w:val="Heading3"/>
        <w:rPr>
          <w:lang w:val="fr-FR"/>
        </w:rPr>
      </w:pPr>
      <w:r w:rsidRPr="00FC27EC">
        <w:rPr>
          <w:lang w:val="fr-FR"/>
        </w:rPr>
        <w:t>Question B.6</w:t>
      </w:r>
    </w:p>
    <w:p w:rsidR="00320900" w:rsidRPr="00FC27EC" w:rsidRDefault="00D34919" w:rsidP="00320900">
      <w:pPr>
        <w:pStyle w:val="Texte1"/>
      </w:pPr>
      <w:r w:rsidRPr="00FC27EC">
        <w:t>L</w:t>
      </w:r>
      <w:r w:rsidR="00320900" w:rsidRPr="00FC27EC">
        <w:t>e</w:t>
      </w:r>
      <w:r w:rsidR="004E4053" w:rsidRPr="00FC27EC">
        <w:t xml:space="preserve"> </w:t>
      </w:r>
      <w:r w:rsidR="00320900" w:rsidRPr="00FC27EC">
        <w:t>m</w:t>
      </w:r>
      <w:r w:rsidR="00AA38C8" w:rsidRPr="00FC27EC">
        <w:t>inistère</w:t>
      </w:r>
      <w:r w:rsidR="004E4053" w:rsidRPr="00FC27EC">
        <w:t xml:space="preserve"> </w:t>
      </w:r>
      <w:r w:rsidRPr="00FC27EC">
        <w:t>d</w:t>
      </w:r>
      <w:r w:rsidR="00320900" w:rsidRPr="00FC27EC">
        <w:t>e la</w:t>
      </w:r>
      <w:r w:rsidR="004E4053" w:rsidRPr="00FC27EC">
        <w:t xml:space="preserve"> Culture </w:t>
      </w:r>
      <w:r w:rsidRPr="00FC27EC">
        <w:t>d</w:t>
      </w:r>
      <w:r w:rsidR="00D3463D" w:rsidRPr="00FC27EC">
        <w:t>u</w:t>
      </w:r>
      <w:r w:rsidR="004E4053" w:rsidRPr="00FC27EC">
        <w:t xml:space="preserve"> </w:t>
      </w:r>
      <w:r w:rsidR="00ED33FF" w:rsidRPr="00FC27EC">
        <w:t>pays</w:t>
      </w:r>
      <w:r w:rsidR="004E4053" w:rsidRPr="00FC27EC">
        <w:t xml:space="preserve"> E </w:t>
      </w:r>
      <w:r w:rsidR="00320900" w:rsidRPr="00FC27EC">
        <w:t>dispose de moyens limités pour aider à financer des projets visant à sauvegarder des éléments spécifiques du PCI. Il lui faut définir les critères appropriés pour faire ses choix. Lesquels des critères suivants en vue de la sélection de projets de sauvegarde seraient dans l’esprit de la Convention ?</w:t>
      </w:r>
    </w:p>
    <w:p w:rsidR="00320900" w:rsidRPr="00FC27EC" w:rsidRDefault="00320900" w:rsidP="00320900">
      <w:pPr>
        <w:pStyle w:val="numrationa"/>
      </w:pPr>
      <w:r w:rsidRPr="00FC27EC">
        <w:t>(a)</w:t>
      </w:r>
      <w:r w:rsidRPr="00FC27EC">
        <w:tab/>
        <w:t>Les projets concernant les éléments du PCI qui sont les plus largement répandus et pratiqués dans le pays parce que la population est plus nombreuse à pouvoir s’y associer.</w:t>
      </w:r>
    </w:p>
    <w:p w:rsidR="00320900" w:rsidRPr="00FC27EC" w:rsidRDefault="00320900" w:rsidP="00320900">
      <w:pPr>
        <w:pStyle w:val="numrationa"/>
      </w:pPr>
      <w:r w:rsidRPr="00FC27EC">
        <w:t>(b)</w:t>
      </w:r>
      <w:r w:rsidRPr="00FC27EC">
        <w:tab/>
        <w:t>Les projets concernant un PCI remarquable et intéressant qui va susciter la fierté nationale.</w:t>
      </w:r>
    </w:p>
    <w:p w:rsidR="00320900" w:rsidRPr="00FC27EC" w:rsidRDefault="00320900" w:rsidP="00320900">
      <w:pPr>
        <w:pStyle w:val="numrationa"/>
      </w:pPr>
      <w:r w:rsidRPr="00FC27EC">
        <w:t>(c)</w:t>
      </w:r>
      <w:r w:rsidRPr="00FC27EC">
        <w:tab/>
        <w:t>Les projets concernant un PCI qu’on ne trouve dans aucun autre pays et qui montrent le caractère distinctif de la nation.</w:t>
      </w:r>
    </w:p>
    <w:p w:rsidR="00320900" w:rsidRPr="00FC27EC" w:rsidRDefault="00320900" w:rsidP="00320900">
      <w:pPr>
        <w:pStyle w:val="numrationa"/>
      </w:pPr>
      <w:r w:rsidRPr="00FC27EC">
        <w:t>(d)</w:t>
      </w:r>
      <w:r w:rsidRPr="00FC27EC">
        <w:tab/>
        <w:t>Les éléments du PCI qui ont le plus besoin d’une sauvegarde.</w:t>
      </w:r>
    </w:p>
    <w:p w:rsidR="00320900" w:rsidRPr="00FC27EC" w:rsidRDefault="00320900" w:rsidP="00320900">
      <w:pPr>
        <w:pStyle w:val="numrationa"/>
      </w:pPr>
      <w:r w:rsidRPr="00FC27EC">
        <w:t>(f)</w:t>
      </w:r>
      <w:r w:rsidRPr="00FC27EC">
        <w:tab/>
        <w:t>Les projets concernant le PCI répondant à la définition du PCI selon la Convention.</w:t>
      </w:r>
    </w:p>
    <w:p w:rsidR="00320900" w:rsidRPr="00FC27EC" w:rsidRDefault="00320900" w:rsidP="00320900">
      <w:pPr>
        <w:pStyle w:val="numrationa"/>
      </w:pPr>
      <w:r w:rsidRPr="00FC27EC">
        <w:t>(g)</w:t>
      </w:r>
      <w:r w:rsidRPr="00FC27EC">
        <w:tab/>
        <w:t>Les projets qui contribuent au renforcement du pays E en tant qu’État-nation.</w:t>
      </w:r>
    </w:p>
    <w:p w:rsidR="00320900" w:rsidRPr="00FC27EC" w:rsidRDefault="00320900" w:rsidP="00320900">
      <w:pPr>
        <w:pStyle w:val="numrationa"/>
      </w:pPr>
      <w:r w:rsidRPr="00FC27EC">
        <w:t>(h)</w:t>
      </w:r>
      <w:r w:rsidRPr="00FC27EC">
        <w:tab/>
        <w:t>Les projets concernant des formes historiques du PCI.</w:t>
      </w:r>
    </w:p>
    <w:p w:rsidR="0013616E" w:rsidRPr="00FC27EC" w:rsidRDefault="00320900" w:rsidP="00320900">
      <w:pPr>
        <w:pStyle w:val="numrationa"/>
        <w:spacing w:line="240" w:lineRule="auto"/>
        <w:rPr>
          <w:sz w:val="22"/>
        </w:rPr>
      </w:pPr>
      <w:r w:rsidRPr="00FC27EC">
        <w:t>(i)</w:t>
      </w:r>
      <w:r w:rsidRPr="00FC27EC">
        <w:tab/>
        <w:t xml:space="preserve">Les projets qui contribuent au </w:t>
      </w:r>
      <w:r w:rsidRPr="00443A4A">
        <w:t>développement durable de la communauté ou du groupe concerné, ou de la/des région(s) concernée(s)</w:t>
      </w:r>
      <w:r w:rsidR="00AE2FBB" w:rsidRPr="00443A4A">
        <w:t>.</w:t>
      </w:r>
    </w:p>
    <w:p w:rsidR="0013616E" w:rsidRPr="00FC27EC" w:rsidRDefault="00CC109C" w:rsidP="00003C68">
      <w:pPr>
        <w:pStyle w:val="Heading4"/>
        <w:rPr>
          <w:lang w:val="fr-FR"/>
        </w:rPr>
      </w:pPr>
      <w:bookmarkStart w:id="3" w:name="_Toc238982320"/>
      <w:r w:rsidRPr="00FC27EC">
        <w:rPr>
          <w:lang w:val="fr-FR"/>
        </w:rPr>
        <w:t>SÉRIE</w:t>
      </w:r>
      <w:r w:rsidR="0013616E" w:rsidRPr="00FC27EC">
        <w:rPr>
          <w:lang w:val="fr-FR"/>
        </w:rPr>
        <w:t xml:space="preserve"> </w:t>
      </w:r>
      <w:r w:rsidR="003F49FD" w:rsidRPr="00FC27EC">
        <w:rPr>
          <w:lang w:val="fr-FR"/>
        </w:rPr>
        <w:t>C</w:t>
      </w:r>
    </w:p>
    <w:p w:rsidR="004E4053" w:rsidRPr="00FC27EC" w:rsidRDefault="004E4053" w:rsidP="00003C68">
      <w:pPr>
        <w:pStyle w:val="Heading3"/>
        <w:rPr>
          <w:lang w:val="fr-FR"/>
        </w:rPr>
      </w:pPr>
      <w:r w:rsidRPr="00FC27EC">
        <w:rPr>
          <w:lang w:val="fr-FR"/>
        </w:rPr>
        <w:t>Question C.1</w:t>
      </w:r>
    </w:p>
    <w:p w:rsidR="004E4053" w:rsidRPr="00FC27EC" w:rsidRDefault="00205E20" w:rsidP="00003C68">
      <w:pPr>
        <w:pStyle w:val="Texte1"/>
      </w:pPr>
      <w:r w:rsidRPr="00FC27EC">
        <w:t>L’</w:t>
      </w:r>
      <w:r w:rsidR="004E4053" w:rsidRPr="00FC27EC">
        <w:t xml:space="preserve">inclusion </w:t>
      </w:r>
      <w:r w:rsidR="00D34919" w:rsidRPr="00FC27EC">
        <w:t>d</w:t>
      </w:r>
      <w:r w:rsidRPr="00FC27EC">
        <w:t>’</w:t>
      </w:r>
      <w:r w:rsidR="001E789D" w:rsidRPr="00FC27EC">
        <w:t>un</w:t>
      </w:r>
      <w:r w:rsidR="004E4053" w:rsidRPr="00FC27EC">
        <w:t xml:space="preserve"> </w:t>
      </w:r>
      <w:r w:rsidR="00466B84" w:rsidRPr="00FC27EC">
        <w:t>élément</w:t>
      </w:r>
      <w:r w:rsidR="004E4053" w:rsidRPr="00FC27EC">
        <w:t xml:space="preserve"> </w:t>
      </w:r>
      <w:r w:rsidR="00D34919" w:rsidRPr="00FC27EC">
        <w:t>d</w:t>
      </w:r>
      <w:r w:rsidR="00D3463D" w:rsidRPr="00FC27EC">
        <w:t>u</w:t>
      </w:r>
      <w:r w:rsidR="004E4053" w:rsidRPr="00FC27EC">
        <w:t xml:space="preserve"> </w:t>
      </w:r>
      <w:r w:rsidR="00ED33FF" w:rsidRPr="00FC27EC">
        <w:t>PCI</w:t>
      </w:r>
      <w:r w:rsidR="004E4053" w:rsidRPr="00FC27EC">
        <w:t xml:space="preserve"> </w:t>
      </w:r>
      <w:r w:rsidRPr="00FC27EC">
        <w:t>menacé dans</w:t>
      </w:r>
      <w:r w:rsidR="004E4053" w:rsidRPr="00FC27EC">
        <w:t xml:space="preserve"> </w:t>
      </w:r>
      <w:r w:rsidR="001E789D" w:rsidRPr="00FC27EC">
        <w:t>un</w:t>
      </w:r>
      <w:r w:rsidR="004E4053" w:rsidRPr="00FC27EC">
        <w:t xml:space="preserve"> </w:t>
      </w:r>
      <w:r w:rsidR="00D3463D" w:rsidRPr="00FC27EC">
        <w:t>inventaire officiel</w:t>
      </w:r>
      <w:r w:rsidR="004E4053" w:rsidRPr="00FC27EC">
        <w:t xml:space="preserve"> </w:t>
      </w:r>
      <w:r w:rsidR="00D34919" w:rsidRPr="00FC27EC">
        <w:t>d</w:t>
      </w:r>
      <w:r w:rsidRPr="00FC27EC">
        <w:t>u</w:t>
      </w:r>
      <w:r w:rsidR="004E4053" w:rsidRPr="00FC27EC">
        <w:t xml:space="preserve"> </w:t>
      </w:r>
      <w:r w:rsidR="00ED33FF" w:rsidRPr="00FC27EC">
        <w:t>pays</w:t>
      </w:r>
      <w:r w:rsidR="004E4053" w:rsidRPr="00FC27EC">
        <w:t xml:space="preserve"> </w:t>
      </w:r>
      <w:r w:rsidRPr="00FC27EC">
        <w:t>signifie-t-elle pour autant que</w:t>
      </w:r>
      <w:r w:rsidR="004E4053" w:rsidRPr="00FC27EC">
        <w:t xml:space="preserve"> </w:t>
      </w:r>
      <w:r w:rsidR="00D34919" w:rsidRPr="00FC27EC">
        <w:t>l</w:t>
      </w:r>
      <w:r w:rsidRPr="00FC27EC">
        <w:t>e</w:t>
      </w:r>
      <w:r w:rsidR="004E4053" w:rsidRPr="00FC27EC">
        <w:t xml:space="preserve"> Go</w:t>
      </w:r>
      <w:r w:rsidRPr="00FC27EC">
        <w:t>u</w:t>
      </w:r>
      <w:r w:rsidR="004E4053" w:rsidRPr="00FC27EC">
        <w:t>vern</w:t>
      </w:r>
      <w:r w:rsidRPr="00FC27EC">
        <w:t>e</w:t>
      </w:r>
      <w:r w:rsidR="004E4053" w:rsidRPr="00FC27EC">
        <w:t xml:space="preserve">ment </w:t>
      </w:r>
      <w:r w:rsidRPr="00FC27EC">
        <w:t>a</w:t>
      </w:r>
      <w:r w:rsidR="004E4053" w:rsidRPr="00FC27EC">
        <w:t xml:space="preserve"> </w:t>
      </w:r>
      <w:r w:rsidR="00D34919" w:rsidRPr="00FC27EC">
        <w:t>l</w:t>
      </w:r>
      <w:r w:rsidRPr="00FC27EC">
        <w:t>’</w:t>
      </w:r>
      <w:r w:rsidR="004E4053" w:rsidRPr="00FC27EC">
        <w:t xml:space="preserve">obligation </w:t>
      </w:r>
      <w:r w:rsidRPr="00FC27EC">
        <w:t>d’aider</w:t>
      </w:r>
      <w:r w:rsidR="004E4053" w:rsidRPr="00FC27EC">
        <w:t xml:space="preserve"> </w:t>
      </w:r>
      <w:r w:rsidR="00D34919" w:rsidRPr="00FC27EC">
        <w:t>l</w:t>
      </w:r>
      <w:r w:rsidRPr="00FC27EC">
        <w:t>a</w:t>
      </w:r>
      <w:r w:rsidR="004E4053" w:rsidRPr="00FC27EC">
        <w:t xml:space="preserve"> </w:t>
      </w:r>
      <w:r w:rsidR="00ED33FF" w:rsidRPr="00FC27EC">
        <w:t>communauté</w:t>
      </w:r>
      <w:r w:rsidR="004E4053" w:rsidRPr="00FC27EC">
        <w:t xml:space="preserve"> </w:t>
      </w:r>
      <w:r w:rsidR="001C2BA6" w:rsidRPr="00FC27EC">
        <w:t>concernée</w:t>
      </w:r>
      <w:r w:rsidR="004E4053" w:rsidRPr="00FC27EC">
        <w:t xml:space="preserve"> </w:t>
      </w:r>
      <w:r w:rsidRPr="00FC27EC">
        <w:t>à</w:t>
      </w:r>
      <w:r w:rsidR="004E4053" w:rsidRPr="00FC27EC">
        <w:t xml:space="preserve"> </w:t>
      </w:r>
      <w:r w:rsidR="00ED33FF" w:rsidRPr="00FC27EC">
        <w:t>sauvegarde</w:t>
      </w:r>
      <w:r w:rsidRPr="00FC27EC">
        <w:t>r</w:t>
      </w:r>
      <w:r w:rsidR="004E4053" w:rsidRPr="00FC27EC">
        <w:t xml:space="preserve"> </w:t>
      </w:r>
      <w:r w:rsidR="00D34919" w:rsidRPr="00FC27EC">
        <w:t>l</w:t>
      </w:r>
      <w:r w:rsidRPr="00FC27EC">
        <w:t>’é</w:t>
      </w:r>
      <w:r w:rsidR="00466B84" w:rsidRPr="00FC27EC">
        <w:t>lément</w:t>
      </w:r>
      <w:r w:rsidRPr="00FC27EC">
        <w:t> </w:t>
      </w:r>
      <w:r w:rsidR="004E4053" w:rsidRPr="00FC27EC">
        <w:t>?</w:t>
      </w:r>
    </w:p>
    <w:p w:rsidR="00505AA7" w:rsidRPr="00FC27EC" w:rsidRDefault="004E4053" w:rsidP="00505AA7">
      <w:pPr>
        <w:pStyle w:val="numrationa"/>
      </w:pPr>
      <w:r w:rsidRPr="00FC27EC">
        <w:lastRenderedPageBreak/>
        <w:t>(a)</w:t>
      </w:r>
      <w:r w:rsidRPr="00FC27EC">
        <w:tab/>
      </w:r>
      <w:r w:rsidR="00466B84" w:rsidRPr="00FC27EC">
        <w:t>Oui</w:t>
      </w:r>
      <w:r w:rsidRPr="00FC27EC">
        <w:t xml:space="preserve">, </w:t>
      </w:r>
      <w:r w:rsidR="00505AA7" w:rsidRPr="00FC27EC">
        <w:t>toute inclusion dans un inventaire officiel implique que l’État doit venir en aide à la communauté concernée afin de sauvegarder son PCI, en cas de besoin, parce que la Convention dit qu’il faut dresser des inventaires ‘en vue de la sauvegarde’ (article 12).</w:t>
      </w:r>
    </w:p>
    <w:p w:rsidR="00505AA7" w:rsidRPr="00FC27EC" w:rsidRDefault="00505AA7" w:rsidP="00505AA7">
      <w:pPr>
        <w:pStyle w:val="numrationa"/>
      </w:pPr>
      <w:r w:rsidRPr="00FC27EC">
        <w:t>(b)</w:t>
      </w:r>
      <w:r w:rsidRPr="00FC27EC">
        <w:tab/>
        <w:t>Non, l’État est obligé d’aider la communauté concernée uniquement s’il y a des règles juridiques à cet effet à l’échelle nationale.</w:t>
      </w:r>
    </w:p>
    <w:p w:rsidR="004E4053" w:rsidRPr="00FC27EC" w:rsidRDefault="00505AA7" w:rsidP="00505AA7">
      <w:pPr>
        <w:pStyle w:val="numrationa"/>
      </w:pPr>
      <w:r w:rsidRPr="00FC27EC">
        <w:t>(c)</w:t>
      </w:r>
      <w:r w:rsidRPr="00FC27EC">
        <w:tab/>
        <w:t>Non, l’État est obligé d’aider la communauté concernée uniquement si l’entrée à l’inventaire officiellement agréée précise que l’élément nécessite une sauvegarde et que des mesures sont indiquées</w:t>
      </w:r>
      <w:r w:rsidR="004E4053" w:rsidRPr="00FC27EC">
        <w:t>.</w:t>
      </w:r>
    </w:p>
    <w:p w:rsidR="004E4053" w:rsidRPr="00FC27EC" w:rsidRDefault="004E4053" w:rsidP="00003C68">
      <w:pPr>
        <w:pStyle w:val="Heading3"/>
        <w:rPr>
          <w:lang w:val="fr-FR"/>
        </w:rPr>
      </w:pPr>
      <w:r w:rsidRPr="00FC27EC">
        <w:rPr>
          <w:lang w:val="fr-FR"/>
        </w:rPr>
        <w:t>Question C.2</w:t>
      </w:r>
    </w:p>
    <w:p w:rsidR="00957E16" w:rsidRPr="00FC27EC" w:rsidRDefault="00957E16" w:rsidP="00957E16">
      <w:pPr>
        <w:pStyle w:val="Texte1"/>
      </w:pPr>
      <w:r w:rsidRPr="00FC27EC">
        <w:t>La</w:t>
      </w:r>
      <w:r w:rsidR="004E4053" w:rsidRPr="00FC27EC">
        <w:t xml:space="preserve"> documentation </w:t>
      </w:r>
      <w:r w:rsidR="00D34919" w:rsidRPr="00FC27EC">
        <w:t>d</w:t>
      </w:r>
      <w:r w:rsidRPr="00FC27EC">
        <w:t>u</w:t>
      </w:r>
      <w:r w:rsidR="004E4053" w:rsidRPr="00FC27EC">
        <w:t xml:space="preserve"> </w:t>
      </w:r>
      <w:r w:rsidR="00ED33FF" w:rsidRPr="00FC27EC">
        <w:t>PCI</w:t>
      </w:r>
      <w:r w:rsidR="004E4053" w:rsidRPr="00FC27EC">
        <w:t xml:space="preserve"> </w:t>
      </w:r>
      <w:r w:rsidRPr="00FC27EC">
        <w:t xml:space="preserve">peut-elle </w:t>
      </w:r>
      <w:r w:rsidR="0006568D">
        <w:t xml:space="preserve">être considérée </w:t>
      </w:r>
      <w:r w:rsidRPr="00FC27EC">
        <w:t>une mesure de sauvegarde ?</w:t>
      </w:r>
    </w:p>
    <w:p w:rsidR="00957E16" w:rsidRPr="00FC27EC" w:rsidRDefault="00957E16" w:rsidP="00957E16">
      <w:pPr>
        <w:pStyle w:val="numrationa"/>
      </w:pPr>
      <w:r w:rsidRPr="00FC27EC">
        <w:t>(a)</w:t>
      </w:r>
      <w:r w:rsidRPr="00FC27EC">
        <w:tab/>
        <w:t>Oui, toute documentation de l’élément contribue automatiquement à sa sauvegarde.</w:t>
      </w:r>
    </w:p>
    <w:p w:rsidR="00957E16" w:rsidRPr="00FC27EC" w:rsidRDefault="00957E16" w:rsidP="00957E16">
      <w:pPr>
        <w:pStyle w:val="numrationa"/>
      </w:pPr>
      <w:r w:rsidRPr="00FC27EC">
        <w:t>(b)</w:t>
      </w:r>
      <w:r w:rsidRPr="00FC27EC">
        <w:tab/>
        <w:t>Pas toujours : seulement si elle est clairement destinée à la sauvegarde et qu’elle contribue effectivement à la pratique continue et à la transmission de l’élément.</w:t>
      </w:r>
    </w:p>
    <w:p w:rsidR="004E4053" w:rsidRPr="00FC27EC" w:rsidRDefault="00957E16" w:rsidP="00957E16">
      <w:pPr>
        <w:pStyle w:val="Texte1"/>
      </w:pPr>
      <w:r w:rsidRPr="00FC27EC">
        <w:t>(c)  Non, la documentation est toujours négative dans la mesure où elle retire le pouvoir et la connaissance aux communautés, en ‘fixant’ le PCI et en conduisant ainsi à une stagnation de l’évolution du PCI concerné</w:t>
      </w:r>
      <w:r w:rsidR="004E4053" w:rsidRPr="00FC27EC">
        <w:t>.</w:t>
      </w:r>
    </w:p>
    <w:p w:rsidR="004E4053" w:rsidRPr="00FC27EC" w:rsidRDefault="004E4053" w:rsidP="00003C68">
      <w:pPr>
        <w:pStyle w:val="Heading3"/>
        <w:rPr>
          <w:lang w:val="fr-FR"/>
        </w:rPr>
      </w:pPr>
      <w:bookmarkStart w:id="4" w:name="_Toc238982316"/>
      <w:bookmarkEnd w:id="3"/>
      <w:r w:rsidRPr="00FC27EC">
        <w:rPr>
          <w:lang w:val="fr-FR"/>
        </w:rPr>
        <w:t>Question C.3</w:t>
      </w:r>
    </w:p>
    <w:p w:rsidR="00957E16" w:rsidRPr="00FC27EC" w:rsidRDefault="00D62001" w:rsidP="00957E16">
      <w:pPr>
        <w:pStyle w:val="Texte1"/>
      </w:pPr>
      <w:r w:rsidRPr="00FC27EC">
        <w:t>Qui</w:t>
      </w:r>
      <w:r w:rsidR="004E4053" w:rsidRPr="00FC27EC">
        <w:t xml:space="preserve">, </w:t>
      </w:r>
      <w:r w:rsidR="00957E16" w:rsidRPr="00FC27EC">
        <w:t>au sein d’un État partie, est habilité à faire une demande d’assistance internationale pour un projet de sauvegarde ?</w:t>
      </w:r>
    </w:p>
    <w:p w:rsidR="00957E16" w:rsidRPr="00FC27EC" w:rsidRDefault="00957E16" w:rsidP="00957E16">
      <w:pPr>
        <w:pStyle w:val="numrationa"/>
      </w:pPr>
      <w:r w:rsidRPr="00FC27EC">
        <w:t>(a)</w:t>
      </w:r>
      <w:r w:rsidRPr="00FC27EC">
        <w:tab/>
        <w:t>Le ministère chargé de la mise en œuvre de la Convention ou son représentant.</w:t>
      </w:r>
    </w:p>
    <w:p w:rsidR="00957E16" w:rsidRPr="00FC27EC" w:rsidRDefault="00957E16" w:rsidP="00957E16">
      <w:pPr>
        <w:pStyle w:val="numrationa"/>
      </w:pPr>
      <w:r w:rsidRPr="00FC27EC">
        <w:t>(b)</w:t>
      </w:r>
      <w:r w:rsidRPr="00FC27EC">
        <w:tab/>
        <w:t>La communauté ou les communautés concernées.</w:t>
      </w:r>
    </w:p>
    <w:p w:rsidR="00957E16" w:rsidRPr="00FC27EC" w:rsidRDefault="00957E16" w:rsidP="00957E16">
      <w:pPr>
        <w:pStyle w:val="numrationa"/>
      </w:pPr>
      <w:r w:rsidRPr="00FC27EC">
        <w:t>(c)</w:t>
      </w:r>
      <w:r w:rsidRPr="00FC27EC">
        <w:tab/>
        <w:t>Un comité d’experts issus de diverses institutions et centres de recherche.</w:t>
      </w:r>
    </w:p>
    <w:p w:rsidR="004E4053" w:rsidRPr="00FC27EC" w:rsidRDefault="00957E16" w:rsidP="00957E16">
      <w:pPr>
        <w:pStyle w:val="Texte1"/>
      </w:pPr>
      <w:r w:rsidRPr="00FC27EC">
        <w:t>(d) Un comité ou un organe de représentants de communautés, d’ONG, d’institutions et de centres de recherche, comme prévu dans les Directives opérationnelle</w:t>
      </w:r>
      <w:r w:rsidR="008F0A81" w:rsidRPr="00FC27EC">
        <w:t>s</w:t>
      </w:r>
      <w:r w:rsidR="004E4053" w:rsidRPr="00FC27EC">
        <w:t>.</w:t>
      </w:r>
    </w:p>
    <w:bookmarkEnd w:id="4"/>
    <w:p w:rsidR="004E4053" w:rsidRPr="00FC27EC" w:rsidRDefault="004E4053" w:rsidP="00003C68">
      <w:pPr>
        <w:pStyle w:val="Heading3"/>
        <w:rPr>
          <w:lang w:val="fr-FR"/>
        </w:rPr>
      </w:pPr>
      <w:r w:rsidRPr="00FC27EC">
        <w:rPr>
          <w:lang w:val="fr-FR"/>
        </w:rPr>
        <w:t>Question C.4</w:t>
      </w:r>
    </w:p>
    <w:p w:rsidR="005668A0" w:rsidRPr="00FC27EC" w:rsidRDefault="005668A0" w:rsidP="005668A0">
      <w:pPr>
        <w:pStyle w:val="Texte1"/>
      </w:pPr>
      <w:r w:rsidRPr="00FC27EC">
        <w:t>La</w:t>
      </w:r>
      <w:r w:rsidR="004E4053" w:rsidRPr="00FC27EC">
        <w:t xml:space="preserve"> </w:t>
      </w:r>
      <w:r w:rsidR="00AA38C8" w:rsidRPr="00FC27EC">
        <w:t xml:space="preserve">différenciation </w:t>
      </w:r>
      <w:r w:rsidRPr="00FC27EC">
        <w:t>des sexes dans les tâches ou les pratiques au sein d’éléments du PCI constitue-t-elle toujours une violation des droits de l’homme ?</w:t>
      </w:r>
    </w:p>
    <w:p w:rsidR="005668A0" w:rsidRPr="00FC27EC" w:rsidRDefault="005668A0" w:rsidP="005668A0">
      <w:pPr>
        <w:pStyle w:val="numrationa"/>
      </w:pPr>
      <w:r w:rsidRPr="00FC27EC">
        <w:t>(a)</w:t>
      </w:r>
      <w:r w:rsidRPr="00FC27EC">
        <w:tab/>
        <w:t>Non, la différenciation des sexes ne constitue jamais une violation des droits de l’homme.</w:t>
      </w:r>
    </w:p>
    <w:p w:rsidR="005668A0" w:rsidRPr="00FC27EC" w:rsidRDefault="005668A0" w:rsidP="005668A0">
      <w:pPr>
        <w:pStyle w:val="numrationa"/>
      </w:pPr>
      <w:r w:rsidRPr="00FC27EC">
        <w:t>(b)</w:t>
      </w:r>
      <w:r w:rsidRPr="00FC27EC">
        <w:tab/>
        <w:t>La différenciation en fonction du genre dans les éléments du PCI ne constitue pas toujours une violation des droits de l’homme.</w:t>
      </w:r>
    </w:p>
    <w:p w:rsidR="004E4053" w:rsidRPr="00FC27EC" w:rsidRDefault="005668A0" w:rsidP="005668A0">
      <w:pPr>
        <w:pStyle w:val="Texte1"/>
      </w:pPr>
      <w:r w:rsidRPr="00FC27EC">
        <w:t>(c)  Oui, toute différenciation des sexes est toujours une violation des droits de l’homme</w:t>
      </w:r>
      <w:r w:rsidR="004E4053" w:rsidRPr="00FC27EC">
        <w:t>.</w:t>
      </w:r>
    </w:p>
    <w:p w:rsidR="004E4053" w:rsidRPr="00FC27EC" w:rsidRDefault="004E4053" w:rsidP="00003C68">
      <w:pPr>
        <w:pStyle w:val="Heading3"/>
        <w:rPr>
          <w:lang w:val="fr-FR"/>
        </w:rPr>
      </w:pPr>
      <w:r w:rsidRPr="00FC27EC">
        <w:rPr>
          <w:lang w:val="fr-FR"/>
        </w:rPr>
        <w:t>QUESTION C.5</w:t>
      </w:r>
    </w:p>
    <w:p w:rsidR="004E4053" w:rsidRPr="00FC27EC" w:rsidRDefault="00F736E0" w:rsidP="008F0A81">
      <w:pPr>
        <w:pStyle w:val="Texte1"/>
      </w:pPr>
      <w:r w:rsidRPr="00FC27EC">
        <w:t>La c</w:t>
      </w:r>
      <w:r w:rsidR="00ED33FF" w:rsidRPr="00FC27EC">
        <w:t>ommunauté</w:t>
      </w:r>
      <w:r w:rsidR="004E4053" w:rsidRPr="00FC27EC">
        <w:t xml:space="preserve"> P </w:t>
      </w:r>
      <w:r w:rsidRPr="00FC27EC">
        <w:t>dans l’État partie Q a découvert une documentation audiovisuelle sur sa tradition T de théâtre amateur qu’un projet de documentation a créé en 1946 et donné à un service d’archives. La tradition a cessé d’être pratiquée autour de 1950. À la demande du club culturel de la communauté P, un producteur a commencé à organiser de nouvelles représentations dans le style de la tradition T avec des acteurs amateurs issus de la communauté. Ces spectacles étaient basés sur la documentation de 1946 et sur les interviews de deux personnes qui se souvenaient de plusieurs pièces qu’elles avaient vues dans leur enfance. Les organisateurs sont maintenant en train de programmer la troisième saison attendue avec impatience par le nombreux public de la communauté P</w:t>
      </w:r>
      <w:r w:rsidR="004E4053" w:rsidRPr="00FC27EC">
        <w:t>.</w:t>
      </w:r>
    </w:p>
    <w:p w:rsidR="00FC27EC" w:rsidRPr="00FC27EC" w:rsidRDefault="00FC27EC" w:rsidP="00FC27EC">
      <w:pPr>
        <w:pStyle w:val="Texte1"/>
      </w:pPr>
      <w:r w:rsidRPr="00FC27EC">
        <w:lastRenderedPageBreak/>
        <w:t>Pour chacune des affirmations suivantes, dites si vous êtes d’accord ou pas :</w:t>
      </w:r>
    </w:p>
    <w:p w:rsidR="00FC27EC" w:rsidRPr="00FC27EC" w:rsidRDefault="00FC27EC" w:rsidP="00FC27EC">
      <w:pPr>
        <w:pStyle w:val="numrationa"/>
        <w:spacing w:line="240" w:lineRule="auto"/>
        <w:rPr>
          <w:szCs w:val="20"/>
        </w:rPr>
      </w:pPr>
      <w:r w:rsidRPr="00FC27EC">
        <w:rPr>
          <w:szCs w:val="20"/>
        </w:rPr>
        <w:t>(a)</w:t>
      </w:r>
      <w:r w:rsidRPr="00FC27EC">
        <w:rPr>
          <w:szCs w:val="20"/>
        </w:rPr>
        <w:tab/>
        <w:t>C’est un renouveau de la tradition T.</w:t>
      </w:r>
    </w:p>
    <w:p w:rsidR="00FC27EC" w:rsidRPr="00FC27EC" w:rsidRDefault="00FC27EC" w:rsidP="00FC27EC">
      <w:pPr>
        <w:pStyle w:val="numrationa"/>
        <w:spacing w:line="240" w:lineRule="auto"/>
        <w:rPr>
          <w:szCs w:val="20"/>
        </w:rPr>
      </w:pPr>
      <w:r w:rsidRPr="00FC27EC">
        <w:rPr>
          <w:szCs w:val="20"/>
        </w:rPr>
        <w:t>(b)</w:t>
      </w:r>
      <w:r w:rsidRPr="00FC27EC">
        <w:rPr>
          <w:szCs w:val="20"/>
        </w:rPr>
        <w:tab/>
        <w:t>C’est une revitalisation de la tradition T.</w:t>
      </w:r>
    </w:p>
    <w:p w:rsidR="00FC27EC" w:rsidRPr="00FC27EC" w:rsidRDefault="00FC27EC" w:rsidP="00FC27EC">
      <w:pPr>
        <w:pStyle w:val="numrationa"/>
        <w:spacing w:line="240" w:lineRule="auto"/>
        <w:rPr>
          <w:szCs w:val="20"/>
        </w:rPr>
      </w:pPr>
      <w:r w:rsidRPr="00FC27EC">
        <w:rPr>
          <w:szCs w:val="20"/>
        </w:rPr>
        <w:t>(c)</w:t>
      </w:r>
      <w:r w:rsidRPr="00FC27EC">
        <w:rPr>
          <w:szCs w:val="20"/>
        </w:rPr>
        <w:tab/>
        <w:t>La pratique de la nouvelle représentation répond à la définition du PCI dans la Convention.</w:t>
      </w:r>
    </w:p>
    <w:p w:rsidR="004E4053" w:rsidRPr="00FC27EC" w:rsidRDefault="00FC27EC" w:rsidP="00FC27EC">
      <w:pPr>
        <w:pStyle w:val="numrationa"/>
      </w:pPr>
      <w:r w:rsidRPr="00FC27EC">
        <w:rPr>
          <w:szCs w:val="20"/>
        </w:rPr>
        <w:t>(d)</w:t>
      </w:r>
      <w:r w:rsidRPr="00FC27EC">
        <w:rPr>
          <w:szCs w:val="20"/>
        </w:rPr>
        <w:tab/>
        <w:t>L’État partie Q ne doit pas soutenir ou reconnaître ces activités</w:t>
      </w:r>
      <w:r w:rsidR="004E4053" w:rsidRPr="00FC27EC">
        <w:t>.</w:t>
      </w:r>
    </w:p>
    <w:p w:rsidR="00AE2FBB" w:rsidRPr="00FC27EC" w:rsidRDefault="00AE2FBB" w:rsidP="00003C68">
      <w:pPr>
        <w:pStyle w:val="Heading3"/>
        <w:rPr>
          <w:lang w:val="fr-FR"/>
        </w:rPr>
      </w:pPr>
      <w:r w:rsidRPr="00FC27EC">
        <w:rPr>
          <w:lang w:val="fr-FR"/>
        </w:rPr>
        <w:t>Question C.6</w:t>
      </w:r>
    </w:p>
    <w:p w:rsidR="00FC27EC" w:rsidRPr="00FC27EC" w:rsidRDefault="00FC27EC" w:rsidP="00FC27EC">
      <w:pPr>
        <w:pStyle w:val="Texte1"/>
      </w:pPr>
      <w:r w:rsidRPr="00FC27EC">
        <w:t>P</w:t>
      </w:r>
      <w:r w:rsidR="001C2BA6" w:rsidRPr="00FC27EC">
        <w:t>lusieurs</w:t>
      </w:r>
      <w:r w:rsidR="00AE2FBB" w:rsidRPr="00FC27EC">
        <w:t xml:space="preserve"> </w:t>
      </w:r>
      <w:r w:rsidR="00D34919" w:rsidRPr="00FC27EC">
        <w:t>États parties</w:t>
      </w:r>
      <w:r w:rsidR="00AE2FBB" w:rsidRPr="00FC27EC">
        <w:t xml:space="preserve"> </w:t>
      </w:r>
      <w:r w:rsidRPr="00FC27EC">
        <w:t xml:space="preserve">à la Convention ont-ils la possibilité d’entreprendre un plan de sauvegarde conjoint pour un PCI transfrontalier </w:t>
      </w:r>
      <w:r w:rsidR="0006568D">
        <w:t>menacé</w:t>
      </w:r>
      <w:r w:rsidRPr="00FC27EC">
        <w:t> ?</w:t>
      </w:r>
    </w:p>
    <w:p w:rsidR="00FC27EC" w:rsidRPr="00FC27EC" w:rsidRDefault="00FC27EC" w:rsidP="00FC27EC">
      <w:pPr>
        <w:pStyle w:val="numrationa"/>
      </w:pPr>
      <w:r w:rsidRPr="00FC27EC">
        <w:t>(a)</w:t>
      </w:r>
      <w:r w:rsidRPr="00FC27EC">
        <w:tab/>
        <w:t>Oui, la Convention et les DO encouragent la coopération internationale pour le PCI qui est transfrontalier.</w:t>
      </w:r>
    </w:p>
    <w:p w:rsidR="00FC27EC" w:rsidRPr="00FC27EC" w:rsidRDefault="00FC27EC" w:rsidP="00FC27EC">
      <w:pPr>
        <w:pStyle w:val="numrationa"/>
      </w:pPr>
      <w:r w:rsidRPr="00FC27EC">
        <w:t>(b)</w:t>
      </w:r>
      <w:r w:rsidRPr="00FC27EC">
        <w:tab/>
        <w:t xml:space="preserve">Non, si un élément </w:t>
      </w:r>
      <w:r w:rsidR="0006568D">
        <w:t xml:space="preserve">est présent </w:t>
      </w:r>
      <w:r w:rsidRPr="00FC27EC">
        <w:t>dans deux ou plusieurs États, chacun d’eux est chargé d’en assurer la sauvegarde sur son propre territoire.</w:t>
      </w:r>
    </w:p>
    <w:p w:rsidR="005941F8" w:rsidRPr="00FC27EC" w:rsidRDefault="00FC27EC" w:rsidP="00FC27EC">
      <w:pPr>
        <w:pStyle w:val="Texte1"/>
      </w:pPr>
      <w:r w:rsidRPr="00FC27EC">
        <w:t>(c)  Oui, à condition que toutes les communautés concernées soient d’accord</w:t>
      </w:r>
      <w:r w:rsidR="00AE2FBB" w:rsidRPr="00FC27EC">
        <w:t>.</w:t>
      </w:r>
    </w:p>
    <w:sectPr w:rsidR="005941F8" w:rsidRPr="00FC27EC" w:rsidSect="00CA1D1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EC" w:rsidRDefault="00FC27EC" w:rsidP="00BB7800">
      <w:pPr>
        <w:spacing w:after="0" w:line="240" w:lineRule="auto"/>
      </w:pPr>
      <w:r>
        <w:separator/>
      </w:r>
    </w:p>
  </w:endnote>
  <w:endnote w:type="continuationSeparator" w:id="0">
    <w:p w:rsidR="00FC27EC" w:rsidRDefault="00FC27EC" w:rsidP="00BB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EC" w:rsidRPr="00CA1D1A" w:rsidRDefault="006108EB" w:rsidP="00CA1D1A">
    <w:pPr>
      <w:tabs>
        <w:tab w:val="left" w:pos="2700"/>
        <w:tab w:val="center" w:pos="4423"/>
        <w:tab w:val="right" w:pos="9000"/>
      </w:tabs>
      <w:spacing w:after="0" w:line="240" w:lineRule="exact"/>
      <w:rPr>
        <w:rFonts w:ascii="Arial" w:eastAsia="Calibri" w:hAnsi="Arial" w:cs="Times New Roman"/>
        <w:sz w:val="16"/>
        <w:lang w:val="it-IT"/>
      </w:rPr>
    </w:pPr>
    <w:r>
      <w:rPr>
        <w:noProof/>
        <w:lang w:eastAsia="fr-FR"/>
      </w:rPr>
      <w:drawing>
        <wp:anchor distT="0" distB="0" distL="114300" distR="114300" simplePos="0" relativeHeight="251678720" behindDoc="0" locked="0" layoutInCell="1" allowOverlap="1" wp14:anchorId="1DA02195" wp14:editId="23351AEF">
          <wp:simplePos x="0" y="0"/>
          <wp:positionH relativeFrom="column">
            <wp:posOffset>2589530</wp:posOffset>
          </wp:positionH>
          <wp:positionV relativeFrom="paragraph">
            <wp:posOffset>-12065</wp:posOffset>
          </wp:positionV>
          <wp:extent cx="542925" cy="1905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A4A">
      <w:rPr>
        <w:rFonts w:ascii="Arial" w:eastAsia="Calibri" w:hAnsi="Arial" w:cs="Times New Roman"/>
        <w:noProof/>
        <w:sz w:val="16"/>
        <w:lang w:val="fr-FR" w:eastAsia="fr-FR"/>
      </w:rPr>
      <w:drawing>
        <wp:anchor distT="0" distB="0" distL="114300" distR="114300" simplePos="0" relativeHeight="251666432" behindDoc="0" locked="0" layoutInCell="1" allowOverlap="1" wp14:anchorId="130B7F29" wp14:editId="3B19FBE5">
          <wp:simplePos x="0" y="0"/>
          <wp:positionH relativeFrom="column">
            <wp:posOffset>-111087</wp:posOffset>
          </wp:positionH>
          <wp:positionV relativeFrom="paragraph">
            <wp:posOffset>-277685</wp:posOffset>
          </wp:positionV>
          <wp:extent cx="828858" cy="62205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8858" cy="622059"/>
                  </a:xfrm>
                  <a:prstGeom prst="rect">
                    <a:avLst/>
                  </a:prstGeom>
                </pic:spPr>
              </pic:pic>
            </a:graphicData>
          </a:graphic>
          <wp14:sizeRelH relativeFrom="page">
            <wp14:pctWidth>0</wp14:pctWidth>
          </wp14:sizeRelH>
          <wp14:sizeRelV relativeFrom="page">
            <wp14:pctHeight>0</wp14:pctHeight>
          </wp14:sizeRelV>
        </wp:anchor>
      </w:drawing>
    </w:r>
    <w:r w:rsidR="00FC27EC" w:rsidRPr="00CA1D1A">
      <w:rPr>
        <w:rFonts w:ascii="Arial" w:eastAsia="Calibri" w:hAnsi="Arial" w:cs="Times New Roman"/>
        <w:sz w:val="16"/>
        <w:lang w:val="it-IT"/>
      </w:rPr>
      <w:tab/>
    </w:r>
    <w:r w:rsidR="00FF5075">
      <w:rPr>
        <w:rFonts w:ascii="Arial" w:eastAsia="Calibri" w:hAnsi="Arial" w:cs="Times New Roman"/>
        <w:sz w:val="16"/>
        <w:lang w:val="it-IT"/>
      </w:rPr>
      <w:tab/>
    </w:r>
    <w:r w:rsidR="00FF5075" w:rsidRPr="00FF5075">
      <w:rPr>
        <w:rFonts w:eastAsia="Calibri" w:cs="Times New Roman"/>
        <w:lang w:val="fr-FR"/>
      </w:rPr>
      <w:tab/>
    </w:r>
    <w:r w:rsidR="00FC27EC" w:rsidRPr="00467965">
      <w:rPr>
        <w:rFonts w:ascii="Arial" w:eastAsia="Calibri" w:hAnsi="Arial" w:cs="Times New Roman"/>
        <w:sz w:val="16"/>
        <w:lang w:val="fr-FR"/>
      </w:rPr>
      <w:t>U047-v1.0-HO1-FR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EC" w:rsidRPr="00ED33FF" w:rsidRDefault="006108EB" w:rsidP="00CA1D1A">
    <w:pPr>
      <w:tabs>
        <w:tab w:val="center" w:pos="4423"/>
        <w:tab w:val="right" w:pos="8845"/>
      </w:tabs>
      <w:spacing w:after="0" w:line="240" w:lineRule="exact"/>
      <w:rPr>
        <w:rFonts w:ascii="Arial" w:eastAsia="Calibri" w:hAnsi="Arial" w:cs="Times New Roman"/>
        <w:sz w:val="16"/>
        <w:lang w:val="fr-FR"/>
      </w:rPr>
    </w:pPr>
    <w:r>
      <w:rPr>
        <w:noProof/>
        <w:lang w:eastAsia="fr-FR"/>
      </w:rPr>
      <w:drawing>
        <wp:anchor distT="0" distB="0" distL="114300" distR="114300" simplePos="0" relativeHeight="251680768" behindDoc="0" locked="0" layoutInCell="1" allowOverlap="1" wp14:anchorId="1DA02195" wp14:editId="23351AEF">
          <wp:simplePos x="0" y="0"/>
          <wp:positionH relativeFrom="column">
            <wp:posOffset>2589530</wp:posOffset>
          </wp:positionH>
          <wp:positionV relativeFrom="paragraph">
            <wp:posOffset>-12065</wp:posOffset>
          </wp:positionV>
          <wp:extent cx="542925" cy="190500"/>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A4A">
      <w:rPr>
        <w:rFonts w:ascii="Arial" w:eastAsia="Calibri" w:hAnsi="Arial" w:cs="Times New Roman"/>
        <w:noProof/>
        <w:sz w:val="16"/>
        <w:lang w:val="fr-FR" w:eastAsia="fr-FR"/>
      </w:rPr>
      <w:drawing>
        <wp:anchor distT="0" distB="0" distL="114300" distR="114300" simplePos="0" relativeHeight="251668480" behindDoc="0" locked="0" layoutInCell="1" allowOverlap="1" wp14:anchorId="7AF98714" wp14:editId="51BFFD34">
          <wp:simplePos x="0" y="0"/>
          <wp:positionH relativeFrom="column">
            <wp:posOffset>5029200</wp:posOffset>
          </wp:positionH>
          <wp:positionV relativeFrom="paragraph">
            <wp:posOffset>-273050</wp:posOffset>
          </wp:positionV>
          <wp:extent cx="828675" cy="6216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8675" cy="621665"/>
                  </a:xfrm>
                  <a:prstGeom prst="rect">
                    <a:avLst/>
                  </a:prstGeom>
                </pic:spPr>
              </pic:pic>
            </a:graphicData>
          </a:graphic>
          <wp14:sizeRelH relativeFrom="page">
            <wp14:pctWidth>0</wp14:pctWidth>
          </wp14:sizeRelH>
          <wp14:sizeRelV relativeFrom="page">
            <wp14:pctHeight>0</wp14:pctHeight>
          </wp14:sizeRelV>
        </wp:anchor>
      </w:drawing>
    </w:r>
    <w:r w:rsidR="00FC27EC" w:rsidRPr="00ED33FF">
      <w:rPr>
        <w:rFonts w:ascii="Arial" w:eastAsia="Calibri" w:hAnsi="Arial" w:cs="Times New Roman"/>
        <w:sz w:val="16"/>
        <w:lang w:val="fr-FR"/>
      </w:rPr>
      <w:t>U047-v1.0-HO1-FR</w:t>
    </w:r>
    <w:r w:rsidR="00FC27EC" w:rsidRPr="00ED33FF">
      <w:rPr>
        <w:rFonts w:ascii="Arial" w:eastAsia="Calibri" w:hAnsi="Arial" w:cs="Times New Roman"/>
        <w:sz w:val="16"/>
        <w:lang w:val="fr-FR"/>
      </w:rPr>
      <w:tab/>
    </w:r>
    <w:r w:rsidR="00FC27EC" w:rsidRPr="00ED33FF">
      <w:rPr>
        <w:rFonts w:ascii="Arial" w:eastAsia="Calibri" w:hAnsi="Arial" w:cs="Times New Roman"/>
        <w:sz w:val="16"/>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EC" w:rsidRPr="007922C2" w:rsidRDefault="006108EB" w:rsidP="00CA1D1A">
    <w:pPr>
      <w:tabs>
        <w:tab w:val="left" w:pos="2520"/>
        <w:tab w:val="center" w:pos="4423"/>
        <w:tab w:val="right" w:pos="8845"/>
      </w:tabs>
      <w:spacing w:after="0" w:line="240" w:lineRule="exact"/>
      <w:rPr>
        <w:rFonts w:ascii="Arial" w:eastAsia="Calibri" w:hAnsi="Arial" w:cs="Times New Roman"/>
        <w:sz w:val="16"/>
        <w:lang w:val="fr-FR"/>
      </w:rPr>
    </w:pPr>
    <w:r>
      <w:rPr>
        <w:noProof/>
        <w:lang w:eastAsia="fr-FR"/>
      </w:rPr>
      <w:drawing>
        <wp:anchor distT="0" distB="0" distL="114300" distR="114300" simplePos="0" relativeHeight="251676672" behindDoc="0" locked="0" layoutInCell="1" allowOverlap="1" wp14:anchorId="1DA02195" wp14:editId="23351AEF">
          <wp:simplePos x="0" y="0"/>
          <wp:positionH relativeFrom="column">
            <wp:posOffset>2541905</wp:posOffset>
          </wp:positionH>
          <wp:positionV relativeFrom="paragraph">
            <wp:posOffset>16510</wp:posOffset>
          </wp:positionV>
          <wp:extent cx="542925" cy="190500"/>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A4A">
      <w:rPr>
        <w:rFonts w:ascii="Arial" w:eastAsia="Calibri" w:hAnsi="Arial" w:cs="Times New Roman"/>
        <w:noProof/>
        <w:sz w:val="16"/>
        <w:lang w:val="fr-FR" w:eastAsia="fr-FR"/>
      </w:rPr>
      <w:drawing>
        <wp:anchor distT="0" distB="0" distL="114300" distR="114300" simplePos="0" relativeHeight="251664384" behindDoc="0" locked="0" layoutInCell="1" allowOverlap="1" wp14:anchorId="6C91403F" wp14:editId="1B5AB211">
          <wp:simplePos x="0" y="0"/>
          <wp:positionH relativeFrom="column">
            <wp:posOffset>5004359</wp:posOffset>
          </wp:positionH>
          <wp:positionV relativeFrom="paragraph">
            <wp:posOffset>-275590</wp:posOffset>
          </wp:positionV>
          <wp:extent cx="828858" cy="62205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8858" cy="622059"/>
                  </a:xfrm>
                  <a:prstGeom prst="rect">
                    <a:avLst/>
                  </a:prstGeom>
                </pic:spPr>
              </pic:pic>
            </a:graphicData>
          </a:graphic>
          <wp14:sizeRelH relativeFrom="page">
            <wp14:pctWidth>0</wp14:pctWidth>
          </wp14:sizeRelH>
          <wp14:sizeRelV relativeFrom="page">
            <wp14:pctHeight>0</wp14:pctHeight>
          </wp14:sizeRelV>
        </wp:anchor>
      </w:drawing>
    </w:r>
    <w:r w:rsidR="00FC27EC" w:rsidRPr="007922C2">
      <w:rPr>
        <w:rFonts w:ascii="Arial" w:eastAsia="Calibri" w:hAnsi="Arial" w:cs="Times New Roman"/>
        <w:sz w:val="16"/>
        <w:lang w:val="fr-FR"/>
      </w:rPr>
      <w:t>U047-v1.0-HO1-FR</w:t>
    </w:r>
    <w:r w:rsidR="00FC27EC" w:rsidRPr="007922C2">
      <w:rPr>
        <w:rFonts w:ascii="Arial" w:eastAsia="Calibri" w:hAnsi="Arial" w:cs="Times New Roman"/>
        <w:sz w:val="16"/>
        <w:lang w:val="fr-FR"/>
      </w:rPr>
      <w:tab/>
    </w:r>
    <w:r w:rsidR="00FF5075">
      <w:rPr>
        <w:rFonts w:ascii="Arial" w:eastAsia="Calibri" w:hAnsi="Arial" w:cs="Times New Roman"/>
        <w:sz w:val="16"/>
        <w:lang w:val="fr-FR"/>
      </w:rPr>
      <w:tab/>
    </w:r>
    <w:r w:rsidR="00FC27EC" w:rsidRPr="007922C2">
      <w:rPr>
        <w:rFonts w:ascii="Arial" w:eastAsia="Calibri" w:hAnsi="Arial" w:cs="Times New Roman"/>
        <w:sz w:val="16"/>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EC" w:rsidRDefault="00FC27EC" w:rsidP="00BB7800">
      <w:pPr>
        <w:spacing w:after="0" w:line="240" w:lineRule="auto"/>
      </w:pPr>
      <w:r>
        <w:separator/>
      </w:r>
    </w:p>
  </w:footnote>
  <w:footnote w:type="continuationSeparator" w:id="0">
    <w:p w:rsidR="00FC27EC" w:rsidRDefault="00FC27EC" w:rsidP="00BB7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EC" w:rsidRPr="008D52D3" w:rsidRDefault="00FC27EC" w:rsidP="00CA1D1A">
    <w:pPr>
      <w:tabs>
        <w:tab w:val="center" w:pos="4423"/>
        <w:tab w:val="right" w:pos="9000"/>
      </w:tabs>
      <w:spacing w:after="200" w:line="276" w:lineRule="auto"/>
      <w:rPr>
        <w:rFonts w:ascii="Arial" w:eastAsia="Calibri" w:hAnsi="Arial" w:cs="Times New Roman"/>
        <w:sz w:val="16"/>
        <w:lang w:val="it-IT"/>
      </w:rPr>
    </w:pPr>
    <w:r w:rsidRPr="008D52D3">
      <w:rPr>
        <w:rFonts w:ascii="Arial" w:eastAsia="Calibri" w:hAnsi="Arial" w:cs="Times New Roman"/>
        <w:sz w:val="16"/>
        <w:lang w:val="it-IT"/>
      </w:rPr>
      <w:fldChar w:fldCharType="begin"/>
    </w:r>
    <w:r w:rsidRPr="008D52D3">
      <w:rPr>
        <w:rFonts w:ascii="Arial" w:eastAsia="Calibri" w:hAnsi="Arial" w:cs="Times New Roman"/>
        <w:sz w:val="16"/>
        <w:lang w:val="it-IT"/>
      </w:rPr>
      <w:instrText xml:space="preserve"> PAGE </w:instrText>
    </w:r>
    <w:r w:rsidRPr="008D52D3">
      <w:rPr>
        <w:rFonts w:ascii="Arial" w:eastAsia="Calibri" w:hAnsi="Arial" w:cs="Times New Roman"/>
        <w:sz w:val="16"/>
        <w:lang w:val="it-IT"/>
      </w:rPr>
      <w:fldChar w:fldCharType="separate"/>
    </w:r>
    <w:r w:rsidR="006108EB">
      <w:rPr>
        <w:rFonts w:ascii="Arial" w:eastAsia="Calibri" w:hAnsi="Arial" w:cs="Times New Roman"/>
        <w:noProof/>
        <w:sz w:val="16"/>
        <w:lang w:val="it-IT"/>
      </w:rPr>
      <w:t>4</w:t>
    </w:r>
    <w:r w:rsidRPr="008D52D3">
      <w:rPr>
        <w:rFonts w:ascii="Arial" w:eastAsia="Calibri" w:hAnsi="Arial" w:cs="Times New Roman"/>
        <w:sz w:val="16"/>
        <w:lang w:val="it-IT"/>
      </w:rPr>
      <w:fldChar w:fldCharType="end"/>
    </w:r>
    <w:r w:rsidRPr="008D52D3">
      <w:rPr>
        <w:rFonts w:ascii="Arial" w:eastAsia="Calibri" w:hAnsi="Arial" w:cs="Times New Roman"/>
        <w:sz w:val="16"/>
        <w:lang w:val="it-IT"/>
      </w:rPr>
      <w:tab/>
    </w:r>
    <w:r w:rsidRPr="00ED33FF">
      <w:rPr>
        <w:rFonts w:ascii="Arial" w:eastAsia="Calibri" w:hAnsi="Arial" w:cs="Times New Roman"/>
        <w:sz w:val="16"/>
        <w:lang w:val="fr-FR"/>
      </w:rPr>
      <w:t>Unité 47: Atelier sur l’élaboration de plans de sauvegarde: session de clôture</w:t>
    </w:r>
    <w:r w:rsidRPr="008D52D3">
      <w:rPr>
        <w:rFonts w:ascii="Arial" w:eastAsia="Calibri" w:hAnsi="Arial" w:cs="Times New Roman"/>
        <w:sz w:val="16"/>
        <w:lang w:val="it-IT"/>
      </w:rPr>
      <w:tab/>
    </w:r>
    <w:r>
      <w:rPr>
        <w:rFonts w:ascii="Arial" w:eastAsia="Calibri" w:hAnsi="Arial" w:cs="Times New Roman"/>
        <w:sz w:val="16"/>
        <w:lang w:val="it-IT"/>
      </w:rPr>
      <w:t>Imprimé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EC" w:rsidRPr="00CA1D1A" w:rsidRDefault="00FC27EC" w:rsidP="00CA1D1A">
    <w:pPr>
      <w:tabs>
        <w:tab w:val="center" w:pos="4423"/>
        <w:tab w:val="right" w:pos="9000"/>
      </w:tabs>
      <w:spacing w:after="200" w:line="276" w:lineRule="auto"/>
      <w:rPr>
        <w:rFonts w:ascii="Arial" w:eastAsia="Calibri" w:hAnsi="Arial" w:cs="Times New Roman"/>
        <w:sz w:val="16"/>
        <w:lang w:val="it-IT"/>
      </w:rPr>
    </w:pPr>
    <w:r>
      <w:rPr>
        <w:rFonts w:ascii="Arial" w:eastAsia="Calibri" w:hAnsi="Arial" w:cs="Times New Roman"/>
        <w:sz w:val="16"/>
        <w:lang w:val="it-IT"/>
      </w:rPr>
      <w:t>Imprimé</w:t>
    </w:r>
    <w:r w:rsidRPr="00CA1D1A">
      <w:rPr>
        <w:rFonts w:ascii="Arial" w:eastAsia="Calibri" w:hAnsi="Arial" w:cs="Times New Roman"/>
        <w:sz w:val="16"/>
        <w:lang w:val="it-IT"/>
      </w:rPr>
      <w:tab/>
    </w:r>
    <w:r w:rsidRPr="00D34919">
      <w:rPr>
        <w:rFonts w:ascii="Arial" w:eastAsia="Calibri" w:hAnsi="Arial" w:cs="Times New Roman"/>
        <w:sz w:val="16"/>
        <w:lang w:val="fr-FR"/>
      </w:rPr>
      <w:t>Unité 47: Atelier sur l’élaboration de plans de sauvegarde: session de clôture</w:t>
    </w:r>
    <w:r w:rsidRPr="00CA1D1A">
      <w:rPr>
        <w:rFonts w:ascii="Arial" w:eastAsia="Calibri" w:hAnsi="Arial" w:cs="Times New Roman"/>
        <w:sz w:val="16"/>
        <w:lang w:val="it-IT"/>
      </w:rPr>
      <w:tab/>
    </w:r>
    <w:r w:rsidRPr="00CA1D1A">
      <w:rPr>
        <w:rFonts w:ascii="Arial" w:eastAsia="Calibri" w:hAnsi="Arial" w:cs="Times New Roman"/>
        <w:sz w:val="16"/>
        <w:lang w:val="it-IT"/>
      </w:rPr>
      <w:fldChar w:fldCharType="begin"/>
    </w:r>
    <w:r w:rsidRPr="00CA1D1A">
      <w:rPr>
        <w:rFonts w:ascii="Arial" w:eastAsia="Calibri" w:hAnsi="Arial" w:cs="Times New Roman"/>
        <w:sz w:val="16"/>
        <w:lang w:val="it-IT"/>
      </w:rPr>
      <w:instrText xml:space="preserve"> PAGE </w:instrText>
    </w:r>
    <w:r w:rsidRPr="00CA1D1A">
      <w:rPr>
        <w:rFonts w:ascii="Arial" w:eastAsia="Calibri" w:hAnsi="Arial" w:cs="Times New Roman"/>
        <w:sz w:val="16"/>
        <w:lang w:val="it-IT"/>
      </w:rPr>
      <w:fldChar w:fldCharType="separate"/>
    </w:r>
    <w:r w:rsidR="006108EB">
      <w:rPr>
        <w:rFonts w:ascii="Arial" w:eastAsia="Calibri" w:hAnsi="Arial" w:cs="Times New Roman"/>
        <w:noProof/>
        <w:sz w:val="16"/>
        <w:lang w:val="it-IT"/>
      </w:rPr>
      <w:t>3</w:t>
    </w:r>
    <w:r w:rsidRPr="00CA1D1A">
      <w:rPr>
        <w:rFonts w:ascii="Arial" w:eastAsia="Calibri" w:hAnsi="Arial" w:cs="Times New Roman"/>
        <w:sz w:val="16"/>
        <w:lang w:val="it-I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EC" w:rsidRPr="008D52D3" w:rsidRDefault="00FC27EC" w:rsidP="008D52D3">
    <w:pPr>
      <w:pStyle w:val="Header"/>
      <w:jc w:val="center"/>
      <w:rPr>
        <w:sz w:val="16"/>
        <w:szCs w:val="16"/>
      </w:rPr>
    </w:pPr>
    <w:proofErr w:type="spellStart"/>
    <w:r>
      <w:rPr>
        <w:rFonts w:ascii="Arial" w:eastAsia="SimSun" w:hAnsi="Arial" w:cs="Arial"/>
        <w:snapToGrid w:val="0"/>
        <w:sz w:val="16"/>
        <w:szCs w:val="16"/>
        <w:lang w:val="en-US" w:eastAsia="zh-CN"/>
      </w:rPr>
      <w:t>Imprimé</w:t>
    </w:r>
    <w:proofErr w:type="spellEnd"/>
    <w:r>
      <w:rPr>
        <w:rFonts w:ascii="Arial" w:eastAsia="SimSun" w:hAnsi="Arial" w:cs="Arial"/>
        <w:snapToGrid w:val="0"/>
        <w:sz w:val="16"/>
        <w:szCs w:val="16"/>
        <w:lang w:val="en-US" w:eastAsia="zh-CN"/>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3322"/>
    <w:multiLevelType w:val="hybridMultilevel"/>
    <w:tmpl w:val="D9EE11F2"/>
    <w:lvl w:ilvl="0" w:tplc="A6904FA4">
      <w:start w:val="1"/>
      <w:numFmt w:val="lowerLetter"/>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1">
    <w:nsid w:val="2E122C6D"/>
    <w:multiLevelType w:val="hybridMultilevel"/>
    <w:tmpl w:val="A4D046B8"/>
    <w:lvl w:ilvl="0" w:tplc="B68CBAB0">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47C06011"/>
    <w:multiLevelType w:val="hybridMultilevel"/>
    <w:tmpl w:val="1618D698"/>
    <w:lvl w:ilvl="0" w:tplc="572211A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503C5D63"/>
    <w:multiLevelType w:val="hybridMultilevel"/>
    <w:tmpl w:val="284E9594"/>
    <w:lvl w:ilvl="0" w:tplc="4F1A197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4">
    <w:nsid w:val="65122F5E"/>
    <w:multiLevelType w:val="hybridMultilevel"/>
    <w:tmpl w:val="A448F992"/>
    <w:lvl w:ilvl="0" w:tplc="F1B200B6">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nsid w:val="6629015A"/>
    <w:multiLevelType w:val="hybridMultilevel"/>
    <w:tmpl w:val="05FCE5AE"/>
    <w:lvl w:ilvl="0" w:tplc="26A846E4">
      <w:start w:val="1"/>
      <w:numFmt w:val="lowerLetter"/>
      <w:lvlText w:val="(%1)"/>
      <w:lvlJc w:val="left"/>
      <w:pPr>
        <w:ind w:left="390" w:hanging="3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74FC34E4"/>
    <w:multiLevelType w:val="hybridMultilevel"/>
    <w:tmpl w:val="20A01F42"/>
    <w:lvl w:ilvl="0" w:tplc="5DA60278">
      <w:start w:val="4"/>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proofState w:spelling="clean" w:grammar="clean"/>
  <w:doNotTrackMoves/>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941F8"/>
    <w:rsid w:val="00003C68"/>
    <w:rsid w:val="00004DB1"/>
    <w:rsid w:val="000127F2"/>
    <w:rsid w:val="0001740F"/>
    <w:rsid w:val="0004127E"/>
    <w:rsid w:val="00045AB2"/>
    <w:rsid w:val="000550D4"/>
    <w:rsid w:val="0006568D"/>
    <w:rsid w:val="00072996"/>
    <w:rsid w:val="0007618A"/>
    <w:rsid w:val="000B0B75"/>
    <w:rsid w:val="000C4CB1"/>
    <w:rsid w:val="000C746E"/>
    <w:rsid w:val="00101C64"/>
    <w:rsid w:val="00103583"/>
    <w:rsid w:val="00126C95"/>
    <w:rsid w:val="0013616E"/>
    <w:rsid w:val="001505FB"/>
    <w:rsid w:val="00153CF6"/>
    <w:rsid w:val="00163568"/>
    <w:rsid w:val="001A51A4"/>
    <w:rsid w:val="001C2BA6"/>
    <w:rsid w:val="001E789D"/>
    <w:rsid w:val="00205B73"/>
    <w:rsid w:val="00205E20"/>
    <w:rsid w:val="0021289F"/>
    <w:rsid w:val="00217FA7"/>
    <w:rsid w:val="00226BBE"/>
    <w:rsid w:val="002425C7"/>
    <w:rsid w:val="00242A25"/>
    <w:rsid w:val="002445BD"/>
    <w:rsid w:val="00251F44"/>
    <w:rsid w:val="00264950"/>
    <w:rsid w:val="002710E6"/>
    <w:rsid w:val="00271AD5"/>
    <w:rsid w:val="00296956"/>
    <w:rsid w:val="002A6DF6"/>
    <w:rsid w:val="002D5B36"/>
    <w:rsid w:val="00312F3B"/>
    <w:rsid w:val="00320900"/>
    <w:rsid w:val="00390ECE"/>
    <w:rsid w:val="003963DB"/>
    <w:rsid w:val="003E6192"/>
    <w:rsid w:val="003F49FD"/>
    <w:rsid w:val="003F5357"/>
    <w:rsid w:val="00421783"/>
    <w:rsid w:val="00433159"/>
    <w:rsid w:val="00434C37"/>
    <w:rsid w:val="004409B2"/>
    <w:rsid w:val="00441A36"/>
    <w:rsid w:val="00443A4A"/>
    <w:rsid w:val="00466B84"/>
    <w:rsid w:val="00467965"/>
    <w:rsid w:val="004E4053"/>
    <w:rsid w:val="004E54B0"/>
    <w:rsid w:val="004F0652"/>
    <w:rsid w:val="004F5C3E"/>
    <w:rsid w:val="00505AA7"/>
    <w:rsid w:val="00510C5E"/>
    <w:rsid w:val="0054615D"/>
    <w:rsid w:val="00557416"/>
    <w:rsid w:val="005668A0"/>
    <w:rsid w:val="0058756A"/>
    <w:rsid w:val="005941F8"/>
    <w:rsid w:val="00594614"/>
    <w:rsid w:val="005C0C2F"/>
    <w:rsid w:val="005D0EE3"/>
    <w:rsid w:val="005E3968"/>
    <w:rsid w:val="006108EB"/>
    <w:rsid w:val="00612084"/>
    <w:rsid w:val="00641D62"/>
    <w:rsid w:val="00664BC6"/>
    <w:rsid w:val="006A31B3"/>
    <w:rsid w:val="006A73DF"/>
    <w:rsid w:val="006B0D24"/>
    <w:rsid w:val="006B166C"/>
    <w:rsid w:val="006E0B6A"/>
    <w:rsid w:val="006E79B8"/>
    <w:rsid w:val="0075410D"/>
    <w:rsid w:val="007922C2"/>
    <w:rsid w:val="007C2EAD"/>
    <w:rsid w:val="007C7DB9"/>
    <w:rsid w:val="007E3992"/>
    <w:rsid w:val="007F3090"/>
    <w:rsid w:val="00815ACC"/>
    <w:rsid w:val="008223D0"/>
    <w:rsid w:val="00836D26"/>
    <w:rsid w:val="00836F49"/>
    <w:rsid w:val="008431E0"/>
    <w:rsid w:val="00846E14"/>
    <w:rsid w:val="008D52D3"/>
    <w:rsid w:val="008F0A81"/>
    <w:rsid w:val="00902A9F"/>
    <w:rsid w:val="009375EA"/>
    <w:rsid w:val="00952173"/>
    <w:rsid w:val="00957E16"/>
    <w:rsid w:val="00976C41"/>
    <w:rsid w:val="00992FFB"/>
    <w:rsid w:val="009E47B1"/>
    <w:rsid w:val="009F0BA4"/>
    <w:rsid w:val="00A00879"/>
    <w:rsid w:val="00A40C61"/>
    <w:rsid w:val="00A4141A"/>
    <w:rsid w:val="00A5431E"/>
    <w:rsid w:val="00A80433"/>
    <w:rsid w:val="00A92EDC"/>
    <w:rsid w:val="00A954D3"/>
    <w:rsid w:val="00A95DB5"/>
    <w:rsid w:val="00AA2F61"/>
    <w:rsid w:val="00AA38C8"/>
    <w:rsid w:val="00AA4F33"/>
    <w:rsid w:val="00AA75DF"/>
    <w:rsid w:val="00AC5585"/>
    <w:rsid w:val="00AD4CF6"/>
    <w:rsid w:val="00AE2FBB"/>
    <w:rsid w:val="00AF752D"/>
    <w:rsid w:val="00B15A9A"/>
    <w:rsid w:val="00B175DB"/>
    <w:rsid w:val="00B45D0F"/>
    <w:rsid w:val="00B75707"/>
    <w:rsid w:val="00B83762"/>
    <w:rsid w:val="00BA6C56"/>
    <w:rsid w:val="00BB7800"/>
    <w:rsid w:val="00BC1B5B"/>
    <w:rsid w:val="00C03D3F"/>
    <w:rsid w:val="00C37B1C"/>
    <w:rsid w:val="00C54E2F"/>
    <w:rsid w:val="00C64E65"/>
    <w:rsid w:val="00C7052D"/>
    <w:rsid w:val="00C72EEF"/>
    <w:rsid w:val="00CA1D1A"/>
    <w:rsid w:val="00CB2788"/>
    <w:rsid w:val="00CB58CB"/>
    <w:rsid w:val="00CC109C"/>
    <w:rsid w:val="00CC667E"/>
    <w:rsid w:val="00CE14AB"/>
    <w:rsid w:val="00CE6816"/>
    <w:rsid w:val="00D010E2"/>
    <w:rsid w:val="00D13B76"/>
    <w:rsid w:val="00D155A7"/>
    <w:rsid w:val="00D22670"/>
    <w:rsid w:val="00D33EC0"/>
    <w:rsid w:val="00D3463D"/>
    <w:rsid w:val="00D34919"/>
    <w:rsid w:val="00D37724"/>
    <w:rsid w:val="00D43736"/>
    <w:rsid w:val="00D62001"/>
    <w:rsid w:val="00D71781"/>
    <w:rsid w:val="00D72C3A"/>
    <w:rsid w:val="00D7628D"/>
    <w:rsid w:val="00D80B95"/>
    <w:rsid w:val="00D81412"/>
    <w:rsid w:val="00D84A24"/>
    <w:rsid w:val="00D861AF"/>
    <w:rsid w:val="00DA70DF"/>
    <w:rsid w:val="00DC30DA"/>
    <w:rsid w:val="00DE1279"/>
    <w:rsid w:val="00E27BED"/>
    <w:rsid w:val="00ED14FA"/>
    <w:rsid w:val="00ED33FF"/>
    <w:rsid w:val="00F2028F"/>
    <w:rsid w:val="00F35F36"/>
    <w:rsid w:val="00F4113D"/>
    <w:rsid w:val="00F42CF2"/>
    <w:rsid w:val="00F67F82"/>
    <w:rsid w:val="00F736E0"/>
    <w:rsid w:val="00F85372"/>
    <w:rsid w:val="00F905ED"/>
    <w:rsid w:val="00F950DE"/>
    <w:rsid w:val="00FC27EC"/>
    <w:rsid w:val="00FE5A96"/>
    <w:rsid w:val="00FF3029"/>
    <w:rsid w:val="00FF5075"/>
    <w:rsid w:val="00FF5917"/>
  </w:rsids>
  <m:mathPr>
    <m:mathFont m:val="Cambria Math"/>
    <m:brkBin m:val="before"/>
    <m:brkBinSub m:val="--"/>
    <m:smallFrac/>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0" w:defSemiHidden="0" w:defUnhideWhenUsed="0" w:defQFormat="0" w:count="267">
    <w:lsdException w:name="Hyperlink" w:uiPriority="99"/>
  </w:latentStyles>
  <w:style w:type="paragraph" w:default="1" w:styleId="Normal">
    <w:name w:val="Normal"/>
    <w:qFormat/>
    <w:rsid w:val="007E3992"/>
  </w:style>
  <w:style w:type="paragraph" w:styleId="Heading1">
    <w:name w:val="heading 1"/>
    <w:basedOn w:val="Normal"/>
    <w:next w:val="Normal"/>
    <w:link w:val="Heading1Char"/>
    <w:uiPriority w:val="9"/>
    <w:qFormat/>
    <w:rsid w:val="00836D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rsid w:val="005941F8"/>
    <w:pPr>
      <w:keepNext/>
      <w:keepLines/>
      <w:spacing w:before="240" w:after="120" w:line="280" w:lineRule="exact"/>
      <w:ind w:left="851" w:hanging="851"/>
      <w:outlineLvl w:val="2"/>
    </w:pPr>
    <w:rPr>
      <w:rFonts w:ascii="Arial" w:eastAsia="SimSun" w:hAnsi="Arial" w:cs="Times New Roman"/>
      <w:b/>
      <w:bCs/>
      <w:caps/>
      <w:color w:val="000000"/>
      <w:sz w:val="18"/>
      <w:szCs w:val="18"/>
      <w:lang w:val="it-IT"/>
    </w:rPr>
  </w:style>
  <w:style w:type="paragraph" w:styleId="Heading4">
    <w:name w:val="heading 4"/>
    <w:basedOn w:val="Normal"/>
    <w:next w:val="Normal"/>
    <w:link w:val="Heading4Char"/>
    <w:rsid w:val="00836F49"/>
    <w:pPr>
      <w:keepNext/>
      <w:keepLines/>
      <w:spacing w:before="360" w:after="120" w:line="300" w:lineRule="exact"/>
      <w:outlineLvl w:val="3"/>
    </w:pPr>
    <w:rPr>
      <w:rFonts w:ascii="Arial" w:eastAsia="SimSun" w:hAnsi="Arial" w:cs="Times New Roman"/>
      <w:b/>
      <w:bCs/>
      <w:caps/>
      <w:sz w:val="20"/>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41F8"/>
    <w:rPr>
      <w:rFonts w:ascii="Arial" w:eastAsia="SimSun" w:hAnsi="Arial" w:cs="Times New Roman"/>
      <w:b/>
      <w:bCs/>
      <w:caps/>
      <w:color w:val="000000"/>
      <w:sz w:val="18"/>
      <w:szCs w:val="18"/>
      <w:lang w:val="it-IT"/>
    </w:rPr>
  </w:style>
  <w:style w:type="paragraph" w:customStyle="1" w:styleId="numrationa">
    <w:name w:val="énumération (a)"/>
    <w:basedOn w:val="Texte1"/>
    <w:rsid w:val="005941F8"/>
    <w:pPr>
      <w:snapToGrid/>
      <w:ind w:left="1191" w:hanging="340"/>
    </w:pPr>
    <w:rPr>
      <w:szCs w:val="22"/>
    </w:rPr>
  </w:style>
  <w:style w:type="paragraph" w:customStyle="1" w:styleId="Texte1">
    <w:name w:val="Texte1"/>
    <w:basedOn w:val="Normal"/>
    <w:link w:val="Texte1Car"/>
    <w:rsid w:val="005941F8"/>
    <w:pPr>
      <w:tabs>
        <w:tab w:val="left" w:pos="567"/>
      </w:tabs>
      <w:snapToGrid w:val="0"/>
      <w:spacing w:after="60" w:line="280" w:lineRule="exact"/>
      <w:ind w:left="851"/>
      <w:jc w:val="both"/>
    </w:pPr>
    <w:rPr>
      <w:rFonts w:ascii="Arial" w:eastAsia="SimSun" w:hAnsi="Arial" w:cs="Arial"/>
      <w:sz w:val="20"/>
      <w:szCs w:val="24"/>
      <w:lang w:val="fr-FR" w:eastAsia="zh-CN"/>
    </w:rPr>
  </w:style>
  <w:style w:type="character" w:customStyle="1" w:styleId="Texte1Car">
    <w:name w:val="Texte1 Car"/>
    <w:link w:val="Texte1"/>
    <w:rsid w:val="005941F8"/>
    <w:rPr>
      <w:rFonts w:ascii="Arial" w:eastAsia="SimSun" w:hAnsi="Arial" w:cs="Arial"/>
      <w:sz w:val="20"/>
      <w:szCs w:val="24"/>
      <w:lang w:val="fr-FR" w:eastAsia="zh-CN"/>
    </w:rPr>
  </w:style>
  <w:style w:type="paragraph" w:customStyle="1" w:styleId="Encadr">
    <w:name w:val="Encadré"/>
    <w:basedOn w:val="Normal"/>
    <w:link w:val="EncadrCar"/>
    <w:rsid w:val="00D71781"/>
    <w:pPr>
      <w:pBdr>
        <w:top w:val="single" w:sz="4" w:space="5" w:color="auto"/>
        <w:left w:val="single" w:sz="4" w:space="6" w:color="auto"/>
        <w:bottom w:val="single" w:sz="4" w:space="5" w:color="auto"/>
        <w:right w:val="single" w:sz="4" w:space="6" w:color="auto"/>
      </w:pBdr>
      <w:tabs>
        <w:tab w:val="left" w:pos="567"/>
      </w:tabs>
      <w:snapToGrid w:val="0"/>
      <w:spacing w:before="120" w:after="60" w:line="280" w:lineRule="exact"/>
      <w:ind w:left="1021" w:right="284"/>
      <w:jc w:val="both"/>
    </w:pPr>
    <w:rPr>
      <w:rFonts w:ascii="Arial" w:eastAsia="Calibri" w:hAnsi="Arial" w:cs="Arial"/>
      <w:sz w:val="20"/>
      <w:szCs w:val="24"/>
      <w:lang w:val="fr-FR" w:eastAsia="zh-CN"/>
    </w:rPr>
  </w:style>
  <w:style w:type="character" w:customStyle="1" w:styleId="EncadrCar">
    <w:name w:val="Encadré Car"/>
    <w:basedOn w:val="DefaultParagraphFont"/>
    <w:link w:val="Encadr"/>
    <w:rsid w:val="00D71781"/>
    <w:rPr>
      <w:rFonts w:ascii="Arial" w:eastAsia="Calibri" w:hAnsi="Arial" w:cs="Arial"/>
      <w:sz w:val="20"/>
      <w:szCs w:val="24"/>
      <w:lang w:val="fr-FR" w:eastAsia="zh-CN"/>
    </w:rPr>
  </w:style>
  <w:style w:type="paragraph" w:styleId="Header">
    <w:name w:val="header"/>
    <w:basedOn w:val="Normal"/>
    <w:link w:val="HeaderChar"/>
    <w:uiPriority w:val="99"/>
    <w:unhideWhenUsed/>
    <w:rsid w:val="00BB78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7800"/>
  </w:style>
  <w:style w:type="paragraph" w:styleId="Footer">
    <w:name w:val="footer"/>
    <w:basedOn w:val="Normal"/>
    <w:link w:val="FooterChar"/>
    <w:uiPriority w:val="99"/>
    <w:unhideWhenUsed/>
    <w:rsid w:val="00BB78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7800"/>
  </w:style>
  <w:style w:type="paragraph" w:customStyle="1" w:styleId="Chapitre">
    <w:name w:val="Chapitre"/>
    <w:basedOn w:val="Heading1"/>
    <w:link w:val="ChapitreCar"/>
    <w:rsid w:val="00836D26"/>
    <w:pPr>
      <w:pBdr>
        <w:bottom w:val="single" w:sz="4" w:space="14" w:color="3366FF"/>
      </w:pBdr>
      <w:tabs>
        <w:tab w:val="left" w:pos="567"/>
      </w:tabs>
      <w:snapToGrid w:val="0"/>
      <w:spacing w:after="480" w:line="840" w:lineRule="exact"/>
    </w:pPr>
    <w:rPr>
      <w:rFonts w:ascii="Arial" w:eastAsia="Times New Roman" w:hAnsi="Arial" w:cs="Arial"/>
      <w:b/>
      <w:bCs/>
      <w:caps/>
      <w:noProof/>
      <w:snapToGrid w:val="0"/>
      <w:color w:val="3366FF"/>
      <w:kern w:val="28"/>
      <w:sz w:val="70"/>
      <w:szCs w:val="70"/>
      <w:lang w:val="en-GB" w:eastAsia="zh-CN"/>
    </w:rPr>
  </w:style>
  <w:style w:type="character" w:customStyle="1" w:styleId="ChapitreCar">
    <w:name w:val="Chapitre Car"/>
    <w:link w:val="Chapitre"/>
    <w:rsid w:val="00836D26"/>
    <w:rPr>
      <w:rFonts w:ascii="Arial" w:eastAsia="Times New Roman" w:hAnsi="Arial" w:cs="Arial"/>
      <w:b/>
      <w:bCs/>
      <w:caps/>
      <w:noProof/>
      <w:snapToGrid w:val="0"/>
      <w:color w:val="3366FF"/>
      <w:kern w:val="28"/>
      <w:sz w:val="70"/>
      <w:szCs w:val="70"/>
      <w:lang w:val="en-GB" w:eastAsia="zh-CN"/>
    </w:rPr>
  </w:style>
  <w:style w:type="paragraph" w:customStyle="1" w:styleId="HO2">
    <w:name w:val="HO2"/>
    <w:basedOn w:val="Normal"/>
    <w:link w:val="HO2Car"/>
    <w:rsid w:val="00836D26"/>
    <w:pPr>
      <w:keepNext/>
      <w:keepLines/>
      <w:tabs>
        <w:tab w:val="left" w:pos="567"/>
      </w:tabs>
      <w:snapToGrid w:val="0"/>
      <w:spacing w:after="480" w:line="480" w:lineRule="exact"/>
      <w:outlineLvl w:val="0"/>
    </w:pPr>
    <w:rPr>
      <w:rFonts w:ascii="Arial" w:eastAsia="Times New Roman" w:hAnsi="Arial" w:cs="Arial"/>
      <w:b/>
      <w:bCs/>
      <w:caps/>
      <w:noProof/>
      <w:snapToGrid w:val="0"/>
      <w:color w:val="3366FF"/>
      <w:kern w:val="28"/>
      <w:sz w:val="32"/>
      <w:szCs w:val="32"/>
      <w:lang w:val="en-US" w:eastAsia="zh-CN"/>
    </w:rPr>
  </w:style>
  <w:style w:type="character" w:customStyle="1" w:styleId="HO2Car">
    <w:name w:val="HO2 Car"/>
    <w:basedOn w:val="DefaultParagraphFont"/>
    <w:link w:val="HO2"/>
    <w:rsid w:val="00836D26"/>
    <w:rPr>
      <w:rFonts w:ascii="Arial" w:eastAsia="Times New Roman" w:hAnsi="Arial" w:cs="Arial"/>
      <w:b/>
      <w:bCs/>
      <w:caps/>
      <w:noProof/>
      <w:snapToGrid w:val="0"/>
      <w:color w:val="3366FF"/>
      <w:kern w:val="28"/>
      <w:sz w:val="32"/>
      <w:szCs w:val="32"/>
      <w:lang w:val="en-US" w:eastAsia="zh-CN"/>
    </w:rPr>
  </w:style>
  <w:style w:type="character" w:customStyle="1" w:styleId="Heading1Char">
    <w:name w:val="Heading 1 Char"/>
    <w:basedOn w:val="DefaultParagraphFont"/>
    <w:link w:val="Heading1"/>
    <w:uiPriority w:val="9"/>
    <w:rsid w:val="00836D2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37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1C"/>
    <w:rPr>
      <w:rFonts w:ascii="Segoe UI" w:hAnsi="Segoe UI" w:cs="Segoe UI"/>
      <w:sz w:val="18"/>
      <w:szCs w:val="18"/>
    </w:rPr>
  </w:style>
  <w:style w:type="character" w:styleId="CommentReference">
    <w:name w:val="annotation reference"/>
    <w:basedOn w:val="DefaultParagraphFont"/>
    <w:uiPriority w:val="99"/>
    <w:semiHidden/>
    <w:unhideWhenUsed/>
    <w:rsid w:val="00C37B1C"/>
    <w:rPr>
      <w:sz w:val="16"/>
      <w:szCs w:val="16"/>
    </w:rPr>
  </w:style>
  <w:style w:type="paragraph" w:styleId="CommentText">
    <w:name w:val="annotation text"/>
    <w:basedOn w:val="Normal"/>
    <w:link w:val="CommentTextChar"/>
    <w:uiPriority w:val="99"/>
    <w:semiHidden/>
    <w:unhideWhenUsed/>
    <w:rsid w:val="00C37B1C"/>
    <w:pPr>
      <w:spacing w:line="240" w:lineRule="auto"/>
    </w:pPr>
    <w:rPr>
      <w:sz w:val="20"/>
      <w:szCs w:val="20"/>
    </w:rPr>
  </w:style>
  <w:style w:type="character" w:customStyle="1" w:styleId="CommentTextChar">
    <w:name w:val="Comment Text Char"/>
    <w:basedOn w:val="DefaultParagraphFont"/>
    <w:link w:val="CommentText"/>
    <w:uiPriority w:val="99"/>
    <w:semiHidden/>
    <w:rsid w:val="00C37B1C"/>
    <w:rPr>
      <w:sz w:val="20"/>
      <w:szCs w:val="20"/>
    </w:rPr>
  </w:style>
  <w:style w:type="paragraph" w:styleId="CommentSubject">
    <w:name w:val="annotation subject"/>
    <w:basedOn w:val="CommentText"/>
    <w:next w:val="CommentText"/>
    <w:link w:val="CommentSubjectChar"/>
    <w:uiPriority w:val="99"/>
    <w:semiHidden/>
    <w:unhideWhenUsed/>
    <w:rsid w:val="00C37B1C"/>
    <w:rPr>
      <w:b/>
      <w:bCs/>
    </w:rPr>
  </w:style>
  <w:style w:type="character" w:customStyle="1" w:styleId="CommentSubjectChar">
    <w:name w:val="Comment Subject Char"/>
    <w:basedOn w:val="CommentTextChar"/>
    <w:link w:val="CommentSubject"/>
    <w:uiPriority w:val="99"/>
    <w:semiHidden/>
    <w:rsid w:val="00C37B1C"/>
    <w:rPr>
      <w:b/>
      <w:bCs/>
      <w:sz w:val="20"/>
      <w:szCs w:val="20"/>
    </w:rPr>
  </w:style>
  <w:style w:type="paragraph" w:customStyle="1" w:styleId="HO1">
    <w:name w:val="HO1"/>
    <w:basedOn w:val="Normal"/>
    <w:link w:val="HO1Car"/>
    <w:rsid w:val="00836F49"/>
    <w:pPr>
      <w:keepNext/>
      <w:keepLines/>
      <w:tabs>
        <w:tab w:val="left" w:pos="567"/>
      </w:tabs>
      <w:snapToGrid w:val="0"/>
      <w:spacing w:before="480" w:after="0" w:line="480" w:lineRule="exac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836F49"/>
    <w:rPr>
      <w:rFonts w:ascii="Arial" w:eastAsia="Times New Roman" w:hAnsi="Arial" w:cs="Arial"/>
      <w:b/>
      <w:bCs/>
      <w:noProof/>
      <w:snapToGrid w:val="0"/>
      <w:color w:val="3366FF"/>
      <w:kern w:val="28"/>
      <w:sz w:val="32"/>
      <w:szCs w:val="32"/>
      <w:lang w:val="en-US" w:eastAsia="zh-CN"/>
    </w:rPr>
  </w:style>
  <w:style w:type="character" w:customStyle="1" w:styleId="Heading4Char">
    <w:name w:val="Heading 4 Char"/>
    <w:basedOn w:val="DefaultParagraphFont"/>
    <w:link w:val="Heading4"/>
    <w:rsid w:val="00836F49"/>
    <w:rPr>
      <w:rFonts w:ascii="Arial" w:eastAsia="SimSun" w:hAnsi="Arial" w:cs="Times New Roman"/>
      <w:b/>
      <w:bCs/>
      <w:caps/>
      <w:sz w:val="20"/>
      <w:szCs w:val="24"/>
      <w:lang w:val="it-IT"/>
    </w:rPr>
  </w:style>
  <w:style w:type="character" w:styleId="Hyperlink">
    <w:name w:val="Hyperlink"/>
    <w:uiPriority w:val="99"/>
    <w:unhideWhenUsed/>
    <w:rsid w:val="00FF50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D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rsid w:val="005941F8"/>
    <w:pPr>
      <w:keepNext/>
      <w:keepLines/>
      <w:spacing w:before="240" w:after="120" w:line="280" w:lineRule="exact"/>
      <w:ind w:left="851" w:hanging="851"/>
      <w:outlineLvl w:val="2"/>
    </w:pPr>
    <w:rPr>
      <w:rFonts w:ascii="Arial" w:eastAsia="SimSun" w:hAnsi="Arial" w:cs="Times New Roman"/>
      <w:b/>
      <w:bCs/>
      <w:caps/>
      <w:color w:val="000000"/>
      <w:sz w:val="18"/>
      <w:szCs w:val="18"/>
      <w:lang w:val="it-IT"/>
    </w:rPr>
  </w:style>
  <w:style w:type="paragraph" w:styleId="Heading4">
    <w:name w:val="heading 4"/>
    <w:basedOn w:val="Normal"/>
    <w:next w:val="Normal"/>
    <w:link w:val="Heading4Char"/>
    <w:rsid w:val="00836F49"/>
    <w:pPr>
      <w:keepNext/>
      <w:keepLines/>
      <w:spacing w:before="360" w:after="120" w:line="300" w:lineRule="exact"/>
      <w:outlineLvl w:val="3"/>
    </w:pPr>
    <w:rPr>
      <w:rFonts w:ascii="Arial" w:eastAsia="SimSun" w:hAnsi="Arial" w:cs="Times New Roman"/>
      <w:b/>
      <w:bCs/>
      <w:caps/>
      <w:sz w:val="20"/>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41F8"/>
    <w:rPr>
      <w:rFonts w:ascii="Arial" w:eastAsia="SimSun" w:hAnsi="Arial" w:cs="Times New Roman"/>
      <w:b/>
      <w:bCs/>
      <w:caps/>
      <w:color w:val="000000"/>
      <w:sz w:val="18"/>
      <w:szCs w:val="18"/>
      <w:lang w:val="it-IT"/>
    </w:rPr>
  </w:style>
  <w:style w:type="paragraph" w:customStyle="1" w:styleId="numrationa">
    <w:name w:val="énumération (a)"/>
    <w:basedOn w:val="Texte1"/>
    <w:rsid w:val="005941F8"/>
    <w:pPr>
      <w:snapToGrid/>
      <w:ind w:left="1191" w:hanging="340"/>
    </w:pPr>
    <w:rPr>
      <w:szCs w:val="22"/>
    </w:rPr>
  </w:style>
  <w:style w:type="paragraph" w:customStyle="1" w:styleId="Texte1">
    <w:name w:val="Texte1"/>
    <w:basedOn w:val="Normal"/>
    <w:link w:val="Texte1Car"/>
    <w:rsid w:val="005941F8"/>
    <w:pPr>
      <w:tabs>
        <w:tab w:val="left" w:pos="567"/>
      </w:tabs>
      <w:snapToGrid w:val="0"/>
      <w:spacing w:after="60" w:line="280" w:lineRule="exact"/>
      <w:ind w:left="851"/>
      <w:jc w:val="both"/>
    </w:pPr>
    <w:rPr>
      <w:rFonts w:ascii="Arial" w:eastAsia="SimSun" w:hAnsi="Arial" w:cs="Arial"/>
      <w:sz w:val="20"/>
      <w:szCs w:val="24"/>
      <w:lang w:val="fr-FR" w:eastAsia="zh-CN"/>
    </w:rPr>
  </w:style>
  <w:style w:type="character" w:customStyle="1" w:styleId="Texte1Car">
    <w:name w:val="Texte1 Car"/>
    <w:link w:val="Texte1"/>
    <w:rsid w:val="005941F8"/>
    <w:rPr>
      <w:rFonts w:ascii="Arial" w:eastAsia="SimSun" w:hAnsi="Arial" w:cs="Arial"/>
      <w:sz w:val="20"/>
      <w:szCs w:val="24"/>
      <w:lang w:val="fr-FR" w:eastAsia="zh-CN"/>
    </w:rPr>
  </w:style>
  <w:style w:type="paragraph" w:customStyle="1" w:styleId="Encadr">
    <w:name w:val="Encadré"/>
    <w:basedOn w:val="Normal"/>
    <w:link w:val="EncadrCar"/>
    <w:rsid w:val="00D71781"/>
    <w:pPr>
      <w:pBdr>
        <w:top w:val="single" w:sz="4" w:space="5" w:color="auto"/>
        <w:left w:val="single" w:sz="4" w:space="6" w:color="auto"/>
        <w:bottom w:val="single" w:sz="4" w:space="5" w:color="auto"/>
        <w:right w:val="single" w:sz="4" w:space="6" w:color="auto"/>
      </w:pBdr>
      <w:tabs>
        <w:tab w:val="left" w:pos="567"/>
      </w:tabs>
      <w:snapToGrid w:val="0"/>
      <w:spacing w:before="120" w:after="60" w:line="280" w:lineRule="exact"/>
      <w:ind w:left="1021" w:right="284"/>
      <w:jc w:val="both"/>
    </w:pPr>
    <w:rPr>
      <w:rFonts w:ascii="Arial" w:eastAsia="Calibri" w:hAnsi="Arial" w:cs="Arial"/>
      <w:sz w:val="20"/>
      <w:szCs w:val="24"/>
      <w:lang w:val="fr-FR" w:eastAsia="zh-CN"/>
    </w:rPr>
  </w:style>
  <w:style w:type="character" w:customStyle="1" w:styleId="EncadrCar">
    <w:name w:val="Encadré Car"/>
    <w:basedOn w:val="DefaultParagraphFont"/>
    <w:link w:val="Encadr"/>
    <w:rsid w:val="00D71781"/>
    <w:rPr>
      <w:rFonts w:ascii="Arial" w:eastAsia="Calibri" w:hAnsi="Arial" w:cs="Arial"/>
      <w:sz w:val="20"/>
      <w:szCs w:val="24"/>
      <w:lang w:val="fr-FR" w:eastAsia="zh-CN"/>
    </w:rPr>
  </w:style>
  <w:style w:type="paragraph" w:styleId="Header">
    <w:name w:val="header"/>
    <w:basedOn w:val="Normal"/>
    <w:link w:val="HeaderChar"/>
    <w:uiPriority w:val="99"/>
    <w:unhideWhenUsed/>
    <w:rsid w:val="00BB78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7800"/>
  </w:style>
  <w:style w:type="paragraph" w:styleId="Footer">
    <w:name w:val="footer"/>
    <w:basedOn w:val="Normal"/>
    <w:link w:val="FooterChar"/>
    <w:uiPriority w:val="99"/>
    <w:unhideWhenUsed/>
    <w:rsid w:val="00BB78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7800"/>
  </w:style>
  <w:style w:type="paragraph" w:customStyle="1" w:styleId="Chapitre">
    <w:name w:val="Chapitre"/>
    <w:basedOn w:val="Heading1"/>
    <w:link w:val="ChapitreCar"/>
    <w:rsid w:val="00836D26"/>
    <w:pPr>
      <w:pBdr>
        <w:bottom w:val="single" w:sz="4" w:space="14" w:color="3366FF"/>
      </w:pBdr>
      <w:tabs>
        <w:tab w:val="left" w:pos="567"/>
      </w:tabs>
      <w:snapToGrid w:val="0"/>
      <w:spacing w:after="480" w:line="840" w:lineRule="exact"/>
    </w:pPr>
    <w:rPr>
      <w:rFonts w:ascii="Arial" w:eastAsia="Times New Roman" w:hAnsi="Arial" w:cs="Arial"/>
      <w:b/>
      <w:bCs/>
      <w:caps/>
      <w:noProof/>
      <w:snapToGrid w:val="0"/>
      <w:color w:val="3366FF"/>
      <w:kern w:val="28"/>
      <w:sz w:val="70"/>
      <w:szCs w:val="70"/>
      <w:lang w:val="en-GB" w:eastAsia="zh-CN"/>
    </w:rPr>
  </w:style>
  <w:style w:type="character" w:customStyle="1" w:styleId="ChapitreCar">
    <w:name w:val="Chapitre Car"/>
    <w:link w:val="Chapitre"/>
    <w:rsid w:val="00836D26"/>
    <w:rPr>
      <w:rFonts w:ascii="Arial" w:eastAsia="Times New Roman" w:hAnsi="Arial" w:cs="Arial"/>
      <w:b/>
      <w:bCs/>
      <w:caps/>
      <w:noProof/>
      <w:snapToGrid w:val="0"/>
      <w:color w:val="3366FF"/>
      <w:kern w:val="28"/>
      <w:sz w:val="70"/>
      <w:szCs w:val="70"/>
      <w:lang w:val="en-GB" w:eastAsia="zh-CN"/>
    </w:rPr>
  </w:style>
  <w:style w:type="paragraph" w:customStyle="1" w:styleId="HO2">
    <w:name w:val="HO2"/>
    <w:basedOn w:val="Normal"/>
    <w:link w:val="HO2Car"/>
    <w:rsid w:val="00836D26"/>
    <w:pPr>
      <w:keepNext/>
      <w:keepLines/>
      <w:tabs>
        <w:tab w:val="left" w:pos="567"/>
      </w:tabs>
      <w:snapToGrid w:val="0"/>
      <w:spacing w:after="480" w:line="480" w:lineRule="exact"/>
      <w:outlineLvl w:val="0"/>
    </w:pPr>
    <w:rPr>
      <w:rFonts w:ascii="Arial" w:eastAsia="Times New Roman" w:hAnsi="Arial" w:cs="Arial"/>
      <w:b/>
      <w:bCs/>
      <w:caps/>
      <w:noProof/>
      <w:snapToGrid w:val="0"/>
      <w:color w:val="3366FF"/>
      <w:kern w:val="28"/>
      <w:sz w:val="32"/>
      <w:szCs w:val="32"/>
      <w:lang w:val="en-US" w:eastAsia="zh-CN"/>
    </w:rPr>
  </w:style>
  <w:style w:type="character" w:customStyle="1" w:styleId="HO2Car">
    <w:name w:val="HO2 Car"/>
    <w:basedOn w:val="DefaultParagraphFont"/>
    <w:link w:val="HO2"/>
    <w:rsid w:val="00836D26"/>
    <w:rPr>
      <w:rFonts w:ascii="Arial" w:eastAsia="Times New Roman" w:hAnsi="Arial" w:cs="Arial"/>
      <w:b/>
      <w:bCs/>
      <w:caps/>
      <w:noProof/>
      <w:snapToGrid w:val="0"/>
      <w:color w:val="3366FF"/>
      <w:kern w:val="28"/>
      <w:sz w:val="32"/>
      <w:szCs w:val="32"/>
      <w:lang w:val="en-US" w:eastAsia="zh-CN"/>
    </w:rPr>
  </w:style>
  <w:style w:type="character" w:customStyle="1" w:styleId="Heading1Char">
    <w:name w:val="Heading 1 Char"/>
    <w:basedOn w:val="DefaultParagraphFont"/>
    <w:link w:val="Heading1"/>
    <w:uiPriority w:val="9"/>
    <w:rsid w:val="00836D2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37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1C"/>
    <w:rPr>
      <w:rFonts w:ascii="Segoe UI" w:hAnsi="Segoe UI" w:cs="Segoe UI"/>
      <w:sz w:val="18"/>
      <w:szCs w:val="18"/>
    </w:rPr>
  </w:style>
  <w:style w:type="character" w:styleId="CommentReference">
    <w:name w:val="annotation reference"/>
    <w:basedOn w:val="DefaultParagraphFont"/>
    <w:uiPriority w:val="99"/>
    <w:semiHidden/>
    <w:unhideWhenUsed/>
    <w:rsid w:val="00C37B1C"/>
    <w:rPr>
      <w:sz w:val="16"/>
      <w:szCs w:val="16"/>
    </w:rPr>
  </w:style>
  <w:style w:type="paragraph" w:styleId="CommentText">
    <w:name w:val="annotation text"/>
    <w:basedOn w:val="Normal"/>
    <w:link w:val="CommentTextChar"/>
    <w:uiPriority w:val="99"/>
    <w:semiHidden/>
    <w:unhideWhenUsed/>
    <w:rsid w:val="00C37B1C"/>
    <w:pPr>
      <w:spacing w:line="240" w:lineRule="auto"/>
    </w:pPr>
    <w:rPr>
      <w:sz w:val="20"/>
      <w:szCs w:val="20"/>
    </w:rPr>
  </w:style>
  <w:style w:type="character" w:customStyle="1" w:styleId="CommentTextChar">
    <w:name w:val="Comment Text Char"/>
    <w:basedOn w:val="DefaultParagraphFont"/>
    <w:link w:val="CommentText"/>
    <w:uiPriority w:val="99"/>
    <w:semiHidden/>
    <w:rsid w:val="00C37B1C"/>
    <w:rPr>
      <w:sz w:val="20"/>
      <w:szCs w:val="20"/>
    </w:rPr>
  </w:style>
  <w:style w:type="paragraph" w:styleId="CommentSubject">
    <w:name w:val="annotation subject"/>
    <w:basedOn w:val="CommentText"/>
    <w:next w:val="CommentText"/>
    <w:link w:val="CommentSubjectChar"/>
    <w:uiPriority w:val="99"/>
    <w:semiHidden/>
    <w:unhideWhenUsed/>
    <w:rsid w:val="00C37B1C"/>
    <w:rPr>
      <w:b/>
      <w:bCs/>
    </w:rPr>
  </w:style>
  <w:style w:type="character" w:customStyle="1" w:styleId="CommentSubjectChar">
    <w:name w:val="Comment Subject Char"/>
    <w:basedOn w:val="CommentTextChar"/>
    <w:link w:val="CommentSubject"/>
    <w:uiPriority w:val="99"/>
    <w:semiHidden/>
    <w:rsid w:val="00C37B1C"/>
    <w:rPr>
      <w:b/>
      <w:bCs/>
      <w:sz w:val="20"/>
      <w:szCs w:val="20"/>
    </w:rPr>
  </w:style>
  <w:style w:type="paragraph" w:customStyle="1" w:styleId="HO1">
    <w:name w:val="HO1"/>
    <w:basedOn w:val="Normal"/>
    <w:link w:val="HO1Car"/>
    <w:rsid w:val="00836F49"/>
    <w:pPr>
      <w:keepNext/>
      <w:keepLines/>
      <w:tabs>
        <w:tab w:val="left" w:pos="567"/>
      </w:tabs>
      <w:snapToGrid w:val="0"/>
      <w:spacing w:before="480" w:after="0" w:line="480" w:lineRule="exac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836F49"/>
    <w:rPr>
      <w:rFonts w:ascii="Arial" w:eastAsia="Times New Roman" w:hAnsi="Arial" w:cs="Arial"/>
      <w:b/>
      <w:bCs/>
      <w:noProof/>
      <w:snapToGrid w:val="0"/>
      <w:color w:val="3366FF"/>
      <w:kern w:val="28"/>
      <w:sz w:val="32"/>
      <w:szCs w:val="32"/>
      <w:lang w:val="en-US" w:eastAsia="zh-CN"/>
    </w:rPr>
  </w:style>
  <w:style w:type="character" w:customStyle="1" w:styleId="Heading4Char">
    <w:name w:val="Heading 4 Char"/>
    <w:basedOn w:val="DefaultParagraphFont"/>
    <w:link w:val="Heading4"/>
    <w:rsid w:val="00836F49"/>
    <w:rPr>
      <w:rFonts w:ascii="Arial" w:eastAsia="SimSun" w:hAnsi="Arial" w:cs="Times New Roman"/>
      <w:b/>
      <w:bCs/>
      <w:caps/>
      <w:sz w:val="20"/>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5B18-CA18-4CBE-A74D-CF8EB4C5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2146</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U047-v1.0-HO1-EN_Questions.docx</vt:lpstr>
    </vt:vector>
  </TitlesOfParts>
  <Manager/>
  <Company/>
  <LinksUpToDate>false</LinksUpToDate>
  <CharactersWithSpaces>13926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U047-v1.0-HO1-FRA_Questions.docx</dc:title>
  <dc:subject/>
  <dc:creator>Rieks Smeets</dc:creator>
  <cp:keywords/>
  <dc:description/>
  <cp:lastModifiedBy>UNESCO</cp:lastModifiedBy>
  <cp:revision>42</cp:revision>
  <cp:lastPrinted>2015-12-08T17:36:00Z</cp:lastPrinted>
  <dcterms:created xsi:type="dcterms:W3CDTF">2016-03-29T21:29:00Z</dcterms:created>
  <dcterms:modified xsi:type="dcterms:W3CDTF">2018-02-22T12:59:00Z</dcterms:modified>
  <cp:category/>
</cp:coreProperties>
</file>