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5E850B63" w:rsidR="009F28BC" w:rsidRPr="004936EF" w:rsidRDefault="009F28BC" w:rsidP="009F28BC">
      <w:pPr>
        <w:pStyle w:val="Chapitre"/>
      </w:pPr>
      <w:bookmarkStart w:id="0" w:name="_Toc241229778"/>
      <w:bookmarkStart w:id="1" w:name="_Toc241229982"/>
      <w:bookmarkStart w:id="2" w:name="_Toc242165676"/>
      <w:r>
        <w:t>Unidad 49</w:t>
      </w:r>
    </w:p>
    <w:p w14:paraId="46C994E5" w14:textId="52FC32DB" w:rsidR="006C700E" w:rsidRDefault="006C700E" w:rsidP="006C700E">
      <w:pPr>
        <w:pStyle w:val="HO1"/>
      </w:pPr>
      <w:r>
        <w:t>Folleto 2:</w:t>
      </w:r>
    </w:p>
    <w:bookmarkEnd w:id="0"/>
    <w:bookmarkEnd w:id="1"/>
    <w:bookmarkEnd w:id="2"/>
    <w:p w14:paraId="0A32421E" w14:textId="69891418" w:rsidR="0031587B" w:rsidRDefault="000357F4" w:rsidP="00C73E9C">
      <w:pPr>
        <w:pStyle w:val="HO2"/>
      </w:pPr>
      <w:r>
        <w:t>Elementos típicos de un inventario nacional del patrimonio cultural inmaterial</w:t>
      </w:r>
    </w:p>
    <w:p w14:paraId="47C58502" w14:textId="7720D46F" w:rsidR="000357F4" w:rsidRPr="00247DB9" w:rsidRDefault="000357F4" w:rsidP="000357F4">
      <w:pPr>
        <w:pStyle w:val="Texte1"/>
      </w:pPr>
      <w:r>
        <w:rPr>
          <w:b/>
          <w:u w:val="single"/>
        </w:rPr>
        <w:t>Principios de clasificación</w:t>
      </w:r>
      <w:r>
        <w:t xml:space="preserve">: Esta clasificación en general se efectúa en función de los </w:t>
      </w:r>
      <w:r w:rsidR="004C51E1">
        <w:t xml:space="preserve">siguientes </w:t>
      </w:r>
      <w:r>
        <w:t>cinco ámbitos del PCI definidos en la Convención:</w:t>
      </w:r>
    </w:p>
    <w:p w14:paraId="7F8C87F9" w14:textId="77777777" w:rsidR="000357F4" w:rsidRPr="00247DB9" w:rsidRDefault="000357F4" w:rsidP="00247DB9">
      <w:pPr>
        <w:pStyle w:val="Txtpucegras"/>
      </w:pPr>
      <w:r>
        <w:t>[...] expresiones orales, incluido el idioma como vehículo del patrimonio cultural inmaterial;</w:t>
      </w:r>
    </w:p>
    <w:p w14:paraId="4D494B06" w14:textId="77777777" w:rsidR="000357F4" w:rsidRPr="00247DB9" w:rsidRDefault="000357F4" w:rsidP="00247DB9">
      <w:pPr>
        <w:pStyle w:val="Txtpucegras"/>
      </w:pPr>
      <w:r>
        <w:t xml:space="preserve">artes del espectáculo; </w:t>
      </w:r>
    </w:p>
    <w:p w14:paraId="0FD010DB" w14:textId="45D761D1" w:rsidR="000357F4" w:rsidRPr="00247DB9" w:rsidRDefault="000357F4" w:rsidP="00247DB9">
      <w:pPr>
        <w:pStyle w:val="Txtpucegras"/>
      </w:pPr>
      <w:r>
        <w:t>usos socia</w:t>
      </w:r>
      <w:r w:rsidR="004C51E1">
        <w:t>les, rituales y actos festivos;</w:t>
      </w:r>
    </w:p>
    <w:p w14:paraId="3C2355B6" w14:textId="77777777" w:rsidR="000357F4" w:rsidRPr="00247DB9" w:rsidRDefault="000357F4" w:rsidP="00247DB9">
      <w:pPr>
        <w:pStyle w:val="Txtpucegras"/>
      </w:pPr>
      <w:r>
        <w:t>conocimientos y usos relacionados con la naturaleza y el universo;</w:t>
      </w:r>
    </w:p>
    <w:p w14:paraId="228AAEF5" w14:textId="67A84DE8" w:rsidR="000357F4" w:rsidRPr="00247DB9" w:rsidRDefault="000357F4" w:rsidP="00247DB9">
      <w:pPr>
        <w:pStyle w:val="Txtpucegras"/>
      </w:pPr>
      <w:r>
        <w:t>técnicas artesanales tradicionales.</w:t>
      </w:r>
    </w:p>
    <w:p w14:paraId="29AAEC5E" w14:textId="72D057D4" w:rsidR="000357F4" w:rsidRPr="00247DB9" w:rsidRDefault="000357F4" w:rsidP="00247DB9">
      <w:pPr>
        <w:pStyle w:val="Texte1"/>
      </w:pPr>
      <w:r>
        <w:t xml:space="preserve">Es posible agregar otras categorías específicas de orden local, como por ejemplo las siguientes: juegos tradicionales, artes culinarias, conocimientos locales, tecnologías tradicionales, </w:t>
      </w:r>
      <w:r w:rsidR="004C51E1">
        <w:t xml:space="preserve">productos </w:t>
      </w:r>
      <w:r>
        <w:t>textiles tradicionales, atuendos tradicionales, etc.</w:t>
      </w:r>
    </w:p>
    <w:p w14:paraId="1D3AA47F" w14:textId="5BCAE881" w:rsidR="000357F4" w:rsidRPr="00247DB9" w:rsidRDefault="000357F4" w:rsidP="00247DB9">
      <w:pPr>
        <w:pStyle w:val="Texte1"/>
        <w:spacing w:before="240"/>
      </w:pPr>
      <w:r>
        <w:t xml:space="preserve">Los </w:t>
      </w:r>
      <w:r>
        <w:rPr>
          <w:b/>
          <w:u w:val="single"/>
        </w:rPr>
        <w:t>criterios de inclusión</w:t>
      </w:r>
      <w:r>
        <w:t xml:space="preserve"> con frecuencia incluyen lo siguiente:</w:t>
      </w:r>
    </w:p>
    <w:p w14:paraId="6DC56783" w14:textId="2CCEE07B" w:rsidR="000357F4" w:rsidRPr="00247DB9" w:rsidRDefault="000357F4" w:rsidP="00247DB9">
      <w:pPr>
        <w:pStyle w:val="Txtpucegras"/>
        <w:rPr>
          <w:noProof/>
        </w:rPr>
      </w:pPr>
      <w:r>
        <w:t xml:space="preserve">Se engloba en la definición de un elemento del PCI </w:t>
      </w:r>
      <w:r w:rsidR="004C51E1">
        <w:t>conforme a</w:t>
      </w:r>
      <w:r>
        <w:t xml:space="preserve"> lo establecido en el artículo 2 de la Convención o según lo dispue</w:t>
      </w:r>
      <w:r w:rsidR="004C51E1">
        <w:t>sto por la legislación nacional.</w:t>
      </w:r>
      <w:r>
        <w:t xml:space="preserve"> </w:t>
      </w:r>
    </w:p>
    <w:p w14:paraId="49210274" w14:textId="7D81F9F9" w:rsidR="000357F4" w:rsidRPr="00247DB9" w:rsidRDefault="000357F4" w:rsidP="00247DB9">
      <w:pPr>
        <w:pStyle w:val="Txtpucegras"/>
      </w:pPr>
      <w:r>
        <w:t>Guarda relación con uno o más ámbitos del PCI (enumerados para</w:t>
      </w:r>
      <w:r w:rsidR="004C51E1">
        <w:t xml:space="preserve"> la confección de inventarios).</w:t>
      </w:r>
    </w:p>
    <w:p w14:paraId="1267EB58" w14:textId="77777777" w:rsidR="000357F4" w:rsidRPr="00247DB9" w:rsidRDefault="000357F4" w:rsidP="00247DB9">
      <w:pPr>
        <w:pStyle w:val="Txtpucegras"/>
      </w:pPr>
      <w:r>
        <w:t xml:space="preserve">Existen exponentes vivos y comunidades depositarias de las tradiciones. </w:t>
      </w:r>
    </w:p>
    <w:p w14:paraId="37BC4238" w14:textId="77777777" w:rsidR="000357F4" w:rsidRPr="00247DB9" w:rsidRDefault="000357F4" w:rsidP="00247DB9">
      <w:pPr>
        <w:pStyle w:val="Txtpucegras"/>
      </w:pPr>
      <w:r>
        <w:t>La continuidad histórica o el “arraigo en el pasado”; es decir, practicado al menos por 2 o 3 generaciones.</w:t>
      </w:r>
    </w:p>
    <w:p w14:paraId="4C454179" w14:textId="77777777" w:rsidR="000357F4" w:rsidRPr="00247DB9" w:rsidRDefault="000357F4" w:rsidP="00247DB9">
      <w:pPr>
        <w:pStyle w:val="Txtpucegras"/>
      </w:pPr>
      <w:r>
        <w:t xml:space="preserve">El reconocimiento local o el “arraigo en el lugar” fuertemente vinculado a las comunidades locales y lugares. </w:t>
      </w:r>
    </w:p>
    <w:p w14:paraId="17EDA4B6" w14:textId="77777777" w:rsidR="000357F4" w:rsidRPr="00247DB9" w:rsidRDefault="000357F4" w:rsidP="00247DB9">
      <w:pPr>
        <w:pStyle w:val="Txtpucegras"/>
      </w:pPr>
      <w:r>
        <w:t xml:space="preserve">Las comunidades, grupos y, en algunos casos, los individuos lo reconocen como parte de su patrimonio. </w:t>
      </w:r>
    </w:p>
    <w:p w14:paraId="12D4A739" w14:textId="77777777" w:rsidR="000357F4" w:rsidRPr="00247DB9" w:rsidRDefault="000357F4" w:rsidP="00247DB9">
      <w:pPr>
        <w:pStyle w:val="Txtpucegras"/>
      </w:pPr>
      <w:r>
        <w:t>Es transmitido de generación en generación con vitalidad continua de transmisión en el seno de la comunidad.</w:t>
      </w:r>
    </w:p>
    <w:p w14:paraId="031FE5AA" w14:textId="77777777" w:rsidR="000357F4" w:rsidRPr="00247DB9" w:rsidRDefault="000357F4" w:rsidP="00247DB9">
      <w:pPr>
        <w:pStyle w:val="Txtpucegras"/>
      </w:pPr>
      <w:r>
        <w:t>Pertenece a un grupo de población específico, por ejemplo, minorías, grupos étnicos, etc.</w:t>
      </w:r>
    </w:p>
    <w:p w14:paraId="79BA67D2" w14:textId="47340D6A" w:rsidR="000357F4" w:rsidRPr="00247DB9" w:rsidRDefault="000357F4" w:rsidP="00247DB9">
      <w:pPr>
        <w:pStyle w:val="Txtpucegras"/>
      </w:pPr>
      <w:r>
        <w:t xml:space="preserve">Consentimiento claro, previo e informado de los depositarios y la comunidad participante, respaldado por la documentación </w:t>
      </w:r>
      <w:r w:rsidR="004C51E1">
        <w:t>prevista para tal efecto</w:t>
      </w:r>
      <w:r>
        <w:t>.</w:t>
      </w:r>
    </w:p>
    <w:p w14:paraId="7F2DE4EA" w14:textId="77777777" w:rsidR="000357F4" w:rsidRPr="00247DB9" w:rsidRDefault="000357F4" w:rsidP="00247DB9">
      <w:pPr>
        <w:pStyle w:val="Txtpucegras"/>
      </w:pPr>
      <w:r>
        <w:t xml:space="preserve">La capacidad de las medidas y planes de salvaguardia para los elementos. </w:t>
      </w:r>
    </w:p>
    <w:p w14:paraId="758164F7" w14:textId="1977147C" w:rsidR="000357F4" w:rsidRPr="00247DB9" w:rsidRDefault="000357F4" w:rsidP="00247DB9">
      <w:pPr>
        <w:pStyle w:val="Txtpucegras"/>
      </w:pPr>
      <w:r>
        <w:lastRenderedPageBreak/>
        <w:t xml:space="preserve">Debe </w:t>
      </w:r>
      <w:r w:rsidR="004C51E1">
        <w:t>observar</w:t>
      </w:r>
      <w:r>
        <w:t xml:space="preserve"> las normas internacionales de derechos humanos.</w:t>
      </w:r>
    </w:p>
    <w:p w14:paraId="000B571D" w14:textId="7150A13E" w:rsidR="000357F4" w:rsidRPr="00247DB9" w:rsidRDefault="000357F4" w:rsidP="00247DB9">
      <w:pPr>
        <w:pStyle w:val="Texte1"/>
        <w:spacing w:before="240"/>
      </w:pPr>
      <w:r>
        <w:rPr>
          <w:b/>
          <w:u w:val="single"/>
        </w:rPr>
        <w:t>Formato y contenido</w:t>
      </w:r>
      <w:r>
        <w:t>:</w:t>
      </w:r>
      <w:r>
        <w:rPr>
          <w:i/>
        </w:rPr>
        <w:t xml:space="preserve"> </w:t>
      </w:r>
      <w:r>
        <w:t>Los formularios para la confección de inventarios en general contienen distintos campos para completar y en ellos se registran los datos recolectados durante e</w:t>
      </w:r>
      <w:r w:rsidR="004C51E1">
        <w:t xml:space="preserve">l trabajo sobre el terreno. </w:t>
      </w:r>
      <w:r>
        <w:t xml:space="preserve">La información típica exigida a este respecto podría incluir la siguiente: </w:t>
      </w:r>
    </w:p>
    <w:p w14:paraId="4E199EEB" w14:textId="0DEFB91C" w:rsidR="000357F4" w:rsidRPr="00247DB9" w:rsidRDefault="000357F4" w:rsidP="00247DB9">
      <w:pPr>
        <w:pStyle w:val="Texte1"/>
        <w:spacing w:before="120"/>
      </w:pPr>
      <w:r>
        <w:t>a) Identificación del elemento y su ubicación geográfica:</w:t>
      </w:r>
    </w:p>
    <w:p w14:paraId="47F27DBB" w14:textId="18820369" w:rsidR="000357F4" w:rsidRPr="00247DB9" w:rsidRDefault="004C51E1" w:rsidP="00247DB9">
      <w:pPr>
        <w:pStyle w:val="Txtpucegras"/>
        <w:numPr>
          <w:ilvl w:val="1"/>
          <w:numId w:val="28"/>
        </w:numPr>
      </w:pPr>
      <w:r>
        <w:t>categoría y ámbito del elemento</w:t>
      </w:r>
    </w:p>
    <w:p w14:paraId="3CCE46AD" w14:textId="3E608959" w:rsidR="000357F4" w:rsidRPr="00247DB9" w:rsidRDefault="000357F4" w:rsidP="00247DB9">
      <w:pPr>
        <w:pStyle w:val="Txtpucegras"/>
        <w:numPr>
          <w:ilvl w:val="1"/>
          <w:numId w:val="28"/>
        </w:numPr>
      </w:pPr>
      <w:r>
        <w:t xml:space="preserve">nombre y rol o función de la persona o grupo de la comunidad </w:t>
      </w:r>
      <w:r w:rsidR="004C51E1">
        <w:t>interesada</w:t>
      </w:r>
    </w:p>
    <w:p w14:paraId="507A2939" w14:textId="77777777" w:rsidR="000357F4" w:rsidRPr="00247DB9" w:rsidRDefault="000357F4" w:rsidP="00247DB9">
      <w:pPr>
        <w:pStyle w:val="Txtpucegras"/>
        <w:numPr>
          <w:ilvl w:val="1"/>
          <w:numId w:val="28"/>
        </w:numPr>
      </w:pPr>
      <w:r>
        <w:t>ubicación del elemento, incluidos posiblemente indicadores territoriales de orden étnico.</w:t>
      </w:r>
    </w:p>
    <w:p w14:paraId="798C4965" w14:textId="6CF18148" w:rsidR="000357F4" w:rsidRPr="00247DB9" w:rsidRDefault="000357F4" w:rsidP="00247DB9">
      <w:pPr>
        <w:pStyle w:val="Texte1"/>
        <w:spacing w:before="120"/>
      </w:pPr>
      <w:r>
        <w:t>b) Descripción del elemento y su espacio:</w:t>
      </w:r>
    </w:p>
    <w:p w14:paraId="15E891CB" w14:textId="06D8988A" w:rsidR="000357F4" w:rsidRPr="00247DB9" w:rsidRDefault="000357F4" w:rsidP="00247DB9">
      <w:pPr>
        <w:pStyle w:val="Txtpucegras"/>
        <w:numPr>
          <w:ilvl w:val="1"/>
          <w:numId w:val="28"/>
        </w:numPr>
      </w:pPr>
      <w:r>
        <w:t>periodicidad de su representación o interpretación</w:t>
      </w:r>
    </w:p>
    <w:p w14:paraId="162DD404" w14:textId="1D2A775F" w:rsidR="000357F4" w:rsidRPr="00247DB9" w:rsidRDefault="00247DB9" w:rsidP="00247DB9">
      <w:pPr>
        <w:pStyle w:val="Txtpucegras"/>
        <w:numPr>
          <w:ilvl w:val="1"/>
          <w:numId w:val="28"/>
        </w:numPr>
      </w:pPr>
      <w:r>
        <w:t>lugar de representación</w:t>
      </w:r>
    </w:p>
    <w:p w14:paraId="772B6AED" w14:textId="77777777" w:rsidR="000357F4" w:rsidRPr="00247DB9" w:rsidRDefault="000357F4" w:rsidP="00247DB9">
      <w:pPr>
        <w:pStyle w:val="Txtpucegras"/>
        <w:numPr>
          <w:ilvl w:val="1"/>
          <w:numId w:val="28"/>
        </w:numPr>
      </w:pPr>
      <w:r>
        <w:t xml:space="preserve">elementos materiales asociados </w:t>
      </w:r>
    </w:p>
    <w:p w14:paraId="57B1FF41" w14:textId="15AE4A1F" w:rsidR="000357F4" w:rsidRPr="00247DB9" w:rsidRDefault="00247DB9" w:rsidP="00247DB9">
      <w:pPr>
        <w:pStyle w:val="Txtpucegras"/>
        <w:numPr>
          <w:ilvl w:val="1"/>
          <w:numId w:val="28"/>
        </w:numPr>
      </w:pPr>
      <w:r>
        <w:t>materiales empleados</w:t>
      </w:r>
    </w:p>
    <w:p w14:paraId="629A55E0" w14:textId="6C1FD4E8" w:rsidR="000357F4" w:rsidRPr="00247DB9" w:rsidRDefault="00247DB9" w:rsidP="00247DB9">
      <w:pPr>
        <w:pStyle w:val="Txtpucegras"/>
        <w:numPr>
          <w:ilvl w:val="1"/>
          <w:numId w:val="28"/>
        </w:numPr>
      </w:pPr>
      <w:r>
        <w:t>todo otro producto</w:t>
      </w:r>
    </w:p>
    <w:p w14:paraId="55DD567A" w14:textId="53E909E4" w:rsidR="000357F4" w:rsidRPr="00247DB9" w:rsidRDefault="000357F4" w:rsidP="00247DB9">
      <w:pPr>
        <w:pStyle w:val="Txtpucegras"/>
        <w:numPr>
          <w:ilvl w:val="1"/>
          <w:numId w:val="28"/>
        </w:numPr>
      </w:pPr>
      <w:r>
        <w:t>modos de transmisión</w:t>
      </w:r>
    </w:p>
    <w:p w14:paraId="274B79F0" w14:textId="5C100BC2" w:rsidR="000357F4" w:rsidRPr="00B2157A" w:rsidRDefault="000357F4" w:rsidP="00247DB9">
      <w:pPr>
        <w:pStyle w:val="Texte1"/>
        <w:spacing w:before="120"/>
      </w:pPr>
      <w:r>
        <w:t>c) Justificación de la inscripción y valor patrimonial:</w:t>
      </w:r>
    </w:p>
    <w:p w14:paraId="1591AA15" w14:textId="7AE5115A" w:rsidR="000357F4" w:rsidRPr="00247DB9" w:rsidRDefault="00247DB9" w:rsidP="00247DB9">
      <w:pPr>
        <w:pStyle w:val="Txtpucegras"/>
        <w:numPr>
          <w:ilvl w:val="1"/>
          <w:numId w:val="28"/>
        </w:numPr>
      </w:pPr>
      <w:r>
        <w:t>importancia para la comunidad</w:t>
      </w:r>
    </w:p>
    <w:p w14:paraId="10369C75" w14:textId="24B583B6" w:rsidR="000357F4" w:rsidRPr="00247DB9" w:rsidRDefault="000357F4" w:rsidP="00247DB9">
      <w:pPr>
        <w:pStyle w:val="Txtpucegras"/>
        <w:numPr>
          <w:ilvl w:val="1"/>
          <w:numId w:val="28"/>
        </w:numPr>
      </w:pPr>
      <w:r>
        <w:t>ventajas y resultados asociados a la práctica</w:t>
      </w:r>
    </w:p>
    <w:p w14:paraId="1A1CEA28" w14:textId="2961D38D" w:rsidR="000357F4" w:rsidRPr="00247DB9" w:rsidRDefault="000357F4" w:rsidP="00247DB9">
      <w:pPr>
        <w:pStyle w:val="Texte1"/>
        <w:spacing w:before="120"/>
      </w:pPr>
      <w:r>
        <w:t>d) Información histórica; es decir, la historia general y específica de:</w:t>
      </w:r>
    </w:p>
    <w:p w14:paraId="624FB61A" w14:textId="0B814D94" w:rsidR="000357F4" w:rsidRPr="00247DB9" w:rsidRDefault="000357F4" w:rsidP="00247DB9">
      <w:pPr>
        <w:pStyle w:val="Txtpucegras"/>
        <w:numPr>
          <w:ilvl w:val="1"/>
          <w:numId w:val="28"/>
        </w:numPr>
      </w:pPr>
      <w:r>
        <w:t>la comunidad, grupo o individuo</w:t>
      </w:r>
    </w:p>
    <w:p w14:paraId="2709FEC7" w14:textId="39B2B940" w:rsidR="000357F4" w:rsidRPr="00247DB9" w:rsidRDefault="000357F4" w:rsidP="00247DB9">
      <w:pPr>
        <w:pStyle w:val="Txtpucegras"/>
        <w:numPr>
          <w:ilvl w:val="1"/>
          <w:numId w:val="28"/>
        </w:numPr>
      </w:pPr>
      <w:r>
        <w:t>la forma de expresión</w:t>
      </w:r>
    </w:p>
    <w:p w14:paraId="457FF162" w14:textId="201D6C97" w:rsidR="000357F4" w:rsidRPr="00247DB9" w:rsidRDefault="00247DB9" w:rsidP="00247DB9">
      <w:pPr>
        <w:pStyle w:val="Txtpucegras"/>
        <w:numPr>
          <w:ilvl w:val="1"/>
          <w:numId w:val="28"/>
        </w:numPr>
      </w:pPr>
      <w:r>
        <w:t>el espacio cultural</w:t>
      </w:r>
    </w:p>
    <w:p w14:paraId="585C1551" w14:textId="0513441C" w:rsidR="000357F4" w:rsidRPr="00247DB9" w:rsidRDefault="000357F4" w:rsidP="00247DB9">
      <w:pPr>
        <w:pStyle w:val="Texte1"/>
        <w:spacing w:before="120"/>
      </w:pPr>
      <w:r>
        <w:t>e) Viabilidad, riesgos y medidas de salvaguardia adoptadas</w:t>
      </w:r>
    </w:p>
    <w:p w14:paraId="2FE2643D" w14:textId="7C49ED16" w:rsidR="000357F4" w:rsidRPr="00247DB9" w:rsidRDefault="000357F4" w:rsidP="00247DB9">
      <w:pPr>
        <w:pStyle w:val="Texte1"/>
        <w:spacing w:before="120"/>
      </w:pPr>
      <w:r>
        <w:t>f) Información técnica (fechas y lugar de investigación, fecha del inventario, nombre(s) del/los investigador(es), etc.)</w:t>
      </w:r>
    </w:p>
    <w:p w14:paraId="3AAAD392" w14:textId="6DC8D2D7" w:rsidR="000357F4" w:rsidRPr="00247DB9" w:rsidRDefault="000357F4" w:rsidP="00247DB9">
      <w:pPr>
        <w:pStyle w:val="Texte1"/>
        <w:spacing w:before="240"/>
      </w:pPr>
      <w:r>
        <w:t>En caso de que el elemento contenga información sensible, el acceso a los datos podría quedar restringido.</w:t>
      </w:r>
      <w:bookmarkStart w:id="3" w:name="_GoBack"/>
      <w:bookmarkEnd w:id="3"/>
    </w:p>
    <w:sectPr w:rsidR="000357F4" w:rsidRPr="00247DB9" w:rsidSect="00C844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948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390F" w14:textId="77777777" w:rsidR="00D20693" w:rsidRDefault="00D20693" w:rsidP="000A699C">
      <w:pPr>
        <w:spacing w:before="0" w:after="0"/>
      </w:pPr>
      <w:r>
        <w:separator/>
      </w:r>
    </w:p>
  </w:endnote>
  <w:endnote w:type="continuationSeparator" w:id="0">
    <w:p w14:paraId="5D46C809" w14:textId="77777777" w:rsidR="00D20693" w:rsidRDefault="00D20693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77C4E447" w:rsidR="00044005" w:rsidRDefault="0005440C" w:rsidP="00C844C8">
    <w:pPr>
      <w:pStyle w:val="Footer"/>
    </w:pPr>
    <w:r>
      <w:rPr>
        <w:noProof/>
        <w:lang w:eastAsia="ja-JP"/>
      </w:rPr>
      <w:drawing>
        <wp:anchor distT="0" distB="0" distL="114300" distR="114300" simplePos="0" relativeHeight="251786240" behindDoc="0" locked="0" layoutInCell="1" allowOverlap="1" wp14:anchorId="577674D9" wp14:editId="62769631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4C8">
      <w:rPr>
        <w:rFonts w:asciiTheme="minorBidi" w:hAnsiTheme="minorBidi"/>
        <w:noProof/>
        <w:szCs w:val="16"/>
        <w:lang w:val="fr-FR" w:eastAsia="ja-JP" w:bidi="ar-SA"/>
      </w:rPr>
      <w:drawing>
        <wp:anchor distT="0" distB="0" distL="114300" distR="114300" simplePos="0" relativeHeight="251778048" behindDoc="0" locked="0" layoutInCell="1" allowOverlap="1" wp14:anchorId="1AB606CE" wp14:editId="31940C75">
          <wp:simplePos x="0" y="0"/>
          <wp:positionH relativeFrom="column">
            <wp:posOffset>-140837</wp:posOffset>
          </wp:positionH>
          <wp:positionV relativeFrom="paragraph">
            <wp:posOffset>-274983</wp:posOffset>
          </wp:positionV>
          <wp:extent cx="956310" cy="693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</w:r>
    <w:r w:rsidR="00044005">
      <w:tab/>
      <w:t>U049-v1.0-HO2-ES</w:t>
    </w:r>
    <w:r w:rsidR="00044005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1F22F225" w:rsidR="00044005" w:rsidRPr="007D60D5" w:rsidRDefault="00044005">
    <w:pPr>
      <w:pStyle w:val="Footer"/>
    </w:pPr>
    <w:r>
      <w:t>U006-v1.0-HO-ES</w:t>
    </w:r>
    <w:r>
      <w:tab/>
      <w:t>© UNESCO • No se debe reproducir sin permiso</w:t>
    </w:r>
    <w:r>
      <w:tab/>
    </w:r>
    <w:r>
      <w:rPr>
        <w:noProof/>
        <w:lang w:val="fr-FR" w:eastAsia="ja-JP" w:bidi="ar-SA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E157" w14:textId="30627E18" w:rsidR="005B432B" w:rsidRDefault="0005440C" w:rsidP="00C844C8">
    <w:pPr>
      <w:pStyle w:val="Footer"/>
      <w:tabs>
        <w:tab w:val="left" w:pos="2750"/>
      </w:tabs>
    </w:pPr>
    <w:r>
      <w:rPr>
        <w:noProof/>
        <w:lang w:eastAsia="ja-JP"/>
      </w:rPr>
      <w:drawing>
        <wp:anchor distT="0" distB="0" distL="114300" distR="114300" simplePos="0" relativeHeight="251784192" behindDoc="0" locked="0" layoutInCell="1" allowOverlap="1" wp14:anchorId="4D8C3928" wp14:editId="5F4F9CAC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4C8">
      <w:rPr>
        <w:rFonts w:asciiTheme="minorBidi" w:hAnsiTheme="minorBidi"/>
        <w:noProof/>
        <w:szCs w:val="16"/>
        <w:lang w:val="fr-FR" w:eastAsia="ja-JP" w:bidi="ar-SA"/>
      </w:rPr>
      <w:drawing>
        <wp:anchor distT="0" distB="0" distL="114300" distR="114300" simplePos="0" relativeHeight="251776000" behindDoc="0" locked="0" layoutInCell="1" allowOverlap="1" wp14:anchorId="14F530C7" wp14:editId="57115A6C">
          <wp:simplePos x="0" y="0"/>
          <wp:positionH relativeFrom="column">
            <wp:posOffset>4679874</wp:posOffset>
          </wp:positionH>
          <wp:positionV relativeFrom="paragraph">
            <wp:posOffset>-272415</wp:posOffset>
          </wp:positionV>
          <wp:extent cx="95631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7F4">
      <w:t>U049-v1.0-HO2-ES</w:t>
    </w:r>
    <w:r w:rsidR="000357F4">
      <w:tab/>
    </w:r>
    <w:r w:rsidR="002B0363">
      <w:tab/>
    </w:r>
    <w:r w:rsidR="000357F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02D9" w14:textId="77777777" w:rsidR="00D20693" w:rsidRDefault="00D20693" w:rsidP="000A699C">
      <w:pPr>
        <w:spacing w:before="0" w:after="0"/>
      </w:pPr>
      <w:r>
        <w:separator/>
      </w:r>
    </w:p>
  </w:footnote>
  <w:footnote w:type="continuationSeparator" w:id="0">
    <w:p w14:paraId="01EA6600" w14:textId="77777777" w:rsidR="00D20693" w:rsidRDefault="00D20693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1370A398" w:rsidR="00044005" w:rsidRDefault="00044005" w:rsidP="00247DB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440C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rStyle w:val="PageNumber"/>
      </w:rPr>
      <w:t>Unidad 49: Un enfoque sensible al género para la salvaguardia del PCI</w:t>
    </w:r>
    <w:r>
      <w:tab/>
      <w:t>Folleto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65F6AB01" w:rsidR="00044005" w:rsidRPr="004A4AD6" w:rsidRDefault="00044005" w:rsidP="00D25BBB">
    <w:pPr>
      <w:pStyle w:val="Header"/>
    </w:pPr>
    <w:r>
      <w:t>Folleto</w:t>
    </w:r>
    <w:r>
      <w:tab/>
    </w:r>
    <w:r>
      <w:rPr>
        <w:rStyle w:val="PageNumber"/>
      </w:rPr>
      <w:t xml:space="preserve">Unidad 6: Identificación y confección de inventarios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2F4594A5" w:rsidR="00044005" w:rsidRPr="002305AA" w:rsidRDefault="00254C5C">
    <w:pPr>
      <w:pStyle w:val="Header"/>
    </w:pPr>
    <w: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95F76"/>
    <w:multiLevelType w:val="hybridMultilevel"/>
    <w:tmpl w:val="04800470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3CF26346"/>
    <w:multiLevelType w:val="hybridMultilevel"/>
    <w:tmpl w:val="7CA8D186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187CCB"/>
    <w:multiLevelType w:val="hybridMultilevel"/>
    <w:tmpl w:val="ACD60806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AE1346"/>
    <w:multiLevelType w:val="hybridMultilevel"/>
    <w:tmpl w:val="4E5C766C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1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5" w15:restartNumberingAfterBreak="0">
    <w:nsid w:val="6AC3141E"/>
    <w:multiLevelType w:val="hybridMultilevel"/>
    <w:tmpl w:val="12DA8C02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341B57"/>
    <w:multiLevelType w:val="hybridMultilevel"/>
    <w:tmpl w:val="07DE36A2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7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4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5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9"/>
  </w:num>
  <w:num w:numId="3">
    <w:abstractNumId w:val="23"/>
  </w:num>
  <w:num w:numId="4">
    <w:abstractNumId w:val="85"/>
  </w:num>
  <w:num w:numId="5">
    <w:abstractNumId w:val="11"/>
  </w:num>
  <w:num w:numId="6">
    <w:abstractNumId w:val="61"/>
  </w:num>
  <w:num w:numId="7">
    <w:abstractNumId w:val="60"/>
  </w:num>
  <w:num w:numId="8">
    <w:abstractNumId w:val="9"/>
  </w:num>
  <w:num w:numId="9">
    <w:abstractNumId w:val="29"/>
  </w:num>
  <w:num w:numId="10">
    <w:abstractNumId w:val="8"/>
  </w:num>
  <w:num w:numId="11">
    <w:abstractNumId w:val="14"/>
  </w:num>
  <w:num w:numId="12">
    <w:abstractNumId w:val="72"/>
  </w:num>
  <w:num w:numId="13">
    <w:abstractNumId w:val="82"/>
  </w:num>
  <w:num w:numId="14">
    <w:abstractNumId w:val="31"/>
  </w:num>
  <w:num w:numId="15">
    <w:abstractNumId w:val="75"/>
  </w:num>
  <w:num w:numId="16">
    <w:abstractNumId w:val="18"/>
  </w:num>
  <w:num w:numId="17">
    <w:abstractNumId w:val="46"/>
  </w:num>
  <w:num w:numId="18">
    <w:abstractNumId w:val="40"/>
  </w:num>
  <w:num w:numId="19">
    <w:abstractNumId w:val="73"/>
  </w:num>
  <w:num w:numId="20">
    <w:abstractNumId w:val="53"/>
  </w:num>
  <w:num w:numId="21">
    <w:abstractNumId w:val="10"/>
  </w:num>
  <w:num w:numId="22">
    <w:abstractNumId w:val="5"/>
  </w:num>
  <w:num w:numId="23">
    <w:abstractNumId w:val="66"/>
  </w:num>
  <w:num w:numId="24">
    <w:abstractNumId w:val="42"/>
  </w:num>
  <w:num w:numId="25">
    <w:abstractNumId w:val="50"/>
  </w:num>
  <w:num w:numId="26">
    <w:abstractNumId w:val="22"/>
  </w:num>
  <w:num w:numId="27">
    <w:abstractNumId w:val="25"/>
  </w:num>
  <w:num w:numId="28">
    <w:abstractNumId w:val="41"/>
  </w:num>
  <w:num w:numId="29">
    <w:abstractNumId w:val="43"/>
  </w:num>
  <w:num w:numId="30">
    <w:abstractNumId w:val="57"/>
  </w:num>
  <w:num w:numId="31">
    <w:abstractNumId w:val="74"/>
  </w:num>
  <w:num w:numId="32">
    <w:abstractNumId w:val="77"/>
  </w:num>
  <w:num w:numId="33">
    <w:abstractNumId w:val="20"/>
  </w:num>
  <w:num w:numId="34">
    <w:abstractNumId w:val="0"/>
  </w:num>
  <w:num w:numId="35">
    <w:abstractNumId w:val="81"/>
  </w:num>
  <w:num w:numId="36">
    <w:abstractNumId w:val="28"/>
  </w:num>
  <w:num w:numId="37">
    <w:abstractNumId w:val="69"/>
  </w:num>
  <w:num w:numId="38">
    <w:abstractNumId w:val="81"/>
  </w:num>
  <w:num w:numId="39">
    <w:abstractNumId w:val="2"/>
  </w:num>
  <w:num w:numId="40">
    <w:abstractNumId w:val="63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5"/>
  </w:num>
  <w:num w:numId="44">
    <w:abstractNumId w:val="80"/>
  </w:num>
  <w:num w:numId="45">
    <w:abstractNumId w:val="32"/>
  </w:num>
  <w:num w:numId="46">
    <w:abstractNumId w:val="68"/>
  </w:num>
  <w:num w:numId="47">
    <w:abstractNumId w:val="32"/>
    <w:lvlOverride w:ilvl="0">
      <w:startOverride w:val="1"/>
    </w:lvlOverride>
  </w:num>
  <w:num w:numId="48">
    <w:abstractNumId w:val="43"/>
  </w:num>
  <w:num w:numId="49">
    <w:abstractNumId w:val="78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81"/>
  </w:num>
  <w:num w:numId="54">
    <w:abstractNumId w:val="81"/>
  </w:num>
  <w:num w:numId="55">
    <w:abstractNumId w:val="81"/>
  </w:num>
  <w:num w:numId="56">
    <w:abstractNumId w:val="81"/>
  </w:num>
  <w:num w:numId="57">
    <w:abstractNumId w:val="81"/>
  </w:num>
  <w:num w:numId="58">
    <w:abstractNumId w:val="86"/>
  </w:num>
  <w:num w:numId="59">
    <w:abstractNumId w:val="47"/>
  </w:num>
  <w:num w:numId="60">
    <w:abstractNumId w:val="4"/>
  </w:num>
  <w:num w:numId="61">
    <w:abstractNumId w:val="47"/>
    <w:lvlOverride w:ilvl="0">
      <w:startOverride w:val="1"/>
    </w:lvlOverride>
  </w:num>
  <w:num w:numId="62">
    <w:abstractNumId w:val="47"/>
  </w:num>
  <w:num w:numId="63">
    <w:abstractNumId w:val="47"/>
  </w:num>
  <w:num w:numId="64">
    <w:abstractNumId w:val="47"/>
  </w:num>
  <w:num w:numId="65">
    <w:abstractNumId w:val="47"/>
  </w:num>
  <w:num w:numId="66">
    <w:abstractNumId w:val="47"/>
  </w:num>
  <w:num w:numId="67">
    <w:abstractNumId w:val="47"/>
  </w:num>
  <w:num w:numId="68">
    <w:abstractNumId w:val="48"/>
  </w:num>
  <w:num w:numId="69">
    <w:abstractNumId w:val="47"/>
    <w:lvlOverride w:ilvl="0">
      <w:startOverride w:val="1"/>
    </w:lvlOverride>
  </w:num>
  <w:num w:numId="70">
    <w:abstractNumId w:val="47"/>
  </w:num>
  <w:num w:numId="71">
    <w:abstractNumId w:val="47"/>
  </w:num>
  <w:num w:numId="72">
    <w:abstractNumId w:val="47"/>
  </w:num>
  <w:num w:numId="73">
    <w:abstractNumId w:val="47"/>
  </w:num>
  <w:num w:numId="74">
    <w:abstractNumId w:val="47"/>
  </w:num>
  <w:num w:numId="75">
    <w:abstractNumId w:val="47"/>
  </w:num>
  <w:num w:numId="76">
    <w:abstractNumId w:val="47"/>
  </w:num>
  <w:num w:numId="77">
    <w:abstractNumId w:val="47"/>
  </w:num>
  <w:num w:numId="78">
    <w:abstractNumId w:val="30"/>
  </w:num>
  <w:num w:numId="79">
    <w:abstractNumId w:val="19"/>
  </w:num>
  <w:num w:numId="80">
    <w:abstractNumId w:val="47"/>
    <w:lvlOverride w:ilvl="0">
      <w:startOverride w:val="1"/>
    </w:lvlOverride>
  </w:num>
  <w:num w:numId="81">
    <w:abstractNumId w:val="62"/>
  </w:num>
  <w:num w:numId="82">
    <w:abstractNumId w:val="34"/>
  </w:num>
  <w:num w:numId="83">
    <w:abstractNumId w:val="39"/>
  </w:num>
  <w:num w:numId="84">
    <w:abstractNumId w:val="17"/>
  </w:num>
  <w:num w:numId="85">
    <w:abstractNumId w:val="47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7"/>
    <w:lvlOverride w:ilvl="0">
      <w:startOverride w:val="1"/>
    </w:lvlOverride>
  </w:num>
  <w:num w:numId="89">
    <w:abstractNumId w:val="33"/>
  </w:num>
  <w:num w:numId="90">
    <w:abstractNumId w:val="47"/>
    <w:lvlOverride w:ilvl="0">
      <w:startOverride w:val="1"/>
    </w:lvlOverride>
  </w:num>
  <w:num w:numId="91">
    <w:abstractNumId w:val="6"/>
  </w:num>
  <w:num w:numId="92">
    <w:abstractNumId w:val="51"/>
  </w:num>
  <w:num w:numId="93">
    <w:abstractNumId w:val="59"/>
  </w:num>
  <w:num w:numId="94">
    <w:abstractNumId w:val="56"/>
  </w:num>
  <w:num w:numId="95">
    <w:abstractNumId w:val="47"/>
    <w:lvlOverride w:ilvl="0">
      <w:startOverride w:val="2"/>
    </w:lvlOverride>
  </w:num>
  <w:num w:numId="96">
    <w:abstractNumId w:val="54"/>
  </w:num>
  <w:num w:numId="97">
    <w:abstractNumId w:val="70"/>
  </w:num>
  <w:num w:numId="98">
    <w:abstractNumId w:val="67"/>
  </w:num>
  <w:num w:numId="99">
    <w:abstractNumId w:val="36"/>
  </w:num>
  <w:num w:numId="100">
    <w:abstractNumId w:val="35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9"/>
  </w:num>
  <w:num w:numId="113">
    <w:abstractNumId w:val="84"/>
  </w:num>
  <w:num w:numId="114">
    <w:abstractNumId w:val="76"/>
  </w:num>
  <w:num w:numId="115">
    <w:abstractNumId w:val="35"/>
    <w:lvlOverride w:ilvl="0">
      <w:startOverride w:val="1"/>
    </w:lvlOverride>
  </w:num>
  <w:num w:numId="116">
    <w:abstractNumId w:val="55"/>
  </w:num>
  <w:num w:numId="117">
    <w:abstractNumId w:val="35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5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83"/>
  </w:num>
  <w:num w:numId="128">
    <w:abstractNumId w:val="35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4"/>
  </w:num>
  <w:num w:numId="141">
    <w:abstractNumId w:val="35"/>
    <w:lvlOverride w:ilvl="0">
      <w:startOverride w:val="1"/>
    </w:lvlOverride>
  </w:num>
  <w:num w:numId="142">
    <w:abstractNumId w:val="67"/>
  </w:num>
  <w:num w:numId="143">
    <w:abstractNumId w:val="41"/>
  </w:num>
  <w:num w:numId="144">
    <w:abstractNumId w:val="24"/>
  </w:num>
  <w:num w:numId="145">
    <w:abstractNumId w:val="16"/>
  </w:num>
  <w:num w:numId="146">
    <w:abstractNumId w:val="35"/>
  </w:num>
  <w:num w:numId="147">
    <w:abstractNumId w:val="58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71"/>
  </w:num>
  <w:num w:numId="160">
    <w:abstractNumId w:val="65"/>
  </w:num>
  <w:num w:numId="161">
    <w:abstractNumId w:val="12"/>
  </w:num>
  <w:num w:numId="162">
    <w:abstractNumId w:val="38"/>
  </w:num>
  <w:num w:numId="163">
    <w:abstractNumId w:val="52"/>
  </w:num>
  <w:num w:numId="164">
    <w:abstractNumId w:val="44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7F4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40C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47DB9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363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1E1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A63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4C8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693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E9A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es-ES" w:eastAsia="es-E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es-ES" w:eastAsia="es-E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s-ES" w:eastAsia="es-ES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es-ES" w:eastAsia="es-E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es-ES" w:eastAsia="es-E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es-ES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s-ES" w:eastAsia="es-ES" w:bidi="es-ES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s-ES" w:eastAsia="es-ES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s-ES" w:eastAsia="es-ES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s-ES" w:eastAsia="es-ES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es-ES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es-ES"/>
    </w:rPr>
  </w:style>
  <w:style w:type="paragraph" w:customStyle="1" w:styleId="Txtpucegras">
    <w:name w:val="Txtpucegras"/>
    <w:basedOn w:val="Texte1"/>
    <w:rsid w:val="00247DB9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s-E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s-ES" w:eastAsia="es-E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es-ES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s-E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s-ES"/>
    </w:rPr>
  </w:style>
  <w:style w:type="paragraph" w:customStyle="1" w:styleId="DOa">
    <w:name w:val="DOa"/>
    <w:basedOn w:val="numrationa"/>
    <w:rsid w:val="002915CA"/>
    <w:pPr>
      <w:ind w:left="2325"/>
    </w:p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es-ES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es-ES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es-ES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s-ES" w:eastAsia="es-ES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s-ES" w:eastAsia="es-ES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s-E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s-ES" w:eastAsia="es-ES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es-ES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es-ES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s-ES" w:eastAsia="es-ES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57F4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D7C0-73D3-47FD-B1EC-0D8A711F7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0474A-F1C4-4EDF-B76F-43E0F454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3268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2016-05-17T13:34:00Z</dcterms:created>
  <dcterms:modified xsi:type="dcterms:W3CDTF">2018-03-23T12:56:00Z</dcterms:modified>
</cp:coreProperties>
</file>