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8D02" w14:textId="0E10A758" w:rsidR="009F28BC" w:rsidRPr="004936EF" w:rsidRDefault="009F28BC" w:rsidP="009F28BC">
      <w:pPr>
        <w:pStyle w:val="Chapitre"/>
        <w:rPr>
          <w:lang w:val="en-US"/>
        </w:rPr>
      </w:pPr>
      <w:bookmarkStart w:id="0" w:name="_Toc241229778"/>
      <w:bookmarkStart w:id="1" w:name="_Toc241229982"/>
      <w:bookmarkStart w:id="2" w:name="_Toc242165676"/>
      <w:bookmarkStart w:id="3" w:name="_GoBack"/>
      <w:bookmarkEnd w:id="3"/>
      <w:r w:rsidRPr="002662A9">
        <w:rPr>
          <w:lang w:val="en-US"/>
        </w:rPr>
        <w:t xml:space="preserve">Unit </w:t>
      </w:r>
      <w:r w:rsidR="00075E8E">
        <w:rPr>
          <w:lang w:val="en-US"/>
        </w:rPr>
        <w:t>49</w:t>
      </w:r>
    </w:p>
    <w:p w14:paraId="46C994E5" w14:textId="585D8D39" w:rsidR="006C700E" w:rsidRDefault="006C700E" w:rsidP="006C700E">
      <w:pPr>
        <w:pStyle w:val="HO1"/>
      </w:pPr>
      <w:r w:rsidRPr="00EA4847">
        <w:t>Hand-out</w:t>
      </w:r>
      <w:r w:rsidR="00075E8E">
        <w:t xml:space="preserve"> 9</w:t>
      </w:r>
      <w:r w:rsidRPr="00EA4847">
        <w:t>:</w:t>
      </w:r>
    </w:p>
    <w:bookmarkEnd w:id="0"/>
    <w:bookmarkEnd w:id="1"/>
    <w:bookmarkEnd w:id="2"/>
    <w:p w14:paraId="0A32421E" w14:textId="766FD4DE" w:rsidR="0031587B" w:rsidRDefault="00075E8E" w:rsidP="00C73E9C">
      <w:pPr>
        <w:pStyle w:val="HO2"/>
      </w:pPr>
      <w:r>
        <w:t>An ICH SAfeguarding policy</w:t>
      </w:r>
    </w:p>
    <w:p w14:paraId="774AB2F8" w14:textId="645EA80C" w:rsidR="00075E8E" w:rsidRPr="00B32F11" w:rsidRDefault="00075E8E" w:rsidP="00075E8E">
      <w:pPr>
        <w:pStyle w:val="Texte1"/>
        <w:rPr>
          <w:lang w:val="en-US"/>
        </w:rPr>
      </w:pPr>
      <w:r w:rsidRPr="00B32F11">
        <w:rPr>
          <w:lang w:val="en-US"/>
        </w:rPr>
        <w:t xml:space="preserve">This fictitious policy instrument is </w:t>
      </w:r>
      <w:r w:rsidRPr="00B32F11">
        <w:rPr>
          <w:i/>
          <w:lang w:val="en-US"/>
        </w:rPr>
        <w:t>the National Plan for the Safeguarding of the Intangible Cultural Heritage</w:t>
      </w:r>
      <w:r w:rsidRPr="00B32F11">
        <w:rPr>
          <w:lang w:val="en-US"/>
        </w:rPr>
        <w:t xml:space="preserve"> of </w:t>
      </w:r>
      <w:proofErr w:type="spellStart"/>
      <w:r w:rsidRPr="00B32F11">
        <w:rPr>
          <w:lang w:val="en-US"/>
        </w:rPr>
        <w:t>Firoozestan</w:t>
      </w:r>
      <w:proofErr w:type="spellEnd"/>
      <w:r w:rsidRPr="00B32F11">
        <w:rPr>
          <w:lang w:val="en-US"/>
        </w:rPr>
        <w:t>, a country that has been a Party to the 2003 Convention since 2004. It revised its cultural heritage legislation in 2005 and, subsequently, developed this national safeguarding plan for ICH. The plan has a fifteen-year horizon, with an evaluation conducted every five years. The second five-yearly evaluation is now under way and certain important revisions are being considered to bring this policy document more in line with current thinking about imp</w:t>
      </w:r>
      <w:r w:rsidR="00B32F11">
        <w:rPr>
          <w:lang w:val="en-US"/>
        </w:rPr>
        <w:t>lementing the 2003 Convention.</w:t>
      </w:r>
    </w:p>
    <w:p w14:paraId="07C0D619" w14:textId="30E437ED" w:rsidR="00075E8E" w:rsidRPr="00B32F11" w:rsidRDefault="00075E8E" w:rsidP="00075E8E">
      <w:pPr>
        <w:pStyle w:val="Texte1"/>
        <w:rPr>
          <w:lang w:val="en-US"/>
        </w:rPr>
      </w:pPr>
      <w:r w:rsidRPr="00B32F11">
        <w:rPr>
          <w:lang w:val="en-US"/>
        </w:rPr>
        <w:t>You are a member of an interdisciplinary National ICH Committee composed of members of the State Administration, representatives of the regional governments, external experts and representatives of NGOs and community associations which was created to coordinate and monitor the actions undertaken under the Plan and is now tasked with rev</w:t>
      </w:r>
      <w:r w:rsidR="00B32F11" w:rsidRPr="00B32F11">
        <w:rPr>
          <w:lang w:val="en-US"/>
        </w:rPr>
        <w:t>ising this ICH policy document.</w:t>
      </w:r>
    </w:p>
    <w:p w14:paraId="0BE23641" w14:textId="77777777" w:rsidR="00075E8E" w:rsidRPr="00B32F11" w:rsidRDefault="00075E8E" w:rsidP="00075E8E">
      <w:pPr>
        <w:pStyle w:val="Texte1"/>
        <w:rPr>
          <w:lang w:val="en-US"/>
        </w:rPr>
      </w:pPr>
      <w:r w:rsidRPr="00B32F11">
        <w:rPr>
          <w:lang w:val="en-US"/>
        </w:rPr>
        <w:t xml:space="preserve">One of the newly identified priorities for revising the National Plan is the need to mainstream gender into ICH safeguarding policies and </w:t>
      </w:r>
      <w:proofErr w:type="spellStart"/>
      <w:r w:rsidRPr="00B32F11">
        <w:rPr>
          <w:lang w:val="en-US"/>
        </w:rPr>
        <w:t>programmes</w:t>
      </w:r>
      <w:proofErr w:type="spellEnd"/>
      <w:r w:rsidRPr="00B32F11">
        <w:rPr>
          <w:lang w:val="en-US"/>
        </w:rPr>
        <w:t xml:space="preserve"> and this is the question currently being debated in the Commission, taking into account the on-going work of the Intergovernmental Committee of the 2003 Convention in this area.</w:t>
      </w:r>
    </w:p>
    <w:p w14:paraId="6ADEAFD7" w14:textId="1E61B6F8" w:rsidR="00075E8E" w:rsidRPr="00B32F11" w:rsidRDefault="00075E8E" w:rsidP="00B32F11">
      <w:pPr>
        <w:pStyle w:val="Texte1"/>
        <w:rPr>
          <w:lang w:val="en-US"/>
        </w:rPr>
      </w:pPr>
      <w:r w:rsidRPr="00B32F11">
        <w:rPr>
          <w:lang w:val="en-US"/>
        </w:rPr>
        <w:t>Below, the existing National Plan is presented in brief. You are asked to propose areas in which revisions may be introduced that will better reflect the gender dynamics of ICH and within cultural communities, while bearing in mind the twin objectives of gender equality and sustainable development.</w:t>
      </w:r>
    </w:p>
    <w:p w14:paraId="0EA77AE1" w14:textId="64241F33" w:rsidR="00075E8E" w:rsidRPr="00B32F11" w:rsidRDefault="00075E8E" w:rsidP="00B32F11">
      <w:pPr>
        <w:pStyle w:val="Texte1"/>
        <w:rPr>
          <w:b/>
          <w:bCs/>
          <w:lang w:val="en-US"/>
        </w:rPr>
      </w:pPr>
      <w:r w:rsidRPr="00B32F11">
        <w:rPr>
          <w:b/>
          <w:bCs/>
          <w:i/>
          <w:iCs/>
          <w:lang w:val="en-US"/>
        </w:rPr>
        <w:t>Note for participants</w:t>
      </w:r>
      <w:r w:rsidRPr="00B32F11">
        <w:rPr>
          <w:b/>
          <w:bCs/>
          <w:lang w:val="en-US"/>
        </w:rPr>
        <w:t>:</w:t>
      </w:r>
    </w:p>
    <w:p w14:paraId="4A21B186" w14:textId="2B5D5F20" w:rsidR="00075E8E" w:rsidRPr="00B32F11" w:rsidRDefault="00075E8E" w:rsidP="00075E8E">
      <w:pPr>
        <w:pStyle w:val="Texte1"/>
        <w:rPr>
          <w:lang w:val="en-US"/>
        </w:rPr>
      </w:pPr>
      <w:r w:rsidRPr="00B32F11">
        <w:rPr>
          <w:lang w:val="en-US"/>
        </w:rPr>
        <w:t xml:space="preserve">Central objectives of a gender-aware safeguarding </w:t>
      </w:r>
      <w:r w:rsidR="00B32F11">
        <w:rPr>
          <w:lang w:val="en-US"/>
        </w:rPr>
        <w:t>strategy include the following:</w:t>
      </w:r>
    </w:p>
    <w:p w14:paraId="09A44CD5" w14:textId="6CCCF900" w:rsidR="00075E8E" w:rsidRPr="00B32F11" w:rsidRDefault="00075E8E" w:rsidP="00B32F11">
      <w:pPr>
        <w:pStyle w:val="Txtpucegras"/>
      </w:pPr>
      <w:proofErr w:type="spellStart"/>
      <w:r w:rsidRPr="00B32F11">
        <w:t>Create</w:t>
      </w:r>
      <w:proofErr w:type="spellEnd"/>
      <w:r w:rsidRPr="00B32F11">
        <w:t xml:space="preserve"> a </w:t>
      </w:r>
      <w:proofErr w:type="spellStart"/>
      <w:r w:rsidRPr="00B32F11">
        <w:t>better</w:t>
      </w:r>
      <w:proofErr w:type="spellEnd"/>
      <w:r w:rsidRPr="00B32F11">
        <w:t xml:space="preserve"> </w:t>
      </w:r>
      <w:proofErr w:type="spellStart"/>
      <w:r w:rsidRPr="00B32F11">
        <w:t>awareness</w:t>
      </w:r>
      <w:proofErr w:type="spellEnd"/>
      <w:r w:rsidRPr="00B32F11">
        <w:t xml:space="preserve"> of </w:t>
      </w:r>
      <w:proofErr w:type="spellStart"/>
      <w:r w:rsidRPr="00B32F11">
        <w:t>gender</w:t>
      </w:r>
      <w:proofErr w:type="spellEnd"/>
      <w:r w:rsidRPr="00B32F11">
        <w:t xml:space="preserve"> issues </w:t>
      </w:r>
      <w:proofErr w:type="spellStart"/>
      <w:r w:rsidRPr="00B32F11">
        <w:t>among</w:t>
      </w:r>
      <w:proofErr w:type="spellEnd"/>
      <w:r w:rsidRPr="00B32F11">
        <w:t xml:space="preserve"> </w:t>
      </w:r>
      <w:proofErr w:type="spellStart"/>
      <w:r w:rsidR="00B32F11">
        <w:t>government</w:t>
      </w:r>
      <w:proofErr w:type="spellEnd"/>
      <w:r w:rsidR="00B32F11">
        <w:t xml:space="preserve"> </w:t>
      </w:r>
      <w:proofErr w:type="spellStart"/>
      <w:r w:rsidR="00B32F11">
        <w:t>agencies</w:t>
      </w:r>
      <w:proofErr w:type="spellEnd"/>
      <w:r w:rsidR="00B32F11">
        <w:t xml:space="preserve"> and experts</w:t>
      </w:r>
    </w:p>
    <w:p w14:paraId="7F24311C" w14:textId="29D7F00B" w:rsidR="00075E8E" w:rsidRPr="00B32F11" w:rsidRDefault="00075E8E" w:rsidP="00B32F11">
      <w:pPr>
        <w:pStyle w:val="Txtpucegras"/>
        <w:rPr>
          <w:lang w:val="en-US"/>
        </w:rPr>
      </w:pPr>
      <w:r w:rsidRPr="00B32F11">
        <w:rPr>
          <w:lang w:val="en-US"/>
        </w:rPr>
        <w:t>Create a better awareness of g</w:t>
      </w:r>
      <w:r w:rsidR="00B32F11" w:rsidRPr="00B32F11">
        <w:rPr>
          <w:lang w:val="en-US"/>
        </w:rPr>
        <w:t>ender issues within communities</w:t>
      </w:r>
    </w:p>
    <w:p w14:paraId="2A7D060B" w14:textId="30E31CAD" w:rsidR="00075E8E" w:rsidRPr="00B32F11" w:rsidRDefault="00075E8E" w:rsidP="00B32F11">
      <w:pPr>
        <w:pStyle w:val="Txtpucegras"/>
        <w:rPr>
          <w:lang w:val="en-US"/>
        </w:rPr>
      </w:pPr>
      <w:proofErr w:type="spellStart"/>
      <w:r w:rsidRPr="00B32F11">
        <w:rPr>
          <w:lang w:val="en-US"/>
        </w:rPr>
        <w:t>Maximise</w:t>
      </w:r>
      <w:proofErr w:type="spellEnd"/>
      <w:r w:rsidRPr="00B32F11">
        <w:rPr>
          <w:lang w:val="en-US"/>
        </w:rPr>
        <w:t xml:space="preserve"> the potential of ICH to develop the wider social, cultural and economic value of the skills and </w:t>
      </w:r>
      <w:r w:rsidR="00B32F11" w:rsidRPr="00B32F11">
        <w:rPr>
          <w:lang w:val="en-US"/>
        </w:rPr>
        <w:t>know-how of marginalized groups</w:t>
      </w:r>
    </w:p>
    <w:p w14:paraId="195DAC0A" w14:textId="77777777" w:rsidR="00075E8E" w:rsidRPr="00B32F11" w:rsidRDefault="00075E8E" w:rsidP="00B32F11">
      <w:pPr>
        <w:pStyle w:val="Txtpucegras"/>
        <w:rPr>
          <w:lang w:val="en-US"/>
        </w:rPr>
      </w:pPr>
      <w:r w:rsidRPr="00B32F11">
        <w:rPr>
          <w:lang w:val="en-US"/>
        </w:rPr>
        <w:t xml:space="preserve">Develop </w:t>
      </w:r>
      <w:r w:rsidRPr="00B32F11">
        <w:rPr>
          <w:rFonts w:eastAsia="Calibri"/>
          <w:lang w:val="en-US"/>
        </w:rPr>
        <w:t>community-based initiatives, including capacity-building within communities that take account appropriately and effectively of the gender dimension</w:t>
      </w:r>
    </w:p>
    <w:p w14:paraId="399DBF85" w14:textId="231A4B83" w:rsidR="00075E8E" w:rsidRPr="00B32F11" w:rsidRDefault="00075E8E" w:rsidP="00B32F11">
      <w:pPr>
        <w:pStyle w:val="Txtpucegras"/>
      </w:pPr>
      <w:proofErr w:type="spellStart"/>
      <w:r w:rsidRPr="00B32F11">
        <w:t>Ensure</w:t>
      </w:r>
      <w:proofErr w:type="spellEnd"/>
      <w:r w:rsidRPr="00B32F11">
        <w:t xml:space="preserve"> </w:t>
      </w:r>
      <w:proofErr w:type="spellStart"/>
      <w:r w:rsidRPr="00B32F11">
        <w:t>that</w:t>
      </w:r>
      <w:proofErr w:type="spellEnd"/>
      <w:r w:rsidRPr="00B32F11">
        <w:t xml:space="preserve"> </w:t>
      </w:r>
      <w:proofErr w:type="spellStart"/>
      <w:r w:rsidRPr="00B32F11">
        <w:t>safeguarding</w:t>
      </w:r>
      <w:proofErr w:type="spellEnd"/>
      <w:r w:rsidRPr="00B32F11">
        <w:t xml:space="preserve"> </w:t>
      </w:r>
      <w:proofErr w:type="spellStart"/>
      <w:r w:rsidRPr="00B32F11">
        <w:t>m</w:t>
      </w:r>
      <w:r w:rsidR="00B32F11">
        <w:t>easures</w:t>
      </w:r>
      <w:proofErr w:type="spellEnd"/>
      <w:r w:rsidR="00B32F11">
        <w:t xml:space="preserve"> respect </w:t>
      </w:r>
      <w:proofErr w:type="spellStart"/>
      <w:r w:rsidR="00B32F11">
        <w:t>gender</w:t>
      </w:r>
      <w:proofErr w:type="spellEnd"/>
      <w:r w:rsidR="00B32F11">
        <w:t xml:space="preserve"> </w:t>
      </w:r>
      <w:proofErr w:type="spellStart"/>
      <w:r w:rsidR="00B32F11">
        <w:t>equality</w:t>
      </w:r>
      <w:proofErr w:type="spellEnd"/>
    </w:p>
    <w:p w14:paraId="1D6C238E" w14:textId="1799A62C" w:rsidR="00075E8E" w:rsidRPr="00B32F11" w:rsidRDefault="00075E8E" w:rsidP="00B32F11">
      <w:pPr>
        <w:pStyle w:val="Txtpucegras"/>
        <w:rPr>
          <w:rFonts w:eastAsia="Calibri"/>
          <w:lang w:val="en-US"/>
        </w:rPr>
      </w:pPr>
      <w:r w:rsidRPr="00B32F11">
        <w:rPr>
          <w:lang w:val="en-US"/>
        </w:rPr>
        <w:t>Avoid the potential for damaging the ICH and/or fragile gender balances within the community</w:t>
      </w:r>
    </w:p>
    <w:p w14:paraId="589CC65E" w14:textId="77777777" w:rsidR="00075E8E" w:rsidRPr="00B32F11" w:rsidRDefault="00075E8E" w:rsidP="00B32F11">
      <w:pPr>
        <w:pStyle w:val="Heading4"/>
      </w:pPr>
      <w:r w:rsidRPr="00B32F11">
        <w:lastRenderedPageBreak/>
        <w:t>NATIONAL PLAN FOR SAFEGUARDING THE ICH OF FIROOZESTAN</w:t>
      </w:r>
    </w:p>
    <w:p w14:paraId="1172DE71" w14:textId="487D15E2" w:rsidR="00075E8E" w:rsidRPr="00B32F11" w:rsidRDefault="00075E8E" w:rsidP="00A007B8">
      <w:pPr>
        <w:pStyle w:val="Texte1"/>
        <w:spacing w:before="240"/>
        <w:rPr>
          <w:lang w:val="en-US"/>
        </w:rPr>
      </w:pPr>
      <w:r w:rsidRPr="00B32F11">
        <w:rPr>
          <w:b/>
          <w:bCs/>
          <w:i/>
          <w:iCs/>
          <w:lang w:val="en-US"/>
        </w:rPr>
        <w:t>Main objectives of the National Plan</w:t>
      </w:r>
      <w:r w:rsidR="00B32F11">
        <w:rPr>
          <w:lang w:val="en-US"/>
        </w:rPr>
        <w:t>:</w:t>
      </w:r>
    </w:p>
    <w:p w14:paraId="7ECC43CD" w14:textId="77777777" w:rsidR="00075E8E" w:rsidRPr="00B32F11" w:rsidRDefault="00075E8E" w:rsidP="00B32F11">
      <w:pPr>
        <w:pStyle w:val="Txtpucegras"/>
      </w:pPr>
      <w:r w:rsidRPr="00B32F11">
        <w:t>Establish an agreed conceptual framework for safeguarding ICH.</w:t>
      </w:r>
    </w:p>
    <w:p w14:paraId="7D521CDC" w14:textId="77777777" w:rsidR="00075E8E" w:rsidRPr="00B32F11" w:rsidRDefault="00075E8E" w:rsidP="00B32F11">
      <w:pPr>
        <w:pStyle w:val="Txtpucegras"/>
      </w:pPr>
      <w:r w:rsidRPr="00B32F11">
        <w:t>Develop projects on the identification, documentation, dissemination and promotion of ICH elements.</w:t>
      </w:r>
    </w:p>
    <w:p w14:paraId="522A1AD5" w14:textId="77777777" w:rsidR="00075E8E" w:rsidRPr="00B32F11" w:rsidRDefault="00075E8E" w:rsidP="00B32F11">
      <w:pPr>
        <w:pStyle w:val="Txtpucegras"/>
      </w:pPr>
      <w:r w:rsidRPr="00B32F11">
        <w:t>Raise public awareness of ICH and achieve institutional recognition of it within the framework of cultural policies.</w:t>
      </w:r>
    </w:p>
    <w:p w14:paraId="34544169" w14:textId="594BD8BD" w:rsidR="00075E8E" w:rsidRPr="00B32F11" w:rsidRDefault="00075E8E" w:rsidP="00B32F11">
      <w:pPr>
        <w:pStyle w:val="Txtpucegras"/>
      </w:pPr>
      <w:r w:rsidRPr="00B32F11">
        <w:t>Facilitate the sharing of information and coordination am</w:t>
      </w:r>
      <w:r w:rsidR="00B32F11">
        <w:t>ong government administrations.</w:t>
      </w:r>
    </w:p>
    <w:p w14:paraId="1F5E1F6E" w14:textId="77777777" w:rsidR="00075E8E" w:rsidRPr="00B32F11" w:rsidRDefault="00075E8E" w:rsidP="00B32F11">
      <w:pPr>
        <w:pStyle w:val="Txtpucegras"/>
      </w:pPr>
      <w:r w:rsidRPr="00B32F11">
        <w:t>Create a common methodological framework for the actions of all public administrations, private entities and society in general should be addressed.</w:t>
      </w:r>
    </w:p>
    <w:p w14:paraId="0AA8AB46" w14:textId="4DC6A2DA" w:rsidR="00075E8E" w:rsidRPr="00B32F11" w:rsidRDefault="00075E8E" w:rsidP="00B32F11">
      <w:pPr>
        <w:pStyle w:val="Txtpucegras"/>
      </w:pPr>
      <w:r w:rsidRPr="00B32F11">
        <w:t>Create an effective mechanism for the participation of ICH bearer communities in the design and implementation of safeguarding plans and projects developed under this policy.</w:t>
      </w:r>
    </w:p>
    <w:p w14:paraId="03BF559B" w14:textId="4828C5D8" w:rsidR="00075E8E" w:rsidRPr="00B32F11" w:rsidRDefault="00075E8E" w:rsidP="00A007B8">
      <w:pPr>
        <w:pStyle w:val="Texte1"/>
        <w:spacing w:before="240"/>
        <w:rPr>
          <w:b/>
          <w:bCs/>
          <w:i/>
          <w:iCs/>
          <w:lang w:val="en-US"/>
        </w:rPr>
      </w:pPr>
      <w:r w:rsidRPr="00B32F11">
        <w:rPr>
          <w:b/>
          <w:bCs/>
          <w:i/>
          <w:iCs/>
          <w:lang w:val="en-US"/>
        </w:rPr>
        <w:t xml:space="preserve">Main </w:t>
      </w:r>
      <w:proofErr w:type="spellStart"/>
      <w:r w:rsidRPr="00B32F11">
        <w:rPr>
          <w:b/>
          <w:bCs/>
          <w:i/>
          <w:iCs/>
          <w:lang w:val="en-US"/>
        </w:rPr>
        <w:t>p</w:t>
      </w:r>
      <w:r w:rsidR="00B32F11">
        <w:rPr>
          <w:b/>
          <w:bCs/>
          <w:i/>
          <w:iCs/>
          <w:lang w:val="en-US"/>
        </w:rPr>
        <w:t>rogrammes</w:t>
      </w:r>
      <w:proofErr w:type="spellEnd"/>
      <w:r w:rsidR="00B32F11">
        <w:rPr>
          <w:b/>
          <w:bCs/>
          <w:i/>
          <w:iCs/>
          <w:lang w:val="en-US"/>
        </w:rPr>
        <w:t xml:space="preserve"> of the National Plan:</w:t>
      </w:r>
    </w:p>
    <w:p w14:paraId="5E43BF1F" w14:textId="77777777" w:rsidR="00075E8E" w:rsidRPr="00B32F11" w:rsidRDefault="00075E8E" w:rsidP="00B32F11">
      <w:pPr>
        <w:pStyle w:val="Txtpucegras"/>
        <w:rPr>
          <w:lang w:val="en-US"/>
        </w:rPr>
      </w:pPr>
      <w:r w:rsidRPr="00B32F11">
        <w:rPr>
          <w:lang w:val="en-US"/>
        </w:rPr>
        <w:t>Research and documentation of Intangible Cultural Heritage</w:t>
      </w:r>
    </w:p>
    <w:p w14:paraId="680801B8" w14:textId="77777777" w:rsidR="00075E8E" w:rsidRPr="00B32F11" w:rsidRDefault="00075E8E" w:rsidP="00B32F11">
      <w:pPr>
        <w:pStyle w:val="Txtpucegras"/>
      </w:pPr>
      <w:r w:rsidRPr="00B32F11">
        <w:t>Conservation of the tangible heritage associated with ICH elements</w:t>
      </w:r>
    </w:p>
    <w:p w14:paraId="516AD326" w14:textId="58626E05" w:rsidR="00075E8E" w:rsidRPr="00B32F11" w:rsidRDefault="00075E8E" w:rsidP="00B32F11">
      <w:pPr>
        <w:pStyle w:val="Txtpucegras"/>
      </w:pPr>
      <w:r w:rsidRPr="00B32F11">
        <w:t>Training, transfer, promotion and dissemination of the ICH</w:t>
      </w:r>
    </w:p>
    <w:p w14:paraId="0A332BAE" w14:textId="16F48A13" w:rsidR="00075E8E" w:rsidRPr="00B32F11" w:rsidRDefault="00075E8E" w:rsidP="00A007B8">
      <w:pPr>
        <w:pStyle w:val="Texte1"/>
        <w:spacing w:before="240"/>
        <w:rPr>
          <w:rFonts w:cstheme="minorBidi"/>
          <w:b/>
          <w:bCs/>
          <w:i/>
          <w:iCs/>
          <w:kern w:val="1"/>
          <w:lang w:val="en-US" w:eastAsia="ar-SA"/>
        </w:rPr>
      </w:pPr>
      <w:r w:rsidRPr="00B32F11">
        <w:rPr>
          <w:rFonts w:cstheme="minorBidi"/>
          <w:b/>
          <w:bCs/>
          <w:i/>
          <w:iCs/>
          <w:kern w:val="1"/>
          <w:lang w:val="en-US" w:eastAsia="ar-SA"/>
        </w:rPr>
        <w:t>Tools for safeguardi</w:t>
      </w:r>
      <w:r w:rsidR="00B32F11">
        <w:rPr>
          <w:rFonts w:cstheme="minorBidi"/>
          <w:b/>
          <w:bCs/>
          <w:i/>
          <w:iCs/>
          <w:kern w:val="1"/>
          <w:lang w:val="en-US" w:eastAsia="ar-SA"/>
        </w:rPr>
        <w:t>ng ICH under the National Plan:</w:t>
      </w:r>
    </w:p>
    <w:p w14:paraId="681F61A3" w14:textId="77777777" w:rsidR="00075E8E" w:rsidRPr="00B32F11" w:rsidRDefault="00075E8E" w:rsidP="00B32F11">
      <w:pPr>
        <w:pStyle w:val="Txtpucegras"/>
        <w:rPr>
          <w:lang w:eastAsia="ar-SA"/>
        </w:rPr>
      </w:pPr>
      <w:r w:rsidRPr="00B32F11">
        <w:rPr>
          <w:lang w:eastAsia="ar-SA"/>
        </w:rPr>
        <w:t>Registers or preliminary inventories of ICH</w:t>
      </w:r>
    </w:p>
    <w:p w14:paraId="16F1A999" w14:textId="55372D1C" w:rsidR="00075E8E" w:rsidRPr="00B32F11" w:rsidRDefault="00075E8E" w:rsidP="00B32F11">
      <w:pPr>
        <w:pStyle w:val="Txtpucegras"/>
        <w:rPr>
          <w:lang w:eastAsia="ar-SA"/>
        </w:rPr>
      </w:pPr>
      <w:r w:rsidRPr="00B32F11">
        <w:rPr>
          <w:lang w:eastAsia="ar-SA"/>
        </w:rPr>
        <w:t xml:space="preserve">Catalogues of ICH </w:t>
      </w:r>
      <w:proofErr w:type="spellStart"/>
      <w:r w:rsidRPr="00B32F11">
        <w:rPr>
          <w:lang w:eastAsia="ar-SA"/>
        </w:rPr>
        <w:t>based</w:t>
      </w:r>
      <w:proofErr w:type="spellEnd"/>
      <w:r w:rsidRPr="00B32F11">
        <w:rPr>
          <w:lang w:eastAsia="ar-SA"/>
        </w:rPr>
        <w:t xml:space="preserve"> on the </w:t>
      </w:r>
      <w:proofErr w:type="spellStart"/>
      <w:r w:rsidRPr="00B32F11">
        <w:rPr>
          <w:lang w:eastAsia="ar-SA"/>
        </w:rPr>
        <w:t>results</w:t>
      </w:r>
      <w:proofErr w:type="spellEnd"/>
      <w:r w:rsidRPr="00B32F11">
        <w:rPr>
          <w:lang w:eastAsia="ar-SA"/>
        </w:rPr>
        <w:t xml:space="preserve"> of </w:t>
      </w:r>
      <w:proofErr w:type="spellStart"/>
      <w:r w:rsidRPr="00B32F11">
        <w:rPr>
          <w:lang w:eastAsia="ar-SA"/>
        </w:rPr>
        <w:t>research</w:t>
      </w:r>
      <w:proofErr w:type="spellEnd"/>
      <w:r w:rsidRPr="00B32F11">
        <w:rPr>
          <w:lang w:eastAsia="ar-SA"/>
        </w:rPr>
        <w:t xml:space="preserve"> and d</w:t>
      </w:r>
      <w:r w:rsidR="00B32F11">
        <w:rPr>
          <w:lang w:eastAsia="ar-SA"/>
        </w:rPr>
        <w:t xml:space="preserve">ocumentation </w:t>
      </w:r>
      <w:proofErr w:type="spellStart"/>
      <w:r w:rsidR="00B32F11">
        <w:rPr>
          <w:lang w:eastAsia="ar-SA"/>
        </w:rPr>
        <w:t>studies</w:t>
      </w:r>
      <w:proofErr w:type="spellEnd"/>
      <w:r w:rsidR="00B32F11">
        <w:rPr>
          <w:lang w:eastAsia="ar-SA"/>
        </w:rPr>
        <w:t xml:space="preserve"> </w:t>
      </w:r>
      <w:proofErr w:type="spellStart"/>
      <w:r w:rsidR="00B32F11">
        <w:rPr>
          <w:lang w:eastAsia="ar-SA"/>
        </w:rPr>
        <w:t>undertaken</w:t>
      </w:r>
      <w:proofErr w:type="spellEnd"/>
    </w:p>
    <w:p w14:paraId="5003FDF7" w14:textId="77777777" w:rsidR="00075E8E" w:rsidRPr="00B32F11" w:rsidRDefault="00075E8E" w:rsidP="00B32F11">
      <w:pPr>
        <w:pStyle w:val="Txtpucegras"/>
        <w:rPr>
          <w:lang w:val="en-US" w:eastAsia="ar-SA"/>
        </w:rPr>
      </w:pPr>
      <w:r w:rsidRPr="00B32F11">
        <w:rPr>
          <w:lang w:val="en-US" w:eastAsia="ar-SA"/>
        </w:rPr>
        <w:t>Methodology for setting objectives, strategies and proposed actions</w:t>
      </w:r>
    </w:p>
    <w:p w14:paraId="4432CD17" w14:textId="40EB572A" w:rsidR="00075E8E" w:rsidRPr="00B32F11" w:rsidRDefault="00075E8E" w:rsidP="00B32F11">
      <w:pPr>
        <w:pStyle w:val="Txtpucegras"/>
        <w:rPr>
          <w:lang w:eastAsia="ar-SA"/>
        </w:rPr>
      </w:pPr>
      <w:r w:rsidRPr="00B32F11">
        <w:rPr>
          <w:lang w:eastAsia="ar-SA"/>
        </w:rPr>
        <w:t xml:space="preserve">A </w:t>
      </w:r>
      <w:proofErr w:type="spellStart"/>
      <w:r w:rsidRPr="00B32F11">
        <w:rPr>
          <w:lang w:eastAsia="ar-SA"/>
        </w:rPr>
        <w:t>strategy</w:t>
      </w:r>
      <w:proofErr w:type="spellEnd"/>
      <w:r w:rsidRPr="00B32F11">
        <w:rPr>
          <w:lang w:eastAsia="ar-SA"/>
        </w:rPr>
        <w:t xml:space="preserve"> for </w:t>
      </w:r>
      <w:proofErr w:type="spellStart"/>
      <w:r w:rsidRPr="00B32F11">
        <w:rPr>
          <w:lang w:eastAsia="ar-SA"/>
        </w:rPr>
        <w:t>conducting</w:t>
      </w:r>
      <w:proofErr w:type="spellEnd"/>
      <w:r w:rsidRPr="00B32F11">
        <w:rPr>
          <w:lang w:eastAsia="ar-SA"/>
        </w:rPr>
        <w:t xml:space="preserve"> a </w:t>
      </w:r>
      <w:proofErr w:type="spellStart"/>
      <w:r w:rsidR="00B32F11">
        <w:rPr>
          <w:lang w:eastAsia="ar-SA"/>
        </w:rPr>
        <w:t>risk</w:t>
      </w:r>
      <w:proofErr w:type="spellEnd"/>
      <w:r w:rsidR="00B32F11">
        <w:rPr>
          <w:lang w:eastAsia="ar-SA"/>
        </w:rPr>
        <w:t xml:space="preserve"> </w:t>
      </w:r>
      <w:proofErr w:type="spellStart"/>
      <w:r w:rsidR="00B32F11">
        <w:rPr>
          <w:lang w:eastAsia="ar-SA"/>
        </w:rPr>
        <w:t>analysis</w:t>
      </w:r>
      <w:proofErr w:type="spellEnd"/>
      <w:r w:rsidR="00B32F11">
        <w:rPr>
          <w:lang w:eastAsia="ar-SA"/>
        </w:rPr>
        <w:t xml:space="preserve"> for ICH </w:t>
      </w:r>
      <w:proofErr w:type="spellStart"/>
      <w:r w:rsidR="00B32F11">
        <w:rPr>
          <w:lang w:eastAsia="ar-SA"/>
        </w:rPr>
        <w:t>elements</w:t>
      </w:r>
      <w:proofErr w:type="spellEnd"/>
    </w:p>
    <w:p w14:paraId="6BF2B575" w14:textId="77777777" w:rsidR="00075E8E" w:rsidRPr="00B32F11" w:rsidRDefault="00075E8E" w:rsidP="00B32F11">
      <w:pPr>
        <w:pStyle w:val="Txtpucegras"/>
        <w:rPr>
          <w:lang w:val="en-US" w:eastAsia="ar-SA"/>
        </w:rPr>
      </w:pPr>
      <w:r w:rsidRPr="00B32F11">
        <w:rPr>
          <w:lang w:val="en-US" w:eastAsia="ar-SA"/>
        </w:rPr>
        <w:t xml:space="preserve">Research studies targeting specific concrete safeguarding </w:t>
      </w:r>
      <w:proofErr w:type="spellStart"/>
      <w:r w:rsidRPr="00B32F11">
        <w:rPr>
          <w:lang w:val="en-US" w:eastAsia="ar-SA"/>
        </w:rPr>
        <w:t>programmes</w:t>
      </w:r>
      <w:proofErr w:type="spellEnd"/>
      <w:r w:rsidRPr="00B32F11">
        <w:rPr>
          <w:lang w:val="en-US" w:eastAsia="ar-SA"/>
        </w:rPr>
        <w:t xml:space="preserve"> or actions</w:t>
      </w:r>
    </w:p>
    <w:p w14:paraId="77926E17" w14:textId="242B321B" w:rsidR="00075E8E" w:rsidRPr="00B32F11" w:rsidRDefault="00075E8E" w:rsidP="00B32F11">
      <w:pPr>
        <w:pStyle w:val="Txtpucegras"/>
        <w:rPr>
          <w:lang w:eastAsia="ar-SA"/>
        </w:rPr>
      </w:pPr>
      <w:proofErr w:type="spellStart"/>
      <w:r w:rsidRPr="00B32F11">
        <w:rPr>
          <w:lang w:eastAsia="ar-SA"/>
        </w:rPr>
        <w:t>Safeguarding</w:t>
      </w:r>
      <w:proofErr w:type="spellEnd"/>
      <w:r w:rsidRPr="00B32F11">
        <w:rPr>
          <w:lang w:eastAsia="ar-SA"/>
        </w:rPr>
        <w:t xml:space="preserve"> plans </w:t>
      </w:r>
      <w:proofErr w:type="spellStart"/>
      <w:r w:rsidRPr="00B32F11">
        <w:rPr>
          <w:lang w:eastAsia="ar-SA"/>
        </w:rPr>
        <w:t>tailored</w:t>
      </w:r>
      <w:proofErr w:type="spellEnd"/>
      <w:r w:rsidRPr="00B32F11">
        <w:rPr>
          <w:lang w:eastAsia="ar-SA"/>
        </w:rPr>
        <w:t xml:space="preserve"> for </w:t>
      </w:r>
      <w:proofErr w:type="spellStart"/>
      <w:r w:rsidRPr="00B32F11">
        <w:rPr>
          <w:lang w:eastAsia="ar-SA"/>
        </w:rPr>
        <w:t>specific</w:t>
      </w:r>
      <w:proofErr w:type="spellEnd"/>
      <w:r w:rsidRPr="00B32F11">
        <w:rPr>
          <w:lang w:eastAsia="ar-SA"/>
        </w:rPr>
        <w:t xml:space="preserve"> </w:t>
      </w:r>
      <w:proofErr w:type="spellStart"/>
      <w:r w:rsidRPr="00B32F11">
        <w:rPr>
          <w:lang w:eastAsia="ar-SA"/>
        </w:rPr>
        <w:t>elements</w:t>
      </w:r>
      <w:proofErr w:type="spellEnd"/>
    </w:p>
    <w:p w14:paraId="6E2DBF2D" w14:textId="5F3AD1A0" w:rsidR="00075E8E" w:rsidRPr="00B32F11" w:rsidRDefault="00075E8E" w:rsidP="00A007B8">
      <w:pPr>
        <w:pStyle w:val="Texte1"/>
        <w:spacing w:before="240"/>
        <w:rPr>
          <w:rFonts w:cstheme="minorBidi"/>
          <w:lang w:val="en-US"/>
        </w:rPr>
      </w:pPr>
      <w:r w:rsidRPr="00B32F11">
        <w:rPr>
          <w:rFonts w:cstheme="minorBidi"/>
          <w:b/>
          <w:bCs/>
          <w:i/>
          <w:iCs/>
          <w:lang w:val="en-US"/>
        </w:rPr>
        <w:t>The detailed policy areas in which you want to consider how to develop the gender-responsiveness of this policy document include the following</w:t>
      </w:r>
      <w:r w:rsidRPr="00B32F11">
        <w:rPr>
          <w:rFonts w:cstheme="minorBidi"/>
          <w:lang w:val="en-US"/>
        </w:rPr>
        <w:t>:</w:t>
      </w:r>
    </w:p>
    <w:p w14:paraId="6C0C19AE" w14:textId="77777777" w:rsidR="00075E8E" w:rsidRPr="00B32F11" w:rsidRDefault="00075E8E" w:rsidP="00B32F11">
      <w:pPr>
        <w:pStyle w:val="Txtpucegras"/>
      </w:pPr>
      <w:r w:rsidRPr="00B32F11">
        <w:t>Identification/inventorying</w:t>
      </w:r>
    </w:p>
    <w:p w14:paraId="27421DA0" w14:textId="77777777" w:rsidR="00075E8E" w:rsidRPr="00B32F11" w:rsidRDefault="00075E8E" w:rsidP="00B32F11">
      <w:pPr>
        <w:pStyle w:val="Txtpucegras"/>
      </w:pPr>
      <w:r w:rsidRPr="00B32F11">
        <w:t>Research/documentation</w:t>
      </w:r>
    </w:p>
    <w:p w14:paraId="2E774EE1" w14:textId="77777777" w:rsidR="00075E8E" w:rsidRPr="00B32F11" w:rsidRDefault="00075E8E" w:rsidP="00B32F11">
      <w:pPr>
        <w:pStyle w:val="Txtpucegras"/>
      </w:pPr>
      <w:r w:rsidRPr="00B32F11">
        <w:t>Transmission of ICH</w:t>
      </w:r>
    </w:p>
    <w:p w14:paraId="3219D9B7" w14:textId="77777777" w:rsidR="00075E8E" w:rsidRPr="00B32F11" w:rsidRDefault="00075E8E" w:rsidP="00B32F11">
      <w:pPr>
        <w:pStyle w:val="Txtpucegras"/>
      </w:pPr>
      <w:r w:rsidRPr="00B32F11">
        <w:t>Promotion of ICH and awareness-raising (at all levels)</w:t>
      </w:r>
    </w:p>
    <w:p w14:paraId="24C2225D" w14:textId="77777777" w:rsidR="00075E8E" w:rsidRPr="00B32F11" w:rsidRDefault="00075E8E" w:rsidP="00B32F11">
      <w:pPr>
        <w:pStyle w:val="Txtpucegras"/>
      </w:pPr>
      <w:r w:rsidRPr="00B32F11">
        <w:t>Education and training</w:t>
      </w:r>
    </w:p>
    <w:p w14:paraId="46AD1E4E" w14:textId="77777777" w:rsidR="00075E8E" w:rsidRPr="00B32F11" w:rsidRDefault="00075E8E" w:rsidP="00B32F11">
      <w:pPr>
        <w:pStyle w:val="Txtpucegras"/>
      </w:pPr>
      <w:r w:rsidRPr="00B32F11">
        <w:t>Working with communities on the design and implementation of safeguarding actions</w:t>
      </w:r>
    </w:p>
    <w:p w14:paraId="7A706BFA" w14:textId="367B1FFE" w:rsidR="00075E8E" w:rsidRPr="00B32F11" w:rsidRDefault="00075E8E" w:rsidP="00B32F11">
      <w:pPr>
        <w:pStyle w:val="Txtpucegras"/>
      </w:pPr>
      <w:r w:rsidRPr="00B32F11">
        <w:t>Monitoring an</w:t>
      </w:r>
      <w:r w:rsidR="00B32F11">
        <w:t xml:space="preserve">d </w:t>
      </w:r>
      <w:proofErr w:type="spellStart"/>
      <w:r w:rsidR="00B32F11">
        <w:t>evaluating</w:t>
      </w:r>
      <w:proofErr w:type="spellEnd"/>
      <w:r w:rsidR="00B32F11">
        <w:t xml:space="preserve"> </w:t>
      </w:r>
      <w:proofErr w:type="spellStart"/>
      <w:r w:rsidR="00B32F11">
        <w:t>safeguarding</w:t>
      </w:r>
      <w:proofErr w:type="spellEnd"/>
      <w:r w:rsidR="00B32F11">
        <w:t xml:space="preserve"> plans</w:t>
      </w:r>
    </w:p>
    <w:p w14:paraId="45EB4743" w14:textId="77777777" w:rsidR="00075E8E" w:rsidRPr="00B32F11" w:rsidRDefault="00075E8E" w:rsidP="00B32F11">
      <w:pPr>
        <w:pStyle w:val="Txtpucegras"/>
        <w:rPr>
          <w:lang w:val="en-US"/>
        </w:rPr>
      </w:pPr>
      <w:r w:rsidRPr="00B32F11">
        <w:rPr>
          <w:lang w:val="en-US"/>
        </w:rPr>
        <w:t>Incorporating ICH safeguarding into broader cultural policies</w:t>
      </w:r>
    </w:p>
    <w:p w14:paraId="192AF567" w14:textId="1B60CC0E" w:rsidR="00075E8E" w:rsidRPr="00B32F11" w:rsidRDefault="00075E8E" w:rsidP="00B32F11">
      <w:pPr>
        <w:pStyle w:val="Txtpucegras"/>
      </w:pPr>
      <w:proofErr w:type="spellStart"/>
      <w:r w:rsidRPr="00B32F11">
        <w:t>Incorporating</w:t>
      </w:r>
      <w:proofErr w:type="spellEnd"/>
      <w:r w:rsidRPr="00B32F11">
        <w:t xml:space="preserve"> ICH </w:t>
      </w:r>
      <w:proofErr w:type="spellStart"/>
      <w:r w:rsidRPr="00B32F11">
        <w:t>into</w:t>
      </w:r>
      <w:proofErr w:type="spellEnd"/>
      <w:r w:rsidRPr="00B32F11">
        <w:t xml:space="preserve"> </w:t>
      </w:r>
      <w:proofErr w:type="spellStart"/>
      <w:r w:rsidRPr="00B32F11">
        <w:t>other</w:t>
      </w:r>
      <w:proofErr w:type="spellEnd"/>
      <w:r w:rsidRPr="00B32F11">
        <w:t xml:space="preserve"> policy areas (rural and urban development planning, the environment, trade, agriculture, etc.)</w:t>
      </w:r>
    </w:p>
    <w:sectPr w:rsidR="00075E8E" w:rsidRPr="00B32F11" w:rsidSect="009B3A9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2F2FFD1E" w:rsidR="00044005" w:rsidRDefault="00F609C6" w:rsidP="004936EF">
    <w:pPr>
      <w:pStyle w:val="Footer"/>
    </w:pPr>
    <w:r>
      <w:rPr>
        <w:noProof/>
        <w:lang w:val="fr-FR" w:eastAsia="fr-FR"/>
      </w:rPr>
      <w:drawing>
        <wp:anchor distT="0" distB="0" distL="114300" distR="114300" simplePos="0" relativeHeight="251784192" behindDoc="0" locked="0" layoutInCell="1" allowOverlap="1" wp14:anchorId="5F0E3B38" wp14:editId="40A7EAA7">
          <wp:simplePos x="0" y="0"/>
          <wp:positionH relativeFrom="column">
            <wp:posOffset>2361565</wp:posOffset>
          </wp:positionH>
          <wp:positionV relativeFrom="paragraph">
            <wp:posOffset>64135</wp:posOffset>
          </wp:positionV>
          <wp:extent cx="542290" cy="189230"/>
          <wp:effectExtent l="0" t="0" r="0" b="1270"/>
          <wp:wrapThrough wrapText="bothSides">
            <wp:wrapPolygon edited="0">
              <wp:start x="0" y="0"/>
              <wp:lineTo x="0" y="19570"/>
              <wp:lineTo x="20487" y="19570"/>
              <wp:lineTo x="2048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44005" w:rsidRPr="002A3923">
      <w:rPr>
        <w:noProof/>
        <w:lang w:val="fr-FR" w:eastAsia="fr-FR"/>
      </w:rPr>
      <w:drawing>
        <wp:anchor distT="0" distB="0" distL="114300" distR="114300" simplePos="0" relativeHeight="251759616" behindDoc="0" locked="1" layoutInCell="1" allowOverlap="0" wp14:anchorId="3FDEFB64" wp14:editId="2716C27D">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044005">
      <w:tab/>
    </w:r>
    <w:r w:rsidR="00044005">
      <w:tab/>
      <w:t>U0</w:t>
    </w:r>
    <w:r w:rsidR="00075E8E">
      <w:t>49</w:t>
    </w:r>
    <w:r w:rsidR="00044005">
      <w:t>-v1.</w:t>
    </w:r>
    <w:proofErr w:type="gramStart"/>
    <w:r w:rsidR="00044005">
      <w:t>0-HO</w:t>
    </w:r>
    <w:r w:rsidR="00075E8E">
      <w:t>9</w:t>
    </w:r>
    <w:r w:rsidR="00044005">
      <w:t>-EN</w:t>
    </w:r>
    <w:proofErr w:type="gramEnd"/>
    <w:r w:rsidR="00044005" w:rsidDel="00F22FFD">
      <w:rPr>
        <w:rStyle w:val="PageNumber"/>
      </w:rPr>
      <w:t xml:space="preserve"> </w:t>
    </w:r>
  </w:p>
  <w:p w14:paraId="43055D74" w14:textId="77777777" w:rsidR="00044005" w:rsidRDefault="0004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4387D198" w:rsidR="00044005" w:rsidRPr="007D60D5" w:rsidRDefault="00044005">
    <w:pPr>
      <w:pStyle w:val="Footer"/>
    </w:pPr>
    <w:r>
      <w:t>U0</w:t>
    </w:r>
    <w:r w:rsidR="002C073B">
      <w:t>49</w:t>
    </w:r>
    <w:r>
      <w:t>-v1.</w:t>
    </w:r>
    <w:proofErr w:type="gramStart"/>
    <w:r>
      <w:t>0-HO</w:t>
    </w:r>
    <w:r w:rsidR="002C073B">
      <w:t>9</w:t>
    </w:r>
    <w:r>
      <w:t>-EN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5B7AFC">
      <w:rPr>
        <w:noProof/>
        <w:lang w:val="fr-FR" w:eastAsia="fr-FR"/>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E157" w14:textId="74A59193" w:rsidR="005B432B" w:rsidRDefault="00F609C6" w:rsidP="005B432B">
    <w:pPr>
      <w:pStyle w:val="Footer"/>
      <w:tabs>
        <w:tab w:val="left" w:pos="2093"/>
      </w:tabs>
    </w:pPr>
    <w:r>
      <w:rPr>
        <w:noProof/>
        <w:lang w:val="fr-FR" w:eastAsia="fr-FR"/>
      </w:rPr>
      <w:drawing>
        <wp:anchor distT="0" distB="0" distL="114300" distR="114300" simplePos="0" relativeHeight="251782144" behindDoc="0" locked="0" layoutInCell="1" allowOverlap="1" wp14:anchorId="0ECEA71F" wp14:editId="59AEE005">
          <wp:simplePos x="0" y="0"/>
          <wp:positionH relativeFrom="column">
            <wp:posOffset>2628265</wp:posOffset>
          </wp:positionH>
          <wp:positionV relativeFrom="paragraph">
            <wp:posOffset>-2540</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75E8E">
      <w:t>U049</w:t>
    </w:r>
    <w:r w:rsidR="005B432B">
      <w:t>-v1.</w:t>
    </w:r>
    <w:proofErr w:type="gramStart"/>
    <w:r w:rsidR="005B432B">
      <w:t>0-HO</w:t>
    </w:r>
    <w:r w:rsidR="00075E8E">
      <w:t>9</w:t>
    </w:r>
    <w:r w:rsidR="005B432B">
      <w:t>-EN</w:t>
    </w:r>
    <w:proofErr w:type="gramEnd"/>
    <w:r w:rsidR="005B432B">
      <w:tab/>
    </w:r>
    <w:r w:rsidR="003E53C8">
      <w:tab/>
    </w:r>
    <w:r w:rsidR="005B432B">
      <w:tab/>
    </w:r>
    <w:r w:rsidR="005B432B" w:rsidRPr="00473E47">
      <w:rPr>
        <w:noProof/>
        <w:szCs w:val="20"/>
        <w:lang w:val="fr-FR" w:eastAsia="fr-FR"/>
      </w:rPr>
      <w:drawing>
        <wp:anchor distT="0" distB="0" distL="114300" distR="114300" simplePos="0" relativeHeight="251776000" behindDoc="0" locked="1" layoutInCell="1" allowOverlap="0" wp14:anchorId="5E3A2480" wp14:editId="779733F0">
          <wp:simplePos x="0" y="0"/>
          <wp:positionH relativeFrom="margin">
            <wp:posOffset>4681855</wp:posOffset>
          </wp:positionH>
          <wp:positionV relativeFrom="margin">
            <wp:posOffset>8641080</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604ACE96" w:rsidR="00044005" w:rsidRDefault="00044005" w:rsidP="00075E8E">
    <w:pPr>
      <w:pStyle w:val="Header"/>
    </w:pPr>
    <w:r>
      <w:rPr>
        <w:rStyle w:val="PageNumber"/>
      </w:rPr>
      <w:fldChar w:fldCharType="begin"/>
    </w:r>
    <w:r>
      <w:rPr>
        <w:rStyle w:val="PageNumber"/>
      </w:rPr>
      <w:instrText xml:space="preserve"> PAGE </w:instrText>
    </w:r>
    <w:r>
      <w:rPr>
        <w:rStyle w:val="PageNumber"/>
      </w:rPr>
      <w:fldChar w:fldCharType="separate"/>
    </w:r>
    <w:r w:rsidR="00F609C6">
      <w:rPr>
        <w:rStyle w:val="PageNumber"/>
        <w:noProof/>
      </w:rPr>
      <w:t>2</w:t>
    </w:r>
    <w:r>
      <w:rPr>
        <w:rStyle w:val="PageNumber"/>
      </w:rPr>
      <w:fldChar w:fldCharType="end"/>
    </w:r>
    <w:r>
      <w:rPr>
        <w:rStyle w:val="PageNumber"/>
      </w:rPr>
      <w:tab/>
    </w:r>
    <w:r w:rsidR="00075E8E">
      <w:rPr>
        <w:rStyle w:val="PageNumber"/>
      </w:rPr>
      <w:t xml:space="preserve">Unit 49: A gender-responsive </w:t>
    </w:r>
    <w:proofErr w:type="spellStart"/>
    <w:r w:rsidR="00075E8E">
      <w:rPr>
        <w:rStyle w:val="PageNumber"/>
      </w:rPr>
      <w:t>approach</w:t>
    </w:r>
    <w:proofErr w:type="spellEnd"/>
    <w:r w:rsidR="00075E8E">
      <w:rPr>
        <w:rStyle w:val="PageNumber"/>
      </w:rPr>
      <w:t xml:space="preserve"> to ICH </w:t>
    </w:r>
    <w:proofErr w:type="spellStart"/>
    <w:r w:rsidR="00075E8E">
      <w:rPr>
        <w:rStyle w:val="PageNumber"/>
      </w:rPr>
      <w:t>safeguarding</w:t>
    </w:r>
    <w:proofErr w:type="spellEnd"/>
    <w:r>
      <w:tab/>
    </w:r>
    <w:proofErr w:type="spellStart"/>
    <w:r>
      <w:t>Hand</w:t>
    </w:r>
    <w:proofErr w:type="spellEnd"/>
    <w:r>
      <w:t>-out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2053F2BA" w:rsidR="00044005" w:rsidRPr="004A4AD6" w:rsidRDefault="00044005" w:rsidP="00075E8E">
    <w:pPr>
      <w:pStyle w:val="Header"/>
    </w:pPr>
    <w:proofErr w:type="spellStart"/>
    <w:r>
      <w:t>Hand</w:t>
    </w:r>
    <w:proofErr w:type="spellEnd"/>
    <w:r>
      <w:t>-out</w:t>
    </w:r>
    <w:r>
      <w:tab/>
    </w:r>
    <w:r w:rsidR="00075E8E">
      <w:rPr>
        <w:rStyle w:val="PageNumber"/>
      </w:rPr>
      <w:t>Unit 49: A gender</w:t>
    </w:r>
    <w:r w:rsidR="002C073B">
      <w:rPr>
        <w:rStyle w:val="PageNumber"/>
      </w:rPr>
      <w:t xml:space="preserve">-responsive </w:t>
    </w:r>
    <w:proofErr w:type="spellStart"/>
    <w:r w:rsidR="002C073B">
      <w:rPr>
        <w:rStyle w:val="PageNumber"/>
      </w:rPr>
      <w:t>approach</w:t>
    </w:r>
    <w:proofErr w:type="spellEnd"/>
    <w:r w:rsidR="002C073B">
      <w:rPr>
        <w:rStyle w:val="PageNumber"/>
      </w:rPr>
      <w:t xml:space="preserve"> to </w:t>
    </w:r>
    <w:proofErr w:type="spellStart"/>
    <w:r w:rsidR="002C073B">
      <w:rPr>
        <w:rStyle w:val="PageNumber"/>
      </w:rPr>
      <w:t>safeguarding</w:t>
    </w:r>
    <w:proofErr w:type="spellEnd"/>
    <w:r w:rsidR="002C073B">
      <w:rPr>
        <w:rStyle w:val="PageNumber"/>
      </w:rPr>
      <w:t xml:space="preserve"> ICH</w:t>
    </w:r>
    <w:r w:rsidR="005B432B"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B32F11">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2F4594A5" w:rsidR="00044005" w:rsidRPr="002305AA" w:rsidRDefault="00254C5C">
    <w:pPr>
      <w:pStyle w:val="Header"/>
    </w:pPr>
    <w:r>
      <w:tab/>
    </w:r>
    <w:proofErr w:type="spellStart"/>
    <w:r>
      <w:t>Hand</w:t>
    </w:r>
    <w:proofErr w:type="spellEnd"/>
    <w:r>
      <w:t>-out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29037BD"/>
    <w:multiLevelType w:val="hybridMultilevel"/>
    <w:tmpl w:val="359ADE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602B60"/>
    <w:multiLevelType w:val="hybridMultilevel"/>
    <w:tmpl w:val="945E8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882480D"/>
    <w:multiLevelType w:val="hybridMultilevel"/>
    <w:tmpl w:val="C48CC0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8">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3">
    <w:nsid w:val="3EA86FC0"/>
    <w:multiLevelType w:val="hybridMultilevel"/>
    <w:tmpl w:val="E7544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5">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4">
    <w:nsid w:val="5C062C17"/>
    <w:multiLevelType w:val="hybridMultilevel"/>
    <w:tmpl w:val="3E8C1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6">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7">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9">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6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62">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6">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4">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7">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1">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3">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4">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5">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50"/>
  </w:num>
  <w:num w:numId="3">
    <w:abstractNumId w:val="22"/>
  </w:num>
  <w:num w:numId="4">
    <w:abstractNumId w:val="84"/>
  </w:num>
  <w:num w:numId="5">
    <w:abstractNumId w:val="11"/>
  </w:num>
  <w:num w:numId="6">
    <w:abstractNumId w:val="62"/>
  </w:num>
  <w:num w:numId="7">
    <w:abstractNumId w:val="61"/>
  </w:num>
  <w:num w:numId="8">
    <w:abstractNumId w:val="9"/>
  </w:num>
  <w:num w:numId="9">
    <w:abstractNumId w:val="29"/>
  </w:num>
  <w:num w:numId="10">
    <w:abstractNumId w:val="8"/>
  </w:num>
  <w:num w:numId="11">
    <w:abstractNumId w:val="13"/>
  </w:num>
  <w:num w:numId="12">
    <w:abstractNumId w:val="71"/>
  </w:num>
  <w:num w:numId="13">
    <w:abstractNumId w:val="81"/>
  </w:num>
  <w:num w:numId="14">
    <w:abstractNumId w:val="31"/>
  </w:num>
  <w:num w:numId="15">
    <w:abstractNumId w:val="74"/>
  </w:num>
  <w:num w:numId="16">
    <w:abstractNumId w:val="17"/>
  </w:num>
  <w:num w:numId="17">
    <w:abstractNumId w:val="47"/>
  </w:num>
  <w:num w:numId="18">
    <w:abstractNumId w:val="41"/>
  </w:num>
  <w:num w:numId="19">
    <w:abstractNumId w:val="72"/>
  </w:num>
  <w:num w:numId="20">
    <w:abstractNumId w:val="53"/>
  </w:num>
  <w:num w:numId="21">
    <w:abstractNumId w:val="10"/>
  </w:num>
  <w:num w:numId="22">
    <w:abstractNumId w:val="5"/>
  </w:num>
  <w:num w:numId="23">
    <w:abstractNumId w:val="66"/>
  </w:num>
  <w:num w:numId="24">
    <w:abstractNumId w:val="44"/>
  </w:num>
  <w:num w:numId="25">
    <w:abstractNumId w:val="51"/>
  </w:num>
  <w:num w:numId="26">
    <w:abstractNumId w:val="21"/>
  </w:num>
  <w:num w:numId="27">
    <w:abstractNumId w:val="25"/>
  </w:num>
  <w:num w:numId="28">
    <w:abstractNumId w:val="42"/>
  </w:num>
  <w:num w:numId="29">
    <w:abstractNumId w:val="45"/>
  </w:num>
  <w:num w:numId="30">
    <w:abstractNumId w:val="58"/>
  </w:num>
  <w:num w:numId="31">
    <w:abstractNumId w:val="73"/>
  </w:num>
  <w:num w:numId="32">
    <w:abstractNumId w:val="76"/>
  </w:num>
  <w:num w:numId="33">
    <w:abstractNumId w:val="19"/>
  </w:num>
  <w:num w:numId="34">
    <w:abstractNumId w:val="0"/>
  </w:num>
  <w:num w:numId="35">
    <w:abstractNumId w:val="80"/>
  </w:num>
  <w:num w:numId="36">
    <w:abstractNumId w:val="28"/>
  </w:num>
  <w:num w:numId="37">
    <w:abstractNumId w:val="69"/>
  </w:num>
  <w:num w:numId="38">
    <w:abstractNumId w:val="80"/>
  </w:num>
  <w:num w:numId="39">
    <w:abstractNumId w:val="2"/>
  </w:num>
  <w:num w:numId="40">
    <w:abstractNumId w:val="64"/>
  </w:num>
  <w:num w:numId="41">
    <w:abstractNumId w:val="28"/>
    <w:lvlOverride w:ilvl="0">
      <w:startOverride w:val="1"/>
    </w:lvlOverride>
  </w:num>
  <w:num w:numId="42">
    <w:abstractNumId w:val="14"/>
  </w:num>
  <w:num w:numId="43">
    <w:abstractNumId w:val="46"/>
  </w:num>
  <w:num w:numId="44">
    <w:abstractNumId w:val="79"/>
  </w:num>
  <w:num w:numId="45">
    <w:abstractNumId w:val="34"/>
  </w:num>
  <w:num w:numId="46">
    <w:abstractNumId w:val="68"/>
  </w:num>
  <w:num w:numId="47">
    <w:abstractNumId w:val="34"/>
    <w:lvlOverride w:ilvl="0">
      <w:startOverride w:val="1"/>
    </w:lvlOverride>
  </w:num>
  <w:num w:numId="48">
    <w:abstractNumId w:val="45"/>
  </w:num>
  <w:num w:numId="49">
    <w:abstractNumId w:val="77"/>
  </w:num>
  <w:num w:numId="50">
    <w:abstractNumId w:val="34"/>
    <w:lvlOverride w:ilvl="0">
      <w:startOverride w:val="1"/>
    </w:lvlOverride>
  </w:num>
  <w:num w:numId="51">
    <w:abstractNumId w:val="26"/>
  </w:num>
  <w:num w:numId="52">
    <w:abstractNumId w:val="34"/>
    <w:lvlOverride w:ilvl="0">
      <w:startOverride w:val="1"/>
    </w:lvlOverride>
  </w:num>
  <w:num w:numId="53">
    <w:abstractNumId w:val="80"/>
  </w:num>
  <w:num w:numId="54">
    <w:abstractNumId w:val="80"/>
  </w:num>
  <w:num w:numId="55">
    <w:abstractNumId w:val="80"/>
  </w:num>
  <w:num w:numId="56">
    <w:abstractNumId w:val="80"/>
  </w:num>
  <w:num w:numId="57">
    <w:abstractNumId w:val="80"/>
  </w:num>
  <w:num w:numId="58">
    <w:abstractNumId w:val="85"/>
  </w:num>
  <w:num w:numId="59">
    <w:abstractNumId w:val="48"/>
  </w:num>
  <w:num w:numId="60">
    <w:abstractNumId w:val="4"/>
  </w:num>
  <w:num w:numId="61">
    <w:abstractNumId w:val="48"/>
    <w:lvlOverride w:ilvl="0">
      <w:startOverride w:val="1"/>
    </w:lvlOverride>
  </w:num>
  <w:num w:numId="62">
    <w:abstractNumId w:val="48"/>
  </w:num>
  <w:num w:numId="63">
    <w:abstractNumId w:val="48"/>
  </w:num>
  <w:num w:numId="64">
    <w:abstractNumId w:val="48"/>
  </w:num>
  <w:num w:numId="65">
    <w:abstractNumId w:val="48"/>
  </w:num>
  <w:num w:numId="66">
    <w:abstractNumId w:val="48"/>
  </w:num>
  <w:num w:numId="67">
    <w:abstractNumId w:val="48"/>
  </w:num>
  <w:num w:numId="68">
    <w:abstractNumId w:val="49"/>
  </w:num>
  <w:num w:numId="69">
    <w:abstractNumId w:val="48"/>
    <w:lvlOverride w:ilvl="0">
      <w:startOverride w:val="1"/>
    </w:lvlOverride>
  </w:num>
  <w:num w:numId="70">
    <w:abstractNumId w:val="48"/>
  </w:num>
  <w:num w:numId="71">
    <w:abstractNumId w:val="48"/>
  </w:num>
  <w:num w:numId="72">
    <w:abstractNumId w:val="48"/>
  </w:num>
  <w:num w:numId="73">
    <w:abstractNumId w:val="48"/>
  </w:num>
  <w:num w:numId="74">
    <w:abstractNumId w:val="48"/>
  </w:num>
  <w:num w:numId="75">
    <w:abstractNumId w:val="48"/>
  </w:num>
  <w:num w:numId="76">
    <w:abstractNumId w:val="48"/>
  </w:num>
  <w:num w:numId="77">
    <w:abstractNumId w:val="48"/>
  </w:num>
  <w:num w:numId="78">
    <w:abstractNumId w:val="30"/>
  </w:num>
  <w:num w:numId="79">
    <w:abstractNumId w:val="18"/>
  </w:num>
  <w:num w:numId="80">
    <w:abstractNumId w:val="48"/>
    <w:lvlOverride w:ilvl="0">
      <w:startOverride w:val="1"/>
    </w:lvlOverride>
  </w:num>
  <w:num w:numId="81">
    <w:abstractNumId w:val="63"/>
  </w:num>
  <w:num w:numId="82">
    <w:abstractNumId w:val="36"/>
  </w:num>
  <w:num w:numId="83">
    <w:abstractNumId w:val="40"/>
  </w:num>
  <w:num w:numId="84">
    <w:abstractNumId w:val="16"/>
  </w:num>
  <w:num w:numId="85">
    <w:abstractNumId w:val="48"/>
    <w:lvlOverride w:ilvl="0">
      <w:startOverride w:val="1"/>
    </w:lvlOverride>
  </w:num>
  <w:num w:numId="86">
    <w:abstractNumId w:val="3"/>
  </w:num>
  <w:num w:numId="87">
    <w:abstractNumId w:val="12"/>
  </w:num>
  <w:num w:numId="88">
    <w:abstractNumId w:val="48"/>
    <w:lvlOverride w:ilvl="0">
      <w:startOverride w:val="1"/>
    </w:lvlOverride>
  </w:num>
  <w:num w:numId="89">
    <w:abstractNumId w:val="35"/>
  </w:num>
  <w:num w:numId="90">
    <w:abstractNumId w:val="48"/>
    <w:lvlOverride w:ilvl="0">
      <w:startOverride w:val="1"/>
    </w:lvlOverride>
  </w:num>
  <w:num w:numId="91">
    <w:abstractNumId w:val="6"/>
  </w:num>
  <w:num w:numId="92">
    <w:abstractNumId w:val="52"/>
  </w:num>
  <w:num w:numId="93">
    <w:abstractNumId w:val="60"/>
  </w:num>
  <w:num w:numId="94">
    <w:abstractNumId w:val="57"/>
  </w:num>
  <w:num w:numId="95">
    <w:abstractNumId w:val="48"/>
    <w:lvlOverride w:ilvl="0">
      <w:startOverride w:val="2"/>
    </w:lvlOverride>
  </w:num>
  <w:num w:numId="96">
    <w:abstractNumId w:val="55"/>
  </w:num>
  <w:num w:numId="97">
    <w:abstractNumId w:val="70"/>
  </w:num>
  <w:num w:numId="98">
    <w:abstractNumId w:val="67"/>
  </w:num>
  <w:num w:numId="99">
    <w:abstractNumId w:val="38"/>
  </w:num>
  <w:num w:numId="100">
    <w:abstractNumId w:val="3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7"/>
  </w:num>
  <w:num w:numId="109">
    <w:abstractNumId w:val="37"/>
    <w:lvlOverride w:ilvl="0">
      <w:startOverride w:val="1"/>
    </w:lvlOverride>
  </w:num>
  <w:num w:numId="110">
    <w:abstractNumId w:val="37"/>
  </w:num>
  <w:num w:numId="111">
    <w:abstractNumId w:val="37"/>
  </w:num>
  <w:num w:numId="112">
    <w:abstractNumId w:val="78"/>
  </w:num>
  <w:num w:numId="113">
    <w:abstractNumId w:val="83"/>
  </w:num>
  <w:num w:numId="114">
    <w:abstractNumId w:val="75"/>
  </w:num>
  <w:num w:numId="115">
    <w:abstractNumId w:val="37"/>
    <w:lvlOverride w:ilvl="0">
      <w:startOverride w:val="1"/>
    </w:lvlOverride>
  </w:num>
  <w:num w:numId="116">
    <w:abstractNumId w:val="56"/>
  </w:num>
  <w:num w:numId="117">
    <w:abstractNumId w:val="37"/>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9"/>
  </w:num>
  <w:num w:numId="124">
    <w:abstractNumId w:val="37"/>
    <w:lvlOverride w:ilvl="0">
      <w:startOverride w:val="1"/>
    </w:lvlOverride>
  </w:num>
  <w:num w:numId="125">
    <w:abstractNumId w:val="7"/>
  </w:num>
  <w:num w:numId="126">
    <w:abstractNumId w:val="7"/>
  </w:num>
  <w:num w:numId="127">
    <w:abstractNumId w:val="82"/>
  </w:num>
  <w:num w:numId="128">
    <w:abstractNumId w:val="37"/>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5"/>
  </w:num>
  <w:num w:numId="141">
    <w:abstractNumId w:val="37"/>
    <w:lvlOverride w:ilvl="0">
      <w:startOverride w:val="1"/>
    </w:lvlOverride>
  </w:num>
  <w:num w:numId="142">
    <w:abstractNumId w:val="67"/>
  </w:num>
  <w:num w:numId="143">
    <w:abstractNumId w:val="42"/>
  </w:num>
  <w:num w:numId="144">
    <w:abstractNumId w:val="24"/>
  </w:num>
  <w:num w:numId="145">
    <w:abstractNumId w:val="15"/>
  </w:num>
  <w:num w:numId="146">
    <w:abstractNumId w:val="37"/>
  </w:num>
  <w:num w:numId="147">
    <w:abstractNumId w:val="59"/>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54"/>
  </w:num>
  <w:num w:numId="160">
    <w:abstractNumId w:val="23"/>
  </w:num>
  <w:num w:numId="161">
    <w:abstractNumId w:val="43"/>
  </w:num>
  <w:num w:numId="162">
    <w:abstractNumId w:val="32"/>
  </w:num>
  <w:num w:numId="163">
    <w:abstractNumId w:val="33"/>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5E8E"/>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00A"/>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73B"/>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3C8"/>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7B8"/>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A6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2F11"/>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9C6"/>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B32F11"/>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 w:type="paragraph" w:styleId="ListParagraph">
    <w:name w:val="List Paragraph"/>
    <w:basedOn w:val="Normal"/>
    <w:uiPriority w:val="34"/>
    <w:qFormat/>
    <w:rsid w:val="00075E8E"/>
    <w:pPr>
      <w:tabs>
        <w:tab w:val="clear" w:pos="567"/>
      </w:tabs>
      <w:snapToGrid/>
      <w:spacing w:before="0" w:after="200" w:line="276" w:lineRule="auto"/>
      <w:ind w:left="720"/>
      <w:contextualSpacing/>
      <w:jc w:val="left"/>
    </w:pPr>
    <w:rPr>
      <w:rFonts w:asciiTheme="minorHAnsi" w:eastAsiaTheme="minorEastAsia" w:hAnsiTheme="minorHAnsi" w:cstheme="minorBidi"/>
      <w:snapToGrid/>
      <w:szCs w:val="22"/>
      <w:lang w:val="fr-FR" w:eastAsia="fr-FR"/>
    </w:rPr>
  </w:style>
  <w:style w:type="paragraph" w:customStyle="1" w:styleId="formtext">
    <w:name w:val="formtext"/>
    <w:basedOn w:val="Normal"/>
    <w:rsid w:val="00075E8E"/>
    <w:pPr>
      <w:tabs>
        <w:tab w:val="clear" w:pos="567"/>
      </w:tabs>
      <w:snapToGrid/>
      <w:spacing w:before="80" w:after="80" w:line="240" w:lineRule="exact"/>
      <w:jc w:val="left"/>
    </w:pPr>
    <w:rPr>
      <w:rFonts w:cs="Times New Roman"/>
      <w:snapToGrid/>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B32F11"/>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 w:type="paragraph" w:styleId="ListParagraph">
    <w:name w:val="List Paragraph"/>
    <w:basedOn w:val="Normal"/>
    <w:uiPriority w:val="34"/>
    <w:qFormat/>
    <w:rsid w:val="00075E8E"/>
    <w:pPr>
      <w:tabs>
        <w:tab w:val="clear" w:pos="567"/>
      </w:tabs>
      <w:snapToGrid/>
      <w:spacing w:before="0" w:after="200" w:line="276" w:lineRule="auto"/>
      <w:ind w:left="720"/>
      <w:contextualSpacing/>
      <w:jc w:val="left"/>
    </w:pPr>
    <w:rPr>
      <w:rFonts w:asciiTheme="minorHAnsi" w:eastAsiaTheme="minorEastAsia" w:hAnsiTheme="minorHAnsi" w:cstheme="minorBidi"/>
      <w:snapToGrid/>
      <w:szCs w:val="22"/>
      <w:lang w:val="fr-FR" w:eastAsia="fr-FR"/>
    </w:rPr>
  </w:style>
  <w:style w:type="paragraph" w:customStyle="1" w:styleId="formtext">
    <w:name w:val="formtext"/>
    <w:basedOn w:val="Normal"/>
    <w:rsid w:val="00075E8E"/>
    <w:pPr>
      <w:tabs>
        <w:tab w:val="clear" w:pos="567"/>
      </w:tabs>
      <w:snapToGrid/>
      <w:spacing w:before="80" w:after="80" w:line="240" w:lineRule="exact"/>
      <w:jc w:val="left"/>
    </w:pPr>
    <w:rPr>
      <w:rFonts w:cs="Times New Roman"/>
      <w:snapToGrid/>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DA34-3CFA-4290-9940-A55B5CAFF16B}">
  <ds:schemaRefs>
    <ds:schemaRef ds:uri="http://schemas.openxmlformats.org/officeDocument/2006/bibliography"/>
  </ds:schemaRefs>
</ds:datastoreItem>
</file>

<file path=customXml/itemProps2.xml><?xml version="1.0" encoding="utf-8"?>
<ds:datastoreItem xmlns:ds="http://schemas.openxmlformats.org/officeDocument/2006/customXml" ds:itemID="{47F8B233-5898-4A6A-BCDA-550A7D28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4394</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2014-07-23T14:14:00Z</dcterms:created>
  <dcterms:modified xsi:type="dcterms:W3CDTF">2018-02-22T08:42:00Z</dcterms:modified>
</cp:coreProperties>
</file>