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BC" w:rsidRPr="004936EF" w:rsidRDefault="009F28BC" w:rsidP="009F28BC">
      <w:pPr>
        <w:pStyle w:val="Chapitre"/>
      </w:pPr>
      <w:bookmarkStart w:id="0" w:name="_Toc241229778"/>
      <w:bookmarkStart w:id="1" w:name="_Toc241229982"/>
      <w:bookmarkStart w:id="2" w:name="_Toc242165676"/>
      <w:r>
        <w:t>Unidad 49</w:t>
      </w:r>
    </w:p>
    <w:p w:rsidR="006C700E" w:rsidRDefault="006C700E" w:rsidP="006C700E">
      <w:pPr>
        <w:pStyle w:val="HO1"/>
      </w:pPr>
      <w:r>
        <w:t>Folleto 1:</w:t>
      </w:r>
    </w:p>
    <w:bookmarkEnd w:id="0"/>
    <w:bookmarkEnd w:id="1"/>
    <w:bookmarkEnd w:id="2"/>
    <w:p w:rsidR="0031587B" w:rsidRDefault="003329EE" w:rsidP="00C73E9C">
      <w:pPr>
        <w:pStyle w:val="HO2"/>
      </w:pPr>
      <w:r>
        <w:t>Un repaso a las Directrices Operativas</w:t>
      </w:r>
    </w:p>
    <w:p w:rsidR="003329EE" w:rsidRPr="008E6382" w:rsidRDefault="00882E1D" w:rsidP="003329EE">
      <w:pPr>
        <w:pStyle w:val="Texte1"/>
      </w:pPr>
      <w:r>
        <w:rPr>
          <w:b/>
        </w:rPr>
        <w:t>(A) D</w:t>
      </w:r>
      <w:r w:rsidR="003329EE">
        <w:rPr>
          <w:b/>
        </w:rPr>
        <w:t>ecisión 5c.1 en el punto 11(b) de la octava reunión del Comité Intergubernamental pide a la Secretaría que:</w:t>
      </w:r>
    </w:p>
    <w:p w:rsidR="003329EE" w:rsidRPr="005F5FFD" w:rsidRDefault="003329EE" w:rsidP="008E6382">
      <w:pPr>
        <w:pStyle w:val="Quote"/>
        <w:rPr>
          <w:rFonts w:eastAsia="Calibri"/>
        </w:rPr>
      </w:pPr>
      <w:bookmarkStart w:id="3" w:name="_Toc366662809"/>
      <w:bookmarkStart w:id="4" w:name="_Toc366662879"/>
      <w:bookmarkStart w:id="5" w:name="_Toc366837341"/>
      <w:r>
        <w:t>Examine todos los documentos y formularios (incluidas las Directrices Operativas, los formatos para la elaboración de informes y expedientes de candidaturas) a fin de incluir orientaciones y cuestiones específicas de género</w:t>
      </w:r>
      <w:bookmarkEnd w:id="3"/>
      <w:bookmarkEnd w:id="4"/>
      <w:bookmarkEnd w:id="5"/>
      <w:r w:rsidR="00882E1D">
        <w:t xml:space="preserve"> (r</w:t>
      </w:r>
      <w:r>
        <w:t>ecomendación 1)</w:t>
      </w:r>
      <w:r w:rsidR="00882E1D">
        <w:t>.</w:t>
      </w:r>
    </w:p>
    <w:p w:rsidR="003329EE" w:rsidRPr="003329EE" w:rsidRDefault="003329EE" w:rsidP="008E6382">
      <w:pPr>
        <w:pStyle w:val="Texte1"/>
        <w:spacing w:before="240"/>
      </w:pPr>
      <w:r>
        <w:rPr>
          <w:b/>
        </w:rPr>
        <w:t>(B) Párrafo 14 del proyecto de las directrices operativas sobre “Salvaguardia del patrimonio cultural inmaterial y desarrollo sost</w:t>
      </w:r>
      <w:r w:rsidR="00B75C0D">
        <w:rPr>
          <w:b/>
        </w:rPr>
        <w:t>enible en el ámbito nacional” (a</w:t>
      </w:r>
      <w:r>
        <w:rPr>
          <w:b/>
        </w:rPr>
        <w:t>nexo del documento ITH/14/9.COM/13.b) [disponible en francés e inglés]:</w:t>
      </w:r>
    </w:p>
    <w:p w:rsidR="003329EE" w:rsidRPr="008E6382" w:rsidRDefault="003329EE" w:rsidP="008E6382">
      <w:pPr>
        <w:pStyle w:val="Quote"/>
        <w:rPr>
          <w:rFonts w:eastAsia="Calibri"/>
        </w:rPr>
      </w:pPr>
      <w:r>
        <w:t>Los Estados Partes deberán esforzarse por fomentar la contribución del patrimonio cultural inmaterial a la igualdad de género y a la eliminación de la discriminación por motivos de género, reconociendo a la vez que las comunidades transmiten sus valores, normas y expectativas de género a través del patrimonio cultural inmaterial, por lo que son un contexto privilegiado donde se constituyen las identidades de género de los miembros de la comunidad. Para tal fin, se alienta a los Estados Partes a:</w:t>
      </w:r>
    </w:p>
    <w:p w:rsidR="003329EE" w:rsidRPr="005F5FFD" w:rsidRDefault="003329EE" w:rsidP="008E6382">
      <w:pPr>
        <w:pStyle w:val="Quote"/>
        <w:numPr>
          <w:ilvl w:val="0"/>
          <w:numId w:val="160"/>
        </w:numPr>
        <w:rPr>
          <w:rFonts w:eastAsia="Calibri"/>
        </w:rPr>
      </w:pPr>
      <w:r>
        <w:t>aprovechar el potencial del patrimonio cultural inmaterial para crear espacios comunes de diálogo acerca de cómo lograr la igualdad de género, tomando en cuenta las distintas perspectivas de todas las partes interesadas;</w:t>
      </w:r>
    </w:p>
    <w:p w:rsidR="003329EE" w:rsidRPr="005F5FFD" w:rsidRDefault="003329EE" w:rsidP="008E6382">
      <w:pPr>
        <w:pStyle w:val="Quote"/>
        <w:numPr>
          <w:ilvl w:val="0"/>
          <w:numId w:val="160"/>
        </w:numPr>
        <w:rPr>
          <w:rFonts w:eastAsia="Calibri"/>
        </w:rPr>
      </w:pPr>
      <w:r>
        <w:t>promover la importante función que puede desempeñar el patrimonio cultural inmaterial en la construcción del respeto mutuo entre las comunidades y los grupos cuyos miembros podrían no compartir las mismas concepciones de género;</w:t>
      </w:r>
    </w:p>
    <w:p w:rsidR="003329EE" w:rsidRPr="005F5FFD" w:rsidRDefault="003329EE" w:rsidP="008E6382">
      <w:pPr>
        <w:pStyle w:val="Quote"/>
        <w:numPr>
          <w:ilvl w:val="0"/>
          <w:numId w:val="160"/>
        </w:numPr>
        <w:rPr>
          <w:rFonts w:eastAsia="Calibri"/>
        </w:rPr>
      </w:pPr>
      <w:r>
        <w:t>fomentar estudios científicos y metodologías de investigación, incluidos aquellos ejecutados por las propias comunidades, con el fin de comprender la diversidad de funciones de género en las expresiones particulares del patrimonio cultural inmaterial;</w:t>
      </w:r>
    </w:p>
    <w:p w:rsidR="003329EE" w:rsidRPr="005F5FFD" w:rsidRDefault="003329EE" w:rsidP="008E6382">
      <w:pPr>
        <w:pStyle w:val="Quote"/>
        <w:numPr>
          <w:ilvl w:val="0"/>
          <w:numId w:val="160"/>
        </w:numPr>
      </w:pPr>
      <w:r>
        <w:t>garantizar la igualdad de género en la planificación, la gestión y la aplicación de las medidas de salvaguardia en todos los ámbitos y en todos los contextos, con el fin de aprovechar lo máximo posible las distintas perspectivas de todos los miembros de la sociedad.</w:t>
      </w:r>
    </w:p>
    <w:p w:rsidR="003329EE" w:rsidRPr="008E6382" w:rsidRDefault="003329EE" w:rsidP="008E6382">
      <w:pPr>
        <w:pStyle w:val="Texte1"/>
        <w:spacing w:before="240"/>
        <w:rPr>
          <w:rFonts w:eastAsia="Calibri"/>
          <w:bCs/>
        </w:rPr>
      </w:pPr>
      <w:r>
        <w:rPr>
          <w:b/>
        </w:rPr>
        <w:lastRenderedPageBreak/>
        <w:t>(C)</w:t>
      </w:r>
      <w:r>
        <w:t xml:space="preserve"> Otros documentos disponibles en línea que ponen de manifiesto un aumento de enfoques sensibles </w:t>
      </w:r>
      <w:r w:rsidR="00882E1D">
        <w:t>al</w:t>
      </w:r>
      <w:r>
        <w:t xml:space="preserve"> género adoptados por los Estados Partes </w:t>
      </w:r>
      <w:r w:rsidR="00882E1D">
        <w:t>son los siguientes: i</w:t>
      </w:r>
      <w:r>
        <w:t>nformes periódicos, m</w:t>
      </w:r>
      <w:bookmarkStart w:id="6" w:name="_GoBack"/>
      <w:bookmarkEnd w:id="6"/>
      <w:r>
        <w:t>emorándums y candidaturas</w:t>
      </w:r>
      <w:r>
        <w:rPr>
          <w:rStyle w:val="FootnoteReference"/>
        </w:rPr>
        <w:footnoteReference w:id="1"/>
      </w:r>
      <w:r>
        <w:t>.</w:t>
      </w:r>
    </w:p>
    <w:sectPr w:rsidR="003329EE" w:rsidRPr="008E6382" w:rsidSect="00CC1394">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0" w:h="16820" w:code="9"/>
      <w:pgMar w:top="1701" w:right="1531" w:bottom="1701" w:left="1531" w:header="720" w:footer="94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CE4" w:rsidRDefault="004A2CE4" w:rsidP="000A699C">
      <w:pPr>
        <w:spacing w:before="0" w:after="0"/>
      </w:pPr>
      <w:r>
        <w:separator/>
      </w:r>
    </w:p>
  </w:endnote>
  <w:endnote w:type="continuationSeparator" w:id="0">
    <w:p w:rsidR="004A2CE4" w:rsidRDefault="004A2CE4"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Default="005104FA" w:rsidP="00CC1394">
    <w:pPr>
      <w:pStyle w:val="Footer"/>
    </w:pPr>
    <w:r>
      <w:rPr>
        <w:noProof/>
        <w:lang w:eastAsia="ja-JP"/>
      </w:rPr>
      <w:drawing>
        <wp:anchor distT="0" distB="0" distL="114300" distR="114300" simplePos="0" relativeHeight="251661312" behindDoc="0" locked="0" layoutInCell="1" allowOverlap="1" wp14:anchorId="4EDC4623" wp14:editId="737B8893">
          <wp:simplePos x="0" y="0"/>
          <wp:positionH relativeFrom="column">
            <wp:posOffset>2533650</wp:posOffset>
          </wp:positionH>
          <wp:positionV relativeFrom="paragraph">
            <wp:posOffset>8890</wp:posOffset>
          </wp:positionV>
          <wp:extent cx="542290" cy="189230"/>
          <wp:effectExtent l="0" t="0" r="0" b="1270"/>
          <wp:wrapThrough wrapText="bothSides">
            <wp:wrapPolygon edited="0">
              <wp:start x="0" y="0"/>
              <wp:lineTo x="0" y="19570"/>
              <wp:lineTo x="20487" y="19570"/>
              <wp:lineTo x="20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C1394">
      <w:rPr>
        <w:rFonts w:asciiTheme="minorBidi" w:hAnsiTheme="minorBidi"/>
        <w:noProof/>
        <w:szCs w:val="16"/>
        <w:lang w:val="fr-FR" w:eastAsia="ja-JP" w:bidi="ar-SA"/>
      </w:rPr>
      <w:drawing>
        <wp:anchor distT="0" distB="0" distL="114300" distR="114300" simplePos="0" relativeHeight="251655168" behindDoc="0" locked="0" layoutInCell="1" allowOverlap="1" wp14:anchorId="2A7F47D3" wp14:editId="6FF32B49">
          <wp:simplePos x="0" y="0"/>
          <wp:positionH relativeFrom="column">
            <wp:posOffset>-139065</wp:posOffset>
          </wp:positionH>
          <wp:positionV relativeFrom="paragraph">
            <wp:posOffset>-274955</wp:posOffset>
          </wp:positionV>
          <wp:extent cx="956310" cy="693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56310" cy="693420"/>
                  </a:xfrm>
                  <a:prstGeom prst="rect">
                    <a:avLst/>
                  </a:prstGeom>
                </pic:spPr>
              </pic:pic>
            </a:graphicData>
          </a:graphic>
          <wp14:sizeRelH relativeFrom="page">
            <wp14:pctWidth>0</wp14:pctWidth>
          </wp14:sizeRelH>
          <wp14:sizeRelV relativeFrom="page">
            <wp14:pctHeight>0</wp14:pctHeight>
          </wp14:sizeRelV>
        </wp:anchor>
      </w:drawing>
    </w:r>
    <w:r w:rsidR="00044005">
      <w:tab/>
    </w:r>
    <w:r w:rsidR="00044005">
      <w:tab/>
    </w:r>
    <w:r w:rsidR="00B75C0D">
      <w:t>U049-v1.0-HO1-ES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7D60D5" w:rsidRDefault="00044005">
    <w:pPr>
      <w:pStyle w:val="Footer"/>
    </w:pPr>
    <w:r>
      <w:t>U006-v1.0-HO-ES</w:t>
    </w:r>
    <w:r>
      <w:tab/>
      <w:t>© UNESCO • No se debe reproducir sin permiso</w:t>
    </w:r>
    <w:r>
      <w:tab/>
    </w:r>
    <w:r>
      <w:rPr>
        <w:noProof/>
        <w:lang w:val="fr-FR" w:eastAsia="ja-JP" w:bidi="ar-SA"/>
      </w:rPr>
      <w:drawing>
        <wp:anchor distT="0" distB="0" distL="114300" distR="114300" simplePos="0" relativeHeight="251773952" behindDoc="0" locked="1" layoutInCell="1" allowOverlap="0" wp14:anchorId="7EFDC030" wp14:editId="67C2DFBB">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2B" w:rsidRDefault="005104FA" w:rsidP="00CC1394">
    <w:pPr>
      <w:pStyle w:val="Footer"/>
      <w:tabs>
        <w:tab w:val="left" w:pos="2750"/>
      </w:tabs>
    </w:pPr>
    <w:r>
      <w:rPr>
        <w:noProof/>
        <w:lang w:eastAsia="ja-JP"/>
      </w:rPr>
      <w:drawing>
        <wp:anchor distT="0" distB="0" distL="114300" distR="114300" simplePos="0" relativeHeight="251658240" behindDoc="0" locked="0" layoutInCell="1" allowOverlap="1" wp14:anchorId="4EDC4623" wp14:editId="737B8893">
          <wp:simplePos x="0" y="0"/>
          <wp:positionH relativeFrom="column">
            <wp:posOffset>2533650</wp:posOffset>
          </wp:positionH>
          <wp:positionV relativeFrom="paragraph">
            <wp:posOffset>8890</wp:posOffset>
          </wp:positionV>
          <wp:extent cx="542290" cy="189230"/>
          <wp:effectExtent l="0" t="0" r="0" b="127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C1394">
      <w:rPr>
        <w:noProof/>
        <w:lang w:val="fr-FR" w:eastAsia="ja-JP" w:bidi="ar-SA"/>
      </w:rPr>
      <w:drawing>
        <wp:anchor distT="0" distB="0" distL="114300" distR="114300" simplePos="0" relativeHeight="251774976" behindDoc="0" locked="0" layoutInCell="1" allowOverlap="1" wp14:anchorId="4D355420" wp14:editId="11E92293">
          <wp:simplePos x="0" y="0"/>
          <wp:positionH relativeFrom="column">
            <wp:posOffset>4750435</wp:posOffset>
          </wp:positionH>
          <wp:positionV relativeFrom="paragraph">
            <wp:posOffset>-325755</wp:posOffset>
          </wp:positionV>
          <wp:extent cx="907021" cy="65784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07021" cy="657845"/>
                  </a:xfrm>
                  <a:prstGeom prst="rect">
                    <a:avLst/>
                  </a:prstGeom>
                </pic:spPr>
              </pic:pic>
            </a:graphicData>
          </a:graphic>
          <wp14:sizeRelH relativeFrom="page">
            <wp14:pctWidth>0</wp14:pctWidth>
          </wp14:sizeRelH>
          <wp14:sizeRelV relativeFrom="page">
            <wp14:pctHeight>0</wp14:pctHeight>
          </wp14:sizeRelV>
        </wp:anchor>
      </w:drawing>
    </w:r>
    <w:r w:rsidR="003329EE">
      <w:t>U049-v1.0-HO1-ES</w:t>
    </w:r>
    <w:r w:rsidR="003329EE">
      <w:tab/>
    </w:r>
    <w:r w:rsidR="007754E7">
      <w:tab/>
    </w:r>
    <w:r w:rsidR="003329E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CE4" w:rsidRDefault="004A2CE4" w:rsidP="000A699C">
      <w:pPr>
        <w:spacing w:before="0" w:after="0"/>
      </w:pPr>
      <w:r>
        <w:separator/>
      </w:r>
    </w:p>
  </w:footnote>
  <w:footnote w:type="continuationSeparator" w:id="0">
    <w:p w:rsidR="004A2CE4" w:rsidRDefault="004A2CE4" w:rsidP="000A699C">
      <w:pPr>
        <w:spacing w:before="0" w:after="0"/>
      </w:pPr>
      <w:r>
        <w:continuationSeparator/>
      </w:r>
    </w:p>
  </w:footnote>
  <w:footnote w:id="1">
    <w:p w:rsidR="005F5FFD" w:rsidRPr="00882E1D" w:rsidRDefault="005F5FFD" w:rsidP="005F5FFD">
      <w:pPr>
        <w:pStyle w:val="FootnoteText"/>
        <w:rPr>
          <w:lang w:val="es-AR"/>
        </w:rPr>
      </w:pPr>
      <w:r>
        <w:rPr>
          <w:rStyle w:val="FootnoteReference"/>
        </w:rPr>
        <w:footnoteRef/>
      </w:r>
      <w:r>
        <w:t xml:space="preserve"> Consúltense </w:t>
      </w:r>
      <w:r w:rsidR="00882E1D">
        <w:t xml:space="preserve">como </w:t>
      </w:r>
      <w:r>
        <w:t xml:space="preserve">ejemplos </w:t>
      </w:r>
      <w:r w:rsidR="00882E1D">
        <w:t>las</w:t>
      </w:r>
      <w:r>
        <w:t xml:space="preserve"> candidaturas del </w:t>
      </w:r>
      <w:hyperlink r:id="rId1">
        <w:r>
          <w:rPr>
            <w:rStyle w:val="Hyperlink"/>
          </w:rPr>
          <w:t>Japón</w:t>
        </w:r>
      </w:hyperlink>
      <w:r>
        <w:t xml:space="preserve"> y la </w:t>
      </w:r>
      <w:hyperlink r:id="rId2">
        <w:r>
          <w:rPr>
            <w:rStyle w:val="Hyperlink"/>
          </w:rPr>
          <w:t>República de Corea</w:t>
        </w:r>
      </w:hyperlink>
      <w:r>
        <w:t xml:space="preserve"> en la octava reunión del Comité Intergubernamental, así como las de </w:t>
      </w:r>
      <w:hyperlink r:id="rId3">
        <w:r>
          <w:rPr>
            <w:rStyle w:val="Hyperlink"/>
          </w:rPr>
          <w:t>Burundi</w:t>
        </w:r>
      </w:hyperlink>
      <w:r>
        <w:t xml:space="preserve"> y </w:t>
      </w:r>
      <w:hyperlink r:id="rId4">
        <w:r>
          <w:rPr>
            <w:rStyle w:val="Hyperlink"/>
          </w:rPr>
          <w:t>Portugal</w:t>
        </w:r>
      </w:hyperlink>
      <w:r>
        <w:t xml:space="preserve"> en la novena reunión del Comité Intergubernamental. </w:t>
      </w:r>
    </w:p>
    <w:p w:rsidR="005F5FFD" w:rsidRPr="00882E1D" w:rsidRDefault="005F5FFD" w:rsidP="005F5FFD">
      <w:pPr>
        <w:pStyle w:val="FootnoteText"/>
        <w:rPr>
          <w:lang w:val="es-AR"/>
        </w:rPr>
      </w:pPr>
      <w:r>
        <w:t>Consúltese también los memorándums del 23 de julio de 2014: Memorándums para completar los formularios para la presentación de candidaturas a la Lista Representativa del patrimonio cultural inmaterial (</w:t>
      </w:r>
      <w:hyperlink r:id="rId5" w:history="1">
        <w:r>
          <w:t>francés</w:t>
        </w:r>
      </w:hyperlink>
      <w:r>
        <w:t>|</w:t>
      </w:r>
      <w:hyperlink r:id="rId6">
        <w:r>
          <w:t>inglés</w:t>
        </w:r>
      </w:hyperlink>
      <w:r>
        <w:t>)</w:t>
      </w:r>
      <w:r w:rsidR="00B75C0D">
        <w:t xml:space="preserve"> </w:t>
      </w:r>
      <w:r>
        <w:t>y la Lista del patrimonio cultural inmaterial que requiere medidas urgentes de salvaguardia (</w:t>
      </w:r>
      <w:hyperlink r:id="rId7" w:history="1">
        <w:r>
          <w:t>francés</w:t>
        </w:r>
      </w:hyperlink>
      <w:r>
        <w:t>|</w:t>
      </w:r>
      <w:hyperlink r:id="rId8">
        <w:r>
          <w:t>inglés</w:t>
        </w:r>
      </w:hyperlink>
      <w:r>
        <w:t>)</w:t>
      </w:r>
    </w:p>
    <w:p w:rsidR="005F5FFD" w:rsidRPr="00882E1D" w:rsidRDefault="005F5FFD" w:rsidP="005F5FFD">
      <w:pPr>
        <w:pStyle w:val="FootnoteText"/>
        <w:rPr>
          <w:lang w:val="es-AR"/>
        </w:rPr>
      </w:pPr>
      <w:r>
        <w:t xml:space="preserve">Consúltense también ejemplos de </w:t>
      </w:r>
      <w:hyperlink r:id="rId9">
        <w:r>
          <w:rPr>
            <w:rStyle w:val="Hyperlink"/>
          </w:rPr>
          <w:t>informes periódicos</w:t>
        </w:r>
      </w:hyperlink>
      <w:r>
        <w:t xml:space="preserve"> (de</w:t>
      </w:r>
      <w:hyperlink r:id="rId10">
        <w:r>
          <w:rPr>
            <w:rStyle w:val="Hyperlink"/>
          </w:rPr>
          <w:t xml:space="preserve"> Egipto</w:t>
        </w:r>
      </w:hyperlink>
      <w:r>
        <w:t xml:space="preserve">, </w:t>
      </w:r>
      <w:hyperlink r:id="rId11">
        <w:r>
          <w:rPr>
            <w:rStyle w:val="Hyperlink"/>
          </w:rPr>
          <w:t>el Brasil</w:t>
        </w:r>
      </w:hyperlink>
      <w:r>
        <w:t xml:space="preserve">, </w:t>
      </w:r>
      <w:hyperlink r:id="rId12">
        <w:r>
          <w:rPr>
            <w:rStyle w:val="Hyperlink"/>
          </w:rPr>
          <w:t>Burkina Faso</w:t>
        </w:r>
      </w:hyperlink>
      <w:r>
        <w:t xml:space="preserve">, </w:t>
      </w:r>
      <w:hyperlink r:id="rId13">
        <w:r>
          <w:rPr>
            <w:rStyle w:val="Hyperlink"/>
          </w:rPr>
          <w:t>Viet Nam</w:t>
        </w:r>
      </w:hyperlink>
      <w:r>
        <w:t xml:space="preserve">, etc.) y los </w:t>
      </w:r>
      <w:hyperlink r:id="rId14">
        <w:r>
          <w:rPr>
            <w:rStyle w:val="Hyperlink"/>
          </w:rPr>
          <w:t>informes presentados al Comité</w:t>
        </w:r>
      </w:hyperlink>
      <w:r>
        <w:t xml:space="preserve"> que dan cuenta d</w:t>
      </w:r>
      <w:r w:rsidR="00482217">
        <w:t>e un enfoque sensible al género.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5104FA">
      <w:rPr>
        <w:rStyle w:val="PageNumber"/>
        <w:noProof/>
      </w:rPr>
      <w:t>2</w:t>
    </w:r>
    <w:r>
      <w:rPr>
        <w:rStyle w:val="PageNumber"/>
      </w:rPr>
      <w:fldChar w:fldCharType="end"/>
    </w:r>
    <w:r>
      <w:tab/>
    </w:r>
    <w:r>
      <w:rPr>
        <w:rStyle w:val="PageNumber"/>
      </w:rPr>
      <w:t>Unidad 6: Identificación y confección de inventarios</w:t>
    </w:r>
    <w:r>
      <w:tab/>
      <w:t>Folleto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4A4AD6" w:rsidRDefault="00044005" w:rsidP="00D25BBB">
    <w:pPr>
      <w:pStyle w:val="Header"/>
    </w:pPr>
    <w:r>
      <w:t>Folleto</w:t>
    </w:r>
    <w:r>
      <w:tab/>
    </w:r>
    <w:r>
      <w:rPr>
        <w:rStyle w:val="PageNumber"/>
      </w:rPr>
      <w:t xml:space="preserve">Unidad 6: Identificación y confección de inventarios </w:t>
    </w:r>
    <w:r>
      <w:tab/>
    </w:r>
    <w:r>
      <w:rPr>
        <w:rStyle w:val="PageNumber"/>
      </w:rPr>
      <w:fldChar w:fldCharType="begin"/>
    </w:r>
    <w:r>
      <w:rPr>
        <w:rStyle w:val="PageNumber"/>
      </w:rPr>
      <w:instrText xml:space="preserve"> PAGE </w:instrText>
    </w:r>
    <w:r>
      <w:rPr>
        <w:rStyle w:val="PageNumber"/>
      </w:rPr>
      <w:fldChar w:fldCharType="separate"/>
    </w:r>
    <w:r w:rsidR="000C100A">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2305AA" w:rsidRDefault="00254C5C">
    <w:pPr>
      <w:pStyle w:val="Header"/>
    </w:pPr>
    <w:r>
      <w:tab/>
      <w:t>Folleto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98662E2"/>
    <w:multiLevelType w:val="hybridMultilevel"/>
    <w:tmpl w:val="8FECEE90"/>
    <w:lvl w:ilvl="0" w:tplc="040C0017">
      <w:start w:val="1"/>
      <w:numFmt w:val="lowerLetter"/>
      <w:lvlText w:val="%1)"/>
      <w:lvlJc w:val="left"/>
      <w:pPr>
        <w:ind w:left="1854" w:hanging="360"/>
      </w:p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4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7FE77FC"/>
    <w:multiLevelType w:val="hybridMultilevel"/>
    <w:tmpl w:val="188E83D0"/>
    <w:lvl w:ilvl="0" w:tplc="27043C84">
      <w:start w:val="30"/>
      <w:numFmt w:val="decimal"/>
      <w:pStyle w:val="paragraph1"/>
      <w:lvlText w:val="%1."/>
      <w:lvlJc w:val="left"/>
      <w:pPr>
        <w:ind w:left="720" w:hanging="360"/>
      </w:pPr>
      <w:rPr>
        <w:rFonts w:hint="default"/>
        <w:b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2"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3"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4"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9"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3"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13959EA"/>
    <w:multiLevelType w:val="hybridMultilevel"/>
    <w:tmpl w:val="52D89E88"/>
    <w:lvl w:ilvl="0" w:tplc="0809000F">
      <w:start w:val="1"/>
      <w:numFmt w:val="decimal"/>
      <w:lvlText w:val="%1."/>
      <w:lvlJc w:val="left"/>
      <w:pPr>
        <w:ind w:left="360" w:hanging="360"/>
      </w:p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9"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2"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5"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7"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9"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2"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3"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7"/>
  </w:num>
  <w:num w:numId="3">
    <w:abstractNumId w:val="22"/>
  </w:num>
  <w:num w:numId="4">
    <w:abstractNumId w:val="82"/>
  </w:num>
  <w:num w:numId="5">
    <w:abstractNumId w:val="11"/>
  </w:num>
  <w:num w:numId="6">
    <w:abstractNumId w:val="59"/>
  </w:num>
  <w:num w:numId="7">
    <w:abstractNumId w:val="58"/>
  </w:num>
  <w:num w:numId="8">
    <w:abstractNumId w:val="9"/>
  </w:num>
  <w:num w:numId="9">
    <w:abstractNumId w:val="28"/>
  </w:num>
  <w:num w:numId="10">
    <w:abstractNumId w:val="8"/>
  </w:num>
  <w:num w:numId="11">
    <w:abstractNumId w:val="13"/>
  </w:num>
  <w:num w:numId="12">
    <w:abstractNumId w:val="69"/>
  </w:num>
  <w:num w:numId="13">
    <w:abstractNumId w:val="79"/>
  </w:num>
  <w:num w:numId="14">
    <w:abstractNumId w:val="30"/>
  </w:num>
  <w:num w:numId="15">
    <w:abstractNumId w:val="72"/>
  </w:num>
  <w:num w:numId="16">
    <w:abstractNumId w:val="17"/>
  </w:num>
  <w:num w:numId="17">
    <w:abstractNumId w:val="43"/>
  </w:num>
  <w:num w:numId="18">
    <w:abstractNumId w:val="38"/>
  </w:num>
  <w:num w:numId="19">
    <w:abstractNumId w:val="70"/>
  </w:num>
  <w:num w:numId="20">
    <w:abstractNumId w:val="51"/>
  </w:num>
  <w:num w:numId="21">
    <w:abstractNumId w:val="10"/>
  </w:num>
  <w:num w:numId="22">
    <w:abstractNumId w:val="5"/>
  </w:num>
  <w:num w:numId="23">
    <w:abstractNumId w:val="63"/>
  </w:num>
  <w:num w:numId="24">
    <w:abstractNumId w:val="40"/>
  </w:num>
  <w:num w:numId="25">
    <w:abstractNumId w:val="48"/>
  </w:num>
  <w:num w:numId="26">
    <w:abstractNumId w:val="21"/>
  </w:num>
  <w:num w:numId="27">
    <w:abstractNumId w:val="24"/>
  </w:num>
  <w:num w:numId="28">
    <w:abstractNumId w:val="39"/>
  </w:num>
  <w:num w:numId="29">
    <w:abstractNumId w:val="41"/>
  </w:num>
  <w:num w:numId="30">
    <w:abstractNumId w:val="55"/>
  </w:num>
  <w:num w:numId="31">
    <w:abstractNumId w:val="71"/>
  </w:num>
  <w:num w:numId="32">
    <w:abstractNumId w:val="74"/>
  </w:num>
  <w:num w:numId="33">
    <w:abstractNumId w:val="19"/>
  </w:num>
  <w:num w:numId="34">
    <w:abstractNumId w:val="0"/>
  </w:num>
  <w:num w:numId="35">
    <w:abstractNumId w:val="78"/>
  </w:num>
  <w:num w:numId="36">
    <w:abstractNumId w:val="27"/>
  </w:num>
  <w:num w:numId="37">
    <w:abstractNumId w:val="66"/>
  </w:num>
  <w:num w:numId="38">
    <w:abstractNumId w:val="78"/>
  </w:num>
  <w:num w:numId="39">
    <w:abstractNumId w:val="2"/>
  </w:num>
  <w:num w:numId="40">
    <w:abstractNumId w:val="61"/>
  </w:num>
  <w:num w:numId="41">
    <w:abstractNumId w:val="27"/>
    <w:lvlOverride w:ilvl="0">
      <w:startOverride w:val="1"/>
    </w:lvlOverride>
  </w:num>
  <w:num w:numId="42">
    <w:abstractNumId w:val="14"/>
  </w:num>
  <w:num w:numId="43">
    <w:abstractNumId w:val="42"/>
  </w:num>
  <w:num w:numId="44">
    <w:abstractNumId w:val="77"/>
  </w:num>
  <w:num w:numId="45">
    <w:abstractNumId w:val="31"/>
  </w:num>
  <w:num w:numId="46">
    <w:abstractNumId w:val="65"/>
  </w:num>
  <w:num w:numId="47">
    <w:abstractNumId w:val="31"/>
    <w:lvlOverride w:ilvl="0">
      <w:startOverride w:val="1"/>
    </w:lvlOverride>
  </w:num>
  <w:num w:numId="48">
    <w:abstractNumId w:val="41"/>
  </w:num>
  <w:num w:numId="49">
    <w:abstractNumId w:val="75"/>
  </w:num>
  <w:num w:numId="50">
    <w:abstractNumId w:val="31"/>
    <w:lvlOverride w:ilvl="0">
      <w:startOverride w:val="1"/>
    </w:lvlOverride>
  </w:num>
  <w:num w:numId="51">
    <w:abstractNumId w:val="25"/>
  </w:num>
  <w:num w:numId="52">
    <w:abstractNumId w:val="31"/>
    <w:lvlOverride w:ilvl="0">
      <w:startOverride w:val="1"/>
    </w:lvlOverride>
  </w:num>
  <w:num w:numId="53">
    <w:abstractNumId w:val="78"/>
  </w:num>
  <w:num w:numId="54">
    <w:abstractNumId w:val="78"/>
  </w:num>
  <w:num w:numId="55">
    <w:abstractNumId w:val="78"/>
  </w:num>
  <w:num w:numId="56">
    <w:abstractNumId w:val="78"/>
  </w:num>
  <w:num w:numId="57">
    <w:abstractNumId w:val="78"/>
  </w:num>
  <w:num w:numId="58">
    <w:abstractNumId w:val="83"/>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60"/>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9"/>
  </w:num>
  <w:num w:numId="93">
    <w:abstractNumId w:val="57"/>
  </w:num>
  <w:num w:numId="94">
    <w:abstractNumId w:val="54"/>
  </w:num>
  <w:num w:numId="95">
    <w:abstractNumId w:val="44"/>
    <w:lvlOverride w:ilvl="0">
      <w:startOverride w:val="2"/>
    </w:lvlOverride>
  </w:num>
  <w:num w:numId="96">
    <w:abstractNumId w:val="52"/>
  </w:num>
  <w:num w:numId="97">
    <w:abstractNumId w:val="67"/>
  </w:num>
  <w:num w:numId="98">
    <w:abstractNumId w:val="64"/>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6"/>
  </w:num>
  <w:num w:numId="113">
    <w:abstractNumId w:val="81"/>
  </w:num>
  <w:num w:numId="114">
    <w:abstractNumId w:val="73"/>
  </w:num>
  <w:num w:numId="115">
    <w:abstractNumId w:val="34"/>
    <w:lvlOverride w:ilvl="0">
      <w:startOverride w:val="1"/>
    </w:lvlOverride>
  </w:num>
  <w:num w:numId="116">
    <w:abstractNumId w:val="53"/>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80"/>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2"/>
  </w:num>
  <w:num w:numId="141">
    <w:abstractNumId w:val="34"/>
    <w:lvlOverride w:ilvl="0">
      <w:startOverride w:val="1"/>
    </w:lvlOverride>
  </w:num>
  <w:num w:numId="142">
    <w:abstractNumId w:val="64"/>
  </w:num>
  <w:num w:numId="143">
    <w:abstractNumId w:val="39"/>
  </w:num>
  <w:num w:numId="144">
    <w:abstractNumId w:val="23"/>
  </w:num>
  <w:num w:numId="145">
    <w:abstractNumId w:val="15"/>
  </w:num>
  <w:num w:numId="146">
    <w:abstractNumId w:val="34"/>
  </w:num>
  <w:num w:numId="147">
    <w:abstractNumId w:val="56"/>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68"/>
  </w:num>
  <w:num w:numId="160">
    <w:abstractNumId w:val="46"/>
  </w:num>
  <w:num w:numId="161">
    <w:abstractNumId w:val="5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00A"/>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E10"/>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9EE"/>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CB2"/>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217"/>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2CE4"/>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4FA"/>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5FFD"/>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4E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2E1D"/>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82"/>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05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C0D"/>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394"/>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88E"/>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DF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rPr>
  </w:style>
  <w:style w:type="character" w:customStyle="1" w:styleId="HeaderChar">
    <w:name w:val="Header Char"/>
    <w:link w:val="Header"/>
    <w:uiPriority w:val="99"/>
    <w:rsid w:val="006A23D9"/>
    <w:rPr>
      <w:rFonts w:ascii="Arial" w:hAnsi="Arial"/>
      <w:sz w:val="16"/>
      <w:szCs w:val="22"/>
      <w:lang w:val="es-ES" w:eastAsia="es-E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rPr>
  </w:style>
  <w:style w:type="character" w:customStyle="1" w:styleId="FooterChar">
    <w:name w:val="Footer Char"/>
    <w:link w:val="Footer"/>
    <w:rsid w:val="006A23D9"/>
    <w:rPr>
      <w:rFonts w:ascii="Arial" w:hAnsi="Arial"/>
      <w:sz w:val="16"/>
      <w:szCs w:val="22"/>
      <w:lang w:val="es-ES" w:eastAsia="es-E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s-ES" w:eastAsia="es-ES"/>
    </w:rPr>
  </w:style>
  <w:style w:type="character" w:customStyle="1" w:styleId="Heading2Char">
    <w:name w:val="Heading 2 Char"/>
    <w:link w:val="Heading2"/>
    <w:uiPriority w:val="9"/>
    <w:rsid w:val="006A23D9"/>
    <w:rPr>
      <w:rFonts w:ascii="Arial Bold" w:eastAsia="SimSun" w:hAnsi="Arial Bold"/>
      <w:bCs/>
      <w:color w:val="000000"/>
      <w:sz w:val="22"/>
      <w:szCs w:val="26"/>
      <w:lang w:val="es-ES" w:eastAsia="es-ES"/>
    </w:rPr>
  </w:style>
  <w:style w:type="character" w:customStyle="1" w:styleId="Heading3Char">
    <w:name w:val="Heading 3 Char"/>
    <w:link w:val="Heading3"/>
    <w:uiPriority w:val="9"/>
    <w:rsid w:val="00F4305C"/>
    <w:rPr>
      <w:rFonts w:ascii="Arial" w:eastAsia="SimSun" w:hAnsi="Arial"/>
      <w:b/>
      <w:bCs/>
      <w:caps/>
      <w:color w:val="000000"/>
      <w:sz w:val="18"/>
      <w:szCs w:val="18"/>
      <w:lang w:val="es-ES" w:eastAsia="es-ES"/>
    </w:rPr>
  </w:style>
  <w:style w:type="character" w:customStyle="1" w:styleId="Heading4Char">
    <w:name w:val="Heading 4 Char"/>
    <w:link w:val="Heading4"/>
    <w:rsid w:val="006A23D9"/>
    <w:rPr>
      <w:rFonts w:ascii="Arial" w:eastAsia="SimSun" w:hAnsi="Arial"/>
      <w:b/>
      <w:bCs/>
      <w:caps/>
      <w:szCs w:val="24"/>
      <w:lang w:val="es-ES" w:eastAsia="es-ES"/>
    </w:rPr>
  </w:style>
  <w:style w:type="character" w:customStyle="1" w:styleId="Heading5Char">
    <w:name w:val="Heading 5 Char"/>
    <w:link w:val="Heading5"/>
    <w:uiPriority w:val="9"/>
    <w:rsid w:val="006A23D9"/>
    <w:rPr>
      <w:rFonts w:ascii="Cambria" w:eastAsia="Times New Roman" w:hAnsi="Cambria"/>
      <w:color w:val="243F60"/>
      <w:sz w:val="22"/>
      <w:szCs w:val="24"/>
      <w:lang w:eastAsia="es-ES"/>
    </w:rPr>
  </w:style>
  <w:style w:type="character" w:customStyle="1" w:styleId="Heading6Char">
    <w:name w:val="Heading 6 Char"/>
    <w:link w:val="Heading6"/>
    <w:rsid w:val="00970C59"/>
    <w:rPr>
      <w:rFonts w:ascii="Arial" w:eastAsia="SimSun" w:hAnsi="Arial"/>
      <w:b/>
      <w:bCs/>
      <w:caps/>
      <w:color w:val="008000"/>
      <w:sz w:val="24"/>
      <w:szCs w:val="22"/>
      <w:lang w:val="es-ES" w:eastAsia="es-E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s-ES" w:eastAsia="es-ES"/>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s-ES"/>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rPr>
  </w:style>
  <w:style w:type="character" w:customStyle="1" w:styleId="NoSpacingChar">
    <w:name w:val="No Spacing Char"/>
    <w:link w:val="NoSpacing1"/>
    <w:uiPriority w:val="1"/>
    <w:rsid w:val="0007153C"/>
    <w:rPr>
      <w:rFonts w:ascii="Arial" w:hAnsi="Arial"/>
      <w:sz w:val="22"/>
      <w:szCs w:val="22"/>
      <w:lang w:val="es-ES" w:eastAsia="es-ES" w:bidi="es-ES"/>
    </w:rPr>
  </w:style>
  <w:style w:type="paragraph" w:customStyle="1" w:styleId="ListParagraph1">
    <w:name w:val="List Paragraph1"/>
    <w:basedOn w:val="Normal"/>
    <w:uiPriority w:val="34"/>
    <w:qFormat/>
    <w:rsid w:val="003544CF"/>
    <w:pPr>
      <w:numPr>
        <w:numId w:val="5"/>
      </w:numPr>
      <w:tabs>
        <w:tab w:val="clear" w:pos="567"/>
        <w:tab w:val="left" w:pos="709"/>
      </w:tabs>
    </w:pPr>
    <w:rPr>
      <w:snapToGrid/>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s-ES" w:eastAsia="es-ES"/>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s-ES" w:eastAsia="es-ES"/>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s-ES" w:eastAsia="es-ES"/>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s-ES" w:eastAsia="es-ES"/>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s-ES" w:eastAsia="es-ES"/>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rPr>
  </w:style>
  <w:style w:type="table" w:customStyle="1" w:styleId="TableGrid3">
    <w:name w:val="Table Grid3"/>
    <w:basedOn w:val="TableNormal"/>
    <w:next w:val="TableGrid"/>
    <w:rsid w:val="00175B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s-ES" w:eastAsia="es-ES"/>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es-ES"/>
    </w:rPr>
  </w:style>
  <w:style w:type="paragraph" w:customStyle="1" w:styleId="SsTit">
    <w:name w:val="SsTit"/>
    <w:basedOn w:val="Normal"/>
    <w:rsid w:val="000E78BD"/>
    <w:pPr>
      <w:widowControl w:val="0"/>
      <w:spacing w:before="0" w:after="480" w:line="440" w:lineRule="exact"/>
      <w:jc w:val="left"/>
    </w:pPr>
    <w:rPr>
      <w:b/>
      <w:caps/>
      <w:sz w:val="36"/>
      <w:szCs w:val="36"/>
    </w:rPr>
  </w:style>
  <w:style w:type="paragraph" w:customStyle="1" w:styleId="Texte1">
    <w:name w:val="Texte1"/>
    <w:basedOn w:val="Normal"/>
    <w:link w:val="Texte1Car"/>
    <w:rsid w:val="006A23D9"/>
    <w:pPr>
      <w:spacing w:before="0" w:after="60" w:line="280" w:lineRule="exact"/>
      <w:ind w:left="851"/>
    </w:pPr>
    <w:rPr>
      <w:snapToGrid/>
      <w:sz w:val="20"/>
    </w:rPr>
  </w:style>
  <w:style w:type="character" w:customStyle="1" w:styleId="Texte1Car">
    <w:name w:val="Texte1 Car"/>
    <w:link w:val="Texte1"/>
    <w:rsid w:val="006A23D9"/>
    <w:rPr>
      <w:rFonts w:ascii="Arial" w:eastAsia="SimSun" w:hAnsi="Arial" w:cs="Arial"/>
      <w:szCs w:val="24"/>
      <w:lang w:eastAsia="es-ES"/>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s-ES" w:eastAsia="es-ES"/>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s-E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rPr>
  </w:style>
  <w:style w:type="paragraph" w:customStyle="1" w:styleId="Numrosance">
    <w:name w:val="Numéroséance"/>
    <w:basedOn w:val="Normal"/>
    <w:rsid w:val="00867240"/>
    <w:pPr>
      <w:numPr>
        <w:numId w:val="59"/>
      </w:numPr>
      <w:spacing w:before="0" w:after="60" w:line="280" w:lineRule="exact"/>
    </w:pPr>
    <w:rPr>
      <w:bCs/>
      <w:snapToGrid/>
      <w:sz w:val="20"/>
      <w:szCs w:val="20"/>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rPr>
  </w:style>
  <w:style w:type="character" w:customStyle="1" w:styleId="informationsCar">
    <w:name w:val="informations Car"/>
    <w:link w:val="informations"/>
    <w:rsid w:val="0062066C"/>
    <w:rPr>
      <w:rFonts w:ascii="Arial" w:eastAsia="Times New Roman" w:hAnsi="Arial" w:cs="Arial"/>
      <w:i/>
      <w:iCs/>
      <w:color w:val="4F81BD"/>
      <w:spacing w:val="15"/>
      <w:lang w:val="es-ES" w:eastAsia="es-E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rPr>
  </w:style>
  <w:style w:type="character" w:customStyle="1" w:styleId="InformationsCar0">
    <w:name w:val="Informations Car"/>
    <w:link w:val="Informations0"/>
    <w:rsid w:val="00EE0E82"/>
    <w:rPr>
      <w:rFonts w:ascii="Arial" w:eastAsia="SimSun" w:hAnsi="Arial" w:cs="Arial"/>
      <w:i/>
      <w:color w:val="3366FF"/>
      <w:lang w:eastAsia="es-ES"/>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rPr>
  </w:style>
  <w:style w:type="character" w:customStyle="1" w:styleId="diapo2Car">
    <w:name w:val="diapo2 Car"/>
    <w:link w:val="diapo2"/>
    <w:rsid w:val="00EE0E82"/>
    <w:rPr>
      <w:rFonts w:ascii="Arial" w:eastAsia="SimSun" w:hAnsi="Arial" w:cs="Arial"/>
      <w:b/>
      <w:noProof/>
      <w:snapToGrid w:val="0"/>
      <w:sz w:val="24"/>
      <w:szCs w:val="22"/>
      <w:lang w:eastAsia="es-E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style>
  <w:style w:type="character" w:customStyle="1" w:styleId="enuiCar">
    <w:name w:val="enu(i) Car"/>
    <w:link w:val="enui"/>
    <w:rsid w:val="00100691"/>
    <w:rPr>
      <w:rFonts w:ascii="Arial" w:eastAsia="SimSun" w:hAnsi="Arial" w:cs="Arial"/>
      <w:szCs w:val="24"/>
      <w:lang w:eastAsia="es-ES"/>
    </w:rPr>
  </w:style>
  <w:style w:type="paragraph" w:customStyle="1" w:styleId="DOa">
    <w:name w:val="DOa"/>
    <w:basedOn w:val="numrationa"/>
    <w:rsid w:val="002915CA"/>
    <w:pPr>
      <w:ind w:left="2325"/>
    </w:p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es-ES"/>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es-ES"/>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rPr>
  </w:style>
  <w:style w:type="character" w:customStyle="1" w:styleId="EvaluationCar">
    <w:name w:val="Evaluation Car"/>
    <w:link w:val="Evaluation"/>
    <w:rsid w:val="005224A2"/>
    <w:rPr>
      <w:rFonts w:ascii="Arial" w:eastAsia="SimSun" w:hAnsi="Arial" w:cs="Arial"/>
      <w:lang w:eastAsia="es-ES"/>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s-ES" w:eastAsia="es-ES"/>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s-ES" w:eastAsia="es-ES"/>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rPr>
  </w:style>
  <w:style w:type="character" w:customStyle="1" w:styleId="EnutiretCar">
    <w:name w:val="Enutiret Car"/>
    <w:link w:val="Enutiret"/>
    <w:rsid w:val="002C2CEF"/>
    <w:rPr>
      <w:rFonts w:ascii="Arial" w:hAnsi="Arial" w:cs="Arial"/>
      <w:noProof/>
      <w:snapToGrid w:val="0"/>
      <w:lang w:eastAsia="es-E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rPr>
  </w:style>
  <w:style w:type="paragraph" w:customStyle="1" w:styleId="Tabltetiere">
    <w:name w:val="Tabltetiere"/>
    <w:basedOn w:val="Normal"/>
    <w:rsid w:val="006A23D9"/>
    <w:pPr>
      <w:keepNext/>
      <w:spacing w:before="60" w:after="60" w:line="200" w:lineRule="exact"/>
      <w:jc w:val="center"/>
    </w:pPr>
    <w:rPr>
      <w:b/>
      <w:snapToGrid/>
      <w:sz w:val="18"/>
      <w:szCs w:val="20"/>
    </w:rPr>
  </w:style>
  <w:style w:type="paragraph" w:customStyle="1" w:styleId="Tabtit">
    <w:name w:val="Tabtit"/>
    <w:basedOn w:val="Normal"/>
    <w:rsid w:val="006A23D9"/>
    <w:pPr>
      <w:spacing w:before="240" w:line="280" w:lineRule="exact"/>
    </w:pPr>
    <w:rPr>
      <w:b/>
      <w:snapToGrid/>
      <w:sz w:val="20"/>
      <w:szCs w:val="20"/>
    </w:rPr>
  </w:style>
  <w:style w:type="paragraph" w:customStyle="1" w:styleId="Tabtxt">
    <w:name w:val="Tabtxt"/>
    <w:basedOn w:val="Normal"/>
    <w:rsid w:val="006A23D9"/>
    <w:pPr>
      <w:keepNext/>
      <w:spacing w:before="60" w:after="60" w:line="200" w:lineRule="exact"/>
      <w:jc w:val="center"/>
    </w:pPr>
    <w:rPr>
      <w:snapToGrid/>
      <w:sz w:val="18"/>
      <w:szCs w:val="18"/>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s-ES" w:eastAsia="es-ES"/>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s-ES" w:eastAsia="es-ES"/>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es-ES" w:eastAsia="es-E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es-ES"/>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es-ES"/>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rPr>
  </w:style>
  <w:style w:type="paragraph" w:customStyle="1" w:styleId="Extract">
    <w:name w:val="Extract"/>
    <w:basedOn w:val="Normal"/>
    <w:qFormat/>
    <w:rsid w:val="00F15E7C"/>
    <w:pPr>
      <w:spacing w:before="240" w:after="240"/>
      <w:ind w:left="567"/>
    </w:pPr>
    <w:rPr>
      <w:sz w:val="20"/>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s-ES" w:eastAsia="es-ES"/>
    </w:rPr>
  </w:style>
  <w:style w:type="paragraph" w:customStyle="1" w:styleId="HO1">
    <w:name w:val="HO1"/>
    <w:basedOn w:val="Titcoul"/>
    <w:link w:val="HO1Car"/>
    <w:rsid w:val="00A215BE"/>
    <w:pPr>
      <w:spacing w:after="0"/>
    </w:pPr>
    <w:rPr>
      <w:caps w:val="0"/>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s-ES" w:eastAsia="es-ES"/>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s-ES" w:eastAsia="es-ES"/>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paragraph" w:styleId="ListParagraph">
    <w:name w:val="List Paragraph"/>
    <w:basedOn w:val="Normal"/>
    <w:uiPriority w:val="34"/>
    <w:qFormat/>
    <w:rsid w:val="003329EE"/>
    <w:pPr>
      <w:tabs>
        <w:tab w:val="clear" w:pos="567"/>
      </w:tabs>
      <w:snapToGrid/>
      <w:spacing w:before="0" w:after="200" w:line="276" w:lineRule="auto"/>
      <w:ind w:left="720"/>
      <w:contextualSpacing/>
      <w:jc w:val="left"/>
    </w:pPr>
    <w:rPr>
      <w:rFonts w:asciiTheme="minorHAnsi" w:eastAsiaTheme="minorEastAsia" w:hAnsiTheme="minorHAnsi" w:cstheme="minorBidi"/>
      <w:snapToGrid/>
      <w:szCs w:val="22"/>
    </w:rPr>
  </w:style>
  <w:style w:type="character" w:customStyle="1" w:styleId="MargeChar">
    <w:name w:val="Marge Char"/>
    <w:rsid w:val="003329EE"/>
    <w:rPr>
      <w:rFonts w:ascii="Arial" w:eastAsia="Times New Roman" w:hAnsi="Arial" w:cs="Times New Roman"/>
      <w:snapToGrid w:val="0"/>
      <w:szCs w:val="24"/>
      <w:lang w:val="es-ES"/>
    </w:rPr>
  </w:style>
  <w:style w:type="paragraph" w:customStyle="1" w:styleId="paragraph1">
    <w:name w:val="paragraph 1"/>
    <w:basedOn w:val="Normal"/>
    <w:link w:val="paragraph1Char"/>
    <w:qFormat/>
    <w:rsid w:val="005F5FFD"/>
    <w:pPr>
      <w:numPr>
        <w:numId w:val="161"/>
      </w:numPr>
      <w:tabs>
        <w:tab w:val="clear" w:pos="567"/>
      </w:tabs>
      <w:spacing w:before="0" w:after="60" w:line="280" w:lineRule="exact"/>
    </w:pPr>
    <w:rPr>
      <w:snapToGrid/>
      <w:sz w:val="20"/>
      <w:szCs w:val="22"/>
    </w:rPr>
  </w:style>
  <w:style w:type="character" w:customStyle="1" w:styleId="paragraph1Char">
    <w:name w:val="paragraph 1 Char"/>
    <w:link w:val="paragraph1"/>
    <w:rsid w:val="005F5FFD"/>
    <w:rPr>
      <w:rFonts w:ascii="Arial" w:eastAsia="SimSun" w:hAnsi="Arial" w:cs="Arial"/>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unesco.org/culture/ich/doc/src/ICH-01-2016_aide-m&#233;moire-EN.doc" TargetMode="External"/><Relationship Id="rId13" Type="http://schemas.openxmlformats.org/officeDocument/2006/relationships/hyperlink" Target="http://www.unesco.org/culture/ich/doc/download.php?versionID=18524" TargetMode="External"/><Relationship Id="rId3" Type="http://schemas.openxmlformats.org/officeDocument/2006/relationships/hyperlink" Target="http://www.unesco.org/culture/ich/es/RL/la-danza-ritual-del-tambor-real-00989?RL=00989" TargetMode="External"/><Relationship Id="rId7" Type="http://schemas.openxmlformats.org/officeDocument/2006/relationships/hyperlink" Target="http://www.unesco.org/culture/ich/doc/src/ICH-01-2016_aide-m&#233;moire-FR.doc" TargetMode="External"/><Relationship Id="rId12" Type="http://schemas.openxmlformats.org/officeDocument/2006/relationships/hyperlink" Target="http://www.unesco.org/culture/ich/doc/download.php?versionID=33231" TargetMode="External"/><Relationship Id="rId2" Type="http://schemas.openxmlformats.org/officeDocument/2006/relationships/hyperlink" Target="http://www.unesco.org/culture/ich/es/RL/kimjang-modo-de-preparar-y-compartir-conservas-kimchi-en-la-republica-de-corea-00881?RL=00881" TargetMode="External"/><Relationship Id="rId1" Type="http://schemas.openxmlformats.org/officeDocument/2006/relationships/hyperlink" Target="http://www.unesco.org/culture/ich/es/RL/washoku-tradiciones-culinarias-de-los-japoneses-en-particular-para-festejar-el-ano-nuevo-00869?RL=00869" TargetMode="External"/><Relationship Id="rId6" Type="http://schemas.openxmlformats.org/officeDocument/2006/relationships/hyperlink" Target="http://www.unesco.org/culture/ich/doc/src/ICH-02-2016_aide-m&#233;moire-EN.doc" TargetMode="External"/><Relationship Id="rId11" Type="http://schemas.openxmlformats.org/officeDocument/2006/relationships/hyperlink" Target="http://www.unesco.org/culture/ich/doc/download.php?versionID=26287" TargetMode="External"/><Relationship Id="rId5" Type="http://schemas.openxmlformats.org/officeDocument/2006/relationships/hyperlink" Target="http://www.unesco.org/culture/ich/doc/src/ICH-02-2016_aide-m&#233;moire-FR.docx" TargetMode="External"/><Relationship Id="rId10" Type="http://schemas.openxmlformats.org/officeDocument/2006/relationships/hyperlink" Target="http://www.unesco.org/culture/ich/doc/download.php?versionID=18480" TargetMode="External"/><Relationship Id="rId4" Type="http://schemas.openxmlformats.org/officeDocument/2006/relationships/hyperlink" Target="http://www.unesco.org/culture/ich/es/RL/el-cante-alentejano-canto-polifonico-del-alentejo-sur-de-portugal-01007?RL=01007" TargetMode="External"/><Relationship Id="rId9" Type="http://schemas.openxmlformats.org/officeDocument/2006/relationships/hyperlink" Target="http://www.unesco.org/culture/ich/es/informes-periodicos-00460" TargetMode="External"/><Relationship Id="rId14" Type="http://schemas.openxmlformats.org/officeDocument/2006/relationships/hyperlink" Target="http://www.unesco.org/culture/ich/es/informes-periodicos-0046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EAE2-2CC5-4AB2-B116-9F56B84CA1E7}">
  <ds:schemaRefs>
    <ds:schemaRef ds:uri="http://schemas.openxmlformats.org/officeDocument/2006/bibliography"/>
  </ds:schemaRefs>
</ds:datastoreItem>
</file>

<file path=customXml/itemProps2.xml><?xml version="1.0" encoding="utf-8"?>
<ds:datastoreItem xmlns:ds="http://schemas.openxmlformats.org/officeDocument/2006/customXml" ds:itemID="{FB4FBCFC-C230-4E9F-BEF7-E1FF4898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1974</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2328</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2016-05-13T17:20:00Z</dcterms:created>
  <dcterms:modified xsi:type="dcterms:W3CDTF">2018-03-23T12:56:00Z</dcterms:modified>
</cp:coreProperties>
</file>